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pacing w:val="-12"/>
          <w:w w:val="90"/>
          <w:sz w:val="72"/>
          <w:szCs w:val="72"/>
        </w:rPr>
      </w:pPr>
      <w:r>
        <w:rPr>
          <w:rFonts w:hint="eastAsia" w:ascii="方正小标宋简体" w:eastAsia="方正小标宋简体"/>
          <w:b/>
          <w:bCs/>
          <w:spacing w:val="-12"/>
          <w:w w:val="90"/>
          <w:sz w:val="72"/>
          <w:szCs w:val="72"/>
        </w:rPr>
        <w:t>2020年度四川省广元市昭化区</w:t>
      </w:r>
    </w:p>
    <w:p>
      <w:pPr>
        <w:jc w:val="center"/>
        <w:rPr>
          <w:rFonts w:ascii="方正行楷简体" w:eastAsia="方正行楷简体"/>
          <w:b/>
          <w:bCs/>
          <w:sz w:val="72"/>
          <w:szCs w:val="72"/>
        </w:rPr>
      </w:pPr>
      <w:r>
        <w:rPr>
          <w:rFonts w:hint="eastAsia" w:ascii="方正小标宋简体" w:eastAsia="方正小标宋简体"/>
          <w:b/>
          <w:bCs/>
          <w:spacing w:val="-12"/>
          <w:w w:val="90"/>
          <w:sz w:val="72"/>
          <w:szCs w:val="72"/>
        </w:rPr>
        <w:t>红十字会</w:t>
      </w:r>
      <w:r>
        <w:rPr>
          <w:rFonts w:hint="eastAsia" w:ascii="方正小标宋_GBK" w:eastAsia="方正小标宋_GBK"/>
          <w:b/>
          <w:bCs/>
          <w:sz w:val="72"/>
          <w:szCs w:val="72"/>
        </w:rPr>
        <w:t>部门决算</w:t>
      </w:r>
    </w:p>
    <w:p>
      <w:pPr>
        <w:pStyle w:val="11"/>
        <w:spacing w:before="0" w:line="576" w:lineRule="exact"/>
        <w:jc w:val="center"/>
        <w:outlineLvl w:val="9"/>
        <w:rPr>
          <w:rFonts w:ascii="Times New Roman" w:hAnsi="Times New Roman" w:eastAsia="楷体_GB2312"/>
          <w:sz w:val="32"/>
          <w:szCs w:val="32"/>
        </w:rPr>
      </w:pPr>
      <w:bookmarkStart w:id="0" w:name="_Toc25075"/>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p>
      <w:pPr>
        <w:pStyle w:val="11"/>
        <w:spacing w:before="0" w:line="576" w:lineRule="exact"/>
        <w:jc w:val="center"/>
        <w:outlineLvl w:val="9"/>
        <w:rPr>
          <w:rFonts w:ascii="Times New Roman" w:hAnsi="Times New Roman" w:eastAsia="楷体_GB2312"/>
          <w:sz w:val="32"/>
          <w:szCs w:val="32"/>
        </w:rPr>
      </w:pPr>
    </w:p>
    <w:bookmarkEnd w:id="0"/>
    <w:p>
      <w:pPr>
        <w:widowControl/>
        <w:jc w:val="left"/>
        <w:rPr>
          <w:rFonts w:ascii="方正小标宋简体" w:hAnsi="宋体" w:eastAsia="方正小标宋简体"/>
          <w:color w:val="000000"/>
          <w:sz w:val="36"/>
          <w:szCs w:val="36"/>
        </w:rPr>
      </w:pPr>
    </w:p>
    <w:p>
      <w:pPr>
        <w:pStyle w:val="2"/>
      </w:pPr>
    </w:p>
    <w:sdt>
      <w:sdtPr>
        <w:rPr>
          <w:rFonts w:ascii="宋体" w:hAnsi="宋体" w:eastAsia="宋体" w:cs="Times New Roman"/>
          <w:kern w:val="2"/>
          <w:sz w:val="21"/>
          <w:szCs w:val="24"/>
          <w:lang w:val="en-US" w:eastAsia="zh-CN" w:bidi="ar-SA"/>
        </w:rPr>
        <w:id w:val="147458812"/>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21"/>
            </w:rPr>
            <w:sectPr>
              <w:headerReference r:id="rId3" w:type="default"/>
              <w:pgSz w:w="11906" w:h="16838"/>
              <w:pgMar w:top="2098" w:right="1474" w:bottom="1985" w:left="1588" w:header="851" w:footer="1531" w:gutter="0"/>
              <w:pgNumType w:start="1"/>
              <w:cols w:space="425" w:num="1"/>
              <w:docGrid w:type="linesAndChars" w:linePitch="312" w:charSpace="0"/>
            </w:sectPr>
          </w:pPr>
        </w:p>
        <w:p>
          <w:pPr>
            <w:spacing w:before="0" w:beforeLines="0" w:after="0" w:afterLines="0" w:line="240" w:lineRule="auto"/>
            <w:ind w:left="0" w:leftChars="0" w:right="0" w:rightChars="0" w:firstLine="0" w:firstLineChars="0"/>
            <w:jc w:val="center"/>
            <w:rPr>
              <w:rFonts w:ascii="宋体" w:hAnsi="宋体" w:eastAsia="宋体"/>
              <w:b/>
              <w:bCs/>
              <w:sz w:val="21"/>
            </w:rPr>
          </w:pPr>
          <w:r>
            <w:rPr>
              <w:rFonts w:ascii="宋体" w:hAnsi="宋体" w:eastAsia="宋体"/>
              <w:b/>
              <w:bCs/>
              <w:sz w:val="21"/>
            </w:rPr>
            <w:t>目录</w:t>
          </w:r>
        </w:p>
        <w:p>
          <w:pPr>
            <w:pStyle w:val="2"/>
            <w:jc w:val="center"/>
            <w:rPr>
              <w:rFonts w:hint="default" w:eastAsia="宋体"/>
              <w:lang w:val="en-US" w:eastAsia="zh-CN"/>
            </w:rPr>
          </w:pPr>
          <w:r>
            <w:rPr>
              <w:rFonts w:hint="eastAsia" w:ascii="宋体" w:hAnsi="宋体"/>
              <w:sz w:val="21"/>
              <w:lang w:eastAsia="zh-CN"/>
            </w:rPr>
            <w:t>公开时间：</w:t>
          </w:r>
          <w:r>
            <w:rPr>
              <w:rFonts w:hint="eastAsia" w:ascii="宋体" w:hAnsi="宋体"/>
              <w:sz w:val="21"/>
              <w:lang w:val="en-US" w:eastAsia="zh-CN"/>
            </w:rPr>
            <w:t>2021年9月16日</w:t>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fldChar w:fldCharType="begin"/>
          </w:r>
          <w:r>
            <w:instrText xml:space="preserve">TOC \o "1-2" \h \u </w:instrText>
          </w:r>
          <w:r>
            <w:fldChar w:fldCharType="separate"/>
          </w:r>
          <w:r>
            <w:rPr>
              <w:b/>
            </w:rPr>
            <w:fldChar w:fldCharType="begin"/>
          </w:r>
          <w:r>
            <w:rPr>
              <w:b/>
            </w:rPr>
            <w:instrText xml:space="preserve"> HYPERLINK \l _Toc2547 </w:instrText>
          </w:r>
          <w:r>
            <w:rPr>
              <w:b/>
            </w:rPr>
            <w:fldChar w:fldCharType="separate"/>
          </w:r>
          <w:r>
            <w:rPr>
              <w:rFonts w:hAnsi="黑体" w:eastAsia="黑体"/>
              <w:b/>
            </w:rPr>
            <w:t>第一部分</w:t>
          </w:r>
          <w:r>
            <w:rPr>
              <w:rFonts w:eastAsia="黑体"/>
              <w:b/>
            </w:rPr>
            <w:t xml:space="preserve"> </w:t>
          </w:r>
          <w:r>
            <w:rPr>
              <w:rFonts w:hAnsi="黑体" w:eastAsia="黑体"/>
              <w:b/>
              <w:bCs w:val="0"/>
            </w:rPr>
            <w:t>部门概况</w:t>
          </w:r>
          <w:r>
            <w:rPr>
              <w:b/>
            </w:rPr>
            <w:tab/>
          </w:r>
          <w:r>
            <w:rPr>
              <w:b/>
            </w:rPr>
            <w:fldChar w:fldCharType="begin"/>
          </w:r>
          <w:r>
            <w:rPr>
              <w:b/>
            </w:rPr>
            <w:instrText xml:space="preserve"> PAGEREF _Toc2547 \h </w:instrText>
          </w:r>
          <w:r>
            <w:rPr>
              <w:b/>
            </w:rPr>
            <w:fldChar w:fldCharType="separate"/>
          </w:r>
          <w:r>
            <w:rPr>
              <w:b/>
            </w:rPr>
            <w:t>1</w:t>
          </w:r>
          <w:r>
            <w:rPr>
              <w:b/>
            </w:rPr>
            <w:fldChar w:fldCharType="end"/>
          </w:r>
          <w:r>
            <w:rPr>
              <w:b/>
            </w:rP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_Toc13154 </w:instrText>
          </w:r>
          <w:r>
            <w:fldChar w:fldCharType="separate"/>
          </w:r>
          <w:r>
            <w:rPr>
              <w:rFonts w:ascii="Times New Roman" w:hAnsi="黑体" w:eastAsia="黑体"/>
            </w:rPr>
            <w:t>一、基</w:t>
          </w:r>
          <w:r>
            <w:rPr>
              <w:rFonts w:ascii="Times New Roman" w:hAnsi="黑体" w:eastAsia="黑体"/>
              <w:bCs w:val="0"/>
            </w:rPr>
            <w:t>本职能及主要工作</w:t>
          </w:r>
          <w:r>
            <w:tab/>
          </w:r>
          <w:r>
            <w:fldChar w:fldCharType="begin"/>
          </w:r>
          <w:r>
            <w:instrText xml:space="preserve"> PAGEREF _Toc13154 \h </w:instrText>
          </w:r>
          <w:r>
            <w:fldChar w:fldCharType="separate"/>
          </w:r>
          <w:r>
            <w:t>1</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_Toc14910 </w:instrText>
          </w:r>
          <w:r>
            <w:fldChar w:fldCharType="separate"/>
          </w:r>
          <w:r>
            <w:rPr>
              <w:rFonts w:ascii="Times New Roman" w:hAnsi="Times New Roman" w:eastAsia="黑体"/>
            </w:rPr>
            <w:t>二、</w:t>
          </w:r>
          <w:r>
            <w:rPr>
              <w:rFonts w:ascii="Times New Roman" w:hAnsi="黑体" w:eastAsia="黑体"/>
            </w:rPr>
            <w:t>机</w:t>
          </w:r>
          <w:r>
            <w:rPr>
              <w:rFonts w:ascii="Times New Roman" w:hAnsi="黑体" w:eastAsia="黑体"/>
              <w:bCs w:val="0"/>
            </w:rPr>
            <w:t>构设置</w:t>
          </w:r>
          <w:r>
            <w:tab/>
          </w:r>
          <w:r>
            <w:fldChar w:fldCharType="begin"/>
          </w:r>
          <w:r>
            <w:instrText xml:space="preserve"> PAGEREF _Toc14910 \h </w:instrText>
          </w:r>
          <w:r>
            <w:fldChar w:fldCharType="separate"/>
          </w:r>
          <w:r>
            <w:t>2</w:t>
          </w:r>
          <w:r>
            <w:fldChar w:fldCharType="end"/>
          </w:r>
          <w:r>
            <w:fldChar w:fldCharType="end"/>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rPr>
              <w:b/>
            </w:rPr>
            <w:fldChar w:fldCharType="begin"/>
          </w:r>
          <w:r>
            <w:rPr>
              <w:b/>
            </w:rPr>
            <w:instrText xml:space="preserve"> HYPERLINK \l _Toc8736 </w:instrText>
          </w:r>
          <w:r>
            <w:rPr>
              <w:b/>
            </w:rPr>
            <w:fldChar w:fldCharType="separate"/>
          </w:r>
          <w:r>
            <w:rPr>
              <w:rFonts w:hAnsi="黑体" w:eastAsia="黑体"/>
              <w:b/>
            </w:rPr>
            <w:t>第二部分</w:t>
          </w:r>
          <w:r>
            <w:rPr>
              <w:rFonts w:eastAsia="黑体"/>
              <w:b/>
            </w:rPr>
            <w:t xml:space="preserve"> </w:t>
          </w:r>
          <w:r>
            <w:rPr>
              <w:rFonts w:eastAsia="黑体"/>
              <w:b/>
              <w:bCs w:val="0"/>
            </w:rPr>
            <w:t>2020</w:t>
          </w:r>
          <w:r>
            <w:rPr>
              <w:rFonts w:hAnsi="黑体" w:eastAsia="黑体"/>
              <w:b/>
              <w:bCs w:val="0"/>
            </w:rPr>
            <w:t>年度部门决算情况说明</w:t>
          </w:r>
          <w:r>
            <w:rPr>
              <w:b/>
            </w:rPr>
            <w:tab/>
          </w:r>
          <w:r>
            <w:rPr>
              <w:b/>
            </w:rPr>
            <w:fldChar w:fldCharType="begin"/>
          </w:r>
          <w:r>
            <w:rPr>
              <w:b/>
            </w:rPr>
            <w:instrText xml:space="preserve"> PAGEREF _Toc8736 \h </w:instrText>
          </w:r>
          <w:r>
            <w:rPr>
              <w:b/>
            </w:rPr>
            <w:fldChar w:fldCharType="separate"/>
          </w:r>
          <w:r>
            <w:rPr>
              <w:b/>
            </w:rPr>
            <w:t>3</w:t>
          </w:r>
          <w:r>
            <w:rPr>
              <w:b/>
            </w:rPr>
            <w:fldChar w:fldCharType="end"/>
          </w:r>
          <w:r>
            <w:rPr>
              <w:b/>
            </w:rP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_Toc9034 </w:instrText>
          </w:r>
          <w:r>
            <w:fldChar w:fldCharType="separate"/>
          </w:r>
          <w:r>
            <w:rPr>
              <w:rFonts w:hint="default" w:ascii="Times New Roman" w:hAnsi="Times New Roman" w:eastAsia="黑体" w:cs="Times New Roman"/>
            </w:rPr>
            <w:t xml:space="preserve">一、 </w:t>
          </w:r>
          <w:r>
            <w:rPr>
              <w:rFonts w:hAnsi="黑体" w:eastAsia="黑体"/>
              <w:szCs w:val="32"/>
            </w:rPr>
            <w:t>收</w:t>
          </w:r>
          <w:r>
            <w:rPr>
              <w:rFonts w:ascii="Times New Roman" w:hAnsi="黑体" w:eastAsia="黑体"/>
            </w:rPr>
            <w:t>入支出决算总体情况说明</w:t>
          </w:r>
          <w:r>
            <w:tab/>
          </w:r>
          <w:r>
            <w:fldChar w:fldCharType="begin"/>
          </w:r>
          <w:r>
            <w:instrText xml:space="preserve"> PAGEREF _Toc9034 \h </w:instrText>
          </w:r>
          <w:r>
            <w:fldChar w:fldCharType="separate"/>
          </w:r>
          <w:r>
            <w:t>3</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_Toc10958 </w:instrText>
          </w:r>
          <w:r>
            <w:fldChar w:fldCharType="separate"/>
          </w:r>
          <w:r>
            <w:rPr>
              <w:rFonts w:hint="default" w:ascii="Times New Roman" w:hAnsi="Times New Roman" w:eastAsia="黑体" w:cs="Times New Roman"/>
            </w:rPr>
            <w:t xml:space="preserve">二、 </w:t>
          </w:r>
          <w:r>
            <w:rPr>
              <w:rFonts w:hAnsi="黑体" w:eastAsia="黑体"/>
              <w:szCs w:val="32"/>
            </w:rPr>
            <w:t>收</w:t>
          </w:r>
          <w:r>
            <w:rPr>
              <w:rFonts w:ascii="Times New Roman" w:hAnsi="黑体" w:eastAsia="黑体"/>
            </w:rPr>
            <w:t>入决算情况说明</w:t>
          </w:r>
          <w:r>
            <w:tab/>
          </w:r>
          <w:r>
            <w:fldChar w:fldCharType="begin"/>
          </w:r>
          <w:r>
            <w:instrText xml:space="preserve"> PAGEREF _Toc10958 \h </w:instrText>
          </w:r>
          <w:r>
            <w:fldChar w:fldCharType="separate"/>
          </w:r>
          <w:r>
            <w:t>3</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_Toc4838 </w:instrText>
          </w:r>
          <w:r>
            <w:fldChar w:fldCharType="separate"/>
          </w:r>
          <w:r>
            <w:rPr>
              <w:rFonts w:hAnsi="黑体" w:eastAsia="黑体"/>
              <w:szCs w:val="32"/>
            </w:rPr>
            <w:t>三、支</w:t>
          </w:r>
          <w:r>
            <w:rPr>
              <w:rFonts w:ascii="Times New Roman" w:hAnsi="黑体" w:eastAsia="黑体"/>
            </w:rPr>
            <w:t>出决算情况说明</w:t>
          </w:r>
          <w:r>
            <w:tab/>
          </w:r>
          <w:r>
            <w:fldChar w:fldCharType="begin"/>
          </w:r>
          <w:r>
            <w:instrText xml:space="preserve"> PAGEREF _Toc4838 \h </w:instrText>
          </w:r>
          <w:r>
            <w:fldChar w:fldCharType="separate"/>
          </w:r>
          <w:r>
            <w:t>3</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_Toc16293 </w:instrText>
          </w:r>
          <w:r>
            <w:fldChar w:fldCharType="separate"/>
          </w:r>
          <w:r>
            <w:rPr>
              <w:rFonts w:hAnsi="黑体" w:eastAsia="黑体"/>
              <w:szCs w:val="32"/>
            </w:rPr>
            <w:t>四、财</w:t>
          </w:r>
          <w:r>
            <w:rPr>
              <w:rFonts w:ascii="Times New Roman" w:hAnsi="黑体" w:eastAsia="黑体"/>
            </w:rPr>
            <w:t>政拨款收入支出决算总体情况说明</w:t>
          </w:r>
          <w:r>
            <w:tab/>
          </w:r>
          <w:r>
            <w:fldChar w:fldCharType="begin"/>
          </w:r>
          <w:r>
            <w:instrText xml:space="preserve"> PAGEREF _Toc16293 \h </w:instrText>
          </w:r>
          <w:r>
            <w:fldChar w:fldCharType="separate"/>
          </w:r>
          <w:r>
            <w:t>3</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_Toc10119 </w:instrText>
          </w:r>
          <w:r>
            <w:fldChar w:fldCharType="separate"/>
          </w:r>
          <w:r>
            <w:rPr>
              <w:rFonts w:hAnsi="黑体" w:eastAsia="黑体"/>
              <w:szCs w:val="32"/>
            </w:rPr>
            <w:t>五、一</w:t>
          </w:r>
          <w:r>
            <w:rPr>
              <w:rFonts w:ascii="Times New Roman" w:hAnsi="黑体" w:eastAsia="黑体"/>
            </w:rPr>
            <w:t>般公共预算财政拨款支出决算情况说明</w:t>
          </w:r>
          <w:r>
            <w:tab/>
          </w:r>
          <w:r>
            <w:fldChar w:fldCharType="begin"/>
          </w:r>
          <w:r>
            <w:instrText xml:space="preserve"> PAGEREF _Toc10119 \h </w:instrText>
          </w:r>
          <w:r>
            <w:fldChar w:fldCharType="separate"/>
          </w:r>
          <w:r>
            <w:t>4</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_Toc3569 </w:instrText>
          </w:r>
          <w:r>
            <w:fldChar w:fldCharType="separate"/>
          </w:r>
          <w:r>
            <w:rPr>
              <w:rFonts w:eastAsia="黑体"/>
              <w:szCs w:val="32"/>
            </w:rPr>
            <w:t>六、</w:t>
          </w:r>
          <w:r>
            <w:rPr>
              <w:rFonts w:hAnsi="黑体" w:eastAsia="黑体"/>
              <w:szCs w:val="32"/>
            </w:rPr>
            <w:t>一</w:t>
          </w:r>
          <w:r>
            <w:rPr>
              <w:rFonts w:ascii="Times New Roman" w:hAnsi="黑体" w:eastAsia="黑体"/>
            </w:rPr>
            <w:t>般公共预算财政拨款基本支出决算情况说明</w:t>
          </w:r>
          <w:r>
            <w:tab/>
          </w:r>
          <w:r>
            <w:fldChar w:fldCharType="begin"/>
          </w:r>
          <w:r>
            <w:instrText xml:space="preserve"> PAGEREF _Toc3569 \h </w:instrText>
          </w:r>
          <w:r>
            <w:fldChar w:fldCharType="separate"/>
          </w:r>
          <w:r>
            <w:t>5</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_Toc1838 </w:instrText>
          </w:r>
          <w:r>
            <w:fldChar w:fldCharType="separate"/>
          </w:r>
          <w:r>
            <w:rPr>
              <w:rFonts w:eastAsia="黑体"/>
              <w:szCs w:val="32"/>
            </w:rPr>
            <w:t>七、</w:t>
          </w:r>
          <w:r>
            <w:rPr>
              <w:rFonts w:ascii="Times New Roman" w:hAnsi="Times New Roman" w:eastAsia="黑体"/>
            </w:rPr>
            <w:t>“</w:t>
          </w:r>
          <w:r>
            <w:rPr>
              <w:rFonts w:ascii="Times New Roman" w:hAnsi="黑体" w:eastAsia="黑体"/>
            </w:rPr>
            <w:t>三公</w:t>
          </w:r>
          <w:r>
            <w:rPr>
              <w:rFonts w:ascii="Times New Roman" w:hAnsi="Times New Roman" w:eastAsia="黑体"/>
            </w:rPr>
            <w:t>”</w:t>
          </w:r>
          <w:r>
            <w:rPr>
              <w:rFonts w:ascii="Times New Roman" w:hAnsi="黑体" w:eastAsia="黑体"/>
            </w:rPr>
            <w:t>经费财政拨款支出决算情况说明</w:t>
          </w:r>
          <w:r>
            <w:tab/>
          </w:r>
          <w:r>
            <w:fldChar w:fldCharType="begin"/>
          </w:r>
          <w:r>
            <w:instrText xml:space="preserve"> PAGEREF _Toc1838 \h </w:instrText>
          </w:r>
          <w:r>
            <w:fldChar w:fldCharType="separate"/>
          </w:r>
          <w:r>
            <w:t>6</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_Toc16890 </w:instrText>
          </w:r>
          <w:r>
            <w:fldChar w:fldCharType="separate"/>
          </w:r>
          <w:r>
            <w:rPr>
              <w:rFonts w:eastAsia="黑体"/>
              <w:szCs w:val="32"/>
            </w:rPr>
            <w:t>八、</w:t>
          </w:r>
          <w:r>
            <w:rPr>
              <w:rFonts w:ascii="Times New Roman" w:hAnsi="黑体" w:eastAsia="黑体"/>
            </w:rPr>
            <w:t>政府性基金预算支出决算情况说明</w:t>
          </w:r>
          <w:r>
            <w:tab/>
          </w:r>
          <w:r>
            <w:fldChar w:fldCharType="begin"/>
          </w:r>
          <w:r>
            <w:instrText xml:space="preserve"> PAGEREF _Toc16890 \h </w:instrText>
          </w:r>
          <w:r>
            <w:fldChar w:fldCharType="separate"/>
          </w:r>
          <w:r>
            <w:t>7</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_Toc23104 </w:instrText>
          </w:r>
          <w:r>
            <w:fldChar w:fldCharType="separate"/>
          </w:r>
          <w:r>
            <w:rPr>
              <w:rFonts w:ascii="Times New Roman" w:hAnsi="黑体" w:eastAsia="黑体"/>
            </w:rPr>
            <w:t>九、国有资本经营预算支出决算情况说明</w:t>
          </w:r>
          <w:r>
            <w:tab/>
          </w:r>
          <w:r>
            <w:fldChar w:fldCharType="begin"/>
          </w:r>
          <w:r>
            <w:instrText xml:space="preserve"> PAGEREF _Toc23104 \h </w:instrText>
          </w:r>
          <w:r>
            <w:fldChar w:fldCharType="separate"/>
          </w:r>
          <w:r>
            <w:t>7</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_Toc17113 </w:instrText>
          </w:r>
          <w:r>
            <w:fldChar w:fldCharType="separate"/>
          </w:r>
          <w:r>
            <w:rPr>
              <w:rFonts w:hAnsi="黑体" w:eastAsia="黑体"/>
              <w:szCs w:val="32"/>
            </w:rPr>
            <w:t>十</w:t>
          </w:r>
          <w:r>
            <w:rPr>
              <w:rFonts w:ascii="Times New Roman" w:hAnsi="黑体" w:eastAsia="黑体"/>
            </w:rPr>
            <w:t>、其他重要事项的情况说明</w:t>
          </w:r>
          <w:r>
            <w:tab/>
          </w:r>
          <w:r>
            <w:fldChar w:fldCharType="begin"/>
          </w:r>
          <w:r>
            <w:instrText xml:space="preserve"> PAGEREF _Toc17113 \h </w:instrText>
          </w:r>
          <w:r>
            <w:fldChar w:fldCharType="separate"/>
          </w:r>
          <w:r>
            <w:t>7</w:t>
          </w:r>
          <w:r>
            <w:fldChar w:fldCharType="end"/>
          </w:r>
          <w:r>
            <w:fldChar w:fldCharType="end"/>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rPr>
              <w:b/>
            </w:rPr>
            <w:fldChar w:fldCharType="begin"/>
          </w:r>
          <w:r>
            <w:rPr>
              <w:b/>
            </w:rPr>
            <w:instrText xml:space="preserve"> HYPERLINK \l _Toc4731 </w:instrText>
          </w:r>
          <w:r>
            <w:rPr>
              <w:b/>
            </w:rPr>
            <w:fldChar w:fldCharType="separate"/>
          </w:r>
          <w:r>
            <w:rPr>
              <w:rFonts w:hint="eastAsia" w:eastAsia="黑体" w:cs="Times New Roman"/>
              <w:b/>
            </w:rPr>
            <w:t xml:space="preserve">第三部分 </w:t>
          </w:r>
          <w:r>
            <w:rPr>
              <w:rFonts w:hAnsi="黑体" w:eastAsia="黑体"/>
              <w:b/>
              <w:szCs w:val="44"/>
            </w:rPr>
            <w:t>名</w:t>
          </w:r>
          <w:r>
            <w:rPr>
              <w:rFonts w:hAnsi="黑体" w:eastAsia="黑体"/>
              <w:b/>
            </w:rPr>
            <w:t>词解释</w:t>
          </w:r>
          <w:r>
            <w:rPr>
              <w:b/>
            </w:rPr>
            <w:tab/>
          </w:r>
          <w:r>
            <w:rPr>
              <w:b/>
            </w:rPr>
            <w:fldChar w:fldCharType="begin"/>
          </w:r>
          <w:r>
            <w:rPr>
              <w:b/>
            </w:rPr>
            <w:instrText xml:space="preserve"> PAGEREF _Toc4731 \h </w:instrText>
          </w:r>
          <w:r>
            <w:rPr>
              <w:b/>
            </w:rPr>
            <w:fldChar w:fldCharType="separate"/>
          </w:r>
          <w:r>
            <w:rPr>
              <w:b/>
            </w:rPr>
            <w:t>11</w:t>
          </w:r>
          <w:r>
            <w:rPr>
              <w:b/>
            </w:rPr>
            <w:fldChar w:fldCharType="end"/>
          </w:r>
          <w:r>
            <w:rPr>
              <w:b/>
            </w:rPr>
            <w:fldChar w:fldCharType="end"/>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rPr>
              <w:b/>
            </w:rPr>
            <w:fldChar w:fldCharType="begin"/>
          </w:r>
          <w:r>
            <w:rPr>
              <w:b/>
            </w:rPr>
            <w:instrText xml:space="preserve"> HYPERLINK \l _Toc28223 </w:instrText>
          </w:r>
          <w:r>
            <w:rPr>
              <w:b/>
            </w:rPr>
            <w:fldChar w:fldCharType="separate"/>
          </w:r>
          <w:r>
            <w:rPr>
              <w:rFonts w:hAnsi="黑体" w:eastAsia="黑体"/>
              <w:b/>
              <w:szCs w:val="44"/>
            </w:rPr>
            <w:t>第</w:t>
          </w:r>
          <w:r>
            <w:rPr>
              <w:rFonts w:hAnsi="黑体" w:eastAsia="黑体"/>
              <w:b/>
            </w:rPr>
            <w:t>四部分</w:t>
          </w:r>
          <w:r>
            <w:rPr>
              <w:rFonts w:eastAsia="黑体"/>
              <w:b/>
            </w:rPr>
            <w:t xml:space="preserve"> </w:t>
          </w:r>
          <w:r>
            <w:rPr>
              <w:rFonts w:hAnsi="黑体" w:eastAsia="黑体"/>
              <w:b/>
            </w:rPr>
            <w:t>附件</w:t>
          </w:r>
          <w:r>
            <w:rPr>
              <w:b/>
            </w:rPr>
            <w:tab/>
          </w:r>
          <w:r>
            <w:rPr>
              <w:b/>
            </w:rPr>
            <w:fldChar w:fldCharType="begin"/>
          </w:r>
          <w:r>
            <w:rPr>
              <w:b/>
            </w:rPr>
            <w:instrText xml:space="preserve"> PAGEREF _Toc28223 \h </w:instrText>
          </w:r>
          <w:r>
            <w:rPr>
              <w:b/>
            </w:rPr>
            <w:fldChar w:fldCharType="separate"/>
          </w:r>
          <w:r>
            <w:rPr>
              <w:b/>
            </w:rPr>
            <w:t>14</w:t>
          </w:r>
          <w:r>
            <w:rPr>
              <w:b/>
            </w:rPr>
            <w:fldChar w:fldCharType="end"/>
          </w:r>
          <w:r>
            <w:rPr>
              <w:b/>
            </w:rP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_Toc1576 </w:instrText>
          </w:r>
          <w:r>
            <w:fldChar w:fldCharType="separate"/>
          </w:r>
          <w:r>
            <w:rPr>
              <w:rFonts w:hAnsi="黑体" w:eastAsia="黑体"/>
              <w:szCs w:val="32"/>
            </w:rPr>
            <w:t>附件</w:t>
          </w:r>
          <w:r>
            <w:rPr>
              <w:rFonts w:eastAsia="黑体"/>
              <w:szCs w:val="32"/>
            </w:rPr>
            <w:t>1</w:t>
          </w:r>
          <w:r>
            <w:tab/>
          </w:r>
          <w:r>
            <w:fldChar w:fldCharType="begin"/>
          </w:r>
          <w:r>
            <w:instrText xml:space="preserve"> PAGEREF _Toc1576 \h </w:instrText>
          </w:r>
          <w:r>
            <w:fldChar w:fldCharType="separate"/>
          </w:r>
          <w:r>
            <w:t>14</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_Toc23360 </w:instrText>
          </w:r>
          <w:r>
            <w:fldChar w:fldCharType="separate"/>
          </w:r>
          <w:r>
            <w:rPr>
              <w:bCs/>
            </w:rPr>
            <w:t>区红十字会2020年部门</w:t>
          </w:r>
          <w:r>
            <w:rPr>
              <w:bCs/>
              <w:lang w:val="zh-CN"/>
            </w:rPr>
            <w:t>整体支出绩效评价报告</w:t>
          </w:r>
          <w:r>
            <w:tab/>
          </w:r>
          <w:r>
            <w:fldChar w:fldCharType="begin"/>
          </w:r>
          <w:r>
            <w:instrText xml:space="preserve"> PAGEREF _Toc23360 \h </w:instrText>
          </w:r>
          <w:r>
            <w:fldChar w:fldCharType="separate"/>
          </w:r>
          <w:r>
            <w:t>14</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_Toc27186 </w:instrText>
          </w:r>
          <w:r>
            <w:fldChar w:fldCharType="separate"/>
          </w:r>
          <w:r>
            <w:rPr>
              <w:rFonts w:hAnsi="黑体" w:eastAsia="黑体"/>
              <w:szCs w:val="32"/>
            </w:rPr>
            <w:t>附件</w:t>
          </w:r>
          <w:r>
            <w:rPr>
              <w:rFonts w:hint="eastAsia" w:hAnsi="黑体" w:eastAsia="黑体"/>
              <w:szCs w:val="32"/>
              <w:lang w:eastAsia="zh-CN"/>
            </w:rPr>
            <w:t>：</w:t>
          </w:r>
          <w:r>
            <w:rPr>
              <w:rFonts w:hAnsi="黑体" w:eastAsia="黑体"/>
              <w:szCs w:val="32"/>
            </w:rPr>
            <w:t>2</w:t>
          </w:r>
          <w:r>
            <w:tab/>
          </w:r>
          <w:r>
            <w:fldChar w:fldCharType="begin"/>
          </w:r>
          <w:r>
            <w:instrText xml:space="preserve"> PAGEREF _Toc27186 \h </w:instrText>
          </w:r>
          <w:r>
            <w:fldChar w:fldCharType="separate"/>
          </w:r>
          <w:r>
            <w:t>18</w:t>
          </w:r>
          <w:r>
            <w:fldChar w:fldCharType="end"/>
          </w:r>
          <w:r>
            <w:fldChar w:fldCharType="end"/>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rPr>
              <w:b/>
            </w:rPr>
            <w:fldChar w:fldCharType="begin"/>
          </w:r>
          <w:r>
            <w:rPr>
              <w:b/>
            </w:rPr>
            <w:instrText xml:space="preserve"> HYPERLINK \l _Toc9369 </w:instrText>
          </w:r>
          <w:r>
            <w:rPr>
              <w:b/>
            </w:rPr>
            <w:fldChar w:fldCharType="separate"/>
          </w:r>
          <w:r>
            <w:rPr>
              <w:rFonts w:hAnsi="黑体" w:eastAsia="黑体"/>
              <w:b/>
              <w:bCs/>
              <w:szCs w:val="32"/>
            </w:rPr>
            <w:t>区红十字会2020年百万培训项目支出绩效评价报告</w:t>
          </w:r>
          <w:r>
            <w:rPr>
              <w:b/>
            </w:rPr>
            <w:tab/>
          </w:r>
          <w:r>
            <w:rPr>
              <w:b/>
            </w:rPr>
            <w:fldChar w:fldCharType="begin"/>
          </w:r>
          <w:r>
            <w:rPr>
              <w:b/>
            </w:rPr>
            <w:instrText xml:space="preserve"> PAGEREF _Toc9369 \h </w:instrText>
          </w:r>
          <w:r>
            <w:rPr>
              <w:b/>
            </w:rPr>
            <w:fldChar w:fldCharType="separate"/>
          </w:r>
          <w:r>
            <w:rPr>
              <w:b/>
            </w:rPr>
            <w:t>18</w:t>
          </w:r>
          <w:r>
            <w:rPr>
              <w:b/>
            </w:rPr>
            <w:fldChar w:fldCharType="end"/>
          </w:r>
          <w:r>
            <w:rPr>
              <w:b/>
            </w:rP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_Toc18911 </w:instrText>
          </w:r>
          <w:r>
            <w:fldChar w:fldCharType="separate"/>
          </w:r>
          <w:r>
            <w:rPr>
              <w:rFonts w:hAnsi="黑体" w:eastAsia="黑体"/>
              <w:kern w:val="0"/>
              <w:szCs w:val="32"/>
              <w:shd w:val="clear" w:color="auto" w:fill="FFFFFF"/>
            </w:rPr>
            <w:t>一、评价工作开展及项目情况</w:t>
          </w:r>
          <w:r>
            <w:tab/>
          </w:r>
          <w:r>
            <w:fldChar w:fldCharType="begin"/>
          </w:r>
          <w:r>
            <w:instrText xml:space="preserve"> PAGEREF _Toc18911 \h </w:instrText>
          </w:r>
          <w:r>
            <w:fldChar w:fldCharType="separate"/>
          </w:r>
          <w:r>
            <w:t>18</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_Toc32270 </w:instrText>
          </w:r>
          <w:r>
            <w:fldChar w:fldCharType="separate"/>
          </w:r>
          <w:r>
            <w:rPr>
              <w:rFonts w:hAnsi="黑体" w:eastAsia="黑体"/>
              <w:kern w:val="0"/>
              <w:szCs w:val="32"/>
              <w:shd w:val="clear" w:color="auto" w:fill="FFFFFF"/>
            </w:rPr>
            <w:t>二、评价结论及绩效分析</w:t>
          </w:r>
          <w:r>
            <w:tab/>
          </w:r>
          <w:r>
            <w:fldChar w:fldCharType="begin"/>
          </w:r>
          <w:r>
            <w:instrText xml:space="preserve"> PAGEREF _Toc32270 \h </w:instrText>
          </w:r>
          <w:r>
            <w:fldChar w:fldCharType="separate"/>
          </w:r>
          <w:r>
            <w:t>18</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_Toc20777 </w:instrText>
          </w:r>
          <w:r>
            <w:fldChar w:fldCharType="separate"/>
          </w:r>
          <w:r>
            <w:rPr>
              <w:rFonts w:hAnsi="黑体" w:eastAsia="黑体"/>
              <w:kern w:val="0"/>
              <w:szCs w:val="32"/>
              <w:shd w:val="clear" w:color="auto" w:fill="FFFFFF"/>
            </w:rPr>
            <w:t>三、存在主要问题</w:t>
          </w:r>
          <w:r>
            <w:tab/>
          </w:r>
          <w:r>
            <w:fldChar w:fldCharType="begin"/>
          </w:r>
          <w:r>
            <w:instrText xml:space="preserve"> PAGEREF _Toc20777 \h </w:instrText>
          </w:r>
          <w:r>
            <w:fldChar w:fldCharType="separate"/>
          </w:r>
          <w:r>
            <w:t>19</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_Toc13780 </w:instrText>
          </w:r>
          <w:r>
            <w:fldChar w:fldCharType="separate"/>
          </w:r>
          <w:r>
            <w:rPr>
              <w:rFonts w:hAnsi="黑体" w:eastAsia="黑体"/>
              <w:kern w:val="0"/>
              <w:szCs w:val="32"/>
              <w:shd w:val="clear" w:color="auto" w:fill="FFFFFF"/>
            </w:rPr>
            <w:t>四、</w:t>
          </w:r>
          <w:r>
            <w:rPr>
              <w:rFonts w:eastAsia="黑体"/>
              <w:kern w:val="0"/>
              <w:szCs w:val="32"/>
              <w:shd w:val="clear" w:color="auto" w:fill="FFFFFF"/>
            </w:rPr>
            <w:t> </w:t>
          </w:r>
          <w:r>
            <w:rPr>
              <w:rFonts w:hAnsi="黑体" w:eastAsia="黑体"/>
              <w:kern w:val="0"/>
              <w:szCs w:val="32"/>
              <w:shd w:val="clear" w:color="auto" w:fill="FFFFFF"/>
            </w:rPr>
            <w:t>相关措施建议</w:t>
          </w:r>
          <w:r>
            <w:tab/>
          </w:r>
          <w:r>
            <w:fldChar w:fldCharType="begin"/>
          </w:r>
          <w:r>
            <w:instrText xml:space="preserve"> PAGEREF _Toc13780 \h </w:instrText>
          </w:r>
          <w:r>
            <w:fldChar w:fldCharType="separate"/>
          </w:r>
          <w:r>
            <w:t>19</w:t>
          </w:r>
          <w:r>
            <w:fldChar w:fldCharType="end"/>
          </w:r>
          <w:r>
            <w:fldChar w:fldCharType="end"/>
          </w:r>
        </w:p>
        <w:p>
          <w:pPr>
            <w:pStyle w:val="26"/>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rPr>
              <w:b/>
            </w:rPr>
          </w:pPr>
          <w:r>
            <w:rPr>
              <w:b/>
            </w:rPr>
            <w:fldChar w:fldCharType="begin"/>
          </w:r>
          <w:r>
            <w:rPr>
              <w:b/>
            </w:rPr>
            <w:instrText xml:space="preserve"> HYPERLINK \l _Toc9999 </w:instrText>
          </w:r>
          <w:r>
            <w:rPr>
              <w:b/>
            </w:rPr>
            <w:fldChar w:fldCharType="separate"/>
          </w:r>
          <w:r>
            <w:rPr>
              <w:rFonts w:hint="eastAsia" w:ascii="黑体" w:hAnsi="黑体" w:eastAsia="黑体"/>
              <w:b/>
              <w:szCs w:val="44"/>
            </w:rPr>
            <w:t>第</w:t>
          </w:r>
          <w:r>
            <w:rPr>
              <w:rFonts w:hint="eastAsia" w:ascii="黑体" w:hAnsi="黑体" w:eastAsia="黑体"/>
              <w:b/>
            </w:rPr>
            <w:t>五部分</w:t>
          </w:r>
          <w:r>
            <w:rPr>
              <w:rFonts w:ascii="黑体" w:hAnsi="黑体" w:eastAsia="黑体"/>
              <w:b/>
            </w:rPr>
            <w:t xml:space="preserve"> </w:t>
          </w:r>
          <w:r>
            <w:rPr>
              <w:rFonts w:hint="eastAsia" w:ascii="黑体" w:hAnsi="黑体" w:eastAsia="黑体"/>
              <w:b/>
            </w:rPr>
            <w:t>附表</w:t>
          </w:r>
          <w:r>
            <w:rPr>
              <w:b/>
            </w:rPr>
            <w:tab/>
          </w:r>
          <w:r>
            <w:rPr>
              <w:b/>
            </w:rPr>
            <w:fldChar w:fldCharType="begin"/>
          </w:r>
          <w:r>
            <w:rPr>
              <w:b/>
            </w:rPr>
            <w:instrText xml:space="preserve"> PAGEREF _Toc9999 \h </w:instrText>
          </w:r>
          <w:r>
            <w:rPr>
              <w:b/>
            </w:rPr>
            <w:fldChar w:fldCharType="separate"/>
          </w:r>
          <w:r>
            <w:rPr>
              <w:b/>
            </w:rPr>
            <w:t>20</w:t>
          </w:r>
          <w:r>
            <w:rPr>
              <w:b/>
            </w:rPr>
            <w:fldChar w:fldCharType="end"/>
          </w:r>
          <w:r>
            <w:rPr>
              <w:b/>
            </w:rP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_Toc2591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_Toc2591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_Toc16220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_Toc16220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_Toc15436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_Toc15436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_Toc1972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_Toc1972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_Toc22085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_Toc22085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_Toc12770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_Toc12770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_Toc31757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_Toc31757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_Toc11707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_Toc11707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_Toc12945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_Toc12945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_Toc14111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_Toc14111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_Toc3641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_Toc3641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_Toc16591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_Toc16591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_Toc3790 </w:instrText>
          </w:r>
          <w:r>
            <w:fldChar w:fldCharType="separate"/>
          </w:r>
          <w:r>
            <w:rPr>
              <w:rFonts w:hint="eastAsia" w:ascii="仿宋" w:hAnsi="仿宋" w:eastAsia="仿宋"/>
              <w:bCs w:val="0"/>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_Toc3790 \h </w:instrText>
          </w:r>
          <w:r>
            <w:fldChar w:fldCharType="separate"/>
          </w:r>
          <w:r>
            <w:t>20</w:t>
          </w:r>
          <w:r>
            <w:fldChar w:fldCharType="end"/>
          </w:r>
          <w:r>
            <w:fldChar w:fldCharType="end"/>
          </w:r>
        </w:p>
        <w:p>
          <w:pPr>
            <w:pStyle w:val="27"/>
            <w:keepNext w:val="0"/>
            <w:keepLines w:val="0"/>
            <w:pageBreakBefore w:val="0"/>
            <w:tabs>
              <w:tab w:val="right" w:leader="dot" w:pos="8844"/>
            </w:tabs>
            <w:kinsoku/>
            <w:wordWrap/>
            <w:overflowPunct/>
            <w:topLinePunct w:val="0"/>
            <w:autoSpaceDE/>
            <w:autoSpaceDN/>
            <w:bidi w:val="0"/>
            <w:adjustRightInd/>
            <w:snapToGrid/>
            <w:spacing w:line="0" w:lineRule="atLeast"/>
            <w:textAlignment w:val="auto"/>
          </w:pPr>
          <w:r>
            <w:fldChar w:fldCharType="begin"/>
          </w:r>
          <w:r>
            <w:instrText xml:space="preserve"> HYPERLINK \l _Toc2874 </w:instrText>
          </w:r>
          <w:r>
            <w:fldChar w:fldCharType="separate"/>
          </w:r>
          <w:r>
            <w:rPr>
              <w:rFonts w:hint="eastAsia" w:ascii="仿宋" w:hAnsi="仿宋" w:eastAsia="仿宋"/>
              <w:lang w:eastAsia="zh-CN"/>
            </w:rPr>
            <w:t>十四、</w:t>
          </w:r>
          <w:r>
            <w:rPr>
              <w:rFonts w:hint="eastAsia" w:ascii="仿宋" w:hAnsi="仿宋" w:eastAsia="仿宋"/>
            </w:rPr>
            <w:t>国</w:t>
          </w:r>
          <w:r>
            <w:rPr>
              <w:rFonts w:hint="eastAsia" w:ascii="仿宋" w:hAnsi="仿宋" w:eastAsia="仿宋"/>
              <w:bCs w:val="0"/>
            </w:rPr>
            <w:t>有资本经营预算财政拨款支出决算表</w:t>
          </w:r>
          <w:r>
            <w:tab/>
          </w:r>
          <w:r>
            <w:fldChar w:fldCharType="begin"/>
          </w:r>
          <w:r>
            <w:instrText xml:space="preserve"> PAGEREF _Toc2874 \h </w:instrText>
          </w:r>
          <w:r>
            <w:fldChar w:fldCharType="separate"/>
          </w:r>
          <w:r>
            <w:t>20</w:t>
          </w:r>
          <w:r>
            <w:fldChar w:fldCharType="end"/>
          </w:r>
          <w:r>
            <w:fldChar w:fldCharType="end"/>
          </w:r>
        </w:p>
        <w:p>
          <w:pPr>
            <w:keepNext w:val="0"/>
            <w:keepLines w:val="0"/>
            <w:pageBreakBefore w:val="0"/>
            <w:kinsoku/>
            <w:wordWrap/>
            <w:overflowPunct/>
            <w:topLinePunct w:val="0"/>
            <w:autoSpaceDE/>
            <w:autoSpaceDN/>
            <w:bidi w:val="0"/>
            <w:adjustRightInd/>
            <w:snapToGrid/>
            <w:spacing w:line="0" w:lineRule="atLeast"/>
            <w:textAlignment w:val="auto"/>
          </w:pPr>
          <w:r>
            <w:rPr>
              <w:b/>
            </w:rPr>
            <w:fldChar w:fldCharType="end"/>
          </w:r>
        </w:p>
      </w:sdtContent>
    </w:sdt>
    <w:p>
      <w:pPr>
        <w:pStyle w:val="4"/>
        <w:spacing w:before="0" w:after="0" w:line="576" w:lineRule="exact"/>
        <w:jc w:val="center"/>
        <w:outlineLvl w:val="9"/>
        <w:rPr>
          <w:rFonts w:hAnsi="黑体" w:eastAsia="黑体"/>
          <w:b w:val="0"/>
        </w:rPr>
        <w:sectPr>
          <w:footerReference r:id="rId4" w:type="default"/>
          <w:pgSz w:w="11906" w:h="16838"/>
          <w:pgMar w:top="2098" w:right="1474" w:bottom="1985" w:left="1588" w:header="851" w:footer="1531" w:gutter="0"/>
          <w:pgNumType w:start="1"/>
          <w:cols w:space="425" w:num="1"/>
          <w:docGrid w:type="linesAndChars" w:linePitch="312" w:charSpace="0"/>
        </w:sectPr>
      </w:pPr>
    </w:p>
    <w:p/>
    <w:p>
      <w:pPr>
        <w:pStyle w:val="4"/>
        <w:spacing w:before="0" w:after="0" w:line="576" w:lineRule="exact"/>
        <w:jc w:val="center"/>
        <w:outlineLvl w:val="9"/>
        <w:rPr>
          <w:rFonts w:hAnsi="黑体" w:eastAsia="黑体"/>
          <w:b w:val="0"/>
        </w:rPr>
      </w:pPr>
    </w:p>
    <w:p>
      <w:pPr>
        <w:pStyle w:val="4"/>
        <w:spacing w:before="0" w:after="0" w:line="576" w:lineRule="exact"/>
        <w:jc w:val="center"/>
        <w:rPr>
          <w:rStyle w:val="19"/>
          <w:rFonts w:eastAsia="黑体"/>
          <w:b/>
          <w:bCs w:val="0"/>
        </w:rPr>
      </w:pPr>
      <w:bookmarkStart w:id="1" w:name="_Toc2547"/>
      <w:r>
        <w:rPr>
          <w:rFonts w:hAnsi="黑体" w:eastAsia="黑体"/>
          <w:b w:val="0"/>
        </w:rPr>
        <w:t>第一部分</w:t>
      </w:r>
      <w:r>
        <w:rPr>
          <w:rFonts w:eastAsia="黑体"/>
          <w:b w:val="0"/>
        </w:rPr>
        <w:t xml:space="preserve"> </w:t>
      </w:r>
      <w:r>
        <w:rPr>
          <w:rStyle w:val="19"/>
          <w:rFonts w:hAnsi="黑体" w:eastAsia="黑体"/>
          <w:b w:val="0"/>
          <w:bCs w:val="0"/>
        </w:rPr>
        <w:t>部门概况</w:t>
      </w:r>
      <w:bookmarkEnd w:id="1"/>
    </w:p>
    <w:p>
      <w:pPr>
        <w:widowControl/>
        <w:spacing w:line="576" w:lineRule="exact"/>
        <w:ind w:firstLine="640" w:firstLineChars="200"/>
        <w:jc w:val="center"/>
        <w:rPr>
          <w:rFonts w:eastAsia="黑体"/>
          <w:color w:val="000000"/>
          <w:sz w:val="32"/>
          <w:szCs w:val="32"/>
        </w:rPr>
      </w:pPr>
    </w:p>
    <w:p>
      <w:pPr>
        <w:pStyle w:val="5"/>
        <w:spacing w:before="0" w:after="0" w:line="576" w:lineRule="exact"/>
        <w:ind w:firstLine="640" w:firstLineChars="200"/>
        <w:rPr>
          <w:rFonts w:ascii="Times New Roman" w:hAnsi="Times New Roman" w:eastAsia="黑体"/>
          <w:color w:val="333333"/>
        </w:rPr>
      </w:pPr>
      <w:bookmarkStart w:id="2" w:name="_Toc13154"/>
      <w:bookmarkStart w:id="3" w:name="_Toc15377197"/>
      <w:bookmarkStart w:id="4" w:name="_Toc15396600"/>
      <w:r>
        <w:rPr>
          <w:rFonts w:ascii="Times New Roman" w:hAnsi="黑体" w:eastAsia="黑体"/>
          <w:b w:val="0"/>
          <w:color w:val="000000"/>
        </w:rPr>
        <w:t>一、基</w:t>
      </w:r>
      <w:r>
        <w:rPr>
          <w:rStyle w:val="20"/>
          <w:rFonts w:ascii="Times New Roman" w:hAnsi="黑体" w:eastAsia="黑体"/>
          <w:b w:val="0"/>
          <w:bCs w:val="0"/>
        </w:rPr>
        <w:t>本职能及主要工作</w:t>
      </w:r>
      <w:bookmarkEnd w:id="2"/>
      <w:bookmarkEnd w:id="3"/>
      <w:bookmarkEnd w:id="4"/>
    </w:p>
    <w:p>
      <w:pPr>
        <w:widowControl/>
        <w:shd w:val="clear" w:color="auto" w:fill="FFFFFF"/>
        <w:spacing w:line="576" w:lineRule="exact"/>
        <w:ind w:firstLine="640" w:firstLineChars="200"/>
        <w:rPr>
          <w:rFonts w:eastAsia="仿宋"/>
          <w:bCs/>
          <w:color w:val="000000"/>
          <w:sz w:val="32"/>
          <w:szCs w:val="32"/>
        </w:rPr>
      </w:pPr>
      <w:r>
        <w:rPr>
          <w:rFonts w:eastAsia="仿宋_GB2312"/>
          <w:color w:val="333333"/>
          <w:kern w:val="0"/>
          <w:sz w:val="32"/>
          <w:szCs w:val="32"/>
          <w:shd w:val="clear" w:color="auto" w:fill="FFFFFF"/>
        </w:rPr>
        <w:t>（一）主要职能。一是传播国际红十字会运动和国际人道主义法，宣传、执行《中华人民共和国红十字</w:t>
      </w:r>
      <w:r>
        <w:rPr>
          <w:rFonts w:hint="eastAsia" w:eastAsia="仿宋_GB2312"/>
          <w:color w:val="333333"/>
          <w:kern w:val="0"/>
          <w:sz w:val="32"/>
          <w:szCs w:val="32"/>
          <w:shd w:val="clear" w:color="auto" w:fill="FFFFFF"/>
          <w:lang w:val="en-US" w:eastAsia="zh-CN"/>
        </w:rPr>
        <w:t>会</w:t>
      </w:r>
      <w:r>
        <w:rPr>
          <w:rFonts w:eastAsia="仿宋_GB2312"/>
          <w:color w:val="333333"/>
          <w:kern w:val="0"/>
          <w:sz w:val="32"/>
          <w:szCs w:val="32"/>
          <w:shd w:val="clear" w:color="auto" w:fill="FFFFFF"/>
        </w:rPr>
        <w:t>法》和《四川省实施&lt;中华人民共和国红十字</w:t>
      </w:r>
      <w:r>
        <w:rPr>
          <w:rFonts w:hint="eastAsia" w:eastAsia="仿宋_GB2312"/>
          <w:color w:val="333333"/>
          <w:kern w:val="0"/>
          <w:sz w:val="32"/>
          <w:szCs w:val="32"/>
          <w:shd w:val="clear" w:color="auto" w:fill="FFFFFF"/>
          <w:lang w:val="en-US" w:eastAsia="zh-CN"/>
        </w:rPr>
        <w:t>会</w:t>
      </w:r>
      <w:r>
        <w:rPr>
          <w:rFonts w:eastAsia="仿宋_GB2312"/>
          <w:color w:val="333333"/>
          <w:kern w:val="0"/>
          <w:sz w:val="32"/>
          <w:szCs w:val="32"/>
          <w:shd w:val="clear" w:color="auto" w:fill="FFFFFF"/>
        </w:rPr>
        <w:t>法&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p>
    <w:p>
      <w:pPr>
        <w:spacing w:line="576" w:lineRule="exact"/>
        <w:ind w:firstLine="640" w:firstLineChars="200"/>
        <w:rPr>
          <w:rFonts w:eastAsia="仿宋"/>
          <w:bCs/>
          <w:color w:val="000000"/>
          <w:sz w:val="32"/>
          <w:szCs w:val="32"/>
        </w:rPr>
      </w:pPr>
      <w:bookmarkStart w:id="5" w:name="_Toc15377199"/>
      <w:bookmarkStart w:id="6" w:name="_Toc15378446"/>
      <w:r>
        <w:rPr>
          <w:rFonts w:hAnsi="仿宋" w:eastAsia="仿宋"/>
          <w:bCs/>
          <w:color w:val="000000"/>
          <w:sz w:val="32"/>
          <w:szCs w:val="32"/>
        </w:rPr>
        <w:t>（二）</w:t>
      </w:r>
      <w:r>
        <w:rPr>
          <w:rFonts w:eastAsia="仿宋"/>
          <w:bCs/>
          <w:color w:val="000000"/>
          <w:sz w:val="32"/>
          <w:szCs w:val="32"/>
        </w:rPr>
        <w:t>2020</w:t>
      </w:r>
      <w:r>
        <w:rPr>
          <w:rFonts w:hAnsi="仿宋" w:eastAsia="仿宋"/>
          <w:bCs/>
          <w:color w:val="000000"/>
          <w:sz w:val="32"/>
          <w:szCs w:val="32"/>
        </w:rPr>
        <w:t>年重点工作完成情况</w:t>
      </w:r>
      <w:bookmarkEnd w:id="5"/>
      <w:bookmarkEnd w:id="6"/>
    </w:p>
    <w:p>
      <w:pPr>
        <w:spacing w:line="576" w:lineRule="exact"/>
        <w:ind w:firstLine="640" w:firstLineChars="200"/>
        <w:rPr>
          <w:rFonts w:eastAsia="仿宋_GB2312"/>
          <w:sz w:val="32"/>
          <w:szCs w:val="32"/>
        </w:rPr>
      </w:pPr>
      <w:r>
        <w:rPr>
          <w:rFonts w:eastAsia="仿宋_GB2312"/>
          <w:sz w:val="32"/>
          <w:szCs w:val="32"/>
        </w:rPr>
        <w:t>2020年在市红十字会的正确指导下，在区委、区政府的坚强领导下，昭化红会切实发挥党和政府人道领域助手作用，以“三救三献、志愿服务、应急救护”工作为主线，</w:t>
      </w:r>
      <w:r>
        <w:rPr>
          <w:rFonts w:hAnsi="仿宋_GB2312" w:eastAsia="仿宋_GB2312"/>
          <w:color w:val="000000"/>
          <w:sz w:val="32"/>
          <w:szCs w:val="32"/>
        </w:rPr>
        <w:t>以关注民生，服务弱势群体为己任，</w:t>
      </w:r>
      <w:r>
        <w:rPr>
          <w:rFonts w:hAnsi="仿宋_GB2312" w:eastAsia="仿宋_GB2312"/>
          <w:kern w:val="1"/>
          <w:sz w:val="32"/>
        </w:rPr>
        <w:t>以脱贫奔康为总揽，</w:t>
      </w:r>
      <w:r>
        <w:rPr>
          <w:rFonts w:hAnsi="仿宋_GB2312" w:eastAsia="仿宋_GB2312"/>
          <w:color w:val="000000"/>
          <w:sz w:val="32"/>
          <w:szCs w:val="32"/>
        </w:rPr>
        <w:t>精诚团结，</w:t>
      </w:r>
      <w:r>
        <w:rPr>
          <w:rFonts w:eastAsia="仿宋_GB2312"/>
          <w:sz w:val="32"/>
          <w:szCs w:val="32"/>
        </w:rPr>
        <w:t>较好的完成了全年工作。一是全力以赴开展脱贫攻坚工作，热心服务贫困群众；二是着力抓好公益性初级卫生救护培训民生工程，完成市、区下达的3400人目标任务；三是扎实开展人道救助工作，募集资金323.22万元，救助大病患者、贫困学生及慰问困难群众等229人。</w:t>
      </w:r>
    </w:p>
    <w:p>
      <w:pPr>
        <w:pStyle w:val="5"/>
        <w:spacing w:before="0" w:after="0" w:line="576" w:lineRule="exact"/>
        <w:ind w:firstLine="640" w:firstLineChars="200"/>
        <w:rPr>
          <w:rStyle w:val="20"/>
          <w:rFonts w:ascii="Times New Roman" w:hAnsi="Times New Roman"/>
          <w:b w:val="0"/>
          <w:bCs w:val="0"/>
        </w:rPr>
      </w:pPr>
      <w:bookmarkStart w:id="7" w:name="_Toc15396601"/>
      <w:bookmarkStart w:id="8" w:name="_Toc15377200"/>
      <w:bookmarkStart w:id="9" w:name="_Toc14910"/>
      <w:r>
        <w:rPr>
          <w:rFonts w:ascii="Times New Roman" w:hAnsi="Times New Roman" w:eastAsia="黑体"/>
          <w:b w:val="0"/>
          <w:color w:val="000000"/>
        </w:rPr>
        <w:t>二、</w:t>
      </w:r>
      <w:r>
        <w:rPr>
          <w:rFonts w:ascii="Times New Roman" w:hAnsi="黑体" w:eastAsia="黑体"/>
          <w:b w:val="0"/>
          <w:color w:val="000000"/>
        </w:rPr>
        <w:t>机</w:t>
      </w:r>
      <w:r>
        <w:rPr>
          <w:rStyle w:val="20"/>
          <w:rFonts w:ascii="Times New Roman" w:hAnsi="黑体" w:eastAsia="黑体"/>
          <w:b w:val="0"/>
          <w:bCs w:val="0"/>
        </w:rPr>
        <w:t>构设置</w:t>
      </w:r>
      <w:bookmarkEnd w:id="7"/>
      <w:bookmarkEnd w:id="8"/>
      <w:bookmarkEnd w:id="9"/>
    </w:p>
    <w:p>
      <w:pPr>
        <w:widowControl/>
        <w:shd w:val="clear" w:color="auto" w:fill="FFFFFF"/>
        <w:spacing w:line="576" w:lineRule="exact"/>
        <w:ind w:firstLine="640" w:firstLineChars="200"/>
        <w:rPr>
          <w:rFonts w:eastAsia="仿宋_GB2312"/>
          <w:color w:val="333333"/>
          <w:sz w:val="32"/>
          <w:szCs w:val="32"/>
        </w:rPr>
      </w:pPr>
      <w:bookmarkStart w:id="10" w:name="_Toc15377204"/>
      <w:bookmarkStart w:id="11" w:name="_Toc15396602"/>
      <w:r>
        <w:rPr>
          <w:rFonts w:eastAsia="仿宋_GB2312"/>
          <w:color w:val="333333"/>
          <w:kern w:val="0"/>
          <w:sz w:val="32"/>
          <w:szCs w:val="32"/>
          <w:shd w:val="clear" w:color="auto" w:fill="FFFFFF"/>
        </w:rPr>
        <w:t>根据广元市机构编制委员会《关于完善&lt;全市红十字会机构编制&gt;的通知》（广编发〔2008〕76号）和元编委发〔2008〕20号文件精神，我会于2008年12月完善机构编制。从2010年起纳入参公管理和一级财政全额预算单位，为区政府领导直接联系的依法独立从事人道主义工作的社会救助团体。设置2个职能股室，即办公室（含事业发展职能）、赈济部。核定事业编制5名,2016年减编1人后现有编制4人，在编人员4人，其中:公务员1人，参公人员2人，工勤人员1人。</w:t>
      </w:r>
    </w:p>
    <w:p>
      <w:pPr>
        <w:pStyle w:val="13"/>
        <w:widowControl/>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下属二级单位0个，其中行政单位0个，参照公务员法管理的事业单位0个，其他事业单位0个。</w:t>
      </w:r>
      <w:r>
        <w:rPr>
          <w:rFonts w:eastAsia="仿宋_GB2312"/>
          <w:color w:val="333333"/>
          <w:sz w:val="32"/>
          <w:szCs w:val="32"/>
          <w:shd w:val="clear" w:color="auto" w:fill="FFFFFF"/>
        </w:rPr>
        <w:t>纳入2020年度部门决算编制范围的二级预算单位没有。</w:t>
      </w:r>
    </w:p>
    <w:p>
      <w:pPr>
        <w:widowControl/>
        <w:shd w:val="clear" w:color="auto" w:fill="FFFFFF"/>
        <w:spacing w:line="576" w:lineRule="exact"/>
        <w:ind w:firstLine="640" w:firstLineChars="200"/>
        <w:rPr>
          <w:rFonts w:eastAsia="仿宋_GB2312"/>
          <w:color w:val="333333"/>
          <w:sz w:val="32"/>
          <w:szCs w:val="32"/>
        </w:rPr>
      </w:pPr>
    </w:p>
    <w:p>
      <w:pPr>
        <w:widowControl/>
        <w:shd w:val="clear" w:color="auto" w:fill="FFFFFF"/>
        <w:spacing w:line="576" w:lineRule="exact"/>
        <w:ind w:firstLine="640" w:firstLineChars="200"/>
        <w:rPr>
          <w:rFonts w:eastAsia="仿宋_GB2312"/>
          <w:color w:val="333333"/>
          <w:sz w:val="32"/>
          <w:szCs w:val="32"/>
        </w:rPr>
      </w:pPr>
    </w:p>
    <w:p>
      <w:pPr>
        <w:pStyle w:val="4"/>
        <w:spacing w:before="0" w:after="0" w:line="576" w:lineRule="exact"/>
        <w:jc w:val="center"/>
        <w:rPr>
          <w:rStyle w:val="19"/>
          <w:rFonts w:eastAsia="黑体"/>
          <w:b w:val="0"/>
          <w:bCs w:val="0"/>
        </w:rPr>
      </w:pPr>
      <w:bookmarkStart w:id="12" w:name="_Toc13189"/>
      <w:bookmarkStart w:id="13" w:name="_Toc8736"/>
      <w:r>
        <w:rPr>
          <w:rFonts w:hAnsi="黑体" w:eastAsia="黑体"/>
          <w:b w:val="0"/>
          <w:color w:val="000000"/>
        </w:rPr>
        <w:t>第二部分</w:t>
      </w:r>
      <w:r>
        <w:rPr>
          <w:rFonts w:eastAsia="黑体"/>
          <w:color w:val="000000"/>
        </w:rPr>
        <w:t xml:space="preserve"> </w:t>
      </w:r>
      <w:r>
        <w:rPr>
          <w:rStyle w:val="19"/>
          <w:rFonts w:eastAsia="黑体"/>
          <w:b w:val="0"/>
          <w:bCs w:val="0"/>
        </w:rPr>
        <w:t>2020</w:t>
      </w:r>
      <w:r>
        <w:rPr>
          <w:rStyle w:val="19"/>
          <w:rFonts w:hAnsi="黑体" w:eastAsia="黑体"/>
          <w:b w:val="0"/>
          <w:bCs w:val="0"/>
        </w:rPr>
        <w:t>年度部门决算情况说明</w:t>
      </w:r>
      <w:bookmarkEnd w:id="10"/>
      <w:bookmarkEnd w:id="11"/>
      <w:bookmarkEnd w:id="12"/>
      <w:bookmarkEnd w:id="13"/>
    </w:p>
    <w:p>
      <w:pPr>
        <w:spacing w:line="576" w:lineRule="exact"/>
        <w:ind w:firstLine="420" w:firstLineChars="200"/>
      </w:pPr>
    </w:p>
    <w:p>
      <w:pPr>
        <w:pStyle w:val="21"/>
        <w:numPr>
          <w:ilvl w:val="0"/>
          <w:numId w:val="1"/>
        </w:numPr>
        <w:spacing w:line="576" w:lineRule="exact"/>
        <w:ind w:left="0" w:firstLine="640"/>
        <w:outlineLvl w:val="1"/>
        <w:rPr>
          <w:rStyle w:val="20"/>
          <w:rFonts w:ascii="Times New Roman" w:hAnsi="Times New Roman" w:eastAsia="黑体"/>
          <w:b w:val="0"/>
        </w:rPr>
      </w:pPr>
      <w:bookmarkStart w:id="14" w:name="_Toc15396603"/>
      <w:bookmarkStart w:id="15" w:name="_Toc15377205"/>
      <w:bookmarkStart w:id="16" w:name="_Toc9034"/>
      <w:r>
        <w:rPr>
          <w:rFonts w:hAnsi="黑体" w:eastAsia="黑体"/>
          <w:color w:val="000000"/>
          <w:sz w:val="32"/>
          <w:szCs w:val="32"/>
        </w:rPr>
        <w:t>收</w:t>
      </w:r>
      <w:r>
        <w:rPr>
          <w:rStyle w:val="20"/>
          <w:rFonts w:ascii="Times New Roman" w:hAnsi="黑体" w:eastAsia="黑体"/>
          <w:b w:val="0"/>
        </w:rPr>
        <w:t>入支出决算总体情况说明</w:t>
      </w:r>
      <w:bookmarkEnd w:id="14"/>
      <w:bookmarkEnd w:id="15"/>
      <w:bookmarkEnd w:id="16"/>
    </w:p>
    <w:p>
      <w:pPr>
        <w:snapToGrid w:val="0"/>
        <w:spacing w:line="576" w:lineRule="exact"/>
        <w:ind w:firstLine="640" w:firstLineChars="200"/>
        <w:rPr>
          <w:rFonts w:eastAsia="仿宋_GB2312"/>
          <w:color w:val="000000"/>
          <w:sz w:val="32"/>
          <w:szCs w:val="32"/>
        </w:rPr>
      </w:pPr>
      <w:r>
        <w:rPr>
          <w:rFonts w:eastAsia="仿宋"/>
          <w:color w:val="000000"/>
          <w:sz w:val="32"/>
          <w:szCs w:val="32"/>
        </w:rPr>
        <w:t>2020</w:t>
      </w:r>
      <w:r>
        <w:rPr>
          <w:rFonts w:hAnsi="仿宋" w:eastAsia="仿宋"/>
          <w:color w:val="000000"/>
          <w:sz w:val="32"/>
          <w:szCs w:val="32"/>
        </w:rPr>
        <w:t>年度收入总计</w:t>
      </w:r>
      <w:r>
        <w:rPr>
          <w:rFonts w:eastAsia="仿宋"/>
          <w:color w:val="000000"/>
          <w:sz w:val="32"/>
          <w:szCs w:val="32"/>
        </w:rPr>
        <w:t>70.76</w:t>
      </w:r>
      <w:r>
        <w:rPr>
          <w:rFonts w:hAnsi="仿宋" w:eastAsia="仿宋"/>
          <w:color w:val="000000"/>
          <w:sz w:val="32"/>
          <w:szCs w:val="32"/>
        </w:rPr>
        <w:t>万元。与</w:t>
      </w:r>
      <w:r>
        <w:rPr>
          <w:rFonts w:eastAsia="仿宋"/>
          <w:color w:val="000000"/>
          <w:sz w:val="32"/>
          <w:szCs w:val="32"/>
        </w:rPr>
        <w:t>2019</w:t>
      </w:r>
      <w:r>
        <w:rPr>
          <w:rFonts w:hAnsi="仿宋" w:eastAsia="仿宋"/>
          <w:color w:val="000000"/>
          <w:sz w:val="32"/>
          <w:szCs w:val="32"/>
        </w:rPr>
        <w:t>年</w:t>
      </w:r>
      <w:r>
        <w:rPr>
          <w:rFonts w:eastAsia="仿宋"/>
          <w:color w:val="000000"/>
          <w:sz w:val="32"/>
          <w:szCs w:val="32"/>
        </w:rPr>
        <w:t>65.75</w:t>
      </w:r>
      <w:r>
        <w:rPr>
          <w:rFonts w:hAnsi="仿宋" w:eastAsia="仿宋"/>
          <w:color w:val="000000"/>
          <w:sz w:val="32"/>
          <w:szCs w:val="32"/>
        </w:rPr>
        <w:t>万元相比，增长</w:t>
      </w:r>
      <w:r>
        <w:rPr>
          <w:rFonts w:eastAsia="仿宋"/>
          <w:color w:val="000000"/>
          <w:sz w:val="32"/>
          <w:szCs w:val="32"/>
        </w:rPr>
        <w:t>5.01</w:t>
      </w:r>
      <w:r>
        <w:rPr>
          <w:rFonts w:hAnsi="仿宋" w:eastAsia="仿宋"/>
          <w:color w:val="000000"/>
          <w:sz w:val="32"/>
          <w:szCs w:val="32"/>
        </w:rPr>
        <w:t>万元，增加</w:t>
      </w:r>
      <w:r>
        <w:rPr>
          <w:rFonts w:eastAsia="仿宋"/>
          <w:color w:val="000000"/>
          <w:sz w:val="32"/>
          <w:szCs w:val="32"/>
        </w:rPr>
        <w:t>7.62%</w:t>
      </w:r>
      <w:r>
        <w:rPr>
          <w:rFonts w:hAnsi="仿宋" w:eastAsia="仿宋"/>
          <w:color w:val="000000"/>
          <w:sz w:val="32"/>
          <w:szCs w:val="32"/>
        </w:rPr>
        <w:t>。增加的主要原因是</w:t>
      </w:r>
      <w:r>
        <w:rPr>
          <w:rFonts w:eastAsia="仿宋_GB2312"/>
          <w:sz w:val="32"/>
          <w:szCs w:val="32"/>
        </w:rPr>
        <w:t>调资及机关运行经费提高。2020年支出总计69.47万元，与2019年67.54万元相比，增加1.93万元，增加的原因是2020年追加目标奖、调资及机关运行经费提高。</w:t>
      </w:r>
    </w:p>
    <w:p>
      <w:pPr>
        <w:pStyle w:val="21"/>
        <w:numPr>
          <w:ilvl w:val="0"/>
          <w:numId w:val="1"/>
        </w:numPr>
        <w:spacing w:line="576" w:lineRule="exact"/>
        <w:ind w:left="0" w:firstLine="640"/>
        <w:outlineLvl w:val="1"/>
        <w:rPr>
          <w:rStyle w:val="20"/>
          <w:rFonts w:ascii="Times New Roman" w:hAnsi="Times New Roman" w:eastAsia="黑体"/>
          <w:b w:val="0"/>
        </w:rPr>
      </w:pPr>
      <w:bookmarkStart w:id="17" w:name="_Toc15377206"/>
      <w:bookmarkStart w:id="18" w:name="_Toc10958"/>
      <w:bookmarkStart w:id="19" w:name="_Toc15396604"/>
      <w:r>
        <w:rPr>
          <w:rFonts w:hAnsi="黑体" w:eastAsia="黑体"/>
          <w:color w:val="000000"/>
          <w:sz w:val="32"/>
          <w:szCs w:val="32"/>
        </w:rPr>
        <w:t>收</w:t>
      </w:r>
      <w:r>
        <w:rPr>
          <w:rStyle w:val="20"/>
          <w:rFonts w:ascii="Times New Roman" w:hAnsi="黑体" w:eastAsia="黑体"/>
          <w:b w:val="0"/>
        </w:rPr>
        <w:t>入决算情况说明</w:t>
      </w:r>
      <w:bookmarkEnd w:id="17"/>
      <w:bookmarkEnd w:id="18"/>
      <w:bookmarkEnd w:id="19"/>
    </w:p>
    <w:p>
      <w:pPr>
        <w:snapToGrid w:val="0"/>
        <w:spacing w:line="576" w:lineRule="exact"/>
        <w:ind w:firstLine="640" w:firstLineChars="200"/>
        <w:rPr>
          <w:rFonts w:eastAsia="仿宋_GB2312"/>
          <w:sz w:val="32"/>
          <w:szCs w:val="32"/>
        </w:rPr>
      </w:pPr>
      <w:bookmarkStart w:id="20" w:name="_Toc20420"/>
      <w:bookmarkStart w:id="21" w:name="_Toc29197"/>
      <w:bookmarkStart w:id="22" w:name="_Toc22944"/>
      <w:bookmarkStart w:id="23" w:name="_Toc32280"/>
      <w:bookmarkStart w:id="24" w:name="_Toc31424"/>
      <w:r>
        <w:rPr>
          <w:rFonts w:eastAsia="仿宋_GB2312"/>
          <w:sz w:val="32"/>
          <w:szCs w:val="32"/>
        </w:rPr>
        <w:t>2020年本年收入合计70.76万元，其中：一般公共预算财政拨款收入70.76万元，占100%；政府性基金预算财政拨款收入0万元；上级补助收入0万元；事业收入0万元；经营收入0万元；附属单位上缴收入0万元；其他收入0万元。</w:t>
      </w:r>
      <w:bookmarkEnd w:id="20"/>
      <w:bookmarkEnd w:id="21"/>
      <w:bookmarkEnd w:id="22"/>
      <w:bookmarkEnd w:id="23"/>
      <w:bookmarkEnd w:id="24"/>
    </w:p>
    <w:p>
      <w:pPr>
        <w:pStyle w:val="21"/>
        <w:spacing w:line="576" w:lineRule="exact"/>
        <w:ind w:firstLine="640"/>
        <w:outlineLvl w:val="1"/>
        <w:rPr>
          <w:rStyle w:val="20"/>
          <w:rFonts w:ascii="Times New Roman" w:hAnsi="Times New Roman" w:eastAsia="黑体"/>
          <w:b w:val="0"/>
        </w:rPr>
      </w:pPr>
      <w:bookmarkStart w:id="25" w:name="_Toc4838"/>
      <w:bookmarkStart w:id="26" w:name="_Toc15377207"/>
      <w:bookmarkStart w:id="27" w:name="_Toc15396605"/>
      <w:r>
        <w:rPr>
          <w:rFonts w:hAnsi="黑体" w:eastAsia="黑体"/>
          <w:color w:val="000000"/>
          <w:sz w:val="32"/>
          <w:szCs w:val="32"/>
        </w:rPr>
        <w:t>三、支</w:t>
      </w:r>
      <w:r>
        <w:rPr>
          <w:rStyle w:val="20"/>
          <w:rFonts w:ascii="Times New Roman" w:hAnsi="黑体" w:eastAsia="黑体"/>
          <w:b w:val="0"/>
        </w:rPr>
        <w:t>出决算情况说明</w:t>
      </w:r>
      <w:bookmarkEnd w:id="25"/>
      <w:bookmarkEnd w:id="26"/>
      <w:bookmarkEnd w:id="27"/>
    </w:p>
    <w:p>
      <w:pPr>
        <w:snapToGrid w:val="0"/>
        <w:spacing w:line="576" w:lineRule="exact"/>
        <w:ind w:firstLine="640" w:firstLineChars="200"/>
        <w:rPr>
          <w:rFonts w:eastAsia="仿宋_GB2312"/>
          <w:sz w:val="32"/>
          <w:szCs w:val="32"/>
        </w:rPr>
      </w:pPr>
      <w:bookmarkStart w:id="28" w:name="_Toc24116"/>
      <w:bookmarkStart w:id="29" w:name="_Toc25940"/>
      <w:bookmarkStart w:id="30" w:name="_Toc25432"/>
      <w:bookmarkStart w:id="31" w:name="_Toc27054"/>
      <w:bookmarkStart w:id="32" w:name="_Toc6694"/>
      <w:r>
        <w:rPr>
          <w:rFonts w:eastAsia="仿宋_GB2312"/>
          <w:sz w:val="32"/>
          <w:szCs w:val="32"/>
        </w:rPr>
        <w:t>2020年本年支出合计69.47万元，其中：基本支出60.76万元，占87%；项目支出8.71万元，占13%；上缴上级支出0万元；经营支出0万元；对附属单位补助支出0万元。</w:t>
      </w:r>
      <w:bookmarkEnd w:id="28"/>
      <w:bookmarkEnd w:id="29"/>
      <w:bookmarkEnd w:id="30"/>
      <w:bookmarkEnd w:id="31"/>
      <w:bookmarkEnd w:id="32"/>
    </w:p>
    <w:p>
      <w:pPr>
        <w:spacing w:line="576" w:lineRule="exact"/>
        <w:ind w:firstLine="640" w:firstLineChars="200"/>
        <w:outlineLvl w:val="1"/>
        <w:rPr>
          <w:rStyle w:val="20"/>
          <w:rFonts w:ascii="Times New Roman" w:hAnsi="Times New Roman" w:eastAsia="黑体"/>
          <w:b w:val="0"/>
        </w:rPr>
      </w:pPr>
      <w:bookmarkStart w:id="33" w:name="_Toc15377208"/>
      <w:bookmarkStart w:id="34" w:name="_Toc15396606"/>
      <w:bookmarkStart w:id="35" w:name="_Toc16293"/>
      <w:r>
        <w:rPr>
          <w:rFonts w:hAnsi="黑体" w:eastAsia="黑体"/>
          <w:color w:val="000000"/>
          <w:sz w:val="32"/>
          <w:szCs w:val="32"/>
        </w:rPr>
        <w:t>四、财</w:t>
      </w:r>
      <w:r>
        <w:rPr>
          <w:rStyle w:val="20"/>
          <w:rFonts w:ascii="Times New Roman" w:hAnsi="黑体" w:eastAsia="黑体"/>
          <w:b w:val="0"/>
        </w:rPr>
        <w:t>政拨款收入支出决算总体情况说明</w:t>
      </w:r>
      <w:bookmarkEnd w:id="33"/>
      <w:bookmarkEnd w:id="34"/>
      <w:bookmarkEnd w:id="35"/>
    </w:p>
    <w:p>
      <w:pPr>
        <w:snapToGrid w:val="0"/>
        <w:spacing w:line="576" w:lineRule="exact"/>
        <w:ind w:firstLine="640" w:firstLineChars="200"/>
        <w:rPr>
          <w:rFonts w:eastAsia="仿宋"/>
          <w:b/>
          <w:color w:val="00B050"/>
          <w:sz w:val="32"/>
          <w:szCs w:val="32"/>
        </w:rPr>
      </w:pPr>
      <w:r>
        <w:rPr>
          <w:rFonts w:eastAsia="仿宋"/>
          <w:color w:val="000000"/>
          <w:sz w:val="32"/>
          <w:szCs w:val="32"/>
        </w:rPr>
        <w:t>2020</w:t>
      </w:r>
      <w:r>
        <w:rPr>
          <w:rFonts w:hAnsi="仿宋" w:eastAsia="仿宋"/>
          <w:color w:val="000000"/>
          <w:sz w:val="32"/>
          <w:szCs w:val="32"/>
        </w:rPr>
        <w:t>年度财政拨款收入总计</w:t>
      </w:r>
      <w:r>
        <w:rPr>
          <w:rFonts w:eastAsia="仿宋"/>
          <w:color w:val="000000"/>
          <w:sz w:val="32"/>
          <w:szCs w:val="32"/>
        </w:rPr>
        <w:t>70.76</w:t>
      </w:r>
      <w:r>
        <w:rPr>
          <w:rFonts w:hAnsi="仿宋" w:eastAsia="仿宋"/>
          <w:color w:val="000000"/>
          <w:sz w:val="32"/>
          <w:szCs w:val="32"/>
        </w:rPr>
        <w:t>万元。与</w:t>
      </w:r>
      <w:r>
        <w:rPr>
          <w:rFonts w:eastAsia="仿宋"/>
          <w:color w:val="000000"/>
          <w:sz w:val="32"/>
          <w:szCs w:val="32"/>
        </w:rPr>
        <w:t>2019</w:t>
      </w:r>
      <w:r>
        <w:rPr>
          <w:rFonts w:hAnsi="仿宋" w:eastAsia="仿宋"/>
          <w:color w:val="000000"/>
          <w:sz w:val="32"/>
          <w:szCs w:val="32"/>
        </w:rPr>
        <w:t>年</w:t>
      </w:r>
      <w:r>
        <w:rPr>
          <w:rFonts w:eastAsia="仿宋"/>
          <w:color w:val="000000"/>
          <w:sz w:val="32"/>
          <w:szCs w:val="32"/>
        </w:rPr>
        <w:t>65.75</w:t>
      </w:r>
      <w:r>
        <w:rPr>
          <w:rFonts w:hAnsi="仿宋" w:eastAsia="仿宋"/>
          <w:color w:val="000000"/>
          <w:sz w:val="32"/>
          <w:szCs w:val="32"/>
        </w:rPr>
        <w:t>万元相比，增长</w:t>
      </w:r>
      <w:r>
        <w:rPr>
          <w:rFonts w:eastAsia="仿宋"/>
          <w:color w:val="000000"/>
          <w:sz w:val="32"/>
          <w:szCs w:val="32"/>
        </w:rPr>
        <w:t>5.01</w:t>
      </w:r>
      <w:r>
        <w:rPr>
          <w:rFonts w:hAnsi="仿宋" w:eastAsia="仿宋"/>
          <w:color w:val="000000"/>
          <w:sz w:val="32"/>
          <w:szCs w:val="32"/>
        </w:rPr>
        <w:t>万元，增加</w:t>
      </w:r>
      <w:r>
        <w:rPr>
          <w:rFonts w:eastAsia="仿宋"/>
          <w:color w:val="000000"/>
          <w:sz w:val="32"/>
          <w:szCs w:val="32"/>
        </w:rPr>
        <w:t>7.62%</w:t>
      </w:r>
      <w:r>
        <w:rPr>
          <w:rFonts w:hAnsi="仿宋" w:eastAsia="仿宋"/>
          <w:color w:val="000000"/>
          <w:sz w:val="32"/>
          <w:szCs w:val="32"/>
        </w:rPr>
        <w:t>。增加的主要原因是</w:t>
      </w:r>
      <w:r>
        <w:rPr>
          <w:rFonts w:eastAsia="仿宋_GB2312"/>
          <w:sz w:val="32"/>
          <w:szCs w:val="32"/>
        </w:rPr>
        <w:t>调资及机关运行经费提高。2020年</w:t>
      </w:r>
      <w:r>
        <w:rPr>
          <w:rFonts w:hAnsi="仿宋" w:eastAsia="仿宋"/>
          <w:color w:val="000000"/>
          <w:sz w:val="32"/>
          <w:szCs w:val="32"/>
        </w:rPr>
        <w:t>财政拨款</w:t>
      </w:r>
      <w:r>
        <w:rPr>
          <w:rFonts w:eastAsia="仿宋_GB2312"/>
          <w:sz w:val="32"/>
          <w:szCs w:val="32"/>
        </w:rPr>
        <w:t>支出总计69.47万元，与2019年67.54万元相比，增加1.93万元，增加的原因是2020年追加目标奖、调资及机关运行经费提高。</w:t>
      </w:r>
    </w:p>
    <w:p>
      <w:pPr>
        <w:spacing w:line="576" w:lineRule="exact"/>
        <w:ind w:firstLine="640" w:firstLineChars="200"/>
        <w:outlineLvl w:val="1"/>
        <w:rPr>
          <w:rStyle w:val="20"/>
          <w:rFonts w:ascii="Times New Roman" w:hAnsi="Times New Roman" w:eastAsia="黑体"/>
          <w:b w:val="0"/>
        </w:rPr>
      </w:pPr>
      <w:bookmarkStart w:id="36" w:name="_Toc15396607"/>
      <w:bookmarkStart w:id="37" w:name="_Toc15377209"/>
      <w:bookmarkStart w:id="38" w:name="_Toc10119"/>
      <w:r>
        <w:rPr>
          <w:rFonts w:hAnsi="黑体" w:eastAsia="黑体"/>
          <w:color w:val="000000"/>
          <w:sz w:val="32"/>
          <w:szCs w:val="32"/>
        </w:rPr>
        <w:t>五、</w:t>
      </w:r>
      <w:r>
        <w:rPr>
          <w:rFonts w:hAnsi="黑体" w:eastAsia="黑体"/>
          <w:b/>
          <w:color w:val="000000"/>
          <w:sz w:val="32"/>
          <w:szCs w:val="32"/>
        </w:rPr>
        <w:t>一</w:t>
      </w:r>
      <w:r>
        <w:rPr>
          <w:rStyle w:val="20"/>
          <w:rFonts w:ascii="Times New Roman" w:hAnsi="黑体" w:eastAsia="黑体"/>
          <w:b w:val="0"/>
        </w:rPr>
        <w:t>般公共预算财政拨款支出决算情况说明</w:t>
      </w:r>
      <w:bookmarkEnd w:id="36"/>
      <w:bookmarkEnd w:id="37"/>
      <w:bookmarkEnd w:id="38"/>
    </w:p>
    <w:p>
      <w:pPr>
        <w:spacing w:line="576" w:lineRule="exact"/>
        <w:ind w:firstLine="640" w:firstLineChars="200"/>
        <w:outlineLvl w:val="2"/>
        <w:rPr>
          <w:rFonts w:eastAsia="仿宋"/>
          <w:b/>
          <w:color w:val="000000"/>
          <w:sz w:val="32"/>
          <w:szCs w:val="32"/>
        </w:rPr>
      </w:pPr>
      <w:bookmarkStart w:id="39" w:name="_Toc15377210"/>
      <w:r>
        <w:rPr>
          <w:rFonts w:hAnsi="仿宋" w:eastAsia="仿宋"/>
          <w:b/>
          <w:color w:val="000000"/>
          <w:sz w:val="32"/>
          <w:szCs w:val="32"/>
        </w:rPr>
        <w:t>（一）一般公共预算财政拨款支出决算总体情况</w:t>
      </w:r>
      <w:bookmarkEnd w:id="39"/>
    </w:p>
    <w:p>
      <w:pPr>
        <w:snapToGrid w:val="0"/>
        <w:spacing w:line="576"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2020年一般公共预算财政拨款支出</w:t>
      </w:r>
      <w:r>
        <w:rPr>
          <w:rFonts w:hint="eastAsia" w:asciiTheme="minorEastAsia" w:hAnsiTheme="minorEastAsia" w:eastAsiaTheme="minorEastAsia" w:cstheme="minorEastAsia"/>
          <w:sz w:val="32"/>
          <w:szCs w:val="32"/>
        </w:rPr>
        <w:t>69.47</w:t>
      </w:r>
      <w:r>
        <w:rPr>
          <w:rFonts w:hint="eastAsia" w:asciiTheme="minorEastAsia" w:hAnsiTheme="minorEastAsia" w:eastAsiaTheme="minorEastAsia" w:cstheme="minorEastAsia"/>
          <w:color w:val="000000"/>
          <w:sz w:val="32"/>
          <w:szCs w:val="32"/>
        </w:rPr>
        <w:t>万元，占本年支出合计的100%。与2019年</w:t>
      </w:r>
      <w:r>
        <w:rPr>
          <w:rFonts w:hint="eastAsia" w:asciiTheme="minorEastAsia" w:hAnsiTheme="minorEastAsia" w:eastAsiaTheme="minorEastAsia" w:cstheme="minorEastAsia"/>
          <w:sz w:val="32"/>
          <w:szCs w:val="32"/>
        </w:rPr>
        <w:t>67.54万</w:t>
      </w:r>
      <w:r>
        <w:rPr>
          <w:rFonts w:hint="eastAsia" w:asciiTheme="minorEastAsia" w:hAnsiTheme="minorEastAsia" w:eastAsiaTheme="minorEastAsia" w:cstheme="minorEastAsia"/>
          <w:color w:val="000000"/>
          <w:sz w:val="32"/>
          <w:szCs w:val="32"/>
        </w:rPr>
        <w:t>相比，一般公共预算财政拨款增加</w:t>
      </w:r>
      <w:r>
        <w:rPr>
          <w:rFonts w:hint="eastAsia" w:asciiTheme="minorEastAsia" w:hAnsiTheme="minorEastAsia" w:eastAsiaTheme="minorEastAsia" w:cstheme="minorEastAsia"/>
          <w:sz w:val="32"/>
          <w:szCs w:val="32"/>
        </w:rPr>
        <w:t>增加1.93</w:t>
      </w:r>
      <w:r>
        <w:rPr>
          <w:rFonts w:hint="eastAsia" w:asciiTheme="minorEastAsia" w:hAnsiTheme="minorEastAsia" w:eastAsiaTheme="minorEastAsia" w:cstheme="minorEastAsia"/>
          <w:color w:val="000000"/>
          <w:sz w:val="32"/>
          <w:szCs w:val="32"/>
        </w:rPr>
        <w:t>万元，</w:t>
      </w:r>
      <w:r>
        <w:rPr>
          <w:rFonts w:hint="eastAsia" w:asciiTheme="minorEastAsia" w:hAnsiTheme="minorEastAsia" w:eastAsiaTheme="minorEastAsia" w:cstheme="minorEastAsia"/>
          <w:sz w:val="32"/>
          <w:szCs w:val="32"/>
        </w:rPr>
        <w:t>增加的原因是2020年追加目标奖、调资及机关运行经费提高。</w:t>
      </w:r>
    </w:p>
    <w:p>
      <w:pPr>
        <w:spacing w:line="576" w:lineRule="exact"/>
        <w:ind w:firstLine="640" w:firstLineChars="200"/>
        <w:outlineLvl w:val="2"/>
        <w:rPr>
          <w:rFonts w:eastAsia="仿宋"/>
          <w:b/>
          <w:color w:val="000000"/>
          <w:sz w:val="32"/>
          <w:szCs w:val="32"/>
        </w:rPr>
      </w:pPr>
      <w:bookmarkStart w:id="40" w:name="_Toc15377211"/>
      <w:r>
        <w:rPr>
          <w:rFonts w:hAnsi="仿宋" w:eastAsia="仿宋"/>
          <w:b/>
          <w:color w:val="000000"/>
          <w:sz w:val="32"/>
          <w:szCs w:val="32"/>
        </w:rPr>
        <w:t>（二）一般公共预算财政拨款支出决算结构情况</w:t>
      </w:r>
      <w:bookmarkEnd w:id="40"/>
    </w:p>
    <w:p>
      <w:pPr>
        <w:shd w:val="clear" w:color="auto" w:fill="FFFFFF"/>
        <w:spacing w:line="576" w:lineRule="exact"/>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2020年一般公共预算财政拨款支出69.47万元，主要用于以下方面:</w:t>
      </w:r>
      <w:r>
        <w:rPr>
          <w:rFonts w:hint="eastAsia" w:asciiTheme="minorEastAsia" w:hAnsiTheme="minorEastAsia" w:eastAsiaTheme="minorEastAsia" w:cstheme="minorEastAsia"/>
          <w:b/>
          <w:bCs/>
          <w:color w:val="333333"/>
          <w:kern w:val="0"/>
          <w:sz w:val="32"/>
          <w:szCs w:val="32"/>
          <w:shd w:val="clear" w:color="auto" w:fill="FFFFFF"/>
        </w:rPr>
        <w:t>红十字事业支出 58.77万元，占85%，社会保障和就业（类）</w:t>
      </w:r>
      <w:r>
        <w:rPr>
          <w:rFonts w:hint="eastAsia" w:asciiTheme="minorEastAsia" w:hAnsiTheme="minorEastAsia" w:eastAsiaTheme="minorEastAsia" w:cstheme="minorEastAsia"/>
          <w:color w:val="333333"/>
          <w:kern w:val="0"/>
          <w:sz w:val="32"/>
          <w:szCs w:val="32"/>
          <w:shd w:val="clear" w:color="auto" w:fill="FFFFFF"/>
        </w:rPr>
        <w:t>支出4.15万元，占6%；医疗卫生支出2.18万元，占3%；住房保障支出4.37万元，占6%。</w:t>
      </w:r>
    </w:p>
    <w:p>
      <w:pPr>
        <w:spacing w:line="576" w:lineRule="exact"/>
        <w:ind w:firstLine="640" w:firstLineChars="200"/>
        <w:outlineLvl w:val="2"/>
        <w:rPr>
          <w:rFonts w:eastAsia="仿宋"/>
          <w:b/>
          <w:color w:val="000000"/>
          <w:sz w:val="32"/>
          <w:szCs w:val="32"/>
        </w:rPr>
      </w:pPr>
      <w:bookmarkStart w:id="41" w:name="_Toc15377212"/>
      <w:r>
        <w:rPr>
          <w:rFonts w:hAnsi="仿宋" w:eastAsia="仿宋"/>
          <w:b/>
          <w:color w:val="000000"/>
          <w:sz w:val="32"/>
          <w:szCs w:val="32"/>
        </w:rPr>
        <w:t>（三）一般公共预算财政拨款支出决算具体情况</w:t>
      </w:r>
      <w:bookmarkEnd w:id="41"/>
    </w:p>
    <w:p>
      <w:pPr>
        <w:spacing w:line="576" w:lineRule="exact"/>
        <w:ind w:firstLine="640" w:firstLineChars="200"/>
        <w:outlineLvl w:val="2"/>
        <w:rPr>
          <w:rFonts w:eastAsia="仿宋"/>
          <w:color w:val="FF0000"/>
          <w:sz w:val="32"/>
          <w:szCs w:val="32"/>
        </w:rPr>
      </w:pPr>
      <w:bookmarkStart w:id="42" w:name="_Toc15377444"/>
      <w:bookmarkStart w:id="43" w:name="_Toc15378460"/>
      <w:bookmarkStart w:id="44" w:name="_Toc15377213"/>
      <w:r>
        <w:rPr>
          <w:rFonts w:eastAsia="仿宋"/>
          <w:b/>
          <w:color w:val="000000"/>
          <w:sz w:val="32"/>
          <w:szCs w:val="32"/>
        </w:rPr>
        <w:t>2020</w:t>
      </w:r>
      <w:r>
        <w:rPr>
          <w:rFonts w:hAnsi="仿宋" w:eastAsia="仿宋"/>
          <w:b/>
          <w:color w:val="000000"/>
          <w:sz w:val="32"/>
          <w:szCs w:val="32"/>
        </w:rPr>
        <w:t>年一般公共预算支出决算数为</w:t>
      </w:r>
      <w:r>
        <w:rPr>
          <w:rFonts w:eastAsia="仿宋"/>
          <w:b/>
          <w:color w:val="000000"/>
          <w:sz w:val="32"/>
          <w:szCs w:val="32"/>
        </w:rPr>
        <w:t>69.47</w:t>
      </w:r>
      <w:r>
        <w:rPr>
          <w:rFonts w:hAnsi="仿宋" w:eastAsia="仿宋"/>
          <w:b/>
          <w:color w:val="000000"/>
          <w:sz w:val="32"/>
          <w:szCs w:val="32"/>
        </w:rPr>
        <w:t>万元</w:t>
      </w:r>
      <w:r>
        <w:rPr>
          <w:rFonts w:hAnsi="仿宋" w:eastAsia="仿宋"/>
          <w:color w:val="000000"/>
          <w:sz w:val="32"/>
          <w:szCs w:val="32"/>
        </w:rPr>
        <w:t>，</w:t>
      </w:r>
      <w:r>
        <w:rPr>
          <w:rStyle w:val="16"/>
          <w:rFonts w:hAnsi="仿宋" w:eastAsia="仿宋"/>
          <w:bCs/>
          <w:color w:val="000000"/>
          <w:sz w:val="32"/>
          <w:szCs w:val="32"/>
        </w:rPr>
        <w:t>完成预算</w:t>
      </w:r>
      <w:r>
        <w:rPr>
          <w:rStyle w:val="16"/>
          <w:rFonts w:eastAsia="仿宋"/>
          <w:bCs/>
          <w:color w:val="000000"/>
          <w:sz w:val="32"/>
          <w:szCs w:val="32"/>
        </w:rPr>
        <w:t>98%</w:t>
      </w:r>
      <w:r>
        <w:rPr>
          <w:rStyle w:val="16"/>
          <w:rFonts w:hAnsi="仿宋" w:eastAsia="仿宋"/>
          <w:bCs/>
          <w:color w:val="000000"/>
          <w:sz w:val="32"/>
          <w:szCs w:val="32"/>
        </w:rPr>
        <w:t>。其中：</w:t>
      </w:r>
      <w:bookmarkEnd w:id="42"/>
      <w:bookmarkEnd w:id="43"/>
      <w:bookmarkEnd w:id="44"/>
    </w:p>
    <w:p>
      <w:pPr>
        <w:numPr>
          <w:ilvl w:val="0"/>
          <w:numId w:val="2"/>
        </w:num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b/>
          <w:bCs/>
          <w:color w:val="333333"/>
          <w:kern w:val="0"/>
          <w:sz w:val="32"/>
          <w:szCs w:val="32"/>
          <w:shd w:val="clear" w:color="auto" w:fill="FFFFFF"/>
        </w:rPr>
        <w:t>社会保障和就业支出（类）红十字事业（款）行政运行（项）:</w:t>
      </w:r>
      <w:r>
        <w:rPr>
          <w:rFonts w:eastAsia="仿宋_GB2312"/>
          <w:color w:val="333333"/>
          <w:kern w:val="0"/>
          <w:sz w:val="32"/>
          <w:szCs w:val="32"/>
          <w:shd w:val="clear" w:color="auto" w:fill="FFFFFF"/>
        </w:rPr>
        <w:t> 支出决算为42.37万元，完成预算100%。</w:t>
      </w:r>
    </w:p>
    <w:p>
      <w:pPr>
        <w:numPr>
          <w:ilvl w:val="0"/>
          <w:numId w:val="2"/>
        </w:num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b/>
          <w:bCs/>
          <w:color w:val="333333"/>
          <w:kern w:val="0"/>
          <w:sz w:val="32"/>
          <w:szCs w:val="32"/>
          <w:shd w:val="clear" w:color="auto" w:fill="FFFFFF"/>
        </w:rPr>
        <w:t>社会保障和就业支出（类）红十字事业（款）一般行下事务管理（项）：</w:t>
      </w:r>
      <w:r>
        <w:rPr>
          <w:rFonts w:eastAsia="仿宋_GB2312"/>
          <w:color w:val="333333"/>
          <w:kern w:val="0"/>
          <w:sz w:val="32"/>
          <w:szCs w:val="32"/>
          <w:shd w:val="clear" w:color="auto" w:fill="FFFFFF"/>
        </w:rPr>
        <w:t>支出决算为7.69万元，完成预算100%。</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3.社会保障和就业支出（类）行政事业单位离退休（款）机关事业单位基本养老保险缴费支出（项）:</w:t>
      </w:r>
      <w:r>
        <w:rPr>
          <w:rFonts w:eastAsia="仿宋_GB2312"/>
          <w:color w:val="333333"/>
          <w:kern w:val="0"/>
          <w:sz w:val="32"/>
          <w:szCs w:val="32"/>
          <w:shd w:val="clear" w:color="auto" w:fill="FFFFFF"/>
        </w:rPr>
        <w:t> 支出决算为4.15万元，完成预算100%。</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4. 社会保障和就业支出（类）红十字事业（款）其他红十字事业支出（项）：</w:t>
      </w:r>
      <w:r>
        <w:rPr>
          <w:rFonts w:eastAsia="仿宋_GB2312"/>
          <w:color w:val="333333"/>
          <w:kern w:val="0"/>
          <w:sz w:val="32"/>
          <w:szCs w:val="32"/>
          <w:shd w:val="clear" w:color="auto" w:fill="FFFFFF"/>
        </w:rPr>
        <w:t> 支出决算为8.71万元，完成预算87%,决算数小于预算数的主要原因是百万培训项目经费有结余。</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5.医疗卫生与计划生育支出（类）行政事业单位医疗（款）事业单位医疗（项）：</w:t>
      </w:r>
      <w:r>
        <w:rPr>
          <w:rFonts w:eastAsia="仿宋_GB2312"/>
          <w:color w:val="333333"/>
          <w:kern w:val="0"/>
          <w:sz w:val="32"/>
          <w:szCs w:val="32"/>
          <w:shd w:val="clear" w:color="auto" w:fill="FFFFFF"/>
        </w:rPr>
        <w:t>支出决算为2.18万元，完成预算100%。</w:t>
      </w:r>
    </w:p>
    <w:p>
      <w:pPr>
        <w:shd w:val="clear" w:color="auto" w:fill="FFFFFF"/>
        <w:spacing w:line="576" w:lineRule="exact"/>
        <w:ind w:firstLine="640" w:firstLineChars="200"/>
        <w:rPr>
          <w:rFonts w:eastAsia="仿宋"/>
          <w:b/>
          <w:color w:val="000000"/>
          <w:sz w:val="32"/>
          <w:szCs w:val="32"/>
        </w:rPr>
      </w:pPr>
      <w:r>
        <w:rPr>
          <w:rFonts w:eastAsia="仿宋_GB2312"/>
          <w:b/>
          <w:bCs/>
          <w:color w:val="333333"/>
          <w:kern w:val="0"/>
          <w:sz w:val="32"/>
          <w:szCs w:val="32"/>
          <w:shd w:val="clear" w:color="auto" w:fill="FFFFFF"/>
        </w:rPr>
        <w:t>6. 住房保障支出（类）住房改革支出（款）住房公积金（项）：</w:t>
      </w:r>
      <w:r>
        <w:rPr>
          <w:rFonts w:eastAsia="仿宋_GB2312"/>
          <w:color w:val="333333"/>
          <w:kern w:val="0"/>
          <w:sz w:val="32"/>
          <w:szCs w:val="32"/>
          <w:shd w:val="clear" w:color="auto" w:fill="FFFFFF"/>
        </w:rPr>
        <w:t>支出决算为4.37万元，完成预算100%。</w:t>
      </w:r>
    </w:p>
    <w:p>
      <w:pPr>
        <w:tabs>
          <w:tab w:val="right" w:pos="8306"/>
        </w:tabs>
        <w:spacing w:line="576" w:lineRule="exact"/>
        <w:ind w:firstLine="640" w:firstLineChars="200"/>
        <w:outlineLvl w:val="1"/>
        <w:rPr>
          <w:rStyle w:val="20"/>
          <w:rFonts w:ascii="Times New Roman" w:hAnsi="Times New Roman"/>
        </w:rPr>
      </w:pPr>
      <w:bookmarkStart w:id="45" w:name="_Toc15377214"/>
      <w:bookmarkStart w:id="46" w:name="_Toc15396608"/>
      <w:bookmarkStart w:id="47" w:name="_Toc3569"/>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20"/>
          <w:rFonts w:ascii="Times New Roman" w:hAnsi="黑体" w:eastAsia="黑体"/>
          <w:b w:val="0"/>
        </w:rPr>
        <w:t>般公共预算财政拨款基本支出决算情况说明</w:t>
      </w:r>
      <w:bookmarkEnd w:id="45"/>
      <w:bookmarkEnd w:id="46"/>
      <w:bookmarkEnd w:id="47"/>
    </w:p>
    <w:p>
      <w:pPr>
        <w:spacing w:line="576" w:lineRule="exact"/>
        <w:ind w:firstLine="640" w:firstLineChars="200"/>
        <w:rPr>
          <w:rFonts w:eastAsia="仿宋"/>
          <w:color w:val="000000"/>
          <w:sz w:val="32"/>
          <w:szCs w:val="32"/>
        </w:rPr>
      </w:pPr>
      <w:r>
        <w:rPr>
          <w:rFonts w:eastAsia="仿宋"/>
          <w:color w:val="000000"/>
          <w:sz w:val="32"/>
          <w:szCs w:val="32"/>
        </w:rPr>
        <w:t>2020</w:t>
      </w:r>
      <w:r>
        <w:rPr>
          <w:rFonts w:hAnsi="仿宋" w:eastAsia="仿宋"/>
          <w:color w:val="000000"/>
          <w:sz w:val="32"/>
          <w:szCs w:val="32"/>
        </w:rPr>
        <w:t>年一般公共预算财政拨款基本支出</w:t>
      </w:r>
      <w:r>
        <w:rPr>
          <w:rFonts w:eastAsia="仿宋"/>
          <w:color w:val="000000"/>
          <w:sz w:val="32"/>
          <w:szCs w:val="32"/>
        </w:rPr>
        <w:t>60.76</w:t>
      </w:r>
      <w:r>
        <w:rPr>
          <w:rFonts w:hAnsi="仿宋" w:eastAsia="仿宋"/>
          <w:color w:val="000000"/>
          <w:sz w:val="32"/>
          <w:szCs w:val="32"/>
        </w:rPr>
        <w:t>万元，其中：</w:t>
      </w:r>
    </w:p>
    <w:p>
      <w:pPr>
        <w:spacing w:line="576" w:lineRule="exact"/>
        <w:ind w:firstLine="640" w:firstLineChars="200"/>
        <w:rPr>
          <w:rFonts w:eastAsia="仿宋"/>
          <w:color w:val="000000"/>
          <w:sz w:val="32"/>
          <w:szCs w:val="32"/>
        </w:rPr>
      </w:pPr>
      <w:r>
        <w:rPr>
          <w:rFonts w:hAnsi="仿宋" w:eastAsia="仿宋"/>
          <w:color w:val="000000"/>
          <w:sz w:val="32"/>
          <w:szCs w:val="32"/>
        </w:rPr>
        <w:t>人员经费</w:t>
      </w:r>
      <w:r>
        <w:rPr>
          <w:rFonts w:eastAsia="仿宋"/>
          <w:color w:val="000000"/>
          <w:sz w:val="32"/>
          <w:szCs w:val="32"/>
        </w:rPr>
        <w:t>47.14</w:t>
      </w:r>
      <w:r>
        <w:rPr>
          <w:rFonts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firstLineChars="200"/>
        <w:rPr>
          <w:rFonts w:eastAsia="仿宋"/>
          <w:b/>
          <w:color w:val="FF0000"/>
          <w:sz w:val="32"/>
          <w:szCs w:val="32"/>
        </w:rPr>
      </w:pPr>
      <w:r>
        <w:rPr>
          <w:rFonts w:hAnsi="仿宋" w:eastAsia="仿宋"/>
          <w:color w:val="000000"/>
          <w:sz w:val="32"/>
          <w:szCs w:val="32"/>
        </w:rPr>
        <w:t>日常公用经费</w:t>
      </w:r>
      <w:r>
        <w:rPr>
          <w:rFonts w:eastAsia="仿宋"/>
          <w:color w:val="000000"/>
          <w:sz w:val="32"/>
          <w:szCs w:val="32"/>
        </w:rPr>
        <w:t>13.62</w:t>
      </w:r>
      <w:r>
        <w:rPr>
          <w:rFonts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firstLineChars="200"/>
        <w:outlineLvl w:val="1"/>
        <w:rPr>
          <w:rStyle w:val="20"/>
          <w:rFonts w:ascii="Times New Roman" w:hAnsi="Times New Roman" w:eastAsia="黑体"/>
          <w:b w:val="0"/>
        </w:rPr>
      </w:pPr>
      <w:bookmarkStart w:id="48" w:name="_Toc15396609"/>
      <w:bookmarkStart w:id="49" w:name="_Toc15377215"/>
      <w:bookmarkStart w:id="50" w:name="_Toc1838"/>
      <w:r>
        <w:rPr>
          <w:rFonts w:eastAsia="黑体"/>
          <w:color w:val="000000"/>
          <w:sz w:val="32"/>
          <w:szCs w:val="32"/>
        </w:rPr>
        <w:t>七、</w:t>
      </w:r>
      <w:r>
        <w:rPr>
          <w:rStyle w:val="20"/>
          <w:rFonts w:ascii="Times New Roman" w:hAnsi="Times New Roman" w:eastAsia="黑体"/>
        </w:rPr>
        <w:t>“</w:t>
      </w:r>
      <w:r>
        <w:rPr>
          <w:rStyle w:val="20"/>
          <w:rFonts w:ascii="Times New Roman" w:hAnsi="黑体" w:eastAsia="黑体"/>
          <w:b w:val="0"/>
        </w:rPr>
        <w:t>三公</w:t>
      </w:r>
      <w:r>
        <w:rPr>
          <w:rStyle w:val="20"/>
          <w:rFonts w:ascii="Times New Roman" w:hAnsi="Times New Roman" w:eastAsia="黑体"/>
          <w:b w:val="0"/>
        </w:rPr>
        <w:t>”</w:t>
      </w:r>
      <w:r>
        <w:rPr>
          <w:rStyle w:val="20"/>
          <w:rFonts w:ascii="Times New Roman" w:hAnsi="黑体" w:eastAsia="黑体"/>
          <w:b w:val="0"/>
        </w:rPr>
        <w:t>经费财政拨款支出决算情况说明</w:t>
      </w:r>
      <w:bookmarkEnd w:id="48"/>
      <w:bookmarkEnd w:id="49"/>
      <w:bookmarkEnd w:id="50"/>
    </w:p>
    <w:p>
      <w:pPr>
        <w:spacing w:line="576" w:lineRule="exact"/>
        <w:ind w:firstLine="640" w:firstLineChars="200"/>
        <w:outlineLvl w:val="2"/>
        <w:rPr>
          <w:rFonts w:eastAsia="仿宋"/>
          <w:b/>
          <w:color w:val="000000"/>
          <w:sz w:val="32"/>
          <w:szCs w:val="32"/>
        </w:rPr>
      </w:pPr>
      <w:bookmarkStart w:id="51" w:name="_Toc15377216"/>
      <w:r>
        <w:rPr>
          <w:rFonts w:hAnsi="仿宋" w:eastAsia="仿宋"/>
          <w:b/>
          <w:color w:val="000000"/>
          <w:sz w:val="32"/>
          <w:szCs w:val="32"/>
        </w:rPr>
        <w:t>（一）</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经费财政拨款支出决算总体情况说明</w:t>
      </w:r>
      <w:bookmarkEnd w:id="51"/>
    </w:p>
    <w:p>
      <w:pPr>
        <w:spacing w:line="576" w:lineRule="exact"/>
        <w:ind w:firstLine="640" w:firstLineChars="200"/>
        <w:rPr>
          <w:rFonts w:eastAsia="仿宋"/>
          <w:b/>
          <w:color w:val="FF0000"/>
          <w:sz w:val="32"/>
          <w:szCs w:val="32"/>
        </w:rPr>
      </w:pPr>
      <w:r>
        <w:rPr>
          <w:rFonts w:eastAsia="仿宋"/>
          <w:color w:val="000000"/>
          <w:sz w:val="32"/>
          <w:szCs w:val="32"/>
        </w:rPr>
        <w:t>2020</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经费财政拨款支出决算为</w:t>
      </w:r>
      <w:r>
        <w:rPr>
          <w:rFonts w:eastAsia="仿宋"/>
          <w:color w:val="000000"/>
          <w:sz w:val="32"/>
          <w:szCs w:val="32"/>
        </w:rPr>
        <w:t>0.44</w:t>
      </w:r>
      <w:r>
        <w:rPr>
          <w:rFonts w:hAnsi="仿宋" w:eastAsia="仿宋"/>
          <w:color w:val="000000"/>
          <w:sz w:val="32"/>
          <w:szCs w:val="32"/>
        </w:rPr>
        <w:t>万元，完成预算</w:t>
      </w:r>
      <w:r>
        <w:rPr>
          <w:rFonts w:eastAsia="仿宋"/>
          <w:color w:val="000000"/>
          <w:sz w:val="32"/>
          <w:szCs w:val="32"/>
        </w:rPr>
        <w:t>100%</w:t>
      </w:r>
      <w:r>
        <w:rPr>
          <w:rFonts w:hAnsi="仿宋" w:eastAsia="仿宋"/>
          <w:color w:val="000000"/>
          <w:sz w:val="32"/>
          <w:szCs w:val="32"/>
        </w:rPr>
        <w:t>，决算数与预算数持平的主要原因是本单位严格按照预算执行。</w:t>
      </w:r>
    </w:p>
    <w:p>
      <w:pPr>
        <w:spacing w:line="576" w:lineRule="exact"/>
        <w:ind w:firstLine="640" w:firstLineChars="200"/>
        <w:outlineLvl w:val="2"/>
        <w:rPr>
          <w:rFonts w:eastAsia="仿宋"/>
          <w:b/>
          <w:color w:val="000000"/>
          <w:sz w:val="32"/>
          <w:szCs w:val="32"/>
        </w:rPr>
      </w:pPr>
      <w:bookmarkStart w:id="52" w:name="_Toc15377217"/>
      <w:r>
        <w:rPr>
          <w:rFonts w:hAnsi="仿宋" w:eastAsia="仿宋"/>
          <w:b/>
          <w:color w:val="000000"/>
          <w:sz w:val="32"/>
          <w:szCs w:val="32"/>
        </w:rPr>
        <w:t>（二）</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经费财政拨款支出决算具体情况说明</w:t>
      </w:r>
      <w:bookmarkEnd w:id="52"/>
    </w:p>
    <w:p>
      <w:pPr>
        <w:spacing w:line="576" w:lineRule="exact"/>
        <w:ind w:firstLine="640" w:firstLineChars="200"/>
        <w:rPr>
          <w:rFonts w:eastAsia="仿宋"/>
          <w:color w:val="000000"/>
          <w:sz w:val="32"/>
          <w:szCs w:val="32"/>
        </w:rPr>
      </w:pPr>
      <w:r>
        <w:rPr>
          <w:rFonts w:eastAsia="仿宋"/>
          <w:color w:val="000000"/>
          <w:sz w:val="32"/>
          <w:szCs w:val="32"/>
        </w:rPr>
        <w:t>2020</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经费财政拨款支出决算中，因公出国（境）费支出决算</w:t>
      </w:r>
      <w:r>
        <w:rPr>
          <w:rFonts w:eastAsia="仿宋"/>
          <w:color w:val="000000"/>
          <w:sz w:val="32"/>
          <w:szCs w:val="32"/>
        </w:rPr>
        <w:t>0</w:t>
      </w:r>
      <w:r>
        <w:rPr>
          <w:rFonts w:hAnsi="仿宋" w:eastAsia="仿宋"/>
          <w:color w:val="000000"/>
          <w:sz w:val="32"/>
          <w:szCs w:val="32"/>
        </w:rPr>
        <w:t>万元</w:t>
      </w:r>
      <w:r>
        <w:rPr>
          <w:rFonts w:hint="eastAsia" w:hAnsi="仿宋" w:eastAsia="仿宋"/>
          <w:color w:val="000000"/>
          <w:sz w:val="32"/>
          <w:szCs w:val="32"/>
          <w:lang w:eastAsia="zh-CN"/>
        </w:rPr>
        <w:t>，与上年持平</w:t>
      </w:r>
      <w:r>
        <w:rPr>
          <w:rFonts w:hAnsi="仿宋" w:eastAsia="仿宋"/>
          <w:color w:val="000000"/>
          <w:sz w:val="32"/>
          <w:szCs w:val="32"/>
        </w:rPr>
        <w:t>；公务用车购置及运行维护费支出决算</w:t>
      </w:r>
      <w:r>
        <w:rPr>
          <w:rFonts w:eastAsia="仿宋"/>
          <w:color w:val="000000"/>
          <w:sz w:val="32"/>
          <w:szCs w:val="32"/>
        </w:rPr>
        <w:t>0</w:t>
      </w:r>
      <w:r>
        <w:rPr>
          <w:rFonts w:hAnsi="仿宋" w:eastAsia="仿宋"/>
          <w:color w:val="000000"/>
          <w:sz w:val="32"/>
          <w:szCs w:val="32"/>
        </w:rPr>
        <w:t>万元</w:t>
      </w:r>
      <w:r>
        <w:rPr>
          <w:rFonts w:hint="eastAsia" w:hAnsi="仿宋" w:eastAsia="仿宋"/>
          <w:color w:val="000000"/>
          <w:sz w:val="32"/>
          <w:szCs w:val="32"/>
          <w:lang w:eastAsia="zh-CN"/>
        </w:rPr>
        <w:t>，与上年持平</w:t>
      </w:r>
      <w:r>
        <w:rPr>
          <w:rFonts w:hAnsi="仿宋" w:eastAsia="仿宋"/>
          <w:color w:val="000000"/>
          <w:sz w:val="32"/>
          <w:szCs w:val="32"/>
        </w:rPr>
        <w:t>；公务接待费支出决算</w:t>
      </w:r>
      <w:r>
        <w:rPr>
          <w:rFonts w:eastAsia="仿宋"/>
          <w:color w:val="000000"/>
          <w:sz w:val="32"/>
          <w:szCs w:val="32"/>
        </w:rPr>
        <w:t>0.44</w:t>
      </w:r>
      <w:r>
        <w:rPr>
          <w:rFonts w:hAnsi="仿宋" w:eastAsia="仿宋"/>
          <w:color w:val="000000"/>
          <w:sz w:val="32"/>
          <w:szCs w:val="32"/>
        </w:rPr>
        <w:t>万元，占</w:t>
      </w:r>
      <w:r>
        <w:rPr>
          <w:rFonts w:eastAsia="仿宋"/>
          <w:color w:val="000000"/>
          <w:sz w:val="32"/>
          <w:szCs w:val="32"/>
        </w:rPr>
        <w:t>100%</w:t>
      </w:r>
      <w:r>
        <w:rPr>
          <w:rFonts w:hint="eastAsia" w:eastAsia="仿宋"/>
          <w:color w:val="000000"/>
          <w:sz w:val="32"/>
          <w:szCs w:val="32"/>
          <w:lang w:eastAsia="zh-CN"/>
        </w:rPr>
        <w:t>，</w:t>
      </w:r>
      <w:r>
        <w:rPr>
          <w:rFonts w:hint="eastAsia" w:hAnsi="仿宋" w:eastAsia="仿宋"/>
          <w:color w:val="000000"/>
          <w:sz w:val="32"/>
          <w:szCs w:val="32"/>
          <w:lang w:eastAsia="zh-CN"/>
        </w:rPr>
        <w:t>与上年持平。</w:t>
      </w:r>
      <w:r>
        <w:rPr>
          <w:rFonts w:hAnsi="仿宋" w:eastAsia="仿宋"/>
          <w:color w:val="000000"/>
          <w:sz w:val="32"/>
          <w:szCs w:val="32"/>
        </w:rPr>
        <w:t>具体情况如下：</w:t>
      </w:r>
    </w:p>
    <w:p>
      <w:pPr>
        <w:spacing w:line="600" w:lineRule="exact"/>
        <w:ind w:firstLine="640"/>
        <w:rPr>
          <w:rFonts w:eastAsia="仿宋_GB2312"/>
          <w:color w:val="000000"/>
          <w:sz w:val="32"/>
          <w:szCs w:val="32"/>
        </w:rPr>
      </w:pPr>
      <w:r>
        <w:rPr>
          <w:rFonts w:eastAsia="仿宋_GB2312"/>
          <w:b/>
          <w:color w:val="000000"/>
          <w:sz w:val="32"/>
          <w:szCs w:val="32"/>
        </w:rPr>
        <w:t>1.因公出国（境）经费支出0</w:t>
      </w:r>
      <w:r>
        <w:rPr>
          <w:rFonts w:eastAsia="仿宋_GB2312"/>
          <w:color w:val="000000"/>
          <w:sz w:val="32"/>
          <w:szCs w:val="32"/>
        </w:rPr>
        <w:t>万元</w:t>
      </w:r>
      <w:r>
        <w:rPr>
          <w:rStyle w:val="16"/>
          <w:rFonts w:hint="eastAsia" w:hAnsi="仿宋" w:eastAsia="仿宋"/>
          <w:b w:val="0"/>
          <w:bCs/>
          <w:color w:val="000000"/>
          <w:sz w:val="32"/>
          <w:szCs w:val="32"/>
          <w:lang w:eastAsia="zh-CN"/>
        </w:rPr>
        <w:t>，</w:t>
      </w:r>
      <w:r>
        <w:rPr>
          <w:rStyle w:val="16"/>
          <w:rFonts w:hint="eastAsia" w:ascii="仿宋" w:hAnsi="仿宋" w:eastAsia="仿宋"/>
          <w:b w:val="0"/>
          <w:bCs/>
          <w:color w:val="000000"/>
          <w:sz w:val="32"/>
          <w:szCs w:val="32"/>
          <w:lang w:eastAsia="zh-CN"/>
        </w:rPr>
        <w:t>年初未安排</w:t>
      </w:r>
      <w:r>
        <w:rPr>
          <w:rStyle w:val="16"/>
          <w:rFonts w:hint="eastAsia" w:ascii="仿宋" w:hAnsi="仿宋" w:eastAsia="仿宋"/>
          <w:b w:val="0"/>
          <w:bCs/>
          <w:color w:val="000000"/>
          <w:sz w:val="32"/>
          <w:szCs w:val="32"/>
        </w:rPr>
        <w:t>预算</w:t>
      </w:r>
      <w:r>
        <w:rPr>
          <w:rFonts w:hint="eastAsia" w:ascii="仿宋_GB2312" w:eastAsia="仿宋_GB2312"/>
          <w:color w:val="000000"/>
          <w:sz w:val="32"/>
          <w:szCs w:val="32"/>
        </w:rPr>
        <w:t>。</w:t>
      </w:r>
    </w:p>
    <w:p>
      <w:pPr>
        <w:spacing w:line="600" w:lineRule="exact"/>
        <w:ind w:firstLine="640"/>
        <w:rPr>
          <w:rStyle w:val="16"/>
          <w:rFonts w:hint="default" w:ascii="仿宋" w:hAnsi="仿宋" w:eastAsia="仿宋"/>
          <w:b w:val="0"/>
          <w:bCs/>
          <w:color w:val="000000"/>
          <w:sz w:val="32"/>
          <w:szCs w:val="32"/>
          <w:lang w:val="en-US" w:eastAsia="zh-CN"/>
        </w:rPr>
      </w:pPr>
      <w:r>
        <w:rPr>
          <w:rFonts w:eastAsia="仿宋_GB2312"/>
          <w:b/>
          <w:color w:val="000000"/>
          <w:sz w:val="32"/>
          <w:szCs w:val="32"/>
        </w:rPr>
        <w:t>2.公务用车购置及运行维护费支出0</w:t>
      </w:r>
      <w:r>
        <w:rPr>
          <w:rFonts w:eastAsia="仿宋_GB2312"/>
          <w:color w:val="000000"/>
          <w:sz w:val="32"/>
          <w:szCs w:val="32"/>
        </w:rPr>
        <w:t>万元</w:t>
      </w:r>
      <w:r>
        <w:rPr>
          <w:rFonts w:hint="eastAsia" w:eastAsia="仿宋_GB2312"/>
          <w:color w:val="000000"/>
          <w:sz w:val="32"/>
          <w:szCs w:val="32"/>
          <w:lang w:eastAsia="zh-CN"/>
        </w:rPr>
        <w:t>，</w:t>
      </w:r>
      <w:r>
        <w:rPr>
          <w:rStyle w:val="16"/>
          <w:rFonts w:hint="eastAsia" w:ascii="仿宋" w:hAnsi="仿宋" w:eastAsia="仿宋"/>
          <w:b w:val="0"/>
          <w:bCs/>
          <w:color w:val="000000"/>
          <w:sz w:val="32"/>
          <w:szCs w:val="32"/>
          <w:lang w:eastAsia="zh-CN"/>
        </w:rPr>
        <w:t>年初未安排</w:t>
      </w:r>
      <w:r>
        <w:rPr>
          <w:rStyle w:val="16"/>
          <w:rFonts w:hint="eastAsia" w:ascii="仿宋" w:hAnsi="仿宋" w:eastAsia="仿宋"/>
          <w:b w:val="0"/>
          <w:bCs/>
          <w:color w:val="000000"/>
          <w:sz w:val="32"/>
          <w:szCs w:val="32"/>
        </w:rPr>
        <w:t>预算</w:t>
      </w:r>
      <w:r>
        <w:rPr>
          <w:rStyle w:val="16"/>
          <w:rFonts w:hint="eastAsia" w:ascii="仿宋" w:hAnsi="仿宋" w:eastAsia="仿宋"/>
          <w:b w:val="0"/>
          <w:bCs/>
          <w:color w:val="000000"/>
          <w:sz w:val="32"/>
          <w:szCs w:val="32"/>
          <w:lang w:eastAsia="zh-CN"/>
        </w:rPr>
        <w:t>，公务用车购置及运行维护费决算支出为</w:t>
      </w:r>
      <w:r>
        <w:rPr>
          <w:rStyle w:val="16"/>
          <w:rFonts w:hint="eastAsia" w:ascii="仿宋" w:hAnsi="仿宋" w:eastAsia="仿宋"/>
          <w:b w:val="0"/>
          <w:bCs/>
          <w:color w:val="000000"/>
          <w:sz w:val="32"/>
          <w:szCs w:val="32"/>
          <w:lang w:val="en-US" w:eastAsia="zh-CN"/>
        </w:rPr>
        <w:t>0万元。公务用车购置及运行维护费支出决算与2019年持平。</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lang w:val="en-US" w:eastAsia="zh-CN"/>
        </w:rPr>
        <w:t>。</w:t>
      </w:r>
    </w:p>
    <w:p>
      <w:pPr>
        <w:spacing w:line="600" w:lineRule="exact"/>
        <w:ind w:firstLine="640"/>
        <w:rPr>
          <w:rFonts w:hint="default"/>
          <w:lang w:val="en-US" w:eastAsia="zh-CN"/>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76" w:lineRule="exact"/>
        <w:ind w:firstLine="640" w:firstLineChars="200"/>
        <w:rPr>
          <w:rFonts w:eastAsia="仿宋_GB2312"/>
          <w:color w:val="000000"/>
          <w:sz w:val="32"/>
          <w:szCs w:val="32"/>
        </w:rPr>
      </w:pPr>
      <w:r>
        <w:rPr>
          <w:rFonts w:eastAsia="仿宋_GB2312"/>
          <w:b/>
          <w:color w:val="000000"/>
          <w:sz w:val="32"/>
          <w:szCs w:val="32"/>
        </w:rPr>
        <w:t>3.公务接待费支出0.44</w:t>
      </w:r>
      <w:r>
        <w:rPr>
          <w:rFonts w:eastAsia="仿宋_GB2312"/>
          <w:color w:val="000000"/>
          <w:sz w:val="32"/>
          <w:szCs w:val="32"/>
        </w:rPr>
        <w:t>万元，</w:t>
      </w:r>
      <w:r>
        <w:rPr>
          <w:rStyle w:val="16"/>
          <w:rFonts w:hAnsi="仿宋" w:eastAsia="仿宋"/>
          <w:b w:val="0"/>
          <w:bCs/>
          <w:color w:val="000000"/>
          <w:sz w:val="32"/>
          <w:szCs w:val="32"/>
        </w:rPr>
        <w:t>完成预算</w:t>
      </w:r>
      <w:r>
        <w:rPr>
          <w:rStyle w:val="16"/>
          <w:rFonts w:eastAsia="仿宋"/>
          <w:b w:val="0"/>
          <w:bCs/>
          <w:color w:val="000000"/>
          <w:sz w:val="32"/>
          <w:szCs w:val="32"/>
        </w:rPr>
        <w:t>100%</w:t>
      </w:r>
      <w:r>
        <w:rPr>
          <w:rStyle w:val="16"/>
          <w:rFonts w:hAnsi="仿宋" w:eastAsia="仿宋"/>
          <w:b w:val="0"/>
          <w:bCs/>
          <w:color w:val="000000"/>
          <w:sz w:val="32"/>
          <w:szCs w:val="32"/>
        </w:rPr>
        <w:t>。</w:t>
      </w:r>
      <w:r>
        <w:rPr>
          <w:rFonts w:eastAsia="仿宋_GB2312"/>
          <w:color w:val="000000"/>
          <w:sz w:val="32"/>
          <w:szCs w:val="32"/>
        </w:rPr>
        <w:t>公务接待费支出决算与2019年支出决算数持平。</w:t>
      </w:r>
      <w:r>
        <w:rPr>
          <w:rFonts w:hint="eastAsia" w:ascii="仿宋_GB2312" w:eastAsia="仿宋_GB2312"/>
          <w:color w:val="000000"/>
          <w:sz w:val="32"/>
          <w:szCs w:val="32"/>
        </w:rPr>
        <w:t>其中：</w:t>
      </w:r>
    </w:p>
    <w:p>
      <w:pPr>
        <w:shd w:val="clear" w:color="auto" w:fill="FFFFFF"/>
        <w:spacing w:line="576" w:lineRule="exact"/>
        <w:ind w:firstLine="640" w:firstLineChars="200"/>
        <w:rPr>
          <w:rFonts w:eastAsia="仿宋_GB2312"/>
          <w:color w:val="333333"/>
          <w:sz w:val="32"/>
          <w:szCs w:val="32"/>
        </w:rPr>
      </w:pPr>
      <w:r>
        <w:rPr>
          <w:rFonts w:hAnsi="仿宋" w:eastAsia="仿宋"/>
          <w:b/>
          <w:color w:val="000000"/>
          <w:sz w:val="32"/>
          <w:szCs w:val="32"/>
        </w:rPr>
        <w:t>国内公务接待支出</w:t>
      </w:r>
      <w:r>
        <w:rPr>
          <w:rFonts w:eastAsia="仿宋"/>
          <w:b/>
          <w:color w:val="000000"/>
          <w:sz w:val="32"/>
          <w:szCs w:val="32"/>
        </w:rPr>
        <w:t>0.44</w:t>
      </w:r>
      <w:r>
        <w:rPr>
          <w:rFonts w:eastAsia="仿宋_GB2312"/>
          <w:color w:val="000000"/>
          <w:sz w:val="32"/>
          <w:szCs w:val="32"/>
        </w:rPr>
        <w:t>万元，</w:t>
      </w:r>
      <w:r>
        <w:rPr>
          <w:rFonts w:eastAsia="仿宋_GB2312"/>
          <w:color w:val="333333"/>
          <w:kern w:val="0"/>
          <w:sz w:val="32"/>
          <w:szCs w:val="32"/>
          <w:shd w:val="clear" w:color="auto" w:fill="FFFFFF"/>
        </w:rPr>
        <w:t>主要用于执行公务、开展业务活动开支的交通费、住宿费、用餐费等。国内公务接待15批次，115人次（不包括陪同人员），共计支出0.44万元，具体内容包括：联挂乡镇帮扶村来区上联系工作及办事接待开支。其中：</w:t>
      </w:r>
    </w:p>
    <w:p>
      <w:pPr>
        <w:spacing w:line="576" w:lineRule="exact"/>
        <w:ind w:firstLine="640" w:firstLineChars="200"/>
        <w:rPr>
          <w:rFonts w:eastAsia="仿宋_GB2312"/>
          <w:color w:val="000000"/>
          <w:sz w:val="32"/>
          <w:szCs w:val="32"/>
        </w:rPr>
      </w:pPr>
      <w:r>
        <w:rPr>
          <w:rFonts w:hAnsi="仿宋" w:eastAsia="仿宋"/>
          <w:b/>
          <w:color w:val="000000"/>
          <w:sz w:val="32"/>
          <w:szCs w:val="32"/>
        </w:rPr>
        <w:t>外事接待支出</w:t>
      </w:r>
      <w:r>
        <w:rPr>
          <w:rFonts w:eastAsia="仿宋"/>
          <w:b/>
          <w:color w:val="000000"/>
          <w:sz w:val="32"/>
          <w:szCs w:val="32"/>
        </w:rPr>
        <w:t>0</w:t>
      </w:r>
      <w:r>
        <w:rPr>
          <w:rFonts w:eastAsia="仿宋_GB2312"/>
          <w:color w:val="000000"/>
          <w:sz w:val="32"/>
          <w:szCs w:val="32"/>
        </w:rPr>
        <w:t>万元，外事接待0批次，0人，共计支出0万元。</w:t>
      </w:r>
    </w:p>
    <w:p>
      <w:pPr>
        <w:spacing w:line="576" w:lineRule="exact"/>
        <w:ind w:firstLine="640" w:firstLineChars="200"/>
        <w:outlineLvl w:val="1"/>
        <w:rPr>
          <w:rStyle w:val="20"/>
          <w:rFonts w:ascii="Times New Roman" w:hAnsi="Times New Roman" w:eastAsia="黑体"/>
        </w:rPr>
      </w:pPr>
      <w:bookmarkStart w:id="53" w:name="_Toc15377218"/>
      <w:bookmarkStart w:id="54" w:name="_Toc15396610"/>
      <w:bookmarkStart w:id="55" w:name="_Toc16890"/>
      <w:r>
        <w:rPr>
          <w:rFonts w:eastAsia="黑体"/>
          <w:color w:val="000000"/>
          <w:sz w:val="32"/>
          <w:szCs w:val="32"/>
        </w:rPr>
        <w:t>八、</w:t>
      </w:r>
      <w:r>
        <w:rPr>
          <w:rStyle w:val="20"/>
          <w:rFonts w:ascii="Times New Roman" w:hAnsi="黑体" w:eastAsia="黑体"/>
          <w:b w:val="0"/>
        </w:rPr>
        <w:t>政府性基金预算支出决算情况说明</w:t>
      </w:r>
      <w:bookmarkEnd w:id="53"/>
      <w:bookmarkEnd w:id="54"/>
      <w:bookmarkEnd w:id="55"/>
    </w:p>
    <w:p>
      <w:pPr>
        <w:spacing w:line="576" w:lineRule="exact"/>
        <w:ind w:firstLine="640" w:firstLineChars="200"/>
        <w:rPr>
          <w:rFonts w:hint="eastAsia" w:eastAsia="仿宋"/>
          <w:color w:val="000000"/>
          <w:sz w:val="32"/>
          <w:szCs w:val="32"/>
          <w:lang w:val="en-US" w:eastAsia="zh-CN"/>
        </w:rPr>
      </w:pPr>
      <w:r>
        <w:rPr>
          <w:rFonts w:eastAsia="仿宋_GB2312"/>
          <w:color w:val="000000"/>
          <w:sz w:val="32"/>
          <w:szCs w:val="32"/>
        </w:rPr>
        <w:t>2020年政府性基金预算拨款支出0万元</w:t>
      </w:r>
      <w:r>
        <w:rPr>
          <w:rFonts w:hint="eastAsia" w:eastAsia="仿宋_GB2312"/>
          <w:color w:val="000000"/>
          <w:sz w:val="32"/>
          <w:szCs w:val="32"/>
          <w:lang w:eastAsia="zh-CN"/>
        </w:rPr>
        <w:t>，</w:t>
      </w:r>
      <w:r>
        <w:rPr>
          <w:rStyle w:val="16"/>
          <w:rFonts w:hint="eastAsia" w:ascii="仿宋" w:hAnsi="仿宋" w:eastAsia="仿宋"/>
          <w:b w:val="0"/>
          <w:bCs/>
          <w:color w:val="000000"/>
          <w:sz w:val="32"/>
          <w:szCs w:val="32"/>
          <w:lang w:eastAsia="zh-CN"/>
        </w:rPr>
        <w:t>年初未安排</w:t>
      </w:r>
      <w:r>
        <w:rPr>
          <w:rStyle w:val="16"/>
          <w:rFonts w:hint="eastAsia" w:ascii="仿宋" w:hAnsi="仿宋" w:eastAsia="仿宋"/>
          <w:b w:val="0"/>
          <w:bCs/>
          <w:color w:val="000000"/>
          <w:sz w:val="32"/>
          <w:szCs w:val="32"/>
        </w:rPr>
        <w:t>预算</w:t>
      </w:r>
      <w:r>
        <w:rPr>
          <w:rStyle w:val="16"/>
          <w:rFonts w:hint="eastAsia" w:ascii="仿宋" w:hAnsi="仿宋" w:eastAsia="仿宋"/>
          <w:b w:val="0"/>
          <w:bCs/>
          <w:color w:val="000000"/>
          <w:sz w:val="32"/>
          <w:szCs w:val="32"/>
          <w:lang w:val="en-US" w:eastAsia="zh-CN"/>
        </w:rPr>
        <w:t>。</w:t>
      </w:r>
    </w:p>
    <w:p>
      <w:pPr>
        <w:spacing w:line="576" w:lineRule="exact"/>
        <w:ind w:firstLine="640" w:firstLineChars="200"/>
        <w:outlineLvl w:val="1"/>
        <w:rPr>
          <w:rStyle w:val="20"/>
          <w:rFonts w:ascii="Times New Roman" w:hAnsi="Times New Roman" w:eastAsia="黑体"/>
          <w:b w:val="0"/>
        </w:rPr>
      </w:pPr>
      <w:bookmarkStart w:id="56" w:name="_Toc15396611"/>
      <w:bookmarkStart w:id="57" w:name="_Toc23104"/>
      <w:bookmarkStart w:id="58" w:name="_Toc15377219"/>
      <w:r>
        <w:rPr>
          <w:rStyle w:val="20"/>
          <w:rFonts w:ascii="Times New Roman" w:hAnsi="黑体" w:eastAsia="黑体"/>
          <w:b w:val="0"/>
        </w:rPr>
        <w:t>九、国有资本经营预算支出决算情况说明</w:t>
      </w:r>
      <w:bookmarkEnd w:id="56"/>
      <w:bookmarkEnd w:id="57"/>
      <w:bookmarkEnd w:id="58"/>
    </w:p>
    <w:p>
      <w:pPr>
        <w:spacing w:line="576" w:lineRule="exact"/>
        <w:ind w:firstLine="640" w:firstLineChars="200"/>
        <w:rPr>
          <w:rFonts w:eastAsia="方正小标宋简体"/>
          <w:sz w:val="44"/>
          <w:szCs w:val="44"/>
        </w:rPr>
      </w:pPr>
      <w:r>
        <w:rPr>
          <w:rFonts w:eastAsia="仿宋_GB2312"/>
          <w:color w:val="000000"/>
          <w:sz w:val="32"/>
          <w:szCs w:val="32"/>
        </w:rPr>
        <w:t>2020年国有资本经营预算拨款支出0万元</w:t>
      </w:r>
      <w:r>
        <w:rPr>
          <w:rFonts w:hint="eastAsia" w:eastAsia="仿宋_GB2312"/>
          <w:color w:val="000000"/>
          <w:sz w:val="32"/>
          <w:szCs w:val="32"/>
          <w:lang w:eastAsia="zh-CN"/>
        </w:rPr>
        <w:t>，</w:t>
      </w:r>
      <w:r>
        <w:rPr>
          <w:rStyle w:val="16"/>
          <w:rFonts w:hint="eastAsia" w:ascii="仿宋" w:hAnsi="仿宋" w:eastAsia="仿宋"/>
          <w:b w:val="0"/>
          <w:bCs/>
          <w:color w:val="000000"/>
          <w:sz w:val="32"/>
          <w:szCs w:val="32"/>
          <w:lang w:eastAsia="zh-CN"/>
        </w:rPr>
        <w:t>年初未安排</w:t>
      </w:r>
      <w:r>
        <w:rPr>
          <w:rStyle w:val="16"/>
          <w:rFonts w:hint="eastAsia" w:ascii="仿宋" w:hAnsi="仿宋" w:eastAsia="仿宋"/>
          <w:b w:val="0"/>
          <w:bCs/>
          <w:color w:val="000000"/>
          <w:sz w:val="32"/>
          <w:szCs w:val="32"/>
        </w:rPr>
        <w:t>预算</w:t>
      </w:r>
      <w:r>
        <w:rPr>
          <w:rFonts w:eastAsia="仿宋_GB2312"/>
          <w:color w:val="000000"/>
          <w:sz w:val="32"/>
          <w:szCs w:val="32"/>
        </w:rPr>
        <w:t>。</w:t>
      </w:r>
    </w:p>
    <w:p>
      <w:pPr>
        <w:spacing w:line="576" w:lineRule="exact"/>
        <w:ind w:firstLine="640" w:firstLineChars="200"/>
        <w:outlineLvl w:val="1"/>
        <w:rPr>
          <w:rStyle w:val="20"/>
          <w:rFonts w:ascii="Times New Roman" w:hAnsi="Times New Roman" w:eastAsia="黑体"/>
        </w:rPr>
      </w:pPr>
      <w:bookmarkStart w:id="59" w:name="_Toc15396612"/>
      <w:bookmarkStart w:id="60" w:name="_Toc15377221"/>
      <w:bookmarkStart w:id="61" w:name="_Toc17113"/>
      <w:r>
        <w:rPr>
          <w:rFonts w:hAnsi="黑体" w:eastAsia="黑体"/>
          <w:color w:val="000000"/>
          <w:sz w:val="32"/>
          <w:szCs w:val="32"/>
        </w:rPr>
        <w:t>十</w:t>
      </w:r>
      <w:r>
        <w:rPr>
          <w:rStyle w:val="20"/>
          <w:rFonts w:ascii="Times New Roman" w:hAnsi="黑体" w:eastAsia="黑体"/>
        </w:rPr>
        <w:t>、</w:t>
      </w:r>
      <w:r>
        <w:rPr>
          <w:rStyle w:val="20"/>
          <w:rFonts w:ascii="Times New Roman" w:hAnsi="黑体" w:eastAsia="黑体"/>
          <w:b w:val="0"/>
        </w:rPr>
        <w:t>其他重要事项的情况说明</w:t>
      </w:r>
      <w:bookmarkEnd w:id="59"/>
      <w:bookmarkEnd w:id="60"/>
      <w:bookmarkEnd w:id="61"/>
    </w:p>
    <w:p>
      <w:pPr>
        <w:spacing w:line="576" w:lineRule="exact"/>
        <w:ind w:firstLine="640" w:firstLineChars="200"/>
        <w:outlineLvl w:val="2"/>
        <w:rPr>
          <w:rFonts w:eastAsia="仿宋"/>
          <w:color w:val="000000"/>
          <w:sz w:val="32"/>
          <w:szCs w:val="32"/>
        </w:rPr>
      </w:pPr>
      <w:bookmarkStart w:id="62" w:name="_Toc15377222"/>
      <w:r>
        <w:rPr>
          <w:rFonts w:hAnsi="仿宋" w:eastAsia="仿宋"/>
          <w:b/>
          <w:color w:val="000000"/>
          <w:sz w:val="32"/>
          <w:szCs w:val="32"/>
        </w:rPr>
        <w:t>（一）机关运行经费支出情况</w:t>
      </w:r>
      <w:bookmarkEnd w:id="62"/>
    </w:p>
    <w:p>
      <w:pPr>
        <w:spacing w:line="576" w:lineRule="exact"/>
        <w:ind w:firstLine="640" w:firstLineChars="200"/>
        <w:rPr>
          <w:rFonts w:eastAsia="仿宋"/>
          <w:b/>
          <w:color w:val="FF0000"/>
          <w:sz w:val="32"/>
          <w:szCs w:val="32"/>
        </w:rPr>
      </w:pPr>
      <w:r>
        <w:rPr>
          <w:rFonts w:eastAsia="仿宋_GB2312"/>
          <w:color w:val="000000"/>
          <w:sz w:val="32"/>
          <w:szCs w:val="32"/>
        </w:rPr>
        <w:t>2020年，区红十字会机关运行经费支出13.62万元，比2019年8.83万元相比，增加4.79万元，增长54%。主要原因：一是脱贫帮扶工作经费增加；二是因调标工会会费增加。</w:t>
      </w:r>
    </w:p>
    <w:p>
      <w:pPr>
        <w:autoSpaceDE w:val="0"/>
        <w:autoSpaceDN w:val="0"/>
        <w:adjustRightInd w:val="0"/>
        <w:spacing w:line="576" w:lineRule="exact"/>
        <w:ind w:firstLine="640" w:firstLineChars="200"/>
        <w:outlineLvl w:val="2"/>
        <w:rPr>
          <w:rFonts w:eastAsia="仿宋"/>
          <w:b/>
          <w:color w:val="000000"/>
          <w:sz w:val="32"/>
          <w:szCs w:val="32"/>
        </w:rPr>
      </w:pPr>
      <w:bookmarkStart w:id="63" w:name="_Toc15377223"/>
      <w:r>
        <w:rPr>
          <w:rFonts w:hAnsi="仿宋" w:eastAsia="仿宋"/>
          <w:b/>
          <w:color w:val="000000"/>
          <w:sz w:val="32"/>
          <w:szCs w:val="32"/>
        </w:rPr>
        <w:t>（二）政府采购支出情况</w:t>
      </w:r>
      <w:bookmarkEnd w:id="63"/>
    </w:p>
    <w:p>
      <w:pPr>
        <w:spacing w:line="576" w:lineRule="exact"/>
        <w:ind w:firstLine="640" w:firstLineChars="200"/>
        <w:rPr>
          <w:rFonts w:eastAsia="仿宋"/>
          <w:b/>
          <w:color w:val="FF0000"/>
          <w:sz w:val="32"/>
          <w:szCs w:val="32"/>
        </w:rPr>
      </w:pPr>
      <w:r>
        <w:rPr>
          <w:rFonts w:eastAsia="仿宋_GB2312"/>
          <w:color w:val="000000"/>
          <w:sz w:val="32"/>
          <w:szCs w:val="32"/>
        </w:rPr>
        <w:t>2020年，区红十字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76" w:lineRule="exact"/>
        <w:ind w:firstLine="640" w:firstLineChars="200"/>
        <w:outlineLvl w:val="2"/>
        <w:rPr>
          <w:rFonts w:eastAsia="仿宋"/>
          <w:b/>
          <w:color w:val="000000"/>
          <w:sz w:val="32"/>
          <w:szCs w:val="32"/>
        </w:rPr>
      </w:pPr>
      <w:bookmarkStart w:id="64" w:name="_Toc15377224"/>
      <w:r>
        <w:rPr>
          <w:rFonts w:hAnsi="仿宋" w:eastAsia="仿宋"/>
          <w:b/>
          <w:color w:val="000000"/>
          <w:sz w:val="32"/>
          <w:szCs w:val="32"/>
        </w:rPr>
        <w:t>（三）国有资产占有使用情况</w:t>
      </w:r>
      <w:bookmarkEnd w:id="64"/>
    </w:p>
    <w:p>
      <w:pPr>
        <w:autoSpaceDE w:val="0"/>
        <w:autoSpaceDN w:val="0"/>
        <w:adjustRightInd w:val="0"/>
        <w:spacing w:line="600" w:lineRule="exact"/>
        <w:ind w:firstLine="640" w:firstLineChars="200"/>
        <w:jc w:val="left"/>
        <w:rPr>
          <w:rFonts w:eastAsia="仿宋"/>
          <w:b/>
          <w:color w:val="FF0000"/>
          <w:sz w:val="32"/>
          <w:szCs w:val="32"/>
        </w:rPr>
      </w:pPr>
      <w:r>
        <w:rPr>
          <w:rFonts w:eastAsia="仿宋_GB2312"/>
          <w:color w:val="000000"/>
          <w:sz w:val="32"/>
          <w:szCs w:val="32"/>
        </w:rPr>
        <w:t>截至2020年12月31日，区红十字会共有车辆0辆</w:t>
      </w:r>
      <w:r>
        <w:rPr>
          <w:rFonts w:hint="eastAsia" w:eastAsia="仿宋_GB2312"/>
          <w:color w:val="000000"/>
          <w:sz w:val="32"/>
          <w:szCs w:val="32"/>
          <w:lang w:val="en-US" w:eastAsia="zh-CN"/>
        </w:rPr>
        <w:t>,</w:t>
      </w:r>
      <w:r>
        <w:rPr>
          <w:rFonts w:hint="eastAsia" w:ascii="仿宋_GB2312" w:eastAsia="仿宋_GB2312"/>
          <w:color w:val="000000"/>
          <w:sz w:val="32"/>
          <w:szCs w:val="32"/>
        </w:rPr>
        <w:t>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576" w:lineRule="exact"/>
        <w:ind w:firstLine="640" w:firstLineChars="200"/>
        <w:outlineLvl w:val="2"/>
        <w:rPr>
          <w:rFonts w:eastAsia="仿宋"/>
          <w:b/>
          <w:color w:val="000000"/>
          <w:sz w:val="32"/>
          <w:szCs w:val="32"/>
        </w:rPr>
      </w:pPr>
      <w:r>
        <w:rPr>
          <w:rFonts w:hAnsi="仿宋" w:eastAsia="仿宋"/>
          <w:b/>
          <w:color w:val="000000"/>
          <w:sz w:val="32"/>
          <w:szCs w:val="32"/>
        </w:rPr>
        <w:t>（四）预算绩效管理情况。</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根据预算绩效管理要求，本部门在年初预算编制阶段，组织对百万培训项目开展了预算事前绩效评估，对1个项目编制了绩效目标，预算执行过程中，选取1个项目开展绩效监控，年终执行完毕后，对1个项目开展了绩效目标完成情况梳理填报。</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按要求对2020年部门整体支出开展绩效自评，从评价情况来看：2020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优良。</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还自行组织了1个项目绩效评价，从评价情况来看：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spacing w:line="576" w:lineRule="exact"/>
        <w:ind w:firstLine="640" w:firstLineChars="200"/>
        <w:rPr>
          <w:rFonts w:eastAsia="楷体_GB2312"/>
          <w:sz w:val="32"/>
          <w:szCs w:val="32"/>
        </w:rPr>
      </w:pPr>
      <w:r>
        <w:rPr>
          <w:rFonts w:eastAsia="楷体_GB2312"/>
          <w:sz w:val="32"/>
          <w:szCs w:val="32"/>
        </w:rPr>
        <w:t>1.</w:t>
      </w:r>
      <w:r>
        <w:rPr>
          <w:rFonts w:hAnsi="楷体_GB2312" w:eastAsia="楷体_GB2312"/>
          <w:sz w:val="32"/>
          <w:szCs w:val="32"/>
        </w:rPr>
        <w:t>项目绩效目标完成情况。</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本部门在2020年度部门决算中反映“其他红十字事业支出-百万培训项目” 1个项目绩效目标实际完成情况。</w:t>
      </w:r>
    </w:p>
    <w:p>
      <w:p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 百万培训项目绩效目标完成情况综述。百万培训项目绩效目标完成应急救护培训8000人，项目全年预算数10万元，执行数为8.71万元，完成预算的87%。通过项目实施，增强广大群众和中小学生面对各种突发意外事件的自救互救能力，保护因意外事件受伤人员的生命和健康，助推了精准扶贫，为加快建设“五个昭化”作出了积极的贡献。</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tbl>
      <w:tblPr>
        <w:tblStyle w:val="14"/>
        <w:tblW w:w="8597" w:type="dxa"/>
        <w:jc w:val="center"/>
        <w:tblLayout w:type="fixed"/>
        <w:tblCellMar>
          <w:top w:w="0" w:type="dxa"/>
          <w:left w:w="0" w:type="dxa"/>
          <w:bottom w:w="0" w:type="dxa"/>
          <w:right w:w="0" w:type="dxa"/>
        </w:tblCellMar>
      </w:tblPr>
      <w:tblGrid>
        <w:gridCol w:w="984"/>
        <w:gridCol w:w="828"/>
        <w:gridCol w:w="1025"/>
        <w:gridCol w:w="2015"/>
        <w:gridCol w:w="1932"/>
        <w:gridCol w:w="1813"/>
      </w:tblGrid>
      <w:tr>
        <w:tblPrEx>
          <w:tblCellMar>
            <w:top w:w="0" w:type="dxa"/>
            <w:left w:w="0" w:type="dxa"/>
            <w:bottom w:w="0" w:type="dxa"/>
            <w:right w:w="0" w:type="dxa"/>
          </w:tblCellMar>
        </w:tblPrEx>
        <w:trPr>
          <w:trHeight w:val="1034" w:hRule="atLeast"/>
          <w:jc w:val="center"/>
        </w:trPr>
        <w:tc>
          <w:tcPr>
            <w:tcW w:w="859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hAnsiTheme="majorEastAsia" w:eastAsiaTheme="majorEastAsia"/>
                <w:b/>
                <w:bCs/>
                <w:color w:val="000000"/>
                <w:kern w:val="0"/>
                <w:sz w:val="40"/>
                <w:szCs w:val="40"/>
                <w:lang w:eastAsia="zh-CN"/>
              </w:rPr>
            </w:pPr>
            <w:r>
              <w:rPr>
                <w:rFonts w:hAnsiTheme="majorEastAsia" w:eastAsiaTheme="majorEastAsia"/>
                <w:b/>
                <w:bCs/>
                <w:color w:val="000000"/>
                <w:kern w:val="0"/>
                <w:sz w:val="40"/>
                <w:szCs w:val="40"/>
              </w:rPr>
              <w:t>项目绩效目标完成情况表</w:t>
            </w:r>
          </w:p>
          <w:p>
            <w:pPr>
              <w:widowControl/>
              <w:jc w:val="center"/>
              <w:textAlignment w:val="center"/>
              <w:rPr>
                <w:rFonts w:eastAsiaTheme="majorEastAsia"/>
                <w:color w:val="000000"/>
                <w:sz w:val="24"/>
              </w:rPr>
            </w:pPr>
            <w:r>
              <w:rPr>
                <w:rFonts w:eastAsiaTheme="majorEastAsia"/>
                <w:color w:val="000000"/>
                <w:kern w:val="0"/>
                <w:sz w:val="24"/>
              </w:rPr>
              <w:t>(2020</w:t>
            </w:r>
            <w:r>
              <w:rPr>
                <w:rFonts w:hAnsiTheme="majorEastAsia" w:eastAsiaTheme="majorEastAsia"/>
                <w:color w:val="000000"/>
                <w:kern w:val="0"/>
                <w:sz w:val="24"/>
              </w:rPr>
              <w:t>年度</w:t>
            </w:r>
            <w:r>
              <w:rPr>
                <w:rFonts w:eastAsiaTheme="majorEastAsia"/>
                <w:color w:val="000000"/>
                <w:kern w:val="0"/>
                <w:sz w:val="24"/>
              </w:rPr>
              <w:t>)</w:t>
            </w:r>
          </w:p>
        </w:tc>
      </w:tr>
      <w:tr>
        <w:tblPrEx>
          <w:tblCellMar>
            <w:top w:w="0" w:type="dxa"/>
            <w:left w:w="0" w:type="dxa"/>
            <w:bottom w:w="0" w:type="dxa"/>
            <w:right w:w="0" w:type="dxa"/>
          </w:tblCellMar>
        </w:tblPrEx>
        <w:trPr>
          <w:trHeight w:val="709" w:hRule="atLeast"/>
          <w:jc w:val="center"/>
        </w:trPr>
        <w:tc>
          <w:tcPr>
            <w:tcW w:w="28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项目名称</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其他红十字事业（百万培训项目）</w:t>
            </w:r>
          </w:p>
        </w:tc>
      </w:tr>
      <w:tr>
        <w:tblPrEx>
          <w:tblCellMar>
            <w:top w:w="0" w:type="dxa"/>
            <w:left w:w="0" w:type="dxa"/>
            <w:bottom w:w="0" w:type="dxa"/>
            <w:right w:w="0" w:type="dxa"/>
          </w:tblCellMar>
        </w:tblPrEx>
        <w:trPr>
          <w:trHeight w:val="709" w:hRule="atLeast"/>
          <w:jc w:val="center"/>
        </w:trPr>
        <w:tc>
          <w:tcPr>
            <w:tcW w:w="28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预算单位</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区红十字会</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预算执行情况</w:t>
            </w:r>
            <w:r>
              <w:rPr>
                <w:rFonts w:eastAsiaTheme="majorEastAsia"/>
                <w:color w:val="000000"/>
                <w:kern w:val="0"/>
                <w:sz w:val="24"/>
              </w:rPr>
              <w:t>(</w:t>
            </w:r>
            <w:r>
              <w:rPr>
                <w:rFonts w:hAnsiTheme="majorEastAsia" w:eastAsiaTheme="majorEastAsia"/>
                <w:color w:val="000000"/>
                <w:kern w:val="0"/>
                <w:sz w:val="24"/>
              </w:rPr>
              <w:t>万元</w:t>
            </w:r>
            <w:r>
              <w:rPr>
                <w:rFonts w:eastAsiaTheme="majorEastAsia"/>
                <w:color w:val="000000"/>
                <w:kern w:val="0"/>
                <w:sz w:val="24"/>
              </w:rPr>
              <w:t>)</w:t>
            </w: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预算数</w:t>
            </w:r>
            <w:r>
              <w:rPr>
                <w:rFonts w:eastAsiaTheme="majorEastAsia"/>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eastAsiaTheme="majorEastAsia"/>
                <w:color w:val="000000"/>
                <w:kern w:val="0"/>
                <w:sz w:val="24"/>
              </w:rPr>
              <w:t>10</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执行数</w:t>
            </w:r>
            <w:r>
              <w:rPr>
                <w:rFonts w:eastAsiaTheme="majorEastAsia"/>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eastAsiaTheme="majorEastAsia"/>
                <w:color w:val="000000"/>
                <w:kern w:val="0"/>
                <w:sz w:val="24"/>
              </w:rPr>
              <w:t>8.71</w:t>
            </w: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ajorEastAsia"/>
                <w:color w:val="000000"/>
                <w:sz w:val="24"/>
              </w:rPr>
            </w:pP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其中</w:t>
            </w:r>
            <w:r>
              <w:rPr>
                <w:rFonts w:eastAsiaTheme="majorEastAsia"/>
                <w:color w:val="000000"/>
                <w:kern w:val="0"/>
                <w:sz w:val="24"/>
              </w:rPr>
              <w:t>-</w:t>
            </w:r>
            <w:r>
              <w:rPr>
                <w:rFonts w:hAnsiTheme="majorEastAsia" w:eastAsiaTheme="majorEastAsia"/>
                <w:color w:val="000000"/>
                <w:kern w:val="0"/>
                <w:sz w:val="24"/>
              </w:rPr>
              <w:t>财政拨款</w:t>
            </w:r>
            <w:r>
              <w:rPr>
                <w:rFonts w:eastAsiaTheme="majorEastAsia"/>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其中</w:t>
            </w:r>
            <w:r>
              <w:rPr>
                <w:rFonts w:eastAsiaTheme="majorEastAsia"/>
                <w:color w:val="000000"/>
                <w:kern w:val="0"/>
                <w:sz w:val="24"/>
              </w:rPr>
              <w:t>-</w:t>
            </w:r>
            <w:r>
              <w:rPr>
                <w:rFonts w:hAnsiTheme="majorEastAsia" w:eastAsiaTheme="majorEastAsia"/>
                <w:color w:val="000000"/>
                <w:kern w:val="0"/>
                <w:sz w:val="24"/>
              </w:rPr>
              <w:t>财政拨款</w:t>
            </w:r>
            <w:r>
              <w:rPr>
                <w:rFonts w:eastAsiaTheme="majorEastAsia"/>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ajorEastAsia"/>
                <w:color w:val="000000"/>
                <w:sz w:val="24"/>
              </w:rPr>
            </w:pP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其它资金</w:t>
            </w:r>
            <w:r>
              <w:rPr>
                <w:rFonts w:eastAsiaTheme="majorEastAsia"/>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eastAsiaTheme="majorEastAsia"/>
                <w:color w:val="000000"/>
                <w:kern w:val="0"/>
                <w:sz w:val="24"/>
              </w:rPr>
              <w:t>0</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其它资金</w:t>
            </w:r>
            <w:r>
              <w:rPr>
                <w:rFonts w:eastAsiaTheme="majorEastAsia"/>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eastAsiaTheme="majorEastAsia"/>
                <w:color w:val="000000"/>
                <w:kern w:val="0"/>
                <w:sz w:val="24"/>
              </w:rPr>
              <w:t>0</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年度目标完成情况</w:t>
            </w:r>
          </w:p>
        </w:tc>
        <w:tc>
          <w:tcPr>
            <w:tcW w:w="3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预期目标</w:t>
            </w:r>
          </w:p>
        </w:tc>
        <w:tc>
          <w:tcPr>
            <w:tcW w:w="3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实际完成目标</w:t>
            </w: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ajorEastAsia"/>
                <w:color w:val="000000"/>
                <w:sz w:val="24"/>
              </w:rPr>
            </w:pPr>
          </w:p>
        </w:tc>
        <w:tc>
          <w:tcPr>
            <w:tcW w:w="3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培训</w:t>
            </w:r>
            <w:r>
              <w:rPr>
                <w:rFonts w:eastAsiaTheme="majorEastAsia"/>
                <w:color w:val="000000"/>
                <w:kern w:val="0"/>
                <w:sz w:val="24"/>
              </w:rPr>
              <w:t>8000</w:t>
            </w:r>
            <w:r>
              <w:rPr>
                <w:rFonts w:hAnsiTheme="majorEastAsia" w:eastAsiaTheme="majorEastAsia"/>
                <w:color w:val="000000"/>
                <w:kern w:val="0"/>
                <w:sz w:val="24"/>
              </w:rPr>
              <w:t>人</w:t>
            </w:r>
          </w:p>
        </w:tc>
        <w:tc>
          <w:tcPr>
            <w:tcW w:w="3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kern w:val="0"/>
                <w:sz w:val="24"/>
              </w:rPr>
            </w:pPr>
            <w:r>
              <w:rPr>
                <w:rFonts w:hAnsiTheme="majorEastAsia" w:eastAsiaTheme="majorEastAsia"/>
                <w:color w:val="000000"/>
                <w:kern w:val="0"/>
                <w:sz w:val="24"/>
              </w:rPr>
              <w:t>培训</w:t>
            </w:r>
            <w:r>
              <w:rPr>
                <w:rFonts w:eastAsiaTheme="majorEastAsia"/>
                <w:color w:val="000000"/>
                <w:kern w:val="0"/>
                <w:sz w:val="24"/>
              </w:rPr>
              <w:t>8000</w:t>
            </w:r>
            <w:r>
              <w:rPr>
                <w:rFonts w:hAnsiTheme="majorEastAsia" w:eastAsiaTheme="majorEastAsia"/>
                <w:color w:val="000000"/>
                <w:kern w:val="0"/>
                <w:sz w:val="24"/>
              </w:rPr>
              <w:t>人</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sz w:val="24"/>
              </w:rPr>
              <w:t>绩效指标完成情况</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二级指标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三级指标</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预期指标值</w:t>
            </w:r>
            <w:r>
              <w:rPr>
                <w:rFonts w:eastAsiaTheme="majorEastAsia"/>
                <w:color w:val="000000"/>
                <w:kern w:val="0"/>
                <w:sz w:val="24"/>
              </w:rPr>
              <w:t>(</w:t>
            </w:r>
            <w:r>
              <w:rPr>
                <w:rFonts w:hAnsiTheme="majorEastAsia" w:eastAsiaTheme="majorEastAsia"/>
                <w:color w:val="000000"/>
                <w:kern w:val="0"/>
                <w:sz w:val="24"/>
              </w:rPr>
              <w:t>包含数字及文字描述</w:t>
            </w:r>
            <w:r>
              <w:rPr>
                <w:rFonts w:eastAsiaTheme="majorEastAsia"/>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ajorEastAsia"/>
                <w:color w:val="000000"/>
                <w:sz w:val="24"/>
              </w:rPr>
            </w:pPr>
            <w:r>
              <w:rPr>
                <w:rFonts w:hAnsiTheme="majorEastAsia" w:eastAsiaTheme="majorEastAsia"/>
                <w:color w:val="000000"/>
                <w:kern w:val="0"/>
                <w:sz w:val="24"/>
              </w:rPr>
              <w:t>实际完成指标值</w:t>
            </w:r>
            <w:r>
              <w:rPr>
                <w:rFonts w:eastAsiaTheme="majorEastAsia"/>
                <w:color w:val="000000"/>
                <w:kern w:val="0"/>
                <w:sz w:val="24"/>
              </w:rPr>
              <w:t>(</w:t>
            </w:r>
            <w:r>
              <w:rPr>
                <w:rFonts w:hAnsiTheme="majorEastAsia" w:eastAsiaTheme="majorEastAsia"/>
                <w:color w:val="000000"/>
                <w:kern w:val="0"/>
                <w:sz w:val="24"/>
              </w:rPr>
              <w:t>包含数字及文字描述</w:t>
            </w:r>
            <w:r>
              <w:rPr>
                <w:rFonts w:eastAsiaTheme="majorEastAsia"/>
                <w:color w:val="000000"/>
                <w:kern w:val="0"/>
                <w:sz w:val="24"/>
              </w:rPr>
              <w:t>)</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数量指标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培训人次</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8000</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8000</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质量指标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教学质量达标，学员培训合格。</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受训人员考试合格</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受训人员考试合格</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时效指标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完成时间</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12</w:t>
            </w:r>
            <w:r>
              <w:rPr>
                <w:rFonts w:hAnsiTheme="majorEastAsia" w:eastAsiaTheme="majorEastAsia"/>
                <w:color w:val="333333"/>
                <w:kern w:val="0"/>
                <w:sz w:val="24"/>
              </w:rPr>
              <w:t>月</w:t>
            </w:r>
            <w:r>
              <w:rPr>
                <w:rFonts w:eastAsiaTheme="majorEastAsia"/>
                <w:color w:val="333333"/>
                <w:kern w:val="0"/>
                <w:sz w:val="24"/>
              </w:rPr>
              <w:t>31</w:t>
            </w:r>
            <w:r>
              <w:rPr>
                <w:rFonts w:hAnsiTheme="majorEastAsia" w:eastAsiaTheme="majorEastAsia"/>
                <w:color w:val="333333"/>
                <w:kern w:val="0"/>
                <w:sz w:val="24"/>
              </w:rPr>
              <w:t>日前</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12</w:t>
            </w:r>
            <w:r>
              <w:rPr>
                <w:rFonts w:hAnsiTheme="majorEastAsia" w:eastAsiaTheme="majorEastAsia"/>
                <w:color w:val="333333"/>
                <w:kern w:val="0"/>
                <w:sz w:val="24"/>
              </w:rPr>
              <w:t>月</w:t>
            </w:r>
            <w:r>
              <w:rPr>
                <w:rFonts w:eastAsiaTheme="majorEastAsia"/>
                <w:color w:val="333333"/>
                <w:kern w:val="0"/>
                <w:sz w:val="24"/>
              </w:rPr>
              <w:t>31</w:t>
            </w:r>
            <w:r>
              <w:rPr>
                <w:rFonts w:hAnsiTheme="majorEastAsia" w:eastAsiaTheme="majorEastAsia"/>
                <w:color w:val="333333"/>
                <w:kern w:val="0"/>
                <w:sz w:val="24"/>
              </w:rPr>
              <w:t>日前</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成本指标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教材、器材、讲课费、交通费、资料费、制证费等</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20</w:t>
            </w:r>
            <w:r>
              <w:rPr>
                <w:rFonts w:hAnsiTheme="majorEastAsia" w:eastAsiaTheme="majorEastAsia"/>
                <w:color w:val="333333"/>
                <w:kern w:val="0"/>
                <w:sz w:val="24"/>
              </w:rPr>
              <w:t>元</w:t>
            </w:r>
            <w:r>
              <w:rPr>
                <w:rFonts w:eastAsiaTheme="majorEastAsia"/>
                <w:color w:val="333333"/>
                <w:kern w:val="0"/>
                <w:sz w:val="24"/>
              </w:rPr>
              <w:t>/</w:t>
            </w:r>
            <w:r>
              <w:rPr>
                <w:rFonts w:hAnsiTheme="majorEastAsia" w:eastAsiaTheme="majorEastAsia"/>
                <w:color w:val="333333"/>
                <w:kern w:val="0"/>
                <w:sz w:val="24"/>
              </w:rPr>
              <w:t>人</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20</w:t>
            </w:r>
            <w:r>
              <w:rPr>
                <w:rFonts w:hAnsiTheme="majorEastAsia" w:eastAsiaTheme="majorEastAsia"/>
                <w:color w:val="333333"/>
                <w:kern w:val="0"/>
                <w:sz w:val="24"/>
              </w:rPr>
              <w:t>元</w:t>
            </w:r>
            <w:r>
              <w:rPr>
                <w:rFonts w:eastAsiaTheme="majorEastAsia"/>
                <w:color w:val="333333"/>
                <w:kern w:val="0"/>
                <w:sz w:val="24"/>
              </w:rPr>
              <w:t>/</w:t>
            </w:r>
            <w:r>
              <w:rPr>
                <w:rFonts w:hAnsiTheme="majorEastAsia" w:eastAsiaTheme="majorEastAsia"/>
                <w:color w:val="333333"/>
                <w:kern w:val="0"/>
                <w:sz w:val="24"/>
              </w:rPr>
              <w:t>人</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社会效益指标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现场救护知识与技能水平，群众自救互救意识和能力</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现场救护知识与技能得普及，群众自救互救意识和能力增强</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现场救护知识与技能得普及，群众自救互救意识和能力增强</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服务对象满意度指标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hAnsiTheme="majorEastAsia" w:eastAsiaTheme="majorEastAsia"/>
                <w:color w:val="333333"/>
                <w:kern w:val="0"/>
                <w:sz w:val="24"/>
              </w:rPr>
              <w:t>受训人员满意度</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100%</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eastAsiaTheme="majorEastAsia"/>
                <w:color w:val="333333"/>
                <w:kern w:val="0"/>
                <w:sz w:val="24"/>
              </w:rPr>
            </w:pPr>
            <w:r>
              <w:rPr>
                <w:rFonts w:eastAsiaTheme="majorEastAsia"/>
                <w:color w:val="333333"/>
                <w:kern w:val="0"/>
                <w:sz w:val="24"/>
              </w:rPr>
              <w:t>100%</w:t>
            </w:r>
          </w:p>
        </w:tc>
      </w:tr>
    </w:tbl>
    <w:p>
      <w:pPr>
        <w:spacing w:line="576" w:lineRule="exact"/>
        <w:ind w:left="630"/>
        <w:rPr>
          <w:rFonts w:eastAsia="仿宋_GB2312"/>
          <w:sz w:val="32"/>
          <w:szCs w:val="32"/>
        </w:rPr>
      </w:pPr>
      <w:r>
        <w:rPr>
          <w:rFonts w:eastAsia="楷体_GB2312"/>
          <w:sz w:val="32"/>
          <w:szCs w:val="32"/>
        </w:rPr>
        <w:t>2.</w:t>
      </w:r>
      <w:r>
        <w:rPr>
          <w:rFonts w:hAnsi="楷体_GB2312" w:eastAsia="楷体_GB2312"/>
          <w:sz w:val="32"/>
          <w:szCs w:val="32"/>
        </w:rPr>
        <w:t>部门绩效评价结果。</w:t>
      </w:r>
    </w:p>
    <w:p>
      <w:pPr>
        <w:widowControl/>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本部门按要求对2020年部门整体支出绩效评价情况开展自评，《区红十字会2020年部门整体支出绩效评价报告》见附件。</w:t>
      </w:r>
    </w:p>
    <w:p>
      <w:pPr>
        <w:widowControl/>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本部门自行组织对百万培训项目开展了绩效评价，《区红十字会2020年百万培训项目支出绩效评价报告》见附件。</w:t>
      </w:r>
    </w:p>
    <w:p>
      <w:pPr>
        <w:spacing w:line="576" w:lineRule="exact"/>
        <w:ind w:firstLine="640" w:firstLineChars="200"/>
        <w:rPr>
          <w:rFonts w:eastAsia="仿宋_GB2312"/>
          <w:sz w:val="32"/>
          <w:szCs w:val="32"/>
        </w:rPr>
      </w:pPr>
    </w:p>
    <w:p>
      <w:pPr>
        <w:widowControl/>
        <w:spacing w:line="576" w:lineRule="exact"/>
        <w:jc w:val="left"/>
        <w:rPr>
          <w:rFonts w:eastAsia="仿宋_GB2312"/>
          <w:b/>
          <w:color w:val="000000"/>
          <w:sz w:val="32"/>
          <w:szCs w:val="32"/>
        </w:rPr>
      </w:pPr>
      <w:r>
        <w:rPr>
          <w:rFonts w:eastAsia="仿宋_GB2312"/>
          <w:b/>
          <w:color w:val="000000"/>
          <w:sz w:val="32"/>
          <w:szCs w:val="32"/>
        </w:rPr>
        <w:br w:type="page"/>
      </w:r>
    </w:p>
    <w:p>
      <w:pPr>
        <w:numPr>
          <w:ilvl w:val="0"/>
          <w:numId w:val="3"/>
        </w:numPr>
        <w:spacing w:line="576" w:lineRule="exact"/>
        <w:ind w:firstLine="660" w:firstLineChars="150"/>
        <w:jc w:val="center"/>
        <w:outlineLvl w:val="0"/>
        <w:rPr>
          <w:rStyle w:val="19"/>
          <w:rFonts w:eastAsia="黑体"/>
          <w:b w:val="0"/>
        </w:rPr>
      </w:pPr>
      <w:bookmarkStart w:id="65" w:name="_Toc12161"/>
      <w:bookmarkStart w:id="66" w:name="_Toc15377225"/>
      <w:bookmarkStart w:id="67" w:name="_Toc4731"/>
      <w:bookmarkStart w:id="68" w:name="_Toc15396613"/>
      <w:r>
        <w:rPr>
          <w:rFonts w:hAnsi="黑体" w:eastAsia="黑体"/>
          <w:color w:val="000000"/>
          <w:sz w:val="44"/>
          <w:szCs w:val="44"/>
        </w:rPr>
        <w:t>名</w:t>
      </w:r>
      <w:r>
        <w:rPr>
          <w:rStyle w:val="19"/>
          <w:rFonts w:hAnsi="黑体" w:eastAsia="黑体"/>
          <w:b w:val="0"/>
        </w:rPr>
        <w:t>词解释</w:t>
      </w:r>
      <w:bookmarkEnd w:id="65"/>
      <w:bookmarkEnd w:id="66"/>
      <w:bookmarkEnd w:id="67"/>
      <w:bookmarkEnd w:id="68"/>
    </w:p>
    <w:p>
      <w:pPr>
        <w:spacing w:line="576" w:lineRule="exact"/>
        <w:jc w:val="left"/>
        <w:rPr>
          <w:b/>
          <w:color w:val="000000"/>
          <w:sz w:val="44"/>
          <w:szCs w:val="44"/>
        </w:rPr>
      </w:pPr>
    </w:p>
    <w:p>
      <w:pPr>
        <w:pStyle w:val="13"/>
        <w:shd w:val="clear" w:color="auto" w:fill="FFFFFF"/>
        <w:spacing w:line="576" w:lineRule="exact"/>
        <w:ind w:firstLine="560"/>
        <w:rPr>
          <w:rFonts w:eastAsia="仿宋_GB2312"/>
          <w:color w:val="333333"/>
          <w:sz w:val="32"/>
          <w:szCs w:val="32"/>
        </w:rPr>
      </w:pPr>
      <w:bookmarkStart w:id="69" w:name="_Toc15396614"/>
      <w:bookmarkStart w:id="70" w:name="_Toc15377226"/>
      <w:r>
        <w:rPr>
          <w:rFonts w:eastAsia="仿宋_GB2312"/>
          <w:color w:val="333333"/>
          <w:sz w:val="32"/>
          <w:szCs w:val="32"/>
          <w:shd w:val="clear" w:color="auto" w:fill="FFFFFF"/>
        </w:rPr>
        <w:t>1.财政拨款收入：指单位从同级财政部门取得的财政预算资金。</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2.事业收入：指事业单位开展专业业务活动及辅助活动取得的收入。</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3.经营收入：指事业单位在专业业务活动及其辅助活动之外开展非独立核算经营活动取得的收入。</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4.其他收入：指单位取得的除上述收入以外的各项收入。</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6.年初结转和结余：指以前年度尚未完成、结转到本年按有关规定继续使用的资金。</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7.结余分配：指事业单位按照事业单位会计制度的规定从非财政补助结余中分配的事业基金和职工福利基金等。</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8、年末结转和结余：指单位按有关规定结转到下年或以后年度继续使用的资金。</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9.社会保障和就业（208）行政事业单位离退休（20805）机关事业单位基本养老保险（2080505）：反映机关事业单位实施养老保险制度由单位缴纳的基本养老保险费支出。</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10.社会保障和就业（208）红十字事业（20816）行政运行（2081601）：反映行政单位（包括实行公务员管理的事业单位）的基本支出。</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11.社会保障和就业（208）红十字事业（20816）其他红十字事业（2081699）：反映其他用于红十字事业方面的支出。</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12.医疗卫生与计划生育（210）医疗保障（21005）事业单位医疗（2100502）：反映财政部门集中安排的事业单位基本养老保险缴费经费，未参加养老保险的事业单位的公费医疗经费，按国家规定享受离休人员待遇人员的医疗经费。</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13.住房保障（221）住房改革（22102）住房公积金（2210201）：反映行政事业单位按人力资源和社会保障部、财政部规定的基本工资和津贴补贴以及规定比例为职工缴纳的住房公积金。</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14.基本支出：指为保障机构正常运转、完成日常工作任务而发生的人员支出和公用支出。</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15.项目支出：指在基本支出之外为完成特定行政任务和事业发展目标所发生的支出。</w:t>
      </w:r>
    </w:p>
    <w:p>
      <w:pPr>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16.经营支出：指事业单位在专业业务活动及其辅助活动之外开展非独立核算经营活动发生的支出。</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spacing w:line="576" w:lineRule="exact"/>
        <w:rPr>
          <w:rFonts w:hint="eastAsia" w:eastAsia="仿宋_GB2312"/>
          <w:b/>
          <w:bCs/>
          <w:color w:val="333333"/>
          <w:kern w:val="0"/>
          <w:sz w:val="32"/>
          <w:szCs w:val="32"/>
          <w:shd w:val="clear" w:color="auto" w:fill="FFFFFF"/>
          <w:lang w:eastAsia="zh-CN"/>
        </w:rPr>
      </w:pPr>
    </w:p>
    <w:p>
      <w:pPr>
        <w:pStyle w:val="2"/>
        <w:rPr>
          <w:rFonts w:hint="eastAsia"/>
          <w:lang w:eastAsia="zh-CN"/>
        </w:rPr>
      </w:pPr>
    </w:p>
    <w:p>
      <w:pPr>
        <w:spacing w:line="576" w:lineRule="exact"/>
        <w:rPr>
          <w:rFonts w:eastAsia="仿宋_GB2312"/>
          <w:color w:val="333333"/>
          <w:kern w:val="0"/>
          <w:sz w:val="32"/>
          <w:szCs w:val="32"/>
          <w:shd w:val="clear" w:color="auto" w:fill="FFFFFF"/>
        </w:rPr>
      </w:pPr>
      <w:r>
        <w:rPr>
          <w:rFonts w:eastAsia="仿宋_GB2312"/>
          <w:color w:val="333333"/>
          <w:kern w:val="0"/>
          <w:sz w:val="32"/>
          <w:szCs w:val="32"/>
          <w:shd w:val="clear" w:color="auto" w:fill="FFFFFF"/>
        </w:rPr>
        <w:br w:type="page"/>
      </w:r>
    </w:p>
    <w:p>
      <w:pPr>
        <w:spacing w:line="576" w:lineRule="exact"/>
        <w:jc w:val="center"/>
        <w:outlineLvl w:val="0"/>
        <w:rPr>
          <w:rStyle w:val="19"/>
          <w:rFonts w:eastAsia="黑体"/>
          <w:b w:val="0"/>
        </w:rPr>
      </w:pPr>
      <w:bookmarkStart w:id="71" w:name="_Toc28223"/>
      <w:bookmarkStart w:id="72" w:name="_Toc21156"/>
      <w:r>
        <w:rPr>
          <w:rFonts w:hAnsi="黑体" w:eastAsia="黑体"/>
          <w:color w:val="000000"/>
          <w:sz w:val="44"/>
          <w:szCs w:val="44"/>
        </w:rPr>
        <w:t>第</w:t>
      </w:r>
      <w:r>
        <w:rPr>
          <w:rStyle w:val="19"/>
          <w:rFonts w:hAnsi="黑体" w:eastAsia="黑体"/>
          <w:b w:val="0"/>
        </w:rPr>
        <w:t>四部分</w:t>
      </w:r>
      <w:r>
        <w:rPr>
          <w:rStyle w:val="19"/>
          <w:rFonts w:eastAsia="黑体"/>
          <w:b w:val="0"/>
        </w:rPr>
        <w:t xml:space="preserve"> </w:t>
      </w:r>
      <w:r>
        <w:rPr>
          <w:rStyle w:val="19"/>
          <w:rFonts w:hAnsi="黑体" w:eastAsia="黑体"/>
          <w:b w:val="0"/>
        </w:rPr>
        <w:t>附件</w:t>
      </w:r>
      <w:bookmarkEnd w:id="69"/>
      <w:bookmarkEnd w:id="71"/>
      <w:bookmarkEnd w:id="72"/>
    </w:p>
    <w:p>
      <w:pPr>
        <w:spacing w:line="576" w:lineRule="exact"/>
        <w:outlineLvl w:val="1"/>
        <w:rPr>
          <w:rFonts w:eastAsia="方正小标宋简体"/>
          <w:sz w:val="32"/>
          <w:szCs w:val="32"/>
        </w:rPr>
      </w:pPr>
      <w:bookmarkStart w:id="73" w:name="_Toc19690"/>
      <w:bookmarkStart w:id="74" w:name="_Toc1576"/>
      <w:r>
        <w:rPr>
          <w:rFonts w:hAnsi="黑体" w:eastAsia="黑体"/>
          <w:sz w:val="32"/>
          <w:szCs w:val="32"/>
        </w:rPr>
        <w:t>附件</w:t>
      </w:r>
      <w:r>
        <w:rPr>
          <w:rFonts w:eastAsia="黑体"/>
          <w:sz w:val="32"/>
          <w:szCs w:val="32"/>
        </w:rPr>
        <w:t>1</w:t>
      </w:r>
      <w:bookmarkEnd w:id="73"/>
      <w:bookmarkEnd w:id="74"/>
    </w:p>
    <w:p>
      <w:pPr>
        <w:spacing w:line="576" w:lineRule="exact"/>
        <w:rPr>
          <w:rFonts w:eastAsia="方正小标宋简体"/>
          <w:sz w:val="44"/>
          <w:szCs w:val="44"/>
        </w:rPr>
      </w:pPr>
    </w:p>
    <w:p>
      <w:pPr>
        <w:pStyle w:val="5"/>
        <w:bidi w:val="0"/>
        <w:jc w:val="center"/>
        <w:rPr>
          <w:b/>
          <w:bCs/>
        </w:rPr>
      </w:pPr>
      <w:bookmarkStart w:id="75" w:name="_Toc23360"/>
      <w:r>
        <w:rPr>
          <w:b/>
          <w:bCs/>
        </w:rPr>
        <w:t>区红十字会2020年部门</w:t>
      </w:r>
      <w:r>
        <w:rPr>
          <w:b/>
          <w:bCs/>
          <w:lang w:val="zh-CN"/>
        </w:rPr>
        <w:t>整体支出绩效评价报告</w:t>
      </w:r>
      <w:bookmarkEnd w:id="75"/>
    </w:p>
    <w:p>
      <w:pPr>
        <w:adjustRightInd w:val="0"/>
        <w:snapToGrid w:val="0"/>
        <w:spacing w:line="576"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（一）机构组成</w:t>
      </w:r>
      <w:r>
        <w:rPr>
          <w:rFonts w:eastAsia="仿宋_GB2312"/>
          <w:color w:val="333333"/>
          <w:kern w:val="0"/>
          <w:sz w:val="32"/>
          <w:szCs w:val="32"/>
          <w:shd w:val="clear" w:color="auto" w:fill="FFFFFF"/>
        </w:rPr>
        <w:t>。根据广元市机构编制委员会《关于完善&lt;全市红十字会机构编制&gt;的通知》（广编发〔2008〕76号）和元编委发〔2008〕20号文件精神，我会于2008年12月完善机构编制。从2010年起纳入参公管理和一级财政全额预算单位，为区政府领导直接联系的依法独立从事人道主义工作的社会救助团体。设置2个职能股室，即办公室（含事业发展职能）、赈济部。核定事业编制5名,2016年减编1人后现有编制4人，在编人员4人，其中:公务员1人，参公人员2人，工勤人员1人。</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（二）机构职能</w:t>
      </w:r>
      <w:r>
        <w:rPr>
          <w:rFonts w:eastAsia="仿宋_GB2312"/>
          <w:color w:val="333333"/>
          <w:kern w:val="0"/>
          <w:sz w:val="32"/>
          <w:szCs w:val="32"/>
          <w:shd w:val="clear" w:color="auto" w:fill="FFFFFF"/>
        </w:rPr>
        <w:t>。一是传播国际红十字会运动和国际人道主义法，宣传、执行《中华人民共和国红十字</w:t>
      </w:r>
      <w:r>
        <w:rPr>
          <w:rFonts w:hint="eastAsia" w:eastAsia="仿宋_GB2312"/>
          <w:color w:val="333333"/>
          <w:kern w:val="0"/>
          <w:sz w:val="32"/>
          <w:szCs w:val="32"/>
          <w:shd w:val="clear" w:color="auto" w:fill="FFFFFF"/>
          <w:lang w:val="en-US" w:eastAsia="zh-CN"/>
        </w:rPr>
        <w:t>会</w:t>
      </w:r>
      <w:r>
        <w:rPr>
          <w:rFonts w:eastAsia="仿宋_GB2312"/>
          <w:color w:val="333333"/>
          <w:kern w:val="0"/>
          <w:sz w:val="32"/>
          <w:szCs w:val="32"/>
          <w:shd w:val="clear" w:color="auto" w:fill="FFFFFF"/>
        </w:rPr>
        <w:t>法》和《四川省实施&lt;中华人民共和国红十字</w:t>
      </w:r>
      <w:r>
        <w:rPr>
          <w:rFonts w:hint="eastAsia" w:eastAsia="仿宋_GB2312"/>
          <w:color w:val="333333"/>
          <w:kern w:val="0"/>
          <w:sz w:val="32"/>
          <w:szCs w:val="32"/>
          <w:shd w:val="clear" w:color="auto" w:fill="FFFFFF"/>
          <w:lang w:val="en-US" w:eastAsia="zh-CN"/>
        </w:rPr>
        <w:t>会</w:t>
      </w:r>
      <w:r>
        <w:rPr>
          <w:rFonts w:eastAsia="仿宋_GB2312"/>
          <w:color w:val="333333"/>
          <w:kern w:val="0"/>
          <w:sz w:val="32"/>
          <w:szCs w:val="32"/>
          <w:shd w:val="clear" w:color="auto" w:fill="FFFFFF"/>
        </w:rPr>
        <w:t>法&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（三）人员概况。</w:t>
      </w:r>
      <w:r>
        <w:rPr>
          <w:rFonts w:eastAsia="仿宋_GB2312"/>
          <w:color w:val="333333"/>
          <w:kern w:val="0"/>
          <w:sz w:val="32"/>
          <w:szCs w:val="32"/>
          <w:shd w:val="clear" w:color="auto" w:fill="FFFFFF"/>
        </w:rPr>
        <w:t>2020年在编人员4人，其中:公务员1人，参公人员2人，工勤人员1人。</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pPr>
        <w:shd w:val="clear" w:color="auto" w:fill="FFFFFF"/>
        <w:spacing w:line="576"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（一）部门财政资金收入情况</w:t>
      </w:r>
    </w:p>
    <w:p>
      <w:pPr>
        <w:shd w:val="clear" w:color="auto" w:fill="FFFFFF"/>
        <w:spacing w:line="576" w:lineRule="exact"/>
        <w:ind w:firstLine="640" w:firstLineChars="200"/>
        <w:rPr>
          <w:rFonts w:eastAsia="仿宋_GB2312"/>
          <w:color w:val="000000"/>
          <w:kern w:val="0"/>
          <w:sz w:val="32"/>
          <w:szCs w:val="32"/>
          <w:shd w:val="clear" w:color="auto" w:fill="FFFFFF"/>
          <w:lang w:val="zh-CN"/>
        </w:rPr>
      </w:pPr>
      <w:r>
        <w:rPr>
          <w:rFonts w:eastAsia="仿宋_GB2312"/>
          <w:color w:val="333333"/>
          <w:kern w:val="0"/>
          <w:sz w:val="32"/>
          <w:szCs w:val="32"/>
          <w:shd w:val="clear" w:color="auto" w:fill="FFFFFF"/>
        </w:rPr>
        <w:t>单位的各项收入做到应收尽收，所有收入均纳入账簿，各项收入无虚挂往来现象，并做到了及时入账。</w:t>
      </w:r>
    </w:p>
    <w:p>
      <w:pPr>
        <w:numPr>
          <w:ilvl w:val="0"/>
          <w:numId w:val="4"/>
        </w:numPr>
        <w:adjustRightInd w:val="0"/>
        <w:snapToGrid w:val="0"/>
        <w:spacing w:line="576"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部门财政资金支出情况</w:t>
      </w:r>
    </w:p>
    <w:p>
      <w:pPr>
        <w:shd w:val="clear" w:color="auto" w:fill="FFFFFF"/>
        <w:spacing w:line="576" w:lineRule="exact"/>
        <w:ind w:firstLine="640" w:firstLineChars="200"/>
        <w:rPr>
          <w:rFonts w:eastAsia="仿宋_GB2312"/>
          <w:color w:val="000000"/>
          <w:kern w:val="0"/>
          <w:sz w:val="32"/>
          <w:szCs w:val="32"/>
          <w:shd w:val="clear" w:color="auto" w:fill="FFFFFF"/>
        </w:rPr>
      </w:pPr>
      <w:r>
        <w:rPr>
          <w:rFonts w:eastAsia="仿宋_GB2312"/>
          <w:color w:val="333333"/>
          <w:kern w:val="0"/>
          <w:sz w:val="32"/>
          <w:szCs w:val="32"/>
          <w:shd w:val="clear" w:color="auto" w:fill="FFFFFF"/>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w:t>
      </w:r>
      <w:bookmarkStart w:id="183" w:name="_GoBack"/>
      <w:bookmarkEnd w:id="183"/>
      <w:r>
        <w:rPr>
          <w:rFonts w:eastAsia="仿宋_GB2312"/>
          <w:color w:val="333333"/>
          <w:kern w:val="0"/>
          <w:sz w:val="32"/>
          <w:szCs w:val="32"/>
          <w:shd w:val="clear" w:color="auto" w:fill="FFFFFF"/>
        </w:rPr>
        <w:t>。未发现利用财政或自由资金对外借、贷款问题。</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pPr>
        <w:adjustRightInd w:val="0"/>
        <w:snapToGrid w:val="0"/>
        <w:spacing w:line="576"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（一）部门预算管理。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区红十字会部门绩效目标制定合理、目标完成良好、预算编制准确，支出控制、预算动态调整、执行进度合理，预算完成情况良好。</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（二）专项预算管理。区红十字会专项预算项目程序严密、规划合理、结果符合、分配科学、分配及时，专项预算绩效目标完成良好。</w:t>
      </w:r>
    </w:p>
    <w:p>
      <w:pPr>
        <w:adjustRightInd w:val="0"/>
        <w:snapToGrid w:val="0"/>
        <w:spacing w:line="576" w:lineRule="exact"/>
        <w:ind w:firstLine="640" w:firstLineChars="200"/>
        <w:contextualSpacing/>
        <w:rPr>
          <w:rFonts w:eastAsia="仿宋_GB2312"/>
          <w:color w:val="333333"/>
          <w:kern w:val="0"/>
          <w:sz w:val="32"/>
          <w:szCs w:val="32"/>
          <w:shd w:val="clear" w:color="auto" w:fill="FFFFFF"/>
        </w:rPr>
      </w:pPr>
      <w:r>
        <w:rPr>
          <w:rFonts w:eastAsia="仿宋_GB2312"/>
          <w:color w:val="333333"/>
          <w:kern w:val="0"/>
          <w:sz w:val="32"/>
          <w:szCs w:val="32"/>
          <w:shd w:val="clear" w:color="auto" w:fill="FFFFFF"/>
        </w:rPr>
        <w:t>（三）结果应用情况。区红十字会自评质量良好、绩效目标公开和自评公开、评价结果整改到位，评价结果应用合理。</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（一）评价结论</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1、财务管理绩效总评价结果</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2020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优良。</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通过对区红十字会2020年部门财务管理三级指标的分析考评，区红十字会2020年部门财务管理绩效评价得分为98分，综合评价结果为优级。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2、项目绩效总评价结果</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通过该项目三级指标的分析考评，该项目的绩效评价得分为96 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（二）存在问题</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单位固定资产没有定期盘点记录，没有专人管理。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（三）改进建议</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规范和完善固定资产管理，确定实物资产管理人，根据实物资产建立固定资产卡片，如存在划拨资产、盘盈盘亏情况，应根据相关划拨单、盘点表及相关内部盘点结果处理情况进行账务处理。</w:t>
      </w:r>
    </w:p>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p>
      <w:pPr>
        <w:spacing w:line="576" w:lineRule="exact"/>
        <w:rPr>
          <w:rFonts w:eastAsia="黑体"/>
          <w:sz w:val="32"/>
          <w:szCs w:val="32"/>
        </w:rPr>
      </w:pPr>
    </w:p>
    <w:p>
      <w:pPr>
        <w:spacing w:line="576" w:lineRule="exact"/>
        <w:rPr>
          <w:rFonts w:eastAsia="黑体"/>
          <w:sz w:val="32"/>
          <w:szCs w:val="32"/>
        </w:rPr>
      </w:pPr>
    </w:p>
    <w:p>
      <w:pPr>
        <w:spacing w:line="576" w:lineRule="exact"/>
        <w:rPr>
          <w:rFonts w:eastAsia="黑体"/>
          <w:sz w:val="32"/>
          <w:szCs w:val="32"/>
        </w:rPr>
      </w:pPr>
    </w:p>
    <w:p>
      <w:pPr>
        <w:spacing w:line="576" w:lineRule="exact"/>
        <w:outlineLvl w:val="1"/>
        <w:rPr>
          <w:rFonts w:hAnsi="黑体" w:eastAsia="黑体"/>
          <w:sz w:val="32"/>
          <w:szCs w:val="32"/>
        </w:rPr>
      </w:pPr>
      <w:bookmarkStart w:id="76" w:name="_Toc27186"/>
      <w:r>
        <w:rPr>
          <w:rFonts w:hAnsi="黑体" w:eastAsia="黑体"/>
          <w:sz w:val="32"/>
          <w:szCs w:val="32"/>
        </w:rPr>
        <w:t>附件</w:t>
      </w:r>
      <w:r>
        <w:rPr>
          <w:rFonts w:hint="eastAsia" w:hAnsi="黑体" w:eastAsia="黑体"/>
          <w:sz w:val="32"/>
          <w:szCs w:val="32"/>
          <w:lang w:eastAsia="zh-CN"/>
        </w:rPr>
        <w:t>：</w:t>
      </w:r>
      <w:r>
        <w:rPr>
          <w:rFonts w:hAnsi="黑体" w:eastAsia="黑体"/>
          <w:sz w:val="32"/>
          <w:szCs w:val="32"/>
        </w:rPr>
        <w:t>2</w:t>
      </w:r>
      <w:bookmarkEnd w:id="76"/>
    </w:p>
    <w:p>
      <w:pPr>
        <w:spacing w:line="576" w:lineRule="exact"/>
        <w:ind w:firstLine="640" w:firstLineChars="200"/>
        <w:rPr>
          <w:rFonts w:eastAsia="仿宋_GB2312"/>
          <w:sz w:val="32"/>
          <w:szCs w:val="32"/>
        </w:rPr>
      </w:pPr>
    </w:p>
    <w:p>
      <w:pPr>
        <w:spacing w:line="576" w:lineRule="exact"/>
        <w:jc w:val="center"/>
        <w:outlineLvl w:val="0"/>
        <w:rPr>
          <w:rFonts w:hAnsi="黑体" w:eastAsia="黑体"/>
          <w:b/>
          <w:bCs/>
          <w:sz w:val="32"/>
          <w:szCs w:val="32"/>
        </w:rPr>
      </w:pPr>
      <w:bookmarkStart w:id="77" w:name="_Toc30777"/>
      <w:bookmarkStart w:id="78" w:name="_Toc9369"/>
      <w:r>
        <w:rPr>
          <w:rFonts w:hAnsi="黑体" w:eastAsia="黑体"/>
          <w:b/>
          <w:bCs/>
          <w:sz w:val="32"/>
          <w:szCs w:val="32"/>
        </w:rPr>
        <w:t>区红十字会2020年百万培训项目支出</w:t>
      </w:r>
      <w:bookmarkEnd w:id="77"/>
      <w:bookmarkStart w:id="79" w:name="_Toc6231"/>
      <w:r>
        <w:rPr>
          <w:rFonts w:hAnsi="黑体" w:eastAsia="黑体"/>
          <w:b/>
          <w:bCs/>
          <w:sz w:val="32"/>
          <w:szCs w:val="32"/>
        </w:rPr>
        <w:t>绩效评价报告</w:t>
      </w:r>
      <w:bookmarkEnd w:id="78"/>
      <w:bookmarkEnd w:id="79"/>
    </w:p>
    <w:p>
      <w:pPr>
        <w:spacing w:line="576" w:lineRule="exact"/>
        <w:jc w:val="center"/>
        <w:outlineLvl w:val="9"/>
        <w:rPr>
          <w:rFonts w:hAnsi="黑体" w:eastAsia="黑体"/>
          <w:sz w:val="32"/>
          <w:szCs w:val="32"/>
        </w:rPr>
      </w:pP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80" w:name="_Toc18911"/>
      <w:r>
        <w:rPr>
          <w:rFonts w:hAnsi="黑体" w:eastAsia="黑体"/>
          <w:color w:val="333333"/>
          <w:kern w:val="0"/>
          <w:sz w:val="32"/>
          <w:szCs w:val="32"/>
          <w:shd w:val="clear" w:color="auto" w:fill="FFFFFF"/>
        </w:rPr>
        <w:t>一、评价工作开展及项目情况</w:t>
      </w:r>
      <w:bookmarkEnd w:id="80"/>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81" w:name="_Toc32270"/>
      <w:r>
        <w:rPr>
          <w:rFonts w:hAnsi="黑体" w:eastAsia="黑体"/>
          <w:color w:val="333333"/>
          <w:kern w:val="0"/>
          <w:sz w:val="32"/>
          <w:szCs w:val="32"/>
          <w:shd w:val="clear" w:color="auto" w:fill="FFFFFF"/>
        </w:rPr>
        <w:t>二、评价结论及绩效分析</w:t>
      </w:r>
      <w:bookmarkEnd w:id="81"/>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（一）评价结论</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该项目的绩效评价得分为96 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（二）绩效分析</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1、项目决策</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按照批准的项目和用途以及项目实施方案执行，无自行改变项目内容，扩大支出范围现象。无自行调整项目支出预算问题，所有项目支出均合理合规。</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2、项目管理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资金分配情况科学合理，项目资金管理、使用科学规范。</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执行国家有关财经法规，厉行节约，量入为出，降低行政事业成本，提高资金使用效益。</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3、项目绩效</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在全区行政村、学校实施公益性初级应急救护“百万培训项目”，不断提高救护知识普及率，增强广大群众和中小学生面对各种突发意外事件的自救互救能力，保护因意外事件受伤人员的生命和健康，助推精准扶贫，为加快建设“五个昭化”建设。全区2020年完成培训人数8000人。</w:t>
      </w: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82" w:name="_Toc20777"/>
      <w:r>
        <w:rPr>
          <w:rFonts w:hAnsi="黑体" w:eastAsia="黑体"/>
          <w:color w:val="333333"/>
          <w:kern w:val="0"/>
          <w:sz w:val="32"/>
          <w:szCs w:val="32"/>
          <w:shd w:val="clear" w:color="auto" w:fill="FFFFFF"/>
        </w:rPr>
        <w:t>三、存在主要问题</w:t>
      </w:r>
      <w:bookmarkEnd w:id="82"/>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绩效目标未完全实现，需要进一步加强宣传倡导。</w:t>
      </w:r>
    </w:p>
    <w:p>
      <w:pPr>
        <w:shd w:val="clear" w:color="auto" w:fill="FFFFFF"/>
        <w:spacing w:line="576" w:lineRule="exact"/>
        <w:ind w:firstLine="640" w:firstLineChars="200"/>
        <w:outlineLvl w:val="1"/>
        <w:rPr>
          <w:rFonts w:eastAsia="黑体"/>
          <w:color w:val="333333"/>
          <w:sz w:val="32"/>
          <w:szCs w:val="32"/>
        </w:rPr>
      </w:pPr>
      <w:bookmarkStart w:id="83" w:name="_Toc13780"/>
      <w:r>
        <w:rPr>
          <w:rFonts w:hAnsi="黑体" w:eastAsia="黑体"/>
          <w:color w:val="333333"/>
          <w:kern w:val="0"/>
          <w:sz w:val="32"/>
          <w:szCs w:val="32"/>
          <w:shd w:val="clear" w:color="auto" w:fill="FFFFFF"/>
        </w:rPr>
        <w:t>四、</w:t>
      </w:r>
      <w:r>
        <w:rPr>
          <w:rFonts w:eastAsia="黑体"/>
          <w:color w:val="333333"/>
          <w:kern w:val="0"/>
          <w:sz w:val="32"/>
          <w:szCs w:val="32"/>
          <w:shd w:val="clear" w:color="auto" w:fill="FFFFFF"/>
        </w:rPr>
        <w:t> </w:t>
      </w:r>
      <w:r>
        <w:rPr>
          <w:rFonts w:hAnsi="黑体" w:eastAsia="黑体"/>
          <w:color w:val="333333"/>
          <w:kern w:val="0"/>
          <w:sz w:val="32"/>
          <w:szCs w:val="32"/>
          <w:shd w:val="clear" w:color="auto" w:fill="FFFFFF"/>
        </w:rPr>
        <w:t>相关措施建议</w:t>
      </w:r>
      <w:bookmarkEnd w:id="83"/>
    </w:p>
    <w:p>
      <w:p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在以后年度的项目实施过程中，细化实施方案，加强项目实施管理，实现当年度绩效目标。同时加强宣传力度，提升老百姓的认知度和对该项目的满意度。</w:t>
      </w:r>
      <w:bookmarkEnd w:id="70"/>
    </w:p>
    <w:p>
      <w:pPr>
        <w:pStyle w:val="2"/>
        <w:rPr>
          <w:rFonts w:eastAsia="仿宋_GB2312"/>
          <w:color w:val="333333"/>
          <w:kern w:val="0"/>
          <w:sz w:val="32"/>
          <w:szCs w:val="32"/>
          <w:shd w:val="clear" w:color="auto" w:fill="FFFFFF"/>
        </w:rPr>
      </w:pPr>
    </w:p>
    <w:p>
      <w:pPr>
        <w:rPr>
          <w:rFonts w:eastAsia="仿宋_GB2312"/>
          <w:color w:val="333333"/>
          <w:kern w:val="0"/>
          <w:sz w:val="32"/>
          <w:szCs w:val="32"/>
          <w:shd w:val="clear" w:color="auto" w:fill="FFFFFF"/>
        </w:rPr>
      </w:pPr>
    </w:p>
    <w:p>
      <w:pPr>
        <w:pStyle w:val="2"/>
        <w:rPr>
          <w:rFonts w:eastAsia="仿宋_GB2312"/>
          <w:color w:val="333333"/>
          <w:kern w:val="0"/>
          <w:sz w:val="32"/>
          <w:szCs w:val="32"/>
          <w:shd w:val="clear" w:color="auto" w:fill="FFFFFF"/>
        </w:rPr>
      </w:pPr>
    </w:p>
    <w:p>
      <w:pPr>
        <w:spacing w:line="600" w:lineRule="exact"/>
        <w:jc w:val="center"/>
        <w:outlineLvl w:val="0"/>
        <w:rPr>
          <w:rFonts w:ascii="仿宋" w:hAnsi="仿宋" w:eastAsia="仿宋"/>
          <w:b/>
          <w:color w:val="000000"/>
          <w:sz w:val="44"/>
          <w:szCs w:val="44"/>
        </w:rPr>
      </w:pPr>
      <w:bookmarkStart w:id="84" w:name="_Toc15396618"/>
      <w:bookmarkStart w:id="85" w:name="_Toc18784"/>
      <w:bookmarkStart w:id="86" w:name="_Toc9452"/>
      <w:bookmarkStart w:id="87" w:name="_Toc23188"/>
      <w:bookmarkStart w:id="88" w:name="_Toc16713"/>
      <w:bookmarkStart w:id="89" w:name="_Toc9999"/>
      <w:bookmarkStart w:id="90" w:name="_Toc11605"/>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84"/>
      <w:bookmarkEnd w:id="85"/>
      <w:bookmarkEnd w:id="86"/>
      <w:bookmarkEnd w:id="87"/>
      <w:bookmarkEnd w:id="88"/>
      <w:bookmarkEnd w:id="89"/>
      <w:bookmarkEnd w:id="90"/>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91" w:name="_Toc32017"/>
      <w:bookmarkStart w:id="92" w:name="_Toc16909"/>
      <w:bookmarkStart w:id="93" w:name="_Toc2591"/>
      <w:bookmarkStart w:id="94" w:name="_Toc25448"/>
      <w:bookmarkStart w:id="95" w:name="_Toc22801"/>
      <w:bookmarkStart w:id="96" w:name="_Toc15396619"/>
      <w:bookmarkStart w:id="97" w:name="_Toc10235"/>
      <w:r>
        <w:rPr>
          <w:rFonts w:hint="eastAsia" w:ascii="仿宋" w:hAnsi="仿宋" w:eastAsia="仿宋"/>
          <w:b w:val="0"/>
          <w:color w:val="000000"/>
        </w:rPr>
        <w:t>一、收</w:t>
      </w:r>
      <w:r>
        <w:rPr>
          <w:rStyle w:val="29"/>
          <w:rFonts w:hint="eastAsia" w:ascii="仿宋" w:hAnsi="仿宋" w:eastAsia="仿宋"/>
          <w:b w:val="0"/>
          <w:bCs w:val="0"/>
        </w:rPr>
        <w:t>入支出决算总表</w:t>
      </w:r>
      <w:bookmarkEnd w:id="91"/>
      <w:bookmarkEnd w:id="92"/>
      <w:bookmarkEnd w:id="93"/>
      <w:bookmarkEnd w:id="94"/>
      <w:bookmarkEnd w:id="95"/>
      <w:bookmarkEnd w:id="96"/>
      <w:bookmarkEnd w:id="97"/>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98" w:name="_Toc26989"/>
      <w:bookmarkStart w:id="99" w:name="_Toc16220"/>
      <w:bookmarkStart w:id="100" w:name="_Toc4161"/>
      <w:bookmarkStart w:id="101" w:name="_Toc25743"/>
      <w:bookmarkStart w:id="102" w:name="_Toc15828"/>
      <w:bookmarkStart w:id="103" w:name="_Toc15396620"/>
      <w:bookmarkStart w:id="104" w:name="_Toc23716"/>
      <w:r>
        <w:rPr>
          <w:rFonts w:hint="eastAsia" w:ascii="仿宋" w:hAnsi="仿宋" w:eastAsia="仿宋"/>
          <w:b w:val="0"/>
          <w:color w:val="000000"/>
        </w:rPr>
        <w:t>二、收</w:t>
      </w:r>
      <w:r>
        <w:rPr>
          <w:rStyle w:val="29"/>
          <w:rFonts w:hint="eastAsia" w:ascii="仿宋" w:hAnsi="仿宋" w:eastAsia="仿宋"/>
          <w:b w:val="0"/>
          <w:bCs w:val="0"/>
        </w:rPr>
        <w:t>入决算表</w:t>
      </w:r>
      <w:bookmarkEnd w:id="98"/>
      <w:bookmarkEnd w:id="99"/>
      <w:bookmarkEnd w:id="100"/>
      <w:bookmarkEnd w:id="101"/>
      <w:bookmarkEnd w:id="102"/>
      <w:bookmarkEnd w:id="103"/>
      <w:bookmarkEnd w:id="104"/>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05" w:name="_Toc30657"/>
      <w:bookmarkStart w:id="106" w:name="_Toc5027"/>
      <w:bookmarkStart w:id="107" w:name="_Toc26141"/>
      <w:bookmarkStart w:id="108" w:name="_Toc15396621"/>
      <w:bookmarkStart w:id="109" w:name="_Toc8108"/>
      <w:bookmarkStart w:id="110" w:name="_Toc21813"/>
      <w:bookmarkStart w:id="111" w:name="_Toc15436"/>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05"/>
      <w:bookmarkEnd w:id="106"/>
      <w:bookmarkEnd w:id="107"/>
      <w:bookmarkEnd w:id="108"/>
      <w:bookmarkEnd w:id="109"/>
      <w:bookmarkEnd w:id="110"/>
      <w:bookmarkEnd w:id="111"/>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b w:val="0"/>
          <w:color w:val="000000"/>
        </w:rPr>
      </w:pPr>
      <w:bookmarkStart w:id="112" w:name="_Toc19559"/>
      <w:bookmarkStart w:id="113" w:name="_Toc10159"/>
      <w:bookmarkStart w:id="114" w:name="_Toc7807"/>
      <w:bookmarkStart w:id="115" w:name="_Toc4494"/>
      <w:bookmarkStart w:id="116" w:name="_Toc18009"/>
      <w:bookmarkStart w:id="117" w:name="_Toc15396622"/>
      <w:bookmarkStart w:id="118" w:name="_Toc197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2"/>
      <w:bookmarkEnd w:id="113"/>
      <w:bookmarkEnd w:id="114"/>
      <w:bookmarkEnd w:id="115"/>
      <w:bookmarkEnd w:id="116"/>
      <w:bookmarkEnd w:id="117"/>
      <w:bookmarkEnd w:id="118"/>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Style w:val="29"/>
          <w:rFonts w:ascii="仿宋" w:hAnsi="仿宋" w:eastAsia="仿宋"/>
          <w:b w:val="0"/>
          <w:bCs w:val="0"/>
        </w:rPr>
      </w:pPr>
      <w:bookmarkStart w:id="119" w:name="_Toc1651"/>
      <w:bookmarkStart w:id="120" w:name="_Toc11556"/>
      <w:bookmarkStart w:id="121" w:name="_Toc23070"/>
      <w:bookmarkStart w:id="122" w:name="_Toc26260"/>
      <w:bookmarkStart w:id="123" w:name="_Toc15396623"/>
      <w:bookmarkStart w:id="124" w:name="_Toc22085"/>
      <w:bookmarkStart w:id="125" w:name="_Toc1332"/>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19"/>
      <w:bookmarkEnd w:id="120"/>
      <w:bookmarkEnd w:id="121"/>
      <w:bookmarkEnd w:id="122"/>
      <w:bookmarkEnd w:id="123"/>
      <w:bookmarkEnd w:id="124"/>
      <w:bookmarkEnd w:id="125"/>
      <w:bookmarkStart w:id="126" w:name="_Toc15396624"/>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27" w:name="_Toc743"/>
      <w:bookmarkStart w:id="128" w:name="_Toc14706"/>
      <w:bookmarkStart w:id="129" w:name="_Toc12770"/>
      <w:bookmarkStart w:id="130" w:name="_Toc24431"/>
      <w:bookmarkStart w:id="131" w:name="_Toc5429"/>
      <w:bookmarkStart w:id="132" w:name="_Toc392"/>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6"/>
      <w:bookmarkEnd w:id="127"/>
      <w:bookmarkEnd w:id="128"/>
      <w:bookmarkEnd w:id="129"/>
      <w:bookmarkEnd w:id="130"/>
      <w:bookmarkEnd w:id="131"/>
      <w:bookmarkEnd w:id="132"/>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33" w:name="_Toc29139"/>
      <w:bookmarkStart w:id="134" w:name="_Toc15396625"/>
      <w:bookmarkStart w:id="135" w:name="_Toc3970"/>
      <w:bookmarkStart w:id="136" w:name="_Toc31757"/>
      <w:bookmarkStart w:id="137" w:name="_Toc17540"/>
      <w:bookmarkStart w:id="138" w:name="_Toc4157"/>
      <w:bookmarkStart w:id="139" w:name="_Toc6000"/>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33"/>
      <w:bookmarkEnd w:id="134"/>
      <w:bookmarkEnd w:id="135"/>
      <w:bookmarkEnd w:id="136"/>
      <w:bookmarkEnd w:id="137"/>
      <w:bookmarkEnd w:id="138"/>
      <w:bookmarkEnd w:id="139"/>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40" w:name="_Toc24515"/>
      <w:bookmarkStart w:id="141" w:name="_Toc5547"/>
      <w:bookmarkStart w:id="142" w:name="_Toc26386"/>
      <w:bookmarkStart w:id="143" w:name="_Toc14687"/>
      <w:bookmarkStart w:id="144" w:name="_Toc11707"/>
      <w:bookmarkStart w:id="145"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40"/>
      <w:bookmarkEnd w:id="141"/>
      <w:bookmarkEnd w:id="142"/>
      <w:bookmarkEnd w:id="143"/>
      <w:bookmarkEnd w:id="144"/>
      <w:bookmarkEnd w:id="145"/>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46" w:name="_Toc31846"/>
      <w:bookmarkStart w:id="147" w:name="_Toc12945"/>
      <w:bookmarkStart w:id="148" w:name="_Toc13501"/>
      <w:bookmarkStart w:id="149" w:name="_Toc23866"/>
      <w:bookmarkStart w:id="150" w:name="_Toc28131"/>
      <w:bookmarkStart w:id="151" w:name="_Toc21293"/>
      <w:bookmarkStart w:id="152"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46"/>
      <w:bookmarkEnd w:id="147"/>
      <w:bookmarkEnd w:id="148"/>
      <w:bookmarkEnd w:id="149"/>
      <w:bookmarkEnd w:id="150"/>
      <w:bookmarkEnd w:id="151"/>
      <w:bookmarkEnd w:id="152"/>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53" w:name="_Toc14111"/>
      <w:bookmarkStart w:id="154" w:name="_Toc19068"/>
      <w:bookmarkStart w:id="155" w:name="_Toc15396628"/>
      <w:bookmarkStart w:id="156" w:name="_Toc8534"/>
      <w:bookmarkStart w:id="157" w:name="_Toc1902"/>
      <w:bookmarkStart w:id="158" w:name="_Toc27505"/>
      <w:bookmarkStart w:id="159" w:name="_Toc7125"/>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53"/>
      <w:bookmarkEnd w:id="154"/>
      <w:bookmarkEnd w:id="155"/>
      <w:bookmarkEnd w:id="156"/>
      <w:bookmarkEnd w:id="157"/>
      <w:bookmarkEnd w:id="158"/>
      <w:bookmarkEnd w:id="159"/>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60" w:name="_Toc17257"/>
      <w:bookmarkStart w:id="161" w:name="_Toc2479"/>
      <w:bookmarkStart w:id="162" w:name="_Toc5665"/>
      <w:bookmarkStart w:id="163" w:name="_Toc12393"/>
      <w:bookmarkStart w:id="164" w:name="_Toc15396629"/>
      <w:bookmarkStart w:id="165" w:name="_Toc20394"/>
      <w:bookmarkStart w:id="166" w:name="_Toc3641"/>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60"/>
      <w:bookmarkEnd w:id="161"/>
      <w:bookmarkEnd w:id="162"/>
      <w:bookmarkEnd w:id="163"/>
      <w:bookmarkEnd w:id="164"/>
      <w:bookmarkEnd w:id="165"/>
      <w:bookmarkEnd w:id="166"/>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67" w:name="_Toc5463"/>
      <w:bookmarkStart w:id="168" w:name="_Toc16591"/>
      <w:bookmarkStart w:id="169" w:name="_Toc3511"/>
      <w:bookmarkStart w:id="170" w:name="_Toc2702"/>
      <w:bookmarkStart w:id="171" w:name="_Toc26650"/>
      <w:bookmarkStart w:id="172" w:name="_Toc15396630"/>
      <w:bookmarkStart w:id="173" w:name="_Toc8065"/>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67"/>
      <w:bookmarkEnd w:id="168"/>
      <w:bookmarkEnd w:id="169"/>
      <w:bookmarkEnd w:id="170"/>
      <w:bookmarkEnd w:id="171"/>
      <w:bookmarkEnd w:id="172"/>
      <w:bookmarkEnd w:id="173"/>
    </w:p>
    <w:p>
      <w:pPr>
        <w:pStyle w:val="5"/>
        <w:rPr>
          <w:rStyle w:val="20"/>
          <w:rFonts w:hint="eastAsia" w:ascii="仿宋" w:hAnsi="仿宋" w:eastAsia="仿宋"/>
          <w:b w:val="0"/>
          <w:bCs w:val="0"/>
          <w:color w:val="auto"/>
          <w:highlight w:val="none"/>
        </w:rPr>
      </w:pPr>
      <w:bookmarkStart w:id="174" w:name="_Toc18633"/>
      <w:bookmarkStart w:id="175" w:name="_Toc3790"/>
      <w:bookmarkStart w:id="176" w:name="_Toc31450"/>
      <w:bookmarkStart w:id="177" w:name="_Toc4694"/>
      <w:bookmarkStart w:id="178" w:name="_Toc22735"/>
      <w:bookmarkStart w:id="179" w:name="_Toc19615"/>
      <w:bookmarkStart w:id="180" w:name="_Toc15396631"/>
      <w:r>
        <w:rPr>
          <w:rStyle w:val="29"/>
          <w:rFonts w:hint="eastAsia" w:ascii="仿宋" w:hAnsi="仿宋" w:eastAsia="仿宋"/>
          <w:b w:val="0"/>
          <w:bCs w:val="0"/>
        </w:rPr>
        <w:t>十三、</w:t>
      </w:r>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74"/>
      <w:bookmarkEnd w:id="175"/>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ascii="仿宋" w:hAnsi="仿宋" w:eastAsia="仿宋"/>
          <w:color w:val="000000"/>
        </w:rPr>
      </w:pPr>
      <w:bookmarkStart w:id="181" w:name="_Toc7609"/>
      <w:bookmarkStart w:id="182" w:name="_Toc2874"/>
      <w:r>
        <w:rPr>
          <w:rFonts w:hint="eastAsia" w:ascii="仿宋" w:hAnsi="仿宋" w:eastAsia="仿宋"/>
          <w:b w:val="0"/>
          <w:color w:val="000000"/>
          <w:lang w:eastAsia="zh-CN"/>
        </w:rPr>
        <w:t>十四、</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176"/>
      <w:bookmarkEnd w:id="177"/>
      <w:bookmarkEnd w:id="178"/>
      <w:bookmarkEnd w:id="179"/>
      <w:bookmarkEnd w:id="180"/>
      <w:bookmarkEnd w:id="181"/>
      <w:bookmarkEnd w:id="182"/>
    </w:p>
    <w:p/>
    <w:sectPr>
      <w:footerReference r:id="rId5" w:type="default"/>
      <w:pgSz w:w="11906" w:h="16838"/>
      <w:pgMar w:top="2098" w:right="1474" w:bottom="1985" w:left="1588" w:header="851" w:footer="1531"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行楷简体">
    <w:altName w:val="宋体"/>
    <w:panose1 w:val="02010601030101010101"/>
    <w:charset w:val="86"/>
    <w:family w:val="auto"/>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hint="eastAsia" w:ascii="宋体" w:hAnsi="宋体"/>
                              <w:sz w:val="28"/>
                              <w:szCs w:val="28"/>
                            </w:rPr>
                            <w:id w:val="29654762"/>
                            <w:docPartObj>
                              <w:docPartGallery w:val="autotext"/>
                            </w:docPartObj>
                          </w:sdtPr>
                          <w:sdtEndPr>
                            <w:rPr>
                              <w:rFonts w:hint="eastAsia" w:ascii="宋体" w:hAnsi="宋体"/>
                              <w:sz w:val="28"/>
                              <w:szCs w:val="28"/>
                            </w:rPr>
                          </w:sdtEndPr>
                          <w:sdtContent>
                            <w:p>
                              <w:pPr>
                                <w:pStyle w:val="9"/>
                                <w:rPr>
                                  <w:rStyle w:val="1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2</w:t>
                              </w:r>
                              <w:r>
                                <w:rPr>
                                  <w:rFonts w:ascii="宋体" w:hAnsi="宋体"/>
                                  <w:sz w:val="28"/>
                                  <w:szCs w:val="28"/>
                                </w:rPr>
                                <w:fldChar w:fldCharType="end"/>
                              </w:r>
                              <w:r>
                                <w:rPr>
                                  <w:rFonts w:hint="eastAsia" w:ascii="宋体" w:hAnsi="宋体"/>
                                  <w:sz w:val="28"/>
                                  <w:szCs w:val="28"/>
                                </w:rPr>
                                <w:t>—</w:t>
                              </w:r>
                            </w:p>
                          </w:sdtContent>
                        </w:sdt>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EJJp7gAQAAuQMAAA4AAAAA&#10;AAAAAQAgAAAAHgEAAGRycy9lMm9Eb2MueG1sUEsFBgAAAAAGAAYAWQEAAHAFAAAAAA==&#10;">
              <v:fill on="f" focussize="0,0"/>
              <v:stroke on="f"/>
              <v:imagedata o:title=""/>
              <o:lock v:ext="edit" aspectratio="f"/>
              <v:textbox inset="0mm,0mm,0mm,0mm" style="mso-fit-shape-to-text:t;">
                <w:txbxContent>
                  <w:sdt>
                    <w:sdtPr>
                      <w:rPr>
                        <w:rFonts w:hint="eastAsia" w:ascii="宋体" w:hAnsi="宋体"/>
                        <w:sz w:val="28"/>
                        <w:szCs w:val="28"/>
                      </w:rPr>
                      <w:id w:val="29654762"/>
                      <w:docPartObj>
                        <w:docPartGallery w:val="autotext"/>
                      </w:docPartObj>
                    </w:sdtPr>
                    <w:sdtEndPr>
                      <w:rPr>
                        <w:rFonts w:hint="eastAsia" w:ascii="宋体" w:hAnsi="宋体"/>
                        <w:sz w:val="28"/>
                        <w:szCs w:val="28"/>
                      </w:rPr>
                    </w:sdtEndPr>
                    <w:sdtContent>
                      <w:p>
                        <w:pPr>
                          <w:pStyle w:val="9"/>
                          <w:rPr>
                            <w:rStyle w:val="1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2</w:t>
                        </w:r>
                        <w:r>
                          <w:rPr>
                            <w:rFonts w:ascii="宋体" w:hAnsi="宋体"/>
                            <w:sz w:val="28"/>
                            <w:szCs w:val="28"/>
                          </w:rPr>
                          <w:fldChar w:fldCharType="end"/>
                        </w:r>
                        <w:r>
                          <w:rPr>
                            <w:rFonts w:hint="eastAsia" w:ascii="宋体" w:hAnsi="宋体"/>
                            <w:sz w:val="28"/>
                            <w:szCs w:val="28"/>
                          </w:rPr>
                          <w:t>—</w:t>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AF1CD"/>
    <w:multiLevelType w:val="singleLevel"/>
    <w:tmpl w:val="8CEAF1CD"/>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4241948"/>
    <w:multiLevelType w:val="singleLevel"/>
    <w:tmpl w:val="4424194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48E05BCE"/>
    <w:rsid w:val="00103509"/>
    <w:rsid w:val="00114FB8"/>
    <w:rsid w:val="002D3701"/>
    <w:rsid w:val="004D5575"/>
    <w:rsid w:val="00525650"/>
    <w:rsid w:val="005C340E"/>
    <w:rsid w:val="007F3C6F"/>
    <w:rsid w:val="008B499D"/>
    <w:rsid w:val="00A05A4C"/>
    <w:rsid w:val="00CC411F"/>
    <w:rsid w:val="00CC62CE"/>
    <w:rsid w:val="00D4474E"/>
    <w:rsid w:val="00D8331F"/>
    <w:rsid w:val="01162FB0"/>
    <w:rsid w:val="017F258E"/>
    <w:rsid w:val="031E78D9"/>
    <w:rsid w:val="04FB7274"/>
    <w:rsid w:val="095A466E"/>
    <w:rsid w:val="0A874861"/>
    <w:rsid w:val="0C842312"/>
    <w:rsid w:val="0CA8653E"/>
    <w:rsid w:val="0D4A7F82"/>
    <w:rsid w:val="0D9463A8"/>
    <w:rsid w:val="10035FA2"/>
    <w:rsid w:val="102C7AF1"/>
    <w:rsid w:val="14A60084"/>
    <w:rsid w:val="15052058"/>
    <w:rsid w:val="174009D9"/>
    <w:rsid w:val="1CDE3DB6"/>
    <w:rsid w:val="1EBB4FD4"/>
    <w:rsid w:val="1F350700"/>
    <w:rsid w:val="208402CC"/>
    <w:rsid w:val="211251BF"/>
    <w:rsid w:val="247634BE"/>
    <w:rsid w:val="253D2CD7"/>
    <w:rsid w:val="256E61E1"/>
    <w:rsid w:val="266D1D5C"/>
    <w:rsid w:val="27F00F1C"/>
    <w:rsid w:val="2AAD57E4"/>
    <w:rsid w:val="2C650423"/>
    <w:rsid w:val="2E5A59E3"/>
    <w:rsid w:val="2FE50C68"/>
    <w:rsid w:val="304118F0"/>
    <w:rsid w:val="33915CF2"/>
    <w:rsid w:val="33B365D2"/>
    <w:rsid w:val="3505295A"/>
    <w:rsid w:val="35C44DEE"/>
    <w:rsid w:val="36342F3F"/>
    <w:rsid w:val="370B197F"/>
    <w:rsid w:val="37F009E4"/>
    <w:rsid w:val="382556DE"/>
    <w:rsid w:val="3AD40C49"/>
    <w:rsid w:val="3B7863A0"/>
    <w:rsid w:val="3B8B19B1"/>
    <w:rsid w:val="3C1A7DE9"/>
    <w:rsid w:val="3C510D48"/>
    <w:rsid w:val="3C7668F6"/>
    <w:rsid w:val="3EB44CB7"/>
    <w:rsid w:val="42707F6F"/>
    <w:rsid w:val="45D9749E"/>
    <w:rsid w:val="476F4C3E"/>
    <w:rsid w:val="485D651B"/>
    <w:rsid w:val="487B3D9E"/>
    <w:rsid w:val="48E05BCE"/>
    <w:rsid w:val="4B3F619B"/>
    <w:rsid w:val="4EBF2D66"/>
    <w:rsid w:val="50070CD8"/>
    <w:rsid w:val="5080742F"/>
    <w:rsid w:val="534F73A8"/>
    <w:rsid w:val="535929BE"/>
    <w:rsid w:val="543A731E"/>
    <w:rsid w:val="58811AD7"/>
    <w:rsid w:val="59340AF4"/>
    <w:rsid w:val="593E3088"/>
    <w:rsid w:val="5BE409D8"/>
    <w:rsid w:val="5DD810DC"/>
    <w:rsid w:val="5DEA6CEE"/>
    <w:rsid w:val="5E257F69"/>
    <w:rsid w:val="5F0F3EDB"/>
    <w:rsid w:val="60265C47"/>
    <w:rsid w:val="61224C28"/>
    <w:rsid w:val="61555436"/>
    <w:rsid w:val="61747ACC"/>
    <w:rsid w:val="62C210F2"/>
    <w:rsid w:val="65422C1B"/>
    <w:rsid w:val="67433F83"/>
    <w:rsid w:val="69954FC6"/>
    <w:rsid w:val="6A033AE1"/>
    <w:rsid w:val="6C9C03C4"/>
    <w:rsid w:val="6D9E7C7E"/>
    <w:rsid w:val="6E9649F9"/>
    <w:rsid w:val="6FC7329C"/>
    <w:rsid w:val="700A1CA8"/>
    <w:rsid w:val="70B7060E"/>
    <w:rsid w:val="747A1C99"/>
    <w:rsid w:val="75956351"/>
    <w:rsid w:val="78035512"/>
    <w:rsid w:val="78477BCB"/>
    <w:rsid w:val="7A4D48C0"/>
    <w:rsid w:val="7B515EC9"/>
    <w:rsid w:val="7BDC152B"/>
    <w:rsid w:val="7C4D62CB"/>
    <w:rsid w:val="7D297FC6"/>
    <w:rsid w:val="7DD0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Body Text"/>
    <w:basedOn w:val="1"/>
    <w:qFormat/>
    <w:uiPriority w:val="99"/>
    <w:pPr>
      <w:spacing w:beforeLines="30"/>
    </w:pPr>
    <w:rPr>
      <w:rFonts w:ascii="仿宋_GB2312" w:eastAsia="仿宋_GB2312"/>
      <w:kern w:val="0"/>
      <w:sz w:val="24"/>
      <w:szCs w:val="20"/>
    </w:rPr>
  </w:style>
  <w:style w:type="paragraph" w:styleId="8">
    <w:name w:val="Balloon Text"/>
    <w:basedOn w:val="1"/>
    <w:link w:val="25"/>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rFonts w:ascii="Calibri" w:hAnsi="Calibri"/>
      <w:kern w:val="0"/>
      <w:sz w:val="18"/>
      <w:szCs w:val="20"/>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6">
    <w:name w:val="Strong"/>
    <w:basedOn w:val="15"/>
    <w:qFormat/>
    <w:uiPriority w:val="99"/>
    <w:rPr>
      <w:rFonts w:cs="Times New Roman"/>
      <w:b/>
    </w:rPr>
  </w:style>
  <w:style w:type="character" w:styleId="17">
    <w:name w:val="page number"/>
    <w:basedOn w:val="15"/>
    <w:qFormat/>
    <w:uiPriority w:val="0"/>
  </w:style>
  <w:style w:type="character" w:styleId="18">
    <w:name w:val="Hyperlink"/>
    <w:basedOn w:val="15"/>
    <w:unhideWhenUsed/>
    <w:qFormat/>
    <w:uiPriority w:val="99"/>
    <w:rPr>
      <w:rFonts w:cs="Times New Roman"/>
      <w:color w:val="0000FF"/>
      <w:u w:val="single"/>
    </w:rPr>
  </w:style>
  <w:style w:type="character" w:customStyle="1" w:styleId="19">
    <w:name w:val="标题 1 Char"/>
    <w:basedOn w:val="15"/>
    <w:link w:val="4"/>
    <w:qFormat/>
    <w:locked/>
    <w:uiPriority w:val="9"/>
    <w:rPr>
      <w:b/>
      <w:bCs/>
      <w:kern w:val="44"/>
      <w:sz w:val="44"/>
      <w:szCs w:val="44"/>
    </w:rPr>
  </w:style>
  <w:style w:type="character" w:customStyle="1" w:styleId="20">
    <w:name w:val="标题 2 Char"/>
    <w:basedOn w:val="15"/>
    <w:link w:val="5"/>
    <w:qFormat/>
    <w:locked/>
    <w:uiPriority w:val="9"/>
    <w:rPr>
      <w:rFonts w:ascii="Cambria" w:hAnsi="Cambria"/>
      <w:b/>
      <w:bCs/>
      <w:sz w:val="32"/>
      <w:szCs w:val="32"/>
    </w:rPr>
  </w:style>
  <w:style w:type="paragraph" w:customStyle="1" w:styleId="21">
    <w:name w:val="列出段落1"/>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页脚 Char"/>
    <w:basedOn w:val="15"/>
    <w:link w:val="9"/>
    <w:uiPriority w:val="0"/>
    <w:rPr>
      <w:rFonts w:ascii="Calibri" w:hAnsi="Calibri"/>
      <w:sz w:val="18"/>
    </w:rPr>
  </w:style>
  <w:style w:type="paragraph" w:styleId="24">
    <w:name w:val="List Paragraph"/>
    <w:basedOn w:val="1"/>
    <w:unhideWhenUsed/>
    <w:uiPriority w:val="99"/>
    <w:pPr>
      <w:ind w:firstLine="420" w:firstLineChars="200"/>
    </w:pPr>
  </w:style>
  <w:style w:type="character" w:customStyle="1" w:styleId="25">
    <w:name w:val="批注框文本 Char"/>
    <w:basedOn w:val="15"/>
    <w:link w:val="8"/>
    <w:uiPriority w:val="0"/>
    <w:rPr>
      <w:kern w:val="2"/>
      <w:sz w:val="18"/>
      <w:szCs w:val="18"/>
    </w:rPr>
  </w:style>
  <w:style w:type="paragraph" w:customStyle="1" w:styleId="26">
    <w:name w:val="WPSOffice手动目录 1"/>
    <w:uiPriority w:val="0"/>
    <w:pPr>
      <w:ind w:leftChars="0"/>
    </w:pPr>
    <w:rPr>
      <w:rFonts w:ascii="Times New Roman" w:hAnsi="Times New Roman" w:eastAsia="宋体" w:cs="Times New Roman"/>
      <w:sz w:val="20"/>
      <w:szCs w:val="20"/>
    </w:rPr>
  </w:style>
  <w:style w:type="paragraph" w:customStyle="1" w:styleId="27">
    <w:name w:val="WPSOffice手动目录 2"/>
    <w:uiPriority w:val="0"/>
    <w:pPr>
      <w:ind w:leftChars="200"/>
    </w:pPr>
    <w:rPr>
      <w:rFonts w:ascii="Times New Roman" w:hAnsi="Times New Roman" w:eastAsia="宋体" w:cs="Times New Roman"/>
      <w:sz w:val="20"/>
      <w:szCs w:val="20"/>
    </w:rPr>
  </w:style>
  <w:style w:type="character" w:customStyle="1" w:styleId="28">
    <w:name w:val=" Char Char6"/>
    <w:basedOn w:val="15"/>
    <w:link w:val="4"/>
    <w:qFormat/>
    <w:locked/>
    <w:uiPriority w:val="9"/>
    <w:rPr>
      <w:rFonts w:ascii="Times New Roman" w:hAnsi="Times New Roman" w:cs="Times New Roman"/>
      <w:b/>
      <w:bCs/>
      <w:kern w:val="44"/>
      <w:sz w:val="44"/>
      <w:szCs w:val="44"/>
    </w:rPr>
  </w:style>
  <w:style w:type="character" w:customStyle="1" w:styleId="29">
    <w:name w:val=" Char Char5"/>
    <w:basedOn w:val="15"/>
    <w:link w:val="5"/>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8954</Words>
  <Characters>9543</Characters>
  <Lines>66</Lines>
  <Paragraphs>18</Paragraphs>
  <TotalTime>1</TotalTime>
  <ScaleCrop>false</ScaleCrop>
  <LinksUpToDate>false</LinksUpToDate>
  <CharactersWithSpaces>9683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2021-09-24T03:36:00Z</dcterms:created>
  <dc:creator>Administrator</dc:creator>
  <cp:lastModifiedBy>DELL</cp:lastModifiedBy>
  <cp:lastPrinted>2021-09-26T08:29:00Z</cp:lastPrinted>
  <dcterms:modified xsi:type="dcterms:W3CDTF">2023-10-07T00:45:33Z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B8E26A66E37443AAA7DB4BE3336204A5</vt:lpwstr>
  </property>
</Properties>
</file>