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6FF4">
      <w:pPr>
        <w:shd w:val="clear" w:color="auto" w:fill="FFFFFF"/>
        <w:spacing w:line="550" w:lineRule="exact"/>
        <w:jc w:val="cente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pPr>
      <w:bookmarkStart w:id="0" w:name="_GoBack"/>
      <w:bookmarkEnd w:id="0"/>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广元市昭化区经济合作和外事中心</w:t>
      </w:r>
    </w:p>
    <w:p w14:paraId="602ABF4D">
      <w:pPr>
        <w:shd w:val="clear" w:color="auto" w:fill="FFFFFF"/>
        <w:spacing w:line="550" w:lineRule="exact"/>
        <w:jc w:val="center"/>
        <w:rPr>
          <w:rFonts w:ascii="Times New Roman" w:hAnsi="Times New Roman" w:eastAsia="方正小标宋简体"/>
          <w:color w:val="000000" w:themeColor="text1"/>
          <w:kern w:val="0"/>
          <w:sz w:val="44"/>
          <w:szCs w:val="44"/>
          <w:shd w:val="clear" w:color="auto" w:fill="FFFFFF"/>
          <w14:textFill>
            <w14:solidFill>
              <w14:schemeClr w14:val="tx1"/>
            </w14:solidFill>
          </w14:textFill>
        </w:rPr>
      </w:pPr>
      <w:r>
        <w:rPr>
          <w:rFonts w:ascii="Times New Roman" w:hAnsi="Times New Roman" w:eastAsia="方正小标宋简体"/>
          <w:color w:val="000000" w:themeColor="text1"/>
          <w:kern w:val="0"/>
          <w:sz w:val="44"/>
          <w:szCs w:val="44"/>
          <w:shd w:val="clear" w:color="auto" w:fill="FFFFFF"/>
          <w14:textFill>
            <w14:solidFill>
              <w14:schemeClr w14:val="tx1"/>
            </w14:solidFill>
          </w14:textFill>
        </w:rPr>
        <w:t>2025</w:t>
      </w: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年部门预算</w:t>
      </w:r>
      <w:r>
        <w:rPr>
          <w:rFonts w:hint="eastAsia" w:ascii="Times New Roman" w:hAnsi="方正小标宋简体" w:eastAsia="方正小标宋简体"/>
          <w:color w:val="000000" w:themeColor="text1"/>
          <w:kern w:val="0"/>
          <w:sz w:val="44"/>
          <w:szCs w:val="44"/>
          <w:shd w:val="clear" w:color="auto" w:fill="FFFFFF"/>
          <w:lang w:val="en-US"/>
          <w14:textFill>
            <w14:solidFill>
              <w14:schemeClr w14:val="tx1"/>
            </w14:solidFill>
          </w14:textFill>
        </w:rPr>
        <w:t>公开</w:t>
      </w: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说明</w:t>
      </w:r>
    </w:p>
    <w:p w14:paraId="04C51FE3">
      <w:pPr>
        <w:shd w:val="clear" w:color="auto" w:fill="FFFFFF"/>
        <w:spacing w:line="550" w:lineRule="exact"/>
        <w:jc w:val="cente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pP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目   录</w:t>
      </w:r>
    </w:p>
    <w:p w14:paraId="64DA218D">
      <w:pPr>
        <w:pStyle w:val="2"/>
        <w:ind w:left="840" w:hanging="420"/>
      </w:pPr>
    </w:p>
    <w:p w14:paraId="18ABBB78">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一、基本职能及主要工作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1AC6210A">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（一）单位职能简介</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6ECDCB2">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（二）单位</w:t>
      </w:r>
      <w:r>
        <w:rPr>
          <w:rFonts w:ascii="Times New Roman" w:hAnsi="Times New Roman" w:eastAsia="仿宋_GB2312"/>
          <w:color w:val="000000" w:themeColor="text1"/>
          <w:kern w:val="0"/>
          <w:sz w:val="32"/>
          <w:szCs w:val="32"/>
          <w:shd w:val="clear" w:color="auto" w:fill="FFFFFF"/>
          <w14:textFill>
            <w14:solidFill>
              <w14:schemeClr w14:val="tx1"/>
            </w14:solidFill>
          </w14:textFill>
        </w:rPr>
        <w:t>2025</w:t>
      </w:r>
      <w:r>
        <w:rPr>
          <w:rFonts w:ascii="Times New Roman" w:hAnsi="仿宋_GB2312" w:eastAsia="仿宋_GB2312"/>
          <w:color w:val="000000" w:themeColor="text1"/>
          <w:kern w:val="0"/>
          <w:sz w:val="32"/>
          <w:szCs w:val="32"/>
          <w:shd w:val="clear" w:color="auto" w:fill="FFFFFF"/>
          <w14:textFill>
            <w14:solidFill>
              <w14:schemeClr w14:val="tx1"/>
            </w14:solidFill>
          </w14:textFill>
        </w:rPr>
        <w:t>年重点工作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518499D5">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二、部门预算单位构成</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2</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D88781E">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三、收支预算情况说明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2</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E85431B">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（一）收入预算情况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F0527AC">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（二）支出预算情况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E7E418A">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四、财政拨款收支预算情况说明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319EEE4A">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五、一般公共预算当年拨款情况说明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A4FFBD3">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（一）一般公共预算当年拨款规模变化情况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5B167EF">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（二）一般公共预算当年拨款结构情况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0F3F3B4">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（三）一般公共预算当年拨款具体使用情况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5A6FBCD6">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六、一般公共预算基本支出情况说明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3AB1442F">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七、</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ascii="Times New Roman" w:hAnsi="仿宋_GB2312" w:eastAsia="仿宋_GB2312"/>
          <w:color w:val="000000" w:themeColor="text1"/>
          <w:kern w:val="0"/>
          <w:sz w:val="32"/>
          <w:szCs w:val="32"/>
          <w:shd w:val="clear" w:color="auto" w:fill="FFFFFF"/>
          <w14:textFill>
            <w14:solidFill>
              <w14:schemeClr w14:val="tx1"/>
            </w14:solidFill>
          </w14:textFill>
        </w:rPr>
        <w:t>三公</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ascii="Times New Roman" w:hAnsi="仿宋_GB2312" w:eastAsia="仿宋_GB2312"/>
          <w:color w:val="000000" w:themeColor="text1"/>
          <w:kern w:val="0"/>
          <w:sz w:val="32"/>
          <w:szCs w:val="32"/>
          <w:shd w:val="clear" w:color="auto" w:fill="FFFFFF"/>
          <w14:textFill>
            <w14:solidFill>
              <w14:schemeClr w14:val="tx1"/>
            </w14:solidFill>
          </w14:textFill>
        </w:rPr>
        <w:t>经费财政拨款预算安排情况说明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14B4C24E">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八、政府性基金预算支出情况说明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29FDEDB">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九、国有资本经营预算支出情况说明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3A5A50CC">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十、其他重要事项的情况说明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9E9600F">
      <w:pPr>
        <w:tabs>
          <w:tab w:val="right" w:leader="dot" w:pos="8400"/>
        </w:tabs>
        <w:spacing w:line="550" w:lineRule="exact"/>
        <w:rPr>
          <w:rFonts w:ascii="Times New Roman" w:hAnsi="仿宋_GB2312"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十一、名词解释</w:t>
      </w:r>
      <w:r>
        <w:rPr>
          <w:rFonts w:ascii="Times New Roman" w:hAnsi="仿宋_GB2312" w:eastAsia="仿宋_GB2312"/>
          <w:color w:val="000000" w:themeColor="text1"/>
          <w:kern w:val="0"/>
          <w:sz w:val="32"/>
          <w:szCs w:val="32"/>
          <w:shd w:val="clear" w:color="auto" w:fill="FFFFFF"/>
          <w14:textFill>
            <w14:solidFill>
              <w14:schemeClr w14:val="tx1"/>
            </w14:solidFill>
          </w14:textFill>
        </w:rPr>
        <w:tab/>
      </w:r>
      <w:r>
        <w:rPr>
          <w:rFonts w:ascii="Times New Roman" w:hAnsi="仿宋_GB2312" w:eastAsia="仿宋_GB2312"/>
          <w:color w:val="000000" w:themeColor="text1"/>
          <w:kern w:val="0"/>
          <w:sz w:val="32"/>
          <w:szCs w:val="32"/>
          <w:shd w:val="clear" w:color="auto" w:fill="FFFFFF"/>
          <w14:textFill>
            <w14:solidFill>
              <w14:schemeClr w14:val="tx1"/>
            </w14:solidFill>
          </w14:textFill>
        </w:rPr>
        <w:t>(</w:t>
      </w:r>
      <w:r>
        <w:rPr>
          <w:rFonts w:hint="eastAsia" w:ascii="Times New Roman" w:hAnsi="仿宋_GB2312" w:eastAsia="仿宋_GB2312"/>
          <w:color w:val="000000" w:themeColor="text1"/>
          <w:kern w:val="0"/>
          <w:sz w:val="32"/>
          <w:szCs w:val="32"/>
          <w:shd w:val="clear" w:color="auto" w:fill="FFFFFF"/>
          <w14:textFill>
            <w14:solidFill>
              <w14:schemeClr w14:val="tx1"/>
            </w14:solidFill>
          </w14:textFill>
        </w:rPr>
        <w:t>7</w:t>
      </w:r>
      <w:r>
        <w:rPr>
          <w:rFonts w:ascii="Times New Roman" w:hAnsi="仿宋_GB2312" w:eastAsia="仿宋_GB2312"/>
          <w:color w:val="000000" w:themeColor="text1"/>
          <w:kern w:val="0"/>
          <w:sz w:val="32"/>
          <w:szCs w:val="32"/>
          <w:shd w:val="clear" w:color="auto" w:fill="FFFFFF"/>
          <w14:textFill>
            <w14:solidFill>
              <w14:schemeClr w14:val="tx1"/>
            </w14:solidFill>
          </w14:textFill>
        </w:rPr>
        <w:t>)</w:t>
      </w:r>
    </w:p>
    <w:p w14:paraId="601F2946">
      <w:pPr>
        <w:pStyle w:val="9"/>
        <w:shd w:val="clear" w:color="auto" w:fill="FFFFFF"/>
        <w:spacing w:before="130" w:line="580" w:lineRule="atLeast"/>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 xml:space="preserve">    </w:t>
      </w:r>
    </w:p>
    <w:p w14:paraId="75BA52EC">
      <w:pPr>
        <w:pStyle w:val="9"/>
        <w:shd w:val="clear" w:color="auto" w:fill="FFFFFF"/>
        <w:spacing w:before="130" w:line="580" w:lineRule="atLeast"/>
        <w:ind w:firstLine="560" w:firstLineChars="200"/>
        <w:rPr>
          <w:rFonts w:ascii="Times New Roman" w:hAnsi="Times New Roman"/>
          <w:color w:val="000000" w:themeColor="text1"/>
          <w:kern w:val="0"/>
          <w:sz w:val="28"/>
          <w:szCs w:val="28"/>
          <w:shd w:val="clear" w:color="auto" w:fill="FFFFFF"/>
          <w14:textFill>
            <w14:solidFill>
              <w14:schemeClr w14:val="tx1"/>
            </w14:solidFill>
          </w14:textFill>
        </w:rPr>
      </w:pPr>
    </w:p>
    <w:p w14:paraId="4F1AE12C">
      <w:pPr>
        <w:spacing w:line="550" w:lineRule="exact"/>
        <w:ind w:firstLine="640" w:firstLineChars="200"/>
        <w:rPr>
          <w:rFonts w:ascii="Times New Roman" w:hAnsi="黑体" w:eastAsia="黑体"/>
          <w:sz w:val="32"/>
          <w:szCs w:val="32"/>
        </w:rPr>
        <w:sectPr>
          <w:pgSz w:w="11906" w:h="16838"/>
          <w:pgMar w:top="2098" w:right="1474" w:bottom="1984" w:left="1587" w:header="720" w:footer="1559" w:gutter="0"/>
          <w:cols w:space="720" w:num="1"/>
          <w:docGrid w:type="lines" w:linePitch="312" w:charSpace="0"/>
        </w:sectPr>
      </w:pPr>
    </w:p>
    <w:p w14:paraId="662B0EE6">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一、基本职能及主要工作</w:t>
      </w:r>
    </w:p>
    <w:p w14:paraId="26953162">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（一）区经济合作和外事中心职能简介</w:t>
      </w:r>
    </w:p>
    <w:p w14:paraId="78C73FB5">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1.贯彻执行党和国家经济合作、外事有关法律、法规和方针、政策以及省、市、区有关决策部署，参与拟订经济合作和外事有关地方性政策、规范性文件。</w:t>
      </w:r>
    </w:p>
    <w:p w14:paraId="74613B73">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2.协助全区经济合作建设推进工作的统筹协调和服务。协助组织全区重大投资促进活动，推进全区重大招商引资项目的促进和落实。</w:t>
      </w:r>
    </w:p>
    <w:p w14:paraId="391E6FCD">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3.协助组织编制全区经济合作总体发展规划和年度实施计划，拟订和分解招商引资中长期和年度建设目标任务。</w:t>
      </w:r>
    </w:p>
    <w:p w14:paraId="451DE880">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4.协助区商务和经济合作局对经济合作工作开展监测、评价、考核和监督管理工作。</w:t>
      </w:r>
    </w:p>
    <w:p w14:paraId="6CFEFB9C">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5.协助区商务和经济合作局执行对外经济合作政策，推进全区对外经济合作工作。受区商务和经济合作局委托，负责管理区政府各驻外招商机构。</w:t>
      </w:r>
    </w:p>
    <w:p w14:paraId="1F7DEB67">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6.负责外事接待和招商引资事项的服务保障工作。</w:t>
      </w:r>
    </w:p>
    <w:p w14:paraId="1DA79150">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7.承办我区外宾来访的接待事宜；负责外国驻华机构、外国重要团体和个人来昭活动的协调联络和服务保障工作，为区委、区政府重要外事活动提供后勤保障服务。</w:t>
      </w:r>
    </w:p>
    <w:p w14:paraId="643CFE40">
      <w:pPr>
        <w:snapToGrid w:val="0"/>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8.指导镇、区级部门的外事活动服务保障工作。</w:t>
      </w:r>
    </w:p>
    <w:p w14:paraId="569F2740">
      <w:pPr>
        <w:pStyle w:val="9"/>
        <w:spacing w:line="550" w:lineRule="exact"/>
        <w:ind w:firstLine="640" w:firstLineChars="200"/>
        <w:rPr>
          <w:rFonts w:ascii="Times New Roman" w:hAnsi="Times New Roman" w:eastAsia="楷体_GB2312"/>
          <w:sz w:val="32"/>
          <w:szCs w:val="32"/>
        </w:rPr>
      </w:pPr>
      <w:r>
        <w:rPr>
          <w:rFonts w:ascii="Times New Roman" w:hAnsi="Times New Roman" w:eastAsia="仿宋_GB2312"/>
          <w:kern w:val="0"/>
          <w:sz w:val="32"/>
          <w:szCs w:val="32"/>
        </w:rPr>
        <w:t>9.完成区委和区政府交办的其他任务。</w:t>
      </w:r>
    </w:p>
    <w:p w14:paraId="2AA0804A">
      <w:pPr>
        <w:numPr>
          <w:ilvl w:val="0"/>
          <w:numId w:val="1"/>
        </w:num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区经济合作和外事中心</w:t>
      </w:r>
      <w:r>
        <w:rPr>
          <w:rFonts w:ascii="Times New Roman" w:hAnsi="Times New Roman" w:eastAsia="楷体_GB2312"/>
          <w:sz w:val="32"/>
          <w:szCs w:val="32"/>
        </w:rPr>
        <w:t>2025</w:t>
      </w:r>
      <w:r>
        <w:rPr>
          <w:rFonts w:ascii="Times New Roman" w:hAnsi="楷体_GB2312" w:eastAsia="楷体_GB2312"/>
          <w:sz w:val="32"/>
          <w:szCs w:val="32"/>
        </w:rPr>
        <w:t>年重点工作</w:t>
      </w:r>
    </w:p>
    <w:p w14:paraId="61455184">
      <w:pPr>
        <w:pStyle w:val="9"/>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负责招商引资专项工作，协助组织全区重大投资促进活动，推动全区重大招商引资项目的促进和落实，牵头完成全区招商引资市下达任务，到位市外资金30亿元以上，新签约项目15个以上，其中签约亿元项目个数5个以上。</w:t>
      </w:r>
    </w:p>
    <w:p w14:paraId="3CDDDD4F">
      <w:pPr>
        <w:pStyle w:val="9"/>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常态化开展招商引资项目推介宣传，效果显著，积极参与重大平台投资活动3次以上，全面服务“四城新区"建设，瞄准京津冀、珠三角、长三角、成渝及周边地区开展对外招商引资工作，预计每年给昭化区引进优质项目5个以上，签约高新企业1家，新增就业岗位数300个。</w:t>
      </w:r>
    </w:p>
    <w:p w14:paraId="7B4AFB73">
      <w:pPr>
        <w:pStyle w:val="9"/>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3.加强赴外招商小分队的管理，确保实现赴外招商小分队年度招商引资任务。</w:t>
      </w:r>
    </w:p>
    <w:p w14:paraId="63E70E9C">
      <w:pPr>
        <w:pStyle w:val="9"/>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4.严格执行中央</w:t>
      </w:r>
      <w:r>
        <w:rPr>
          <w:rFonts w:hint="eastAsia" w:ascii="Times New Roman" w:hAnsi="Times New Roman" w:eastAsia="仿宋_GB2312"/>
          <w:sz w:val="32"/>
          <w:szCs w:val="32"/>
          <w:lang w:val="en-US" w:eastAsia="zh-CN"/>
        </w:rPr>
        <w:t>和</w:t>
      </w:r>
      <w:r>
        <w:rPr>
          <w:rFonts w:ascii="Times New Roman" w:hAnsi="Times New Roman" w:eastAsia="仿宋_GB2312"/>
          <w:sz w:val="32"/>
          <w:szCs w:val="32"/>
        </w:rPr>
        <w:t>省、市、区有关外事工作政策，高质量做好全年度外事接待及外事活动的后勤保障服务，塑造友好对外昭化形象。</w:t>
      </w:r>
    </w:p>
    <w:p w14:paraId="39A56A91">
      <w:pPr>
        <w:pStyle w:val="9"/>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5.全年区主要领导外出招商次数不少于20次。</w:t>
      </w:r>
    </w:p>
    <w:p w14:paraId="1402CAC4">
      <w:pPr>
        <w:pStyle w:val="9"/>
        <w:spacing w:line="55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6.做好2025年度招商引资目标任务及考核工作。</w:t>
      </w:r>
    </w:p>
    <w:p w14:paraId="77673A8E">
      <w:pPr>
        <w:pStyle w:val="9"/>
        <w:spacing w:line="550" w:lineRule="exact"/>
        <w:ind w:firstLine="640" w:firstLineChars="200"/>
        <w:rPr>
          <w:rFonts w:ascii="Times New Roman" w:hAnsi="Times New Roman" w:eastAsia="楷体_GB2312"/>
          <w:sz w:val="32"/>
          <w:szCs w:val="32"/>
        </w:rPr>
      </w:pPr>
      <w:r>
        <w:rPr>
          <w:rFonts w:ascii="Times New Roman" w:hAnsi="Times New Roman" w:eastAsia="仿宋_GB2312"/>
          <w:sz w:val="32"/>
          <w:szCs w:val="32"/>
        </w:rPr>
        <w:t>7.保障8名在职人员的待遇及时发放，保障机构日常运转。</w:t>
      </w:r>
    </w:p>
    <w:p w14:paraId="6F249B4F">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二、部门预算单位构成</w:t>
      </w:r>
    </w:p>
    <w:p w14:paraId="44EF6EC0">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仿宋_GB2312" w:eastAsia="仿宋_GB2312"/>
          <w:sz w:val="32"/>
          <w:szCs w:val="32"/>
        </w:rPr>
        <w:t>下属二级预算单位</w:t>
      </w:r>
      <w:r>
        <w:rPr>
          <w:rFonts w:ascii="Times New Roman" w:hAnsi="Times New Roman" w:eastAsia="仿宋_GB2312"/>
          <w:sz w:val="32"/>
          <w:szCs w:val="32"/>
        </w:rPr>
        <w:t>0</w:t>
      </w:r>
      <w:r>
        <w:rPr>
          <w:rFonts w:ascii="Times New Roman" w:hAnsi="仿宋_GB2312" w:eastAsia="仿宋_GB2312"/>
          <w:sz w:val="32"/>
          <w:szCs w:val="32"/>
        </w:rPr>
        <w:t>个，其中行政单位</w:t>
      </w:r>
      <w:r>
        <w:rPr>
          <w:rFonts w:ascii="Times New Roman" w:hAnsi="Times New Roman" w:eastAsia="仿宋_GB2312"/>
          <w:sz w:val="32"/>
          <w:szCs w:val="32"/>
        </w:rPr>
        <w:t>0</w:t>
      </w:r>
      <w:r>
        <w:rPr>
          <w:rFonts w:ascii="Times New Roman" w:hAnsi="仿宋_GB2312" w:eastAsia="仿宋_GB2312"/>
          <w:sz w:val="32"/>
          <w:szCs w:val="32"/>
        </w:rPr>
        <w:t>个，参照公务员法管理的事业单位</w:t>
      </w:r>
      <w:r>
        <w:rPr>
          <w:rFonts w:ascii="Times New Roman" w:hAnsi="Times New Roman" w:eastAsia="仿宋_GB2312"/>
          <w:sz w:val="32"/>
          <w:szCs w:val="32"/>
        </w:rPr>
        <w:t>0</w:t>
      </w:r>
      <w:r>
        <w:rPr>
          <w:rFonts w:ascii="Times New Roman" w:hAnsi="仿宋_GB2312" w:eastAsia="仿宋_GB2312"/>
          <w:sz w:val="32"/>
          <w:szCs w:val="32"/>
        </w:rPr>
        <w:t>个，其他事业单位</w:t>
      </w:r>
      <w:r>
        <w:rPr>
          <w:rFonts w:ascii="Times New Roman" w:hAnsi="Times New Roman" w:eastAsia="仿宋_GB2312"/>
          <w:sz w:val="32"/>
          <w:szCs w:val="32"/>
        </w:rPr>
        <w:t>0</w:t>
      </w:r>
      <w:r>
        <w:rPr>
          <w:rFonts w:ascii="Times New Roman" w:hAnsi="仿宋_GB2312" w:eastAsia="仿宋_GB2312"/>
          <w:sz w:val="32"/>
          <w:szCs w:val="32"/>
        </w:rPr>
        <w:t>个。</w:t>
      </w:r>
    </w:p>
    <w:p w14:paraId="6424873C">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三、收支预算情况说明</w:t>
      </w:r>
    </w:p>
    <w:p w14:paraId="2D2EE383">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按照综合预算的原则，</w:t>
      </w:r>
      <w:r>
        <w:rPr>
          <w:rFonts w:ascii="Times New Roman" w:hAnsi="Times New Roman" w:eastAsia="仿宋_GB2312"/>
          <w:color w:val="333333"/>
          <w:kern w:val="0"/>
          <w:sz w:val="32"/>
          <w:szCs w:val="32"/>
          <w:shd w:val="clear" w:color="auto" w:fill="FFFFFF"/>
        </w:rPr>
        <w:t>区经济合作和外事中心</w:t>
      </w:r>
      <w:r>
        <w:rPr>
          <w:rFonts w:ascii="Times New Roman" w:hAnsi="仿宋_GB2312" w:eastAsia="仿宋_GB2312"/>
          <w:sz w:val="32"/>
          <w:szCs w:val="32"/>
        </w:rPr>
        <w:t>所有收入和支出均纳入部门预算管理。收入包括：一般公共预算拨款收入；支出包括：一般公共服务支出、社会保障和就业支出、卫生健康支出、住房保障支出。</w:t>
      </w: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年收支预算总数</w:t>
      </w:r>
      <w:r>
        <w:rPr>
          <w:rFonts w:ascii="Times New Roman" w:hAnsi="Times New Roman" w:eastAsia="仿宋_GB2312"/>
          <w:sz w:val="32"/>
          <w:szCs w:val="32"/>
        </w:rPr>
        <w:t>281.72</w:t>
      </w:r>
      <w:r>
        <w:rPr>
          <w:rFonts w:ascii="Times New Roman" w:hAnsi="仿宋_GB2312" w:eastAsia="仿宋_GB2312"/>
          <w:sz w:val="32"/>
          <w:szCs w:val="32"/>
        </w:rPr>
        <w:t>万元</w:t>
      </w:r>
      <w:r>
        <w:rPr>
          <w:rFonts w:ascii="Times New Roman" w:hAnsi="Times New Roman" w:eastAsia="仿宋_GB2312"/>
          <w:sz w:val="32"/>
          <w:szCs w:val="32"/>
        </w:rPr>
        <w:t>,</w:t>
      </w:r>
      <w:r>
        <w:rPr>
          <w:rFonts w:ascii="Times New Roman" w:hAnsi="仿宋_GB2312" w:eastAsia="仿宋_GB2312"/>
          <w:sz w:val="32"/>
          <w:szCs w:val="32"/>
        </w:rPr>
        <w:t>比</w:t>
      </w:r>
      <w:r>
        <w:rPr>
          <w:rFonts w:ascii="Times New Roman" w:hAnsi="Times New Roman" w:eastAsia="仿宋_GB2312"/>
          <w:sz w:val="32"/>
          <w:szCs w:val="32"/>
        </w:rPr>
        <w:t>2024</w:t>
      </w:r>
      <w:r>
        <w:rPr>
          <w:rFonts w:ascii="Times New Roman" w:hAnsi="仿宋_GB2312" w:eastAsia="仿宋_GB2312"/>
          <w:sz w:val="32"/>
          <w:szCs w:val="32"/>
        </w:rPr>
        <w:t>年收支预算总数减少</w:t>
      </w:r>
      <w:r>
        <w:rPr>
          <w:rFonts w:ascii="Times New Roman" w:hAnsi="Times New Roman" w:eastAsia="仿宋_GB2312"/>
          <w:sz w:val="32"/>
          <w:szCs w:val="32"/>
        </w:rPr>
        <w:t>11.65</w:t>
      </w:r>
      <w:r>
        <w:rPr>
          <w:rFonts w:ascii="Times New Roman" w:hAnsi="仿宋_GB2312" w:eastAsia="仿宋_GB2312"/>
          <w:sz w:val="32"/>
          <w:szCs w:val="32"/>
        </w:rPr>
        <w:t>万元，主要原因是人员减少一人</w:t>
      </w:r>
      <w:r>
        <w:rPr>
          <w:rFonts w:ascii="Times New Roman" w:hAnsi="Times New Roman" w:eastAsia="仿宋_GB2312"/>
          <w:color w:val="333333"/>
          <w:kern w:val="0"/>
          <w:sz w:val="32"/>
          <w:szCs w:val="32"/>
          <w:shd w:val="clear" w:color="auto" w:fill="FFFFFF"/>
        </w:rPr>
        <w:t>。</w:t>
      </w:r>
    </w:p>
    <w:p w14:paraId="70D5FCC0">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（一）收入预算情况</w:t>
      </w:r>
    </w:p>
    <w:p w14:paraId="7501BC40">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年收入预算</w:t>
      </w:r>
      <w:r>
        <w:rPr>
          <w:rFonts w:ascii="Times New Roman" w:hAnsi="Times New Roman" w:eastAsia="仿宋_GB2312"/>
          <w:sz w:val="32"/>
          <w:szCs w:val="32"/>
        </w:rPr>
        <w:t>281.72</w:t>
      </w:r>
      <w:r>
        <w:rPr>
          <w:rFonts w:ascii="Times New Roman" w:hAnsi="仿宋_GB2312" w:eastAsia="仿宋_GB2312"/>
          <w:sz w:val="32"/>
          <w:szCs w:val="32"/>
        </w:rPr>
        <w:t>万元，其中：一般公共预算拨款收入</w:t>
      </w:r>
      <w:r>
        <w:rPr>
          <w:rFonts w:ascii="Times New Roman" w:hAnsi="Times New Roman" w:eastAsia="仿宋_GB2312"/>
          <w:sz w:val="32"/>
          <w:szCs w:val="32"/>
        </w:rPr>
        <w:t>281.72</w:t>
      </w:r>
      <w:r>
        <w:rPr>
          <w:rFonts w:ascii="Times New Roman" w:hAnsi="仿宋_GB2312" w:eastAsia="仿宋_GB2312"/>
          <w:sz w:val="32"/>
          <w:szCs w:val="32"/>
        </w:rPr>
        <w:t>万元，占</w:t>
      </w:r>
      <w:r>
        <w:rPr>
          <w:rFonts w:ascii="Times New Roman" w:hAnsi="Times New Roman" w:eastAsia="仿宋_GB2312"/>
          <w:sz w:val="32"/>
          <w:szCs w:val="32"/>
        </w:rPr>
        <w:t>100%</w:t>
      </w:r>
      <w:r>
        <w:rPr>
          <w:rFonts w:ascii="Times New Roman" w:hAnsi="仿宋_GB2312" w:eastAsia="仿宋_GB2312"/>
          <w:sz w:val="32"/>
          <w:szCs w:val="32"/>
        </w:rPr>
        <w:t>。</w:t>
      </w:r>
    </w:p>
    <w:p w14:paraId="1EBC41D6">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（二）支出预算情况</w:t>
      </w:r>
    </w:p>
    <w:p w14:paraId="7FDD2547">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年支出预算</w:t>
      </w:r>
      <w:r>
        <w:rPr>
          <w:rFonts w:ascii="Times New Roman" w:hAnsi="Times New Roman" w:eastAsia="仿宋_GB2312"/>
          <w:sz w:val="32"/>
          <w:szCs w:val="32"/>
        </w:rPr>
        <w:t>281.72</w:t>
      </w:r>
      <w:r>
        <w:rPr>
          <w:rFonts w:ascii="Times New Roman" w:hAnsi="仿宋_GB2312" w:eastAsia="仿宋_GB2312"/>
          <w:sz w:val="32"/>
          <w:szCs w:val="32"/>
        </w:rPr>
        <w:t>万元，其中：基本支出</w:t>
      </w:r>
      <w:r>
        <w:rPr>
          <w:rFonts w:ascii="Times New Roman" w:hAnsi="Times New Roman" w:eastAsia="仿宋_GB2312"/>
          <w:sz w:val="32"/>
          <w:szCs w:val="32"/>
        </w:rPr>
        <w:t>111.72</w:t>
      </w:r>
      <w:r>
        <w:rPr>
          <w:rFonts w:ascii="Times New Roman" w:hAnsi="仿宋_GB2312" w:eastAsia="仿宋_GB2312"/>
          <w:sz w:val="32"/>
          <w:szCs w:val="32"/>
        </w:rPr>
        <w:t>万元，占</w:t>
      </w:r>
      <w:r>
        <w:rPr>
          <w:rFonts w:ascii="Times New Roman" w:hAnsi="Times New Roman" w:eastAsia="仿宋_GB2312"/>
          <w:sz w:val="32"/>
          <w:szCs w:val="32"/>
        </w:rPr>
        <w:t>39.66%</w:t>
      </w:r>
      <w:r>
        <w:rPr>
          <w:rFonts w:ascii="Times New Roman" w:hAnsi="仿宋_GB2312" w:eastAsia="仿宋_GB2312"/>
          <w:sz w:val="32"/>
          <w:szCs w:val="32"/>
        </w:rPr>
        <w:t>；项目支出</w:t>
      </w:r>
      <w:r>
        <w:rPr>
          <w:rFonts w:ascii="Times New Roman" w:hAnsi="Times New Roman" w:eastAsia="仿宋_GB2312"/>
          <w:sz w:val="32"/>
          <w:szCs w:val="32"/>
        </w:rPr>
        <w:t>170</w:t>
      </w:r>
      <w:r>
        <w:rPr>
          <w:rFonts w:ascii="Times New Roman" w:hAnsi="仿宋_GB2312" w:eastAsia="仿宋_GB2312"/>
          <w:sz w:val="32"/>
          <w:szCs w:val="32"/>
        </w:rPr>
        <w:t>万元，占</w:t>
      </w:r>
      <w:r>
        <w:rPr>
          <w:rFonts w:ascii="Times New Roman" w:hAnsi="Times New Roman" w:eastAsia="仿宋_GB2312"/>
          <w:sz w:val="32"/>
          <w:szCs w:val="32"/>
        </w:rPr>
        <w:t>60.34%</w:t>
      </w:r>
      <w:r>
        <w:rPr>
          <w:rFonts w:ascii="Times New Roman" w:hAnsi="仿宋_GB2312" w:eastAsia="仿宋_GB2312"/>
          <w:sz w:val="32"/>
          <w:szCs w:val="32"/>
        </w:rPr>
        <w:t>。</w:t>
      </w:r>
    </w:p>
    <w:p w14:paraId="71012EBF">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四、财政拨款收支预算情况说明</w:t>
      </w:r>
    </w:p>
    <w:p w14:paraId="62055F14">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年财政拨款收支预算总数</w:t>
      </w:r>
      <w:r>
        <w:rPr>
          <w:rFonts w:ascii="Times New Roman" w:hAnsi="Times New Roman" w:eastAsia="仿宋_GB2312"/>
          <w:sz w:val="32"/>
          <w:szCs w:val="32"/>
        </w:rPr>
        <w:t>281.72</w:t>
      </w:r>
      <w:r>
        <w:rPr>
          <w:rFonts w:ascii="Times New Roman" w:hAnsi="仿宋_GB2312" w:eastAsia="仿宋_GB2312"/>
          <w:sz w:val="32"/>
          <w:szCs w:val="32"/>
        </w:rPr>
        <w:t>万元</w:t>
      </w:r>
      <w:r>
        <w:rPr>
          <w:rFonts w:ascii="Times New Roman" w:hAnsi="Times New Roman" w:eastAsia="仿宋_GB2312"/>
          <w:sz w:val="32"/>
          <w:szCs w:val="32"/>
        </w:rPr>
        <w:t>,</w:t>
      </w:r>
      <w:r>
        <w:rPr>
          <w:rFonts w:ascii="Times New Roman" w:hAnsi="仿宋_GB2312" w:eastAsia="仿宋_GB2312"/>
          <w:sz w:val="32"/>
          <w:szCs w:val="32"/>
        </w:rPr>
        <w:t>比</w:t>
      </w:r>
      <w:r>
        <w:rPr>
          <w:rFonts w:ascii="Times New Roman" w:hAnsi="Times New Roman" w:eastAsia="仿宋_GB2312"/>
          <w:sz w:val="32"/>
          <w:szCs w:val="32"/>
        </w:rPr>
        <w:t>2024</w:t>
      </w:r>
      <w:r>
        <w:rPr>
          <w:rFonts w:ascii="Times New Roman" w:hAnsi="仿宋_GB2312" w:eastAsia="仿宋_GB2312"/>
          <w:sz w:val="32"/>
          <w:szCs w:val="32"/>
        </w:rPr>
        <w:t>年财政拨款收支预算总数减少</w:t>
      </w:r>
      <w:r>
        <w:rPr>
          <w:rFonts w:ascii="Times New Roman" w:hAnsi="Times New Roman" w:eastAsia="仿宋_GB2312"/>
          <w:sz w:val="32"/>
          <w:szCs w:val="32"/>
        </w:rPr>
        <w:t>11.65</w:t>
      </w:r>
      <w:r>
        <w:rPr>
          <w:rFonts w:ascii="Times New Roman" w:hAnsi="仿宋_GB2312" w:eastAsia="仿宋_GB2312"/>
          <w:sz w:val="32"/>
          <w:szCs w:val="32"/>
        </w:rPr>
        <w:t>万元，主要原因是</w:t>
      </w:r>
      <w:r>
        <w:rPr>
          <w:rFonts w:ascii="Times New Roman" w:hAnsi="Times New Roman" w:eastAsia="仿宋_GB2312"/>
          <w:sz w:val="32"/>
          <w:szCs w:val="32"/>
        </w:rPr>
        <w:t>人员减少</w:t>
      </w:r>
      <w:r>
        <w:rPr>
          <w:rFonts w:ascii="Times New Roman" w:hAnsi="仿宋_GB2312" w:eastAsia="仿宋_GB2312"/>
          <w:sz w:val="32"/>
          <w:szCs w:val="32"/>
        </w:rPr>
        <w:t>一人</w:t>
      </w:r>
      <w:r>
        <w:rPr>
          <w:rFonts w:ascii="Times New Roman" w:hAnsi="Times New Roman" w:eastAsia="仿宋_GB2312"/>
          <w:sz w:val="32"/>
          <w:szCs w:val="32"/>
        </w:rPr>
        <w:t>。</w:t>
      </w:r>
    </w:p>
    <w:p w14:paraId="319A4931">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收入包括：本年一般公共预算拨款收入</w:t>
      </w:r>
      <w:r>
        <w:rPr>
          <w:rFonts w:ascii="Times New Roman" w:hAnsi="Times New Roman" w:eastAsia="仿宋_GB2312"/>
          <w:sz w:val="32"/>
          <w:szCs w:val="32"/>
        </w:rPr>
        <w:t>281.72</w:t>
      </w:r>
      <w:r>
        <w:rPr>
          <w:rFonts w:ascii="Times New Roman" w:hAnsi="仿宋_GB2312" w:eastAsia="仿宋_GB2312"/>
          <w:sz w:val="32"/>
          <w:szCs w:val="32"/>
        </w:rPr>
        <w:t>万元；支出包括：一般公共服务支出</w:t>
      </w:r>
      <w:r>
        <w:rPr>
          <w:rFonts w:ascii="Times New Roman" w:hAnsi="Times New Roman" w:eastAsia="仿宋_GB2312"/>
          <w:sz w:val="32"/>
          <w:szCs w:val="32"/>
        </w:rPr>
        <w:t>255.92</w:t>
      </w:r>
      <w:r>
        <w:rPr>
          <w:rFonts w:ascii="Times New Roman" w:hAnsi="仿宋_GB2312" w:eastAsia="仿宋_GB2312"/>
          <w:sz w:val="32"/>
          <w:szCs w:val="32"/>
        </w:rPr>
        <w:t>万元、社会保障和就业支出</w:t>
      </w:r>
      <w:r>
        <w:rPr>
          <w:rFonts w:ascii="Times New Roman" w:hAnsi="Times New Roman" w:eastAsia="仿宋_GB2312"/>
          <w:sz w:val="32"/>
          <w:szCs w:val="32"/>
        </w:rPr>
        <w:t>12.48</w:t>
      </w:r>
      <w:r>
        <w:rPr>
          <w:rFonts w:ascii="Times New Roman" w:hAnsi="仿宋_GB2312" w:eastAsia="仿宋_GB2312"/>
          <w:sz w:val="32"/>
          <w:szCs w:val="32"/>
        </w:rPr>
        <w:t>万元、卫生健康支出</w:t>
      </w:r>
      <w:r>
        <w:rPr>
          <w:rFonts w:ascii="Times New Roman" w:hAnsi="Times New Roman" w:eastAsia="仿宋_GB2312"/>
          <w:sz w:val="32"/>
          <w:szCs w:val="32"/>
        </w:rPr>
        <w:t>4.35</w:t>
      </w:r>
      <w:r>
        <w:rPr>
          <w:rFonts w:ascii="Times New Roman" w:hAnsi="仿宋_GB2312" w:eastAsia="仿宋_GB2312"/>
          <w:sz w:val="32"/>
          <w:szCs w:val="32"/>
        </w:rPr>
        <w:t>万元、住房保障支出</w:t>
      </w:r>
      <w:r>
        <w:rPr>
          <w:rFonts w:ascii="Times New Roman" w:hAnsi="Times New Roman" w:eastAsia="仿宋_GB2312"/>
          <w:sz w:val="32"/>
          <w:szCs w:val="32"/>
        </w:rPr>
        <w:t>8.97</w:t>
      </w:r>
      <w:r>
        <w:rPr>
          <w:rFonts w:ascii="Times New Roman" w:hAnsi="仿宋_GB2312" w:eastAsia="仿宋_GB2312"/>
          <w:sz w:val="32"/>
          <w:szCs w:val="32"/>
        </w:rPr>
        <w:t>万元。</w:t>
      </w:r>
    </w:p>
    <w:p w14:paraId="2DD82D43">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五、一般公共预算当年拨款情况说明</w:t>
      </w:r>
    </w:p>
    <w:p w14:paraId="5EE8A513">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（一）一般公共预算当年拨款规模变化情况</w:t>
      </w:r>
    </w:p>
    <w:p w14:paraId="77859E0F">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年一般公共预算当年拨款</w:t>
      </w:r>
      <w:r>
        <w:rPr>
          <w:rFonts w:ascii="Times New Roman" w:hAnsi="Times New Roman" w:eastAsia="仿宋_GB2312"/>
          <w:sz w:val="32"/>
          <w:szCs w:val="32"/>
        </w:rPr>
        <w:t>281.72</w:t>
      </w:r>
      <w:r>
        <w:rPr>
          <w:rFonts w:ascii="Times New Roman" w:hAnsi="仿宋_GB2312" w:eastAsia="仿宋_GB2312"/>
          <w:sz w:val="32"/>
          <w:szCs w:val="32"/>
        </w:rPr>
        <w:t>万元，比</w:t>
      </w:r>
      <w:r>
        <w:rPr>
          <w:rFonts w:ascii="Times New Roman" w:hAnsi="Times New Roman" w:eastAsia="仿宋_GB2312"/>
          <w:sz w:val="32"/>
          <w:szCs w:val="32"/>
        </w:rPr>
        <w:t>2024</w:t>
      </w:r>
      <w:r>
        <w:rPr>
          <w:rFonts w:ascii="Times New Roman" w:hAnsi="仿宋_GB2312" w:eastAsia="仿宋_GB2312"/>
          <w:sz w:val="32"/>
          <w:szCs w:val="32"/>
        </w:rPr>
        <w:t>年预算数减少</w:t>
      </w:r>
      <w:r>
        <w:rPr>
          <w:rFonts w:ascii="Times New Roman" w:hAnsi="Times New Roman" w:eastAsia="仿宋_GB2312"/>
          <w:sz w:val="32"/>
          <w:szCs w:val="32"/>
        </w:rPr>
        <w:t>11.65</w:t>
      </w:r>
      <w:r>
        <w:rPr>
          <w:rFonts w:ascii="Times New Roman" w:hAnsi="仿宋_GB2312" w:eastAsia="仿宋_GB2312"/>
          <w:sz w:val="32"/>
          <w:szCs w:val="32"/>
        </w:rPr>
        <w:t>万元，主要原因是</w:t>
      </w:r>
      <w:r>
        <w:rPr>
          <w:rFonts w:ascii="Times New Roman" w:hAnsi="Times New Roman" w:eastAsia="仿宋_GB2312"/>
          <w:sz w:val="32"/>
          <w:szCs w:val="32"/>
        </w:rPr>
        <w:t>人员减少</w:t>
      </w:r>
      <w:r>
        <w:rPr>
          <w:rFonts w:ascii="Times New Roman" w:hAnsi="仿宋_GB2312" w:eastAsia="仿宋_GB2312"/>
          <w:sz w:val="32"/>
          <w:szCs w:val="32"/>
        </w:rPr>
        <w:t>一人。</w:t>
      </w:r>
    </w:p>
    <w:p w14:paraId="151E5515">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（二）一般公共预算当年拨款结构情况</w:t>
      </w:r>
    </w:p>
    <w:p w14:paraId="561EFD83">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一般公共服务支出</w:t>
      </w:r>
      <w:r>
        <w:rPr>
          <w:rFonts w:ascii="Times New Roman" w:hAnsi="Times New Roman" w:eastAsia="仿宋_GB2312"/>
          <w:sz w:val="32"/>
          <w:szCs w:val="32"/>
        </w:rPr>
        <w:t>255.92</w:t>
      </w:r>
      <w:r>
        <w:rPr>
          <w:rFonts w:ascii="Times New Roman" w:hAnsi="仿宋_GB2312" w:eastAsia="仿宋_GB2312"/>
          <w:sz w:val="32"/>
          <w:szCs w:val="32"/>
        </w:rPr>
        <w:t>万元，占</w:t>
      </w:r>
      <w:r>
        <w:rPr>
          <w:rFonts w:ascii="Times New Roman" w:hAnsi="Times New Roman" w:eastAsia="仿宋_GB2312"/>
          <w:sz w:val="32"/>
          <w:szCs w:val="32"/>
        </w:rPr>
        <w:t>90.84%</w:t>
      </w:r>
      <w:r>
        <w:rPr>
          <w:rFonts w:ascii="Times New Roman" w:hAnsi="仿宋_GB2312" w:eastAsia="仿宋_GB2312"/>
          <w:sz w:val="32"/>
          <w:szCs w:val="32"/>
        </w:rPr>
        <w:t>；社会保障和就业支出</w:t>
      </w:r>
      <w:r>
        <w:rPr>
          <w:rFonts w:ascii="Times New Roman" w:hAnsi="Times New Roman" w:eastAsia="仿宋_GB2312"/>
          <w:sz w:val="32"/>
          <w:szCs w:val="32"/>
        </w:rPr>
        <w:t>12.48</w:t>
      </w:r>
      <w:r>
        <w:rPr>
          <w:rFonts w:ascii="Times New Roman" w:hAnsi="仿宋_GB2312" w:eastAsia="仿宋_GB2312"/>
          <w:sz w:val="32"/>
          <w:szCs w:val="32"/>
        </w:rPr>
        <w:t>万元，占</w:t>
      </w:r>
      <w:r>
        <w:rPr>
          <w:rFonts w:ascii="Times New Roman" w:hAnsi="Times New Roman" w:eastAsia="仿宋_GB2312"/>
          <w:sz w:val="32"/>
          <w:szCs w:val="32"/>
        </w:rPr>
        <w:t>4.43%</w:t>
      </w:r>
      <w:r>
        <w:rPr>
          <w:rFonts w:ascii="Times New Roman" w:hAnsi="仿宋_GB2312" w:eastAsia="仿宋_GB2312"/>
          <w:sz w:val="32"/>
          <w:szCs w:val="32"/>
        </w:rPr>
        <w:t>；卫生健康支出</w:t>
      </w:r>
      <w:r>
        <w:rPr>
          <w:rFonts w:ascii="Times New Roman" w:hAnsi="Times New Roman" w:eastAsia="仿宋_GB2312"/>
          <w:sz w:val="32"/>
          <w:szCs w:val="32"/>
        </w:rPr>
        <w:t>4.35</w:t>
      </w:r>
      <w:r>
        <w:rPr>
          <w:rFonts w:ascii="Times New Roman" w:hAnsi="仿宋_GB2312" w:eastAsia="仿宋_GB2312"/>
          <w:sz w:val="32"/>
          <w:szCs w:val="32"/>
        </w:rPr>
        <w:t>万元，占</w:t>
      </w:r>
      <w:r>
        <w:rPr>
          <w:rFonts w:ascii="Times New Roman" w:hAnsi="Times New Roman" w:eastAsia="仿宋_GB2312"/>
          <w:sz w:val="32"/>
          <w:szCs w:val="32"/>
        </w:rPr>
        <w:t>1.54%</w:t>
      </w:r>
      <w:r>
        <w:rPr>
          <w:rFonts w:ascii="Times New Roman" w:hAnsi="仿宋_GB2312" w:eastAsia="仿宋_GB2312"/>
          <w:sz w:val="32"/>
          <w:szCs w:val="32"/>
        </w:rPr>
        <w:t>；住房保障支出</w:t>
      </w:r>
      <w:r>
        <w:rPr>
          <w:rFonts w:ascii="Times New Roman" w:hAnsi="Times New Roman" w:eastAsia="仿宋_GB2312"/>
          <w:sz w:val="32"/>
          <w:szCs w:val="32"/>
        </w:rPr>
        <w:t>8.97</w:t>
      </w:r>
      <w:r>
        <w:rPr>
          <w:rFonts w:ascii="Times New Roman" w:hAnsi="仿宋_GB2312" w:eastAsia="仿宋_GB2312"/>
          <w:sz w:val="32"/>
          <w:szCs w:val="32"/>
        </w:rPr>
        <w:t>万元，占</w:t>
      </w:r>
      <w:r>
        <w:rPr>
          <w:rFonts w:ascii="Times New Roman" w:hAnsi="Times New Roman" w:eastAsia="仿宋_GB2312"/>
          <w:sz w:val="32"/>
          <w:szCs w:val="32"/>
        </w:rPr>
        <w:t>3.18%</w:t>
      </w:r>
      <w:r>
        <w:rPr>
          <w:rFonts w:ascii="Times New Roman" w:hAnsi="仿宋_GB2312" w:eastAsia="仿宋_GB2312"/>
          <w:sz w:val="32"/>
          <w:szCs w:val="32"/>
        </w:rPr>
        <w:t>。</w:t>
      </w:r>
    </w:p>
    <w:p w14:paraId="00613835">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（三）一般公共预算当年拨款具体使用情况</w:t>
      </w:r>
    </w:p>
    <w:p w14:paraId="0A89EC24">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一般公共服务（类）商贸事务（款）招商引资（项）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70</w:t>
      </w:r>
      <w:r>
        <w:rPr>
          <w:rFonts w:ascii="Times New Roman" w:hAnsi="仿宋_GB2312" w:eastAsia="仿宋_GB2312"/>
          <w:sz w:val="32"/>
          <w:szCs w:val="32"/>
        </w:rPr>
        <w:t>万元，主要用于：开展招商引资工作等方面的支出。</w:t>
      </w:r>
    </w:p>
    <w:p w14:paraId="4BDE319A">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仿宋_GB2312" w:eastAsia="仿宋_GB2312"/>
          <w:sz w:val="32"/>
          <w:szCs w:val="32"/>
        </w:rPr>
        <w:t>一般公共服务（类）商贸事务（款）事业运行（项）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185.92</w:t>
      </w:r>
      <w:r>
        <w:rPr>
          <w:rFonts w:ascii="Times New Roman" w:hAnsi="仿宋_GB2312" w:eastAsia="仿宋_GB2312"/>
          <w:sz w:val="32"/>
          <w:szCs w:val="32"/>
        </w:rPr>
        <w:t>万元，主要用于：保障机构正常运行、开展日常工作的基本支出及开展外事工作、招商工作的项目支出。</w:t>
      </w:r>
    </w:p>
    <w:p w14:paraId="12EBD0B9">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仿宋_GB2312" w:eastAsia="仿宋_GB2312"/>
          <w:sz w:val="32"/>
          <w:szCs w:val="32"/>
        </w:rPr>
        <w:t>社会保障和就业（类）行政事业单位养老支出（款）机关事业单位基本养老保险缴费支出（项）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11.95</w:t>
      </w:r>
      <w:r>
        <w:rPr>
          <w:rFonts w:ascii="Times New Roman" w:hAnsi="仿宋_GB2312" w:eastAsia="仿宋_GB2312"/>
          <w:sz w:val="32"/>
          <w:szCs w:val="32"/>
        </w:rPr>
        <w:t>万元，主要用于：实施养老保险制度由单位缴纳的基本养老保险支出。</w:t>
      </w:r>
    </w:p>
    <w:p w14:paraId="642E4039">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仿宋_GB2312" w:eastAsia="仿宋_GB2312"/>
          <w:sz w:val="32"/>
          <w:szCs w:val="32"/>
        </w:rPr>
        <w:t>社会保障和就业（类）其他社会保障和就业支出（款）其他社会保障和就业支出（项）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0.52</w:t>
      </w:r>
      <w:r>
        <w:rPr>
          <w:rFonts w:ascii="Times New Roman" w:hAnsi="仿宋_GB2312" w:eastAsia="仿宋_GB2312"/>
          <w:sz w:val="32"/>
          <w:szCs w:val="32"/>
        </w:rPr>
        <w:t>万元，主要用于：其他社会保障支出。</w:t>
      </w:r>
    </w:p>
    <w:p w14:paraId="6FD23018">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ascii="Times New Roman" w:hAnsi="仿宋_GB2312" w:eastAsia="仿宋_GB2312"/>
          <w:sz w:val="32"/>
          <w:szCs w:val="32"/>
        </w:rPr>
        <w:t>卫生健康（类）行政事业单位医疗（款）事业单位医疗（项）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4.35</w:t>
      </w:r>
      <w:r>
        <w:rPr>
          <w:rFonts w:ascii="Times New Roman" w:hAnsi="仿宋_GB2312" w:eastAsia="仿宋_GB2312"/>
          <w:sz w:val="32"/>
          <w:szCs w:val="32"/>
        </w:rPr>
        <w:t>万元，主要用于：事业单位按规定由单位缴纳的基本医疗保险支出。</w:t>
      </w:r>
    </w:p>
    <w:p w14:paraId="505BB93F">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仿宋_GB2312" w:eastAsia="仿宋_GB2312"/>
          <w:sz w:val="32"/>
          <w:szCs w:val="32"/>
        </w:rPr>
        <w:t>住房保障（类）住房改革支出（款）住房公积金（项）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8.97</w:t>
      </w:r>
      <w:r>
        <w:rPr>
          <w:rFonts w:ascii="Times New Roman" w:hAnsi="仿宋_GB2312" w:eastAsia="仿宋_GB2312"/>
          <w:sz w:val="32"/>
          <w:szCs w:val="32"/>
        </w:rPr>
        <w:t>万元，主要用于：部门按规定为职工缴纳的住房公积金支出。</w:t>
      </w:r>
    </w:p>
    <w:p w14:paraId="3FEC5DD6">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六、一般公共预算基本支出情况说明</w:t>
      </w:r>
    </w:p>
    <w:p w14:paraId="1289516A">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年一般公共预算基本支出</w:t>
      </w:r>
      <w:r>
        <w:rPr>
          <w:rFonts w:ascii="Times New Roman" w:hAnsi="Times New Roman" w:eastAsia="仿宋_GB2312"/>
          <w:sz w:val="32"/>
          <w:szCs w:val="32"/>
        </w:rPr>
        <w:t>111.72</w:t>
      </w:r>
      <w:r>
        <w:rPr>
          <w:rFonts w:ascii="Times New Roman" w:hAnsi="仿宋_GB2312" w:eastAsia="仿宋_GB2312"/>
          <w:sz w:val="32"/>
          <w:szCs w:val="32"/>
        </w:rPr>
        <w:t>万元，其中：</w:t>
      </w:r>
    </w:p>
    <w:p w14:paraId="0E3B5B01">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人员经费</w:t>
      </w:r>
      <w:r>
        <w:rPr>
          <w:rFonts w:ascii="Times New Roman" w:hAnsi="Times New Roman" w:eastAsia="仿宋_GB2312"/>
          <w:sz w:val="32"/>
          <w:szCs w:val="32"/>
        </w:rPr>
        <w:t>100.52</w:t>
      </w:r>
      <w:r>
        <w:rPr>
          <w:rFonts w:ascii="Times New Roman" w:hAnsi="仿宋_GB2312" w:eastAsia="仿宋_GB2312"/>
          <w:sz w:val="32"/>
          <w:szCs w:val="32"/>
        </w:rPr>
        <w:t>万元，主要包括：基本工资、津贴补贴、奖金、绩效工资、社会保险缴费、住房公积金等支出。</w:t>
      </w:r>
    </w:p>
    <w:p w14:paraId="7B8EA95F">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公用经费</w:t>
      </w:r>
      <w:r>
        <w:rPr>
          <w:rFonts w:ascii="Times New Roman" w:hAnsi="Times New Roman" w:eastAsia="仿宋_GB2312"/>
          <w:sz w:val="32"/>
          <w:szCs w:val="32"/>
        </w:rPr>
        <w:t>11.2</w:t>
      </w:r>
      <w:r>
        <w:rPr>
          <w:rFonts w:ascii="Times New Roman" w:hAnsi="仿宋_GB2312" w:eastAsia="仿宋_GB2312"/>
          <w:sz w:val="32"/>
          <w:szCs w:val="32"/>
        </w:rPr>
        <w:t>万元，主要包括：办公费、工会经费、其他商品和服务等支出。</w:t>
      </w:r>
    </w:p>
    <w:p w14:paraId="6DBA268F">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七、</w:t>
      </w:r>
      <w:r>
        <w:rPr>
          <w:rFonts w:ascii="Times New Roman" w:hAnsi="Times New Roman" w:eastAsia="黑体"/>
          <w:sz w:val="32"/>
          <w:szCs w:val="32"/>
        </w:rPr>
        <w:t>“</w:t>
      </w:r>
      <w:r>
        <w:rPr>
          <w:rFonts w:ascii="Times New Roman" w:hAnsi="黑体" w:eastAsia="黑体"/>
          <w:sz w:val="32"/>
          <w:szCs w:val="32"/>
        </w:rPr>
        <w:t>三公</w:t>
      </w:r>
      <w:r>
        <w:rPr>
          <w:rFonts w:ascii="Times New Roman" w:hAnsi="Times New Roman" w:eastAsia="黑体"/>
          <w:sz w:val="32"/>
          <w:szCs w:val="32"/>
        </w:rPr>
        <w:t>”</w:t>
      </w:r>
      <w:r>
        <w:rPr>
          <w:rFonts w:ascii="Times New Roman" w:hAnsi="黑体" w:eastAsia="黑体"/>
          <w:sz w:val="32"/>
          <w:szCs w:val="32"/>
        </w:rPr>
        <w:t>经费财政拨款预算安排情况说明</w:t>
      </w:r>
    </w:p>
    <w:p w14:paraId="1028954D">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w:t>
      </w:r>
      <w:r>
        <w:rPr>
          <w:rFonts w:ascii="Times New Roman" w:hAnsi="Times New Roman" w:eastAsia="仿宋_GB2312"/>
          <w:sz w:val="32"/>
          <w:szCs w:val="32"/>
        </w:rPr>
        <w:t>“</w:t>
      </w:r>
      <w:r>
        <w:rPr>
          <w:rFonts w:ascii="Times New Roman" w:hAnsi="仿宋_GB2312" w:eastAsia="仿宋_GB2312"/>
          <w:sz w:val="32"/>
          <w:szCs w:val="32"/>
        </w:rPr>
        <w:t>三公</w:t>
      </w:r>
      <w:r>
        <w:rPr>
          <w:rFonts w:ascii="Times New Roman" w:hAnsi="Times New Roman" w:eastAsia="仿宋_GB2312"/>
          <w:sz w:val="32"/>
          <w:szCs w:val="32"/>
        </w:rPr>
        <w:t>”</w:t>
      </w:r>
      <w:r>
        <w:rPr>
          <w:rFonts w:ascii="Times New Roman" w:hAnsi="仿宋_GB2312" w:eastAsia="仿宋_GB2312"/>
          <w:sz w:val="32"/>
          <w:szCs w:val="32"/>
        </w:rPr>
        <w:t>经费财政拨款预算数</w:t>
      </w:r>
      <w:r>
        <w:rPr>
          <w:rFonts w:ascii="Times New Roman" w:hAnsi="Times New Roman" w:eastAsia="仿宋_GB2312"/>
          <w:sz w:val="32"/>
          <w:szCs w:val="32"/>
        </w:rPr>
        <w:t>12</w:t>
      </w:r>
      <w:r>
        <w:rPr>
          <w:rFonts w:ascii="Times New Roman" w:hAnsi="仿宋_GB2312" w:eastAsia="仿宋_GB2312"/>
          <w:sz w:val="32"/>
          <w:szCs w:val="32"/>
        </w:rPr>
        <w:t>万元，其中：公务接待费</w:t>
      </w:r>
      <w:r>
        <w:rPr>
          <w:rFonts w:ascii="Times New Roman" w:hAnsi="Times New Roman" w:eastAsia="仿宋_GB2312"/>
          <w:sz w:val="32"/>
          <w:szCs w:val="32"/>
        </w:rPr>
        <w:t>12</w:t>
      </w:r>
      <w:r>
        <w:rPr>
          <w:rFonts w:ascii="Times New Roman" w:hAnsi="仿宋_GB2312" w:eastAsia="仿宋_GB2312"/>
          <w:sz w:val="32"/>
          <w:szCs w:val="32"/>
        </w:rPr>
        <w:t>万元，公务用车购置及运行维护费</w:t>
      </w:r>
      <w:r>
        <w:rPr>
          <w:rFonts w:ascii="Times New Roman" w:hAnsi="Times New Roman" w:eastAsia="仿宋_GB2312"/>
          <w:sz w:val="32"/>
          <w:szCs w:val="32"/>
        </w:rPr>
        <w:t>0</w:t>
      </w:r>
      <w:r>
        <w:rPr>
          <w:rFonts w:ascii="Times New Roman" w:hAnsi="仿宋_GB2312" w:eastAsia="仿宋_GB2312"/>
          <w:sz w:val="32"/>
          <w:szCs w:val="32"/>
        </w:rPr>
        <w:t>万元，因公出国（境）经费</w:t>
      </w:r>
      <w:r>
        <w:rPr>
          <w:rFonts w:ascii="Times New Roman" w:hAnsi="Times New Roman" w:eastAsia="仿宋_GB2312"/>
          <w:sz w:val="32"/>
          <w:szCs w:val="32"/>
        </w:rPr>
        <w:t>0</w:t>
      </w:r>
      <w:r>
        <w:rPr>
          <w:rFonts w:ascii="Times New Roman" w:hAnsi="仿宋_GB2312" w:eastAsia="仿宋_GB2312"/>
          <w:sz w:val="32"/>
          <w:szCs w:val="32"/>
        </w:rPr>
        <w:t>万元。</w:t>
      </w:r>
    </w:p>
    <w:p w14:paraId="47FF7CD7">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（一）公务接待费</w:t>
      </w:r>
    </w:p>
    <w:p w14:paraId="4A556C27">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公务接待费与</w:t>
      </w:r>
      <w:r>
        <w:rPr>
          <w:rFonts w:ascii="Times New Roman" w:hAnsi="Times New Roman" w:eastAsia="仿宋_GB2312"/>
          <w:sz w:val="32"/>
          <w:szCs w:val="32"/>
        </w:rPr>
        <w:t>2024</w:t>
      </w:r>
      <w:r>
        <w:rPr>
          <w:rFonts w:ascii="Times New Roman" w:hAnsi="仿宋_GB2312" w:eastAsia="仿宋_GB2312"/>
          <w:sz w:val="32"/>
          <w:szCs w:val="32"/>
        </w:rPr>
        <w:t>年预算相比下降</w:t>
      </w:r>
      <w:r>
        <w:rPr>
          <w:rFonts w:ascii="Times New Roman" w:hAnsi="Times New Roman" w:eastAsia="仿宋_GB2312"/>
          <w:sz w:val="32"/>
          <w:szCs w:val="32"/>
        </w:rPr>
        <w:t>2</w:t>
      </w:r>
      <w:r>
        <w:rPr>
          <w:rFonts w:ascii="Times New Roman" w:hAnsi="仿宋_GB2312" w:eastAsia="仿宋_GB2312"/>
          <w:sz w:val="32"/>
          <w:szCs w:val="32"/>
        </w:rPr>
        <w:t>万元，主要原因是</w:t>
      </w:r>
      <w:r>
        <w:rPr>
          <w:rFonts w:ascii="Times New Roman" w:hAnsi="Times New Roman" w:eastAsia="仿宋_GB2312"/>
          <w:sz w:val="32"/>
          <w:szCs w:val="32"/>
        </w:rPr>
        <w:t>落实中央八项规定</w:t>
      </w:r>
      <w:r>
        <w:rPr>
          <w:rFonts w:ascii="Times New Roman" w:hAnsi="仿宋" w:eastAsia="仿宋"/>
          <w:color w:val="000000"/>
          <w:sz w:val="32"/>
          <w:szCs w:val="32"/>
        </w:rPr>
        <w:t>，优化压减支出</w:t>
      </w:r>
      <w:r>
        <w:rPr>
          <w:rFonts w:ascii="Times New Roman" w:hAnsi="Times New Roman" w:eastAsia="仿宋_GB2312"/>
          <w:sz w:val="32"/>
          <w:szCs w:val="32"/>
        </w:rPr>
        <w:t>。</w:t>
      </w:r>
    </w:p>
    <w:p w14:paraId="488543FC">
      <w:pPr>
        <w:spacing w:line="55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2025</w:t>
      </w:r>
      <w:r>
        <w:rPr>
          <w:rFonts w:ascii="Times New Roman" w:hAnsi="仿宋_GB2312" w:eastAsia="仿宋_GB2312"/>
          <w:sz w:val="32"/>
          <w:szCs w:val="32"/>
        </w:rPr>
        <w:t>年公务接待费计划用于执行接待考察调研、检查指导等公务活动开支的交通费、住宿费、用餐费等。</w:t>
      </w:r>
    </w:p>
    <w:p w14:paraId="6B1EEB8B">
      <w:pPr>
        <w:numPr>
          <w:ilvl w:val="0"/>
          <w:numId w:val="2"/>
        </w:num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公务用车购置及运行维护费</w:t>
      </w:r>
    </w:p>
    <w:p w14:paraId="4D829394">
      <w:pPr>
        <w:spacing w:line="550" w:lineRule="exact"/>
        <w:ind w:firstLine="640" w:firstLineChars="200"/>
        <w:rPr>
          <w:rFonts w:ascii="Times New Roman" w:hAnsi="Times New Roman" w:eastAsia="仿宋_GB2312"/>
          <w:b/>
          <w:bCs/>
          <w:sz w:val="32"/>
          <w:szCs w:val="32"/>
        </w:rPr>
      </w:pPr>
      <w:r>
        <w:rPr>
          <w:rFonts w:ascii="Times New Roman" w:hAnsi="仿宋_GB2312" w:eastAsia="仿宋_GB2312"/>
          <w:sz w:val="32"/>
          <w:szCs w:val="32"/>
        </w:rPr>
        <w:t>公务用车购置及运行维护费与</w:t>
      </w:r>
      <w:r>
        <w:rPr>
          <w:rFonts w:ascii="Times New Roman" w:hAnsi="Times New Roman" w:eastAsia="仿宋_GB2312"/>
          <w:sz w:val="32"/>
          <w:szCs w:val="32"/>
        </w:rPr>
        <w:t>2024</w:t>
      </w:r>
      <w:r>
        <w:rPr>
          <w:rFonts w:ascii="Times New Roman" w:hAnsi="仿宋_GB2312" w:eastAsia="仿宋_GB2312"/>
          <w:sz w:val="32"/>
          <w:szCs w:val="32"/>
        </w:rPr>
        <w:t>年预算相比持平，单位现有公务用车</w:t>
      </w:r>
      <w:r>
        <w:rPr>
          <w:rFonts w:ascii="Times New Roman" w:hAnsi="Times New Roman" w:eastAsia="仿宋_GB2312"/>
          <w:sz w:val="32"/>
          <w:szCs w:val="32"/>
        </w:rPr>
        <w:t>0</w:t>
      </w:r>
      <w:r>
        <w:rPr>
          <w:rFonts w:ascii="Times New Roman" w:hAnsi="仿宋_GB2312" w:eastAsia="仿宋_GB2312"/>
          <w:sz w:val="32"/>
          <w:szCs w:val="32"/>
        </w:rPr>
        <w:t>辆。</w:t>
      </w:r>
    </w:p>
    <w:p w14:paraId="490FC0B1">
      <w:pPr>
        <w:spacing w:line="55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2025年未安排公务用车购置费</w:t>
      </w:r>
      <w:r>
        <w:rPr>
          <w:rFonts w:ascii="Times New Roman" w:hAnsi="仿宋_GB2312" w:eastAsia="仿宋_GB2312"/>
          <w:sz w:val="32"/>
          <w:szCs w:val="32"/>
        </w:rPr>
        <w:t>。</w:t>
      </w:r>
    </w:p>
    <w:p w14:paraId="745FB24E">
      <w:pPr>
        <w:spacing w:line="55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年安排公务用车运行维护费</w:t>
      </w:r>
      <w:r>
        <w:rPr>
          <w:rFonts w:ascii="Times New Roman" w:hAnsi="Times New Roman" w:eastAsia="仿宋_GB2312"/>
          <w:sz w:val="32"/>
          <w:szCs w:val="32"/>
        </w:rPr>
        <w:t>0</w:t>
      </w:r>
      <w:r>
        <w:rPr>
          <w:rFonts w:ascii="Times New Roman" w:hAnsi="仿宋_GB2312" w:eastAsia="仿宋_GB2312"/>
          <w:sz w:val="32"/>
          <w:szCs w:val="32"/>
        </w:rPr>
        <w:t>万元。</w:t>
      </w:r>
    </w:p>
    <w:p w14:paraId="16EE4001">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w:t>
      </w:r>
      <w:r>
        <w:rPr>
          <w:rFonts w:ascii="Times New Roman" w:hAnsi="楷体_GB2312" w:eastAsia="楷体_GB2312"/>
          <w:sz w:val="32"/>
          <w:szCs w:val="32"/>
        </w:rPr>
        <w:t>三）因公出国（境）经费</w:t>
      </w:r>
    </w:p>
    <w:p w14:paraId="1D7407E4">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因公出国（境）经费与</w:t>
      </w:r>
      <w:r>
        <w:rPr>
          <w:rFonts w:ascii="Times New Roman" w:hAnsi="Times New Roman" w:eastAsia="仿宋_GB2312"/>
          <w:sz w:val="32"/>
          <w:szCs w:val="32"/>
        </w:rPr>
        <w:t>2024</w:t>
      </w:r>
      <w:r>
        <w:rPr>
          <w:rFonts w:ascii="Times New Roman" w:hAnsi="仿宋_GB2312" w:eastAsia="仿宋_GB2312"/>
          <w:sz w:val="32"/>
          <w:szCs w:val="32"/>
        </w:rPr>
        <w:t>年预算相比持平。</w:t>
      </w:r>
    </w:p>
    <w:p w14:paraId="36E9C51D">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八、政府性基金预算支出情况说明</w:t>
      </w:r>
    </w:p>
    <w:p w14:paraId="3F067A61">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年无政府性基金预算拨款安排的支出。</w:t>
      </w:r>
    </w:p>
    <w:p w14:paraId="62C6FFA2">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九、国有资本经营预算支出情况说明</w:t>
      </w:r>
    </w:p>
    <w:p w14:paraId="3098C481">
      <w:pPr>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区经济合作和外事中心</w:t>
      </w:r>
      <w:r>
        <w:rPr>
          <w:rFonts w:ascii="Times New Roman" w:hAnsi="Times New Roman" w:eastAsia="仿宋_GB2312"/>
          <w:sz w:val="32"/>
          <w:szCs w:val="32"/>
        </w:rPr>
        <w:t>2025</w:t>
      </w:r>
      <w:r>
        <w:rPr>
          <w:rFonts w:ascii="Times New Roman" w:hAnsi="仿宋_GB2312" w:eastAsia="仿宋_GB2312"/>
          <w:sz w:val="32"/>
          <w:szCs w:val="32"/>
        </w:rPr>
        <w:t>年无国有资本经营预算拨款安排的支出。</w:t>
      </w:r>
    </w:p>
    <w:p w14:paraId="61F3C397">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十、其他重要事项的情况说明</w:t>
      </w:r>
    </w:p>
    <w:p w14:paraId="7D1F1D3A">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（一）机关运行经费</w:t>
      </w:r>
    </w:p>
    <w:p w14:paraId="404F0C05">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w:t>
      </w:r>
      <w:r>
        <w:rPr>
          <w:rFonts w:ascii="Times New Roman" w:hAnsi="Times New Roman" w:eastAsia="仿宋_GB2312"/>
          <w:color w:val="333333"/>
          <w:kern w:val="0"/>
          <w:sz w:val="32"/>
          <w:szCs w:val="32"/>
          <w:shd w:val="clear" w:color="auto" w:fill="FFFFFF"/>
        </w:rPr>
        <w:t>区经济合作和外事中心的</w:t>
      </w:r>
      <w:r>
        <w:rPr>
          <w:rFonts w:ascii="Times New Roman" w:hAnsi="仿宋_GB2312" w:eastAsia="仿宋_GB2312"/>
          <w:sz w:val="32"/>
          <w:szCs w:val="32"/>
        </w:rPr>
        <w:t>机关运行经费财政拨款预算为</w:t>
      </w:r>
      <w:r>
        <w:rPr>
          <w:rFonts w:ascii="Times New Roman" w:hAnsi="Times New Roman" w:eastAsia="仿宋_GB2312"/>
          <w:sz w:val="32"/>
          <w:szCs w:val="32"/>
        </w:rPr>
        <w:t>11.2</w:t>
      </w:r>
      <w:r>
        <w:rPr>
          <w:rFonts w:ascii="Times New Roman" w:hAnsi="仿宋_GB2312" w:eastAsia="仿宋_GB2312"/>
          <w:sz w:val="32"/>
          <w:szCs w:val="32"/>
        </w:rPr>
        <w:t>万元，比</w:t>
      </w:r>
      <w:r>
        <w:rPr>
          <w:rFonts w:ascii="Times New Roman" w:hAnsi="Times New Roman" w:eastAsia="仿宋_GB2312"/>
          <w:sz w:val="32"/>
          <w:szCs w:val="32"/>
        </w:rPr>
        <w:t>2024</w:t>
      </w:r>
      <w:r>
        <w:rPr>
          <w:rFonts w:ascii="Times New Roman" w:hAnsi="仿宋_GB2312" w:eastAsia="仿宋_GB2312"/>
          <w:sz w:val="32"/>
          <w:szCs w:val="32"/>
        </w:rPr>
        <w:t>年预算减少</w:t>
      </w:r>
      <w:r>
        <w:rPr>
          <w:rFonts w:ascii="Times New Roman" w:hAnsi="Times New Roman" w:eastAsia="仿宋_GB2312"/>
          <w:sz w:val="32"/>
          <w:szCs w:val="32"/>
        </w:rPr>
        <w:t>1.4</w:t>
      </w:r>
      <w:r>
        <w:rPr>
          <w:rFonts w:ascii="Times New Roman" w:hAnsi="仿宋_GB2312" w:eastAsia="仿宋_GB2312"/>
          <w:sz w:val="32"/>
          <w:szCs w:val="32"/>
        </w:rPr>
        <w:t>万元，下降</w:t>
      </w:r>
      <w:r>
        <w:rPr>
          <w:rFonts w:ascii="Times New Roman" w:hAnsi="Times New Roman" w:eastAsia="仿宋_GB2312"/>
          <w:sz w:val="32"/>
          <w:szCs w:val="32"/>
        </w:rPr>
        <w:t>11.11%</w:t>
      </w:r>
      <w:r>
        <w:rPr>
          <w:rFonts w:ascii="Times New Roman" w:hAnsi="仿宋_GB2312" w:eastAsia="仿宋_GB2312"/>
          <w:sz w:val="32"/>
          <w:szCs w:val="32"/>
        </w:rPr>
        <w:t>。主要原因人员减少一人。</w:t>
      </w:r>
    </w:p>
    <w:p w14:paraId="5B0D4C04">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（二）政府采购情况</w:t>
      </w:r>
    </w:p>
    <w:p w14:paraId="1AE47917">
      <w:pPr>
        <w:spacing w:line="550" w:lineRule="exact"/>
        <w:ind w:firstLine="640" w:firstLineChars="200"/>
        <w:rPr>
          <w:rFonts w:hint="eastAsia" w:ascii="Times New Roman" w:hAnsi="仿宋_GB2312"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w:t>
      </w:r>
      <w:r>
        <w:rPr>
          <w:rFonts w:ascii="Times New Roman" w:hAnsi="Times New Roman" w:eastAsia="仿宋_GB2312"/>
          <w:color w:val="333333"/>
          <w:kern w:val="0"/>
          <w:sz w:val="32"/>
          <w:szCs w:val="32"/>
          <w:shd w:val="clear" w:color="auto" w:fill="FFFFFF"/>
        </w:rPr>
        <w:t>区经济合作和外事中心</w:t>
      </w:r>
      <w:r>
        <w:rPr>
          <w:rFonts w:ascii="Times New Roman" w:hAnsi="仿宋_GB2312" w:eastAsia="仿宋_GB2312"/>
          <w:sz w:val="32"/>
          <w:szCs w:val="32"/>
        </w:rPr>
        <w:t>安排政府采购预算</w:t>
      </w:r>
      <w:r>
        <w:rPr>
          <w:rFonts w:ascii="Times New Roman" w:hAnsi="Times New Roman" w:eastAsia="仿宋_GB2312"/>
          <w:sz w:val="32"/>
          <w:szCs w:val="32"/>
        </w:rPr>
        <w:t>0</w:t>
      </w:r>
      <w:r>
        <w:rPr>
          <w:rFonts w:ascii="Times New Roman" w:hAnsi="仿宋_GB2312" w:eastAsia="仿宋_GB2312"/>
          <w:sz w:val="32"/>
          <w:szCs w:val="32"/>
        </w:rPr>
        <w:t>万元。</w:t>
      </w:r>
    </w:p>
    <w:p w14:paraId="2F01CF28">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（三）国有资产占有使用情况</w:t>
      </w:r>
    </w:p>
    <w:p w14:paraId="65574968">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截至</w:t>
      </w:r>
      <w:r>
        <w:rPr>
          <w:rFonts w:ascii="Times New Roman" w:hAnsi="Times New Roman" w:eastAsia="仿宋_GB2312"/>
          <w:sz w:val="32"/>
          <w:szCs w:val="32"/>
        </w:rPr>
        <w:t>2024</w:t>
      </w:r>
      <w:r>
        <w:rPr>
          <w:rFonts w:ascii="Times New Roman" w:hAnsi="仿宋_GB2312" w:eastAsia="仿宋_GB2312"/>
          <w:sz w:val="32"/>
          <w:szCs w:val="32"/>
        </w:rPr>
        <w:t>年底，</w:t>
      </w:r>
      <w:r>
        <w:rPr>
          <w:rFonts w:ascii="Times New Roman" w:hAnsi="Times New Roman" w:eastAsia="仿宋_GB2312"/>
          <w:color w:val="333333"/>
          <w:kern w:val="0"/>
          <w:sz w:val="32"/>
          <w:szCs w:val="32"/>
          <w:shd w:val="clear" w:color="auto" w:fill="FFFFFF"/>
        </w:rPr>
        <w:t>区经济合作和外事中心</w:t>
      </w:r>
      <w:r>
        <w:rPr>
          <w:rFonts w:ascii="Times New Roman" w:hAnsi="仿宋_GB2312" w:eastAsia="仿宋_GB2312"/>
          <w:sz w:val="32"/>
          <w:szCs w:val="32"/>
        </w:rPr>
        <w:t>共有车辆</w:t>
      </w:r>
      <w:r>
        <w:rPr>
          <w:rFonts w:ascii="Times New Roman" w:hAnsi="Times New Roman" w:eastAsia="仿宋_GB2312"/>
          <w:sz w:val="32"/>
          <w:szCs w:val="32"/>
        </w:rPr>
        <w:t>0</w:t>
      </w:r>
      <w:r>
        <w:rPr>
          <w:rFonts w:ascii="Times New Roman" w:hAnsi="仿宋_GB2312" w:eastAsia="仿宋_GB2312"/>
          <w:sz w:val="32"/>
          <w:szCs w:val="32"/>
        </w:rPr>
        <w:t>辆，单位价值</w:t>
      </w:r>
      <w:r>
        <w:rPr>
          <w:rFonts w:ascii="Times New Roman" w:hAnsi="Times New Roman" w:eastAsia="仿宋_GB2312"/>
          <w:sz w:val="32"/>
          <w:szCs w:val="32"/>
        </w:rPr>
        <w:t>200</w:t>
      </w:r>
      <w:r>
        <w:rPr>
          <w:rFonts w:ascii="Times New Roman" w:hAnsi="仿宋_GB2312" w:eastAsia="仿宋_GB2312"/>
          <w:sz w:val="32"/>
          <w:szCs w:val="32"/>
        </w:rPr>
        <w:t>万元以上大型设备</w:t>
      </w:r>
      <w:r>
        <w:rPr>
          <w:rFonts w:ascii="Times New Roman" w:hAnsi="Times New Roman" w:eastAsia="仿宋_GB2312"/>
          <w:sz w:val="32"/>
          <w:szCs w:val="32"/>
        </w:rPr>
        <w:t>0</w:t>
      </w:r>
      <w:r>
        <w:rPr>
          <w:rFonts w:ascii="Times New Roman" w:hAnsi="仿宋_GB2312" w:eastAsia="仿宋_GB2312"/>
          <w:sz w:val="32"/>
          <w:szCs w:val="32"/>
        </w:rPr>
        <w:t>台（套）。</w:t>
      </w:r>
    </w:p>
    <w:p w14:paraId="2367AA77">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年部门预算安排车辆购置经费</w:t>
      </w:r>
      <w:r>
        <w:rPr>
          <w:rFonts w:ascii="Times New Roman" w:hAnsi="Times New Roman" w:eastAsia="仿宋_GB2312"/>
          <w:sz w:val="32"/>
          <w:szCs w:val="32"/>
        </w:rPr>
        <w:t>0</w:t>
      </w:r>
      <w:r>
        <w:rPr>
          <w:rFonts w:ascii="Times New Roman" w:hAnsi="仿宋_GB2312" w:eastAsia="仿宋_GB2312"/>
          <w:sz w:val="32"/>
          <w:szCs w:val="32"/>
        </w:rPr>
        <w:t>万元。拟购置定向保障用车</w:t>
      </w:r>
      <w:r>
        <w:rPr>
          <w:rFonts w:ascii="Times New Roman" w:hAnsi="Times New Roman" w:eastAsia="仿宋_GB2312"/>
          <w:sz w:val="32"/>
          <w:szCs w:val="32"/>
        </w:rPr>
        <w:t>0</w:t>
      </w:r>
      <w:r>
        <w:rPr>
          <w:rFonts w:ascii="Times New Roman" w:hAnsi="仿宋_GB2312" w:eastAsia="仿宋_GB2312"/>
          <w:sz w:val="32"/>
          <w:szCs w:val="32"/>
        </w:rPr>
        <w:t>车辆、执法执勤用车</w:t>
      </w:r>
      <w:r>
        <w:rPr>
          <w:rFonts w:ascii="Times New Roman" w:hAnsi="Times New Roman" w:eastAsia="仿宋_GB2312"/>
          <w:sz w:val="32"/>
          <w:szCs w:val="32"/>
        </w:rPr>
        <w:t>0</w:t>
      </w:r>
      <w:r>
        <w:rPr>
          <w:rFonts w:ascii="Times New Roman" w:hAnsi="仿宋_GB2312" w:eastAsia="仿宋_GB2312"/>
          <w:sz w:val="32"/>
          <w:szCs w:val="32"/>
        </w:rPr>
        <w:t>辆。安排大型设备购置经费</w:t>
      </w:r>
      <w:r>
        <w:rPr>
          <w:rFonts w:ascii="Times New Roman" w:hAnsi="Times New Roman" w:eastAsia="仿宋_GB2312"/>
          <w:sz w:val="32"/>
          <w:szCs w:val="32"/>
        </w:rPr>
        <w:t>0</w:t>
      </w:r>
      <w:r>
        <w:rPr>
          <w:rFonts w:ascii="Times New Roman" w:hAnsi="仿宋_GB2312" w:eastAsia="仿宋_GB2312"/>
          <w:sz w:val="32"/>
          <w:szCs w:val="32"/>
        </w:rPr>
        <w:t>万元。</w:t>
      </w:r>
    </w:p>
    <w:p w14:paraId="44F83D9F">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（四）绩效目标设置情况</w:t>
      </w:r>
    </w:p>
    <w:p w14:paraId="2093810E">
      <w:pPr>
        <w:spacing w:line="55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2025年区经济合作和外事中心开展绩效目标管理的项目4个，涉及预算181.2万元。其中：人员类项目1个，涉及预算 11.2万元；运转类项目2个，涉及预算100万元；特定目标类项目1个，涉及预算70万元。因部分项目内容涉密，不予公开。</w:t>
      </w:r>
    </w:p>
    <w:p w14:paraId="0EA70A64">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十一、名词解释</w:t>
      </w:r>
    </w:p>
    <w:p w14:paraId="342F5862">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（一）财政拨款收入</w:t>
      </w:r>
      <w:r>
        <w:rPr>
          <w:rFonts w:ascii="Times New Roman" w:hAnsi="Times New Roman" w:eastAsia="楷体_GB2312"/>
          <w:sz w:val="32"/>
          <w:szCs w:val="32"/>
        </w:rPr>
        <w:t>:</w:t>
      </w:r>
      <w:r>
        <w:rPr>
          <w:rFonts w:ascii="Times New Roman" w:hAnsi="仿宋_GB2312" w:eastAsia="仿宋_GB2312"/>
          <w:sz w:val="32"/>
          <w:szCs w:val="32"/>
        </w:rPr>
        <w:t>指</w:t>
      </w:r>
      <w:r>
        <w:rPr>
          <w:rFonts w:ascii="Times New Roman" w:hAnsi="仿宋_GB2312" w:eastAsia="仿宋_GB2312"/>
          <w:sz w:val="32"/>
          <w:szCs w:val="32"/>
          <w:highlight w:val="none"/>
        </w:rPr>
        <w:t>财政</w:t>
      </w:r>
      <w:r>
        <w:rPr>
          <w:rFonts w:ascii="Times New Roman" w:hAnsi="仿宋_GB2312" w:eastAsia="仿宋_GB2312"/>
          <w:sz w:val="32"/>
          <w:szCs w:val="32"/>
        </w:rPr>
        <w:t>当年安排的财政预算收入。按现行管理制度</w:t>
      </w:r>
      <w:r>
        <w:rPr>
          <w:rFonts w:ascii="Times New Roman" w:hAnsi="Times New Roman" w:eastAsia="仿宋_GB2312"/>
          <w:sz w:val="32"/>
          <w:szCs w:val="32"/>
        </w:rPr>
        <w:t>,</w:t>
      </w:r>
      <w:r>
        <w:rPr>
          <w:rFonts w:ascii="Times New Roman" w:hAnsi="仿宋_GB2312" w:eastAsia="仿宋_GB2312"/>
          <w:sz w:val="32"/>
          <w:szCs w:val="32"/>
        </w:rPr>
        <w:t>部门预算中反映的财政拨款包括一般公共预算拨款和政府性基金预算拨款。</w:t>
      </w:r>
    </w:p>
    <w:p w14:paraId="7458BBB9">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（二）</w:t>
      </w:r>
      <w:r>
        <w:rPr>
          <w:rFonts w:ascii="Times New Roman" w:hAnsi="楷体_GB2312" w:eastAsia="楷体_GB2312"/>
          <w:sz w:val="32"/>
          <w:szCs w:val="32"/>
        </w:rPr>
        <w:t>一般公共服务（类）商贸事务（款）招商引资（项）：</w:t>
      </w:r>
      <w:r>
        <w:rPr>
          <w:rFonts w:ascii="Times New Roman" w:hAnsi="仿宋_GB2312" w:eastAsia="仿宋_GB2312"/>
          <w:sz w:val="32"/>
          <w:szCs w:val="32"/>
        </w:rPr>
        <w:t>指用于开展招商引资、工作等方面的支出。</w:t>
      </w:r>
    </w:p>
    <w:p w14:paraId="4C08FF43">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（三）</w:t>
      </w:r>
      <w:r>
        <w:rPr>
          <w:rFonts w:ascii="Times New Roman" w:hAnsi="楷体_GB2312" w:eastAsia="楷体_GB2312"/>
          <w:sz w:val="32"/>
          <w:szCs w:val="32"/>
        </w:rPr>
        <w:t>一般公共服务（类）商贸事务（款）事业运行（项）：</w:t>
      </w:r>
      <w:r>
        <w:rPr>
          <w:rFonts w:ascii="Times New Roman" w:hAnsi="仿宋_GB2312" w:eastAsia="仿宋_GB2312"/>
          <w:sz w:val="32"/>
          <w:szCs w:val="32"/>
        </w:rPr>
        <w:t>指用于保障机构正常运行、开展日常工作的基本支出及开展外事工作、招商工作的项目支出。</w:t>
      </w:r>
    </w:p>
    <w:p w14:paraId="7B540CB6">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（四）社会保障和就业（类）行政事业单位养老支出（款）机关事业单位基本养老保险缴费支出（项）：</w:t>
      </w:r>
      <w:r>
        <w:rPr>
          <w:rFonts w:ascii="Times New Roman" w:hAnsi="仿宋_GB2312" w:eastAsia="仿宋_GB2312"/>
          <w:sz w:val="32"/>
          <w:szCs w:val="32"/>
        </w:rPr>
        <w:t>指部门实施养老保险制度由单位缴纳的养老保险的支出。</w:t>
      </w:r>
    </w:p>
    <w:p w14:paraId="60C5C9B7">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（五）</w:t>
      </w:r>
      <w:r>
        <w:rPr>
          <w:rFonts w:ascii="Times New Roman" w:hAnsi="楷体_GB2312" w:eastAsia="楷体_GB2312"/>
          <w:sz w:val="32"/>
          <w:szCs w:val="32"/>
        </w:rPr>
        <w:t>社会保障和就业（类）其他社会保障和就业支出（款）其他社会保障和就业支出（项）：</w:t>
      </w:r>
      <w:r>
        <w:rPr>
          <w:rFonts w:ascii="Times New Roman" w:hAnsi="仿宋_GB2312" w:eastAsia="仿宋_GB2312"/>
          <w:sz w:val="32"/>
          <w:szCs w:val="32"/>
        </w:rPr>
        <w:t>指其他社会保障支出。</w:t>
      </w:r>
    </w:p>
    <w:p w14:paraId="2F82FE8C">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（六）卫生健康（类）行政事业单位医疗（款）事业单位医疗（项）：</w:t>
      </w:r>
      <w:r>
        <w:rPr>
          <w:rFonts w:ascii="Times New Roman" w:hAnsi="仿宋_GB2312" w:eastAsia="仿宋_GB2312"/>
          <w:sz w:val="32"/>
          <w:szCs w:val="32"/>
        </w:rPr>
        <w:t>指事业单位用于单位应缴纳基本医疗保险支出。</w:t>
      </w:r>
    </w:p>
    <w:p w14:paraId="795D400F">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（七）住房保障（类）住房改革支出（款）住房公积金（项）：</w:t>
      </w:r>
      <w:r>
        <w:rPr>
          <w:rFonts w:ascii="Times New Roman" w:hAnsi="仿宋_GB2312" w:eastAsia="仿宋_GB2312"/>
          <w:sz w:val="32"/>
          <w:szCs w:val="32"/>
        </w:rPr>
        <w:t>指按照《住房公积金管理条例》的规定，由单位及其在职职工缴存的长期住房储金。</w:t>
      </w:r>
    </w:p>
    <w:p w14:paraId="283995E9">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（八）基本支出：</w:t>
      </w:r>
      <w:r>
        <w:rPr>
          <w:rFonts w:ascii="Times New Roman" w:hAnsi="仿宋_GB2312" w:eastAsia="仿宋_GB2312"/>
          <w:sz w:val="32"/>
          <w:szCs w:val="32"/>
        </w:rPr>
        <w:t>指为保证机构正常运转，完成日常工作任务而发生的人员支出和公用支出。</w:t>
      </w:r>
    </w:p>
    <w:p w14:paraId="0FAF3AAA">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（九）项目支出：</w:t>
      </w:r>
      <w:r>
        <w:rPr>
          <w:rFonts w:ascii="Times New Roman" w:hAnsi="仿宋_GB2312" w:eastAsia="仿宋_GB2312"/>
          <w:sz w:val="32"/>
          <w:szCs w:val="32"/>
        </w:rPr>
        <w:t>指在基本支出之外为完成特定行政任务和事业发展目标所发生的支出。</w:t>
      </w:r>
    </w:p>
    <w:p w14:paraId="784ED51A">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（十）</w:t>
      </w:r>
      <w:r>
        <w:rPr>
          <w:rFonts w:ascii="Times New Roman" w:hAnsi="Times New Roman" w:eastAsia="楷体_GB2312"/>
          <w:sz w:val="32"/>
          <w:szCs w:val="32"/>
        </w:rPr>
        <w:t>“</w:t>
      </w:r>
      <w:r>
        <w:rPr>
          <w:rFonts w:ascii="Times New Roman" w:hAnsi="楷体_GB2312" w:eastAsia="楷体_GB2312"/>
          <w:sz w:val="32"/>
          <w:szCs w:val="32"/>
        </w:rPr>
        <w:t>三公</w:t>
      </w:r>
      <w:r>
        <w:rPr>
          <w:rFonts w:ascii="Times New Roman" w:hAnsi="Times New Roman" w:eastAsia="楷体_GB2312"/>
          <w:sz w:val="32"/>
          <w:szCs w:val="32"/>
        </w:rPr>
        <w:t>”</w:t>
      </w:r>
      <w:r>
        <w:rPr>
          <w:rFonts w:ascii="Times New Roman" w:hAnsi="楷体_GB2312" w:eastAsia="楷体_GB2312"/>
          <w:sz w:val="32"/>
          <w:szCs w:val="32"/>
        </w:rPr>
        <w:t>经费：</w:t>
      </w:r>
      <w:r>
        <w:rPr>
          <w:rFonts w:ascii="Times New Roman" w:hAnsi="仿宋_GB2312" w:eastAsia="仿宋_GB2312"/>
          <w:sz w:val="32"/>
          <w:szCs w:val="32"/>
        </w:rPr>
        <w:t>纳入市级财政预算管理的</w:t>
      </w:r>
      <w:r>
        <w:rPr>
          <w:rFonts w:ascii="Times New Roman" w:hAnsi="Times New Roman" w:eastAsia="仿宋_GB2312"/>
          <w:sz w:val="32"/>
          <w:szCs w:val="32"/>
        </w:rPr>
        <w:t>“</w:t>
      </w:r>
      <w:r>
        <w:rPr>
          <w:rFonts w:ascii="Times New Roman" w:hAnsi="仿宋_GB2312" w:eastAsia="仿宋_GB2312"/>
          <w:sz w:val="32"/>
          <w:szCs w:val="32"/>
        </w:rPr>
        <w:t>三公</w:t>
      </w:r>
      <w:r>
        <w:rPr>
          <w:rFonts w:ascii="Times New Roman" w:hAnsi="Times New Roman" w:eastAsia="仿宋_GB2312"/>
          <w:sz w:val="32"/>
          <w:szCs w:val="32"/>
        </w:rPr>
        <w:t>”</w:t>
      </w:r>
      <w:r>
        <w:rPr>
          <w:rFonts w:ascii="Times New Roman" w:hAnsi="仿宋_GB2312"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6FDDCA">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（十一）机关运行经费：</w:t>
      </w:r>
      <w:r>
        <w:rPr>
          <w:rFonts w:ascii="Times New Roman" w:hAnsi="仿宋_GB2312" w:eastAsia="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1E29CCA4">
      <w:pPr>
        <w:spacing w:line="550" w:lineRule="exact"/>
        <w:ind w:firstLine="640" w:firstLineChars="200"/>
        <w:rPr>
          <w:rFonts w:ascii="Times New Roman" w:hAnsi="Times New Roman" w:eastAsia="仿宋_GB2312"/>
          <w:sz w:val="32"/>
          <w:szCs w:val="32"/>
        </w:rPr>
      </w:pPr>
    </w:p>
    <w:p w14:paraId="2B8DA7FD">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附件：</w:t>
      </w:r>
      <w:r>
        <w:rPr>
          <w:rFonts w:ascii="Times New Roman" w:hAnsi="Times New Roman" w:eastAsia="仿宋_GB2312"/>
          <w:sz w:val="32"/>
          <w:szCs w:val="32"/>
        </w:rPr>
        <w:t>1.</w:t>
      </w:r>
      <w:r>
        <w:rPr>
          <w:rFonts w:ascii="Times New Roman" w:hAnsi="仿宋_GB2312" w:eastAsia="仿宋_GB2312"/>
          <w:sz w:val="32"/>
          <w:szCs w:val="32"/>
        </w:rPr>
        <w:t>部门预算公开表</w:t>
      </w:r>
    </w:p>
    <w:p w14:paraId="1771AE61">
      <w:pPr>
        <w:tabs>
          <w:tab w:val="left" w:pos="312"/>
        </w:tabs>
        <w:spacing w:line="550" w:lineRule="exact"/>
        <w:ind w:left="1600"/>
        <w:rPr>
          <w:rFonts w:ascii="Times New Roman" w:hAnsi="Times New Roman" w:eastAsia="仿宋_GB2312"/>
          <w:sz w:val="32"/>
          <w:szCs w:val="32"/>
        </w:rPr>
      </w:pPr>
      <w:r>
        <w:rPr>
          <w:rFonts w:hint="eastAsia" w:ascii="Times New Roman" w:hAnsi="仿宋_GB2312" w:eastAsia="仿宋_GB2312"/>
          <w:sz w:val="32"/>
          <w:szCs w:val="32"/>
        </w:rPr>
        <w:t>2.</w:t>
      </w:r>
      <w:r>
        <w:rPr>
          <w:rFonts w:ascii="Times New Roman" w:hAnsi="仿宋_GB2312" w:eastAsia="仿宋_GB2312"/>
          <w:sz w:val="32"/>
          <w:szCs w:val="32"/>
        </w:rPr>
        <w:t>项目支出绩效目标表</w:t>
      </w:r>
    </w:p>
    <w:p w14:paraId="7DB60103">
      <w:pPr>
        <w:tabs>
          <w:tab w:val="left" w:pos="312"/>
        </w:tabs>
        <w:spacing w:line="550" w:lineRule="exact"/>
        <w:ind w:left="1600"/>
        <w:rPr>
          <w:rFonts w:ascii="Times New Roman" w:hAnsi="Times New Roman" w:eastAsia="仿宋_GB2312"/>
          <w:b/>
          <w:bCs/>
          <w:sz w:val="32"/>
          <w:szCs w:val="32"/>
        </w:rPr>
      </w:pPr>
      <w:r>
        <w:rPr>
          <w:rFonts w:hint="eastAsia" w:ascii="Times New Roman" w:hAnsi="仿宋_GB2312" w:eastAsia="仿宋_GB2312"/>
          <w:sz w:val="32"/>
          <w:szCs w:val="32"/>
        </w:rPr>
        <w:t>3.</w:t>
      </w:r>
      <w:r>
        <w:rPr>
          <w:rFonts w:ascii="Times New Roman" w:hAnsi="仿宋_GB2312" w:eastAsia="仿宋_GB2312"/>
          <w:sz w:val="32"/>
          <w:szCs w:val="32"/>
        </w:rPr>
        <w:t>部门整体支出绩效目标表</w:t>
      </w:r>
    </w:p>
    <w:sectPr>
      <w:footerReference r:id="rId3" w:type="default"/>
      <w:pgSz w:w="11906" w:h="16838"/>
      <w:pgMar w:top="2098" w:right="1474" w:bottom="1985" w:left="1588" w:header="720" w:footer="1559"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0000000000000000000"/>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567F">
    <w:pPr>
      <w:pStyle w:val="6"/>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C6879D9">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AC44D"/>
    <w:multiLevelType w:val="singleLevel"/>
    <w:tmpl w:val="97BAC44D"/>
    <w:lvl w:ilvl="0" w:tentative="0">
      <w:start w:val="2"/>
      <w:numFmt w:val="chineseCounting"/>
      <w:suff w:val="nothing"/>
      <w:lvlText w:val="（%1）"/>
      <w:lvlJc w:val="left"/>
      <w:rPr>
        <w:rFonts w:hint="eastAsia"/>
      </w:rPr>
    </w:lvl>
  </w:abstractNum>
  <w:abstractNum w:abstractNumId="1">
    <w:nsid w:val="7CAE20F9"/>
    <w:multiLevelType w:val="singleLevel"/>
    <w:tmpl w:val="7CAE20F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NmIwYmQ3N2FhZmE1Yjg0OGFkNTU5NTg3M2QzNjJlMDgifQ=="/>
  </w:docVars>
  <w:rsids>
    <w:rsidRoot w:val="00000000"/>
    <w:rsid w:val="0F250DDC"/>
    <w:rsid w:val="15E37D3E"/>
    <w:rsid w:val="23BD1CB4"/>
    <w:rsid w:val="2E06331F"/>
    <w:rsid w:val="7FFF2660"/>
    <w:rsid w:val="DFB65AE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99"/>
    <w:pPr>
      <w:ind w:left="200" w:leftChars="200" w:hanging="200" w:hangingChars="200"/>
    </w:pPr>
  </w:style>
  <w:style w:type="paragraph" w:customStyle="1" w:styleId="3">
    <w:name w:val="Normal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caption"/>
    <w:basedOn w:val="1"/>
    <w:next w:val="1"/>
    <w:qFormat/>
    <w:uiPriority w:val="0"/>
    <w:pPr>
      <w:suppressLineNumbers/>
      <w:spacing w:before="120" w:after="120"/>
    </w:pPr>
    <w:rPr>
      <w:i/>
      <w:iCs/>
      <w:sz w:val="24"/>
    </w:rPr>
  </w:style>
  <w:style w:type="paragraph" w:styleId="5">
    <w:name w:val="Body Text"/>
    <w:basedOn w:val="1"/>
    <w:qFormat/>
    <w:uiPriority w:val="0"/>
    <w:pPr>
      <w:spacing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w:basedOn w:val="5"/>
    <w:qFormat/>
    <w:uiPriority w:val="0"/>
  </w:style>
  <w:style w:type="paragraph" w:styleId="9">
    <w:name w:val="Normal (Web)"/>
    <w:basedOn w:val="1"/>
    <w:qFormat/>
    <w:uiPriority w:val="0"/>
    <w:rPr>
      <w:sz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qFormat/>
    <w:uiPriority w:val="0"/>
  </w:style>
  <w:style w:type="paragraph" w:customStyle="1" w:styleId="14">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15">
    <w:name w:val="Index"/>
    <w:basedOn w:val="1"/>
    <w:qFormat/>
    <w:uiPriority w:val="0"/>
    <w:pPr>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3875</Words>
  <Characters>4213</Characters>
  <Lines>31</Lines>
  <Paragraphs>8</Paragraphs>
  <TotalTime>3</TotalTime>
  <ScaleCrop>false</ScaleCrop>
  <LinksUpToDate>false</LinksUpToDate>
  <CharactersWithSpaces>4239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2025-02-11T19:04:00Z</dcterms:created>
  <dc:creator>admin</dc:creator>
  <cp:lastModifiedBy>区级部门:区商务和经济合作局</cp:lastModifiedBy>
  <dcterms:modified xsi:type="dcterms:W3CDTF">2025-02-14T08:39:42Z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A6E609128013441CBAE50645EB8E843E_13</vt:lpwstr>
  </property>
  <property fmtid="{D5CDD505-2E9C-101B-9397-08002B2CF9AE}" pid="4" name="KSOTemplateDocerSaveRecord">
    <vt:lpwstr>eyJoZGlkIjoiNjE2YTY1MWU3YWY4YTJkYWRiNGQzNzViZDc2MmU4YzkiLCJ1c2VySWQiOiIyMDAzMDkwNDgifQ==</vt:lpwstr>
  </property>
</Properties>
</file>