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564BC">
      <w:pPr>
        <w:shd w:val="clear" w:color="auto" w:fill="FFFFFF"/>
        <w:spacing w:line="550" w:lineRule="exact"/>
        <w:jc w:val="center"/>
        <w:rPr>
          <w:rFonts w:ascii="Times New Roman" w:hAnsi="Times New Roman" w:eastAsia="方正小标宋简体"/>
          <w:color w:val="000000" w:themeColor="text1"/>
          <w:kern w:val="0"/>
          <w:sz w:val="44"/>
          <w:szCs w:val="44"/>
          <w:shd w:val="clear" w:color="auto" w:fill="FFFFFF"/>
          <w14:textFill>
            <w14:solidFill>
              <w14:schemeClr w14:val="tx1"/>
            </w14:solidFill>
          </w14:textFill>
        </w:rPr>
      </w:pPr>
      <w:bookmarkStart w:id="0" w:name="_GoBack"/>
      <w:bookmarkEnd w:id="0"/>
      <w:r>
        <w:rPr>
          <w:rFonts w:ascii="Times New Roman" w:hAnsi="方正小标宋简体" w:eastAsia="方正小标宋简体"/>
          <w:color w:val="000000" w:themeColor="text1"/>
          <w:kern w:val="0"/>
          <w:sz w:val="44"/>
          <w:szCs w:val="44"/>
          <w:shd w:val="clear" w:color="auto" w:fill="FFFFFF"/>
          <w14:textFill>
            <w14:solidFill>
              <w14:schemeClr w14:val="tx1"/>
            </w14:solidFill>
          </w14:textFill>
        </w:rPr>
        <w:t>广元市昭化区商务和经济合作局</w:t>
      </w:r>
    </w:p>
    <w:p w14:paraId="7321DADB">
      <w:pPr>
        <w:shd w:val="clear" w:color="auto" w:fill="FFFFFF"/>
        <w:spacing w:line="550" w:lineRule="exact"/>
        <w:jc w:val="center"/>
        <w:rPr>
          <w:rFonts w:ascii="Times New Roman" w:hAnsi="Times New Roman" w:eastAsia="方正小标宋简体"/>
          <w:color w:val="000000" w:themeColor="text1"/>
          <w:kern w:val="0"/>
          <w:sz w:val="44"/>
          <w:szCs w:val="44"/>
          <w:shd w:val="clear" w:color="auto" w:fill="FFFFFF"/>
          <w14:textFill>
            <w14:solidFill>
              <w14:schemeClr w14:val="tx1"/>
            </w14:solidFill>
          </w14:textFill>
        </w:rPr>
      </w:pPr>
      <w:r>
        <w:rPr>
          <w:rFonts w:ascii="Times New Roman" w:hAnsi="Times New Roman" w:eastAsia="方正小标宋简体"/>
          <w:color w:val="000000" w:themeColor="text1"/>
          <w:kern w:val="0"/>
          <w:sz w:val="44"/>
          <w:szCs w:val="44"/>
          <w:shd w:val="clear" w:color="auto" w:fill="FFFFFF"/>
          <w14:textFill>
            <w14:solidFill>
              <w14:schemeClr w14:val="tx1"/>
            </w14:solidFill>
          </w14:textFill>
        </w:rPr>
        <w:t>2025</w:t>
      </w:r>
      <w:r>
        <w:rPr>
          <w:rFonts w:ascii="Times New Roman" w:hAnsi="方正小标宋简体" w:eastAsia="方正小标宋简体"/>
          <w:color w:val="000000" w:themeColor="text1"/>
          <w:kern w:val="0"/>
          <w:sz w:val="44"/>
          <w:szCs w:val="44"/>
          <w:shd w:val="clear" w:color="auto" w:fill="FFFFFF"/>
          <w14:textFill>
            <w14:solidFill>
              <w14:schemeClr w14:val="tx1"/>
            </w14:solidFill>
          </w14:textFill>
        </w:rPr>
        <w:t>年部门预算</w:t>
      </w:r>
      <w:r>
        <w:rPr>
          <w:rFonts w:hint="eastAsia" w:ascii="Times New Roman" w:hAnsi="方正小标宋简体" w:eastAsia="方正小标宋简体"/>
          <w:color w:val="000000" w:themeColor="text1"/>
          <w:kern w:val="0"/>
          <w:sz w:val="44"/>
          <w:szCs w:val="44"/>
          <w:shd w:val="clear" w:color="auto" w:fill="FFFFFF"/>
          <w:lang w:eastAsia="zh-CN"/>
          <w14:textFill>
            <w14:solidFill>
              <w14:schemeClr w14:val="tx1"/>
            </w14:solidFill>
          </w14:textFill>
        </w:rPr>
        <w:t>公开</w:t>
      </w:r>
      <w:r>
        <w:rPr>
          <w:rFonts w:ascii="Times New Roman" w:hAnsi="方正小标宋简体" w:eastAsia="方正小标宋简体"/>
          <w:color w:val="000000" w:themeColor="text1"/>
          <w:kern w:val="0"/>
          <w:sz w:val="44"/>
          <w:szCs w:val="44"/>
          <w:shd w:val="clear" w:color="auto" w:fill="FFFFFF"/>
          <w14:textFill>
            <w14:solidFill>
              <w14:schemeClr w14:val="tx1"/>
            </w14:solidFill>
          </w14:textFill>
        </w:rPr>
        <w:t>说明</w:t>
      </w:r>
    </w:p>
    <w:p w14:paraId="35CE609D">
      <w:pPr>
        <w:shd w:val="clear" w:color="auto" w:fill="FFFFFF"/>
        <w:spacing w:line="550" w:lineRule="exact"/>
        <w:jc w:val="center"/>
        <w:rPr>
          <w:rFonts w:hint="eastAsia" w:ascii="Times New Roman" w:hAnsi="方正小标宋简体" w:eastAsia="方正小标宋简体"/>
          <w:color w:val="000000" w:themeColor="text1"/>
          <w:kern w:val="0"/>
          <w:sz w:val="44"/>
          <w:szCs w:val="44"/>
          <w:shd w:val="clear" w:color="auto" w:fill="FFFFFF"/>
          <w14:textFill>
            <w14:solidFill>
              <w14:schemeClr w14:val="tx1"/>
            </w14:solidFill>
          </w14:textFill>
        </w:rPr>
      </w:pPr>
      <w:r>
        <w:rPr>
          <w:rFonts w:ascii="Times New Roman" w:hAnsi="方正小标宋简体" w:eastAsia="方正小标宋简体"/>
          <w:color w:val="000000" w:themeColor="text1"/>
          <w:kern w:val="0"/>
          <w:sz w:val="44"/>
          <w:szCs w:val="44"/>
          <w:shd w:val="clear" w:color="auto" w:fill="FFFFFF"/>
          <w14:textFill>
            <w14:solidFill>
              <w14:schemeClr w14:val="tx1"/>
            </w14:solidFill>
          </w14:textFill>
        </w:rPr>
        <w:t>目   录</w:t>
      </w:r>
    </w:p>
    <w:p w14:paraId="7FCD6E3D">
      <w:pPr>
        <w:pStyle w:val="2"/>
        <w:ind w:left="840" w:hanging="420"/>
      </w:pPr>
    </w:p>
    <w:p w14:paraId="6A0F5308">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一、基本职能及主要工作</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1</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6907B631">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（一）单位职能简介</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1</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7E6ACFF0">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（二）单位</w:t>
      </w:r>
      <w:r>
        <w:rPr>
          <w:rFonts w:ascii="Times New Roman" w:hAnsi="Times New Roman" w:eastAsia="仿宋_GB2312"/>
          <w:color w:val="000000" w:themeColor="text1"/>
          <w:kern w:val="0"/>
          <w:sz w:val="32"/>
          <w:szCs w:val="32"/>
          <w:shd w:val="clear" w:color="auto" w:fill="FFFFFF"/>
          <w14:textFill>
            <w14:solidFill>
              <w14:schemeClr w14:val="tx1"/>
            </w14:solidFill>
          </w14:textFill>
        </w:rPr>
        <w:t>2025</w:t>
      </w:r>
      <w:r>
        <w:rPr>
          <w:rFonts w:ascii="Times New Roman" w:hAnsi="仿宋_GB2312" w:eastAsia="仿宋_GB2312"/>
          <w:color w:val="000000" w:themeColor="text1"/>
          <w:kern w:val="0"/>
          <w:sz w:val="32"/>
          <w:szCs w:val="32"/>
          <w:shd w:val="clear" w:color="auto" w:fill="FFFFFF"/>
          <w14:textFill>
            <w14:solidFill>
              <w14:schemeClr w14:val="tx1"/>
            </w14:solidFill>
          </w14:textFill>
        </w:rPr>
        <w:t>年重点工作</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3</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1B6A4456">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二、部门预算单位构成</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5</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12D7ADE4">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三、收支预算情况说明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5</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032511A8">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（一）收入预算情况</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6</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3A41E684">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（二）支出预算情况</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6</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6A78BF67">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四、财政拨款收支预算情况说明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6</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5B5378BB">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五、一般公共预算当年拨款情况说明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6</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7F9E554D">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（一）一般公共预算当年拨款规模变化情况</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6</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4EB64066">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（二）一般公共预算当年拨款结构情况</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7</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24AFFFE1">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（三）一般公共预算当年拨款具体使用情况</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7</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68BC251C">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六、一般公共预算基本支出情况说明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8</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247DFD70">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七、</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ascii="Times New Roman" w:hAnsi="仿宋_GB2312" w:eastAsia="仿宋_GB2312"/>
          <w:color w:val="000000" w:themeColor="text1"/>
          <w:kern w:val="0"/>
          <w:sz w:val="32"/>
          <w:szCs w:val="32"/>
          <w:shd w:val="clear" w:color="auto" w:fill="FFFFFF"/>
          <w14:textFill>
            <w14:solidFill>
              <w14:schemeClr w14:val="tx1"/>
            </w14:solidFill>
          </w14:textFill>
        </w:rPr>
        <w:t>三公</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ascii="Times New Roman" w:hAnsi="仿宋_GB2312" w:eastAsia="仿宋_GB2312"/>
          <w:color w:val="000000" w:themeColor="text1"/>
          <w:kern w:val="0"/>
          <w:sz w:val="32"/>
          <w:szCs w:val="32"/>
          <w:shd w:val="clear" w:color="auto" w:fill="FFFFFF"/>
          <w14:textFill>
            <w14:solidFill>
              <w14:schemeClr w14:val="tx1"/>
            </w14:solidFill>
          </w14:textFill>
        </w:rPr>
        <w:t>经费财政拨款预算安排情况说明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8</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4A472AC7">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八、政府性基金预算支出情况说明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9</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10ABA22E">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九、国有资本经营预算支出情况说明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9</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2EEC35E3">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十、其他重要事项的情况说明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9</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0282F400">
      <w:pPr>
        <w:tabs>
          <w:tab w:val="right" w:leader="dot" w:pos="8400"/>
        </w:tabs>
        <w:spacing w:line="550" w:lineRule="exact"/>
        <w:rPr>
          <w:rFonts w:ascii="Times New Roman" w:hAnsi="仿宋_GB2312"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十一、名词解释</w:t>
      </w:r>
      <w:r>
        <w:rPr>
          <w:rFonts w:ascii="Times New Roman" w:hAnsi="仿宋_GB2312" w:eastAsia="仿宋_GB2312"/>
          <w:color w:val="000000" w:themeColor="text1"/>
          <w:kern w:val="0"/>
          <w:sz w:val="32"/>
          <w:szCs w:val="32"/>
          <w:shd w:val="clear" w:color="auto" w:fill="FFFFFF"/>
          <w14:textFill>
            <w14:solidFill>
              <w14:schemeClr w14:val="tx1"/>
            </w14:solidFill>
          </w14:textFill>
        </w:rPr>
        <w:tab/>
      </w:r>
      <w:r>
        <w:rPr>
          <w:rFonts w:ascii="Times New Roman" w:hAnsi="仿宋_GB2312" w:eastAsia="仿宋_GB2312"/>
          <w:color w:val="000000" w:themeColor="text1"/>
          <w:kern w:val="0"/>
          <w:sz w:val="32"/>
          <w:szCs w:val="32"/>
          <w:shd w:val="clear" w:color="auto" w:fill="FFFFFF"/>
          <w14:textFill>
            <w14:solidFill>
              <w14:schemeClr w14:val="tx1"/>
            </w14:solidFill>
          </w14:textFill>
        </w:rPr>
        <w:t>(</w:t>
      </w:r>
      <w:r>
        <w:rPr>
          <w:rFonts w:hint="eastAsia" w:ascii="Times New Roman" w:hAnsi="仿宋_GB2312" w:eastAsia="仿宋_GB2312"/>
          <w:color w:val="000000" w:themeColor="text1"/>
          <w:kern w:val="0"/>
          <w:sz w:val="32"/>
          <w:szCs w:val="32"/>
          <w:shd w:val="clear" w:color="auto" w:fill="FFFFFF"/>
          <w14:textFill>
            <w14:solidFill>
              <w14:schemeClr w14:val="tx1"/>
            </w14:solidFill>
          </w14:textFill>
        </w:rPr>
        <w:t>10</w:t>
      </w:r>
      <w:r>
        <w:rPr>
          <w:rFonts w:ascii="Times New Roman" w:hAnsi="仿宋_GB2312" w:eastAsia="仿宋_GB2312"/>
          <w:color w:val="000000" w:themeColor="text1"/>
          <w:kern w:val="0"/>
          <w:sz w:val="32"/>
          <w:szCs w:val="32"/>
          <w:shd w:val="clear" w:color="auto" w:fill="FFFFFF"/>
          <w14:textFill>
            <w14:solidFill>
              <w14:schemeClr w14:val="tx1"/>
            </w14:solidFill>
          </w14:textFill>
        </w:rPr>
        <w:t>)</w:t>
      </w:r>
    </w:p>
    <w:p w14:paraId="3E55522D">
      <w:pPr>
        <w:pStyle w:val="10"/>
        <w:shd w:val="clear" w:color="auto" w:fill="FFFFFF"/>
        <w:spacing w:before="130" w:line="580" w:lineRule="atLeast"/>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 xml:space="preserve">  </w:t>
      </w:r>
    </w:p>
    <w:p w14:paraId="56EB72EF">
      <w:pPr>
        <w:pStyle w:val="10"/>
        <w:shd w:val="clear" w:color="auto" w:fill="FFFFFF"/>
        <w:spacing w:before="130" w:line="580" w:lineRule="atLeast"/>
        <w:ind w:firstLine="560" w:firstLineChars="200"/>
        <w:rPr>
          <w:rFonts w:ascii="Times New Roman" w:hAnsi="Times New Roman"/>
          <w:color w:val="000000" w:themeColor="text1"/>
          <w:kern w:val="0"/>
          <w:sz w:val="28"/>
          <w:szCs w:val="28"/>
          <w:shd w:val="clear" w:color="auto" w:fill="FFFFFF"/>
          <w14:textFill>
            <w14:solidFill>
              <w14:schemeClr w14:val="tx1"/>
            </w14:solidFill>
          </w14:textFill>
        </w:rPr>
      </w:pPr>
    </w:p>
    <w:p w14:paraId="79843B76">
      <w:pPr>
        <w:pStyle w:val="10"/>
        <w:shd w:val="clear" w:color="auto" w:fill="FFFFFF"/>
        <w:spacing w:before="130" w:line="580" w:lineRule="atLeast"/>
        <w:ind w:firstLine="560" w:firstLineChars="200"/>
        <w:rPr>
          <w:rFonts w:ascii="Times New Roman" w:hAnsi="Times New Roman"/>
          <w:color w:val="000000" w:themeColor="text1"/>
          <w:kern w:val="0"/>
          <w:sz w:val="28"/>
          <w:szCs w:val="28"/>
          <w:shd w:val="clear" w:color="auto" w:fill="FFFFFF"/>
          <w14:textFill>
            <w14:solidFill>
              <w14:schemeClr w14:val="tx1"/>
            </w14:solidFill>
          </w14:textFill>
        </w:rPr>
        <w:sectPr>
          <w:pgSz w:w="11906" w:h="16838"/>
          <w:pgMar w:top="2098" w:right="1474" w:bottom="1985" w:left="1588" w:header="720" w:footer="1559" w:gutter="0"/>
          <w:cols w:space="720" w:num="1"/>
          <w:docGrid w:linePitch="312" w:charSpace="0"/>
        </w:sectPr>
      </w:pPr>
    </w:p>
    <w:p w14:paraId="2BDB6430">
      <w:pPr>
        <w:spacing w:line="576" w:lineRule="exact"/>
        <w:ind w:firstLine="640" w:firstLineChars="200"/>
        <w:outlineLvl w:val="0"/>
        <w:rPr>
          <w:rFonts w:ascii="Times New Roman" w:hAnsi="Times New Roman" w:eastAsia="黑体"/>
          <w:sz w:val="32"/>
          <w:szCs w:val="32"/>
        </w:rPr>
      </w:pPr>
      <w:r>
        <w:rPr>
          <w:rFonts w:ascii="Times New Roman" w:hAnsi="黑体" w:eastAsia="黑体"/>
          <w:sz w:val="32"/>
          <w:szCs w:val="32"/>
        </w:rPr>
        <w:t>一、基本职能及主要工作</w:t>
      </w:r>
    </w:p>
    <w:p w14:paraId="37289B37">
      <w:pPr>
        <w:spacing w:line="576"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（一）区商务和经济合作局职能简介</w:t>
      </w:r>
    </w:p>
    <w:p w14:paraId="6649385F">
      <w:pPr>
        <w:pStyle w:val="10"/>
        <w:shd w:val="clear" w:color="auto" w:fill="FFFFFF"/>
        <w:spacing w:line="576" w:lineRule="exact"/>
        <w:ind w:firstLine="674"/>
        <w:rPr>
          <w:rFonts w:ascii="Times New Roman" w:hAnsi="Times New Roman" w:eastAsia="仿宋_GB2312"/>
          <w:color w:val="333333"/>
          <w:kern w:val="0"/>
          <w:sz w:val="32"/>
          <w:szCs w:val="32"/>
          <w:shd w:val="clear" w:color="auto" w:fill="FFFFFF"/>
        </w:rPr>
      </w:pPr>
      <w:r>
        <w:rPr>
          <w:rFonts w:ascii="Times New Roman" w:hAnsi="Times New Roman" w:eastAsia="仿宋_GB2312"/>
          <w:color w:val="333333"/>
          <w:kern w:val="0"/>
          <w:sz w:val="32"/>
          <w:szCs w:val="32"/>
          <w:shd w:val="clear" w:color="auto" w:fill="FFFFFF"/>
        </w:rPr>
        <w:t>1.负责全区商务和经济合作工作的统筹协调，拟订全区商务和经济合作工作的政策措施、发展规划、年度计划并组织实施。承担全区商贸服务业发展和投资促进工作中组织实施的综合协调、指导职责。</w:t>
      </w:r>
    </w:p>
    <w:p w14:paraId="4D426582">
      <w:pPr>
        <w:pStyle w:val="10"/>
        <w:shd w:val="clear" w:color="auto" w:fill="FFFFFF"/>
        <w:spacing w:line="576" w:lineRule="exact"/>
        <w:ind w:firstLine="674"/>
        <w:rPr>
          <w:rFonts w:ascii="Times New Roman" w:hAnsi="Times New Roman" w:eastAsia="仿宋_GB2312"/>
          <w:color w:val="333333"/>
          <w:kern w:val="0"/>
          <w:sz w:val="32"/>
          <w:szCs w:val="32"/>
          <w:shd w:val="clear" w:color="auto" w:fill="FFFFFF"/>
        </w:rPr>
      </w:pPr>
      <w:r>
        <w:rPr>
          <w:rFonts w:ascii="Times New Roman" w:hAnsi="Times New Roman" w:eastAsia="仿宋_GB2312"/>
          <w:color w:val="333333"/>
          <w:kern w:val="0"/>
          <w:sz w:val="32"/>
          <w:szCs w:val="32"/>
          <w:shd w:val="clear" w:color="auto" w:fill="FFFFFF"/>
        </w:rPr>
        <w:t>2.负责推进全区流通产业结构调整，指导流通企业改革、商贸服务业和社区商业发展，提出促进商贸企业发展的政策建议，推动流通标准化和连锁经营、商业特许经营、物流配送、电子商务等现代流通方式的发展。负责全区商务系统电子政务工作，规划全区公共商务信息服务体系建设并组织实施。</w:t>
      </w:r>
    </w:p>
    <w:p w14:paraId="0450A536">
      <w:pPr>
        <w:pStyle w:val="10"/>
        <w:shd w:val="clear" w:color="auto" w:fill="FFFFFF"/>
        <w:spacing w:line="576" w:lineRule="exact"/>
        <w:ind w:firstLine="674"/>
        <w:rPr>
          <w:rFonts w:ascii="Times New Roman" w:hAnsi="Times New Roman" w:eastAsia="仿宋_GB2312"/>
          <w:color w:val="333333"/>
          <w:kern w:val="0"/>
          <w:sz w:val="32"/>
          <w:szCs w:val="32"/>
          <w:shd w:val="clear" w:color="auto" w:fill="FFFFFF"/>
        </w:rPr>
      </w:pPr>
      <w:r>
        <w:rPr>
          <w:rFonts w:ascii="Times New Roman" w:hAnsi="Times New Roman" w:eastAsia="仿宋_GB2312"/>
          <w:color w:val="333333"/>
          <w:kern w:val="0"/>
          <w:sz w:val="32"/>
          <w:szCs w:val="32"/>
          <w:shd w:val="clear" w:color="auto" w:fill="FFFFFF"/>
        </w:rPr>
        <w:t>3.负责推进投资促进等有关领域的经济合作（以下简称经济合作）和全区投资环境推介工作。统筹组织区级重大投资促进活动。牵头全区重大招商引资项目的促进和落实。推进投资促进和管理服务网络体系建设。</w:t>
      </w:r>
    </w:p>
    <w:p w14:paraId="563FAB6A">
      <w:pPr>
        <w:pStyle w:val="10"/>
        <w:shd w:val="clear" w:color="auto" w:fill="FFFFFF"/>
        <w:spacing w:line="576" w:lineRule="exact"/>
        <w:ind w:firstLine="674"/>
        <w:rPr>
          <w:rFonts w:ascii="Times New Roman" w:hAnsi="Times New Roman" w:eastAsia="仿宋_GB2312"/>
          <w:color w:val="333333"/>
          <w:kern w:val="0"/>
          <w:sz w:val="32"/>
          <w:szCs w:val="32"/>
          <w:shd w:val="clear" w:color="auto" w:fill="FFFFFF"/>
        </w:rPr>
      </w:pPr>
      <w:r>
        <w:rPr>
          <w:rFonts w:ascii="Times New Roman" w:hAnsi="Times New Roman" w:eastAsia="仿宋_GB2312"/>
          <w:color w:val="333333"/>
          <w:kern w:val="0"/>
          <w:sz w:val="32"/>
          <w:szCs w:val="32"/>
          <w:shd w:val="clear" w:color="auto" w:fill="FFFFFF"/>
        </w:rPr>
        <w:t>4.研究提出引导区内外资金投向市场体系建设的政策，编制相关产品批发市场规划，指导城市商业网点规划和商业体系建设工作，推进农村市场体系建设，组织实施农村现代流通网络工程，促进城乡市场一体化发展。</w:t>
      </w:r>
    </w:p>
    <w:p w14:paraId="7E983A6B">
      <w:pPr>
        <w:pStyle w:val="10"/>
        <w:shd w:val="clear" w:color="auto" w:fill="FFFFFF"/>
        <w:spacing w:line="576" w:lineRule="exact"/>
        <w:ind w:firstLine="674"/>
        <w:rPr>
          <w:rFonts w:ascii="Times New Roman" w:hAnsi="Times New Roman" w:eastAsia="仿宋_GB2312"/>
          <w:color w:val="333333"/>
          <w:kern w:val="0"/>
          <w:sz w:val="32"/>
          <w:szCs w:val="32"/>
          <w:shd w:val="clear" w:color="auto" w:fill="FFFFFF"/>
        </w:rPr>
      </w:pPr>
      <w:r>
        <w:rPr>
          <w:rFonts w:ascii="Times New Roman" w:hAnsi="Times New Roman" w:eastAsia="仿宋_GB2312"/>
          <w:color w:val="333333"/>
          <w:kern w:val="0"/>
          <w:sz w:val="32"/>
          <w:szCs w:val="32"/>
          <w:shd w:val="clear" w:color="auto" w:fill="FFFFFF"/>
        </w:rPr>
        <w:t>5.负责经济合作项目的编制、储备、包装、论证、推介工作。负责经济合作信息的收集、追踪工作及项目的洽谈、跟踪、签约、协调、督促，搞好“一站式”服务。负责区域经济合作和对外联络服务工作，为有关部门和外来企业提供招商和咨询服务。</w:t>
      </w:r>
    </w:p>
    <w:p w14:paraId="38CE34E8">
      <w:pPr>
        <w:pStyle w:val="10"/>
        <w:shd w:val="clear" w:color="auto" w:fill="FFFFFF"/>
        <w:spacing w:line="576" w:lineRule="exact"/>
        <w:ind w:firstLine="674"/>
        <w:rPr>
          <w:rFonts w:ascii="Times New Roman" w:hAnsi="Times New Roman" w:eastAsia="仿宋_GB2312"/>
          <w:color w:val="333333"/>
          <w:kern w:val="0"/>
          <w:sz w:val="32"/>
          <w:szCs w:val="32"/>
          <w:shd w:val="clear" w:color="auto" w:fill="FFFFFF"/>
        </w:rPr>
      </w:pPr>
      <w:r>
        <w:rPr>
          <w:rFonts w:ascii="Times New Roman" w:hAnsi="Times New Roman" w:eastAsia="仿宋_GB2312"/>
          <w:color w:val="333333"/>
          <w:kern w:val="0"/>
          <w:sz w:val="32"/>
          <w:szCs w:val="32"/>
          <w:shd w:val="clear" w:color="auto" w:fill="FFFFFF"/>
        </w:rPr>
        <w:t>6.承担牵头协调全区整顿和规范市场经济秩序工作的责任。规范市场运行和流通秩序，推动商务领域信用建设，指导商业信用销售，建立市场诚信公共服务平台。按有关规定对典当、租赁、旧货市场等行业进行监督管理。负责全区内外贸易有关行政许可事项。</w:t>
      </w:r>
    </w:p>
    <w:p w14:paraId="3132A5BB">
      <w:pPr>
        <w:pStyle w:val="10"/>
        <w:shd w:val="clear" w:color="auto" w:fill="FFFFFF"/>
        <w:spacing w:line="576" w:lineRule="exact"/>
        <w:ind w:firstLine="674"/>
        <w:rPr>
          <w:rFonts w:ascii="Times New Roman" w:hAnsi="Times New Roman" w:eastAsia="仿宋_GB2312"/>
          <w:color w:val="333333"/>
          <w:kern w:val="0"/>
          <w:sz w:val="32"/>
          <w:szCs w:val="32"/>
          <w:shd w:val="clear" w:color="auto" w:fill="FFFFFF"/>
        </w:rPr>
      </w:pPr>
      <w:r>
        <w:rPr>
          <w:rFonts w:ascii="Times New Roman" w:hAnsi="Times New Roman" w:eastAsia="仿宋_GB2312"/>
          <w:color w:val="333333"/>
          <w:kern w:val="0"/>
          <w:sz w:val="32"/>
          <w:szCs w:val="32"/>
          <w:shd w:val="clear" w:color="auto" w:fill="FFFFFF"/>
        </w:rPr>
        <w:t>7.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市场调控工作。</w:t>
      </w:r>
    </w:p>
    <w:p w14:paraId="7110B6F7">
      <w:pPr>
        <w:pStyle w:val="10"/>
        <w:shd w:val="clear" w:color="auto" w:fill="FFFFFF"/>
        <w:spacing w:line="576" w:lineRule="exact"/>
        <w:ind w:firstLine="674"/>
        <w:rPr>
          <w:rFonts w:ascii="Times New Roman" w:hAnsi="Times New Roman" w:eastAsia="仿宋_GB2312"/>
          <w:color w:val="333333"/>
          <w:kern w:val="0"/>
          <w:sz w:val="32"/>
          <w:szCs w:val="32"/>
          <w:shd w:val="clear" w:color="auto" w:fill="FFFFFF"/>
        </w:rPr>
      </w:pPr>
      <w:r>
        <w:rPr>
          <w:rFonts w:ascii="Times New Roman" w:hAnsi="Times New Roman" w:eastAsia="仿宋_GB2312"/>
          <w:color w:val="333333"/>
          <w:kern w:val="0"/>
          <w:sz w:val="32"/>
          <w:szCs w:val="32"/>
          <w:shd w:val="clear" w:color="auto" w:fill="FFFFFF"/>
        </w:rPr>
        <w:t>8.负责全区对外经济合作工作，执行对外经济合作政策。依法管理和监督对外承包工程、对外劳务合作和出境就业工作。承担境外投资管理的责任，牵头负责外派劳务和赴境外就业人员的权益保护工作。组织管理我区承担的国家对外援助任务。</w:t>
      </w:r>
    </w:p>
    <w:p w14:paraId="5A635899">
      <w:pPr>
        <w:pStyle w:val="10"/>
        <w:shd w:val="clear" w:color="auto" w:fill="FFFFFF"/>
        <w:spacing w:line="576" w:lineRule="exact"/>
        <w:ind w:firstLine="674"/>
        <w:rPr>
          <w:rFonts w:ascii="Times New Roman" w:hAnsi="Times New Roman" w:eastAsia="仿宋_GB2312"/>
          <w:color w:val="333333"/>
          <w:kern w:val="0"/>
          <w:sz w:val="32"/>
          <w:szCs w:val="32"/>
          <w:shd w:val="clear" w:color="auto" w:fill="FFFFFF"/>
        </w:rPr>
      </w:pPr>
      <w:r>
        <w:rPr>
          <w:rFonts w:ascii="Times New Roman" w:hAnsi="Times New Roman" w:eastAsia="仿宋_GB2312"/>
          <w:color w:val="333333"/>
          <w:kern w:val="0"/>
          <w:sz w:val="32"/>
          <w:szCs w:val="32"/>
          <w:shd w:val="clear" w:color="auto" w:fill="FFFFFF"/>
        </w:rPr>
        <w:t>9.推动全区博览发展促进工作，参与拟订全区会展业发展规划和相关政策。指导监督管理以昭化区名义在区内外举办的各种交易会、展览会、展销会等经贸活动及商贸交易和经贸推介活动。牵头协调有关部门参加国家、省、市举办的各种商贸交易会、展览会、展销会等工作。负责友好城市商贸活动交流与合作工作。受区政府委托，负责管理区政府各驻外招商机构。</w:t>
      </w:r>
    </w:p>
    <w:p w14:paraId="65DFB23C">
      <w:pPr>
        <w:pStyle w:val="10"/>
        <w:shd w:val="clear" w:color="auto" w:fill="FFFFFF"/>
        <w:spacing w:line="576" w:lineRule="exact"/>
        <w:ind w:firstLine="674"/>
        <w:rPr>
          <w:rFonts w:ascii="Times New Roman" w:hAnsi="Times New Roman" w:eastAsia="仿宋_GB2312"/>
          <w:color w:val="333333"/>
          <w:kern w:val="0"/>
          <w:sz w:val="32"/>
          <w:szCs w:val="32"/>
          <w:shd w:val="clear" w:color="auto" w:fill="FFFFFF"/>
        </w:rPr>
      </w:pPr>
      <w:r>
        <w:rPr>
          <w:rFonts w:ascii="Times New Roman" w:hAnsi="Times New Roman" w:eastAsia="仿宋_GB2312"/>
          <w:color w:val="333333"/>
          <w:kern w:val="0"/>
          <w:sz w:val="32"/>
          <w:szCs w:val="32"/>
          <w:shd w:val="clear" w:color="auto" w:fill="FFFFFF"/>
        </w:rPr>
        <w:t>10.承担进出口相关工作，牵头负责发展服务贸易的相关工作，推动服务外包平台建设。承担组织协调我区进出口公平贸易相关工作的责任。指导全区外商投资促进和管理工作。参与推进我区与国（境）内外相关区域合作。</w:t>
      </w:r>
    </w:p>
    <w:p w14:paraId="4CE526F3">
      <w:pPr>
        <w:pStyle w:val="10"/>
        <w:shd w:val="clear" w:color="auto" w:fill="FFFFFF"/>
        <w:spacing w:line="576" w:lineRule="exact"/>
        <w:ind w:firstLine="674"/>
        <w:rPr>
          <w:rFonts w:ascii="Times New Roman" w:hAnsi="Times New Roman" w:eastAsia="仿宋_GB2312"/>
          <w:color w:val="333333"/>
          <w:kern w:val="0"/>
          <w:sz w:val="32"/>
          <w:szCs w:val="32"/>
          <w:shd w:val="clear" w:color="auto" w:fill="FFFFFF"/>
        </w:rPr>
      </w:pPr>
      <w:r>
        <w:rPr>
          <w:rFonts w:ascii="Times New Roman" w:hAnsi="Times New Roman" w:eastAsia="仿宋_GB2312"/>
          <w:color w:val="333333"/>
          <w:kern w:val="0"/>
          <w:sz w:val="32"/>
          <w:szCs w:val="32"/>
          <w:shd w:val="clear" w:color="auto" w:fill="FFFFFF"/>
        </w:rPr>
        <w:t>11.负责职责范围内的安全生产和职业健康、生态环境保护、审批服务便民化等工作。</w:t>
      </w:r>
    </w:p>
    <w:p w14:paraId="3C55BB6E">
      <w:pPr>
        <w:pStyle w:val="10"/>
        <w:shd w:val="clear" w:color="auto" w:fill="FFFFFF"/>
        <w:spacing w:line="576" w:lineRule="exact"/>
        <w:ind w:firstLine="674"/>
        <w:rPr>
          <w:rFonts w:ascii="Times New Roman" w:hAnsi="Times New Roman" w:eastAsia="仿宋_GB2312"/>
          <w:color w:val="333333"/>
          <w:kern w:val="0"/>
          <w:sz w:val="32"/>
          <w:szCs w:val="32"/>
          <w:shd w:val="clear" w:color="auto" w:fill="FFFFFF"/>
        </w:rPr>
      </w:pPr>
      <w:r>
        <w:rPr>
          <w:rFonts w:ascii="Times New Roman" w:hAnsi="Times New Roman" w:eastAsia="仿宋_GB2312"/>
          <w:color w:val="333333"/>
          <w:kern w:val="0"/>
          <w:sz w:val="32"/>
          <w:szCs w:val="32"/>
          <w:shd w:val="clear" w:color="auto" w:fill="FFFFFF"/>
        </w:rPr>
        <w:t>12.完成区委、区政府交办的其他任务。</w:t>
      </w:r>
    </w:p>
    <w:p w14:paraId="38FA73C6">
      <w:pPr>
        <w:spacing w:line="576"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（二）区商务和经济合作局</w:t>
      </w:r>
      <w:r>
        <w:rPr>
          <w:rFonts w:ascii="Times New Roman" w:hAnsi="Times New Roman" w:eastAsia="楷体_GB2312"/>
          <w:sz w:val="32"/>
          <w:szCs w:val="32"/>
        </w:rPr>
        <w:t>2025</w:t>
      </w:r>
      <w:r>
        <w:rPr>
          <w:rFonts w:ascii="Times New Roman" w:hAnsi="楷体_GB2312" w:eastAsia="楷体_GB2312"/>
          <w:sz w:val="32"/>
          <w:szCs w:val="32"/>
        </w:rPr>
        <w:t>年重点工作</w:t>
      </w:r>
    </w:p>
    <w:p w14:paraId="5516FE2A">
      <w:pPr>
        <w:spacing w:line="576" w:lineRule="exact"/>
        <w:ind w:firstLine="643" w:firstLineChars="200"/>
        <w:rPr>
          <w:rFonts w:ascii="Times New Roman" w:hAnsi="Times New Roman" w:eastAsia="仿宋_GB2312"/>
          <w:sz w:val="32"/>
          <w:szCs w:val="32"/>
        </w:rPr>
      </w:pPr>
      <w:r>
        <w:rPr>
          <w:rFonts w:hint="eastAsia" w:ascii="Times New Roman" w:hAnsi="楷体_GB2312" w:eastAsia="楷体_GB2312"/>
          <w:b/>
          <w:bCs/>
          <w:sz w:val="32"/>
          <w:szCs w:val="32"/>
          <w:lang w:val="en-US" w:eastAsia="zh-CN"/>
        </w:rPr>
        <w:t>1.</w:t>
      </w:r>
      <w:r>
        <w:rPr>
          <w:rFonts w:ascii="Times New Roman" w:hAnsi="楷体_GB2312" w:eastAsia="楷体_GB2312"/>
          <w:b/>
          <w:bCs/>
          <w:sz w:val="32"/>
          <w:szCs w:val="32"/>
        </w:rPr>
        <w:t>做优企业培育，抓好经济指标运行。</w:t>
      </w:r>
      <w:r>
        <w:rPr>
          <w:rFonts w:ascii="Times New Roman" w:hAnsi="仿宋_GB2312" w:eastAsia="仿宋_GB2312"/>
          <w:sz w:val="32"/>
          <w:szCs w:val="32"/>
          <w:shd w:val="clear" w:color="auto" w:fill="FFFFFF"/>
        </w:rPr>
        <w:t>坚持目标导向，以精准服务、梯度培育为抓手，用活用好动态企业培育</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五张清单</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，对成长性好、发展潜力大、有项目支撑的企业，实施靶向培育和联合帮扶。</w:t>
      </w:r>
      <w:r>
        <w:rPr>
          <w:rFonts w:ascii="Times New Roman" w:hAnsi="Times New Roman" w:eastAsia="仿宋_GB2312"/>
          <w:sz w:val="32"/>
          <w:szCs w:val="32"/>
        </w:rPr>
        <w:t>强化为企服务质效，</w:t>
      </w:r>
      <w:r>
        <w:rPr>
          <w:rFonts w:ascii="Times New Roman" w:hAnsi="仿宋_GB2312" w:eastAsia="仿宋_GB2312"/>
          <w:sz w:val="32"/>
          <w:szCs w:val="32"/>
        </w:rPr>
        <w:t>推动</w:t>
      </w:r>
      <w:r>
        <w:rPr>
          <w:rFonts w:ascii="Times New Roman" w:hAnsi="Times New Roman" w:eastAsia="仿宋_GB2312"/>
          <w:sz w:val="32"/>
          <w:szCs w:val="32"/>
        </w:rPr>
        <w:t>第一、二产业企业“主辅分离”“产销分离”，</w:t>
      </w:r>
      <w:r>
        <w:rPr>
          <w:rFonts w:ascii="Times New Roman" w:hAnsi="仿宋_GB2312" w:eastAsia="仿宋_GB2312"/>
          <w:sz w:val="32"/>
          <w:szCs w:val="32"/>
        </w:rPr>
        <w:t>引导美好世家、水晶饰品、信德农牧等企业单独注册销售公司，</w:t>
      </w:r>
      <w:r>
        <w:rPr>
          <w:rFonts w:ascii="Times New Roman" w:hAnsi="Times New Roman" w:eastAsia="仿宋_GB2312"/>
          <w:sz w:val="32"/>
          <w:szCs w:val="32"/>
        </w:rPr>
        <w:t>扎实推进企业</w:t>
      </w:r>
      <w:r>
        <w:rPr>
          <w:rFonts w:hint="eastAsia" w:ascii="Times New Roman" w:hAnsi="Times New Roman" w:eastAsia="仿宋_GB2312"/>
          <w:sz w:val="32"/>
          <w:szCs w:val="32"/>
          <w:lang w:eastAsia="zh-CN"/>
        </w:rPr>
        <w:t>培育入库</w:t>
      </w:r>
      <w:r>
        <w:rPr>
          <w:rFonts w:ascii="Times New Roman" w:hAnsi="Times New Roman" w:eastAsia="仿宋_GB2312"/>
          <w:sz w:val="32"/>
          <w:szCs w:val="32"/>
        </w:rPr>
        <w:t>的业务指导、资料审核等工作，高质量完成年度“两上”企业纳统任务。同时，</w:t>
      </w:r>
      <w:r>
        <w:rPr>
          <w:rFonts w:ascii="Times New Roman" w:hAnsi="仿宋_GB2312" w:eastAsia="仿宋_GB2312"/>
          <w:sz w:val="32"/>
          <w:szCs w:val="32"/>
        </w:rPr>
        <w:t>积极兑现年内新入库企业奖扶政策，激励企业做优做强。</w:t>
      </w:r>
    </w:p>
    <w:p w14:paraId="10991A7A">
      <w:pPr>
        <w:spacing w:line="576" w:lineRule="exact"/>
        <w:ind w:firstLine="643" w:firstLineChars="200"/>
        <w:rPr>
          <w:rFonts w:ascii="Times New Roman" w:hAnsi="Times New Roman"/>
        </w:rPr>
      </w:pPr>
      <w:r>
        <w:rPr>
          <w:rFonts w:hint="eastAsia" w:ascii="Times New Roman" w:hAnsi="楷体_GB2312" w:eastAsia="楷体_GB2312"/>
          <w:b/>
          <w:bCs/>
          <w:sz w:val="32"/>
          <w:szCs w:val="32"/>
          <w:lang w:val="en-US" w:eastAsia="zh-CN"/>
        </w:rPr>
        <w:t>2.</w:t>
      </w:r>
      <w:r>
        <w:rPr>
          <w:rFonts w:ascii="Times New Roman" w:hAnsi="楷体_GB2312" w:eastAsia="楷体_GB2312"/>
          <w:b/>
          <w:bCs/>
          <w:sz w:val="32"/>
          <w:szCs w:val="32"/>
        </w:rPr>
        <w:t>做强消费场景，抓好消费提档升级。</w:t>
      </w:r>
      <w:r>
        <w:rPr>
          <w:rFonts w:ascii="Times New Roman" w:hAnsi="Times New Roman" w:eastAsia="仿宋_GB2312"/>
          <w:sz w:val="32"/>
          <w:szCs w:val="32"/>
        </w:rPr>
        <w:t>加强商贸服务业核心区</w:t>
      </w:r>
      <w:r>
        <w:rPr>
          <w:rFonts w:ascii="Times New Roman" w:hAnsi="Times New Roman" w:eastAsia="仿宋_GB2312"/>
          <w:color w:val="000000"/>
          <w:kern w:val="0"/>
          <w:sz w:val="32"/>
          <w:szCs w:val="32"/>
        </w:rPr>
        <w:t>建设</w:t>
      </w:r>
      <w:r>
        <w:rPr>
          <w:rFonts w:ascii="Times New Roman" w:hAnsi="仿宋_GB2312" w:eastAsia="仿宋_GB2312"/>
          <w:b/>
          <w:bCs/>
          <w:sz w:val="32"/>
          <w:szCs w:val="32"/>
        </w:rPr>
        <w:t>，</w:t>
      </w:r>
      <w:r>
        <w:rPr>
          <w:rFonts w:ascii="Times New Roman" w:hAnsi="Times New Roman" w:eastAsia="仿宋_GB2312"/>
          <w:sz w:val="32"/>
          <w:szCs w:val="32"/>
        </w:rPr>
        <w:t>以现有电商物流产业园、汽车产业园为基础，通过整合要素资源，合力对园区进行规划改造，提升功能配套水平，推动园区提质成为全区商贸服务业发展核心区，为现代化商贸物流企业集聚发展提供载体支撑。发挥“广供杭州”“广供成都”等战略部署导向作用，持续开展好“广供杭州”系列推介会等，办好东西部协作电商直播节，推动“昭化造”产品销售。同时，围绕“一月一主题”，协助各镇举办消费促进活动，推动消费持续向好发展。</w:t>
      </w:r>
    </w:p>
    <w:p w14:paraId="3E2F13FE">
      <w:pPr>
        <w:spacing w:line="576" w:lineRule="exact"/>
        <w:ind w:firstLine="643" w:firstLineChars="200"/>
        <w:rPr>
          <w:rFonts w:ascii="Times New Roman" w:hAnsi="Times New Roman" w:eastAsia="仿宋_GB2312"/>
          <w:sz w:val="32"/>
          <w:szCs w:val="32"/>
        </w:rPr>
      </w:pPr>
      <w:r>
        <w:rPr>
          <w:rFonts w:hint="eastAsia" w:ascii="Times New Roman" w:hAnsi="楷体_GB2312" w:eastAsia="楷体_GB2312"/>
          <w:b/>
          <w:bCs/>
          <w:sz w:val="32"/>
          <w:szCs w:val="32"/>
          <w:lang w:val="en-US" w:eastAsia="zh-CN"/>
        </w:rPr>
        <w:t>3.</w:t>
      </w:r>
      <w:r>
        <w:rPr>
          <w:rFonts w:ascii="Times New Roman" w:hAnsi="楷体_GB2312" w:eastAsia="楷体_GB2312"/>
          <w:b/>
          <w:bCs/>
          <w:sz w:val="32"/>
          <w:szCs w:val="32"/>
        </w:rPr>
        <w:t>做靓外贸增量，推动外贸量稳质升。</w:t>
      </w:r>
      <w:r>
        <w:rPr>
          <w:rFonts w:ascii="Times New Roman" w:hAnsi="仿宋_GB2312" w:eastAsia="仿宋_GB2312"/>
          <w:sz w:val="32"/>
          <w:szCs w:val="32"/>
        </w:rPr>
        <w:t>狠抓存量企业的扶持壮大、增量企业的培育，积极推动广元建丰、四川鲁丽木业等企业实现自营进出口实绩，实时跟进中粮油脂（广元）有限公司</w:t>
      </w:r>
      <w:r>
        <w:rPr>
          <w:rFonts w:ascii="Times New Roman" w:hAnsi="Times New Roman" w:eastAsia="仿宋_GB2312"/>
          <w:sz w:val="32"/>
          <w:szCs w:val="32"/>
        </w:rPr>
        <w:t>2025</w:t>
      </w:r>
      <w:r>
        <w:rPr>
          <w:rFonts w:ascii="Times New Roman" w:hAnsi="仿宋_GB2312" w:eastAsia="仿宋_GB2312"/>
          <w:sz w:val="32"/>
          <w:szCs w:val="32"/>
        </w:rPr>
        <w:t>年进口黄大豆指标回流情况。着力拓宽国际市场，积极做好进博会等国内重点展会的参展参会工作，组织更多企业走出去开拓境外国际市场。同时，落实好外贸惠企政策，持续关注中央外经贸资金、省级外经贸资金动向，加快资金兑现力度，切实发挥政策资金的激励作用。</w:t>
      </w:r>
    </w:p>
    <w:p w14:paraId="63D4CF6B">
      <w:pPr>
        <w:spacing w:line="576" w:lineRule="exact"/>
        <w:ind w:firstLine="643" w:firstLineChars="200"/>
        <w:rPr>
          <w:rFonts w:ascii="Times New Roman" w:hAnsi="Times New Roman" w:eastAsia="仿宋_GB2312"/>
          <w:sz w:val="32"/>
          <w:szCs w:val="32"/>
        </w:rPr>
      </w:pPr>
      <w:r>
        <w:rPr>
          <w:rFonts w:hint="eastAsia" w:ascii="Times New Roman" w:hAnsi="楷体_GB2312" w:eastAsia="楷体_GB2312"/>
          <w:b/>
          <w:bCs/>
          <w:sz w:val="32"/>
          <w:szCs w:val="32"/>
          <w:lang w:val="en-US" w:eastAsia="zh-CN"/>
        </w:rPr>
        <w:t>4.</w:t>
      </w:r>
      <w:r>
        <w:rPr>
          <w:rFonts w:ascii="Times New Roman" w:hAnsi="楷体_GB2312" w:eastAsia="楷体_GB2312"/>
          <w:b/>
          <w:bCs/>
          <w:sz w:val="32"/>
          <w:szCs w:val="32"/>
        </w:rPr>
        <w:t>做大电商优势，激活商贸发展动能。</w:t>
      </w:r>
      <w:r>
        <w:rPr>
          <w:rFonts w:ascii="Times New Roman" w:hAnsi="仿宋_GB2312" w:eastAsia="仿宋_GB2312"/>
          <w:sz w:val="32"/>
          <w:szCs w:val="32"/>
        </w:rPr>
        <w:t>持续深化</w:t>
      </w:r>
      <w:r>
        <w:rPr>
          <w:rFonts w:ascii="Times New Roman" w:hAnsi="Times New Roman" w:eastAsia="仿宋_GB2312"/>
          <w:sz w:val="32"/>
          <w:szCs w:val="32"/>
        </w:rPr>
        <w:t>“1+N”</w:t>
      </w:r>
      <w:r>
        <w:rPr>
          <w:rFonts w:ascii="Times New Roman" w:hAnsi="仿宋_GB2312" w:eastAsia="仿宋_GB2312"/>
          <w:sz w:val="32"/>
          <w:szCs w:val="32"/>
        </w:rPr>
        <w:t>直播电商模式，加快电商直播站点规划打造，进一步完善</w:t>
      </w:r>
      <w:r>
        <w:rPr>
          <w:rFonts w:ascii="Times New Roman" w:hAnsi="Times New Roman" w:eastAsia="仿宋_GB2312"/>
          <w:sz w:val="32"/>
          <w:szCs w:val="32"/>
        </w:rPr>
        <w:t>“</w:t>
      </w:r>
      <w:r>
        <w:rPr>
          <w:rFonts w:ascii="Times New Roman" w:hAnsi="仿宋_GB2312" w:eastAsia="仿宋_GB2312"/>
          <w:sz w:val="32"/>
          <w:szCs w:val="32"/>
        </w:rPr>
        <w:t>昭化造</w:t>
      </w:r>
      <w:r>
        <w:rPr>
          <w:rFonts w:ascii="Times New Roman" w:hAnsi="Times New Roman" w:eastAsia="仿宋_GB2312"/>
          <w:sz w:val="32"/>
          <w:szCs w:val="32"/>
        </w:rPr>
        <w:t>”</w:t>
      </w:r>
      <w:r>
        <w:rPr>
          <w:rFonts w:ascii="Times New Roman" w:hAnsi="仿宋_GB2312" w:eastAsia="仿宋_GB2312"/>
          <w:sz w:val="32"/>
          <w:szCs w:val="32"/>
        </w:rPr>
        <w:t>产品网络销售</w:t>
      </w:r>
      <w:r>
        <w:rPr>
          <w:rFonts w:hint="eastAsia" w:ascii="Times New Roman" w:hAnsi="仿宋_GB2312" w:eastAsia="仿宋_GB2312"/>
          <w:sz w:val="32"/>
          <w:szCs w:val="32"/>
          <w:lang w:eastAsia="zh-CN"/>
        </w:rPr>
        <w:t>渠道</w:t>
      </w:r>
      <w:r>
        <w:rPr>
          <w:rFonts w:ascii="Times New Roman" w:hAnsi="仿宋_GB2312" w:eastAsia="仿宋_GB2312"/>
          <w:sz w:val="32"/>
          <w:szCs w:val="32"/>
        </w:rPr>
        <w:t>，在推动电商直播站点镇级全覆盖的同时助力</w:t>
      </w:r>
      <w:r>
        <w:rPr>
          <w:rFonts w:ascii="Times New Roman" w:hAnsi="Times New Roman" w:eastAsia="仿宋_GB2312"/>
          <w:sz w:val="32"/>
          <w:szCs w:val="32"/>
        </w:rPr>
        <w:t>“</w:t>
      </w:r>
      <w:r>
        <w:rPr>
          <w:rFonts w:ascii="Times New Roman" w:hAnsi="仿宋_GB2312" w:eastAsia="仿宋_GB2312"/>
          <w:sz w:val="32"/>
          <w:szCs w:val="32"/>
        </w:rPr>
        <w:t>昭化造</w:t>
      </w:r>
      <w:r>
        <w:rPr>
          <w:rFonts w:ascii="Times New Roman" w:hAnsi="Times New Roman" w:eastAsia="仿宋_GB2312"/>
          <w:sz w:val="32"/>
          <w:szCs w:val="32"/>
        </w:rPr>
        <w:t>”</w:t>
      </w:r>
      <w:r>
        <w:rPr>
          <w:rFonts w:ascii="Times New Roman" w:hAnsi="仿宋_GB2312" w:eastAsia="仿宋_GB2312"/>
          <w:sz w:val="32"/>
          <w:szCs w:val="32"/>
        </w:rPr>
        <w:t>产品出川达海。发挥领军人才，加强电商人才培训，培育孵化中腰部主播，充实电商人才库，促进电商产业向高端化、专业化发展。</w:t>
      </w:r>
      <w:r>
        <w:rPr>
          <w:rFonts w:ascii="Times New Roman" w:hAnsi="Times New Roman" w:eastAsia="仿宋_GB2312"/>
          <w:color w:val="000000"/>
          <w:sz w:val="32"/>
          <w:szCs w:val="32"/>
        </w:rPr>
        <w:t>持续办好东西部协作电商直播节等活动，不断扩大“昭化造”产品销售市场，促进产销对接。</w:t>
      </w:r>
    </w:p>
    <w:p w14:paraId="08E73F5C">
      <w:pPr>
        <w:spacing w:line="576" w:lineRule="exact"/>
        <w:ind w:firstLine="643" w:firstLineChars="200"/>
        <w:rPr>
          <w:rFonts w:ascii="Times New Roman" w:hAnsi="Times New Roman" w:eastAsia="仿宋_GB2312"/>
          <w:b/>
          <w:bCs/>
          <w:sz w:val="32"/>
          <w:szCs w:val="32"/>
        </w:rPr>
      </w:pPr>
      <w:r>
        <w:rPr>
          <w:rFonts w:hint="eastAsia" w:ascii="Times New Roman" w:hAnsi="楷体_GB2312" w:eastAsia="楷体_GB2312"/>
          <w:b/>
          <w:bCs/>
          <w:sz w:val="32"/>
          <w:szCs w:val="32"/>
          <w:lang w:val="en-US" w:eastAsia="zh-CN"/>
        </w:rPr>
        <w:t>5.</w:t>
      </w:r>
      <w:r>
        <w:rPr>
          <w:rFonts w:ascii="Times New Roman" w:hAnsi="楷体_GB2312" w:eastAsia="楷体_GB2312"/>
          <w:b/>
          <w:bCs/>
          <w:sz w:val="32"/>
          <w:szCs w:val="32"/>
        </w:rPr>
        <w:t>做实产业专班，优化产业发展载体。</w:t>
      </w:r>
      <w:r>
        <w:rPr>
          <w:rFonts w:ascii="Times New Roman" w:hAnsi="仿宋_GB2312" w:eastAsia="仿宋_GB2312"/>
          <w:sz w:val="32"/>
          <w:szCs w:val="32"/>
        </w:rPr>
        <w:t>围绕商贸服务业重点行业领域，积极做好来年商圈建设、街区打造、智慧物流等项目谋划，采取政企联合招商、委托招商等方式，拓展招商途径，加强政策宣传，吸引更多知名商贸企业来昭发展。</w:t>
      </w:r>
      <w:r>
        <w:rPr>
          <w:rFonts w:ascii="Times New Roman" w:hAnsi="Times New Roman" w:eastAsia="仿宋_GB2312"/>
          <w:bCs/>
          <w:sz w:val="32"/>
          <w:szCs w:val="32"/>
        </w:rPr>
        <w:t>优化全区汽车产业布局，加大汽车品牌招引力度，推动建成辐射川陕甘地区的汽车集散区，打响“买车到昭化”口号</w:t>
      </w:r>
      <w:r>
        <w:rPr>
          <w:rFonts w:ascii="Times New Roman" w:hAnsi="仿宋_GB2312" w:eastAsia="仿宋_GB2312"/>
          <w:sz w:val="32"/>
          <w:szCs w:val="32"/>
        </w:rPr>
        <w:t>。持续抓好</w:t>
      </w:r>
      <w:r>
        <w:rPr>
          <w:rFonts w:ascii="Times New Roman" w:hAnsi="Times New Roman" w:eastAsia="仿宋_GB2312"/>
          <w:sz w:val="32"/>
          <w:szCs w:val="32"/>
        </w:rPr>
        <w:t>“</w:t>
      </w:r>
      <w:r>
        <w:rPr>
          <w:rFonts w:ascii="Times New Roman" w:hAnsi="仿宋_GB2312" w:eastAsia="仿宋_GB2312"/>
          <w:sz w:val="32"/>
          <w:szCs w:val="32"/>
        </w:rPr>
        <w:t>四个一</w:t>
      </w:r>
      <w:r>
        <w:rPr>
          <w:rFonts w:ascii="Times New Roman" w:hAnsi="Times New Roman" w:eastAsia="仿宋_GB2312"/>
          <w:sz w:val="32"/>
          <w:szCs w:val="32"/>
        </w:rPr>
        <w:t>”</w:t>
      </w:r>
      <w:r>
        <w:rPr>
          <w:rFonts w:ascii="Times New Roman" w:hAnsi="仿宋_GB2312" w:eastAsia="仿宋_GB2312"/>
          <w:sz w:val="32"/>
          <w:szCs w:val="32"/>
        </w:rPr>
        <w:t>项目推进机制，定期开展</w:t>
      </w:r>
      <w:r>
        <w:rPr>
          <w:rFonts w:ascii="Times New Roman" w:hAnsi="Times New Roman" w:eastAsia="仿宋_GB2312"/>
          <w:sz w:val="32"/>
          <w:szCs w:val="32"/>
        </w:rPr>
        <w:t>“</w:t>
      </w:r>
      <w:r>
        <w:rPr>
          <w:rFonts w:ascii="Times New Roman" w:hAnsi="仿宋_GB2312" w:eastAsia="仿宋_GB2312"/>
          <w:sz w:val="32"/>
          <w:szCs w:val="32"/>
        </w:rPr>
        <w:t>进企业、解难题、促发展</w:t>
      </w:r>
      <w:r>
        <w:rPr>
          <w:rFonts w:ascii="Times New Roman" w:hAnsi="Times New Roman" w:eastAsia="仿宋_GB2312"/>
          <w:sz w:val="32"/>
          <w:szCs w:val="32"/>
        </w:rPr>
        <w:t>”</w:t>
      </w:r>
      <w:r>
        <w:rPr>
          <w:rFonts w:ascii="Times New Roman" w:hAnsi="仿宋_GB2312" w:eastAsia="仿宋_GB2312"/>
          <w:sz w:val="32"/>
          <w:szCs w:val="32"/>
        </w:rPr>
        <w:t>活动，及时跟踪解决落地项目建设中的具体困难和问题，针对性开展协调服务，为企业全身心投入建设提供坚实的服务保障。</w:t>
      </w:r>
    </w:p>
    <w:p w14:paraId="30655FE2">
      <w:pPr>
        <w:spacing w:line="576" w:lineRule="exact"/>
        <w:ind w:firstLine="643" w:firstLineChars="200"/>
        <w:rPr>
          <w:rFonts w:ascii="Times New Roman" w:hAnsi="Times New Roman" w:eastAsia="楷体_GB2312"/>
          <w:sz w:val="32"/>
          <w:szCs w:val="32"/>
        </w:rPr>
      </w:pPr>
      <w:r>
        <w:rPr>
          <w:rFonts w:hint="eastAsia" w:ascii="Times New Roman" w:hAnsi="楷体_GB2312" w:eastAsia="楷体_GB2312"/>
          <w:b/>
          <w:bCs/>
          <w:sz w:val="32"/>
          <w:szCs w:val="32"/>
          <w:lang w:val="en-US" w:eastAsia="zh-CN"/>
        </w:rPr>
        <w:t>6.</w:t>
      </w:r>
      <w:r>
        <w:rPr>
          <w:rFonts w:ascii="Times New Roman" w:hAnsi="楷体_GB2312" w:eastAsia="楷体_GB2312"/>
          <w:b/>
          <w:bCs/>
          <w:sz w:val="32"/>
          <w:szCs w:val="32"/>
        </w:rPr>
        <w:t>做细项目招引，提升招商引资质效。</w:t>
      </w:r>
      <w:r>
        <w:rPr>
          <w:rFonts w:ascii="Times New Roman" w:hAnsi="Times New Roman" w:eastAsia="仿宋_GB2312"/>
          <w:sz w:val="32"/>
          <w:szCs w:val="32"/>
        </w:rPr>
        <w:t>牢固树立“一盘棋”思想，全力营造人人懂招商、人人抓项目的浓厚氛围。加大信息捕捉，持续聚焦绿色家居、食品饮料、现代农业、新型材料等产业集中集聚的区域，借助西博会、知名企业四川行等省市重大投资促进活动平台，开展我区专题招商推介活动，多渠道、多角度、全方位做好宣传推介。拓宽引资视野，围绕主导产业行业龙头企业，重点引进产业附加值高、核心竞争力强并具有带动性的好项目、大项目，努力在世界500强企业、中国500强企业以及“隐形冠军”“独角兽”等细分行业和市场占有率较高企业的引进上取得新突破。同时，持续加大与河北鑫利玻璃有限公司、浙江永艺家具股份有限公司等重点在谈优质项目的跟踪对接，力争取得重大进展。加大外资企业招引力度，用好服务外资企业工作专班机制，引导更多外资投向重点产业领域。持续推行“四个一”服务机制，制定项目服务清单，及时协调解决项目建设环节存在的困难和问题，推动项目高效有序推进。</w:t>
      </w:r>
    </w:p>
    <w:p w14:paraId="18EFCC9A">
      <w:pPr>
        <w:spacing w:line="576" w:lineRule="exact"/>
        <w:ind w:firstLine="640" w:firstLineChars="200"/>
        <w:outlineLvl w:val="0"/>
        <w:rPr>
          <w:rFonts w:ascii="Times New Roman" w:hAnsi="Times New Roman" w:eastAsia="黑体"/>
          <w:sz w:val="32"/>
          <w:szCs w:val="32"/>
        </w:rPr>
      </w:pPr>
      <w:r>
        <w:rPr>
          <w:rFonts w:ascii="Times New Roman" w:hAnsi="黑体" w:eastAsia="黑体"/>
          <w:sz w:val="32"/>
          <w:szCs w:val="32"/>
        </w:rPr>
        <w:t>二、部门预算单位构成</w:t>
      </w:r>
    </w:p>
    <w:p w14:paraId="4A4F7F3E">
      <w:pPr>
        <w:spacing w:line="576"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color w:val="333333"/>
          <w:kern w:val="0"/>
          <w:sz w:val="32"/>
          <w:szCs w:val="32"/>
          <w:shd w:val="clear" w:color="auto" w:fill="FFFFFF"/>
        </w:rPr>
        <w:t>区商务和经济合作局</w:t>
      </w:r>
      <w:r>
        <w:rPr>
          <w:rFonts w:ascii="Times New Roman" w:hAnsi="Times New Roman" w:eastAsia="仿宋_GB2312"/>
          <w:sz w:val="32"/>
          <w:szCs w:val="32"/>
          <w:shd w:val="clear" w:color="auto" w:fill="FFFFFF"/>
        </w:rPr>
        <w:t>下属预算单位</w:t>
      </w:r>
      <w:r>
        <w:rPr>
          <w:rFonts w:hint="eastAsia" w:ascii="Times New Roman" w:hAnsi="Times New Roman" w:eastAsia="仿宋_GB2312"/>
          <w:sz w:val="32"/>
          <w:szCs w:val="32"/>
          <w:shd w:val="clear" w:color="auto" w:fill="FFFFFF"/>
          <w:lang w:val="en-US" w:eastAsia="zh-CN"/>
        </w:rPr>
        <w:t>0</w:t>
      </w:r>
      <w:r>
        <w:rPr>
          <w:rFonts w:ascii="Times New Roman" w:hAnsi="Times New Roman" w:eastAsia="仿宋_GB2312"/>
          <w:sz w:val="32"/>
          <w:szCs w:val="32"/>
          <w:shd w:val="clear" w:color="auto" w:fill="FFFFFF"/>
        </w:rPr>
        <w:t>个，其中行政单位</w:t>
      </w:r>
      <w:r>
        <w:rPr>
          <w:rFonts w:hint="eastAsia" w:ascii="Times New Roman" w:hAnsi="Times New Roman" w:eastAsia="仿宋_GB2312"/>
          <w:sz w:val="32"/>
          <w:szCs w:val="32"/>
          <w:shd w:val="clear" w:color="auto" w:fill="FFFFFF"/>
          <w:lang w:val="en-US" w:eastAsia="zh-CN"/>
        </w:rPr>
        <w:t>0</w:t>
      </w:r>
      <w:r>
        <w:rPr>
          <w:rFonts w:ascii="Times New Roman" w:hAnsi="Times New Roman" w:eastAsia="仿宋_GB2312"/>
          <w:sz w:val="32"/>
          <w:szCs w:val="32"/>
          <w:shd w:val="clear" w:color="auto" w:fill="FFFFFF"/>
        </w:rPr>
        <w:t>个，参照公务员法管理的事业单位0个，其他事业单位0个。</w:t>
      </w:r>
    </w:p>
    <w:p w14:paraId="6E698D96">
      <w:pPr>
        <w:spacing w:line="576" w:lineRule="exact"/>
        <w:ind w:firstLine="640" w:firstLineChars="200"/>
        <w:outlineLvl w:val="0"/>
        <w:rPr>
          <w:rFonts w:ascii="Times New Roman" w:hAnsi="Times New Roman" w:eastAsia="黑体"/>
          <w:sz w:val="32"/>
          <w:szCs w:val="32"/>
        </w:rPr>
      </w:pPr>
      <w:r>
        <w:rPr>
          <w:rFonts w:ascii="Times New Roman" w:hAnsi="黑体" w:eastAsia="黑体"/>
          <w:sz w:val="32"/>
          <w:szCs w:val="32"/>
        </w:rPr>
        <w:t>三、收支预算情况说明</w:t>
      </w:r>
    </w:p>
    <w:p w14:paraId="3F4723D2">
      <w:pPr>
        <w:spacing w:line="576"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按照综合预算的原则，</w:t>
      </w:r>
      <w:r>
        <w:rPr>
          <w:rFonts w:ascii="Times New Roman" w:hAnsi="Times New Roman" w:eastAsia="仿宋_GB2312"/>
          <w:color w:val="333333"/>
          <w:kern w:val="0"/>
          <w:sz w:val="32"/>
          <w:szCs w:val="32"/>
          <w:shd w:val="clear" w:color="auto" w:fill="FFFFFF"/>
        </w:rPr>
        <w:t>区商务和经济合作局</w:t>
      </w:r>
      <w:r>
        <w:rPr>
          <w:rFonts w:ascii="Times New Roman" w:hAnsi="仿宋_GB2312" w:eastAsia="仿宋_GB2312"/>
          <w:sz w:val="32"/>
          <w:szCs w:val="32"/>
        </w:rPr>
        <w:t>所有收入和支出均纳入部门预算管理。收入包括：一般公共预算拨款收入；支出包括：一般公共服务支出、社会保障和就业支出、卫生健康支出、住房保障支出。</w:t>
      </w:r>
      <w:r>
        <w:rPr>
          <w:rFonts w:ascii="Times New Roman" w:hAnsi="Times New Roman" w:eastAsia="仿宋_GB2312"/>
          <w:color w:val="333333"/>
          <w:kern w:val="0"/>
          <w:sz w:val="32"/>
          <w:szCs w:val="32"/>
          <w:shd w:val="clear" w:color="auto" w:fill="FFFFFF"/>
        </w:rPr>
        <w:t>区商务和经济合作局</w:t>
      </w:r>
      <w:r>
        <w:rPr>
          <w:rFonts w:ascii="Times New Roman" w:hAnsi="Times New Roman" w:eastAsia="仿宋_GB2312"/>
          <w:sz w:val="32"/>
          <w:szCs w:val="32"/>
        </w:rPr>
        <w:t>2025</w:t>
      </w:r>
      <w:r>
        <w:rPr>
          <w:rFonts w:ascii="Times New Roman" w:hAnsi="仿宋_GB2312" w:eastAsia="仿宋_GB2312"/>
          <w:sz w:val="32"/>
          <w:szCs w:val="32"/>
        </w:rPr>
        <w:t>年收支预算总数</w:t>
      </w:r>
      <w:r>
        <w:rPr>
          <w:rFonts w:ascii="Times New Roman" w:hAnsi="Times New Roman" w:eastAsia="仿宋_GB2312"/>
          <w:sz w:val="32"/>
          <w:szCs w:val="32"/>
        </w:rPr>
        <w:t>461.84</w:t>
      </w:r>
      <w:r>
        <w:rPr>
          <w:rFonts w:ascii="Times New Roman" w:hAnsi="仿宋_GB2312" w:eastAsia="仿宋_GB2312"/>
          <w:sz w:val="32"/>
          <w:szCs w:val="32"/>
        </w:rPr>
        <w:t>万元</w:t>
      </w:r>
      <w:r>
        <w:rPr>
          <w:rFonts w:ascii="Times New Roman" w:hAnsi="Times New Roman" w:eastAsia="仿宋_GB2312"/>
          <w:sz w:val="32"/>
          <w:szCs w:val="32"/>
        </w:rPr>
        <w:t>,</w:t>
      </w:r>
      <w:r>
        <w:rPr>
          <w:rFonts w:ascii="Times New Roman" w:hAnsi="仿宋_GB2312" w:eastAsia="仿宋_GB2312"/>
          <w:sz w:val="32"/>
          <w:szCs w:val="32"/>
        </w:rPr>
        <w:t>比</w:t>
      </w:r>
      <w:r>
        <w:rPr>
          <w:rFonts w:ascii="Times New Roman" w:hAnsi="Times New Roman" w:eastAsia="仿宋_GB2312"/>
          <w:sz w:val="32"/>
          <w:szCs w:val="32"/>
        </w:rPr>
        <w:t>2024</w:t>
      </w:r>
      <w:r>
        <w:rPr>
          <w:rFonts w:ascii="Times New Roman" w:hAnsi="仿宋_GB2312" w:eastAsia="仿宋_GB2312"/>
          <w:sz w:val="32"/>
          <w:szCs w:val="32"/>
        </w:rPr>
        <w:t>年收支预算总数增加</w:t>
      </w:r>
      <w:r>
        <w:rPr>
          <w:rFonts w:ascii="Times New Roman" w:hAnsi="Times New Roman" w:eastAsia="仿宋_GB2312"/>
          <w:sz w:val="32"/>
          <w:szCs w:val="32"/>
        </w:rPr>
        <w:t>40.63</w:t>
      </w:r>
      <w:r>
        <w:rPr>
          <w:rFonts w:ascii="Times New Roman" w:hAnsi="仿宋_GB2312" w:eastAsia="仿宋_GB2312"/>
          <w:sz w:val="32"/>
          <w:szCs w:val="32"/>
        </w:rPr>
        <w:t>万元，主要原因是人员增加和一个预算项目调增。</w:t>
      </w:r>
    </w:p>
    <w:p w14:paraId="73FA075D">
      <w:pPr>
        <w:spacing w:line="576"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（一）收入预算情况</w:t>
      </w:r>
    </w:p>
    <w:p w14:paraId="338703C7">
      <w:pPr>
        <w:spacing w:line="576" w:lineRule="exact"/>
        <w:ind w:firstLine="640" w:firstLineChars="200"/>
        <w:rPr>
          <w:rFonts w:ascii="Times New Roman" w:hAnsi="Times New Roman" w:eastAsia="仿宋_GB2312"/>
          <w:sz w:val="32"/>
          <w:szCs w:val="32"/>
        </w:rPr>
      </w:pPr>
      <w:r>
        <w:rPr>
          <w:rFonts w:ascii="Times New Roman" w:hAnsi="Times New Roman" w:eastAsia="仿宋_GB2312"/>
          <w:color w:val="333333"/>
          <w:kern w:val="0"/>
          <w:sz w:val="32"/>
          <w:szCs w:val="32"/>
          <w:shd w:val="clear" w:color="auto" w:fill="FFFFFF"/>
        </w:rPr>
        <w:t>区商务和经济合作局</w:t>
      </w:r>
      <w:r>
        <w:rPr>
          <w:rFonts w:ascii="Times New Roman" w:hAnsi="Times New Roman" w:eastAsia="仿宋_GB2312"/>
          <w:sz w:val="32"/>
          <w:szCs w:val="32"/>
        </w:rPr>
        <w:t>2025</w:t>
      </w:r>
      <w:r>
        <w:rPr>
          <w:rFonts w:ascii="Times New Roman" w:hAnsi="仿宋_GB2312" w:eastAsia="仿宋_GB2312"/>
          <w:sz w:val="32"/>
          <w:szCs w:val="32"/>
        </w:rPr>
        <w:t>年收入预算</w:t>
      </w:r>
      <w:r>
        <w:rPr>
          <w:rFonts w:ascii="Times New Roman" w:hAnsi="Times New Roman" w:eastAsia="仿宋_GB2312"/>
          <w:sz w:val="32"/>
          <w:szCs w:val="32"/>
        </w:rPr>
        <w:t>461.84</w:t>
      </w:r>
      <w:r>
        <w:rPr>
          <w:rFonts w:ascii="Times New Roman" w:hAnsi="仿宋_GB2312" w:eastAsia="仿宋_GB2312"/>
          <w:sz w:val="32"/>
          <w:szCs w:val="32"/>
        </w:rPr>
        <w:t>万元，一般公共预算拨款收入</w:t>
      </w:r>
      <w:r>
        <w:rPr>
          <w:rFonts w:ascii="Times New Roman" w:hAnsi="Times New Roman" w:eastAsia="仿宋_GB2312"/>
          <w:sz w:val="32"/>
          <w:szCs w:val="32"/>
        </w:rPr>
        <w:t>461.84</w:t>
      </w:r>
      <w:r>
        <w:rPr>
          <w:rFonts w:ascii="Times New Roman" w:hAnsi="仿宋_GB2312" w:eastAsia="仿宋_GB2312"/>
          <w:sz w:val="32"/>
          <w:szCs w:val="32"/>
        </w:rPr>
        <w:t>万元，占</w:t>
      </w:r>
      <w:r>
        <w:rPr>
          <w:rFonts w:ascii="Times New Roman" w:hAnsi="Times New Roman" w:eastAsia="仿宋_GB2312"/>
          <w:sz w:val="32"/>
          <w:szCs w:val="32"/>
        </w:rPr>
        <w:t>100%</w:t>
      </w:r>
      <w:r>
        <w:rPr>
          <w:rFonts w:ascii="Times New Roman" w:hAnsi="仿宋_GB2312" w:eastAsia="仿宋_GB2312"/>
          <w:sz w:val="32"/>
          <w:szCs w:val="32"/>
        </w:rPr>
        <w:t>。</w:t>
      </w:r>
    </w:p>
    <w:p w14:paraId="6539EBA7">
      <w:pPr>
        <w:spacing w:line="576"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（二）支出预算情况</w:t>
      </w:r>
    </w:p>
    <w:p w14:paraId="6DF90C58">
      <w:pPr>
        <w:spacing w:line="576" w:lineRule="exact"/>
        <w:ind w:firstLine="640" w:firstLineChars="200"/>
        <w:rPr>
          <w:rFonts w:ascii="Times New Roman" w:hAnsi="Times New Roman" w:eastAsia="仿宋_GB2312"/>
          <w:sz w:val="32"/>
          <w:szCs w:val="32"/>
        </w:rPr>
      </w:pPr>
      <w:r>
        <w:rPr>
          <w:rFonts w:ascii="Times New Roman" w:hAnsi="Times New Roman" w:eastAsia="仿宋_GB2312"/>
          <w:color w:val="333333"/>
          <w:kern w:val="0"/>
          <w:sz w:val="32"/>
          <w:szCs w:val="32"/>
          <w:shd w:val="clear" w:color="auto" w:fill="FFFFFF"/>
        </w:rPr>
        <w:t>区商务和经济合作局</w:t>
      </w:r>
      <w:r>
        <w:rPr>
          <w:rFonts w:ascii="Times New Roman" w:hAnsi="Times New Roman" w:eastAsia="仿宋_GB2312"/>
          <w:sz w:val="32"/>
          <w:szCs w:val="32"/>
        </w:rPr>
        <w:t>2025</w:t>
      </w:r>
      <w:r>
        <w:rPr>
          <w:rFonts w:ascii="Times New Roman" w:hAnsi="仿宋_GB2312" w:eastAsia="仿宋_GB2312"/>
          <w:sz w:val="32"/>
          <w:szCs w:val="32"/>
        </w:rPr>
        <w:t>年支出预算</w:t>
      </w:r>
      <w:r>
        <w:rPr>
          <w:rFonts w:ascii="Times New Roman" w:hAnsi="Times New Roman" w:eastAsia="仿宋_GB2312"/>
          <w:sz w:val="32"/>
          <w:szCs w:val="32"/>
        </w:rPr>
        <w:t>461.84</w:t>
      </w:r>
      <w:r>
        <w:rPr>
          <w:rFonts w:ascii="Times New Roman" w:hAnsi="仿宋_GB2312" w:eastAsia="仿宋_GB2312"/>
          <w:sz w:val="32"/>
          <w:szCs w:val="32"/>
        </w:rPr>
        <w:t>万元，其中：基本支出</w:t>
      </w:r>
      <w:r>
        <w:rPr>
          <w:rFonts w:ascii="Times New Roman" w:hAnsi="Times New Roman" w:eastAsia="仿宋_GB2312"/>
          <w:sz w:val="32"/>
          <w:szCs w:val="32"/>
        </w:rPr>
        <w:t>299.84</w:t>
      </w:r>
      <w:r>
        <w:rPr>
          <w:rFonts w:ascii="Times New Roman" w:hAnsi="仿宋_GB2312" w:eastAsia="仿宋_GB2312"/>
          <w:sz w:val="32"/>
          <w:szCs w:val="32"/>
        </w:rPr>
        <w:t>万元，占</w:t>
      </w:r>
      <w:r>
        <w:rPr>
          <w:rFonts w:ascii="Times New Roman" w:hAnsi="Times New Roman" w:eastAsia="仿宋_GB2312"/>
          <w:sz w:val="32"/>
          <w:szCs w:val="32"/>
        </w:rPr>
        <w:t>65%</w:t>
      </w:r>
      <w:r>
        <w:rPr>
          <w:rFonts w:ascii="Times New Roman" w:hAnsi="仿宋_GB2312" w:eastAsia="仿宋_GB2312"/>
          <w:sz w:val="32"/>
          <w:szCs w:val="32"/>
        </w:rPr>
        <w:t>；项目支出</w:t>
      </w:r>
      <w:r>
        <w:rPr>
          <w:rFonts w:ascii="Times New Roman" w:hAnsi="Times New Roman" w:eastAsia="仿宋_GB2312"/>
          <w:sz w:val="32"/>
          <w:szCs w:val="32"/>
        </w:rPr>
        <w:t>162</w:t>
      </w:r>
      <w:r>
        <w:rPr>
          <w:rFonts w:ascii="Times New Roman" w:hAnsi="仿宋_GB2312" w:eastAsia="仿宋_GB2312"/>
          <w:sz w:val="32"/>
          <w:szCs w:val="32"/>
        </w:rPr>
        <w:t>万元，占</w:t>
      </w:r>
      <w:r>
        <w:rPr>
          <w:rFonts w:ascii="Times New Roman" w:hAnsi="Times New Roman" w:eastAsia="仿宋_GB2312"/>
          <w:sz w:val="32"/>
          <w:szCs w:val="32"/>
        </w:rPr>
        <w:t>35%</w:t>
      </w:r>
      <w:r>
        <w:rPr>
          <w:rFonts w:ascii="Times New Roman" w:hAnsi="仿宋_GB2312" w:eastAsia="仿宋_GB2312"/>
          <w:sz w:val="32"/>
          <w:szCs w:val="32"/>
        </w:rPr>
        <w:t>。</w:t>
      </w:r>
    </w:p>
    <w:p w14:paraId="0C9F606D">
      <w:pPr>
        <w:spacing w:line="576" w:lineRule="exact"/>
        <w:ind w:firstLine="640" w:firstLineChars="200"/>
        <w:outlineLvl w:val="0"/>
        <w:rPr>
          <w:rFonts w:ascii="Times New Roman" w:hAnsi="Times New Roman" w:eastAsia="黑体"/>
          <w:sz w:val="32"/>
          <w:szCs w:val="32"/>
        </w:rPr>
      </w:pPr>
      <w:r>
        <w:rPr>
          <w:rFonts w:ascii="Times New Roman" w:hAnsi="黑体" w:eastAsia="黑体"/>
          <w:sz w:val="32"/>
          <w:szCs w:val="32"/>
        </w:rPr>
        <w:t>四、财政拨款收支预算情况说明</w:t>
      </w:r>
    </w:p>
    <w:p w14:paraId="6371D356">
      <w:pPr>
        <w:spacing w:line="576"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区商务和经济合作局</w:t>
      </w:r>
      <w:r>
        <w:rPr>
          <w:rFonts w:ascii="Times New Roman" w:hAnsi="Times New Roman" w:eastAsia="仿宋_GB2312"/>
          <w:sz w:val="32"/>
          <w:szCs w:val="32"/>
        </w:rPr>
        <w:t>2025</w:t>
      </w:r>
      <w:r>
        <w:rPr>
          <w:rFonts w:ascii="Times New Roman" w:hAnsi="仿宋_GB2312" w:eastAsia="仿宋_GB2312"/>
          <w:sz w:val="32"/>
          <w:szCs w:val="32"/>
        </w:rPr>
        <w:t>年财政拨款收支预算总数</w:t>
      </w:r>
      <w:r>
        <w:rPr>
          <w:rFonts w:ascii="Times New Roman" w:hAnsi="Times New Roman" w:eastAsia="仿宋_GB2312"/>
          <w:sz w:val="32"/>
          <w:szCs w:val="32"/>
        </w:rPr>
        <w:t>461.84</w:t>
      </w:r>
      <w:r>
        <w:rPr>
          <w:rFonts w:ascii="Times New Roman" w:hAnsi="仿宋_GB2312" w:eastAsia="仿宋_GB2312"/>
          <w:sz w:val="32"/>
          <w:szCs w:val="32"/>
        </w:rPr>
        <w:t>万元</w:t>
      </w:r>
      <w:r>
        <w:rPr>
          <w:rFonts w:ascii="Times New Roman" w:hAnsi="Times New Roman" w:eastAsia="仿宋_GB2312"/>
          <w:sz w:val="32"/>
          <w:szCs w:val="32"/>
        </w:rPr>
        <w:t>,</w:t>
      </w:r>
      <w:r>
        <w:rPr>
          <w:rFonts w:ascii="Times New Roman" w:hAnsi="仿宋_GB2312" w:eastAsia="仿宋_GB2312"/>
          <w:sz w:val="32"/>
          <w:szCs w:val="32"/>
        </w:rPr>
        <w:t>比</w:t>
      </w:r>
      <w:r>
        <w:rPr>
          <w:rFonts w:ascii="Times New Roman" w:hAnsi="Times New Roman" w:eastAsia="仿宋_GB2312"/>
          <w:sz w:val="32"/>
          <w:szCs w:val="32"/>
        </w:rPr>
        <w:t>2024</w:t>
      </w:r>
      <w:r>
        <w:rPr>
          <w:rFonts w:ascii="Times New Roman" w:hAnsi="仿宋_GB2312" w:eastAsia="仿宋_GB2312"/>
          <w:sz w:val="32"/>
          <w:szCs w:val="32"/>
        </w:rPr>
        <w:t>年财政拨款收支预算总数增加</w:t>
      </w:r>
      <w:r>
        <w:rPr>
          <w:rFonts w:ascii="Times New Roman" w:hAnsi="Times New Roman" w:eastAsia="仿宋_GB2312"/>
          <w:sz w:val="32"/>
          <w:szCs w:val="32"/>
        </w:rPr>
        <w:t>40.63</w:t>
      </w:r>
      <w:r>
        <w:rPr>
          <w:rFonts w:ascii="Times New Roman" w:hAnsi="仿宋_GB2312" w:eastAsia="仿宋_GB2312"/>
          <w:sz w:val="32"/>
          <w:szCs w:val="32"/>
        </w:rPr>
        <w:t>万元，主要原因是人员增加和一个预算项目调增。</w:t>
      </w:r>
    </w:p>
    <w:p w14:paraId="289AD192">
      <w:pPr>
        <w:spacing w:line="576"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收入包括：本年一般公共预算拨款收入</w:t>
      </w:r>
      <w:r>
        <w:rPr>
          <w:rFonts w:ascii="Times New Roman" w:hAnsi="Times New Roman" w:eastAsia="仿宋_GB2312"/>
          <w:sz w:val="32"/>
          <w:szCs w:val="32"/>
        </w:rPr>
        <w:t>461.84</w:t>
      </w:r>
      <w:r>
        <w:rPr>
          <w:rFonts w:ascii="Times New Roman" w:hAnsi="仿宋_GB2312" w:eastAsia="仿宋_GB2312"/>
          <w:sz w:val="32"/>
          <w:szCs w:val="32"/>
        </w:rPr>
        <w:t>万元；支出包括：一般公共服务支出</w:t>
      </w:r>
      <w:r>
        <w:rPr>
          <w:rFonts w:ascii="Times New Roman" w:hAnsi="Times New Roman" w:eastAsia="仿宋_GB2312"/>
          <w:sz w:val="32"/>
          <w:szCs w:val="32"/>
        </w:rPr>
        <w:t>395.49</w:t>
      </w:r>
      <w:r>
        <w:rPr>
          <w:rFonts w:ascii="Times New Roman" w:hAnsi="仿宋_GB2312" w:eastAsia="仿宋_GB2312"/>
          <w:sz w:val="32"/>
          <w:szCs w:val="32"/>
        </w:rPr>
        <w:t>万元、社会保障和就业支出</w:t>
      </w:r>
      <w:r>
        <w:rPr>
          <w:rFonts w:ascii="Times New Roman" w:hAnsi="Times New Roman" w:eastAsia="仿宋_GB2312"/>
          <w:sz w:val="32"/>
          <w:szCs w:val="32"/>
        </w:rPr>
        <w:t>31.84</w:t>
      </w:r>
      <w:r>
        <w:rPr>
          <w:rFonts w:ascii="Times New Roman" w:hAnsi="仿宋_GB2312" w:eastAsia="仿宋_GB2312"/>
          <w:sz w:val="32"/>
          <w:szCs w:val="32"/>
        </w:rPr>
        <w:t>万元、卫生健康支出</w:t>
      </w:r>
      <w:r>
        <w:rPr>
          <w:rFonts w:ascii="Times New Roman" w:hAnsi="Times New Roman" w:eastAsia="仿宋_GB2312"/>
          <w:sz w:val="32"/>
          <w:szCs w:val="32"/>
        </w:rPr>
        <w:t>11.08</w:t>
      </w:r>
      <w:r>
        <w:rPr>
          <w:rFonts w:ascii="Times New Roman" w:hAnsi="仿宋_GB2312" w:eastAsia="仿宋_GB2312"/>
          <w:sz w:val="32"/>
          <w:szCs w:val="32"/>
        </w:rPr>
        <w:t>万元、住房保障支出</w:t>
      </w:r>
      <w:r>
        <w:rPr>
          <w:rFonts w:ascii="Times New Roman" w:hAnsi="Times New Roman" w:eastAsia="仿宋_GB2312"/>
          <w:sz w:val="32"/>
          <w:szCs w:val="32"/>
        </w:rPr>
        <w:t>23.43</w:t>
      </w:r>
      <w:r>
        <w:rPr>
          <w:rFonts w:ascii="Times New Roman" w:hAnsi="仿宋_GB2312" w:eastAsia="仿宋_GB2312"/>
          <w:sz w:val="32"/>
          <w:szCs w:val="32"/>
        </w:rPr>
        <w:t>万元。</w:t>
      </w:r>
    </w:p>
    <w:p w14:paraId="20E6F55C">
      <w:pPr>
        <w:spacing w:line="576" w:lineRule="exact"/>
        <w:ind w:firstLine="640" w:firstLineChars="200"/>
        <w:outlineLvl w:val="0"/>
        <w:rPr>
          <w:rFonts w:ascii="Times New Roman" w:hAnsi="Times New Roman" w:eastAsia="黑体"/>
          <w:sz w:val="32"/>
          <w:szCs w:val="32"/>
        </w:rPr>
      </w:pPr>
      <w:r>
        <w:rPr>
          <w:rFonts w:ascii="Times New Roman" w:hAnsi="黑体" w:eastAsia="黑体"/>
          <w:sz w:val="32"/>
          <w:szCs w:val="32"/>
        </w:rPr>
        <w:t>五、一般公共预算当年拨款情况说明</w:t>
      </w:r>
    </w:p>
    <w:p w14:paraId="514FA756">
      <w:pPr>
        <w:spacing w:line="576"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（一）一般公共预算当年拨款规模变化情况</w:t>
      </w:r>
    </w:p>
    <w:p w14:paraId="65E49AEA">
      <w:pPr>
        <w:spacing w:line="576"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区商务和经济合作局</w:t>
      </w:r>
      <w:r>
        <w:rPr>
          <w:rFonts w:ascii="Times New Roman" w:hAnsi="Times New Roman" w:eastAsia="仿宋_GB2312"/>
          <w:sz w:val="32"/>
          <w:szCs w:val="32"/>
        </w:rPr>
        <w:t>2025</w:t>
      </w:r>
      <w:r>
        <w:rPr>
          <w:rFonts w:ascii="Times New Roman" w:hAnsi="仿宋_GB2312" w:eastAsia="仿宋_GB2312"/>
          <w:sz w:val="32"/>
          <w:szCs w:val="32"/>
        </w:rPr>
        <w:t>年一般公共预算当年拨款</w:t>
      </w:r>
      <w:r>
        <w:rPr>
          <w:rFonts w:ascii="Times New Roman" w:hAnsi="Times New Roman" w:eastAsia="仿宋_GB2312"/>
          <w:sz w:val="32"/>
          <w:szCs w:val="32"/>
        </w:rPr>
        <w:t>461.84</w:t>
      </w:r>
      <w:r>
        <w:rPr>
          <w:rFonts w:ascii="Times New Roman" w:hAnsi="仿宋_GB2312" w:eastAsia="仿宋_GB2312"/>
          <w:sz w:val="32"/>
          <w:szCs w:val="32"/>
        </w:rPr>
        <w:t>万元，比</w:t>
      </w:r>
      <w:r>
        <w:rPr>
          <w:rFonts w:ascii="Times New Roman" w:hAnsi="Times New Roman" w:eastAsia="仿宋_GB2312"/>
          <w:sz w:val="32"/>
          <w:szCs w:val="32"/>
        </w:rPr>
        <w:t>2024</w:t>
      </w:r>
      <w:r>
        <w:rPr>
          <w:rFonts w:ascii="Times New Roman" w:hAnsi="仿宋_GB2312" w:eastAsia="仿宋_GB2312"/>
          <w:sz w:val="32"/>
          <w:szCs w:val="32"/>
        </w:rPr>
        <w:t>年预算数增加</w:t>
      </w:r>
      <w:r>
        <w:rPr>
          <w:rFonts w:ascii="Times New Roman" w:hAnsi="Times New Roman" w:eastAsia="仿宋_GB2312"/>
          <w:sz w:val="32"/>
          <w:szCs w:val="32"/>
        </w:rPr>
        <w:t>40.63</w:t>
      </w:r>
      <w:r>
        <w:rPr>
          <w:rFonts w:ascii="Times New Roman" w:hAnsi="仿宋_GB2312" w:eastAsia="仿宋_GB2312"/>
          <w:sz w:val="32"/>
          <w:szCs w:val="32"/>
        </w:rPr>
        <w:t>万元，主要原因是人员增加和一个预算项目调增。</w:t>
      </w:r>
    </w:p>
    <w:p w14:paraId="5B9DF8A2">
      <w:pPr>
        <w:spacing w:line="576"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（二）一般公共预算当年拨款结构情况</w:t>
      </w:r>
    </w:p>
    <w:p w14:paraId="01A5BE32">
      <w:pPr>
        <w:spacing w:line="576"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一般公共服务支出</w:t>
      </w:r>
      <w:r>
        <w:rPr>
          <w:rFonts w:ascii="Times New Roman" w:hAnsi="Times New Roman" w:eastAsia="仿宋_GB2312"/>
          <w:sz w:val="32"/>
          <w:szCs w:val="32"/>
        </w:rPr>
        <w:t>395.49</w:t>
      </w:r>
      <w:r>
        <w:rPr>
          <w:rFonts w:ascii="Times New Roman" w:hAnsi="仿宋_GB2312" w:eastAsia="仿宋_GB2312"/>
          <w:sz w:val="32"/>
          <w:szCs w:val="32"/>
        </w:rPr>
        <w:t>万元，占</w:t>
      </w:r>
      <w:r>
        <w:rPr>
          <w:rFonts w:ascii="Times New Roman" w:hAnsi="Times New Roman" w:eastAsia="仿宋_GB2312"/>
          <w:sz w:val="32"/>
          <w:szCs w:val="32"/>
        </w:rPr>
        <w:t>86%</w:t>
      </w:r>
      <w:r>
        <w:rPr>
          <w:rFonts w:ascii="Times New Roman" w:hAnsi="仿宋_GB2312" w:eastAsia="仿宋_GB2312"/>
          <w:sz w:val="32"/>
          <w:szCs w:val="32"/>
        </w:rPr>
        <w:t>；社会保障和就业支出</w:t>
      </w:r>
      <w:r>
        <w:rPr>
          <w:rFonts w:ascii="Times New Roman" w:hAnsi="Times New Roman" w:eastAsia="仿宋_GB2312"/>
          <w:sz w:val="32"/>
          <w:szCs w:val="32"/>
        </w:rPr>
        <w:t>31.84</w:t>
      </w:r>
      <w:r>
        <w:rPr>
          <w:rFonts w:ascii="Times New Roman" w:hAnsi="仿宋_GB2312" w:eastAsia="仿宋_GB2312"/>
          <w:sz w:val="32"/>
          <w:szCs w:val="32"/>
        </w:rPr>
        <w:t>万元，占</w:t>
      </w:r>
      <w:r>
        <w:rPr>
          <w:rFonts w:ascii="Times New Roman" w:hAnsi="Times New Roman" w:eastAsia="仿宋_GB2312"/>
          <w:sz w:val="32"/>
          <w:szCs w:val="32"/>
        </w:rPr>
        <w:t>7%</w:t>
      </w:r>
      <w:r>
        <w:rPr>
          <w:rFonts w:ascii="Times New Roman" w:hAnsi="仿宋_GB2312" w:eastAsia="仿宋_GB2312"/>
          <w:sz w:val="32"/>
          <w:szCs w:val="32"/>
        </w:rPr>
        <w:t>；卫生健康支出</w:t>
      </w:r>
      <w:r>
        <w:rPr>
          <w:rFonts w:ascii="Times New Roman" w:hAnsi="Times New Roman" w:eastAsia="仿宋_GB2312"/>
          <w:sz w:val="32"/>
          <w:szCs w:val="32"/>
        </w:rPr>
        <w:t>11.08</w:t>
      </w:r>
      <w:r>
        <w:rPr>
          <w:rFonts w:ascii="Times New Roman" w:hAnsi="仿宋_GB2312" w:eastAsia="仿宋_GB2312"/>
          <w:sz w:val="32"/>
          <w:szCs w:val="32"/>
        </w:rPr>
        <w:t>万元，占</w:t>
      </w:r>
      <w:r>
        <w:rPr>
          <w:rFonts w:ascii="Times New Roman" w:hAnsi="Times New Roman" w:eastAsia="仿宋_GB2312"/>
          <w:sz w:val="32"/>
          <w:szCs w:val="32"/>
        </w:rPr>
        <w:t>2%</w:t>
      </w:r>
      <w:r>
        <w:rPr>
          <w:rFonts w:ascii="Times New Roman" w:hAnsi="仿宋_GB2312" w:eastAsia="仿宋_GB2312"/>
          <w:sz w:val="32"/>
          <w:szCs w:val="32"/>
        </w:rPr>
        <w:t>；住房保障支出</w:t>
      </w:r>
      <w:r>
        <w:rPr>
          <w:rFonts w:ascii="Times New Roman" w:hAnsi="Times New Roman" w:eastAsia="仿宋_GB2312"/>
          <w:sz w:val="32"/>
          <w:szCs w:val="32"/>
        </w:rPr>
        <w:t>23.43</w:t>
      </w:r>
      <w:r>
        <w:rPr>
          <w:rFonts w:ascii="Times New Roman" w:hAnsi="仿宋_GB2312" w:eastAsia="仿宋_GB2312"/>
          <w:sz w:val="32"/>
          <w:szCs w:val="32"/>
        </w:rPr>
        <w:t>万元，占</w:t>
      </w:r>
      <w:r>
        <w:rPr>
          <w:rFonts w:ascii="Times New Roman" w:hAnsi="Times New Roman" w:eastAsia="仿宋_GB2312"/>
          <w:sz w:val="32"/>
          <w:szCs w:val="32"/>
        </w:rPr>
        <w:t>5%</w:t>
      </w:r>
      <w:r>
        <w:rPr>
          <w:rFonts w:ascii="Times New Roman" w:hAnsi="仿宋_GB2312" w:eastAsia="仿宋_GB2312"/>
          <w:sz w:val="32"/>
          <w:szCs w:val="32"/>
        </w:rPr>
        <w:t>。</w:t>
      </w:r>
    </w:p>
    <w:p w14:paraId="7399A103">
      <w:pPr>
        <w:spacing w:line="576"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（三）一般公共预算当年拨款具体使用情况</w:t>
      </w:r>
    </w:p>
    <w:p w14:paraId="745659C7">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Times New Roman" w:hAnsi="Times New Roman" w:eastAsia="仿宋_GB2312"/>
          <w:color w:val="333333"/>
          <w:kern w:val="0"/>
          <w:sz w:val="32"/>
          <w:szCs w:val="32"/>
          <w:shd w:val="clear" w:color="auto" w:fill="FFFFFF"/>
        </w:rPr>
        <w:t>一般公共服务（类）商贸事务（款）行政运行（项）2025年预算数为375.49万元，主要用于：局机关单位正常运转的基本支出，包括基本工资、津贴补贴等人员经费以及办公费、印刷费、水电费等日常公用经费及履行部门职责所发生的费用,保障部门正常运转。</w:t>
      </w:r>
    </w:p>
    <w:p w14:paraId="14A8B423">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ascii="Times New Roman" w:hAnsi="仿宋_GB2312" w:eastAsia="仿宋_GB2312"/>
          <w:sz w:val="32"/>
          <w:szCs w:val="32"/>
        </w:rPr>
        <w:t>一般公共服务（类）</w:t>
      </w:r>
      <w:r>
        <w:rPr>
          <w:rFonts w:ascii="Times New Roman" w:hAnsi="Times New Roman" w:eastAsia="仿宋_GB2312"/>
          <w:color w:val="333333"/>
          <w:kern w:val="0"/>
          <w:sz w:val="32"/>
          <w:szCs w:val="32"/>
          <w:shd w:val="clear" w:color="auto" w:fill="FFFFFF"/>
        </w:rPr>
        <w:t>商贸事务</w:t>
      </w:r>
      <w:r>
        <w:rPr>
          <w:rFonts w:ascii="Times New Roman" w:hAnsi="仿宋_GB2312" w:eastAsia="仿宋_GB2312"/>
          <w:sz w:val="32"/>
          <w:szCs w:val="32"/>
        </w:rPr>
        <w:t>（款）其他商贸事务支出（项）</w:t>
      </w:r>
      <w:r>
        <w:rPr>
          <w:rFonts w:ascii="Times New Roman" w:hAnsi="Times New Roman" w:eastAsia="仿宋_GB2312"/>
          <w:sz w:val="32"/>
          <w:szCs w:val="32"/>
        </w:rPr>
        <w:t>2025</w:t>
      </w:r>
      <w:r>
        <w:rPr>
          <w:rFonts w:ascii="Times New Roman" w:hAnsi="仿宋_GB2312" w:eastAsia="仿宋_GB2312"/>
          <w:sz w:val="32"/>
          <w:szCs w:val="32"/>
        </w:rPr>
        <w:t>年预算数为</w:t>
      </w:r>
      <w:r>
        <w:rPr>
          <w:rFonts w:ascii="Times New Roman" w:hAnsi="Times New Roman" w:eastAsia="仿宋_GB2312"/>
          <w:sz w:val="32"/>
          <w:szCs w:val="32"/>
        </w:rPr>
        <w:t>20</w:t>
      </w:r>
      <w:r>
        <w:rPr>
          <w:rFonts w:ascii="Times New Roman" w:hAnsi="仿宋_GB2312" w:eastAsia="仿宋_GB2312"/>
          <w:sz w:val="32"/>
          <w:szCs w:val="32"/>
        </w:rPr>
        <w:t>万元，主要用于：商贸服务业企业统计基础规范化建设工作。</w:t>
      </w:r>
    </w:p>
    <w:p w14:paraId="4AB362F6">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ascii="Times New Roman" w:hAnsi="仿宋_GB2312" w:eastAsia="仿宋_GB2312"/>
          <w:sz w:val="32"/>
          <w:szCs w:val="32"/>
        </w:rPr>
        <w:t>社会保障和就业（类）行政事业单位养老支出（款）机关事业单位基本养老保险缴费支出（项）</w:t>
      </w:r>
      <w:r>
        <w:rPr>
          <w:rFonts w:ascii="Times New Roman" w:hAnsi="Times New Roman" w:eastAsia="仿宋_GB2312"/>
          <w:sz w:val="32"/>
          <w:szCs w:val="32"/>
        </w:rPr>
        <w:t>2025</w:t>
      </w:r>
      <w:r>
        <w:rPr>
          <w:rFonts w:ascii="Times New Roman" w:hAnsi="仿宋_GB2312" w:eastAsia="仿宋_GB2312"/>
          <w:sz w:val="32"/>
          <w:szCs w:val="32"/>
        </w:rPr>
        <w:t>年预算数为</w:t>
      </w:r>
      <w:r>
        <w:rPr>
          <w:rFonts w:ascii="Times New Roman" w:hAnsi="Times New Roman" w:eastAsia="仿宋_GB2312"/>
          <w:sz w:val="32"/>
          <w:szCs w:val="32"/>
        </w:rPr>
        <w:t>31.24</w:t>
      </w:r>
      <w:r>
        <w:rPr>
          <w:rFonts w:ascii="Times New Roman" w:hAnsi="仿宋_GB2312" w:eastAsia="仿宋_GB2312"/>
          <w:sz w:val="32"/>
          <w:szCs w:val="32"/>
        </w:rPr>
        <w:t>万元，主要用于：实施养老保险制度由单位缴纳的基本养老保险支出。</w:t>
      </w:r>
    </w:p>
    <w:p w14:paraId="04878068">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ascii="Times New Roman" w:hAnsi="仿宋_GB2312" w:eastAsia="仿宋_GB2312"/>
          <w:sz w:val="32"/>
          <w:szCs w:val="32"/>
        </w:rPr>
        <w:t>社会保障和就业（类）其他社会保障和就业支出（款）其他社会保障和就业支出（项）</w:t>
      </w:r>
      <w:r>
        <w:rPr>
          <w:rFonts w:ascii="Times New Roman" w:hAnsi="Times New Roman" w:eastAsia="仿宋_GB2312"/>
          <w:sz w:val="32"/>
          <w:szCs w:val="32"/>
        </w:rPr>
        <w:t>2025</w:t>
      </w:r>
      <w:r>
        <w:rPr>
          <w:rFonts w:ascii="Times New Roman" w:hAnsi="仿宋_GB2312" w:eastAsia="仿宋_GB2312"/>
          <w:sz w:val="32"/>
          <w:szCs w:val="32"/>
        </w:rPr>
        <w:t>年预算数为</w:t>
      </w:r>
      <w:r>
        <w:rPr>
          <w:rFonts w:ascii="Times New Roman" w:hAnsi="Times New Roman" w:eastAsia="仿宋_GB2312"/>
          <w:sz w:val="32"/>
          <w:szCs w:val="32"/>
        </w:rPr>
        <w:t>0.6</w:t>
      </w:r>
      <w:r>
        <w:rPr>
          <w:rFonts w:ascii="Times New Roman" w:hAnsi="仿宋_GB2312" w:eastAsia="仿宋_GB2312"/>
          <w:sz w:val="32"/>
          <w:szCs w:val="32"/>
        </w:rPr>
        <w:t>万元，主要用于：</w:t>
      </w:r>
      <w:r>
        <w:rPr>
          <w:rFonts w:ascii="Times New Roman" w:hAnsi="Times New Roman" w:eastAsia="仿宋_GB2312"/>
          <w:color w:val="333333"/>
          <w:kern w:val="0"/>
          <w:sz w:val="32"/>
          <w:szCs w:val="32"/>
          <w:shd w:val="clear" w:color="auto" w:fill="FFFFFF"/>
        </w:rPr>
        <w:t>其他社会保障支出</w:t>
      </w:r>
      <w:r>
        <w:rPr>
          <w:rFonts w:ascii="Times New Roman" w:hAnsi="仿宋_GB2312" w:eastAsia="仿宋_GB2312"/>
          <w:sz w:val="32"/>
          <w:szCs w:val="32"/>
        </w:rPr>
        <w:t>。</w:t>
      </w:r>
    </w:p>
    <w:p w14:paraId="4F32A1F1">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ascii="Times New Roman" w:hAnsi="仿宋_GB2312" w:eastAsia="仿宋_GB2312"/>
          <w:sz w:val="32"/>
          <w:szCs w:val="32"/>
        </w:rPr>
        <w:t>卫生健康（类）行政事业单位医疗（款）行政单位医疗（项）</w:t>
      </w:r>
      <w:r>
        <w:rPr>
          <w:rFonts w:ascii="Times New Roman" w:hAnsi="Times New Roman" w:eastAsia="仿宋_GB2312"/>
          <w:sz w:val="32"/>
          <w:szCs w:val="32"/>
        </w:rPr>
        <w:t>2025</w:t>
      </w:r>
      <w:r>
        <w:rPr>
          <w:rFonts w:ascii="Times New Roman" w:hAnsi="仿宋_GB2312" w:eastAsia="仿宋_GB2312"/>
          <w:sz w:val="32"/>
          <w:szCs w:val="32"/>
        </w:rPr>
        <w:t>年预算数为</w:t>
      </w:r>
      <w:r>
        <w:rPr>
          <w:rFonts w:ascii="Times New Roman" w:hAnsi="Times New Roman" w:eastAsia="仿宋_GB2312"/>
          <w:sz w:val="32"/>
          <w:szCs w:val="32"/>
        </w:rPr>
        <w:t>7.17</w:t>
      </w:r>
      <w:r>
        <w:rPr>
          <w:rFonts w:ascii="Times New Roman" w:hAnsi="仿宋_GB2312" w:eastAsia="仿宋_GB2312"/>
          <w:sz w:val="32"/>
          <w:szCs w:val="32"/>
        </w:rPr>
        <w:t>万元，主要用于：机关及参公管理事业单位按规定由单位缴纳的基本医疗保险支出。</w:t>
      </w:r>
    </w:p>
    <w:p w14:paraId="10DFB8E6">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ascii="Times New Roman" w:hAnsi="仿宋_GB2312" w:eastAsia="仿宋_GB2312"/>
          <w:sz w:val="32"/>
          <w:szCs w:val="32"/>
        </w:rPr>
        <w:t>卫生健康（类）行政事业单位医疗（款）事业单位医疗（项）</w:t>
      </w:r>
      <w:r>
        <w:rPr>
          <w:rFonts w:ascii="Times New Roman" w:hAnsi="Times New Roman" w:eastAsia="仿宋_GB2312"/>
          <w:sz w:val="32"/>
          <w:szCs w:val="32"/>
        </w:rPr>
        <w:t>2025</w:t>
      </w:r>
      <w:r>
        <w:rPr>
          <w:rFonts w:ascii="Times New Roman" w:hAnsi="仿宋_GB2312" w:eastAsia="仿宋_GB2312"/>
          <w:sz w:val="32"/>
          <w:szCs w:val="32"/>
        </w:rPr>
        <w:t>年预算数为</w:t>
      </w:r>
      <w:r>
        <w:rPr>
          <w:rFonts w:ascii="Times New Roman" w:hAnsi="Times New Roman" w:eastAsia="仿宋_GB2312"/>
          <w:sz w:val="32"/>
          <w:szCs w:val="32"/>
        </w:rPr>
        <w:t>3.91</w:t>
      </w:r>
      <w:r>
        <w:rPr>
          <w:rFonts w:ascii="Times New Roman" w:hAnsi="仿宋_GB2312" w:eastAsia="仿宋_GB2312"/>
          <w:sz w:val="32"/>
          <w:szCs w:val="32"/>
        </w:rPr>
        <w:t>万元，主要用于：事业单位按规定由单位缴纳的基本医疗保险支出。</w:t>
      </w:r>
    </w:p>
    <w:p w14:paraId="53F915AB">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w:t>
      </w:r>
      <w:r>
        <w:rPr>
          <w:rFonts w:ascii="Times New Roman" w:hAnsi="仿宋_GB2312" w:eastAsia="仿宋_GB2312"/>
          <w:sz w:val="32"/>
          <w:szCs w:val="32"/>
        </w:rPr>
        <w:t>住房保障（类）住房改革支出（款）住房公积金（项）</w:t>
      </w:r>
      <w:r>
        <w:rPr>
          <w:rFonts w:ascii="Times New Roman" w:hAnsi="Times New Roman" w:eastAsia="仿宋_GB2312"/>
          <w:sz w:val="32"/>
          <w:szCs w:val="32"/>
        </w:rPr>
        <w:t>2025</w:t>
      </w:r>
      <w:r>
        <w:rPr>
          <w:rFonts w:ascii="Times New Roman" w:hAnsi="仿宋_GB2312" w:eastAsia="仿宋_GB2312"/>
          <w:sz w:val="32"/>
          <w:szCs w:val="32"/>
        </w:rPr>
        <w:t>年预算数为</w:t>
      </w:r>
      <w:r>
        <w:rPr>
          <w:rFonts w:ascii="Times New Roman" w:hAnsi="Times New Roman" w:eastAsia="仿宋_GB2312"/>
          <w:sz w:val="32"/>
          <w:szCs w:val="32"/>
        </w:rPr>
        <w:t>23.43</w:t>
      </w:r>
      <w:r>
        <w:rPr>
          <w:rFonts w:ascii="Times New Roman" w:hAnsi="仿宋_GB2312" w:eastAsia="仿宋_GB2312"/>
          <w:sz w:val="32"/>
          <w:szCs w:val="32"/>
        </w:rPr>
        <w:t>万元，主要用于：部门按规定为职工缴纳的住房公积金支出。</w:t>
      </w:r>
    </w:p>
    <w:p w14:paraId="5EBEA84F">
      <w:pPr>
        <w:spacing w:line="576" w:lineRule="exact"/>
        <w:ind w:firstLine="640" w:firstLineChars="200"/>
        <w:outlineLvl w:val="0"/>
        <w:rPr>
          <w:rFonts w:ascii="Times New Roman" w:hAnsi="Times New Roman" w:eastAsia="黑体"/>
          <w:sz w:val="32"/>
          <w:szCs w:val="32"/>
        </w:rPr>
      </w:pPr>
      <w:r>
        <w:rPr>
          <w:rFonts w:ascii="Times New Roman" w:hAnsi="黑体" w:eastAsia="黑体"/>
          <w:sz w:val="32"/>
          <w:szCs w:val="32"/>
        </w:rPr>
        <w:t>六、一般公共预算基本支出情况说明</w:t>
      </w:r>
    </w:p>
    <w:p w14:paraId="1DFFC0C0">
      <w:pPr>
        <w:spacing w:line="576"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区商务和经济合作局</w:t>
      </w:r>
      <w:r>
        <w:rPr>
          <w:rFonts w:ascii="Times New Roman" w:hAnsi="Times New Roman" w:eastAsia="仿宋_GB2312"/>
          <w:sz w:val="32"/>
          <w:szCs w:val="32"/>
        </w:rPr>
        <w:t>2025</w:t>
      </w:r>
      <w:r>
        <w:rPr>
          <w:rFonts w:ascii="Times New Roman" w:hAnsi="仿宋_GB2312" w:eastAsia="仿宋_GB2312"/>
          <w:sz w:val="32"/>
          <w:szCs w:val="32"/>
        </w:rPr>
        <w:t>年一般公共预算基本支出</w:t>
      </w:r>
      <w:r>
        <w:rPr>
          <w:rFonts w:ascii="Times New Roman" w:hAnsi="Times New Roman" w:eastAsia="仿宋_GB2312"/>
          <w:sz w:val="32"/>
          <w:szCs w:val="32"/>
        </w:rPr>
        <w:t>299.84</w:t>
      </w:r>
      <w:r>
        <w:rPr>
          <w:rFonts w:ascii="Times New Roman" w:hAnsi="仿宋_GB2312" w:eastAsia="仿宋_GB2312"/>
          <w:sz w:val="32"/>
          <w:szCs w:val="32"/>
        </w:rPr>
        <w:t>万元，其中：</w:t>
      </w:r>
    </w:p>
    <w:p w14:paraId="449D3874">
      <w:pPr>
        <w:spacing w:line="576"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人员经费</w:t>
      </w:r>
      <w:r>
        <w:rPr>
          <w:rFonts w:ascii="Times New Roman" w:hAnsi="Times New Roman" w:eastAsia="仿宋_GB2312"/>
          <w:sz w:val="32"/>
          <w:szCs w:val="32"/>
        </w:rPr>
        <w:t>263.59</w:t>
      </w:r>
      <w:r>
        <w:rPr>
          <w:rFonts w:ascii="Times New Roman" w:hAnsi="仿宋_GB2312" w:eastAsia="仿宋_GB2312"/>
          <w:sz w:val="32"/>
          <w:szCs w:val="32"/>
        </w:rPr>
        <w:t>万元，主要包括：基本工资、津贴补贴、奖金、社会保险缴费、住房公积金、生活补助等支出。</w:t>
      </w:r>
    </w:p>
    <w:p w14:paraId="163215B3">
      <w:pPr>
        <w:spacing w:line="576"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公用经费</w:t>
      </w:r>
      <w:r>
        <w:rPr>
          <w:rFonts w:ascii="Times New Roman" w:hAnsi="Times New Roman" w:eastAsia="仿宋_GB2312"/>
          <w:sz w:val="32"/>
          <w:szCs w:val="32"/>
        </w:rPr>
        <w:t>36.25</w:t>
      </w:r>
      <w:r>
        <w:rPr>
          <w:rFonts w:ascii="Times New Roman" w:hAnsi="仿宋_GB2312" w:eastAsia="仿宋_GB2312"/>
          <w:sz w:val="32"/>
          <w:szCs w:val="32"/>
        </w:rPr>
        <w:t>万元，主要包括：办公费、电费、差旅费、会议费、公务接待费、工会经费、其他交通费用等支出。</w:t>
      </w:r>
    </w:p>
    <w:p w14:paraId="1819DFAF">
      <w:pPr>
        <w:spacing w:line="576" w:lineRule="exact"/>
        <w:ind w:firstLine="640" w:firstLineChars="200"/>
        <w:outlineLvl w:val="0"/>
        <w:rPr>
          <w:rFonts w:ascii="Times New Roman" w:hAnsi="Times New Roman" w:eastAsia="黑体"/>
          <w:sz w:val="32"/>
          <w:szCs w:val="32"/>
        </w:rPr>
      </w:pPr>
      <w:r>
        <w:rPr>
          <w:rFonts w:ascii="Times New Roman" w:hAnsi="黑体" w:eastAsia="黑体"/>
          <w:sz w:val="32"/>
          <w:szCs w:val="32"/>
        </w:rPr>
        <w:t>七、</w:t>
      </w:r>
      <w:r>
        <w:rPr>
          <w:rFonts w:ascii="Times New Roman" w:hAnsi="Times New Roman" w:eastAsia="黑体"/>
          <w:sz w:val="32"/>
          <w:szCs w:val="32"/>
        </w:rPr>
        <w:t>“</w:t>
      </w:r>
      <w:r>
        <w:rPr>
          <w:rFonts w:ascii="Times New Roman" w:hAnsi="黑体" w:eastAsia="黑体"/>
          <w:sz w:val="32"/>
          <w:szCs w:val="32"/>
        </w:rPr>
        <w:t>三公</w:t>
      </w:r>
      <w:r>
        <w:rPr>
          <w:rFonts w:ascii="Times New Roman" w:hAnsi="Times New Roman" w:eastAsia="黑体"/>
          <w:sz w:val="32"/>
          <w:szCs w:val="32"/>
        </w:rPr>
        <w:t>”</w:t>
      </w:r>
      <w:r>
        <w:rPr>
          <w:rFonts w:ascii="Times New Roman" w:hAnsi="黑体" w:eastAsia="黑体"/>
          <w:sz w:val="32"/>
          <w:szCs w:val="32"/>
        </w:rPr>
        <w:t>经费财政拨款预算安排情况说明</w:t>
      </w:r>
    </w:p>
    <w:p w14:paraId="313A3ADE">
      <w:pPr>
        <w:spacing w:line="576"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区商务和经济合作局</w:t>
      </w:r>
      <w:r>
        <w:rPr>
          <w:rFonts w:ascii="Times New Roman" w:hAnsi="Times New Roman" w:eastAsia="仿宋_GB2312"/>
          <w:sz w:val="32"/>
          <w:szCs w:val="32"/>
        </w:rPr>
        <w:t>2025</w:t>
      </w:r>
      <w:r>
        <w:rPr>
          <w:rFonts w:ascii="Times New Roman" w:hAnsi="仿宋_GB2312" w:eastAsia="仿宋_GB2312"/>
          <w:sz w:val="32"/>
          <w:szCs w:val="32"/>
        </w:rPr>
        <w:t>年</w:t>
      </w:r>
      <w:r>
        <w:rPr>
          <w:rFonts w:ascii="Times New Roman" w:hAnsi="Times New Roman" w:eastAsia="仿宋_GB2312"/>
          <w:sz w:val="32"/>
          <w:szCs w:val="32"/>
        </w:rPr>
        <w:t>“</w:t>
      </w:r>
      <w:r>
        <w:rPr>
          <w:rFonts w:ascii="Times New Roman" w:hAnsi="仿宋_GB2312" w:eastAsia="仿宋_GB2312"/>
          <w:sz w:val="32"/>
          <w:szCs w:val="32"/>
        </w:rPr>
        <w:t>三公</w:t>
      </w:r>
      <w:r>
        <w:rPr>
          <w:rFonts w:ascii="Times New Roman" w:hAnsi="Times New Roman" w:eastAsia="仿宋_GB2312"/>
          <w:sz w:val="32"/>
          <w:szCs w:val="32"/>
        </w:rPr>
        <w:t>”</w:t>
      </w:r>
      <w:r>
        <w:rPr>
          <w:rFonts w:ascii="Times New Roman" w:hAnsi="仿宋_GB2312" w:eastAsia="仿宋_GB2312"/>
          <w:sz w:val="32"/>
          <w:szCs w:val="32"/>
        </w:rPr>
        <w:t>经费财政拨款预算数</w:t>
      </w:r>
      <w:r>
        <w:rPr>
          <w:rFonts w:ascii="Times New Roman" w:hAnsi="Times New Roman" w:eastAsia="仿宋_GB2312"/>
          <w:sz w:val="32"/>
          <w:szCs w:val="32"/>
        </w:rPr>
        <w:t>11.4</w:t>
      </w:r>
      <w:r>
        <w:rPr>
          <w:rFonts w:ascii="Times New Roman" w:hAnsi="仿宋_GB2312" w:eastAsia="仿宋_GB2312"/>
          <w:sz w:val="32"/>
          <w:szCs w:val="32"/>
        </w:rPr>
        <w:t>万元，其中：公务接待费</w:t>
      </w:r>
      <w:r>
        <w:rPr>
          <w:rFonts w:ascii="Times New Roman" w:hAnsi="Times New Roman" w:eastAsia="仿宋_GB2312"/>
          <w:sz w:val="32"/>
          <w:szCs w:val="32"/>
        </w:rPr>
        <w:t>11.4</w:t>
      </w:r>
      <w:r>
        <w:rPr>
          <w:rFonts w:ascii="Times New Roman" w:hAnsi="仿宋_GB2312" w:eastAsia="仿宋_GB2312"/>
          <w:sz w:val="32"/>
          <w:szCs w:val="32"/>
        </w:rPr>
        <w:t>万元，公务用车购置及运行维护费</w:t>
      </w:r>
      <w:r>
        <w:rPr>
          <w:rFonts w:ascii="Times New Roman" w:hAnsi="Times New Roman" w:eastAsia="仿宋_GB2312"/>
          <w:sz w:val="32"/>
          <w:szCs w:val="32"/>
        </w:rPr>
        <w:t>0</w:t>
      </w:r>
      <w:r>
        <w:rPr>
          <w:rFonts w:ascii="Times New Roman" w:hAnsi="仿宋_GB2312" w:eastAsia="仿宋_GB2312"/>
          <w:sz w:val="32"/>
          <w:szCs w:val="32"/>
        </w:rPr>
        <w:t>万元，因公出国（境）经费</w:t>
      </w:r>
      <w:r>
        <w:rPr>
          <w:rFonts w:ascii="Times New Roman" w:hAnsi="Times New Roman" w:eastAsia="仿宋_GB2312"/>
          <w:sz w:val="32"/>
          <w:szCs w:val="32"/>
        </w:rPr>
        <w:t>0</w:t>
      </w:r>
      <w:r>
        <w:rPr>
          <w:rFonts w:ascii="Times New Roman" w:hAnsi="仿宋_GB2312" w:eastAsia="仿宋_GB2312"/>
          <w:sz w:val="32"/>
          <w:szCs w:val="32"/>
        </w:rPr>
        <w:t>万元。</w:t>
      </w:r>
    </w:p>
    <w:p w14:paraId="72270A57">
      <w:pPr>
        <w:spacing w:line="576"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（一）公务接待费</w:t>
      </w:r>
    </w:p>
    <w:p w14:paraId="6F4792E9">
      <w:pPr>
        <w:spacing w:line="576"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公务接待费与</w:t>
      </w:r>
      <w:r>
        <w:rPr>
          <w:rFonts w:ascii="Times New Roman" w:hAnsi="Times New Roman" w:eastAsia="仿宋_GB2312"/>
          <w:sz w:val="32"/>
          <w:szCs w:val="32"/>
        </w:rPr>
        <w:t>2024</w:t>
      </w:r>
      <w:r>
        <w:rPr>
          <w:rFonts w:ascii="Times New Roman" w:hAnsi="仿宋_GB2312" w:eastAsia="仿宋_GB2312"/>
          <w:sz w:val="32"/>
          <w:szCs w:val="32"/>
        </w:rPr>
        <w:t>年预算相比持平。</w:t>
      </w:r>
    </w:p>
    <w:p w14:paraId="4E363941">
      <w:pPr>
        <w:spacing w:line="576" w:lineRule="exact"/>
        <w:ind w:firstLine="640" w:firstLineChars="200"/>
        <w:rPr>
          <w:rFonts w:ascii="Times New Roman" w:hAnsi="Times New Roman" w:eastAsia="仿宋_GB2312"/>
          <w:b/>
          <w:bCs/>
          <w:sz w:val="32"/>
          <w:szCs w:val="32"/>
        </w:rPr>
      </w:pPr>
      <w:r>
        <w:rPr>
          <w:rFonts w:ascii="Times New Roman" w:hAnsi="Times New Roman" w:eastAsia="仿宋_GB2312"/>
          <w:sz w:val="32"/>
          <w:szCs w:val="32"/>
        </w:rPr>
        <w:t>2025</w:t>
      </w:r>
      <w:r>
        <w:rPr>
          <w:rFonts w:ascii="Times New Roman" w:hAnsi="仿宋_GB2312" w:eastAsia="仿宋_GB2312"/>
          <w:sz w:val="32"/>
          <w:szCs w:val="32"/>
        </w:rPr>
        <w:t>年公务接待费计划用于执行接待考察调研、检查指导等公务活动开支的交通费、住宿费、用餐费等。</w:t>
      </w:r>
    </w:p>
    <w:p w14:paraId="38739014">
      <w:pPr>
        <w:numPr>
          <w:ilvl w:val="0"/>
          <w:numId w:val="1"/>
        </w:numPr>
        <w:spacing w:line="576"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公务用车购置及运行维护费</w:t>
      </w:r>
    </w:p>
    <w:p w14:paraId="188BAED1">
      <w:pPr>
        <w:spacing w:line="576"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公务用车购置及运行维护费与</w:t>
      </w:r>
      <w:r>
        <w:rPr>
          <w:rFonts w:ascii="Times New Roman" w:hAnsi="Times New Roman" w:eastAsia="仿宋_GB2312"/>
          <w:sz w:val="32"/>
          <w:szCs w:val="32"/>
        </w:rPr>
        <w:t>2024</w:t>
      </w:r>
      <w:r>
        <w:rPr>
          <w:rFonts w:ascii="Times New Roman" w:hAnsi="仿宋_GB2312" w:eastAsia="仿宋_GB2312"/>
          <w:sz w:val="32"/>
          <w:szCs w:val="32"/>
        </w:rPr>
        <w:t>年预算相比持平。</w:t>
      </w:r>
    </w:p>
    <w:p w14:paraId="020942C7">
      <w:pPr>
        <w:spacing w:line="576"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单位现有公务用车</w:t>
      </w:r>
      <w:r>
        <w:rPr>
          <w:rFonts w:ascii="Times New Roman" w:hAnsi="Times New Roman" w:eastAsia="仿宋_GB2312"/>
          <w:sz w:val="32"/>
          <w:szCs w:val="32"/>
        </w:rPr>
        <w:t>0</w:t>
      </w:r>
      <w:r>
        <w:rPr>
          <w:rFonts w:ascii="Times New Roman" w:hAnsi="仿宋_GB2312" w:eastAsia="仿宋_GB2312"/>
          <w:sz w:val="32"/>
          <w:szCs w:val="32"/>
        </w:rPr>
        <w:t>辆。</w:t>
      </w:r>
    </w:p>
    <w:p w14:paraId="703008EF">
      <w:pPr>
        <w:spacing w:line="576"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lang w:val="en-US" w:eastAsia="zh-CN"/>
        </w:rPr>
        <w:t>2025年未安排公务用车购置费</w:t>
      </w:r>
      <w:r>
        <w:rPr>
          <w:rFonts w:ascii="Times New Roman" w:hAnsi="仿宋_GB2312" w:eastAsia="仿宋_GB2312"/>
          <w:sz w:val="32"/>
          <w:szCs w:val="32"/>
        </w:rPr>
        <w:t>。</w:t>
      </w:r>
    </w:p>
    <w:p w14:paraId="41FCBFB6">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2025</w:t>
      </w:r>
      <w:r>
        <w:rPr>
          <w:rFonts w:ascii="Times New Roman" w:hAnsi="仿宋_GB2312" w:eastAsia="仿宋_GB2312"/>
          <w:sz w:val="32"/>
          <w:szCs w:val="32"/>
        </w:rPr>
        <w:t>年安排公务用车运行维护费</w:t>
      </w:r>
      <w:r>
        <w:rPr>
          <w:rFonts w:ascii="Times New Roman" w:hAnsi="Times New Roman" w:eastAsia="仿宋_GB2312"/>
          <w:sz w:val="32"/>
          <w:szCs w:val="32"/>
        </w:rPr>
        <w:t>0</w:t>
      </w:r>
      <w:r>
        <w:rPr>
          <w:rFonts w:ascii="Times New Roman" w:hAnsi="仿宋_GB2312" w:eastAsia="仿宋_GB2312"/>
          <w:sz w:val="32"/>
          <w:szCs w:val="32"/>
        </w:rPr>
        <w:t>万元。</w:t>
      </w:r>
    </w:p>
    <w:p w14:paraId="0532BAF2">
      <w:pPr>
        <w:spacing w:line="576"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w:t>
      </w:r>
      <w:r>
        <w:rPr>
          <w:rFonts w:ascii="Times New Roman" w:hAnsi="楷体_GB2312" w:eastAsia="楷体_GB2312"/>
          <w:sz w:val="32"/>
          <w:szCs w:val="32"/>
        </w:rPr>
        <w:t>三）因公出国（境）经费</w:t>
      </w:r>
    </w:p>
    <w:p w14:paraId="7EFA6E1E">
      <w:pPr>
        <w:spacing w:line="576"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因公出国（境）经费与</w:t>
      </w:r>
      <w:r>
        <w:rPr>
          <w:rFonts w:ascii="Times New Roman" w:hAnsi="Times New Roman" w:eastAsia="仿宋_GB2312"/>
          <w:sz w:val="32"/>
          <w:szCs w:val="32"/>
        </w:rPr>
        <w:t>2024</w:t>
      </w:r>
      <w:r>
        <w:rPr>
          <w:rFonts w:ascii="Times New Roman" w:hAnsi="仿宋_GB2312" w:eastAsia="仿宋_GB2312"/>
          <w:sz w:val="32"/>
          <w:szCs w:val="32"/>
        </w:rPr>
        <w:t>年预算相比持平。</w:t>
      </w:r>
    </w:p>
    <w:p w14:paraId="25143D63">
      <w:pPr>
        <w:spacing w:line="576" w:lineRule="exact"/>
        <w:ind w:firstLine="640" w:firstLineChars="200"/>
        <w:outlineLvl w:val="0"/>
        <w:rPr>
          <w:rFonts w:ascii="Times New Roman" w:hAnsi="Times New Roman" w:eastAsia="黑体"/>
          <w:sz w:val="32"/>
          <w:szCs w:val="32"/>
        </w:rPr>
      </w:pPr>
      <w:r>
        <w:rPr>
          <w:rFonts w:ascii="Times New Roman" w:hAnsi="黑体" w:eastAsia="黑体"/>
          <w:sz w:val="32"/>
          <w:szCs w:val="32"/>
        </w:rPr>
        <w:t>八、政府性基金预算支出情况说明</w:t>
      </w:r>
    </w:p>
    <w:p w14:paraId="29899C38">
      <w:pPr>
        <w:spacing w:line="576"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区商务和经济合作局</w:t>
      </w:r>
      <w:r>
        <w:rPr>
          <w:rFonts w:ascii="Times New Roman" w:hAnsi="Times New Roman" w:eastAsia="仿宋_GB2312"/>
          <w:sz w:val="32"/>
          <w:szCs w:val="32"/>
        </w:rPr>
        <w:t>2025</w:t>
      </w:r>
      <w:r>
        <w:rPr>
          <w:rFonts w:ascii="Times New Roman" w:hAnsi="仿宋_GB2312" w:eastAsia="仿宋_GB2312"/>
          <w:sz w:val="32"/>
          <w:szCs w:val="32"/>
        </w:rPr>
        <w:t>年无政府性基金预算拨款安排的支出。</w:t>
      </w:r>
    </w:p>
    <w:p w14:paraId="07FFA9F4">
      <w:pPr>
        <w:spacing w:line="576" w:lineRule="exact"/>
        <w:ind w:firstLine="640" w:firstLineChars="200"/>
        <w:outlineLvl w:val="0"/>
        <w:rPr>
          <w:rFonts w:ascii="Times New Roman" w:hAnsi="Times New Roman" w:eastAsia="黑体"/>
          <w:sz w:val="32"/>
          <w:szCs w:val="32"/>
        </w:rPr>
      </w:pPr>
      <w:r>
        <w:rPr>
          <w:rFonts w:ascii="Times New Roman" w:hAnsi="黑体" w:eastAsia="黑体"/>
          <w:sz w:val="32"/>
          <w:szCs w:val="32"/>
        </w:rPr>
        <w:t>九、国有资本经营预算支出情况说明</w:t>
      </w:r>
    </w:p>
    <w:p w14:paraId="2119D29A">
      <w:pPr>
        <w:spacing w:line="576"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区商务和经济合作局</w:t>
      </w:r>
      <w:r>
        <w:rPr>
          <w:rFonts w:ascii="Times New Roman" w:hAnsi="Times New Roman" w:eastAsia="仿宋_GB2312"/>
          <w:sz w:val="32"/>
          <w:szCs w:val="32"/>
        </w:rPr>
        <w:t>2025</w:t>
      </w:r>
      <w:r>
        <w:rPr>
          <w:rFonts w:ascii="Times New Roman" w:hAnsi="仿宋_GB2312" w:eastAsia="仿宋_GB2312"/>
          <w:sz w:val="32"/>
          <w:szCs w:val="32"/>
        </w:rPr>
        <w:t>年无国有资本经营预算拨款安排的支出。</w:t>
      </w:r>
    </w:p>
    <w:p w14:paraId="3B7DA2EB">
      <w:pPr>
        <w:spacing w:line="576" w:lineRule="exact"/>
        <w:ind w:firstLine="640" w:firstLineChars="200"/>
        <w:outlineLvl w:val="0"/>
        <w:rPr>
          <w:rFonts w:ascii="Times New Roman" w:hAnsi="Times New Roman" w:eastAsia="黑体"/>
          <w:sz w:val="32"/>
          <w:szCs w:val="32"/>
        </w:rPr>
      </w:pPr>
      <w:r>
        <w:rPr>
          <w:rFonts w:ascii="Times New Roman" w:hAnsi="黑体" w:eastAsia="黑体"/>
          <w:sz w:val="32"/>
          <w:szCs w:val="32"/>
        </w:rPr>
        <w:t>十、其他重要事项的情况说明</w:t>
      </w:r>
    </w:p>
    <w:p w14:paraId="477D8D33">
      <w:pPr>
        <w:spacing w:line="576"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（一）机关运行经费</w:t>
      </w:r>
    </w:p>
    <w:p w14:paraId="6C525EF5">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2025</w:t>
      </w:r>
      <w:r>
        <w:rPr>
          <w:rFonts w:ascii="Times New Roman" w:hAnsi="仿宋_GB2312" w:eastAsia="仿宋_GB2312"/>
          <w:sz w:val="32"/>
          <w:szCs w:val="32"/>
        </w:rPr>
        <w:t>年，区商务和经济合作局的机关运行经费财政拨款预算为</w:t>
      </w:r>
      <w:r>
        <w:rPr>
          <w:rFonts w:ascii="Times New Roman" w:hAnsi="Times New Roman" w:eastAsia="仿宋_GB2312"/>
          <w:sz w:val="32"/>
          <w:szCs w:val="32"/>
        </w:rPr>
        <w:t>36.25</w:t>
      </w:r>
      <w:r>
        <w:rPr>
          <w:rFonts w:ascii="Times New Roman" w:hAnsi="仿宋_GB2312" w:eastAsia="仿宋_GB2312"/>
          <w:sz w:val="32"/>
          <w:szCs w:val="32"/>
        </w:rPr>
        <w:t>万元，比</w:t>
      </w:r>
      <w:r>
        <w:rPr>
          <w:rFonts w:ascii="Times New Roman" w:hAnsi="Times New Roman" w:eastAsia="仿宋_GB2312"/>
          <w:sz w:val="32"/>
          <w:szCs w:val="32"/>
        </w:rPr>
        <w:t>2024</w:t>
      </w:r>
      <w:r>
        <w:rPr>
          <w:rFonts w:ascii="Times New Roman" w:hAnsi="仿宋_GB2312" w:eastAsia="仿宋_GB2312"/>
          <w:sz w:val="32"/>
          <w:szCs w:val="32"/>
        </w:rPr>
        <w:t>年预算增加</w:t>
      </w:r>
      <w:r>
        <w:rPr>
          <w:rFonts w:ascii="Times New Roman" w:hAnsi="Times New Roman" w:eastAsia="仿宋_GB2312"/>
          <w:sz w:val="32"/>
          <w:szCs w:val="32"/>
        </w:rPr>
        <w:t>3.76</w:t>
      </w:r>
      <w:r>
        <w:rPr>
          <w:rFonts w:ascii="Times New Roman" w:hAnsi="仿宋_GB2312" w:eastAsia="仿宋_GB2312"/>
          <w:sz w:val="32"/>
          <w:szCs w:val="32"/>
        </w:rPr>
        <w:t>万元，增长</w:t>
      </w:r>
      <w:r>
        <w:rPr>
          <w:rFonts w:ascii="Times New Roman" w:hAnsi="Times New Roman" w:eastAsia="仿宋_GB2312"/>
          <w:sz w:val="32"/>
          <w:szCs w:val="32"/>
        </w:rPr>
        <w:t>10%</w:t>
      </w:r>
      <w:r>
        <w:rPr>
          <w:rFonts w:ascii="Times New Roman" w:hAnsi="仿宋_GB2312" w:eastAsia="仿宋_GB2312"/>
          <w:sz w:val="32"/>
          <w:szCs w:val="32"/>
        </w:rPr>
        <w:t>。主要原因是人员增加。</w:t>
      </w:r>
    </w:p>
    <w:p w14:paraId="62865FFC">
      <w:pPr>
        <w:spacing w:line="576"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（二）政府采购情况</w:t>
      </w:r>
    </w:p>
    <w:p w14:paraId="2F5427DA">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2025</w:t>
      </w:r>
      <w:r>
        <w:rPr>
          <w:rFonts w:ascii="Times New Roman" w:hAnsi="仿宋_GB2312" w:eastAsia="仿宋_GB2312"/>
          <w:sz w:val="32"/>
          <w:szCs w:val="32"/>
        </w:rPr>
        <w:t>年，区商务和经济合作局安排政府采购预算</w:t>
      </w:r>
      <w:r>
        <w:rPr>
          <w:rFonts w:ascii="Times New Roman" w:hAnsi="Times New Roman" w:eastAsia="仿宋_GB2312"/>
          <w:sz w:val="32"/>
          <w:szCs w:val="32"/>
        </w:rPr>
        <w:t>0</w:t>
      </w:r>
      <w:r>
        <w:rPr>
          <w:rFonts w:ascii="Times New Roman" w:hAnsi="仿宋_GB2312" w:eastAsia="仿宋_GB2312"/>
          <w:sz w:val="32"/>
          <w:szCs w:val="32"/>
        </w:rPr>
        <w:t>万元。</w:t>
      </w:r>
    </w:p>
    <w:p w14:paraId="7626561B">
      <w:pPr>
        <w:spacing w:line="576"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（三）国有资产占有使用情况</w:t>
      </w:r>
    </w:p>
    <w:p w14:paraId="087E8B0E">
      <w:pPr>
        <w:spacing w:line="576"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截至</w:t>
      </w:r>
      <w:r>
        <w:rPr>
          <w:rFonts w:ascii="Times New Roman" w:hAnsi="Times New Roman" w:eastAsia="仿宋_GB2312"/>
          <w:sz w:val="32"/>
          <w:szCs w:val="32"/>
        </w:rPr>
        <w:t>2024</w:t>
      </w:r>
      <w:r>
        <w:rPr>
          <w:rFonts w:ascii="Times New Roman" w:hAnsi="仿宋_GB2312" w:eastAsia="仿宋_GB2312"/>
          <w:sz w:val="32"/>
          <w:szCs w:val="32"/>
        </w:rPr>
        <w:t>年底，区商务和经济合作局共有车辆</w:t>
      </w:r>
      <w:r>
        <w:rPr>
          <w:rFonts w:ascii="Times New Roman" w:hAnsi="Times New Roman" w:eastAsia="仿宋_GB2312"/>
          <w:sz w:val="32"/>
          <w:szCs w:val="32"/>
        </w:rPr>
        <w:t>0</w:t>
      </w:r>
      <w:r>
        <w:rPr>
          <w:rFonts w:ascii="Times New Roman" w:hAnsi="仿宋_GB2312" w:eastAsia="仿宋_GB2312"/>
          <w:sz w:val="32"/>
          <w:szCs w:val="32"/>
        </w:rPr>
        <w:t>辆。单位价值</w:t>
      </w:r>
      <w:r>
        <w:rPr>
          <w:rFonts w:ascii="Times New Roman" w:hAnsi="Times New Roman" w:eastAsia="仿宋_GB2312"/>
          <w:sz w:val="32"/>
          <w:szCs w:val="32"/>
        </w:rPr>
        <w:t>200</w:t>
      </w:r>
      <w:r>
        <w:rPr>
          <w:rFonts w:ascii="Times New Roman" w:hAnsi="仿宋_GB2312" w:eastAsia="仿宋_GB2312"/>
          <w:sz w:val="32"/>
          <w:szCs w:val="32"/>
        </w:rPr>
        <w:t>万元以上大型设备</w:t>
      </w:r>
      <w:r>
        <w:rPr>
          <w:rFonts w:ascii="Times New Roman" w:hAnsi="Times New Roman" w:eastAsia="仿宋_GB2312"/>
          <w:sz w:val="32"/>
          <w:szCs w:val="32"/>
        </w:rPr>
        <w:t>0</w:t>
      </w:r>
      <w:r>
        <w:rPr>
          <w:rFonts w:ascii="Times New Roman" w:hAnsi="仿宋_GB2312" w:eastAsia="仿宋_GB2312"/>
          <w:sz w:val="32"/>
          <w:szCs w:val="32"/>
        </w:rPr>
        <w:t>台（套）（或单位无价值</w:t>
      </w:r>
      <w:r>
        <w:rPr>
          <w:rFonts w:ascii="Times New Roman" w:hAnsi="Times New Roman" w:eastAsia="仿宋_GB2312"/>
          <w:sz w:val="32"/>
          <w:szCs w:val="32"/>
        </w:rPr>
        <w:t>200</w:t>
      </w:r>
      <w:r>
        <w:rPr>
          <w:rFonts w:ascii="Times New Roman" w:hAnsi="仿宋_GB2312" w:eastAsia="仿宋_GB2312"/>
          <w:sz w:val="32"/>
          <w:szCs w:val="32"/>
        </w:rPr>
        <w:t>万元以上的大型设备）。</w:t>
      </w:r>
    </w:p>
    <w:p w14:paraId="551C2CB9">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2025</w:t>
      </w:r>
      <w:r>
        <w:rPr>
          <w:rFonts w:ascii="Times New Roman" w:hAnsi="仿宋_GB2312" w:eastAsia="仿宋_GB2312"/>
          <w:sz w:val="32"/>
          <w:szCs w:val="32"/>
        </w:rPr>
        <w:t>年部门预算安排车辆购置经费</w:t>
      </w:r>
      <w:r>
        <w:rPr>
          <w:rFonts w:ascii="Times New Roman" w:hAnsi="Times New Roman" w:eastAsia="仿宋_GB2312"/>
          <w:sz w:val="32"/>
          <w:szCs w:val="32"/>
        </w:rPr>
        <w:t>0</w:t>
      </w:r>
      <w:r>
        <w:rPr>
          <w:rFonts w:ascii="Times New Roman" w:hAnsi="仿宋_GB2312" w:eastAsia="仿宋_GB2312"/>
          <w:sz w:val="32"/>
          <w:szCs w:val="32"/>
        </w:rPr>
        <w:t>万元。安排大型设备购置经费</w:t>
      </w:r>
      <w:r>
        <w:rPr>
          <w:rFonts w:ascii="Times New Roman" w:hAnsi="Times New Roman" w:eastAsia="仿宋_GB2312"/>
          <w:sz w:val="32"/>
          <w:szCs w:val="32"/>
        </w:rPr>
        <w:t>0</w:t>
      </w:r>
      <w:r>
        <w:rPr>
          <w:rFonts w:ascii="Times New Roman" w:hAnsi="仿宋_GB2312" w:eastAsia="仿宋_GB2312"/>
          <w:sz w:val="32"/>
          <w:szCs w:val="32"/>
        </w:rPr>
        <w:t>万元（或</w:t>
      </w:r>
      <w:r>
        <w:rPr>
          <w:rFonts w:ascii="Times New Roman" w:hAnsi="Times New Roman" w:eastAsia="仿宋_GB2312"/>
          <w:sz w:val="32"/>
          <w:szCs w:val="32"/>
        </w:rPr>
        <w:t>2024</w:t>
      </w:r>
      <w:r>
        <w:rPr>
          <w:rFonts w:ascii="Times New Roman" w:hAnsi="仿宋_GB2312" w:eastAsia="仿宋_GB2312"/>
          <w:sz w:val="32"/>
          <w:szCs w:val="32"/>
        </w:rPr>
        <w:t>年部门预算未安排购置车辆及单位价值</w:t>
      </w:r>
      <w:r>
        <w:rPr>
          <w:rFonts w:ascii="Times New Roman" w:hAnsi="Times New Roman" w:eastAsia="仿宋_GB2312"/>
          <w:sz w:val="32"/>
          <w:szCs w:val="32"/>
        </w:rPr>
        <w:t>200</w:t>
      </w:r>
      <w:r>
        <w:rPr>
          <w:rFonts w:ascii="Times New Roman" w:hAnsi="仿宋_GB2312" w:eastAsia="仿宋_GB2312"/>
          <w:sz w:val="32"/>
          <w:szCs w:val="32"/>
        </w:rPr>
        <w:t>万元以上大型设备）。</w:t>
      </w:r>
    </w:p>
    <w:p w14:paraId="300594BA">
      <w:pPr>
        <w:spacing w:line="576"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（四）绩效目标设置情况</w:t>
      </w:r>
    </w:p>
    <w:p w14:paraId="57960770">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2025年区商务和经济合作局开展绩效目标管理的项目10个，涉及预算198.25万元。其中：人员类项目3个，涉及预算36.25万元；运转类项目3个，涉及预算67万元；特定目标类项目4个，涉及预算95万元。因部分项目内容涉密，不予公开。</w:t>
      </w:r>
    </w:p>
    <w:p w14:paraId="35CBAF15">
      <w:pPr>
        <w:spacing w:line="576" w:lineRule="exact"/>
        <w:ind w:firstLine="640" w:firstLineChars="200"/>
        <w:outlineLvl w:val="0"/>
        <w:rPr>
          <w:rFonts w:ascii="Times New Roman" w:hAnsi="Times New Roman" w:eastAsia="黑体"/>
          <w:sz w:val="32"/>
          <w:szCs w:val="32"/>
        </w:rPr>
      </w:pPr>
      <w:r>
        <w:rPr>
          <w:rFonts w:ascii="Times New Roman" w:hAnsi="黑体" w:eastAsia="黑体"/>
          <w:sz w:val="32"/>
          <w:szCs w:val="32"/>
        </w:rPr>
        <w:t>十一、名词解释</w:t>
      </w:r>
    </w:p>
    <w:p w14:paraId="23711F5B">
      <w:pPr>
        <w:spacing w:line="576"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（一）财政拨款收入</w:t>
      </w:r>
      <w:r>
        <w:rPr>
          <w:rFonts w:ascii="Times New Roman" w:hAnsi="Times New Roman" w:eastAsia="楷体_GB2312"/>
          <w:sz w:val="32"/>
          <w:szCs w:val="32"/>
        </w:rPr>
        <w:t>:</w:t>
      </w:r>
      <w:r>
        <w:rPr>
          <w:rFonts w:ascii="Times New Roman" w:hAnsi="仿宋_GB2312" w:eastAsia="仿宋_GB2312"/>
          <w:sz w:val="32"/>
          <w:szCs w:val="32"/>
        </w:rPr>
        <w:t>指</w:t>
      </w:r>
      <w:r>
        <w:rPr>
          <w:rFonts w:ascii="Times New Roman" w:hAnsi="仿宋_GB2312" w:eastAsia="仿宋_GB2312"/>
          <w:sz w:val="32"/>
          <w:szCs w:val="32"/>
          <w:highlight w:val="none"/>
        </w:rPr>
        <w:t>财政</w:t>
      </w:r>
      <w:r>
        <w:rPr>
          <w:rFonts w:ascii="Times New Roman" w:hAnsi="仿宋_GB2312" w:eastAsia="仿宋_GB2312"/>
          <w:sz w:val="32"/>
          <w:szCs w:val="32"/>
        </w:rPr>
        <w:t>当年安排的财政预算收入。按现行管理制度</w:t>
      </w:r>
      <w:r>
        <w:rPr>
          <w:rFonts w:ascii="Times New Roman" w:hAnsi="Times New Roman" w:eastAsia="仿宋_GB2312"/>
          <w:sz w:val="32"/>
          <w:szCs w:val="32"/>
        </w:rPr>
        <w:t>,</w:t>
      </w:r>
      <w:r>
        <w:rPr>
          <w:rFonts w:ascii="Times New Roman" w:hAnsi="仿宋_GB2312" w:eastAsia="仿宋_GB2312"/>
          <w:sz w:val="32"/>
          <w:szCs w:val="32"/>
        </w:rPr>
        <w:t>部门预算中反映的财政拨款包括一般公共预算拨款和政府性基金预算拨款。</w:t>
      </w:r>
    </w:p>
    <w:p w14:paraId="0FBD36E8">
      <w:pPr>
        <w:spacing w:line="576" w:lineRule="exact"/>
        <w:ind w:firstLine="640" w:firstLineChars="200"/>
        <w:rPr>
          <w:rFonts w:ascii="Times New Roman" w:hAnsi="Times New Roman" w:eastAsia="仿宋_GB2312"/>
          <w:color w:val="333333"/>
          <w:kern w:val="0"/>
          <w:sz w:val="32"/>
          <w:szCs w:val="32"/>
          <w:shd w:val="clear" w:color="auto" w:fill="FFFFFF"/>
        </w:rPr>
      </w:pPr>
      <w:r>
        <w:rPr>
          <w:rFonts w:ascii="Times New Roman" w:hAnsi="楷体_GB2312" w:eastAsia="楷体_GB2312"/>
          <w:sz w:val="32"/>
          <w:szCs w:val="32"/>
        </w:rPr>
        <w:t>（二）一般公共服务（类）商贸事务（款）行政运行（项）</w:t>
      </w:r>
      <w:r>
        <w:rPr>
          <w:rFonts w:ascii="Times New Roman" w:hAnsi="Times New Roman" w:eastAsia="仿宋_GB2312"/>
          <w:color w:val="333333"/>
          <w:kern w:val="0"/>
          <w:sz w:val="32"/>
          <w:szCs w:val="32"/>
          <w:shd w:val="clear" w:color="auto" w:fill="FFFFFF"/>
        </w:rPr>
        <w:t>：指局机关单位正常运转的基本支出，包括基本工资、津贴补贴等人员经费以及办公费、印刷费、水电费等日常公用经费及履行部门职责所发生的费用,保障部门正常运转。</w:t>
      </w:r>
    </w:p>
    <w:p w14:paraId="48CBB581">
      <w:pPr>
        <w:spacing w:line="576"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（三）</w:t>
      </w:r>
      <w:r>
        <w:rPr>
          <w:rFonts w:ascii="Times New Roman" w:hAnsi="仿宋_GB2312" w:eastAsia="仿宋_GB2312"/>
          <w:sz w:val="32"/>
          <w:szCs w:val="32"/>
        </w:rPr>
        <w:t>一般公共服务（类）</w:t>
      </w:r>
      <w:r>
        <w:rPr>
          <w:rFonts w:ascii="Times New Roman" w:hAnsi="Times New Roman" w:eastAsia="仿宋_GB2312"/>
          <w:color w:val="333333"/>
          <w:kern w:val="0"/>
          <w:sz w:val="32"/>
          <w:szCs w:val="32"/>
          <w:shd w:val="clear" w:color="auto" w:fill="FFFFFF"/>
        </w:rPr>
        <w:t>商贸事务</w:t>
      </w:r>
      <w:r>
        <w:rPr>
          <w:rFonts w:ascii="Times New Roman" w:hAnsi="仿宋_GB2312" w:eastAsia="仿宋_GB2312"/>
          <w:sz w:val="32"/>
          <w:szCs w:val="32"/>
        </w:rPr>
        <w:t>（款）其他商贸事务支出（项）：指点商贸服务业企业统计基础规范化建设工作支出。</w:t>
      </w:r>
    </w:p>
    <w:p w14:paraId="07557C59">
      <w:pPr>
        <w:spacing w:line="576"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（四）</w:t>
      </w:r>
      <w:r>
        <w:rPr>
          <w:rFonts w:ascii="Times New Roman" w:hAnsi="Times New Roman" w:eastAsia="仿宋_GB2312"/>
          <w:color w:val="333333"/>
          <w:kern w:val="0"/>
          <w:sz w:val="32"/>
          <w:szCs w:val="32"/>
          <w:shd w:val="clear" w:color="auto" w:fill="FFFFFF"/>
        </w:rPr>
        <w:t>一般公共服务（类）商贸事务（款）招商引资（项）：指招商引资工作经费。</w:t>
      </w:r>
    </w:p>
    <w:p w14:paraId="49823CF7">
      <w:pPr>
        <w:spacing w:line="576"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（四）</w:t>
      </w:r>
      <w:r>
        <w:rPr>
          <w:rFonts w:ascii="Times New Roman" w:hAnsi="仿宋_GB2312" w:eastAsia="仿宋_GB2312"/>
          <w:color w:val="333333"/>
          <w:kern w:val="0"/>
          <w:sz w:val="32"/>
          <w:szCs w:val="32"/>
          <w:shd w:val="clear" w:color="auto" w:fill="FFFFFF"/>
        </w:rPr>
        <w:t>社会保障和就业（类）行政事业单位养老支出（款）机关事业单位基本养老保险缴费支出（项）：指实施养老保险制度由单位缴纳的基本养老保险支出。</w:t>
      </w:r>
    </w:p>
    <w:p w14:paraId="784C7942">
      <w:pPr>
        <w:spacing w:line="576"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（五）</w:t>
      </w:r>
      <w:r>
        <w:rPr>
          <w:rFonts w:ascii="Times New Roman" w:hAnsi="Times New Roman" w:eastAsia="仿宋_GB2312"/>
          <w:color w:val="333333"/>
          <w:kern w:val="0"/>
          <w:sz w:val="32"/>
          <w:szCs w:val="32"/>
          <w:shd w:val="clear" w:color="auto" w:fill="FFFFFF"/>
        </w:rPr>
        <w:t>社会保障和就业（类）其他社会保障和就业支出（款）：指其他社会保障支出。</w:t>
      </w:r>
    </w:p>
    <w:p w14:paraId="4042123C">
      <w:pPr>
        <w:spacing w:line="576" w:lineRule="exact"/>
        <w:ind w:firstLine="640" w:firstLineChars="200"/>
        <w:rPr>
          <w:rFonts w:ascii="Times New Roman" w:hAnsi="Times New Roman" w:eastAsia="仿宋_GB2312"/>
          <w:color w:val="333333"/>
          <w:kern w:val="0"/>
          <w:sz w:val="32"/>
          <w:szCs w:val="32"/>
          <w:shd w:val="clear" w:color="auto" w:fill="FFFFFF"/>
        </w:rPr>
      </w:pPr>
      <w:r>
        <w:rPr>
          <w:rFonts w:ascii="Times New Roman" w:hAnsi="楷体_GB2312" w:eastAsia="楷体_GB2312"/>
          <w:sz w:val="32"/>
          <w:szCs w:val="32"/>
        </w:rPr>
        <w:t>（六）</w:t>
      </w:r>
      <w:r>
        <w:rPr>
          <w:rFonts w:ascii="Times New Roman" w:hAnsi="Times New Roman" w:eastAsia="仿宋_GB2312"/>
          <w:color w:val="333333"/>
          <w:kern w:val="0"/>
          <w:sz w:val="32"/>
          <w:szCs w:val="32"/>
          <w:shd w:val="clear" w:color="auto" w:fill="FFFFFF"/>
        </w:rPr>
        <w:t>卫生健康（类）行政事业单位医疗（款）行政单位医疗（项）：指机关及参公管理事业单位按规定由单位缴纳的基本医疗保险支出。</w:t>
      </w:r>
    </w:p>
    <w:p w14:paraId="4FF3BBEF">
      <w:pPr>
        <w:pStyle w:val="4"/>
        <w:spacing w:line="576" w:lineRule="exact"/>
        <w:ind w:firstLine="640"/>
        <w:rPr>
          <w:rFonts w:ascii="Times New Roman" w:hAnsi="Times New Roman" w:eastAsia="仿宋_GB2312"/>
          <w:sz w:val="32"/>
          <w:szCs w:val="32"/>
        </w:rPr>
      </w:pPr>
      <w:r>
        <w:rPr>
          <w:rFonts w:ascii="Times New Roman" w:hAnsi="楷体_GB2312" w:eastAsia="楷体_GB2312"/>
          <w:sz w:val="32"/>
          <w:szCs w:val="32"/>
        </w:rPr>
        <w:t>（七）</w:t>
      </w:r>
      <w:r>
        <w:rPr>
          <w:rFonts w:ascii="Times New Roman" w:hAnsi="Times New Roman" w:eastAsia="仿宋_GB2312"/>
          <w:color w:val="333333"/>
          <w:kern w:val="0"/>
          <w:sz w:val="32"/>
          <w:szCs w:val="32"/>
          <w:shd w:val="clear" w:color="auto" w:fill="FFFFFF"/>
        </w:rPr>
        <w:t>卫生健康（类）行政事业单位医疗（款）事业单位医疗（项）：</w:t>
      </w:r>
      <w:r>
        <w:rPr>
          <w:rFonts w:ascii="Times New Roman" w:hAnsi="仿宋_GB2312" w:eastAsia="仿宋_GB2312"/>
          <w:sz w:val="32"/>
          <w:szCs w:val="32"/>
        </w:rPr>
        <w:t>事业单位按规定由单位缴纳的基本医疗保险支出。</w:t>
      </w:r>
    </w:p>
    <w:p w14:paraId="457565BF">
      <w:pPr>
        <w:pStyle w:val="4"/>
        <w:spacing w:line="576" w:lineRule="exact"/>
        <w:ind w:firstLine="640"/>
        <w:rPr>
          <w:rFonts w:ascii="Times New Roman" w:hAnsi="Times New Roman" w:eastAsia="仿宋_GB2312"/>
          <w:sz w:val="32"/>
          <w:szCs w:val="32"/>
        </w:rPr>
      </w:pPr>
      <w:r>
        <w:rPr>
          <w:rFonts w:ascii="Times New Roman" w:hAnsi="楷体_GB2312" w:eastAsia="楷体_GB2312"/>
          <w:sz w:val="32"/>
          <w:szCs w:val="32"/>
        </w:rPr>
        <w:t>（八）</w:t>
      </w:r>
      <w:r>
        <w:rPr>
          <w:rFonts w:ascii="Times New Roman" w:hAnsi="Times New Roman" w:eastAsia="仿宋_GB2312"/>
          <w:color w:val="333333"/>
          <w:kern w:val="0"/>
          <w:sz w:val="32"/>
          <w:szCs w:val="32"/>
          <w:shd w:val="clear" w:color="auto" w:fill="FFFFFF"/>
        </w:rPr>
        <w:t>住房保障（类）住房改革支出（款）住房公积金（项）：指部门按规定为职工缴纳的住房公积金支出。</w:t>
      </w:r>
    </w:p>
    <w:p w14:paraId="13523573">
      <w:pPr>
        <w:spacing w:line="576"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（九）基本支出：</w:t>
      </w:r>
      <w:r>
        <w:rPr>
          <w:rFonts w:ascii="Times New Roman" w:hAnsi="仿宋_GB2312" w:eastAsia="仿宋_GB2312"/>
          <w:sz w:val="32"/>
          <w:szCs w:val="32"/>
        </w:rPr>
        <w:t>指为保证机构正常运转，完成日常工作任务而发生的人员支出和公用支出。</w:t>
      </w:r>
    </w:p>
    <w:p w14:paraId="5598B369">
      <w:pPr>
        <w:spacing w:line="576"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（十）项目支出：</w:t>
      </w:r>
      <w:r>
        <w:rPr>
          <w:rFonts w:ascii="Times New Roman" w:hAnsi="仿宋_GB2312" w:eastAsia="仿宋_GB2312"/>
          <w:sz w:val="32"/>
          <w:szCs w:val="32"/>
        </w:rPr>
        <w:t>指在基本支出之外为完成特定行政任务和事业发展目标所发生的支出。</w:t>
      </w:r>
    </w:p>
    <w:p w14:paraId="05A5C746">
      <w:pPr>
        <w:spacing w:line="576"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（十一）</w:t>
      </w:r>
      <w:r>
        <w:rPr>
          <w:rFonts w:ascii="Times New Roman" w:hAnsi="Times New Roman" w:eastAsia="楷体_GB2312"/>
          <w:sz w:val="32"/>
          <w:szCs w:val="32"/>
        </w:rPr>
        <w:t>“</w:t>
      </w:r>
      <w:r>
        <w:rPr>
          <w:rFonts w:ascii="Times New Roman" w:hAnsi="楷体_GB2312" w:eastAsia="楷体_GB2312"/>
          <w:sz w:val="32"/>
          <w:szCs w:val="32"/>
        </w:rPr>
        <w:t>三公</w:t>
      </w:r>
      <w:r>
        <w:rPr>
          <w:rFonts w:ascii="Times New Roman" w:hAnsi="Times New Roman" w:eastAsia="楷体_GB2312"/>
          <w:sz w:val="32"/>
          <w:szCs w:val="32"/>
        </w:rPr>
        <w:t>”</w:t>
      </w:r>
      <w:r>
        <w:rPr>
          <w:rFonts w:ascii="Times New Roman" w:hAnsi="楷体_GB2312" w:eastAsia="楷体_GB2312"/>
          <w:sz w:val="32"/>
          <w:szCs w:val="32"/>
        </w:rPr>
        <w:t>经费：</w:t>
      </w:r>
      <w:r>
        <w:rPr>
          <w:rFonts w:ascii="Times New Roman" w:hAnsi="仿宋_GB2312" w:eastAsia="仿宋_GB2312"/>
          <w:sz w:val="32"/>
          <w:szCs w:val="32"/>
        </w:rPr>
        <w:t>纳入市级财政预算管理的</w:t>
      </w:r>
      <w:r>
        <w:rPr>
          <w:rFonts w:ascii="Times New Roman" w:hAnsi="Times New Roman" w:eastAsia="仿宋_GB2312"/>
          <w:sz w:val="32"/>
          <w:szCs w:val="32"/>
        </w:rPr>
        <w:t>“</w:t>
      </w:r>
      <w:r>
        <w:rPr>
          <w:rFonts w:ascii="Times New Roman" w:hAnsi="仿宋_GB2312" w:eastAsia="仿宋_GB2312"/>
          <w:sz w:val="32"/>
          <w:szCs w:val="32"/>
        </w:rPr>
        <w:t>三公</w:t>
      </w:r>
      <w:r>
        <w:rPr>
          <w:rFonts w:ascii="Times New Roman" w:hAnsi="Times New Roman" w:eastAsia="仿宋_GB2312"/>
          <w:sz w:val="32"/>
          <w:szCs w:val="32"/>
        </w:rPr>
        <w:t>”</w:t>
      </w:r>
      <w:r>
        <w:rPr>
          <w:rFonts w:ascii="Times New Roman" w:hAnsi="仿宋_GB2312" w:eastAsia="仿宋_GB2312"/>
          <w:sz w:val="32"/>
          <w:szCs w:val="32"/>
        </w:rPr>
        <w:t>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89955E9">
      <w:pPr>
        <w:spacing w:line="576"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（十二）机关运行经费：</w:t>
      </w:r>
      <w:r>
        <w:rPr>
          <w:rFonts w:ascii="Times New Roman" w:hAnsi="仿宋_GB2312" w:eastAsia="仿宋_GB2312"/>
          <w:sz w:val="32"/>
          <w:szCs w:val="32"/>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505AF07F">
      <w:pPr>
        <w:spacing w:line="576" w:lineRule="exact"/>
        <w:ind w:firstLine="640" w:firstLineChars="200"/>
        <w:rPr>
          <w:rFonts w:ascii="Times New Roman" w:hAnsi="Times New Roman" w:eastAsia="仿宋_GB2312"/>
          <w:sz w:val="32"/>
          <w:szCs w:val="32"/>
        </w:rPr>
      </w:pPr>
    </w:p>
    <w:p w14:paraId="3635B925">
      <w:pPr>
        <w:spacing w:line="576"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附件：</w:t>
      </w:r>
      <w:r>
        <w:rPr>
          <w:rFonts w:ascii="Times New Roman" w:hAnsi="Times New Roman" w:eastAsia="仿宋_GB2312"/>
          <w:sz w:val="32"/>
          <w:szCs w:val="32"/>
        </w:rPr>
        <w:t>1.</w:t>
      </w:r>
      <w:r>
        <w:rPr>
          <w:rFonts w:ascii="Times New Roman" w:hAnsi="仿宋_GB2312" w:eastAsia="仿宋_GB2312"/>
          <w:sz w:val="32"/>
          <w:szCs w:val="32"/>
        </w:rPr>
        <w:t>部门预算公开表</w:t>
      </w:r>
    </w:p>
    <w:p w14:paraId="46C5A4E7">
      <w:pPr>
        <w:tabs>
          <w:tab w:val="left" w:pos="312"/>
        </w:tabs>
        <w:spacing w:line="576" w:lineRule="exact"/>
        <w:ind w:left="1600"/>
        <w:rPr>
          <w:rFonts w:ascii="Times New Roman" w:hAnsi="Times New Roman" w:eastAsia="仿宋_GB2312"/>
          <w:sz w:val="32"/>
          <w:szCs w:val="32"/>
        </w:rPr>
      </w:pPr>
      <w:r>
        <w:rPr>
          <w:rFonts w:ascii="Times New Roman" w:hAnsi="Times New Roman" w:eastAsia="仿宋_GB2312"/>
          <w:sz w:val="32"/>
          <w:szCs w:val="32"/>
        </w:rPr>
        <w:t>2.</w:t>
      </w:r>
      <w:r>
        <w:rPr>
          <w:rFonts w:ascii="Times New Roman" w:hAnsi="仿宋_GB2312" w:eastAsia="仿宋_GB2312"/>
          <w:sz w:val="32"/>
          <w:szCs w:val="32"/>
        </w:rPr>
        <w:t>项目支出绩效目标表</w:t>
      </w:r>
    </w:p>
    <w:p w14:paraId="5CF0DDBD">
      <w:pPr>
        <w:tabs>
          <w:tab w:val="left" w:pos="312"/>
        </w:tabs>
        <w:spacing w:line="576" w:lineRule="exact"/>
        <w:ind w:left="1600"/>
        <w:rPr>
          <w:rFonts w:ascii="Times New Roman" w:hAnsi="Times New Roman" w:eastAsia="仿宋_GB2312"/>
          <w:sz w:val="32"/>
          <w:szCs w:val="32"/>
        </w:rPr>
      </w:pPr>
      <w:r>
        <w:rPr>
          <w:rFonts w:ascii="Times New Roman" w:hAnsi="Times New Roman" w:eastAsia="仿宋_GB2312"/>
          <w:sz w:val="32"/>
          <w:szCs w:val="32"/>
        </w:rPr>
        <w:t>3.</w:t>
      </w:r>
      <w:r>
        <w:rPr>
          <w:rFonts w:ascii="Times New Roman" w:hAnsi="仿宋_GB2312" w:eastAsia="仿宋_GB2312"/>
          <w:sz w:val="32"/>
          <w:szCs w:val="32"/>
        </w:rPr>
        <w:t>部门整体支出绩效目标表</w:t>
      </w:r>
    </w:p>
    <w:sectPr>
      <w:footerReference r:id="rId3" w:type="default"/>
      <w:pgSz w:w="11906" w:h="16838"/>
      <w:pgMar w:top="2098" w:right="1474" w:bottom="1985" w:left="1588" w:header="720" w:footer="1559"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iberation Sans">
    <w:altName w:val="Segoe Print"/>
    <w:panose1 w:val="00000000000000000000"/>
    <w:charset w:val="00"/>
    <w:family w:val="auto"/>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2D6EE">
    <w:pPr>
      <w:pStyle w:val="7"/>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4881C49">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7FB4A4"/>
    <w:multiLevelType w:val="singleLevel"/>
    <w:tmpl w:val="FA7FB4A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w:docVars>
    <w:docVar w:name="commondata" w:val="eyJoZGlkIjoiNmIwYmQ3N2FhZmE1Yjg0OGFkNTU5NTg3M2QzNjJlMDgifQ=="/>
  </w:docVars>
  <w:rsids>
    <w:rsidRoot w:val="00000000"/>
    <w:rsid w:val="10381236"/>
    <w:rsid w:val="69DC7C5B"/>
    <w:rsid w:val="6A28749C"/>
    <w:rsid w:val="F6FE7A5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图表目录1"/>
    <w:basedOn w:val="3"/>
    <w:next w:val="1"/>
    <w:qFormat/>
    <w:uiPriority w:val="99"/>
    <w:pPr>
      <w:ind w:left="200" w:leftChars="200" w:hanging="200" w:hangingChars="200"/>
    </w:pPr>
  </w:style>
  <w:style w:type="paragraph" w:customStyle="1" w:styleId="3">
    <w:name w:val="Normal New"/>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Normal Indent"/>
    <w:basedOn w:val="1"/>
    <w:qFormat/>
    <w:uiPriority w:val="0"/>
    <w:pPr>
      <w:ind w:firstLine="420" w:firstLineChars="200"/>
    </w:pPr>
  </w:style>
  <w:style w:type="paragraph" w:styleId="5">
    <w:name w:val="caption"/>
    <w:basedOn w:val="1"/>
    <w:next w:val="1"/>
    <w:qFormat/>
    <w:uiPriority w:val="0"/>
    <w:pPr>
      <w:suppressLineNumbers/>
      <w:spacing w:before="120" w:after="120"/>
    </w:pPr>
    <w:rPr>
      <w:i/>
      <w:iCs/>
      <w:sz w:val="24"/>
    </w:rPr>
  </w:style>
  <w:style w:type="paragraph" w:styleId="6">
    <w:name w:val="Body Text"/>
    <w:basedOn w:val="1"/>
    <w:next w:val="1"/>
    <w:qFormat/>
    <w:uiPriority w:val="0"/>
    <w:pPr>
      <w:spacing w:after="140" w:line="276" w:lineRule="auto"/>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List"/>
    <w:basedOn w:val="6"/>
    <w:qFormat/>
    <w:uiPriority w:val="0"/>
  </w:style>
  <w:style w:type="paragraph" w:styleId="10">
    <w:name w:val="Normal (Web)"/>
    <w:basedOn w:val="1"/>
    <w:qFormat/>
    <w:uiPriority w:val="0"/>
    <w:rPr>
      <w:sz w:val="24"/>
    </w:rPr>
  </w:style>
  <w:style w:type="table" w:styleId="12">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默认段落字体1"/>
    <w:qFormat/>
    <w:uiPriority w:val="0"/>
  </w:style>
  <w:style w:type="paragraph" w:customStyle="1" w:styleId="15">
    <w:name w:val="Heading"/>
    <w:basedOn w:val="1"/>
    <w:next w:val="6"/>
    <w:qFormat/>
    <w:uiPriority w:val="0"/>
    <w:pPr>
      <w:keepNext/>
      <w:spacing w:before="240" w:after="120"/>
    </w:pPr>
    <w:rPr>
      <w:rFonts w:ascii="Liberation Sans" w:hAnsi="Liberation Sans" w:eastAsia="Noto Sans CJK SC Regular" w:cs="Noto Sans CJK SC Regular"/>
      <w:sz w:val="28"/>
      <w:szCs w:val="28"/>
    </w:rPr>
  </w:style>
  <w:style w:type="paragraph" w:customStyle="1" w:styleId="16">
    <w:name w:val="Index"/>
    <w:basedOn w:val="1"/>
    <w:qFormat/>
    <w:uiPriority w:val="0"/>
    <w:pPr>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5967</Words>
  <Characters>6323</Characters>
  <Lines>46</Lines>
  <Paragraphs>12</Paragraphs>
  <TotalTime>6</TotalTime>
  <ScaleCrop>false</ScaleCrop>
  <LinksUpToDate>false</LinksUpToDate>
  <CharactersWithSpaces>6346</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2025-02-11T09:02:00Z</dcterms:created>
  <dc:creator>admin</dc:creator>
  <cp:lastModifiedBy>Administrator</cp:lastModifiedBy>
  <dcterms:modified xsi:type="dcterms:W3CDTF">2025-02-14T01:01:53Z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42CA3E1A874B4943BD21482A1567E158_13</vt:lpwstr>
  </property>
  <property fmtid="{D5CDD505-2E9C-101B-9397-08002B2CF9AE}" pid="4" name="KSOTemplateDocerSaveRecord">
    <vt:lpwstr>eyJoZGlkIjoiNjE2YTY1MWU3YWY4YTJkYWRiNGQzNzViZDc2MmU4YzkiLCJ1c2VySWQiOiIyMDAzMDkwNDgifQ==</vt:lpwstr>
  </property>
</Properties>
</file>