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000" w:lineRule="exact"/>
        <w:jc w:val="center"/>
        <w:outlineLvl w:val="0"/>
        <w:rPr>
          <w:rFonts w:eastAsia="方正小标宋简体"/>
          <w:color w:val="000000" w:themeColor="text1"/>
          <w:sz w:val="72"/>
          <w:szCs w:val="72"/>
        </w:rPr>
      </w:pPr>
      <w:bookmarkStart w:id="0" w:name="_Toc15396475"/>
      <w:bookmarkStart w:id="1" w:name="_Toc15377425"/>
      <w:bookmarkStart w:id="2" w:name="_Toc15377193"/>
      <w:bookmarkStart w:id="3" w:name="_Toc15378441"/>
      <w:bookmarkStart w:id="4" w:name="_Toc15396597"/>
      <w:bookmarkStart w:id="5" w:name="_Toc15306267"/>
      <w:bookmarkStart w:id="6" w:name="_Toc15378442"/>
      <w:bookmarkStart w:id="7" w:name="_Toc15396598"/>
      <w:bookmarkStart w:id="8" w:name="_Toc15377426"/>
      <w:bookmarkStart w:id="9" w:name="_Toc15377194"/>
      <w:bookmarkStart w:id="10" w:name="_Toc15396476"/>
    </w:p>
    <w:p>
      <w:pPr>
        <w:adjustRightInd w:val="0"/>
        <w:snapToGrid w:val="0"/>
        <w:spacing w:line="2000" w:lineRule="exact"/>
        <w:jc w:val="center"/>
        <w:rPr>
          <w:rFonts w:eastAsia="方正小标宋简体"/>
          <w:color w:val="000000" w:themeColor="text1"/>
          <w:sz w:val="72"/>
          <w:szCs w:val="72"/>
        </w:rPr>
      </w:pPr>
      <w:r>
        <w:rPr>
          <w:rFonts w:eastAsia="方正小标宋简体"/>
          <w:color w:val="000000" w:themeColor="text1"/>
          <w:sz w:val="72"/>
          <w:szCs w:val="72"/>
        </w:rPr>
        <w:t>2022</w:t>
      </w:r>
      <w:r>
        <w:rPr>
          <w:rFonts w:hAnsi="方正小标宋简体" w:eastAsia="方正小标宋简体"/>
          <w:color w:val="000000" w:themeColor="text1"/>
          <w:sz w:val="72"/>
          <w:szCs w:val="72"/>
        </w:rPr>
        <w:t>年度</w:t>
      </w:r>
      <w:bookmarkEnd w:id="0"/>
      <w:bookmarkEnd w:id="1"/>
      <w:bookmarkEnd w:id="2"/>
      <w:bookmarkEnd w:id="3"/>
      <w:bookmarkEnd w:id="4"/>
    </w:p>
    <w:p>
      <w:pPr>
        <w:adjustRightInd w:val="0"/>
        <w:snapToGrid w:val="0"/>
        <w:spacing w:line="2000" w:lineRule="exact"/>
        <w:jc w:val="center"/>
        <w:rPr>
          <w:rFonts w:eastAsia="方正小标宋简体"/>
          <w:color w:val="000000" w:themeColor="text1"/>
          <w:sz w:val="72"/>
          <w:szCs w:val="72"/>
        </w:rPr>
      </w:pPr>
      <w:r>
        <w:rPr>
          <w:rFonts w:hAnsi="方正小标宋简体" w:eastAsia="方正小标宋简体"/>
          <w:color w:val="000000" w:themeColor="text1"/>
          <w:sz w:val="72"/>
          <w:szCs w:val="72"/>
        </w:rPr>
        <w:t>四川省广元市昭化区商务和经济合作局部门</w:t>
      </w:r>
      <w:bookmarkEnd w:id="5"/>
      <w:bookmarkStart w:id="11" w:name="_Toc15306268"/>
      <w:r>
        <w:rPr>
          <w:rFonts w:hAnsi="方正小标宋简体" w:eastAsia="方正小标宋简体"/>
          <w:color w:val="000000" w:themeColor="text1"/>
          <w:sz w:val="72"/>
          <w:szCs w:val="72"/>
        </w:rPr>
        <w:t>决算</w:t>
      </w:r>
      <w:bookmarkEnd w:id="6"/>
      <w:bookmarkEnd w:id="7"/>
      <w:bookmarkEnd w:id="8"/>
      <w:bookmarkEnd w:id="9"/>
      <w:bookmarkEnd w:id="10"/>
      <w:bookmarkEnd w:id="11"/>
    </w:p>
    <w:p>
      <w:pPr>
        <w:widowControl/>
        <w:spacing w:line="560" w:lineRule="exact"/>
        <w:jc w:val="center"/>
        <w:rPr>
          <w:rFonts w:eastAsia="方正小标宋简体"/>
          <w:color w:val="000000" w:themeColor="text1"/>
          <w:sz w:val="36"/>
          <w:szCs w:val="36"/>
        </w:rPr>
      </w:pPr>
    </w:p>
    <w:p>
      <w:pPr>
        <w:widowControl/>
        <w:jc w:val="left"/>
        <w:rPr>
          <w:rFonts w:eastAsia="方正小标宋简体"/>
          <w:color w:val="000000" w:themeColor="text1"/>
          <w:sz w:val="36"/>
          <w:szCs w:val="36"/>
        </w:rPr>
      </w:pPr>
      <w:r>
        <w:rPr>
          <w:rFonts w:eastAsia="方正小标宋简体"/>
          <w:color w:val="000000" w:themeColor="text1"/>
          <w:sz w:val="36"/>
          <w:szCs w:val="36"/>
        </w:rPr>
        <w:br w:type="page"/>
      </w:r>
      <w:r>
        <w:rPr>
          <w:rFonts w:eastAsia="方正小标宋简体"/>
          <w:color w:val="000000" w:themeColor="text1"/>
          <w:sz w:val="36"/>
          <w:szCs w:val="36"/>
        </w:rPr>
        <w:br w:type="page"/>
      </w:r>
    </w:p>
    <w:sdt>
      <w:sdtPr>
        <w:rPr>
          <w:color w:val="000000" w:themeColor="text1"/>
          <w:lang w:val="zh-CN"/>
        </w:rPr>
        <w:id w:val="22855619"/>
        <w:docPartObj>
          <w:docPartGallery w:val="Table of Contents"/>
          <w:docPartUnique/>
        </w:docPartObj>
      </w:sdtPr>
      <w:sdtEndPr>
        <w:rPr>
          <w:rFonts w:ascii="Times New Roman" w:hAnsi="Times New Roman" w:eastAsia="宋体" w:cs="Times New Roman"/>
          <w:b w:val="0"/>
          <w:bCs w:val="0"/>
          <w:color w:val="000000" w:themeColor="text1"/>
          <w:kern w:val="2"/>
          <w:sz w:val="21"/>
          <w:szCs w:val="24"/>
          <w:lang w:val="en-US"/>
        </w:rPr>
      </w:sdtEndPr>
      <w:sdtContent>
        <w:p>
          <w:pPr>
            <w:pStyle w:val="40"/>
            <w:spacing w:before="0" w:line="576" w:lineRule="exact"/>
            <w:jc w:val="center"/>
            <w:rPr>
              <w:rFonts w:hint="eastAsia" w:ascii="方正小标宋_GBK" w:eastAsia="方正小标宋_GBK"/>
              <w:color w:val="000000" w:themeColor="text1"/>
              <w:sz w:val="44"/>
              <w:szCs w:val="44"/>
            </w:rPr>
          </w:pPr>
          <w:r>
            <w:rPr>
              <w:rFonts w:hint="eastAsia" w:ascii="方正小标宋_GBK" w:eastAsia="方正小标宋_GBK"/>
              <w:color w:val="000000" w:themeColor="text1"/>
              <w:sz w:val="44"/>
              <w:szCs w:val="44"/>
              <w:lang w:val="zh-CN"/>
            </w:rPr>
            <w:t>目　　录</w:t>
          </w:r>
        </w:p>
        <w:p>
          <w:pPr>
            <w:pStyle w:val="11"/>
            <w:spacing w:before="0" w:line="576" w:lineRule="exact"/>
            <w:rPr>
              <w:rFonts w:hint="eastAsia" w:ascii="楷体_GB2312" w:eastAsia="楷体_GB2312"/>
              <w:color w:val="000000" w:themeColor="text1"/>
              <w:sz w:val="32"/>
              <w:szCs w:val="32"/>
            </w:rPr>
          </w:pPr>
        </w:p>
        <w:p>
          <w:pPr>
            <w:pStyle w:val="11"/>
            <w:spacing w:before="0" w:line="576" w:lineRule="exact"/>
            <w:jc w:val="distribute"/>
            <w:rPr>
              <w:rFonts w:ascii="Times New Roman" w:hAnsi="Times New Roman" w:eastAsia="楷体_GB2312"/>
              <w:color w:val="000000" w:themeColor="text1"/>
              <w:sz w:val="32"/>
              <w:szCs w:val="32"/>
            </w:rPr>
          </w:pPr>
          <w:r>
            <w:rPr>
              <w:rFonts w:hint="eastAsia" w:ascii="楷体_GB2312" w:eastAsia="楷体_GB2312"/>
              <w:color w:val="000000" w:themeColor="text1"/>
              <w:sz w:val="32"/>
              <w:szCs w:val="32"/>
            </w:rPr>
            <w:fldChar w:fldCharType="begin"/>
          </w:r>
          <w:r>
            <w:rPr>
              <w:rFonts w:hint="eastAsia" w:ascii="楷体_GB2312" w:eastAsia="楷体_GB2312"/>
              <w:color w:val="000000" w:themeColor="text1"/>
              <w:sz w:val="32"/>
              <w:szCs w:val="32"/>
            </w:rPr>
            <w:instrText xml:space="preserve"> TOC \o "1-3" \h \z \u </w:instrText>
          </w:r>
          <w:r>
            <w:rPr>
              <w:rFonts w:hint="eastAsia" w:ascii="楷体_GB2312" w:eastAsia="楷体_GB2312"/>
              <w:color w:val="000000" w:themeColor="text1"/>
              <w:sz w:val="32"/>
              <w:szCs w:val="32"/>
            </w:rPr>
            <w:fldChar w:fldCharType="separate"/>
          </w:r>
          <w:r>
            <w:fldChar w:fldCharType="begin"/>
          </w:r>
          <w:r>
            <w:instrText xml:space="preserve"> HYPERLINK \l "_Toc146632952" </w:instrText>
          </w:r>
          <w:r>
            <w:fldChar w:fldCharType="separate"/>
          </w:r>
          <w:r>
            <w:rPr>
              <w:rStyle w:val="18"/>
              <w:rFonts w:ascii="Times New Roman" w:hAnsi="黑体" w:eastAsia="黑体"/>
              <w:color w:val="000000" w:themeColor="text1"/>
              <w:sz w:val="32"/>
              <w:szCs w:val="32"/>
            </w:rPr>
            <w:t>第一部分</w:t>
          </w:r>
          <w:r>
            <w:rPr>
              <w:rStyle w:val="18"/>
              <w:rFonts w:hint="eastAsia" w:ascii="Times New Roman" w:hAnsi="黑体" w:eastAsia="黑体"/>
              <w:color w:val="000000" w:themeColor="text1"/>
              <w:sz w:val="32"/>
              <w:szCs w:val="32"/>
            </w:rPr>
            <w:t>　</w:t>
          </w:r>
          <w:r>
            <w:rPr>
              <w:rStyle w:val="18"/>
              <w:rFonts w:ascii="Times New Roman" w:hAnsi="黑体" w:eastAsia="黑体"/>
              <w:color w:val="000000" w:themeColor="text1"/>
              <w:sz w:val="32"/>
              <w:szCs w:val="32"/>
            </w:rPr>
            <w:t>部门概况</w:t>
          </w:r>
          <w:r>
            <w:rPr>
              <w:rFonts w:ascii="Times New Roman" w:hAnsi="Times New Roman" w:eastAsia="楷体_GB2312"/>
              <w:color w:val="000000" w:themeColor="text1"/>
              <w:sz w:val="32"/>
              <w:szCs w:val="32"/>
            </w:rPr>
            <w:tab/>
          </w:r>
          <w:r>
            <w:rPr>
              <w:rFonts w:ascii="Times New Roman" w:hAnsi="Times New Roman" w:eastAsia="楷体_GB2312"/>
              <w:color w:val="000000" w:themeColor="text1"/>
              <w:sz w:val="32"/>
              <w:szCs w:val="32"/>
            </w:rPr>
            <w:fldChar w:fldCharType="begin"/>
          </w:r>
          <w:r>
            <w:rPr>
              <w:rFonts w:ascii="Times New Roman" w:hAnsi="Times New Roman" w:eastAsia="楷体_GB2312"/>
              <w:color w:val="000000" w:themeColor="text1"/>
              <w:sz w:val="32"/>
              <w:szCs w:val="32"/>
            </w:rPr>
            <w:instrText xml:space="preserve"> PAGEREF _Toc146632952 \h </w:instrText>
          </w:r>
          <w:r>
            <w:rPr>
              <w:rFonts w:ascii="Times New Roman" w:hAnsi="Times New Roman" w:eastAsia="楷体_GB2312"/>
              <w:color w:val="000000" w:themeColor="text1"/>
              <w:sz w:val="32"/>
              <w:szCs w:val="32"/>
            </w:rPr>
            <w:fldChar w:fldCharType="separate"/>
          </w:r>
          <w:r>
            <w:rPr>
              <w:rFonts w:ascii="Times New Roman" w:hAnsi="Times New Roman" w:eastAsia="楷体_GB2312"/>
              <w:color w:val="000000" w:themeColor="text1"/>
              <w:sz w:val="32"/>
              <w:szCs w:val="32"/>
            </w:rPr>
            <w:t>1</w:t>
          </w:r>
          <w:r>
            <w:rPr>
              <w:rFonts w:ascii="Times New Roman" w:hAnsi="Times New Roman" w:eastAsia="楷体_GB2312"/>
              <w:color w:val="000000" w:themeColor="text1"/>
              <w:sz w:val="32"/>
              <w:szCs w:val="32"/>
            </w:rPr>
            <w:fldChar w:fldCharType="end"/>
          </w:r>
          <w:r>
            <w:rPr>
              <w:rFonts w:ascii="Times New Roman" w:hAnsi="Times New Roman" w:eastAsia="楷体_GB2312"/>
              <w:color w:val="000000" w:themeColor="text1"/>
              <w:sz w:val="32"/>
              <w:szCs w:val="32"/>
            </w:rPr>
            <w:fldChar w:fldCharType="end"/>
          </w:r>
        </w:p>
        <w:p>
          <w:pPr>
            <w:pStyle w:val="12"/>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"_Toc146632953" </w:instrText>
          </w:r>
          <w:r>
            <w:fldChar w:fldCharType="separate"/>
          </w:r>
          <w:r>
            <w:rPr>
              <w:rStyle w:val="18"/>
              <w:rFonts w:eastAsia="楷体_GB2312"/>
              <w:color w:val="000000" w:themeColor="text1"/>
              <w:sz w:val="32"/>
              <w:szCs w:val="32"/>
            </w:rPr>
            <w:t>一、部门职责</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_Toc146632953 \h </w:instrText>
          </w:r>
          <w:r>
            <w:rPr>
              <w:rFonts w:eastAsia="楷体_GB2312"/>
              <w:color w:val="000000" w:themeColor="text1"/>
              <w:sz w:val="32"/>
              <w:szCs w:val="32"/>
            </w:rPr>
            <w:fldChar w:fldCharType="separate"/>
          </w:r>
          <w:r>
            <w:rPr>
              <w:rFonts w:eastAsia="楷体_GB2312"/>
              <w:color w:val="000000" w:themeColor="text1"/>
              <w:sz w:val="32"/>
              <w:szCs w:val="32"/>
            </w:rPr>
            <w:t>1</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"_Toc146632954" </w:instrText>
          </w:r>
          <w:r>
            <w:fldChar w:fldCharType="separate"/>
          </w:r>
          <w:r>
            <w:rPr>
              <w:rStyle w:val="18"/>
              <w:rFonts w:eastAsia="楷体_GB2312"/>
              <w:color w:val="000000" w:themeColor="text1"/>
              <w:sz w:val="32"/>
              <w:szCs w:val="32"/>
            </w:rPr>
            <w:t>二、机构设置</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_Toc146632954 \h </w:instrText>
          </w:r>
          <w:r>
            <w:rPr>
              <w:rFonts w:eastAsia="楷体_GB2312"/>
              <w:color w:val="000000" w:themeColor="text1"/>
              <w:sz w:val="32"/>
              <w:szCs w:val="32"/>
            </w:rPr>
            <w:fldChar w:fldCharType="separate"/>
          </w:r>
          <w:r>
            <w:rPr>
              <w:rFonts w:eastAsia="楷体_GB2312"/>
              <w:color w:val="000000" w:themeColor="text1"/>
              <w:sz w:val="32"/>
              <w:szCs w:val="32"/>
            </w:rPr>
            <w:t>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1"/>
            <w:spacing w:before="0" w:line="576" w:lineRule="exact"/>
            <w:jc w:val="distribute"/>
            <w:rPr>
              <w:rFonts w:ascii="Times New Roman" w:hAnsi="Times New Roman" w:eastAsia="楷体_GB2312"/>
              <w:color w:val="000000" w:themeColor="text1"/>
              <w:sz w:val="32"/>
              <w:szCs w:val="32"/>
            </w:rPr>
          </w:pPr>
          <w:r>
            <w:fldChar w:fldCharType="begin"/>
          </w:r>
          <w:r>
            <w:instrText xml:space="preserve"> HYPERLINK \l "_Toc146632955" </w:instrText>
          </w:r>
          <w:r>
            <w:fldChar w:fldCharType="separate"/>
          </w:r>
          <w:r>
            <w:rPr>
              <w:rStyle w:val="18"/>
              <w:rFonts w:ascii="Times New Roman" w:hAnsi="黑体" w:eastAsia="黑体"/>
              <w:color w:val="000000" w:themeColor="text1"/>
              <w:sz w:val="32"/>
              <w:szCs w:val="32"/>
            </w:rPr>
            <w:t>第二部分</w:t>
          </w:r>
          <w:r>
            <w:rPr>
              <w:rStyle w:val="18"/>
              <w:rFonts w:hint="eastAsia" w:ascii="Times New Roman" w:hAnsi="黑体" w:eastAsia="黑体"/>
              <w:color w:val="000000" w:themeColor="text1"/>
              <w:sz w:val="32"/>
              <w:szCs w:val="32"/>
            </w:rPr>
            <w:t>　</w:t>
          </w:r>
          <w:r>
            <w:rPr>
              <w:rStyle w:val="18"/>
              <w:rFonts w:ascii="Times New Roman" w:hAnsi="Times New Roman" w:eastAsia="黑体"/>
              <w:color w:val="000000" w:themeColor="text1"/>
              <w:sz w:val="32"/>
              <w:szCs w:val="32"/>
            </w:rPr>
            <w:t>2022</w:t>
          </w:r>
          <w:r>
            <w:rPr>
              <w:rStyle w:val="18"/>
              <w:rFonts w:ascii="Times New Roman" w:hAnsi="黑体" w:eastAsia="黑体"/>
              <w:color w:val="000000" w:themeColor="text1"/>
              <w:sz w:val="32"/>
              <w:szCs w:val="32"/>
            </w:rPr>
            <w:t>年度部门决算情况说明</w:t>
          </w:r>
          <w:r>
            <w:rPr>
              <w:rFonts w:ascii="Times New Roman" w:hAnsi="Times New Roman" w:eastAsia="楷体_GB2312"/>
              <w:color w:val="000000" w:themeColor="text1"/>
              <w:sz w:val="32"/>
              <w:szCs w:val="32"/>
            </w:rPr>
            <w:tab/>
          </w:r>
          <w:r>
            <w:rPr>
              <w:rFonts w:ascii="Times New Roman" w:hAnsi="Times New Roman" w:eastAsia="楷体_GB2312"/>
              <w:color w:val="000000" w:themeColor="text1"/>
              <w:sz w:val="32"/>
              <w:szCs w:val="32"/>
            </w:rPr>
            <w:fldChar w:fldCharType="begin"/>
          </w:r>
          <w:r>
            <w:rPr>
              <w:rFonts w:ascii="Times New Roman" w:hAnsi="Times New Roman" w:eastAsia="楷体_GB2312"/>
              <w:color w:val="000000" w:themeColor="text1"/>
              <w:sz w:val="32"/>
              <w:szCs w:val="32"/>
            </w:rPr>
            <w:instrText xml:space="preserve"> PAGEREF _Toc146632955 \h </w:instrText>
          </w:r>
          <w:r>
            <w:rPr>
              <w:rFonts w:ascii="Times New Roman" w:hAnsi="Times New Roman" w:eastAsia="楷体_GB2312"/>
              <w:color w:val="000000" w:themeColor="text1"/>
              <w:sz w:val="32"/>
              <w:szCs w:val="32"/>
            </w:rPr>
            <w:fldChar w:fldCharType="separate"/>
          </w:r>
          <w:r>
            <w:rPr>
              <w:rFonts w:ascii="Times New Roman" w:hAnsi="Times New Roman" w:eastAsia="楷体_GB2312"/>
              <w:color w:val="000000" w:themeColor="text1"/>
              <w:sz w:val="32"/>
              <w:szCs w:val="32"/>
            </w:rPr>
            <w:t>5</w:t>
          </w:r>
          <w:r>
            <w:rPr>
              <w:rFonts w:ascii="Times New Roman" w:hAnsi="Times New Roman" w:eastAsia="楷体_GB2312"/>
              <w:color w:val="000000" w:themeColor="text1"/>
              <w:sz w:val="32"/>
              <w:szCs w:val="32"/>
            </w:rPr>
            <w:fldChar w:fldCharType="end"/>
          </w:r>
          <w:r>
            <w:rPr>
              <w:rFonts w:ascii="Times New Roman" w:hAnsi="Times New Roman" w:eastAsia="楷体_GB2312"/>
              <w:color w:val="000000" w:themeColor="text1"/>
              <w:sz w:val="32"/>
              <w:szCs w:val="32"/>
            </w:rPr>
            <w:fldChar w:fldCharType="end"/>
          </w:r>
        </w:p>
        <w:p>
          <w:pPr>
            <w:pStyle w:val="12"/>
            <w:tabs>
              <w:tab w:val="left" w:pos="1680"/>
            </w:tabs>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"_Toc146632956" </w:instrText>
          </w:r>
          <w:r>
            <w:fldChar w:fldCharType="separate"/>
          </w:r>
          <w:r>
            <w:rPr>
              <w:rStyle w:val="18"/>
              <w:rFonts w:eastAsia="楷体_GB2312"/>
              <w:bCs/>
              <w:color w:val="000000" w:themeColor="text1"/>
              <w:sz w:val="32"/>
              <w:szCs w:val="32"/>
            </w:rPr>
            <w:t>一、</w:t>
          </w:r>
          <w:r>
            <w:rPr>
              <w:rStyle w:val="18"/>
              <w:rFonts w:eastAsia="楷体_GB2312"/>
              <w:color w:val="000000" w:themeColor="text1"/>
              <w:sz w:val="32"/>
              <w:szCs w:val="32"/>
            </w:rPr>
            <w:t>收</w:t>
          </w:r>
          <w:r>
            <w:rPr>
              <w:rStyle w:val="18"/>
              <w:rFonts w:eastAsia="楷体_GB2312"/>
              <w:bCs/>
              <w:color w:val="000000" w:themeColor="text1"/>
              <w:sz w:val="32"/>
              <w:szCs w:val="32"/>
            </w:rPr>
            <w:t>入支出决算总体情况说明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_Toc146632956 \h </w:instrText>
          </w:r>
          <w:r>
            <w:rPr>
              <w:rFonts w:eastAsia="楷体_GB2312"/>
              <w:color w:val="000000" w:themeColor="text1"/>
              <w:sz w:val="32"/>
              <w:szCs w:val="32"/>
            </w:rPr>
            <w:fldChar w:fldCharType="separate"/>
          </w:r>
          <w:r>
            <w:rPr>
              <w:rFonts w:eastAsia="楷体_GB2312"/>
              <w:color w:val="000000" w:themeColor="text1"/>
              <w:sz w:val="32"/>
              <w:szCs w:val="32"/>
            </w:rPr>
            <w:t>5</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tabs>
              <w:tab w:val="left" w:pos="1680"/>
            </w:tabs>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"_Toc146632957" </w:instrText>
          </w:r>
          <w:r>
            <w:fldChar w:fldCharType="separate"/>
          </w:r>
          <w:r>
            <w:rPr>
              <w:rStyle w:val="18"/>
              <w:rFonts w:eastAsia="楷体_GB2312"/>
              <w:bCs/>
              <w:color w:val="000000" w:themeColor="text1"/>
              <w:sz w:val="32"/>
              <w:szCs w:val="32"/>
            </w:rPr>
            <w:t>二、</w:t>
          </w:r>
          <w:r>
            <w:rPr>
              <w:rStyle w:val="18"/>
              <w:rFonts w:eastAsia="楷体_GB2312"/>
              <w:color w:val="000000" w:themeColor="text1"/>
              <w:sz w:val="32"/>
              <w:szCs w:val="32"/>
            </w:rPr>
            <w:t>收</w:t>
          </w:r>
          <w:r>
            <w:rPr>
              <w:rStyle w:val="18"/>
              <w:rFonts w:eastAsia="楷体_GB2312"/>
              <w:bCs/>
              <w:color w:val="000000" w:themeColor="text1"/>
              <w:sz w:val="32"/>
              <w:szCs w:val="32"/>
            </w:rPr>
            <w:t>入决算情况说明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_Toc146632957 \h </w:instrText>
          </w:r>
          <w:r>
            <w:rPr>
              <w:rFonts w:eastAsia="楷体_GB2312"/>
              <w:color w:val="000000" w:themeColor="text1"/>
              <w:sz w:val="32"/>
              <w:szCs w:val="32"/>
            </w:rPr>
            <w:fldChar w:fldCharType="separate"/>
          </w:r>
          <w:r>
            <w:rPr>
              <w:rFonts w:eastAsia="楷体_GB2312"/>
              <w:color w:val="000000" w:themeColor="text1"/>
              <w:sz w:val="32"/>
              <w:szCs w:val="32"/>
            </w:rPr>
            <w:t>5</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tabs>
              <w:tab w:val="left" w:pos="1680"/>
            </w:tabs>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"_Toc146632958" </w:instrText>
          </w:r>
          <w:r>
            <w:fldChar w:fldCharType="separate"/>
          </w:r>
          <w:r>
            <w:rPr>
              <w:rStyle w:val="18"/>
              <w:rFonts w:eastAsia="楷体_GB2312"/>
              <w:bCs/>
              <w:color w:val="000000" w:themeColor="text1"/>
              <w:sz w:val="32"/>
              <w:szCs w:val="32"/>
            </w:rPr>
            <w:t>三、</w:t>
          </w:r>
          <w:r>
            <w:rPr>
              <w:rStyle w:val="18"/>
              <w:rFonts w:eastAsia="楷体_GB2312"/>
              <w:color w:val="000000" w:themeColor="text1"/>
              <w:sz w:val="32"/>
              <w:szCs w:val="32"/>
            </w:rPr>
            <w:t>支</w:t>
          </w:r>
          <w:r>
            <w:rPr>
              <w:rStyle w:val="18"/>
              <w:rFonts w:eastAsia="楷体_GB2312"/>
              <w:bCs/>
              <w:color w:val="000000" w:themeColor="text1"/>
              <w:sz w:val="32"/>
              <w:szCs w:val="32"/>
            </w:rPr>
            <w:t>出决算情况说明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_Toc146632958 \h </w:instrText>
          </w:r>
          <w:r>
            <w:rPr>
              <w:rFonts w:eastAsia="楷体_GB2312"/>
              <w:color w:val="000000" w:themeColor="text1"/>
              <w:sz w:val="32"/>
              <w:szCs w:val="32"/>
            </w:rPr>
            <w:fldChar w:fldCharType="separate"/>
          </w:r>
          <w:r>
            <w:rPr>
              <w:rFonts w:eastAsia="楷体_GB2312"/>
              <w:color w:val="000000" w:themeColor="text1"/>
              <w:sz w:val="32"/>
              <w:szCs w:val="32"/>
            </w:rPr>
            <w:t>6</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"_Toc146632959" </w:instrText>
          </w:r>
          <w:r>
            <w:fldChar w:fldCharType="separate"/>
          </w:r>
          <w:r>
            <w:rPr>
              <w:rStyle w:val="18"/>
              <w:rFonts w:eastAsia="楷体_GB2312"/>
              <w:color w:val="000000" w:themeColor="text1"/>
              <w:sz w:val="32"/>
              <w:szCs w:val="32"/>
            </w:rPr>
            <w:t>四、财</w:t>
          </w:r>
          <w:r>
            <w:rPr>
              <w:rStyle w:val="18"/>
              <w:rFonts w:eastAsia="楷体_GB2312"/>
              <w:bCs/>
              <w:color w:val="000000" w:themeColor="text1"/>
              <w:sz w:val="32"/>
              <w:szCs w:val="32"/>
            </w:rPr>
            <w:t>政拨款收入支出决算总体情况说明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_Toc146632959 \h </w:instrText>
          </w:r>
          <w:r>
            <w:rPr>
              <w:rFonts w:eastAsia="楷体_GB2312"/>
              <w:color w:val="000000" w:themeColor="text1"/>
              <w:sz w:val="32"/>
              <w:szCs w:val="32"/>
            </w:rPr>
            <w:fldChar w:fldCharType="separate"/>
          </w:r>
          <w:r>
            <w:rPr>
              <w:rFonts w:eastAsia="楷体_GB2312"/>
              <w:color w:val="000000" w:themeColor="text1"/>
              <w:sz w:val="32"/>
              <w:szCs w:val="32"/>
            </w:rPr>
            <w:t>7</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spacing w:line="576" w:lineRule="exact"/>
            <w:ind w:left="0" w:leftChars="0" w:firstLine="420" w:firstLineChars="200"/>
            <w:jc w:val="distribute"/>
            <w:rPr>
              <w:rFonts w:eastAsia="楷体_GB2312"/>
              <w:color w:val="000000" w:themeColor="text1"/>
              <w:sz w:val="32"/>
              <w:szCs w:val="32"/>
            </w:rPr>
          </w:pPr>
          <w:r>
            <w:fldChar w:fldCharType="begin"/>
          </w:r>
          <w:r>
            <w:instrText xml:space="preserve"> HYPERLINK \l "_Toc146632960" </w:instrText>
          </w:r>
          <w:r>
            <w:fldChar w:fldCharType="separate"/>
          </w:r>
          <w:r>
            <w:rPr>
              <w:rStyle w:val="18"/>
              <w:rFonts w:eastAsia="楷体_GB2312"/>
              <w:color w:val="000000" w:themeColor="text1"/>
              <w:sz w:val="32"/>
              <w:szCs w:val="32"/>
            </w:rPr>
            <w:t>五、</w:t>
          </w:r>
          <w:r>
            <w:rPr>
              <w:rStyle w:val="18"/>
              <w:rFonts w:eastAsia="楷体_GB2312"/>
              <w:b/>
              <w:color w:val="000000" w:themeColor="text1"/>
              <w:sz w:val="32"/>
              <w:szCs w:val="32"/>
            </w:rPr>
            <w:t>一</w:t>
          </w:r>
          <w:r>
            <w:rPr>
              <w:rStyle w:val="18"/>
              <w:rFonts w:eastAsia="楷体_GB2312"/>
              <w:bCs/>
              <w:color w:val="000000" w:themeColor="text1"/>
              <w:sz w:val="32"/>
              <w:szCs w:val="32"/>
            </w:rPr>
            <w:t>般公共预算财政拨款支出决算情况说明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_Toc146632960 \h </w:instrText>
          </w:r>
          <w:r>
            <w:rPr>
              <w:rFonts w:eastAsia="楷体_GB2312"/>
              <w:color w:val="000000" w:themeColor="text1"/>
              <w:sz w:val="32"/>
              <w:szCs w:val="32"/>
            </w:rPr>
            <w:fldChar w:fldCharType="separate"/>
          </w:r>
          <w:r>
            <w:rPr>
              <w:rFonts w:eastAsia="楷体_GB2312"/>
              <w:color w:val="000000" w:themeColor="text1"/>
              <w:sz w:val="32"/>
              <w:szCs w:val="32"/>
            </w:rPr>
            <w:t>7</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630" w:firstLineChars="300"/>
            <w:jc w:val="left"/>
            <w:textAlignment w:val="auto"/>
            <w:rPr>
              <w:rFonts w:eastAsia="楷体_GB2312"/>
              <w:color w:val="000000" w:themeColor="text1"/>
              <w:sz w:val="32"/>
              <w:szCs w:val="32"/>
            </w:rPr>
          </w:pPr>
          <w:r>
            <w:fldChar w:fldCharType="begin"/>
          </w:r>
          <w:r>
            <w:instrText xml:space="preserve"> HYPERLINK \l "_Toc146632961" </w:instrText>
          </w:r>
          <w:r>
            <w:fldChar w:fldCharType="separate"/>
          </w:r>
          <w:r>
            <w:rPr>
              <w:rStyle w:val="18"/>
              <w:rFonts w:eastAsia="楷体_GB2312"/>
              <w:color w:val="000000" w:themeColor="text1"/>
              <w:sz w:val="32"/>
              <w:szCs w:val="32"/>
            </w:rPr>
            <w:t>六</w:t>
          </w:r>
          <w:r>
            <w:rPr>
              <w:rStyle w:val="18"/>
              <w:rFonts w:eastAsia="楷体_GB2312"/>
              <w:b/>
              <w:color w:val="000000" w:themeColor="text1"/>
              <w:sz w:val="32"/>
              <w:szCs w:val="32"/>
            </w:rPr>
            <w:t>、一</w:t>
          </w:r>
          <w:r>
            <w:rPr>
              <w:rStyle w:val="18"/>
              <w:rFonts w:eastAsia="楷体_GB2312"/>
              <w:bCs/>
              <w:color w:val="000000" w:themeColor="text1"/>
              <w:sz w:val="32"/>
              <w:szCs w:val="32"/>
            </w:rPr>
            <w:t>般公共预算财政拨款基本支出决算情况说明</w:t>
          </w:r>
          <w:r>
            <w:rPr>
              <w:rStyle w:val="18"/>
              <w:rFonts w:hint="eastAsia" w:eastAsia="楷体_GB2312"/>
              <w:bCs/>
              <w:color w:val="000000" w:themeColor="text1"/>
              <w:sz w:val="32"/>
              <w:szCs w:val="32"/>
              <w:lang w:val="en-US" w:eastAsia="zh-CN"/>
            </w:rPr>
            <w:t>.......</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_Toc146632961 \h </w:instrText>
          </w:r>
          <w:r>
            <w:rPr>
              <w:rFonts w:eastAsia="楷体_GB2312"/>
              <w:color w:val="000000" w:themeColor="text1"/>
              <w:sz w:val="32"/>
              <w:szCs w:val="32"/>
            </w:rPr>
            <w:fldChar w:fldCharType="separate"/>
          </w:r>
          <w:r>
            <w:rPr>
              <w:rFonts w:eastAsia="楷体_GB2312"/>
              <w:color w:val="000000" w:themeColor="text1"/>
              <w:sz w:val="32"/>
              <w:szCs w:val="32"/>
            </w:rPr>
            <w:t>10</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"_Toc146632962" </w:instrText>
          </w:r>
          <w:r>
            <w:fldChar w:fldCharType="separate"/>
          </w:r>
          <w:r>
            <w:rPr>
              <w:rStyle w:val="18"/>
              <w:rFonts w:eastAsia="楷体_GB2312"/>
              <w:color w:val="000000" w:themeColor="text1"/>
              <w:sz w:val="32"/>
              <w:szCs w:val="32"/>
            </w:rPr>
            <w:t>七、</w:t>
          </w:r>
          <w:r>
            <w:rPr>
              <w:rStyle w:val="18"/>
              <w:rFonts w:eastAsia="楷体_GB2312"/>
              <w:b/>
              <w:bCs/>
              <w:color w:val="000000" w:themeColor="text1"/>
              <w:sz w:val="32"/>
              <w:szCs w:val="32"/>
            </w:rPr>
            <w:t>“</w:t>
          </w:r>
          <w:r>
            <w:rPr>
              <w:rStyle w:val="18"/>
              <w:rFonts w:eastAsia="楷体_GB2312"/>
              <w:bCs/>
              <w:color w:val="000000" w:themeColor="text1"/>
              <w:sz w:val="32"/>
              <w:szCs w:val="32"/>
            </w:rPr>
            <w:t>三公”经费财政拨款支出决算情况说明</w:t>
          </w:r>
          <w:r>
            <w:rPr>
              <w:rFonts w:eastAsia="楷体_GB2312"/>
              <w:color w:val="000000" w:themeColor="text1"/>
              <w:sz w:val="32"/>
              <w:szCs w:val="32"/>
            </w:rPr>
            <w:tab/>
          </w:r>
          <w:r>
            <w:rPr>
              <w:rFonts w:hint="eastAsia" w:eastAsia="楷体_GB2312"/>
              <w:color w:val="000000" w:themeColor="text1"/>
              <w:sz w:val="32"/>
              <w:szCs w:val="32"/>
              <w:lang w:val="en-US" w:eastAsia="zh-CN"/>
            </w:rPr>
            <w:t>.....................</w:t>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_Toc146632962 \h </w:instrText>
          </w:r>
          <w:r>
            <w:rPr>
              <w:rFonts w:eastAsia="楷体_GB2312"/>
              <w:color w:val="000000" w:themeColor="text1"/>
              <w:sz w:val="32"/>
              <w:szCs w:val="32"/>
            </w:rPr>
            <w:fldChar w:fldCharType="separate"/>
          </w:r>
          <w:r>
            <w:rPr>
              <w:rFonts w:eastAsia="楷体_GB2312"/>
              <w:color w:val="000000" w:themeColor="text1"/>
              <w:sz w:val="32"/>
              <w:szCs w:val="32"/>
            </w:rPr>
            <w:t>10</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"_Toc146632963" </w:instrText>
          </w:r>
          <w:r>
            <w:fldChar w:fldCharType="separate"/>
          </w:r>
          <w:r>
            <w:rPr>
              <w:rStyle w:val="18"/>
              <w:rFonts w:eastAsia="楷体_GB2312"/>
              <w:color w:val="000000" w:themeColor="text1"/>
              <w:sz w:val="32"/>
              <w:szCs w:val="32"/>
            </w:rPr>
            <w:t>八、</w:t>
          </w:r>
          <w:r>
            <w:rPr>
              <w:rStyle w:val="18"/>
              <w:rFonts w:eastAsia="楷体_GB2312"/>
              <w:bCs/>
              <w:color w:val="000000" w:themeColor="text1"/>
              <w:sz w:val="32"/>
              <w:szCs w:val="32"/>
            </w:rPr>
            <w:t>政府性基金预算支出决算情况说明</w:t>
          </w:r>
          <w:r>
            <w:rPr>
              <w:rFonts w:eastAsia="楷体_GB2312"/>
              <w:color w:val="000000" w:themeColor="text1"/>
              <w:sz w:val="32"/>
              <w:szCs w:val="32"/>
            </w:rPr>
            <w:tab/>
          </w:r>
          <w:r>
            <w:rPr>
              <w:rFonts w:hint="eastAsia" w:eastAsia="楷体_GB2312"/>
              <w:color w:val="000000" w:themeColor="text1"/>
              <w:sz w:val="32"/>
              <w:szCs w:val="32"/>
              <w:lang w:val="en-US" w:eastAsia="zh-CN"/>
            </w:rPr>
            <w:t>.............................</w:t>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_Toc146632963 \h </w:instrText>
          </w:r>
          <w:r>
            <w:rPr>
              <w:rFonts w:eastAsia="楷体_GB2312"/>
              <w:color w:val="000000" w:themeColor="text1"/>
              <w:sz w:val="32"/>
              <w:szCs w:val="32"/>
            </w:rPr>
            <w:fldChar w:fldCharType="separate"/>
          </w:r>
          <w:r>
            <w:rPr>
              <w:rFonts w:eastAsia="楷体_GB2312"/>
              <w:color w:val="000000" w:themeColor="text1"/>
              <w:sz w:val="32"/>
              <w:szCs w:val="32"/>
            </w:rPr>
            <w:t>11</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"_Toc146632964" </w:instrText>
          </w:r>
          <w:r>
            <w:fldChar w:fldCharType="separate"/>
          </w:r>
          <w:r>
            <w:rPr>
              <w:rStyle w:val="18"/>
              <w:rFonts w:eastAsia="楷体_GB2312"/>
              <w:bCs/>
              <w:color w:val="000000" w:themeColor="text1"/>
              <w:sz w:val="32"/>
              <w:szCs w:val="32"/>
            </w:rPr>
            <w:t>九、国有资本经营预算支出决算情况说明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_Toc146632964 \h </w:instrText>
          </w:r>
          <w:r>
            <w:rPr>
              <w:rFonts w:eastAsia="楷体_GB2312"/>
              <w:color w:val="000000" w:themeColor="text1"/>
              <w:sz w:val="32"/>
              <w:szCs w:val="32"/>
            </w:rPr>
            <w:fldChar w:fldCharType="separate"/>
          </w:r>
          <w:r>
            <w:rPr>
              <w:rFonts w:eastAsia="楷体_GB2312"/>
              <w:color w:val="000000" w:themeColor="text1"/>
              <w:sz w:val="32"/>
              <w:szCs w:val="32"/>
            </w:rPr>
            <w:t>12</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"_Toc146632965" </w:instrText>
          </w:r>
          <w:r>
            <w:fldChar w:fldCharType="separate"/>
          </w:r>
          <w:r>
            <w:rPr>
              <w:rStyle w:val="18"/>
              <w:rFonts w:eastAsia="楷体_GB2312"/>
              <w:bCs/>
              <w:color w:val="000000" w:themeColor="text1"/>
              <w:sz w:val="32"/>
              <w:szCs w:val="32"/>
            </w:rPr>
            <w:t>十、预算绩效管理情况</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_Toc146632965 \h </w:instrText>
          </w:r>
          <w:r>
            <w:rPr>
              <w:rFonts w:eastAsia="楷体_GB2312"/>
              <w:color w:val="000000" w:themeColor="text1"/>
              <w:sz w:val="32"/>
              <w:szCs w:val="32"/>
            </w:rPr>
            <w:fldChar w:fldCharType="separate"/>
          </w:r>
          <w:r>
            <w:rPr>
              <w:rFonts w:eastAsia="楷体_GB2312"/>
              <w:color w:val="000000" w:themeColor="text1"/>
              <w:sz w:val="32"/>
              <w:szCs w:val="32"/>
            </w:rPr>
            <w:t>12</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"_Toc146632966" </w:instrText>
          </w:r>
          <w:r>
            <w:fldChar w:fldCharType="separate"/>
          </w:r>
          <w:r>
            <w:rPr>
              <w:rStyle w:val="18"/>
              <w:rFonts w:eastAsia="楷体_GB2312"/>
              <w:bCs/>
              <w:color w:val="000000" w:themeColor="text1"/>
              <w:sz w:val="32"/>
              <w:szCs w:val="32"/>
            </w:rPr>
            <w:t>十一、其他重要事项的情况说明</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_Toc146632966 \h </w:instrText>
          </w:r>
          <w:r>
            <w:rPr>
              <w:rFonts w:eastAsia="楷体_GB2312"/>
              <w:color w:val="000000" w:themeColor="text1"/>
              <w:sz w:val="32"/>
              <w:szCs w:val="32"/>
            </w:rPr>
            <w:fldChar w:fldCharType="separate"/>
          </w:r>
          <w:r>
            <w:rPr>
              <w:rFonts w:eastAsia="楷体_GB2312"/>
              <w:color w:val="000000" w:themeColor="text1"/>
              <w:sz w:val="32"/>
              <w:szCs w:val="32"/>
            </w:rPr>
            <w:t>12</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before="0" w:line="576" w:lineRule="exact"/>
            <w:jc w:val="left"/>
            <w:textAlignment w:val="auto"/>
            <w:rPr>
              <w:rFonts w:ascii="Times New Roman" w:hAnsi="Times New Roman" w:eastAsia="楷体_GB2312"/>
              <w:color w:val="000000" w:themeColor="text1"/>
              <w:sz w:val="32"/>
              <w:szCs w:val="32"/>
            </w:rPr>
          </w:pPr>
          <w:r>
            <w:fldChar w:fldCharType="begin"/>
          </w:r>
          <w:r>
            <w:instrText xml:space="preserve"> HYPERLINK \l "_Toc146632967" </w:instrText>
          </w:r>
          <w:r>
            <w:fldChar w:fldCharType="separate"/>
          </w:r>
          <w:r>
            <w:rPr>
              <w:rStyle w:val="18"/>
              <w:rFonts w:ascii="Times New Roman" w:hAnsi="黑体" w:eastAsia="黑体"/>
              <w:color w:val="000000" w:themeColor="text1"/>
              <w:sz w:val="32"/>
              <w:szCs w:val="32"/>
            </w:rPr>
            <w:t>第三部分</w:t>
          </w:r>
          <w:r>
            <w:rPr>
              <w:rStyle w:val="18"/>
              <w:rFonts w:hint="eastAsia" w:ascii="Times New Roman" w:hAnsi="黑体" w:eastAsia="黑体"/>
              <w:color w:val="000000" w:themeColor="text1"/>
              <w:sz w:val="32"/>
              <w:szCs w:val="32"/>
            </w:rPr>
            <w:t>　</w:t>
          </w:r>
          <w:r>
            <w:rPr>
              <w:rStyle w:val="18"/>
              <w:rFonts w:ascii="Times New Roman" w:hAnsi="黑体" w:eastAsia="黑体"/>
              <w:color w:val="000000" w:themeColor="text1"/>
              <w:sz w:val="32"/>
              <w:szCs w:val="32"/>
            </w:rPr>
            <w:t>名词解释</w:t>
          </w:r>
          <w:r>
            <w:rPr>
              <w:rFonts w:ascii="Times New Roman" w:hAnsi="Times New Roman" w:eastAsia="楷体_GB2312"/>
              <w:color w:val="000000" w:themeColor="text1"/>
              <w:sz w:val="32"/>
              <w:szCs w:val="32"/>
            </w:rPr>
            <w:tab/>
          </w:r>
          <w:r>
            <w:rPr>
              <w:rFonts w:ascii="Times New Roman" w:hAnsi="Times New Roman" w:eastAsia="楷体_GB2312"/>
              <w:color w:val="000000" w:themeColor="text1"/>
              <w:sz w:val="32"/>
              <w:szCs w:val="32"/>
            </w:rPr>
            <w:fldChar w:fldCharType="begin"/>
          </w:r>
          <w:r>
            <w:rPr>
              <w:rFonts w:ascii="Times New Roman" w:hAnsi="Times New Roman" w:eastAsia="楷体_GB2312"/>
              <w:color w:val="000000" w:themeColor="text1"/>
              <w:sz w:val="32"/>
              <w:szCs w:val="32"/>
            </w:rPr>
            <w:instrText xml:space="preserve"> PAGEREF _Toc146632967 \h </w:instrText>
          </w:r>
          <w:r>
            <w:rPr>
              <w:rFonts w:ascii="Times New Roman" w:hAnsi="Times New Roman" w:eastAsia="楷体_GB2312"/>
              <w:color w:val="000000" w:themeColor="text1"/>
              <w:sz w:val="32"/>
              <w:szCs w:val="32"/>
            </w:rPr>
            <w:fldChar w:fldCharType="separate"/>
          </w:r>
          <w:r>
            <w:rPr>
              <w:rFonts w:ascii="Times New Roman" w:hAnsi="Times New Roman" w:eastAsia="楷体_GB2312"/>
              <w:color w:val="000000" w:themeColor="text1"/>
              <w:sz w:val="32"/>
              <w:szCs w:val="32"/>
            </w:rPr>
            <w:t>13</w:t>
          </w:r>
          <w:r>
            <w:rPr>
              <w:rFonts w:ascii="Times New Roman" w:hAnsi="Times New Roman" w:eastAsia="楷体_GB2312"/>
              <w:color w:val="000000" w:themeColor="text1"/>
              <w:sz w:val="32"/>
              <w:szCs w:val="32"/>
            </w:rPr>
            <w:fldChar w:fldCharType="end"/>
          </w:r>
          <w:r>
            <w:rPr>
              <w:rFonts w:ascii="Times New Roman" w:hAnsi="Times New Roman" w:eastAsia="楷体_GB2312"/>
              <w:color w:val="000000" w:themeColor="text1"/>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before="0" w:line="576" w:lineRule="exact"/>
            <w:jc w:val="left"/>
            <w:textAlignment w:val="auto"/>
            <w:rPr>
              <w:rFonts w:ascii="Times New Roman" w:hAnsi="Times New Roman" w:eastAsia="楷体_GB2312"/>
              <w:color w:val="000000" w:themeColor="text1"/>
              <w:sz w:val="32"/>
              <w:szCs w:val="32"/>
            </w:rPr>
          </w:pPr>
          <w:r>
            <w:fldChar w:fldCharType="begin"/>
          </w:r>
          <w:r>
            <w:instrText xml:space="preserve"> HYPERLINK \l "_Toc146632968" </w:instrText>
          </w:r>
          <w:r>
            <w:fldChar w:fldCharType="separate"/>
          </w:r>
          <w:r>
            <w:rPr>
              <w:rStyle w:val="18"/>
              <w:rFonts w:ascii="Times New Roman" w:hAnsi="黑体" w:eastAsia="黑体"/>
              <w:color w:val="000000" w:themeColor="text1"/>
              <w:sz w:val="32"/>
              <w:szCs w:val="32"/>
            </w:rPr>
            <w:t>第四部分</w:t>
          </w:r>
          <w:r>
            <w:rPr>
              <w:rStyle w:val="18"/>
              <w:rFonts w:hint="eastAsia" w:ascii="Times New Roman" w:hAnsi="黑体" w:eastAsia="黑体"/>
              <w:color w:val="000000" w:themeColor="text1"/>
              <w:sz w:val="32"/>
              <w:szCs w:val="32"/>
            </w:rPr>
            <w:t>　</w:t>
          </w:r>
          <w:r>
            <w:rPr>
              <w:rStyle w:val="18"/>
              <w:rFonts w:ascii="Times New Roman" w:hAnsi="黑体" w:eastAsia="黑体"/>
              <w:color w:val="000000" w:themeColor="text1"/>
              <w:sz w:val="32"/>
              <w:szCs w:val="32"/>
            </w:rPr>
            <w:t>附件</w:t>
          </w:r>
          <w:r>
            <w:rPr>
              <w:rFonts w:ascii="Times New Roman" w:hAnsi="Times New Roman" w:eastAsia="楷体_GB2312"/>
              <w:color w:val="000000" w:themeColor="text1"/>
              <w:sz w:val="32"/>
              <w:szCs w:val="32"/>
            </w:rPr>
            <w:tab/>
          </w:r>
          <w:r>
            <w:rPr>
              <w:rFonts w:ascii="Times New Roman" w:hAnsi="Times New Roman" w:eastAsia="楷体_GB2312"/>
              <w:color w:val="000000" w:themeColor="text1"/>
              <w:sz w:val="32"/>
              <w:szCs w:val="32"/>
            </w:rPr>
            <w:fldChar w:fldCharType="begin"/>
          </w:r>
          <w:r>
            <w:rPr>
              <w:rFonts w:ascii="Times New Roman" w:hAnsi="Times New Roman" w:eastAsia="楷体_GB2312"/>
              <w:color w:val="000000" w:themeColor="text1"/>
              <w:sz w:val="32"/>
              <w:szCs w:val="32"/>
            </w:rPr>
            <w:instrText xml:space="preserve"> PAGEREF _Toc146632968 \h </w:instrText>
          </w:r>
          <w:r>
            <w:rPr>
              <w:rFonts w:ascii="Times New Roman" w:hAnsi="Times New Roman" w:eastAsia="楷体_GB2312"/>
              <w:color w:val="000000" w:themeColor="text1"/>
              <w:sz w:val="32"/>
              <w:szCs w:val="32"/>
            </w:rPr>
            <w:fldChar w:fldCharType="separate"/>
          </w:r>
          <w:r>
            <w:rPr>
              <w:rFonts w:ascii="Times New Roman" w:hAnsi="Times New Roman" w:eastAsia="楷体_GB2312"/>
              <w:color w:val="000000" w:themeColor="text1"/>
              <w:sz w:val="32"/>
              <w:szCs w:val="32"/>
            </w:rPr>
            <w:t>16</w:t>
          </w:r>
          <w:r>
            <w:rPr>
              <w:rFonts w:ascii="Times New Roman" w:hAnsi="Times New Roman" w:eastAsia="楷体_GB2312"/>
              <w:color w:val="000000" w:themeColor="text1"/>
              <w:sz w:val="32"/>
              <w:szCs w:val="32"/>
            </w:rPr>
            <w:fldChar w:fldCharType="end"/>
          </w:r>
          <w:r>
            <w:rPr>
              <w:rFonts w:ascii="Times New Roman" w:hAnsi="Times New Roman" w:eastAsia="楷体_GB2312"/>
              <w:color w:val="000000" w:themeColor="text1"/>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before="0" w:line="576" w:lineRule="exact"/>
            <w:jc w:val="left"/>
            <w:textAlignment w:val="auto"/>
            <w:rPr>
              <w:rFonts w:ascii="Times New Roman" w:hAnsi="Times New Roman" w:eastAsia="楷体_GB2312"/>
              <w:color w:val="000000" w:themeColor="text1"/>
              <w:sz w:val="32"/>
              <w:szCs w:val="32"/>
            </w:rPr>
          </w:pPr>
          <w:r>
            <w:fldChar w:fldCharType="begin"/>
          </w:r>
          <w:r>
            <w:instrText xml:space="preserve"> HYPERLINK \l "_Toc146632969" </w:instrText>
          </w:r>
          <w:r>
            <w:fldChar w:fldCharType="separate"/>
          </w:r>
          <w:r>
            <w:rPr>
              <w:rStyle w:val="18"/>
              <w:rFonts w:ascii="Times New Roman" w:hAnsi="黑体" w:eastAsia="黑体"/>
              <w:color w:val="000000" w:themeColor="text1"/>
              <w:sz w:val="32"/>
              <w:szCs w:val="32"/>
            </w:rPr>
            <w:t>第五部分</w:t>
          </w:r>
          <w:r>
            <w:rPr>
              <w:rStyle w:val="18"/>
              <w:rFonts w:hint="eastAsia" w:ascii="Times New Roman" w:hAnsi="黑体" w:eastAsia="黑体"/>
              <w:color w:val="000000" w:themeColor="text1"/>
              <w:sz w:val="32"/>
              <w:szCs w:val="32"/>
            </w:rPr>
            <w:t>　</w:t>
          </w:r>
          <w:r>
            <w:rPr>
              <w:rStyle w:val="18"/>
              <w:rFonts w:ascii="Times New Roman" w:hAnsi="黑体" w:eastAsia="黑体"/>
              <w:color w:val="000000" w:themeColor="text1"/>
              <w:sz w:val="32"/>
              <w:szCs w:val="32"/>
            </w:rPr>
            <w:t>附表</w:t>
          </w:r>
          <w:r>
            <w:rPr>
              <w:rFonts w:ascii="Times New Roman" w:hAnsi="Times New Roman" w:eastAsia="楷体_GB2312"/>
              <w:color w:val="000000" w:themeColor="text1"/>
              <w:sz w:val="32"/>
              <w:szCs w:val="32"/>
            </w:rPr>
            <w:tab/>
          </w:r>
          <w:r>
            <w:rPr>
              <w:rFonts w:ascii="Times New Roman" w:hAnsi="Times New Roman" w:eastAsia="楷体_GB2312"/>
              <w:color w:val="000000" w:themeColor="text1"/>
              <w:sz w:val="32"/>
              <w:szCs w:val="32"/>
            </w:rPr>
            <w:fldChar w:fldCharType="begin"/>
          </w:r>
          <w:r>
            <w:rPr>
              <w:rFonts w:ascii="Times New Roman" w:hAnsi="Times New Roman" w:eastAsia="楷体_GB2312"/>
              <w:color w:val="000000" w:themeColor="text1"/>
              <w:sz w:val="32"/>
              <w:szCs w:val="32"/>
            </w:rPr>
            <w:instrText xml:space="preserve"> PAGEREF _Toc146632969 \h </w:instrText>
          </w:r>
          <w:r>
            <w:rPr>
              <w:rFonts w:ascii="Times New Roman" w:hAnsi="Times New Roman" w:eastAsia="楷体_GB2312"/>
              <w:color w:val="000000" w:themeColor="text1"/>
              <w:sz w:val="32"/>
              <w:szCs w:val="32"/>
            </w:rPr>
            <w:fldChar w:fldCharType="separate"/>
          </w:r>
          <w:r>
            <w:rPr>
              <w:rFonts w:ascii="Times New Roman" w:hAnsi="Times New Roman" w:eastAsia="楷体_GB2312"/>
              <w:color w:val="000000" w:themeColor="text1"/>
              <w:sz w:val="32"/>
              <w:szCs w:val="32"/>
            </w:rPr>
            <w:t>34</w:t>
          </w:r>
          <w:r>
            <w:rPr>
              <w:rFonts w:ascii="Times New Roman" w:hAnsi="Times New Roman" w:eastAsia="楷体_GB2312"/>
              <w:color w:val="000000" w:themeColor="text1"/>
              <w:sz w:val="32"/>
              <w:szCs w:val="32"/>
            </w:rPr>
            <w:fldChar w:fldCharType="end"/>
          </w:r>
          <w:r>
            <w:rPr>
              <w:rFonts w:ascii="Times New Roman" w:hAnsi="Times New Roman"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"_Toc146632970" </w:instrText>
          </w:r>
          <w:r>
            <w:fldChar w:fldCharType="separate"/>
          </w:r>
          <w:r>
            <w:rPr>
              <w:rStyle w:val="18"/>
              <w:rFonts w:eastAsia="楷体_GB2312"/>
              <w:color w:val="000000" w:themeColor="text1"/>
              <w:sz w:val="32"/>
              <w:szCs w:val="32"/>
            </w:rPr>
            <w:t>一、收入支出决算总表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_Toc146632970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"_Toc146632971" </w:instrText>
          </w:r>
          <w:r>
            <w:fldChar w:fldCharType="separate"/>
          </w:r>
          <w:r>
            <w:rPr>
              <w:rStyle w:val="18"/>
              <w:rFonts w:eastAsia="楷体_GB2312"/>
              <w:color w:val="000000" w:themeColor="text1"/>
              <w:sz w:val="32"/>
              <w:szCs w:val="32"/>
            </w:rPr>
            <w:t>二、收入决算表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_Toc146632971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"_Toc146632972" </w:instrText>
          </w:r>
          <w:r>
            <w:fldChar w:fldCharType="separate"/>
          </w:r>
          <w:r>
            <w:rPr>
              <w:rStyle w:val="18"/>
              <w:rFonts w:eastAsia="楷体_GB2312"/>
              <w:color w:val="000000" w:themeColor="text1"/>
              <w:sz w:val="32"/>
              <w:szCs w:val="32"/>
            </w:rPr>
            <w:t>三、支出决算表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_Toc146632972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"_Toc146632973" </w:instrText>
          </w:r>
          <w:r>
            <w:fldChar w:fldCharType="separate"/>
          </w:r>
          <w:r>
            <w:rPr>
              <w:rStyle w:val="18"/>
              <w:rFonts w:eastAsia="楷体_GB2312"/>
              <w:color w:val="000000" w:themeColor="text1"/>
              <w:sz w:val="32"/>
              <w:szCs w:val="32"/>
            </w:rPr>
            <w:t>四、财政拨款收入支出决算总表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_Toc146632973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"_Toc146632974" </w:instrText>
          </w:r>
          <w:r>
            <w:fldChar w:fldCharType="separate"/>
          </w:r>
          <w:r>
            <w:rPr>
              <w:rStyle w:val="18"/>
              <w:rFonts w:eastAsia="楷体_GB2312"/>
              <w:color w:val="000000" w:themeColor="text1"/>
              <w:sz w:val="32"/>
              <w:szCs w:val="32"/>
            </w:rPr>
            <w:t>五、财政拨款支出决算明细表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_Toc146632974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"_Toc146632975" </w:instrText>
          </w:r>
          <w:r>
            <w:fldChar w:fldCharType="separate"/>
          </w:r>
          <w:r>
            <w:rPr>
              <w:rStyle w:val="18"/>
              <w:rFonts w:eastAsia="楷体_GB2312"/>
              <w:color w:val="000000" w:themeColor="text1"/>
              <w:sz w:val="32"/>
              <w:szCs w:val="32"/>
            </w:rPr>
            <w:t>六、一般公共预算财政拨款支出决算表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_Toc146632975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"_Toc146632976" </w:instrText>
          </w:r>
          <w:r>
            <w:fldChar w:fldCharType="separate"/>
          </w:r>
          <w:r>
            <w:rPr>
              <w:rStyle w:val="18"/>
              <w:rFonts w:eastAsia="楷体_GB2312"/>
              <w:color w:val="000000" w:themeColor="text1"/>
              <w:sz w:val="32"/>
              <w:szCs w:val="32"/>
            </w:rPr>
            <w:t>七、一般公共预算财政拨款支出决算明细表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_Toc146632976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"_Toc146632977" </w:instrText>
          </w:r>
          <w:r>
            <w:fldChar w:fldCharType="separate"/>
          </w:r>
          <w:r>
            <w:rPr>
              <w:rStyle w:val="18"/>
              <w:rFonts w:eastAsia="楷体_GB2312"/>
              <w:color w:val="000000" w:themeColor="text1"/>
              <w:sz w:val="32"/>
              <w:szCs w:val="32"/>
            </w:rPr>
            <w:t>八、一般公共预算财政拨款基本支出决算表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_Toc146632977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"_Toc146632978" </w:instrText>
          </w:r>
          <w:r>
            <w:fldChar w:fldCharType="separate"/>
          </w:r>
          <w:r>
            <w:rPr>
              <w:rStyle w:val="18"/>
              <w:rFonts w:eastAsia="楷体_GB2312"/>
              <w:color w:val="000000" w:themeColor="text1"/>
              <w:sz w:val="32"/>
              <w:szCs w:val="32"/>
            </w:rPr>
            <w:t>九、一般公共预算财政拨款项目支出决算表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_Toc146632978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"_Toc146632979" </w:instrText>
          </w:r>
          <w:r>
            <w:fldChar w:fldCharType="separate"/>
          </w:r>
          <w:r>
            <w:rPr>
              <w:rStyle w:val="18"/>
              <w:rFonts w:eastAsia="楷体_GB2312"/>
              <w:color w:val="000000" w:themeColor="text1"/>
              <w:sz w:val="32"/>
              <w:szCs w:val="32"/>
            </w:rPr>
            <w:t>十、政府性基金预算财政拨款收入支出决算表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_Toc146632979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"_Toc146632980" </w:instrText>
          </w:r>
          <w:r>
            <w:fldChar w:fldCharType="separate"/>
          </w:r>
          <w:r>
            <w:rPr>
              <w:rStyle w:val="18"/>
              <w:rFonts w:eastAsia="楷体_GB2312"/>
              <w:color w:val="000000" w:themeColor="text1"/>
              <w:sz w:val="32"/>
              <w:szCs w:val="32"/>
            </w:rPr>
            <w:t>十一、国有资本经营预算财政拨款收入支出决算表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_Toc146632980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eastAsia="楷体_GB2312"/>
              <w:color w:val="000000" w:themeColor="text1"/>
              <w:sz w:val="32"/>
              <w:szCs w:val="32"/>
            </w:rPr>
          </w:pPr>
          <w:r>
            <w:fldChar w:fldCharType="begin"/>
          </w:r>
          <w:r>
            <w:instrText xml:space="preserve"> HYPERLINK \l "_Toc146632981" </w:instrText>
          </w:r>
          <w:r>
            <w:fldChar w:fldCharType="separate"/>
          </w:r>
          <w:r>
            <w:rPr>
              <w:rStyle w:val="18"/>
              <w:rFonts w:eastAsia="楷体_GB2312"/>
              <w:color w:val="000000" w:themeColor="text1"/>
              <w:sz w:val="32"/>
              <w:szCs w:val="32"/>
            </w:rPr>
            <w:t>十二、国有资本经营预算财政拨款支出决算表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_Toc146632981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left"/>
            <w:textAlignment w:val="auto"/>
            <w:rPr>
              <w:rFonts w:hint="eastAsia" w:ascii="楷体_GB2312" w:eastAsia="楷体_GB2312" w:hAnsiTheme="minorHAnsi" w:cstheme="minorBidi"/>
              <w:color w:val="000000" w:themeColor="text1"/>
              <w:sz w:val="32"/>
              <w:szCs w:val="32"/>
            </w:rPr>
          </w:pPr>
          <w:r>
            <w:fldChar w:fldCharType="begin"/>
          </w:r>
          <w:r>
            <w:instrText xml:space="preserve"> HYPERLINK \l "_Toc146632982" </w:instrText>
          </w:r>
          <w:r>
            <w:fldChar w:fldCharType="separate"/>
          </w:r>
          <w:r>
            <w:rPr>
              <w:rStyle w:val="18"/>
              <w:rFonts w:eastAsia="楷体_GB2312"/>
              <w:color w:val="000000" w:themeColor="text1"/>
              <w:sz w:val="32"/>
              <w:szCs w:val="32"/>
            </w:rPr>
            <w:t>十三、财政拨款“三公”经费支出决算表</w:t>
          </w:r>
          <w:r>
            <w:rPr>
              <w:rFonts w:eastAsia="楷体_GB2312"/>
              <w:color w:val="000000" w:themeColor="text1"/>
              <w:sz w:val="32"/>
              <w:szCs w:val="32"/>
            </w:rPr>
            <w:tab/>
          </w:r>
          <w:r>
            <w:rPr>
              <w:rFonts w:eastAsia="楷体_GB2312"/>
              <w:color w:val="000000" w:themeColor="text1"/>
              <w:sz w:val="32"/>
              <w:szCs w:val="32"/>
            </w:rPr>
            <w:fldChar w:fldCharType="begin"/>
          </w:r>
          <w:r>
            <w:rPr>
              <w:rFonts w:eastAsia="楷体_GB2312"/>
              <w:color w:val="000000" w:themeColor="text1"/>
              <w:sz w:val="32"/>
              <w:szCs w:val="32"/>
            </w:rPr>
            <w:instrText xml:space="preserve"> PAGEREF _Toc146632982 \h </w:instrText>
          </w:r>
          <w:r>
            <w:rPr>
              <w:rFonts w:eastAsia="楷体_GB2312"/>
              <w:color w:val="000000" w:themeColor="text1"/>
              <w:sz w:val="32"/>
              <w:szCs w:val="32"/>
            </w:rPr>
            <w:fldChar w:fldCharType="separate"/>
          </w:r>
          <w:r>
            <w:rPr>
              <w:rFonts w:eastAsia="楷体_GB2312"/>
              <w:color w:val="000000" w:themeColor="text1"/>
              <w:sz w:val="32"/>
              <w:szCs w:val="32"/>
            </w:rPr>
            <w:t>34</w:t>
          </w:r>
          <w:r>
            <w:rPr>
              <w:rFonts w:eastAsia="楷体_GB2312"/>
              <w:color w:val="000000" w:themeColor="text1"/>
              <w:sz w:val="32"/>
              <w:szCs w:val="32"/>
            </w:rPr>
            <w:fldChar w:fldCharType="end"/>
          </w:r>
          <w:r>
            <w:rPr>
              <w:rFonts w:eastAsia="楷体_GB2312"/>
              <w:color w:val="000000" w:themeColor="text1"/>
              <w:sz w:val="32"/>
              <w:szCs w:val="32"/>
            </w:rPr>
            <w:fldChar w:fldCharType="end"/>
          </w:r>
        </w:p>
        <w:p>
          <w:pPr>
            <w:spacing w:line="576" w:lineRule="exact"/>
            <w:rPr>
              <w:color w:val="000000" w:themeColor="text1"/>
            </w:rPr>
          </w:pPr>
          <w:r>
            <w:rPr>
              <w:rFonts w:hint="eastAsia" w:ascii="楷体_GB2312" w:eastAsia="楷体_GB2312"/>
              <w:color w:val="000000" w:themeColor="text1"/>
              <w:sz w:val="32"/>
              <w:szCs w:val="32"/>
            </w:rPr>
            <w:fldChar w:fldCharType="end"/>
          </w:r>
        </w:p>
      </w:sdtContent>
    </w:sdt>
    <w:p>
      <w:pPr>
        <w:widowControl/>
        <w:spacing w:line="560" w:lineRule="exact"/>
        <w:jc w:val="center"/>
        <w:rPr>
          <w:rFonts w:hint="eastAsia" w:hAnsi="黑体" w:eastAsia="黑体"/>
          <w:color w:val="000000" w:themeColor="text1"/>
          <w:sz w:val="48"/>
          <w:szCs w:val="48"/>
        </w:rPr>
      </w:pPr>
    </w:p>
    <w:p>
      <w:pPr>
        <w:pStyle w:val="12"/>
        <w:adjustRightInd w:val="0"/>
        <w:snapToGrid w:val="0"/>
        <w:spacing w:line="560" w:lineRule="exact"/>
        <w:jc w:val="left"/>
        <w:rPr>
          <w:rFonts w:eastAsiaTheme="minorEastAsia"/>
          <w:color w:val="000000" w:themeColor="text1"/>
          <w:sz w:val="24"/>
        </w:rPr>
      </w:pPr>
      <w:bookmarkStart w:id="12" w:name="_Toc15396599"/>
      <w:bookmarkStart w:id="13" w:name="_Toc15377196"/>
    </w:p>
    <w:p>
      <w:pPr>
        <w:widowControl/>
        <w:spacing w:line="560" w:lineRule="exact"/>
        <w:jc w:val="left"/>
        <w:rPr>
          <w:rFonts w:eastAsia="仿宋_GB2312"/>
          <w:b/>
          <w:color w:val="000000" w:themeColor="text1"/>
          <w:sz w:val="24"/>
        </w:rPr>
      </w:pPr>
    </w:p>
    <w:p>
      <w:pPr>
        <w:pStyle w:val="2"/>
        <w:spacing w:before="93"/>
        <w:rPr>
          <w:rFonts w:ascii="Times New Roman"/>
          <w:color w:val="000000" w:themeColor="text1"/>
        </w:rPr>
        <w:sectPr>
          <w:headerReference r:id="rId3" w:type="default"/>
          <w:pgSz w:w="11906" w:h="16838"/>
          <w:pgMar w:top="2098" w:right="1474" w:bottom="1984" w:left="1587" w:header="851" w:footer="992" w:gutter="0"/>
          <w:pgNumType w:start="1"/>
          <w:cols w:space="425" w:num="1"/>
          <w:titlePg/>
          <w:docGrid w:type="lines" w:linePitch="312" w:charSpace="0"/>
        </w:sectPr>
      </w:pPr>
    </w:p>
    <w:p>
      <w:pPr>
        <w:pStyle w:val="3"/>
        <w:spacing w:before="0" w:after="0" w:line="576" w:lineRule="exact"/>
        <w:jc w:val="center"/>
        <w:rPr>
          <w:rStyle w:val="28"/>
          <w:rFonts w:eastAsia="黑体"/>
          <w:b w:val="0"/>
          <w:bCs w:val="0"/>
          <w:color w:val="000000" w:themeColor="text1"/>
        </w:rPr>
      </w:pPr>
      <w:bookmarkStart w:id="14" w:name="_Toc146632952"/>
      <w:r>
        <w:rPr>
          <w:rFonts w:hAnsi="黑体" w:eastAsia="黑体"/>
          <w:b w:val="0"/>
          <w:color w:val="000000" w:themeColor="text1"/>
        </w:rPr>
        <w:t>第一部分</w:t>
      </w:r>
      <w:r>
        <w:rPr>
          <w:rFonts w:hint="eastAsia" w:eastAsia="黑体"/>
          <w:b w:val="0"/>
          <w:color w:val="000000" w:themeColor="text1"/>
        </w:rPr>
        <w:t>　</w:t>
      </w:r>
      <w:r>
        <w:rPr>
          <w:rFonts w:hAnsi="黑体" w:eastAsia="黑体"/>
          <w:b w:val="0"/>
          <w:color w:val="000000" w:themeColor="text1"/>
        </w:rPr>
        <w:t>部门</w:t>
      </w:r>
      <w:r>
        <w:rPr>
          <w:rStyle w:val="28"/>
          <w:rFonts w:hAnsi="黑体" w:eastAsia="黑体"/>
          <w:b w:val="0"/>
          <w:bCs w:val="0"/>
          <w:color w:val="000000" w:themeColor="text1"/>
        </w:rPr>
        <w:t>概况</w:t>
      </w:r>
      <w:bookmarkEnd w:id="12"/>
      <w:bookmarkEnd w:id="13"/>
      <w:bookmarkEnd w:id="14"/>
    </w:p>
    <w:p>
      <w:pPr>
        <w:spacing w:line="576" w:lineRule="exact"/>
        <w:rPr>
          <w:color w:val="000000" w:themeColor="text1"/>
        </w:rPr>
      </w:pPr>
    </w:p>
    <w:p>
      <w:pPr>
        <w:pStyle w:val="4"/>
        <w:spacing w:before="0" w:after="0" w:line="576" w:lineRule="exact"/>
        <w:ind w:firstLine="640" w:firstLineChars="200"/>
        <w:rPr>
          <w:rFonts w:ascii="Times New Roman" w:hAnsi="Times New Roman" w:eastAsia="黑体" w:cs="Times New Roman"/>
          <w:b w:val="0"/>
          <w:color w:val="000000" w:themeColor="text1"/>
        </w:rPr>
      </w:pPr>
      <w:bookmarkStart w:id="15" w:name="_Toc146632953"/>
      <w:bookmarkStart w:id="16" w:name="_Toc15396600"/>
      <w:bookmarkStart w:id="17" w:name="_Toc15377197"/>
      <w:r>
        <w:rPr>
          <w:rFonts w:ascii="Times New Roman" w:hAnsi="黑体" w:eastAsia="黑体" w:cs="Times New Roman"/>
          <w:b w:val="0"/>
          <w:color w:val="000000" w:themeColor="text1"/>
        </w:rPr>
        <w:t>一、部门职责</w:t>
      </w:r>
      <w:bookmarkEnd w:id="15"/>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w:t>
      </w:r>
      <w:r>
        <w:rPr>
          <w:rFonts w:hAnsi="仿宋_GB2312" w:eastAsia="仿宋_GB2312"/>
          <w:color w:val="000000" w:themeColor="text1"/>
          <w:sz w:val="32"/>
          <w:szCs w:val="32"/>
        </w:rPr>
        <w:t>贯彻落实国家、省、市有关商务和经济合作的各项方针、政策和法律、法规；拟订全区商务和经济合作工作的发展战略、发展规划、年度计划、政策措施；负责全区商务和经济合作工作的统筹协调，研究拟订促进全区商务、经济合作的相关措施并监督实施；负责对全区商务和经济合作目标责任单位的专项考核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w:t>
      </w:r>
      <w:r>
        <w:rPr>
          <w:rFonts w:hAnsi="仿宋_GB2312" w:eastAsia="仿宋_GB2312"/>
          <w:color w:val="000000" w:themeColor="text1"/>
          <w:sz w:val="32"/>
          <w:szCs w:val="32"/>
        </w:rPr>
        <w:t>负责经济合作项目的编制、储备、包装、论证、推介工作；负责经济合作信息的收集、追踪工作；牵头经济合作项目的洽谈、跟踪、签约、协调、督促，搞好</w:t>
      </w:r>
      <w:r>
        <w:rPr>
          <w:rFonts w:eastAsia="仿宋_GB2312"/>
          <w:color w:val="000000" w:themeColor="text1"/>
          <w:sz w:val="32"/>
          <w:szCs w:val="32"/>
        </w:rPr>
        <w:t>“</w:t>
      </w:r>
      <w:r>
        <w:rPr>
          <w:rFonts w:hAnsi="仿宋_GB2312" w:eastAsia="仿宋_GB2312"/>
          <w:color w:val="000000" w:themeColor="text1"/>
          <w:sz w:val="32"/>
          <w:szCs w:val="32"/>
        </w:rPr>
        <w:t>一站式</w:t>
      </w:r>
      <w:r>
        <w:rPr>
          <w:rFonts w:eastAsia="仿宋_GB2312"/>
          <w:color w:val="000000" w:themeColor="text1"/>
          <w:sz w:val="32"/>
          <w:szCs w:val="32"/>
        </w:rPr>
        <w:t>”</w:t>
      </w:r>
      <w:r>
        <w:rPr>
          <w:rFonts w:hAnsi="仿宋_GB2312" w:eastAsia="仿宋_GB2312"/>
          <w:color w:val="000000" w:themeColor="text1"/>
          <w:sz w:val="32"/>
          <w:szCs w:val="32"/>
        </w:rPr>
        <w:t>服务；负责与我区驻各地商会、知名企业等组织的对外联络、咨询服务等工作；负责经济合作项目统计及上报工作。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3.</w:t>
      </w:r>
      <w:r>
        <w:rPr>
          <w:rFonts w:hAnsi="仿宋_GB2312" w:eastAsia="仿宋_GB2312"/>
          <w:color w:val="000000" w:themeColor="text1"/>
          <w:sz w:val="32"/>
          <w:szCs w:val="32"/>
        </w:rPr>
        <w:t>承担全区服务业发展工作中组织实施的协调职责，牵头制定全区现代服务业发展规划，负责现代服务业发展的综合协调、指导职责；调查研究现代服务业发展中的重大问题，提出政策建议。负责批发、零售、餐饮业、娱乐业、住宿业和居民服务业等行业的发展指导，按有关规定对典当、租赁、旧货市场等行业进行监督管理，负责汽车报废及更新、药品流通、再生资源回收等行业指导管理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4.</w:t>
      </w:r>
      <w:r>
        <w:rPr>
          <w:rFonts w:hAnsi="仿宋_GB2312" w:eastAsia="仿宋_GB2312"/>
          <w:color w:val="000000" w:themeColor="text1"/>
          <w:sz w:val="32"/>
          <w:szCs w:val="32"/>
        </w:rPr>
        <w:t>研究提出引导国内外资金投向区内市场体系建设的具体政策措施，制定全区商贸流通发展规划和物流规划并组织实施；培育建设全区商贸流通体系，发展城乡市场；推进流通产业结构调整，发展连锁经营、物流配送、电子商务等现代流通方式；协调商品市场建设和商业设施建设中的有关问题；指导全区流通领域建立现代企业制度工作，促进城乡市场一体化发展。</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Ansi="仿宋_GB2312" w:eastAsia="仿宋_GB2312"/>
          <w:color w:val="000000" w:themeColor="text1"/>
          <w:sz w:val="32"/>
          <w:szCs w:val="32"/>
        </w:rPr>
        <w:t>承担牵头协调全区整顿和规范市场经济秩序工作的责任；落实国家、省、市规范市场运行、流通秩序和打破市场垄断、地区封锁的政策；推动商务领域信用建设，指导商业信用销售，建立市场诚信公共服务平台；负责全区内外贸易有关行政许可事项。</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6.</w:t>
      </w:r>
      <w:r>
        <w:rPr>
          <w:rFonts w:hAnsi="仿宋_GB2312" w:eastAsia="仿宋_GB2312"/>
          <w:color w:val="000000" w:themeColor="text1"/>
          <w:sz w:val="32"/>
          <w:szCs w:val="32"/>
        </w:rPr>
        <w:t>承担组织实施重要消费品市场调控和重要生产资料流通管理的责任；监测分析市场运行、商品供求状况，调查分析商品价格信息，进行预测预警和信息引导和市场调控工作。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7.</w:t>
      </w:r>
      <w:r>
        <w:rPr>
          <w:rFonts w:hAnsi="仿宋_GB2312" w:eastAsia="仿宋_GB2312"/>
          <w:color w:val="000000" w:themeColor="text1"/>
          <w:sz w:val="32"/>
          <w:szCs w:val="32"/>
        </w:rPr>
        <w:t>执行国家制定的进出口商品管理办法、进出口目录和进出口商品配额招标政策；负责进出口配额、许可证申报、实施的协调与指导工作；负责上级下达我区关系国计民生的重要工业品、原材料及重要农产品进出口计划的实施；贯彻落实鼓励出口政策，研究推广国际贸易方式，指导各类进出口业务相关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8.</w:t>
      </w:r>
      <w:r>
        <w:rPr>
          <w:rFonts w:hAnsi="仿宋_GB2312" w:eastAsia="仿宋_GB2312"/>
          <w:color w:val="000000" w:themeColor="text1"/>
          <w:sz w:val="32"/>
          <w:szCs w:val="32"/>
        </w:rPr>
        <w:t>依法监督技术引进、设备进口、国家限制出口技术等工作；推进进出口贸易标准化工作；牵头负责发展服务贸易的相关工作，推动服务外包平台建设。</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9.</w:t>
      </w:r>
      <w:r>
        <w:rPr>
          <w:rFonts w:hAnsi="仿宋_GB2312" w:eastAsia="仿宋_GB2312"/>
          <w:color w:val="000000" w:themeColor="text1"/>
          <w:sz w:val="32"/>
          <w:szCs w:val="32"/>
        </w:rPr>
        <w:t>贯彻执行对港、澳、台地区的经贸政策、贸易中长期规划及管理规章；指导全区的经贸机构与港澳台地区有关经贸机构开展经贸合作。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10.</w:t>
      </w:r>
      <w:r>
        <w:rPr>
          <w:rFonts w:hAnsi="仿宋_GB2312" w:eastAsia="仿宋_GB2312"/>
          <w:color w:val="000000" w:themeColor="text1"/>
          <w:sz w:val="32"/>
          <w:szCs w:val="32"/>
        </w:rPr>
        <w:t>承担组织协调我区反倾销、反补贴保障措施和技术性贸易壁垒等与进出口公平贸易相关工作的责任；牵头开展对外贸易调查、产业损害调查；指导协调产业安全应对、企业在国外的反垄断应诉工作和国外对我区出口商品的反倾销、反补贴保障措施的应诉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11.</w:t>
      </w:r>
      <w:r>
        <w:rPr>
          <w:rFonts w:hAnsi="仿宋_GB2312" w:eastAsia="仿宋_GB2312"/>
          <w:color w:val="000000" w:themeColor="text1"/>
          <w:sz w:val="32"/>
          <w:szCs w:val="32"/>
        </w:rPr>
        <w:t>贯彻国家、省、市外商投资政策和改革方案，指导全区外商投资工作；统计分析全区外商投资情况，依法监督检查外商投资企业执行有关法律法规规章、合同章程的情况并协调解决有关问题。</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12.</w:t>
      </w:r>
      <w:r>
        <w:rPr>
          <w:rFonts w:hAnsi="仿宋_GB2312" w:eastAsia="仿宋_GB2312"/>
          <w:color w:val="000000" w:themeColor="text1"/>
          <w:sz w:val="32"/>
          <w:szCs w:val="32"/>
        </w:rPr>
        <w:t>负责全区对外经济合作工作，执行对外经济合作政策；依法管理和监督对外承包工程、对外劳务合作和出境就业工作；会同相关部门做好外派劳务和赴境外就业人员的权益保护工作；管理多双边对我区的无偿援助和赠款（不含财政合作项目下外国政府及国际金融组织对我区赠款）等发展合作业务。</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13.</w:t>
      </w:r>
      <w:r>
        <w:rPr>
          <w:rFonts w:hAnsi="仿宋_GB2312" w:eastAsia="仿宋_GB2312"/>
          <w:color w:val="000000" w:themeColor="text1"/>
          <w:sz w:val="32"/>
          <w:szCs w:val="32"/>
        </w:rPr>
        <w:t>指导监督以昭化区名义在区外举办的各种交易会、展览会、展销会等经贸活动；监督管理在区内举办的各种商贸交易会、展览会、展销会等活动；牵头协调有关部门参加国家、省、市举办的各种商贸交易会、展览会、展销会等工作。负责友好城市商贸活动交流与合作工作。</w:t>
      </w:r>
    </w:p>
    <w:p>
      <w:pPr>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14.</w:t>
      </w:r>
      <w:r>
        <w:rPr>
          <w:rFonts w:hAnsi="仿宋_GB2312" w:eastAsia="仿宋_GB2312"/>
          <w:color w:val="000000" w:themeColor="text1"/>
          <w:sz w:val="32"/>
          <w:szCs w:val="32"/>
        </w:rPr>
        <w:t>完成区委和区政府交办的其他任务。</w:t>
      </w:r>
    </w:p>
    <w:p>
      <w:pPr>
        <w:snapToGrid w:val="0"/>
        <w:spacing w:line="576" w:lineRule="exact"/>
        <w:ind w:firstLine="640" w:firstLineChars="200"/>
        <w:rPr>
          <w:rFonts w:eastAsia="仿宋_GB2312"/>
          <w:bCs/>
          <w:color w:val="000000" w:themeColor="text1"/>
          <w:sz w:val="32"/>
          <w:szCs w:val="32"/>
        </w:rPr>
      </w:pPr>
      <w:r>
        <w:rPr>
          <w:rFonts w:eastAsia="仿宋_GB2312"/>
          <w:color w:val="000000" w:themeColor="text1"/>
          <w:sz w:val="32"/>
          <w:szCs w:val="32"/>
        </w:rPr>
        <w:t>15.</w:t>
      </w:r>
      <w:r>
        <w:rPr>
          <w:rFonts w:hAnsi="仿宋_GB2312" w:eastAsia="仿宋_GB2312"/>
          <w:color w:val="000000" w:themeColor="text1"/>
          <w:sz w:val="32"/>
          <w:szCs w:val="32"/>
        </w:rPr>
        <w:t>承办区政府交办的其他事项。</w:t>
      </w:r>
    </w:p>
    <w:p>
      <w:pPr>
        <w:pStyle w:val="4"/>
        <w:spacing w:before="0" w:after="0" w:line="576" w:lineRule="exact"/>
        <w:ind w:firstLine="640" w:firstLineChars="200"/>
        <w:rPr>
          <w:rFonts w:ascii="Times New Roman" w:hAnsi="Times New Roman" w:eastAsia="黑体" w:cs="Times New Roman"/>
          <w:b w:val="0"/>
          <w:color w:val="000000" w:themeColor="text1"/>
        </w:rPr>
      </w:pPr>
      <w:bookmarkStart w:id="18" w:name="_Toc146632954"/>
      <w:r>
        <w:rPr>
          <w:rFonts w:ascii="Times New Roman" w:hAnsi="黑体" w:eastAsia="黑体" w:cs="Times New Roman"/>
          <w:b w:val="0"/>
          <w:color w:val="000000" w:themeColor="text1"/>
        </w:rPr>
        <w:t>二、</w:t>
      </w:r>
      <w:bookmarkEnd w:id="16"/>
      <w:bookmarkEnd w:id="17"/>
      <w:r>
        <w:rPr>
          <w:rFonts w:ascii="Times New Roman" w:hAnsi="黑体" w:eastAsia="黑体" w:cs="Times New Roman"/>
          <w:b w:val="0"/>
          <w:color w:val="000000" w:themeColor="text1"/>
        </w:rPr>
        <w:t>机构设置</w:t>
      </w:r>
      <w:bookmarkEnd w:id="18"/>
    </w:p>
    <w:p>
      <w:pPr>
        <w:pStyle w:val="2"/>
        <w:spacing w:beforeLines="0" w:line="576" w:lineRule="exact"/>
        <w:ind w:firstLine="640" w:firstLineChars="200"/>
        <w:rPr>
          <w:rFonts w:ascii="Times New Roman"/>
          <w:color w:val="000000" w:themeColor="text1"/>
          <w:sz w:val="32"/>
          <w:szCs w:val="32"/>
        </w:rPr>
      </w:pPr>
      <w:bookmarkStart w:id="19" w:name="_Toc15396602"/>
      <w:bookmarkStart w:id="20" w:name="_Toc15377204"/>
      <w:r>
        <w:rPr>
          <w:rFonts w:ascii="Times New Roman"/>
          <w:color w:val="000000" w:themeColor="text1"/>
          <w:sz w:val="32"/>
          <w:szCs w:val="32"/>
        </w:rPr>
        <w:t>广元市昭化区商务和经济合作局无下设二级预算部门，下设独立编制机构0个，其中行政机构0个，参照公务员法管理的事业机构0个，其他事业机构0个。</w:t>
      </w: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40" w:firstLineChars="200"/>
        <w:rPr>
          <w:rFonts w:ascii="Times New Roman"/>
          <w:color w:val="000000" w:themeColor="text1"/>
          <w:sz w:val="32"/>
          <w:szCs w:val="32"/>
        </w:rPr>
      </w:pPr>
    </w:p>
    <w:p>
      <w:pPr>
        <w:pStyle w:val="2"/>
        <w:spacing w:before="93"/>
        <w:ind w:firstLine="600" w:firstLineChars="200"/>
        <w:rPr>
          <w:rFonts w:ascii="Times New Roman"/>
          <w:color w:val="000000" w:themeColor="text1"/>
        </w:rPr>
      </w:pPr>
    </w:p>
    <w:p>
      <w:pPr>
        <w:pStyle w:val="2"/>
        <w:spacing w:before="93"/>
        <w:ind w:firstLine="600" w:firstLineChars="200"/>
        <w:rPr>
          <w:rFonts w:ascii="Times New Roman"/>
          <w:color w:val="000000" w:themeColor="text1"/>
        </w:rPr>
      </w:pPr>
    </w:p>
    <w:p>
      <w:pPr>
        <w:pStyle w:val="3"/>
        <w:spacing w:before="0" w:after="0" w:line="576" w:lineRule="exact"/>
        <w:jc w:val="center"/>
        <w:rPr>
          <w:rFonts w:eastAsia="黑体"/>
          <w:b w:val="0"/>
          <w:color w:val="000000" w:themeColor="text1"/>
        </w:rPr>
      </w:pPr>
      <w:bookmarkStart w:id="21" w:name="_Toc146632955"/>
      <w:r>
        <w:rPr>
          <w:rFonts w:hAnsi="黑体" w:eastAsia="黑体"/>
          <w:b w:val="0"/>
          <w:color w:val="000000" w:themeColor="text1"/>
        </w:rPr>
        <w:t>第二部分</w:t>
      </w:r>
      <w:r>
        <w:rPr>
          <w:rFonts w:eastAsia="黑体"/>
          <w:b w:val="0"/>
          <w:color w:val="000000" w:themeColor="text1"/>
        </w:rPr>
        <w:t xml:space="preserve"> 2022</w:t>
      </w:r>
      <w:r>
        <w:rPr>
          <w:rFonts w:hAnsi="黑体" w:eastAsia="黑体"/>
          <w:b w:val="0"/>
          <w:color w:val="000000" w:themeColor="text1"/>
        </w:rPr>
        <w:t>年度部门决算情况说明</w:t>
      </w:r>
      <w:bookmarkEnd w:id="19"/>
      <w:bookmarkEnd w:id="20"/>
      <w:bookmarkEnd w:id="21"/>
    </w:p>
    <w:p>
      <w:pPr>
        <w:spacing w:line="576" w:lineRule="exact"/>
        <w:ind w:firstLine="640" w:firstLineChars="200"/>
        <w:rPr>
          <w:rFonts w:eastAsia="仿宋_GB2312"/>
          <w:color w:val="000000" w:themeColor="text1"/>
          <w:sz w:val="32"/>
          <w:szCs w:val="32"/>
        </w:rPr>
      </w:pPr>
    </w:p>
    <w:p>
      <w:pPr>
        <w:pStyle w:val="27"/>
        <w:numPr>
          <w:ilvl w:val="0"/>
          <w:numId w:val="1"/>
        </w:numPr>
        <w:spacing w:line="576" w:lineRule="exact"/>
        <w:ind w:firstLineChars="0"/>
        <w:outlineLvl w:val="1"/>
        <w:rPr>
          <w:rStyle w:val="29"/>
          <w:rFonts w:ascii="Times New Roman" w:hAnsi="Times New Roman" w:eastAsia="黑体" w:cs="Times New Roman"/>
          <w:b w:val="0"/>
          <w:color w:val="000000" w:themeColor="text1"/>
        </w:rPr>
      </w:pPr>
      <w:bookmarkStart w:id="22" w:name="_Toc15377205"/>
      <w:bookmarkStart w:id="23" w:name="_Toc15396603"/>
      <w:bookmarkStart w:id="24" w:name="_Toc146632956"/>
      <w:r>
        <w:rPr>
          <w:rFonts w:hAnsi="黑体" w:eastAsia="黑体"/>
          <w:color w:val="000000" w:themeColor="text1"/>
          <w:sz w:val="32"/>
          <w:szCs w:val="32"/>
        </w:rPr>
        <w:t>收</w:t>
      </w:r>
      <w:r>
        <w:rPr>
          <w:rStyle w:val="29"/>
          <w:rFonts w:ascii="Times New Roman" w:hAnsi="黑体" w:eastAsia="黑体" w:cs="Times New Roman"/>
          <w:b w:val="0"/>
          <w:color w:val="000000" w:themeColor="text1"/>
        </w:rPr>
        <w:t>入支出决算总体情况说明</w:t>
      </w:r>
      <w:bookmarkEnd w:id="22"/>
      <w:bookmarkEnd w:id="23"/>
      <w:bookmarkEnd w:id="24"/>
    </w:p>
    <w:p>
      <w:pPr>
        <w:spacing w:line="576" w:lineRule="exact"/>
        <w:ind w:firstLine="420" w:firstLineChars="200"/>
        <w:rPr>
          <w:rFonts w:eastAsia="仿宋_GB2312"/>
          <w:color w:val="000000" w:themeColor="text1"/>
          <w:sz w:val="32"/>
          <w:szCs w:val="32"/>
        </w:rPr>
      </w:pPr>
      <w:r>
        <w:rPr>
          <w:color w:val="000000" w:themeColor="text1"/>
        </w:rPr>
        <w:drawing>
          <wp:anchor distT="0" distB="0" distL="114300" distR="114300" simplePos="0" relativeHeight="251664384" behindDoc="0" locked="0" layoutInCell="1" allowOverlap="1">
            <wp:simplePos x="0" y="0"/>
            <wp:positionH relativeFrom="column">
              <wp:posOffset>404495</wp:posOffset>
            </wp:positionH>
            <wp:positionV relativeFrom="paragraph">
              <wp:posOffset>1549400</wp:posOffset>
            </wp:positionV>
            <wp:extent cx="4826000" cy="2743200"/>
            <wp:effectExtent l="4445" t="4445" r="8255" b="1460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eastAsia="仿宋_GB2312"/>
          <w:color w:val="000000" w:themeColor="text1"/>
          <w:sz w:val="32"/>
          <w:szCs w:val="32"/>
        </w:rPr>
        <w:t>2022</w:t>
      </w:r>
      <w:r>
        <w:rPr>
          <w:rFonts w:hAnsi="仿宋" w:eastAsia="仿宋_GB2312"/>
          <w:color w:val="000000" w:themeColor="text1"/>
          <w:sz w:val="32"/>
          <w:szCs w:val="32"/>
        </w:rPr>
        <w:t>年度收、支总计</w:t>
      </w:r>
      <w:r>
        <w:rPr>
          <w:rFonts w:eastAsia="仿宋_GB2312"/>
          <w:color w:val="000000" w:themeColor="text1"/>
          <w:sz w:val="32"/>
          <w:szCs w:val="32"/>
        </w:rPr>
        <w:t>1519.17</w:t>
      </w:r>
      <w:r>
        <w:rPr>
          <w:rFonts w:hAnsi="仿宋" w:eastAsia="仿宋_GB2312"/>
          <w:color w:val="000000" w:themeColor="text1"/>
          <w:sz w:val="32"/>
          <w:szCs w:val="32"/>
        </w:rPr>
        <w:t>万元。与</w:t>
      </w:r>
      <w:r>
        <w:rPr>
          <w:rFonts w:eastAsia="仿宋_GB2312"/>
          <w:color w:val="000000" w:themeColor="text1"/>
          <w:sz w:val="32"/>
          <w:szCs w:val="32"/>
        </w:rPr>
        <w:t>2021</w:t>
      </w:r>
      <w:r>
        <w:rPr>
          <w:rFonts w:hAnsi="仿宋" w:eastAsia="仿宋_GB2312"/>
          <w:color w:val="000000" w:themeColor="text1"/>
          <w:sz w:val="32"/>
          <w:szCs w:val="32"/>
        </w:rPr>
        <w:t>年相比，收、支总计各增加</w:t>
      </w:r>
      <w:r>
        <w:rPr>
          <w:rFonts w:eastAsia="仿宋_GB2312"/>
          <w:color w:val="000000" w:themeColor="text1"/>
          <w:sz w:val="32"/>
          <w:szCs w:val="32"/>
        </w:rPr>
        <w:t>872.3</w:t>
      </w:r>
      <w:r>
        <w:rPr>
          <w:rFonts w:hAnsi="仿宋" w:eastAsia="仿宋_GB2312"/>
          <w:color w:val="000000" w:themeColor="text1"/>
          <w:sz w:val="32"/>
          <w:szCs w:val="32"/>
        </w:rPr>
        <w:t>万元，增加</w:t>
      </w:r>
      <w:r>
        <w:rPr>
          <w:rFonts w:eastAsia="仿宋_GB2312"/>
          <w:color w:val="000000" w:themeColor="text1"/>
          <w:sz w:val="32"/>
          <w:szCs w:val="32"/>
        </w:rPr>
        <w:t>34.8%</w:t>
      </w:r>
      <w:r>
        <w:rPr>
          <w:rFonts w:hAnsi="仿宋" w:eastAsia="仿宋_GB2312"/>
          <w:color w:val="000000" w:themeColor="text1"/>
          <w:sz w:val="32"/>
          <w:szCs w:val="32"/>
        </w:rPr>
        <w:t>。主要变动原因：一是本年度一般公共财政拨款收入较上年多安排指标</w:t>
      </w:r>
      <w:r>
        <w:rPr>
          <w:rFonts w:eastAsia="仿宋_GB2312"/>
          <w:color w:val="000000" w:themeColor="text1"/>
          <w:sz w:val="32"/>
          <w:szCs w:val="32"/>
        </w:rPr>
        <w:t>549.42</w:t>
      </w:r>
      <w:r>
        <w:rPr>
          <w:rFonts w:hAnsi="仿宋" w:eastAsia="仿宋_GB2312"/>
          <w:color w:val="000000" w:themeColor="text1"/>
          <w:sz w:val="32"/>
          <w:szCs w:val="32"/>
        </w:rPr>
        <w:t>万元；二是本年度较上年度多安排政府基金预算</w:t>
      </w:r>
      <w:r>
        <w:rPr>
          <w:rFonts w:eastAsia="仿宋_GB2312"/>
          <w:color w:val="000000" w:themeColor="text1"/>
          <w:sz w:val="32"/>
          <w:szCs w:val="32"/>
        </w:rPr>
        <w:t>366.49</w:t>
      </w:r>
      <w:r>
        <w:rPr>
          <w:rFonts w:hAnsi="仿宋" w:eastAsia="仿宋_GB2312"/>
          <w:color w:val="000000" w:themeColor="text1"/>
          <w:sz w:val="32"/>
          <w:szCs w:val="32"/>
        </w:rPr>
        <w:t>万元。</w:t>
      </w:r>
    </w:p>
    <w:p>
      <w:pPr>
        <w:pStyle w:val="2"/>
        <w:spacing w:beforeLines="0" w:line="576" w:lineRule="exact"/>
        <w:jc w:val="center"/>
        <w:rPr>
          <w:rFonts w:ascii="Times New Roman"/>
          <w:color w:val="000000" w:themeColor="text1"/>
          <w:sz w:val="32"/>
          <w:szCs w:val="32"/>
        </w:rPr>
      </w:pPr>
      <w:bookmarkStart w:id="25" w:name="_Toc15396604"/>
      <w:bookmarkStart w:id="26" w:name="_Toc15377206"/>
      <w:r>
        <w:rPr>
          <w:rFonts w:ascii="Times New Roman" w:hAnsi="仿宋"/>
          <w:color w:val="000000" w:themeColor="text1"/>
          <w:sz w:val="32"/>
          <w:szCs w:val="32"/>
        </w:rPr>
        <w:t>（图</w:t>
      </w:r>
      <w:r>
        <w:rPr>
          <w:rFonts w:ascii="Times New Roman"/>
          <w:color w:val="000000" w:themeColor="text1"/>
          <w:sz w:val="32"/>
          <w:szCs w:val="32"/>
        </w:rPr>
        <w:t>1</w:t>
      </w:r>
      <w:r>
        <w:rPr>
          <w:rFonts w:ascii="Times New Roman" w:hAnsi="仿宋"/>
          <w:color w:val="000000" w:themeColor="text1"/>
          <w:sz w:val="32"/>
          <w:szCs w:val="32"/>
        </w:rPr>
        <w:t>：收、支决算总计变动情况图）</w:t>
      </w:r>
    </w:p>
    <w:p>
      <w:pPr>
        <w:pStyle w:val="27"/>
        <w:numPr>
          <w:ilvl w:val="0"/>
          <w:numId w:val="1"/>
        </w:numPr>
        <w:spacing w:line="576" w:lineRule="exact"/>
        <w:ind w:firstLineChars="0"/>
        <w:outlineLvl w:val="1"/>
        <w:rPr>
          <w:rStyle w:val="29"/>
          <w:rFonts w:ascii="Times New Roman" w:hAnsi="Times New Roman" w:eastAsia="黑体" w:cs="Times New Roman"/>
          <w:b w:val="0"/>
          <w:color w:val="000000" w:themeColor="text1"/>
        </w:rPr>
      </w:pPr>
      <w:bookmarkStart w:id="27" w:name="_Toc146632957"/>
      <w:r>
        <w:rPr>
          <w:rFonts w:hAnsi="黑体" w:eastAsia="黑体"/>
          <w:color w:val="000000" w:themeColor="text1"/>
          <w:sz w:val="32"/>
          <w:szCs w:val="32"/>
        </w:rPr>
        <w:t>收</w:t>
      </w:r>
      <w:r>
        <w:rPr>
          <w:rStyle w:val="29"/>
          <w:rFonts w:ascii="Times New Roman" w:hAnsi="黑体" w:eastAsia="黑体" w:cs="Times New Roman"/>
          <w:b w:val="0"/>
          <w:color w:val="000000" w:themeColor="text1"/>
        </w:rPr>
        <w:t>入决算情况说明</w:t>
      </w:r>
      <w:bookmarkEnd w:id="25"/>
      <w:bookmarkEnd w:id="26"/>
      <w:bookmarkEnd w:id="27"/>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年本年收入合计</w:t>
      </w:r>
      <w:r>
        <w:rPr>
          <w:rFonts w:eastAsia="仿宋_GB2312"/>
          <w:color w:val="000000" w:themeColor="text1"/>
          <w:sz w:val="32"/>
          <w:szCs w:val="32"/>
        </w:rPr>
        <w:t>1519.17</w:t>
      </w:r>
      <w:r>
        <w:rPr>
          <w:rFonts w:hAnsi="仿宋" w:eastAsia="仿宋_GB2312"/>
          <w:color w:val="000000" w:themeColor="text1"/>
          <w:sz w:val="32"/>
          <w:szCs w:val="32"/>
        </w:rPr>
        <w:t>万元，其中：一般公共预算财政拨款收入</w:t>
      </w:r>
      <w:r>
        <w:rPr>
          <w:rFonts w:eastAsia="仿宋_GB2312"/>
          <w:color w:val="000000" w:themeColor="text1"/>
          <w:sz w:val="32"/>
          <w:szCs w:val="32"/>
        </w:rPr>
        <w:t>1002.6</w:t>
      </w:r>
      <w:r>
        <w:rPr>
          <w:rFonts w:hAnsi="仿宋" w:eastAsia="仿宋_GB2312"/>
          <w:color w:val="000000" w:themeColor="text1"/>
          <w:sz w:val="32"/>
          <w:szCs w:val="32"/>
        </w:rPr>
        <w:t>万元，占</w:t>
      </w:r>
      <w:r>
        <w:rPr>
          <w:rFonts w:eastAsia="仿宋_GB2312"/>
          <w:color w:val="000000" w:themeColor="text1"/>
          <w:sz w:val="32"/>
          <w:szCs w:val="32"/>
        </w:rPr>
        <w:t>66%</w:t>
      </w:r>
      <w:r>
        <w:rPr>
          <w:rFonts w:hAnsi="仿宋" w:eastAsia="仿宋_GB2312"/>
          <w:color w:val="000000" w:themeColor="text1"/>
          <w:sz w:val="32"/>
          <w:szCs w:val="32"/>
        </w:rPr>
        <w:t>；政府性基金预算财政拨款收入</w:t>
      </w:r>
      <w:r>
        <w:rPr>
          <w:rFonts w:eastAsia="仿宋_GB2312"/>
          <w:color w:val="000000" w:themeColor="text1"/>
          <w:sz w:val="32"/>
          <w:szCs w:val="32"/>
        </w:rPr>
        <w:t>516.57</w:t>
      </w:r>
      <w:r>
        <w:rPr>
          <w:rFonts w:hAnsi="仿宋" w:eastAsia="仿宋_GB2312"/>
          <w:color w:val="000000" w:themeColor="text1"/>
          <w:sz w:val="32"/>
          <w:szCs w:val="32"/>
        </w:rPr>
        <w:t>万元，占</w:t>
      </w:r>
      <w:r>
        <w:rPr>
          <w:rFonts w:eastAsia="仿宋_GB2312"/>
          <w:color w:val="000000" w:themeColor="text1"/>
          <w:sz w:val="32"/>
          <w:szCs w:val="32"/>
        </w:rPr>
        <w:t>34%</w:t>
      </w:r>
      <w:r>
        <w:rPr>
          <w:rFonts w:hAnsi="仿宋" w:eastAsia="仿宋_GB2312"/>
          <w:color w:val="000000" w:themeColor="text1"/>
          <w:sz w:val="32"/>
          <w:szCs w:val="32"/>
        </w:rPr>
        <w:t>。</w:t>
      </w:r>
    </w:p>
    <w:p>
      <w:pPr>
        <w:pStyle w:val="2"/>
        <w:spacing w:beforeLines="0" w:line="576" w:lineRule="exact"/>
        <w:jc w:val="center"/>
        <w:rPr>
          <w:rFonts w:ascii="Times New Roman"/>
          <w:color w:val="000000" w:themeColor="text1"/>
          <w:sz w:val="32"/>
          <w:szCs w:val="32"/>
        </w:rPr>
      </w:pPr>
      <w:r>
        <w:rPr>
          <w:rFonts w:ascii="Times New Roman"/>
          <w:color w:val="000000" w:themeColor="text1"/>
        </w:rPr>
        <w:drawing>
          <wp:anchor distT="0" distB="0" distL="114300" distR="114300" simplePos="0" relativeHeight="251662336" behindDoc="0" locked="0" layoutInCell="1" allowOverlap="1">
            <wp:simplePos x="0" y="0"/>
            <wp:positionH relativeFrom="column">
              <wp:posOffset>356870</wp:posOffset>
            </wp:positionH>
            <wp:positionV relativeFrom="paragraph">
              <wp:posOffset>91440</wp:posOffset>
            </wp:positionV>
            <wp:extent cx="4826000" cy="2743200"/>
            <wp:effectExtent l="4445" t="4445" r="8255" b="1460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77207"/>
      <w:bookmarkStart w:id="29" w:name="_Toc15396605"/>
      <w:r>
        <w:rPr>
          <w:rFonts w:ascii="Times New Roman" w:hAnsi="仿宋"/>
          <w:color w:val="000000" w:themeColor="text1"/>
          <w:sz w:val="32"/>
          <w:szCs w:val="32"/>
        </w:rPr>
        <w:t>（图</w:t>
      </w:r>
      <w:r>
        <w:rPr>
          <w:rFonts w:ascii="Times New Roman"/>
          <w:color w:val="000000" w:themeColor="text1"/>
          <w:sz w:val="32"/>
          <w:szCs w:val="32"/>
        </w:rPr>
        <w:t>2</w:t>
      </w:r>
      <w:r>
        <w:rPr>
          <w:rFonts w:ascii="Times New Roman" w:hAnsi="仿宋"/>
          <w:color w:val="000000" w:themeColor="text1"/>
          <w:sz w:val="32"/>
          <w:szCs w:val="32"/>
        </w:rPr>
        <w:t>：收入决算结构图）</w:t>
      </w:r>
    </w:p>
    <w:p>
      <w:pPr>
        <w:pStyle w:val="27"/>
        <w:numPr>
          <w:ilvl w:val="0"/>
          <w:numId w:val="1"/>
        </w:numPr>
        <w:spacing w:line="576" w:lineRule="exact"/>
        <w:ind w:firstLineChars="0"/>
        <w:outlineLvl w:val="1"/>
        <w:rPr>
          <w:rStyle w:val="29"/>
          <w:rFonts w:ascii="Times New Roman" w:hAnsi="Times New Roman" w:eastAsia="黑体" w:cs="Times New Roman"/>
          <w:b w:val="0"/>
          <w:color w:val="000000" w:themeColor="text1"/>
        </w:rPr>
      </w:pPr>
      <w:bookmarkStart w:id="30" w:name="_Toc146632958"/>
      <w:r>
        <w:rPr>
          <w:rFonts w:hAnsi="黑体" w:eastAsia="黑体"/>
          <w:color w:val="000000" w:themeColor="text1"/>
          <w:sz w:val="32"/>
          <w:szCs w:val="32"/>
        </w:rPr>
        <w:t>支</w:t>
      </w:r>
      <w:r>
        <w:rPr>
          <w:rStyle w:val="29"/>
          <w:rFonts w:ascii="Times New Roman" w:hAnsi="黑体" w:eastAsia="黑体" w:cs="Times New Roman"/>
          <w:b w:val="0"/>
          <w:color w:val="000000" w:themeColor="text1"/>
        </w:rPr>
        <w:t>出决算情况说明</w:t>
      </w:r>
      <w:bookmarkEnd w:id="28"/>
      <w:bookmarkEnd w:id="29"/>
      <w:bookmarkEnd w:id="30"/>
    </w:p>
    <w:p>
      <w:pPr>
        <w:spacing w:line="576" w:lineRule="exact"/>
        <w:ind w:firstLine="600" w:firstLineChars="286"/>
        <w:rPr>
          <w:color w:val="000000" w:themeColor="text1"/>
        </w:rPr>
      </w:pPr>
      <w:r>
        <w:rPr>
          <w:color w:val="000000" w:themeColor="text1"/>
        </w:rPr>
        <w:drawing>
          <wp:anchor distT="0" distB="0" distL="114300" distR="114300" simplePos="0" relativeHeight="251663360" behindDoc="0" locked="0" layoutInCell="1" allowOverlap="1">
            <wp:simplePos x="0" y="0"/>
            <wp:positionH relativeFrom="column">
              <wp:posOffset>518160</wp:posOffset>
            </wp:positionH>
            <wp:positionV relativeFrom="paragraph">
              <wp:posOffset>829310</wp:posOffset>
            </wp:positionV>
            <wp:extent cx="4826000" cy="2743200"/>
            <wp:effectExtent l="4445" t="4445" r="8255" b="14605"/>
            <wp:wrapTopAndBottom/>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eastAsia="仿宋_GB2312"/>
          <w:color w:val="000000" w:themeColor="text1"/>
          <w:sz w:val="32"/>
          <w:szCs w:val="32"/>
        </w:rPr>
        <w:t>2022</w:t>
      </w:r>
      <w:r>
        <w:rPr>
          <w:rFonts w:hAnsi="仿宋" w:eastAsia="仿宋_GB2312"/>
          <w:color w:val="000000" w:themeColor="text1"/>
          <w:sz w:val="32"/>
          <w:szCs w:val="32"/>
        </w:rPr>
        <w:t>年本年支出合计</w:t>
      </w:r>
      <w:r>
        <w:rPr>
          <w:rFonts w:eastAsia="仿宋_GB2312"/>
          <w:color w:val="000000" w:themeColor="text1"/>
          <w:sz w:val="32"/>
          <w:szCs w:val="32"/>
        </w:rPr>
        <w:t>1519.17</w:t>
      </w:r>
      <w:r>
        <w:rPr>
          <w:rFonts w:hAnsi="仿宋" w:eastAsia="仿宋_GB2312"/>
          <w:color w:val="000000" w:themeColor="text1"/>
          <w:sz w:val="32"/>
          <w:szCs w:val="32"/>
        </w:rPr>
        <w:t>万元，其中：基本支出</w:t>
      </w:r>
      <w:r>
        <w:rPr>
          <w:rFonts w:eastAsia="仿宋_GB2312"/>
          <w:color w:val="000000" w:themeColor="text1"/>
          <w:sz w:val="32"/>
          <w:szCs w:val="32"/>
        </w:rPr>
        <w:t>321.48</w:t>
      </w:r>
      <w:r>
        <w:rPr>
          <w:rFonts w:hAnsi="仿宋" w:eastAsia="仿宋_GB2312"/>
          <w:color w:val="000000" w:themeColor="text1"/>
          <w:sz w:val="32"/>
          <w:szCs w:val="32"/>
        </w:rPr>
        <w:t>万元，占</w:t>
      </w:r>
      <w:r>
        <w:rPr>
          <w:rFonts w:eastAsia="仿宋_GB2312"/>
          <w:color w:val="000000" w:themeColor="text1"/>
          <w:sz w:val="32"/>
          <w:szCs w:val="32"/>
        </w:rPr>
        <w:t>21.16%</w:t>
      </w:r>
      <w:r>
        <w:rPr>
          <w:rFonts w:hAnsi="仿宋" w:eastAsia="仿宋_GB2312"/>
          <w:color w:val="000000" w:themeColor="text1"/>
          <w:sz w:val="32"/>
          <w:szCs w:val="32"/>
        </w:rPr>
        <w:t>；项目支出</w:t>
      </w:r>
      <w:r>
        <w:rPr>
          <w:rFonts w:eastAsia="仿宋_GB2312"/>
          <w:color w:val="000000" w:themeColor="text1"/>
          <w:sz w:val="32"/>
          <w:szCs w:val="32"/>
        </w:rPr>
        <w:t>1197.69</w:t>
      </w:r>
      <w:r>
        <w:rPr>
          <w:rFonts w:hAnsi="仿宋" w:eastAsia="仿宋_GB2312"/>
          <w:color w:val="000000" w:themeColor="text1"/>
          <w:sz w:val="32"/>
          <w:szCs w:val="32"/>
        </w:rPr>
        <w:t>万元，占</w:t>
      </w:r>
      <w:r>
        <w:rPr>
          <w:rFonts w:eastAsia="仿宋_GB2312"/>
          <w:color w:val="000000" w:themeColor="text1"/>
          <w:sz w:val="32"/>
          <w:szCs w:val="32"/>
        </w:rPr>
        <w:t>78.84%</w:t>
      </w:r>
      <w:r>
        <w:rPr>
          <w:rFonts w:hAnsi="仿宋" w:eastAsia="仿宋_GB2312"/>
          <w:color w:val="000000" w:themeColor="text1"/>
          <w:sz w:val="32"/>
          <w:szCs w:val="32"/>
        </w:rPr>
        <w:t>。</w:t>
      </w:r>
    </w:p>
    <w:p>
      <w:pPr>
        <w:spacing w:line="576" w:lineRule="exact"/>
        <w:jc w:val="center"/>
        <w:rPr>
          <w:rFonts w:eastAsia="仿宋_GB2312"/>
          <w:color w:val="000000" w:themeColor="text1"/>
          <w:sz w:val="32"/>
          <w:szCs w:val="32"/>
        </w:rPr>
      </w:pPr>
      <w:r>
        <w:rPr>
          <w:rFonts w:hAnsi="仿宋" w:eastAsia="仿宋_GB2312"/>
          <w:color w:val="000000" w:themeColor="text1"/>
          <w:sz w:val="32"/>
          <w:szCs w:val="32"/>
        </w:rPr>
        <w:t>（图</w:t>
      </w:r>
      <w:r>
        <w:rPr>
          <w:rFonts w:eastAsia="仿宋_GB2312"/>
          <w:color w:val="000000" w:themeColor="text1"/>
          <w:sz w:val="32"/>
          <w:szCs w:val="32"/>
        </w:rPr>
        <w:t>3</w:t>
      </w:r>
      <w:r>
        <w:rPr>
          <w:rFonts w:hAnsi="仿宋" w:eastAsia="仿宋_GB2312"/>
          <w:color w:val="000000" w:themeColor="text1"/>
          <w:sz w:val="32"/>
          <w:szCs w:val="32"/>
        </w:rPr>
        <w:t>：支出决算结构图）</w:t>
      </w:r>
    </w:p>
    <w:p>
      <w:pPr>
        <w:pStyle w:val="19"/>
        <w:spacing w:line="576" w:lineRule="exact"/>
        <w:ind w:left="840" w:hanging="420"/>
        <w:rPr>
          <w:color w:val="000000" w:themeColor="text1"/>
        </w:rPr>
      </w:pPr>
    </w:p>
    <w:p>
      <w:pPr>
        <w:spacing w:line="576" w:lineRule="exact"/>
        <w:ind w:firstLine="640" w:firstLineChars="200"/>
        <w:outlineLvl w:val="1"/>
        <w:rPr>
          <w:rStyle w:val="29"/>
          <w:rFonts w:ascii="Times New Roman" w:hAnsi="Times New Roman" w:eastAsia="黑体" w:cs="Times New Roman"/>
          <w:b w:val="0"/>
          <w:color w:val="000000" w:themeColor="text1"/>
        </w:rPr>
      </w:pPr>
      <w:bookmarkStart w:id="31" w:name="_Toc15396606"/>
      <w:bookmarkStart w:id="32" w:name="_Toc15377208"/>
      <w:bookmarkStart w:id="33" w:name="_Toc146632959"/>
      <w:r>
        <w:rPr>
          <w:rFonts w:hAnsi="黑体" w:eastAsia="黑体"/>
          <w:color w:val="000000" w:themeColor="text1"/>
          <w:sz w:val="32"/>
          <w:szCs w:val="32"/>
        </w:rPr>
        <w:t>四、财</w:t>
      </w:r>
      <w:r>
        <w:rPr>
          <w:rStyle w:val="29"/>
          <w:rFonts w:ascii="Times New Roman" w:hAnsi="黑体" w:eastAsia="黑体" w:cs="Times New Roman"/>
          <w:b w:val="0"/>
          <w:color w:val="000000" w:themeColor="text1"/>
        </w:rPr>
        <w:t>政拨款收入支出决算总体情况说明</w:t>
      </w:r>
      <w:bookmarkEnd w:id="31"/>
      <w:bookmarkEnd w:id="32"/>
      <w:bookmarkEnd w:id="33"/>
    </w:p>
    <w:p>
      <w:pPr>
        <w:spacing w:line="576" w:lineRule="exact"/>
        <w:ind w:firstLine="588" w:firstLineChars="280"/>
        <w:rPr>
          <w:rFonts w:eastAsia="仿宋_GB2312"/>
          <w:color w:val="000000" w:themeColor="text1"/>
          <w:sz w:val="32"/>
          <w:szCs w:val="32"/>
        </w:rPr>
      </w:pPr>
      <w:r>
        <w:rPr>
          <w:color w:val="000000" w:themeColor="text1"/>
        </w:rPr>
        <w:drawing>
          <wp:anchor distT="0" distB="0" distL="114300" distR="114300" simplePos="0" relativeHeight="251661312" behindDoc="0" locked="0" layoutInCell="1" allowOverlap="1">
            <wp:simplePos x="0" y="0"/>
            <wp:positionH relativeFrom="column">
              <wp:posOffset>583565</wp:posOffset>
            </wp:positionH>
            <wp:positionV relativeFrom="paragraph">
              <wp:posOffset>1727835</wp:posOffset>
            </wp:positionV>
            <wp:extent cx="4826000" cy="2743200"/>
            <wp:effectExtent l="4445" t="4445" r="8255" b="14605"/>
            <wp:wrapTopAndBottom/>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eastAsia="仿宋_GB2312"/>
          <w:color w:val="000000" w:themeColor="text1"/>
          <w:sz w:val="32"/>
          <w:szCs w:val="32"/>
        </w:rPr>
        <w:t>2022</w:t>
      </w:r>
      <w:r>
        <w:rPr>
          <w:rFonts w:hAnsi="仿宋" w:eastAsia="仿宋_GB2312"/>
          <w:color w:val="000000" w:themeColor="text1"/>
          <w:sz w:val="32"/>
          <w:szCs w:val="32"/>
        </w:rPr>
        <w:t>年财政拨款收、支总计</w:t>
      </w:r>
      <w:r>
        <w:rPr>
          <w:rFonts w:eastAsia="仿宋_GB2312"/>
          <w:color w:val="000000" w:themeColor="text1"/>
          <w:sz w:val="32"/>
          <w:szCs w:val="32"/>
        </w:rPr>
        <w:t>1519.17</w:t>
      </w:r>
      <w:r>
        <w:rPr>
          <w:rFonts w:hAnsi="仿宋" w:eastAsia="仿宋_GB2312"/>
          <w:color w:val="000000" w:themeColor="text1"/>
          <w:sz w:val="32"/>
          <w:szCs w:val="32"/>
        </w:rPr>
        <w:t>万元。</w:t>
      </w:r>
      <w:bookmarkStart w:id="34" w:name="_Toc15396607"/>
      <w:bookmarkStart w:id="35" w:name="_Toc15377209"/>
      <w:r>
        <w:rPr>
          <w:rFonts w:hAnsi="仿宋" w:eastAsia="仿宋_GB2312"/>
          <w:color w:val="000000" w:themeColor="text1"/>
          <w:sz w:val="32"/>
          <w:szCs w:val="32"/>
        </w:rPr>
        <w:t>与</w:t>
      </w:r>
      <w:r>
        <w:rPr>
          <w:rFonts w:eastAsia="仿宋_GB2312"/>
          <w:color w:val="000000" w:themeColor="text1"/>
          <w:sz w:val="32"/>
          <w:szCs w:val="32"/>
        </w:rPr>
        <w:t>2021</w:t>
      </w:r>
      <w:r>
        <w:rPr>
          <w:rFonts w:hAnsi="仿宋" w:eastAsia="仿宋_GB2312"/>
          <w:color w:val="000000" w:themeColor="text1"/>
          <w:sz w:val="32"/>
          <w:szCs w:val="32"/>
        </w:rPr>
        <w:t>年相比，收、支总计各增加</w:t>
      </w:r>
      <w:r>
        <w:rPr>
          <w:rFonts w:eastAsia="仿宋_GB2312"/>
          <w:color w:val="000000" w:themeColor="text1"/>
          <w:sz w:val="32"/>
          <w:szCs w:val="32"/>
        </w:rPr>
        <w:t>872.3</w:t>
      </w:r>
      <w:r>
        <w:rPr>
          <w:rFonts w:hAnsi="仿宋" w:eastAsia="仿宋_GB2312"/>
          <w:color w:val="000000" w:themeColor="text1"/>
          <w:sz w:val="32"/>
          <w:szCs w:val="32"/>
        </w:rPr>
        <w:t>万元，增加</w:t>
      </w:r>
      <w:r>
        <w:rPr>
          <w:rFonts w:eastAsia="仿宋_GB2312"/>
          <w:color w:val="000000" w:themeColor="text1"/>
          <w:sz w:val="32"/>
          <w:szCs w:val="32"/>
        </w:rPr>
        <w:t>34.8%</w:t>
      </w:r>
      <w:r>
        <w:rPr>
          <w:rFonts w:hAnsi="仿宋" w:eastAsia="仿宋_GB2312"/>
          <w:color w:val="000000" w:themeColor="text1"/>
          <w:sz w:val="32"/>
          <w:szCs w:val="32"/>
        </w:rPr>
        <w:t>。主要变动原因：一是本年度一般公共财政拨款收入较上年多安排指标</w:t>
      </w:r>
      <w:r>
        <w:rPr>
          <w:rFonts w:eastAsia="仿宋_GB2312"/>
          <w:color w:val="000000" w:themeColor="text1"/>
          <w:sz w:val="32"/>
          <w:szCs w:val="32"/>
        </w:rPr>
        <w:t>549.42</w:t>
      </w:r>
      <w:r>
        <w:rPr>
          <w:rFonts w:hAnsi="仿宋" w:eastAsia="仿宋_GB2312"/>
          <w:color w:val="000000" w:themeColor="text1"/>
          <w:sz w:val="32"/>
          <w:szCs w:val="32"/>
        </w:rPr>
        <w:t>万元；二是本年度较上年度多安排政府基金预算</w:t>
      </w:r>
      <w:r>
        <w:rPr>
          <w:rFonts w:eastAsia="仿宋_GB2312"/>
          <w:color w:val="000000" w:themeColor="text1"/>
          <w:sz w:val="32"/>
          <w:szCs w:val="32"/>
        </w:rPr>
        <w:t>366.49</w:t>
      </w:r>
      <w:r>
        <w:rPr>
          <w:rFonts w:hAnsi="仿宋" w:eastAsia="仿宋_GB2312"/>
          <w:color w:val="000000" w:themeColor="text1"/>
          <w:sz w:val="32"/>
          <w:szCs w:val="32"/>
        </w:rPr>
        <w:t>万元。</w:t>
      </w:r>
    </w:p>
    <w:p>
      <w:pPr>
        <w:pStyle w:val="2"/>
        <w:spacing w:beforeLines="0" w:line="576" w:lineRule="exact"/>
        <w:jc w:val="center"/>
        <w:rPr>
          <w:rFonts w:ascii="Times New Roman"/>
          <w:color w:val="000000" w:themeColor="text1"/>
          <w:sz w:val="32"/>
          <w:szCs w:val="32"/>
        </w:rPr>
      </w:pPr>
      <w:r>
        <w:rPr>
          <w:rFonts w:ascii="Times New Roman" w:hAnsi="仿宋"/>
          <w:color w:val="000000" w:themeColor="text1"/>
          <w:sz w:val="32"/>
          <w:szCs w:val="32"/>
        </w:rPr>
        <w:t>（图</w:t>
      </w:r>
      <w:r>
        <w:rPr>
          <w:rFonts w:ascii="Times New Roman"/>
          <w:color w:val="000000" w:themeColor="text1"/>
          <w:sz w:val="32"/>
          <w:szCs w:val="32"/>
        </w:rPr>
        <w:t>4</w:t>
      </w:r>
      <w:r>
        <w:rPr>
          <w:rFonts w:ascii="Times New Roman" w:hAnsi="仿宋"/>
          <w:color w:val="000000" w:themeColor="text1"/>
          <w:sz w:val="32"/>
          <w:szCs w:val="32"/>
        </w:rPr>
        <w:t>：财政拨款收、支决算总计变动情况）</w:t>
      </w:r>
    </w:p>
    <w:p>
      <w:pPr>
        <w:spacing w:line="576" w:lineRule="exact"/>
        <w:ind w:firstLine="640" w:firstLineChars="200"/>
        <w:outlineLvl w:val="1"/>
        <w:rPr>
          <w:rStyle w:val="29"/>
          <w:rFonts w:ascii="Times New Roman" w:hAnsi="Times New Roman" w:eastAsia="黑体" w:cs="Times New Roman"/>
          <w:b w:val="0"/>
          <w:color w:val="000000" w:themeColor="text1"/>
        </w:rPr>
      </w:pPr>
      <w:bookmarkStart w:id="36" w:name="_Toc146632960"/>
      <w:r>
        <w:rPr>
          <w:rFonts w:hAnsi="黑体" w:eastAsia="黑体"/>
          <w:color w:val="000000" w:themeColor="text1"/>
          <w:sz w:val="32"/>
          <w:szCs w:val="32"/>
        </w:rPr>
        <w:t>五、</w:t>
      </w:r>
      <w:r>
        <w:rPr>
          <w:rFonts w:hAnsi="黑体" w:eastAsia="黑体"/>
          <w:b/>
          <w:color w:val="000000" w:themeColor="text1"/>
          <w:sz w:val="32"/>
          <w:szCs w:val="32"/>
        </w:rPr>
        <w:t>一</w:t>
      </w:r>
      <w:r>
        <w:rPr>
          <w:rStyle w:val="29"/>
          <w:rFonts w:ascii="Times New Roman" w:hAnsi="黑体" w:eastAsia="黑体" w:cs="Times New Roman"/>
          <w:b w:val="0"/>
          <w:color w:val="000000" w:themeColor="text1"/>
        </w:rPr>
        <w:t>般公共预算财政拨款支出决算情况说明</w:t>
      </w:r>
      <w:bookmarkEnd w:id="34"/>
      <w:bookmarkEnd w:id="35"/>
      <w:bookmarkEnd w:id="36"/>
    </w:p>
    <w:p>
      <w:pPr>
        <w:spacing w:line="576" w:lineRule="exact"/>
        <w:ind w:firstLine="640" w:firstLineChars="200"/>
        <w:rPr>
          <w:rFonts w:eastAsia="楷体_GB2312"/>
          <w:b/>
          <w:color w:val="000000" w:themeColor="text1"/>
          <w:sz w:val="32"/>
          <w:szCs w:val="32"/>
        </w:rPr>
      </w:pPr>
      <w:bookmarkStart w:id="37" w:name="_Toc15377210"/>
      <w:r>
        <w:rPr>
          <w:rFonts w:eastAsia="楷体_GB2312"/>
          <w:b/>
          <w:color w:val="000000" w:themeColor="text1"/>
          <w:sz w:val="32"/>
          <w:szCs w:val="32"/>
        </w:rPr>
        <w:t>（一）一般公共预算财政拨款支出决算总体情况</w:t>
      </w:r>
      <w:bookmarkEnd w:id="37"/>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年一般公共预算财政拨款支出</w:t>
      </w:r>
      <w:r>
        <w:rPr>
          <w:rFonts w:eastAsia="仿宋_GB2312"/>
          <w:color w:val="000000" w:themeColor="text1"/>
          <w:sz w:val="32"/>
          <w:szCs w:val="32"/>
        </w:rPr>
        <w:t>1002.6</w:t>
      </w:r>
      <w:r>
        <w:rPr>
          <w:rFonts w:hAnsi="仿宋" w:eastAsia="仿宋_GB2312"/>
          <w:color w:val="000000" w:themeColor="text1"/>
          <w:sz w:val="32"/>
          <w:szCs w:val="32"/>
        </w:rPr>
        <w:t>万元，占本年支出合计的</w:t>
      </w:r>
      <w:r>
        <w:rPr>
          <w:rFonts w:eastAsia="仿宋_GB2312"/>
          <w:color w:val="000000" w:themeColor="text1"/>
          <w:sz w:val="32"/>
          <w:szCs w:val="32"/>
        </w:rPr>
        <w:t>66%</w:t>
      </w:r>
      <w:r>
        <w:rPr>
          <w:rFonts w:hAnsi="仿宋" w:eastAsia="仿宋_GB2312"/>
          <w:color w:val="000000" w:themeColor="text1"/>
          <w:sz w:val="32"/>
          <w:szCs w:val="32"/>
        </w:rPr>
        <w:t>。与</w:t>
      </w:r>
      <w:r>
        <w:rPr>
          <w:rFonts w:eastAsia="仿宋_GB2312"/>
          <w:color w:val="000000" w:themeColor="text1"/>
          <w:sz w:val="32"/>
          <w:szCs w:val="32"/>
        </w:rPr>
        <w:t>2021</w:t>
      </w:r>
      <w:r>
        <w:rPr>
          <w:rFonts w:hAnsi="仿宋" w:eastAsia="仿宋_GB2312"/>
          <w:color w:val="000000" w:themeColor="text1"/>
          <w:sz w:val="32"/>
          <w:szCs w:val="32"/>
        </w:rPr>
        <w:t>年相比，一般公共预算财政拨款支出增加</w:t>
      </w:r>
      <w:r>
        <w:rPr>
          <w:rFonts w:eastAsia="仿宋_GB2312"/>
          <w:color w:val="000000" w:themeColor="text1"/>
          <w:sz w:val="32"/>
          <w:szCs w:val="32"/>
        </w:rPr>
        <w:t>505.81</w:t>
      </w:r>
      <w:r>
        <w:rPr>
          <w:rFonts w:hAnsi="仿宋" w:eastAsia="仿宋_GB2312"/>
          <w:color w:val="000000" w:themeColor="text1"/>
          <w:sz w:val="32"/>
          <w:szCs w:val="32"/>
        </w:rPr>
        <w:t>万元，增长</w:t>
      </w:r>
      <w:r>
        <w:rPr>
          <w:rFonts w:eastAsia="仿宋_GB2312"/>
          <w:color w:val="000000" w:themeColor="text1"/>
          <w:sz w:val="32"/>
          <w:szCs w:val="32"/>
        </w:rPr>
        <w:t>101.82%</w:t>
      </w:r>
      <w:r>
        <w:rPr>
          <w:rFonts w:hAnsi="仿宋" w:eastAsia="仿宋_GB2312"/>
          <w:color w:val="000000" w:themeColor="text1"/>
          <w:sz w:val="32"/>
          <w:szCs w:val="32"/>
        </w:rPr>
        <w:t>。主要变动原因：一是人员增加</w:t>
      </w:r>
      <w:bookmarkStart w:id="38" w:name="_Toc15377211"/>
      <w:r>
        <w:rPr>
          <w:rFonts w:hAnsi="仿宋" w:eastAsia="仿宋_GB2312"/>
          <w:color w:val="000000" w:themeColor="text1"/>
          <w:sz w:val="32"/>
          <w:szCs w:val="32"/>
        </w:rPr>
        <w:t>；二是预算项目支出较上年增加</w:t>
      </w:r>
      <w:r>
        <w:rPr>
          <w:rFonts w:eastAsia="仿宋_GB2312"/>
          <w:color w:val="000000" w:themeColor="text1"/>
          <w:sz w:val="32"/>
          <w:szCs w:val="32"/>
        </w:rPr>
        <w:t>424.07</w:t>
      </w:r>
      <w:r>
        <w:rPr>
          <w:rFonts w:hAnsi="仿宋" w:eastAsia="仿宋_GB2312"/>
          <w:color w:val="000000" w:themeColor="text1"/>
          <w:sz w:val="32"/>
          <w:szCs w:val="32"/>
        </w:rPr>
        <w:t>万元。</w:t>
      </w:r>
    </w:p>
    <w:p>
      <w:pPr>
        <w:pStyle w:val="2"/>
        <w:spacing w:beforeLines="0" w:line="576" w:lineRule="exact"/>
        <w:jc w:val="center"/>
        <w:rPr>
          <w:rFonts w:ascii="Times New Roman"/>
          <w:color w:val="000000" w:themeColor="text1"/>
          <w:sz w:val="32"/>
          <w:szCs w:val="32"/>
        </w:rPr>
      </w:pPr>
      <w:r>
        <w:rPr>
          <w:rFonts w:ascii="Times New Roman"/>
          <w:color w:val="000000" w:themeColor="text1"/>
        </w:rPr>
        <w:drawing>
          <wp:anchor distT="0" distB="0" distL="114300" distR="114300" simplePos="0" relativeHeight="251660288" behindDoc="0" locked="0" layoutInCell="1" allowOverlap="1">
            <wp:simplePos x="0" y="0"/>
            <wp:positionH relativeFrom="column">
              <wp:posOffset>526415</wp:posOffset>
            </wp:positionH>
            <wp:positionV relativeFrom="paragraph">
              <wp:posOffset>82550</wp:posOffset>
            </wp:positionV>
            <wp:extent cx="4826000" cy="2743200"/>
            <wp:effectExtent l="4445" t="4445" r="8255" b="14605"/>
            <wp:wrapTopAndBottom/>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仿宋"/>
          <w:color w:val="000000" w:themeColor="text1"/>
          <w:sz w:val="32"/>
          <w:szCs w:val="32"/>
        </w:rPr>
        <w:t>（图</w:t>
      </w:r>
      <w:r>
        <w:rPr>
          <w:rFonts w:ascii="Times New Roman"/>
          <w:color w:val="000000" w:themeColor="text1"/>
          <w:sz w:val="32"/>
          <w:szCs w:val="32"/>
        </w:rPr>
        <w:t>5</w:t>
      </w:r>
      <w:r>
        <w:rPr>
          <w:rFonts w:ascii="Times New Roman" w:hAnsi="仿宋"/>
          <w:color w:val="000000" w:themeColor="text1"/>
          <w:sz w:val="32"/>
          <w:szCs w:val="32"/>
        </w:rPr>
        <w:t>：一般公共预算财政拨款支出决算变动情况）</w:t>
      </w:r>
    </w:p>
    <w:p>
      <w:pPr>
        <w:spacing w:line="576" w:lineRule="exact"/>
        <w:ind w:firstLine="640" w:firstLineChars="200"/>
        <w:rPr>
          <w:rFonts w:eastAsia="楷体_GB2312"/>
          <w:b/>
          <w:color w:val="000000" w:themeColor="text1"/>
          <w:sz w:val="32"/>
          <w:szCs w:val="32"/>
        </w:rPr>
      </w:pPr>
      <w:r>
        <w:rPr>
          <w:rFonts w:eastAsia="楷体_GB2312"/>
          <w:b/>
          <w:color w:val="000000" w:themeColor="text1"/>
          <w:sz w:val="32"/>
          <w:szCs w:val="32"/>
        </w:rPr>
        <w:t>（二）一般公共预算财政拨款支出决算结构情况</w:t>
      </w:r>
      <w:bookmarkEnd w:id="38"/>
    </w:p>
    <w:p>
      <w:pPr>
        <w:spacing w:line="576" w:lineRule="exact"/>
        <w:ind w:firstLine="640"/>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年一般公共预算财政拨款支出</w:t>
      </w:r>
      <w:r>
        <w:rPr>
          <w:rFonts w:eastAsia="仿宋_GB2312"/>
          <w:color w:val="000000" w:themeColor="text1"/>
          <w:sz w:val="32"/>
          <w:szCs w:val="32"/>
        </w:rPr>
        <w:t>1002.60</w:t>
      </w:r>
      <w:r>
        <w:rPr>
          <w:rFonts w:hAnsi="仿宋" w:eastAsia="仿宋_GB2312"/>
          <w:color w:val="000000" w:themeColor="text1"/>
          <w:sz w:val="32"/>
          <w:szCs w:val="32"/>
        </w:rPr>
        <w:t>万元，主要用于以下方面</w:t>
      </w:r>
      <w:r>
        <w:rPr>
          <w:rFonts w:eastAsia="仿宋_GB2312"/>
          <w:color w:val="000000" w:themeColor="text1"/>
          <w:sz w:val="32"/>
          <w:szCs w:val="32"/>
        </w:rPr>
        <w:t>:</w:t>
      </w:r>
      <w:r>
        <w:rPr>
          <w:rFonts w:hAnsi="仿宋" w:eastAsia="仿宋_GB2312"/>
          <w:b/>
          <w:color w:val="000000" w:themeColor="text1"/>
          <w:sz w:val="32"/>
          <w:szCs w:val="32"/>
        </w:rPr>
        <w:t>一</w:t>
      </w:r>
      <w:r>
        <w:rPr>
          <w:rFonts w:hAnsi="仿宋" w:eastAsia="仿宋_GB2312"/>
          <w:bCs/>
          <w:color w:val="000000" w:themeColor="text1"/>
          <w:sz w:val="32"/>
          <w:szCs w:val="32"/>
        </w:rPr>
        <w:t>般公共服务支出</w:t>
      </w:r>
      <w:r>
        <w:rPr>
          <w:rFonts w:eastAsia="仿宋_GB2312"/>
          <w:bCs/>
          <w:color w:val="000000" w:themeColor="text1"/>
          <w:sz w:val="32"/>
          <w:szCs w:val="32"/>
        </w:rPr>
        <w:t>608</w:t>
      </w:r>
      <w:r>
        <w:rPr>
          <w:rFonts w:hAnsi="仿宋" w:eastAsia="仿宋_GB2312"/>
          <w:bCs/>
          <w:color w:val="000000" w:themeColor="text1"/>
          <w:sz w:val="32"/>
          <w:szCs w:val="32"/>
        </w:rPr>
        <w:t>万元，占</w:t>
      </w:r>
      <w:r>
        <w:rPr>
          <w:rFonts w:eastAsia="仿宋_GB2312"/>
          <w:bCs/>
          <w:color w:val="000000" w:themeColor="text1"/>
          <w:sz w:val="32"/>
          <w:szCs w:val="32"/>
        </w:rPr>
        <w:t>60.64%</w:t>
      </w:r>
      <w:r>
        <w:rPr>
          <w:rFonts w:hAnsi="仿宋" w:eastAsia="仿宋_GB2312"/>
          <w:bCs/>
          <w:color w:val="000000" w:themeColor="text1"/>
          <w:sz w:val="32"/>
          <w:szCs w:val="32"/>
        </w:rPr>
        <w:t>；社会保障和就业支出</w:t>
      </w:r>
      <w:r>
        <w:rPr>
          <w:rFonts w:eastAsia="仿宋_GB2312"/>
          <w:bCs/>
          <w:color w:val="000000" w:themeColor="text1"/>
          <w:sz w:val="32"/>
          <w:szCs w:val="32"/>
        </w:rPr>
        <w:t>33.54</w:t>
      </w:r>
      <w:r>
        <w:rPr>
          <w:rFonts w:hAnsi="仿宋" w:eastAsia="仿宋_GB2312"/>
          <w:bCs/>
          <w:color w:val="000000" w:themeColor="text1"/>
          <w:sz w:val="32"/>
          <w:szCs w:val="32"/>
        </w:rPr>
        <w:t>万元，占</w:t>
      </w:r>
      <w:r>
        <w:rPr>
          <w:rFonts w:eastAsia="仿宋_GB2312"/>
          <w:bCs/>
          <w:color w:val="000000" w:themeColor="text1"/>
          <w:sz w:val="32"/>
          <w:szCs w:val="32"/>
        </w:rPr>
        <w:t>3.35%</w:t>
      </w:r>
      <w:r>
        <w:rPr>
          <w:rFonts w:hAnsi="仿宋" w:eastAsia="仿宋_GB2312"/>
          <w:bCs/>
          <w:color w:val="000000" w:themeColor="text1"/>
          <w:sz w:val="32"/>
          <w:szCs w:val="32"/>
        </w:rPr>
        <w:t>；卫生健康支出</w:t>
      </w:r>
      <w:r>
        <w:rPr>
          <w:rFonts w:eastAsia="仿宋_GB2312"/>
          <w:bCs/>
          <w:color w:val="000000" w:themeColor="text1"/>
          <w:sz w:val="32"/>
          <w:szCs w:val="32"/>
        </w:rPr>
        <w:t>11.83</w:t>
      </w:r>
      <w:r>
        <w:rPr>
          <w:rFonts w:hAnsi="仿宋" w:eastAsia="仿宋_GB2312"/>
          <w:bCs/>
          <w:color w:val="000000" w:themeColor="text1"/>
          <w:sz w:val="32"/>
          <w:szCs w:val="32"/>
        </w:rPr>
        <w:t>万元，占</w:t>
      </w:r>
      <w:r>
        <w:rPr>
          <w:rFonts w:eastAsia="仿宋_GB2312"/>
          <w:bCs/>
          <w:color w:val="000000" w:themeColor="text1"/>
          <w:sz w:val="32"/>
          <w:szCs w:val="32"/>
        </w:rPr>
        <w:t>1.18%</w:t>
      </w:r>
      <w:r>
        <w:rPr>
          <w:rFonts w:hAnsi="仿宋" w:eastAsia="仿宋_GB2312"/>
          <w:bCs/>
          <w:color w:val="000000" w:themeColor="text1"/>
          <w:sz w:val="32"/>
          <w:szCs w:val="32"/>
        </w:rPr>
        <w:t>；农林水支出</w:t>
      </w:r>
      <w:r>
        <w:rPr>
          <w:rFonts w:eastAsia="仿宋_GB2312"/>
          <w:bCs/>
          <w:color w:val="000000" w:themeColor="text1"/>
          <w:sz w:val="32"/>
          <w:szCs w:val="32"/>
        </w:rPr>
        <w:t>140</w:t>
      </w:r>
      <w:r>
        <w:rPr>
          <w:rFonts w:hAnsi="仿宋" w:eastAsia="仿宋_GB2312"/>
          <w:color w:val="000000" w:themeColor="text1"/>
          <w:sz w:val="32"/>
          <w:szCs w:val="32"/>
        </w:rPr>
        <w:t>万元，占</w:t>
      </w:r>
      <w:r>
        <w:rPr>
          <w:rFonts w:eastAsia="仿宋_GB2312"/>
          <w:color w:val="000000" w:themeColor="text1"/>
          <w:sz w:val="32"/>
          <w:szCs w:val="32"/>
        </w:rPr>
        <w:t>13.96%</w:t>
      </w:r>
      <w:r>
        <w:rPr>
          <w:rFonts w:hAnsi="仿宋" w:eastAsia="仿宋_GB2312"/>
          <w:color w:val="000000" w:themeColor="text1"/>
          <w:sz w:val="32"/>
          <w:szCs w:val="32"/>
        </w:rPr>
        <w:t>；资源勘探工业信息等支出</w:t>
      </w:r>
      <w:r>
        <w:rPr>
          <w:rFonts w:eastAsia="仿宋_GB2312"/>
          <w:color w:val="000000" w:themeColor="text1"/>
          <w:sz w:val="32"/>
          <w:szCs w:val="32"/>
        </w:rPr>
        <w:t>19</w:t>
      </w:r>
      <w:r>
        <w:rPr>
          <w:rFonts w:hAnsi="仿宋" w:eastAsia="仿宋_GB2312"/>
          <w:color w:val="000000" w:themeColor="text1"/>
          <w:sz w:val="32"/>
          <w:szCs w:val="32"/>
        </w:rPr>
        <w:t>万元，占</w:t>
      </w:r>
      <w:r>
        <w:rPr>
          <w:rFonts w:eastAsia="仿宋_GB2312"/>
          <w:color w:val="000000" w:themeColor="text1"/>
          <w:sz w:val="32"/>
          <w:szCs w:val="32"/>
        </w:rPr>
        <w:t>1.9%</w:t>
      </w:r>
      <w:r>
        <w:rPr>
          <w:rFonts w:hAnsi="仿宋" w:eastAsia="仿宋_GB2312"/>
          <w:color w:val="000000" w:themeColor="text1"/>
          <w:sz w:val="32"/>
          <w:szCs w:val="32"/>
        </w:rPr>
        <w:t>；商业服务业等支出</w:t>
      </w:r>
      <w:r>
        <w:rPr>
          <w:rFonts w:eastAsia="仿宋_GB2312"/>
          <w:color w:val="000000" w:themeColor="text1"/>
          <w:sz w:val="32"/>
          <w:szCs w:val="32"/>
        </w:rPr>
        <w:t>165.07</w:t>
      </w:r>
      <w:r>
        <w:rPr>
          <w:rFonts w:hAnsi="仿宋" w:eastAsia="仿宋_GB2312"/>
          <w:color w:val="000000" w:themeColor="text1"/>
          <w:sz w:val="32"/>
          <w:szCs w:val="32"/>
        </w:rPr>
        <w:t>万元，占</w:t>
      </w:r>
      <w:r>
        <w:rPr>
          <w:rFonts w:eastAsia="仿宋_GB2312"/>
          <w:color w:val="000000" w:themeColor="text1"/>
          <w:sz w:val="32"/>
          <w:szCs w:val="32"/>
        </w:rPr>
        <w:t>16.46%</w:t>
      </w:r>
      <w:r>
        <w:rPr>
          <w:rFonts w:hAnsi="仿宋" w:eastAsia="仿宋_GB2312"/>
          <w:color w:val="000000" w:themeColor="text1"/>
          <w:sz w:val="32"/>
          <w:szCs w:val="32"/>
        </w:rPr>
        <w:t>；住房保障支出</w:t>
      </w:r>
      <w:r>
        <w:rPr>
          <w:rFonts w:eastAsia="仿宋_GB2312"/>
          <w:color w:val="000000" w:themeColor="text1"/>
          <w:sz w:val="32"/>
          <w:szCs w:val="32"/>
        </w:rPr>
        <w:t>25.16</w:t>
      </w:r>
      <w:r>
        <w:rPr>
          <w:rFonts w:hAnsi="仿宋" w:eastAsia="仿宋_GB2312"/>
          <w:color w:val="000000" w:themeColor="text1"/>
          <w:sz w:val="32"/>
          <w:szCs w:val="32"/>
        </w:rPr>
        <w:t>万元，占</w:t>
      </w:r>
      <w:r>
        <w:rPr>
          <w:rFonts w:eastAsia="仿宋_GB2312"/>
          <w:color w:val="000000" w:themeColor="text1"/>
          <w:sz w:val="32"/>
          <w:szCs w:val="32"/>
        </w:rPr>
        <w:t>2.51%</w:t>
      </w:r>
      <w:r>
        <w:rPr>
          <w:rFonts w:hAnsi="仿宋" w:eastAsia="仿宋_GB2312"/>
          <w:color w:val="000000" w:themeColor="text1"/>
          <w:sz w:val="32"/>
          <w:szCs w:val="32"/>
        </w:rPr>
        <w:t>。</w:t>
      </w:r>
    </w:p>
    <w:p>
      <w:pPr>
        <w:pStyle w:val="2"/>
        <w:spacing w:beforeLines="0" w:line="576" w:lineRule="exact"/>
        <w:jc w:val="center"/>
        <w:rPr>
          <w:rFonts w:ascii="Times New Roman"/>
          <w:color w:val="000000" w:themeColor="text1"/>
          <w:sz w:val="32"/>
          <w:szCs w:val="32"/>
        </w:rPr>
      </w:pPr>
      <w:r>
        <w:rPr>
          <w:rFonts w:ascii="Times New Roman"/>
          <w:color w:val="000000" w:themeColor="text1"/>
        </w:rPr>
        <w:drawing>
          <wp:anchor distT="0" distB="0" distL="114300" distR="114300" simplePos="0" relativeHeight="251659264" behindDoc="0" locked="0" layoutInCell="1" allowOverlap="1">
            <wp:simplePos x="0" y="0"/>
            <wp:positionH relativeFrom="column">
              <wp:posOffset>297815</wp:posOffset>
            </wp:positionH>
            <wp:positionV relativeFrom="paragraph">
              <wp:posOffset>81915</wp:posOffset>
            </wp:positionV>
            <wp:extent cx="4826000" cy="2743200"/>
            <wp:effectExtent l="4445" t="4445" r="8255" b="14605"/>
            <wp:wrapTopAndBottom/>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仿宋"/>
          <w:color w:val="000000" w:themeColor="text1"/>
          <w:sz w:val="32"/>
          <w:szCs w:val="32"/>
        </w:rPr>
        <w:t>（图</w:t>
      </w:r>
      <w:r>
        <w:rPr>
          <w:rFonts w:ascii="Times New Roman"/>
          <w:color w:val="000000" w:themeColor="text1"/>
          <w:sz w:val="32"/>
          <w:szCs w:val="32"/>
        </w:rPr>
        <w:t>6</w:t>
      </w:r>
      <w:r>
        <w:rPr>
          <w:rFonts w:ascii="Times New Roman" w:hAnsi="仿宋"/>
          <w:color w:val="000000" w:themeColor="text1"/>
          <w:sz w:val="32"/>
          <w:szCs w:val="32"/>
        </w:rPr>
        <w:t>：一般公共预算财政拨款支出决算结构）</w:t>
      </w:r>
    </w:p>
    <w:p>
      <w:pPr>
        <w:spacing w:line="576" w:lineRule="exact"/>
        <w:ind w:firstLine="640" w:firstLineChars="200"/>
        <w:rPr>
          <w:rFonts w:eastAsia="楷体_GB2312"/>
          <w:b/>
          <w:color w:val="000000" w:themeColor="text1"/>
          <w:sz w:val="32"/>
          <w:szCs w:val="32"/>
        </w:rPr>
      </w:pPr>
      <w:bookmarkStart w:id="39" w:name="_Toc15377212"/>
      <w:r>
        <w:rPr>
          <w:rFonts w:eastAsia="楷体_GB2312"/>
          <w:b/>
          <w:color w:val="000000" w:themeColor="text1"/>
          <w:sz w:val="32"/>
          <w:szCs w:val="32"/>
        </w:rPr>
        <w:t>（三）一般公共预算财政拨款支出决算具体情况</w:t>
      </w:r>
      <w:bookmarkEnd w:id="39"/>
    </w:p>
    <w:p>
      <w:pPr>
        <w:spacing w:line="576" w:lineRule="exact"/>
        <w:ind w:firstLine="640" w:firstLineChars="200"/>
        <w:rPr>
          <w:rFonts w:eastAsia="仿宋_GB2312"/>
          <w:color w:val="000000" w:themeColor="text1"/>
          <w:sz w:val="32"/>
          <w:szCs w:val="32"/>
        </w:rPr>
      </w:pPr>
      <w:bookmarkStart w:id="40" w:name="_Toc15378460"/>
      <w:bookmarkStart w:id="41" w:name="_Toc15377444"/>
      <w:bookmarkStart w:id="42" w:name="_Toc15377213"/>
      <w:r>
        <w:rPr>
          <w:rFonts w:eastAsia="仿宋_GB2312"/>
          <w:b/>
          <w:color w:val="000000" w:themeColor="text1"/>
          <w:sz w:val="32"/>
          <w:szCs w:val="32"/>
        </w:rPr>
        <w:t>2022</w:t>
      </w:r>
      <w:r>
        <w:rPr>
          <w:rFonts w:hAnsi="仿宋" w:eastAsia="仿宋_GB2312"/>
          <w:b/>
          <w:color w:val="000000" w:themeColor="text1"/>
          <w:sz w:val="32"/>
          <w:szCs w:val="32"/>
        </w:rPr>
        <w:t>年一般公共预算支出决算数为</w:t>
      </w:r>
      <w:r>
        <w:rPr>
          <w:rFonts w:eastAsia="仿宋_GB2312"/>
          <w:color w:val="000000" w:themeColor="text1"/>
          <w:sz w:val="32"/>
          <w:szCs w:val="32"/>
        </w:rPr>
        <w:t>1002.6</w:t>
      </w:r>
      <w:r>
        <w:rPr>
          <w:rFonts w:hAnsi="仿宋" w:eastAsia="仿宋_GB2312"/>
          <w:color w:val="000000" w:themeColor="text1"/>
          <w:sz w:val="32"/>
          <w:szCs w:val="32"/>
        </w:rPr>
        <w:t>万元，</w:t>
      </w:r>
      <w:r>
        <w:rPr>
          <w:rStyle w:val="16"/>
          <w:rFonts w:hAnsi="仿宋" w:eastAsia="仿宋_GB2312"/>
          <w:bCs/>
          <w:color w:val="000000" w:themeColor="text1"/>
          <w:sz w:val="32"/>
          <w:szCs w:val="32"/>
        </w:rPr>
        <w:t>完成预算</w:t>
      </w:r>
      <w:r>
        <w:rPr>
          <w:rStyle w:val="16"/>
          <w:rFonts w:eastAsia="仿宋_GB2312"/>
          <w:bCs/>
          <w:color w:val="000000" w:themeColor="text1"/>
          <w:sz w:val="32"/>
          <w:szCs w:val="32"/>
        </w:rPr>
        <w:t>100%</w:t>
      </w:r>
      <w:r>
        <w:rPr>
          <w:rStyle w:val="16"/>
          <w:rFonts w:hAnsi="仿宋" w:eastAsia="仿宋_GB2312"/>
          <w:bCs/>
          <w:color w:val="000000" w:themeColor="text1"/>
          <w:sz w:val="32"/>
          <w:szCs w:val="32"/>
        </w:rPr>
        <w:t>。其中：</w:t>
      </w:r>
      <w:bookmarkEnd w:id="40"/>
      <w:bookmarkEnd w:id="41"/>
      <w:bookmarkEnd w:id="42"/>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1.</w:t>
      </w:r>
      <w:r>
        <w:rPr>
          <w:rStyle w:val="16"/>
          <w:rFonts w:hAnsi="仿宋" w:eastAsia="仿宋_GB2312"/>
          <w:bCs/>
          <w:color w:val="000000" w:themeColor="text1"/>
          <w:sz w:val="32"/>
          <w:szCs w:val="32"/>
        </w:rPr>
        <w:t>一般公共服务（类）商贸服务（款）行政运行（项）</w:t>
      </w:r>
      <w:r>
        <w:rPr>
          <w:rStyle w:val="16"/>
          <w:rFonts w:eastAsia="仿宋_GB2312"/>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508</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2.</w:t>
      </w:r>
      <w:r>
        <w:rPr>
          <w:rStyle w:val="16"/>
          <w:rFonts w:hAnsi="仿宋" w:eastAsia="仿宋_GB2312"/>
          <w:bCs/>
          <w:color w:val="000000" w:themeColor="text1"/>
          <w:sz w:val="32"/>
          <w:szCs w:val="32"/>
        </w:rPr>
        <w:t>一般公共服务（类）商贸服务（款）招商引资（项）</w:t>
      </w:r>
      <w:r>
        <w:rPr>
          <w:rStyle w:val="16"/>
          <w:rFonts w:eastAsia="仿宋_GB2312"/>
          <w:bCs/>
          <w:color w:val="000000" w:themeColor="text1"/>
          <w:sz w:val="32"/>
          <w:szCs w:val="32"/>
        </w:rPr>
        <w:t xml:space="preserve">: </w:t>
      </w:r>
      <w:r>
        <w:rPr>
          <w:rStyle w:val="16"/>
          <w:rFonts w:eastAsia="仿宋_GB2312"/>
          <w:b w:val="0"/>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Style w:val="16"/>
          <w:rFonts w:eastAsia="仿宋_GB2312"/>
          <w:b w:val="0"/>
          <w:bCs/>
          <w:color w:val="000000" w:themeColor="text1"/>
          <w:sz w:val="32"/>
          <w:szCs w:val="32"/>
        </w:rPr>
      </w:pPr>
      <w:r>
        <w:rPr>
          <w:rStyle w:val="16"/>
          <w:rFonts w:eastAsia="仿宋_GB2312"/>
          <w:bCs/>
          <w:color w:val="000000" w:themeColor="text1"/>
          <w:sz w:val="32"/>
          <w:szCs w:val="32"/>
        </w:rPr>
        <w:t>3.</w:t>
      </w:r>
      <w:r>
        <w:rPr>
          <w:rStyle w:val="16"/>
          <w:rFonts w:hAnsi="仿宋" w:eastAsia="仿宋_GB2312"/>
          <w:bCs/>
          <w:color w:val="000000" w:themeColor="text1"/>
          <w:sz w:val="32"/>
          <w:szCs w:val="32"/>
        </w:rPr>
        <w:t>社会保障和就业（类）行政事业单位离退休（款）机关事业单位基本养老保险缴费支出（项）</w:t>
      </w:r>
      <w:r>
        <w:rPr>
          <w:rStyle w:val="16"/>
          <w:rFonts w:eastAsia="仿宋_GB2312"/>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33.54</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4.</w:t>
      </w:r>
      <w:bookmarkStart w:id="43" w:name="_Toc15396608"/>
      <w:bookmarkStart w:id="44" w:name="_Toc15377214"/>
      <w:r>
        <w:rPr>
          <w:rFonts w:hAnsi="仿宋" w:eastAsia="仿宋_GB2312"/>
          <w:b/>
          <w:bCs/>
          <w:color w:val="000000" w:themeColor="text1"/>
          <w:sz w:val="32"/>
          <w:szCs w:val="32"/>
        </w:rPr>
        <w:t>卫生健康</w:t>
      </w:r>
      <w:r>
        <w:rPr>
          <w:rStyle w:val="16"/>
          <w:rFonts w:hAnsi="仿宋" w:eastAsia="仿宋_GB2312"/>
          <w:bCs/>
          <w:color w:val="000000" w:themeColor="text1"/>
          <w:sz w:val="32"/>
          <w:szCs w:val="32"/>
        </w:rPr>
        <w:t>（类）行政事业单位医疗（款）行政单位医疗（项）</w:t>
      </w:r>
      <w:r>
        <w:rPr>
          <w:rStyle w:val="16"/>
          <w:rFonts w:eastAsia="仿宋_GB2312"/>
          <w:bCs/>
          <w:color w:val="000000" w:themeColor="text1"/>
          <w:sz w:val="32"/>
          <w:szCs w:val="32"/>
        </w:rPr>
        <w:t>:</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11.83</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5.</w:t>
      </w:r>
      <w:r>
        <w:rPr>
          <w:rStyle w:val="16"/>
          <w:rFonts w:hAnsi="仿宋" w:eastAsia="仿宋_GB2312"/>
          <w:bCs/>
          <w:color w:val="000000" w:themeColor="text1"/>
          <w:sz w:val="32"/>
          <w:szCs w:val="32"/>
        </w:rPr>
        <w:t>农林水（类）巩固脱贫衔接乡村振兴（款）其他巩固脱贫衔接乡村振兴（项）</w:t>
      </w:r>
      <w:r>
        <w:rPr>
          <w:rStyle w:val="16"/>
          <w:rFonts w:eastAsia="仿宋_GB2312"/>
          <w:bCs/>
          <w:color w:val="000000" w:themeColor="text1"/>
          <w:sz w:val="32"/>
          <w:szCs w:val="32"/>
        </w:rPr>
        <w:t>:</w:t>
      </w:r>
      <w:r>
        <w:rPr>
          <w:rStyle w:val="16"/>
          <w:rFonts w:eastAsia="仿宋_GB2312"/>
          <w:b w:val="0"/>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140</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6.</w:t>
      </w:r>
      <w:r>
        <w:rPr>
          <w:rStyle w:val="16"/>
          <w:rFonts w:hAnsi="仿宋" w:eastAsia="仿宋_GB2312"/>
          <w:bCs/>
          <w:color w:val="000000" w:themeColor="text1"/>
          <w:sz w:val="32"/>
          <w:szCs w:val="32"/>
        </w:rPr>
        <w:t>资源勘探工业信息（类）支持中小企业发展和管理（款）中小企业发展专项（项）</w:t>
      </w:r>
      <w:r>
        <w:rPr>
          <w:rStyle w:val="16"/>
          <w:rFonts w:eastAsia="仿宋_GB2312"/>
          <w:bCs/>
          <w:color w:val="000000" w:themeColor="text1"/>
          <w:sz w:val="32"/>
          <w:szCs w:val="32"/>
        </w:rPr>
        <w:t>:</w:t>
      </w:r>
      <w:r>
        <w:rPr>
          <w:rStyle w:val="16"/>
          <w:rFonts w:eastAsia="仿宋_GB2312"/>
          <w:b w:val="0"/>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19</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7.</w:t>
      </w:r>
      <w:r>
        <w:rPr>
          <w:rStyle w:val="16"/>
          <w:rFonts w:hAnsi="仿宋" w:eastAsia="仿宋_GB2312"/>
          <w:bCs/>
          <w:color w:val="000000" w:themeColor="text1"/>
          <w:sz w:val="32"/>
          <w:szCs w:val="32"/>
        </w:rPr>
        <w:t>商业服务业等支出（类）涉外发展服务（款）其他涉外发展服务支出（项）</w:t>
      </w:r>
      <w:r>
        <w:rPr>
          <w:rStyle w:val="16"/>
          <w:rFonts w:eastAsia="仿宋_GB2312"/>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70.67</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Style w:val="16"/>
          <w:rFonts w:eastAsia="仿宋_GB2312"/>
          <w:b w:val="0"/>
          <w:bCs/>
          <w:color w:val="000000" w:themeColor="text1"/>
          <w:sz w:val="32"/>
          <w:szCs w:val="32"/>
        </w:rPr>
      </w:pPr>
      <w:r>
        <w:rPr>
          <w:rStyle w:val="16"/>
          <w:rFonts w:eastAsia="仿宋_GB2312"/>
          <w:bCs/>
          <w:color w:val="000000" w:themeColor="text1"/>
          <w:sz w:val="32"/>
          <w:szCs w:val="32"/>
        </w:rPr>
        <w:t>8.</w:t>
      </w:r>
      <w:r>
        <w:rPr>
          <w:rStyle w:val="16"/>
          <w:rFonts w:hAnsi="仿宋" w:eastAsia="仿宋_GB2312"/>
          <w:bCs/>
          <w:color w:val="000000" w:themeColor="text1"/>
          <w:sz w:val="32"/>
          <w:szCs w:val="32"/>
        </w:rPr>
        <w:t>商业服务业等支出（类）其他商业服务业等支出（款）其他商业服务车等支出（项）</w:t>
      </w:r>
      <w:r>
        <w:rPr>
          <w:rStyle w:val="16"/>
          <w:rFonts w:eastAsia="仿宋_GB2312"/>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94.4</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spacing w:line="576" w:lineRule="exact"/>
        <w:ind w:firstLine="640" w:firstLineChars="200"/>
        <w:rPr>
          <w:rFonts w:eastAsia="仿宋_GB2312"/>
          <w:b/>
          <w:color w:val="000000" w:themeColor="text1"/>
          <w:sz w:val="32"/>
          <w:szCs w:val="32"/>
        </w:rPr>
      </w:pPr>
      <w:r>
        <w:rPr>
          <w:rStyle w:val="16"/>
          <w:rFonts w:eastAsia="仿宋_GB2312"/>
          <w:bCs/>
          <w:color w:val="000000" w:themeColor="text1"/>
          <w:sz w:val="32"/>
          <w:szCs w:val="32"/>
        </w:rPr>
        <w:t>9.</w:t>
      </w:r>
      <w:r>
        <w:rPr>
          <w:rStyle w:val="16"/>
          <w:rFonts w:hAnsi="仿宋" w:eastAsia="仿宋_GB2312"/>
          <w:bCs/>
          <w:color w:val="000000" w:themeColor="text1"/>
          <w:sz w:val="32"/>
          <w:szCs w:val="32"/>
        </w:rPr>
        <w:t>住房保障支出（类）住房改革支出（款）住房公积金（项）</w:t>
      </w:r>
      <w:r>
        <w:rPr>
          <w:rStyle w:val="16"/>
          <w:rFonts w:eastAsia="仿宋_GB2312"/>
          <w:bCs/>
          <w:color w:val="000000" w:themeColor="text1"/>
          <w:sz w:val="32"/>
          <w:szCs w:val="32"/>
        </w:rPr>
        <w:t xml:space="preserve">: </w:t>
      </w:r>
      <w:r>
        <w:rPr>
          <w:rStyle w:val="16"/>
          <w:rFonts w:hAnsi="仿宋" w:eastAsia="仿宋_GB2312"/>
          <w:b w:val="0"/>
          <w:bCs/>
          <w:color w:val="000000" w:themeColor="text1"/>
          <w:sz w:val="32"/>
          <w:szCs w:val="32"/>
        </w:rPr>
        <w:t>支出决算为</w:t>
      </w:r>
      <w:r>
        <w:rPr>
          <w:rStyle w:val="16"/>
          <w:rFonts w:eastAsia="仿宋_GB2312"/>
          <w:b w:val="0"/>
          <w:bCs/>
          <w:color w:val="000000" w:themeColor="text1"/>
          <w:sz w:val="32"/>
          <w:szCs w:val="32"/>
        </w:rPr>
        <w:t>25.16</w:t>
      </w:r>
      <w:r>
        <w:rPr>
          <w:rStyle w:val="16"/>
          <w:rFonts w:hAnsi="仿宋" w:eastAsia="仿宋_GB2312"/>
          <w:b w:val="0"/>
          <w:bCs/>
          <w:color w:val="000000" w:themeColor="text1"/>
          <w:sz w:val="32"/>
          <w:szCs w:val="32"/>
        </w:rPr>
        <w:t>万元，完成预算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p>
    <w:p>
      <w:pPr>
        <w:tabs>
          <w:tab w:val="right" w:pos="8306"/>
        </w:tabs>
        <w:spacing w:line="576" w:lineRule="exact"/>
        <w:ind w:firstLine="640"/>
        <w:outlineLvl w:val="1"/>
        <w:rPr>
          <w:rStyle w:val="29"/>
          <w:rFonts w:ascii="Times New Roman" w:hAnsi="Times New Roman" w:cs="Times New Roman"/>
          <w:color w:val="000000" w:themeColor="text1"/>
        </w:rPr>
      </w:pPr>
      <w:bookmarkStart w:id="45" w:name="_Toc146632961"/>
      <w:r>
        <w:rPr>
          <w:rFonts w:eastAsia="黑体"/>
          <w:color w:val="000000" w:themeColor="text1"/>
          <w:sz w:val="32"/>
          <w:szCs w:val="32"/>
        </w:rPr>
        <w:t>六</w:t>
      </w:r>
      <w:r>
        <w:rPr>
          <w:rFonts w:eastAsia="黑体"/>
          <w:b/>
          <w:color w:val="000000" w:themeColor="text1"/>
          <w:sz w:val="32"/>
          <w:szCs w:val="32"/>
        </w:rPr>
        <w:t>、</w:t>
      </w:r>
      <w:r>
        <w:rPr>
          <w:rFonts w:hAnsi="黑体" w:eastAsia="黑体"/>
          <w:b/>
          <w:color w:val="000000" w:themeColor="text1"/>
          <w:sz w:val="32"/>
          <w:szCs w:val="32"/>
        </w:rPr>
        <w:t>一</w:t>
      </w:r>
      <w:r>
        <w:rPr>
          <w:rStyle w:val="29"/>
          <w:rFonts w:ascii="Times New Roman" w:hAnsi="黑体" w:eastAsia="黑体" w:cs="Times New Roman"/>
          <w:b w:val="0"/>
          <w:color w:val="000000" w:themeColor="text1"/>
        </w:rPr>
        <w:t>般公共预算财政拨款基本支出决算情况说明</w:t>
      </w:r>
      <w:bookmarkEnd w:id="43"/>
      <w:bookmarkEnd w:id="44"/>
      <w:bookmarkEnd w:id="45"/>
    </w:p>
    <w:p>
      <w:pPr>
        <w:spacing w:line="576" w:lineRule="exact"/>
        <w:ind w:firstLine="645"/>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年一般公共预算财政拨款基本支出</w:t>
      </w:r>
      <w:r>
        <w:rPr>
          <w:rFonts w:eastAsia="仿宋_GB2312"/>
          <w:color w:val="000000" w:themeColor="text1"/>
          <w:sz w:val="32"/>
          <w:szCs w:val="32"/>
        </w:rPr>
        <w:t>321.48</w:t>
      </w:r>
      <w:r>
        <w:rPr>
          <w:rFonts w:hAnsi="仿宋" w:eastAsia="仿宋_GB2312"/>
          <w:color w:val="000000" w:themeColor="text1"/>
          <w:sz w:val="32"/>
          <w:szCs w:val="32"/>
        </w:rPr>
        <w:t>万元，其中：人员经费</w:t>
      </w:r>
      <w:r>
        <w:rPr>
          <w:rFonts w:eastAsia="仿宋_GB2312"/>
          <w:color w:val="000000" w:themeColor="text1"/>
          <w:sz w:val="32"/>
          <w:szCs w:val="32"/>
        </w:rPr>
        <w:t>284.08</w:t>
      </w:r>
      <w:r>
        <w:rPr>
          <w:rFonts w:hAnsi="仿宋" w:eastAsia="仿宋_GB2312"/>
          <w:color w:val="000000" w:themeColor="text1"/>
          <w:sz w:val="32"/>
          <w:szCs w:val="32"/>
        </w:rPr>
        <w:t>万元，主要包括：基本工资、津贴补贴、奖金、绩效工资、机关事业单位基本养老保险缴费、职工基本医疗保险缴费、其他社会保障缴费、住房公积金、其他工资福利支出、对个人和家庭的补助、生活补助、奖励金等。</w:t>
      </w:r>
    </w:p>
    <w:p>
      <w:pPr>
        <w:spacing w:line="576" w:lineRule="exact"/>
        <w:ind w:firstLine="645"/>
        <w:rPr>
          <w:rFonts w:eastAsia="仿宋_GB2312"/>
          <w:b/>
          <w:color w:val="000000" w:themeColor="text1"/>
          <w:sz w:val="32"/>
          <w:szCs w:val="32"/>
        </w:rPr>
      </w:pPr>
      <w:r>
        <w:rPr>
          <w:rFonts w:hAnsi="仿宋" w:eastAsia="仿宋_GB2312"/>
          <w:color w:val="000000" w:themeColor="text1"/>
          <w:sz w:val="32"/>
          <w:szCs w:val="32"/>
        </w:rPr>
        <w:t>公用经费</w:t>
      </w:r>
      <w:r>
        <w:rPr>
          <w:rFonts w:eastAsia="仿宋_GB2312"/>
          <w:color w:val="000000" w:themeColor="text1"/>
          <w:sz w:val="32"/>
          <w:szCs w:val="32"/>
        </w:rPr>
        <w:t>37.4</w:t>
      </w:r>
      <w:r>
        <w:rPr>
          <w:rFonts w:hAnsi="仿宋" w:eastAsia="仿宋_GB2312"/>
          <w:color w:val="000000" w:themeColor="text1"/>
          <w:sz w:val="32"/>
          <w:szCs w:val="32"/>
        </w:rPr>
        <w:t>万元，主要包括：办公费、邮电费、差旅费、培训费、工会经费、其他交通费等。</w:t>
      </w:r>
    </w:p>
    <w:p>
      <w:pPr>
        <w:spacing w:line="576" w:lineRule="exact"/>
        <w:ind w:firstLine="640"/>
        <w:outlineLvl w:val="1"/>
        <w:rPr>
          <w:rStyle w:val="29"/>
          <w:rFonts w:ascii="Times New Roman" w:hAnsi="Times New Roman" w:eastAsia="黑体" w:cs="Times New Roman"/>
          <w:b w:val="0"/>
          <w:color w:val="000000" w:themeColor="text1"/>
        </w:rPr>
      </w:pPr>
      <w:bookmarkStart w:id="46" w:name="_Toc146632962"/>
      <w:bookmarkStart w:id="47" w:name="_Toc15396609"/>
      <w:bookmarkStart w:id="48" w:name="_Toc15377215"/>
      <w:r>
        <w:rPr>
          <w:rFonts w:eastAsia="黑体"/>
          <w:color w:val="000000" w:themeColor="text1"/>
          <w:sz w:val="32"/>
          <w:szCs w:val="32"/>
        </w:rPr>
        <w:t>七、</w:t>
      </w:r>
      <w:r>
        <w:rPr>
          <w:rStyle w:val="29"/>
          <w:rFonts w:ascii="Times New Roman" w:hAnsi="Times New Roman" w:eastAsia="黑体" w:cs="Times New Roman"/>
          <w:color w:val="000000" w:themeColor="text1"/>
        </w:rPr>
        <w:t>“</w:t>
      </w:r>
      <w:r>
        <w:rPr>
          <w:rStyle w:val="29"/>
          <w:rFonts w:ascii="Times New Roman" w:hAnsi="黑体" w:eastAsia="黑体" w:cs="Times New Roman"/>
          <w:b w:val="0"/>
          <w:color w:val="000000" w:themeColor="text1"/>
        </w:rPr>
        <w:t>三公</w:t>
      </w:r>
      <w:r>
        <w:rPr>
          <w:rStyle w:val="29"/>
          <w:rFonts w:ascii="Times New Roman" w:hAnsi="Times New Roman" w:eastAsia="黑体" w:cs="Times New Roman"/>
          <w:b w:val="0"/>
          <w:color w:val="000000" w:themeColor="text1"/>
        </w:rPr>
        <w:t>”</w:t>
      </w:r>
      <w:r>
        <w:rPr>
          <w:rStyle w:val="29"/>
          <w:rFonts w:ascii="Times New Roman" w:hAnsi="黑体" w:eastAsia="黑体" w:cs="Times New Roman"/>
          <w:b w:val="0"/>
          <w:color w:val="000000" w:themeColor="text1"/>
        </w:rPr>
        <w:t>经费财政拨款支出决算情况说明</w:t>
      </w:r>
      <w:bookmarkEnd w:id="46"/>
      <w:bookmarkEnd w:id="47"/>
      <w:bookmarkEnd w:id="48"/>
    </w:p>
    <w:p>
      <w:pPr>
        <w:spacing w:line="576" w:lineRule="exact"/>
        <w:ind w:firstLine="640"/>
        <w:rPr>
          <w:rFonts w:hint="eastAsia" w:ascii="楷体_GB2312" w:eastAsia="楷体_GB2312"/>
          <w:b/>
          <w:color w:val="000000" w:themeColor="text1"/>
          <w:sz w:val="32"/>
          <w:szCs w:val="32"/>
        </w:rPr>
      </w:pPr>
      <w:bookmarkStart w:id="49" w:name="_Toc15377216"/>
      <w:r>
        <w:rPr>
          <w:rFonts w:hint="eastAsia" w:ascii="楷体_GB2312" w:hAnsi="仿宋" w:eastAsia="楷体_GB2312"/>
          <w:b/>
          <w:color w:val="000000" w:themeColor="text1"/>
          <w:sz w:val="32"/>
          <w:szCs w:val="32"/>
        </w:rPr>
        <w:t>（一）</w:t>
      </w:r>
      <w:r>
        <w:rPr>
          <w:rFonts w:hint="eastAsia" w:ascii="楷体_GB2312" w:eastAsia="楷体_GB2312"/>
          <w:b/>
          <w:color w:val="000000" w:themeColor="text1"/>
          <w:sz w:val="32"/>
          <w:szCs w:val="32"/>
        </w:rPr>
        <w:t>“</w:t>
      </w:r>
      <w:r>
        <w:rPr>
          <w:rFonts w:hint="eastAsia" w:ascii="楷体_GB2312" w:hAnsi="仿宋" w:eastAsia="楷体_GB2312"/>
          <w:b/>
          <w:color w:val="000000" w:themeColor="text1"/>
          <w:sz w:val="32"/>
          <w:szCs w:val="32"/>
        </w:rPr>
        <w:t>三公</w:t>
      </w:r>
      <w:r>
        <w:rPr>
          <w:rFonts w:hint="eastAsia" w:ascii="楷体_GB2312" w:eastAsia="楷体_GB2312"/>
          <w:b/>
          <w:color w:val="000000" w:themeColor="text1"/>
          <w:sz w:val="32"/>
          <w:szCs w:val="32"/>
        </w:rPr>
        <w:t>”</w:t>
      </w:r>
      <w:r>
        <w:rPr>
          <w:rFonts w:hint="eastAsia" w:ascii="楷体_GB2312" w:hAnsi="仿宋" w:eastAsia="楷体_GB2312"/>
          <w:b/>
          <w:color w:val="000000" w:themeColor="text1"/>
          <w:sz w:val="32"/>
          <w:szCs w:val="32"/>
        </w:rPr>
        <w:t>经费财政拨款支出决算总体情况说明</w:t>
      </w:r>
      <w:bookmarkEnd w:id="49"/>
    </w:p>
    <w:p>
      <w:pPr>
        <w:spacing w:line="576" w:lineRule="exact"/>
        <w:ind w:firstLine="640"/>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w:t>
      </w:r>
      <w:r>
        <w:rPr>
          <w:rFonts w:eastAsia="仿宋_GB2312"/>
          <w:color w:val="000000" w:themeColor="text1"/>
          <w:sz w:val="32"/>
          <w:szCs w:val="32"/>
        </w:rPr>
        <w:t>“</w:t>
      </w:r>
      <w:r>
        <w:rPr>
          <w:rFonts w:hAnsi="仿宋" w:eastAsia="仿宋_GB2312"/>
          <w:color w:val="000000" w:themeColor="text1"/>
          <w:sz w:val="32"/>
          <w:szCs w:val="32"/>
        </w:rPr>
        <w:t>三公</w:t>
      </w:r>
      <w:r>
        <w:rPr>
          <w:rFonts w:eastAsia="仿宋_GB2312"/>
          <w:color w:val="000000" w:themeColor="text1"/>
          <w:sz w:val="32"/>
          <w:szCs w:val="32"/>
        </w:rPr>
        <w:t>”</w:t>
      </w:r>
      <w:r>
        <w:rPr>
          <w:rFonts w:hAnsi="仿宋" w:eastAsia="仿宋_GB2312"/>
          <w:color w:val="000000" w:themeColor="text1"/>
          <w:sz w:val="32"/>
          <w:szCs w:val="32"/>
        </w:rPr>
        <w:t>经费财政拨款支出决算为</w:t>
      </w:r>
      <w:r>
        <w:rPr>
          <w:rFonts w:eastAsia="仿宋_GB2312"/>
          <w:color w:val="000000" w:themeColor="text1"/>
          <w:sz w:val="32"/>
          <w:szCs w:val="32"/>
        </w:rPr>
        <w:t>11.8</w:t>
      </w:r>
      <w:r>
        <w:rPr>
          <w:rFonts w:hAnsi="仿宋" w:eastAsia="仿宋_GB2312"/>
          <w:color w:val="000000" w:themeColor="text1"/>
          <w:sz w:val="32"/>
          <w:szCs w:val="32"/>
        </w:rPr>
        <w:t>万元，完成预算</w:t>
      </w:r>
      <w:r>
        <w:rPr>
          <w:rFonts w:eastAsia="仿宋_GB2312"/>
          <w:color w:val="000000" w:themeColor="text1"/>
          <w:sz w:val="32"/>
          <w:szCs w:val="32"/>
        </w:rPr>
        <w:t>100%</w:t>
      </w:r>
      <w:r>
        <w:rPr>
          <w:rFonts w:hAnsi="仿宋" w:eastAsia="仿宋_GB2312"/>
          <w:color w:val="000000" w:themeColor="text1"/>
          <w:sz w:val="32"/>
          <w:szCs w:val="32"/>
        </w:rPr>
        <w:t>。</w:t>
      </w:r>
    </w:p>
    <w:p>
      <w:pPr>
        <w:spacing w:line="550" w:lineRule="exact"/>
        <w:ind w:firstLine="640"/>
        <w:rPr>
          <w:rFonts w:hint="eastAsia" w:ascii="楷体_GB2312" w:eastAsia="楷体_GB2312"/>
          <w:b/>
          <w:color w:val="000000" w:themeColor="text1"/>
          <w:sz w:val="32"/>
          <w:szCs w:val="32"/>
        </w:rPr>
      </w:pPr>
      <w:bookmarkStart w:id="50" w:name="_Toc15377217"/>
      <w:r>
        <w:rPr>
          <w:rFonts w:hint="eastAsia" w:ascii="楷体_GB2312" w:hAnsi="仿宋" w:eastAsia="楷体_GB2312"/>
          <w:b/>
          <w:color w:val="000000" w:themeColor="text1"/>
          <w:sz w:val="32"/>
          <w:szCs w:val="32"/>
        </w:rPr>
        <w:t>（二）</w:t>
      </w:r>
      <w:r>
        <w:rPr>
          <w:rFonts w:hint="eastAsia" w:ascii="楷体_GB2312" w:eastAsia="楷体_GB2312"/>
          <w:b/>
          <w:color w:val="000000" w:themeColor="text1"/>
          <w:sz w:val="32"/>
          <w:szCs w:val="32"/>
        </w:rPr>
        <w:t>“</w:t>
      </w:r>
      <w:r>
        <w:rPr>
          <w:rFonts w:hint="eastAsia" w:ascii="楷体_GB2312" w:hAnsi="仿宋" w:eastAsia="楷体_GB2312"/>
          <w:b/>
          <w:color w:val="000000" w:themeColor="text1"/>
          <w:sz w:val="32"/>
          <w:szCs w:val="32"/>
        </w:rPr>
        <w:t>三公</w:t>
      </w:r>
      <w:r>
        <w:rPr>
          <w:rFonts w:hint="eastAsia" w:ascii="楷体_GB2312" w:eastAsia="楷体_GB2312"/>
          <w:b/>
          <w:color w:val="000000" w:themeColor="text1"/>
          <w:sz w:val="32"/>
          <w:szCs w:val="32"/>
        </w:rPr>
        <w:t>”</w:t>
      </w:r>
      <w:r>
        <w:rPr>
          <w:rFonts w:hint="eastAsia" w:ascii="楷体_GB2312" w:hAnsi="仿宋" w:eastAsia="楷体_GB2312"/>
          <w:b/>
          <w:color w:val="000000" w:themeColor="text1"/>
          <w:sz w:val="32"/>
          <w:szCs w:val="32"/>
        </w:rPr>
        <w:t>经费财政拨款支出决算具体情况说明</w:t>
      </w:r>
      <w:bookmarkEnd w:id="50"/>
    </w:p>
    <w:p>
      <w:pPr>
        <w:spacing w:line="550" w:lineRule="exact"/>
        <w:ind w:firstLine="640"/>
        <w:rPr>
          <w:rFonts w:eastAsia="仿宋_GB2312"/>
          <w:color w:val="000000" w:themeColor="text1"/>
          <w:sz w:val="32"/>
          <w:szCs w:val="32"/>
        </w:rPr>
      </w:pPr>
      <w:r>
        <w:rPr>
          <w:rFonts w:eastAsia="仿宋_GB2312"/>
          <w:color w:val="000000" w:themeColor="text1"/>
          <w:sz w:val="32"/>
          <w:szCs w:val="32"/>
        </w:rPr>
        <w:t>2022</w:t>
      </w:r>
      <w:r>
        <w:rPr>
          <w:rFonts w:hAnsi="仿宋" w:eastAsia="仿宋_GB2312"/>
          <w:color w:val="000000" w:themeColor="text1"/>
          <w:sz w:val="32"/>
          <w:szCs w:val="32"/>
        </w:rPr>
        <w:t>年</w:t>
      </w:r>
      <w:r>
        <w:rPr>
          <w:rFonts w:eastAsia="仿宋_GB2312"/>
          <w:color w:val="000000" w:themeColor="text1"/>
          <w:sz w:val="32"/>
          <w:szCs w:val="32"/>
        </w:rPr>
        <w:t>“</w:t>
      </w:r>
      <w:r>
        <w:rPr>
          <w:rFonts w:hAnsi="仿宋" w:eastAsia="仿宋_GB2312"/>
          <w:color w:val="000000" w:themeColor="text1"/>
          <w:sz w:val="32"/>
          <w:szCs w:val="32"/>
        </w:rPr>
        <w:t>三公</w:t>
      </w:r>
      <w:r>
        <w:rPr>
          <w:rFonts w:eastAsia="仿宋_GB2312"/>
          <w:color w:val="000000" w:themeColor="text1"/>
          <w:sz w:val="32"/>
          <w:szCs w:val="32"/>
        </w:rPr>
        <w:t>”</w:t>
      </w:r>
      <w:r>
        <w:rPr>
          <w:rFonts w:hAnsi="仿宋" w:eastAsia="仿宋_GB2312"/>
          <w:color w:val="000000" w:themeColor="text1"/>
          <w:sz w:val="32"/>
          <w:szCs w:val="32"/>
        </w:rPr>
        <w:t>经费财政拨款支出决算中，因公出国（境）费支出决算</w:t>
      </w:r>
      <w:r>
        <w:rPr>
          <w:rFonts w:eastAsia="仿宋_GB2312"/>
          <w:color w:val="000000" w:themeColor="text1"/>
          <w:sz w:val="32"/>
          <w:szCs w:val="32"/>
        </w:rPr>
        <w:t>0</w:t>
      </w:r>
      <w:r>
        <w:rPr>
          <w:rFonts w:hAnsi="仿宋" w:eastAsia="仿宋_GB2312"/>
          <w:color w:val="000000" w:themeColor="text1"/>
          <w:sz w:val="32"/>
          <w:szCs w:val="32"/>
        </w:rPr>
        <w:t>万元，公务用车购置及运行维护费支出决算</w:t>
      </w:r>
      <w:r>
        <w:rPr>
          <w:rFonts w:eastAsia="仿宋_GB2312"/>
          <w:color w:val="000000" w:themeColor="text1"/>
          <w:sz w:val="32"/>
          <w:szCs w:val="32"/>
        </w:rPr>
        <w:t>0</w:t>
      </w:r>
      <w:r>
        <w:rPr>
          <w:rFonts w:hAnsi="仿宋" w:eastAsia="仿宋_GB2312"/>
          <w:color w:val="000000" w:themeColor="text1"/>
          <w:sz w:val="32"/>
          <w:szCs w:val="32"/>
        </w:rPr>
        <w:t>万元，公务接待费支出决算</w:t>
      </w:r>
      <w:r>
        <w:rPr>
          <w:rFonts w:eastAsia="仿宋_GB2312"/>
          <w:color w:val="000000" w:themeColor="text1"/>
          <w:sz w:val="32"/>
          <w:szCs w:val="32"/>
        </w:rPr>
        <w:t>11.8</w:t>
      </w:r>
      <w:r>
        <w:rPr>
          <w:rFonts w:hAnsi="仿宋" w:eastAsia="仿宋_GB2312"/>
          <w:color w:val="000000" w:themeColor="text1"/>
          <w:sz w:val="32"/>
          <w:szCs w:val="32"/>
        </w:rPr>
        <w:t>万元，占</w:t>
      </w:r>
      <w:r>
        <w:rPr>
          <w:rFonts w:eastAsia="仿宋_GB2312"/>
          <w:color w:val="000000" w:themeColor="text1"/>
          <w:sz w:val="32"/>
          <w:szCs w:val="32"/>
        </w:rPr>
        <w:t>100%</w:t>
      </w:r>
      <w:r>
        <w:rPr>
          <w:rFonts w:hAnsi="仿宋" w:eastAsia="仿宋_GB2312"/>
          <w:color w:val="000000" w:themeColor="text1"/>
          <w:sz w:val="32"/>
          <w:szCs w:val="32"/>
        </w:rPr>
        <w:t>。具体情况如下：</w:t>
      </w:r>
    </w:p>
    <w:p>
      <w:pPr>
        <w:spacing w:line="550" w:lineRule="exact"/>
        <w:ind w:firstLine="645"/>
        <w:rPr>
          <w:color w:val="000000" w:themeColor="text1"/>
        </w:rPr>
      </w:pPr>
      <w:r>
        <w:rPr>
          <w:rFonts w:eastAsia="仿宋_GB2312"/>
          <w:b/>
          <w:color w:val="000000" w:themeColor="text1"/>
          <w:sz w:val="32"/>
          <w:szCs w:val="32"/>
        </w:rPr>
        <w:t>1.因公出国（境）经费支出</w:t>
      </w:r>
      <w:r>
        <w:rPr>
          <w:rFonts w:eastAsia="仿宋_GB2312"/>
          <w:color w:val="000000" w:themeColor="text1"/>
          <w:sz w:val="32"/>
          <w:szCs w:val="32"/>
        </w:rPr>
        <w:t>0万元，</w:t>
      </w:r>
      <w:r>
        <w:rPr>
          <w:rFonts w:hAnsi="仿宋" w:eastAsia="仿宋_GB2312"/>
          <w:color w:val="000000" w:themeColor="text1"/>
          <w:sz w:val="32"/>
          <w:szCs w:val="32"/>
        </w:rPr>
        <w:t>年初未安排预算</w:t>
      </w:r>
      <w:r>
        <w:rPr>
          <w:rStyle w:val="16"/>
          <w:rFonts w:hAnsi="仿宋" w:eastAsia="仿宋_GB2312"/>
          <w:b w:val="0"/>
          <w:bCs/>
          <w:color w:val="000000" w:themeColor="text1"/>
          <w:sz w:val="32"/>
          <w:szCs w:val="32"/>
        </w:rPr>
        <w:t>。</w:t>
      </w:r>
      <w:r>
        <w:rPr>
          <w:rFonts w:eastAsia="仿宋_GB2312"/>
          <w:color w:val="000000" w:themeColor="text1"/>
          <w:sz w:val="32"/>
          <w:szCs w:val="32"/>
        </w:rPr>
        <w:t>全年安排因公出国（境）团组0次，出国（境）0人。因公出国（境）支出决算较2021年无变化。</w:t>
      </w:r>
    </w:p>
    <w:p>
      <w:pPr>
        <w:spacing w:line="550" w:lineRule="exact"/>
        <w:ind w:firstLine="640"/>
        <w:rPr>
          <w:rFonts w:eastAsia="仿宋_GB2312"/>
          <w:b/>
          <w:color w:val="000000" w:themeColor="text1"/>
          <w:sz w:val="32"/>
          <w:szCs w:val="32"/>
        </w:rPr>
      </w:pPr>
      <w:r>
        <w:rPr>
          <w:rFonts w:eastAsia="仿宋_GB2312"/>
          <w:b/>
          <w:color w:val="000000" w:themeColor="text1"/>
          <w:sz w:val="32"/>
          <w:szCs w:val="32"/>
        </w:rPr>
        <w:t>2.公务用车购置及运行维护费支出</w:t>
      </w:r>
      <w:r>
        <w:rPr>
          <w:rFonts w:eastAsia="仿宋_GB2312"/>
          <w:color w:val="000000" w:themeColor="text1"/>
          <w:sz w:val="32"/>
          <w:szCs w:val="32"/>
        </w:rPr>
        <w:t>0万元,</w:t>
      </w:r>
      <w:r>
        <w:rPr>
          <w:rFonts w:hAnsi="仿宋" w:eastAsia="仿宋_GB2312"/>
          <w:color w:val="000000" w:themeColor="text1"/>
          <w:sz w:val="32"/>
          <w:szCs w:val="32"/>
        </w:rPr>
        <w:t>年初未安排预算</w:t>
      </w:r>
      <w:r>
        <w:rPr>
          <w:rStyle w:val="16"/>
          <w:rFonts w:hAnsi="仿宋" w:eastAsia="仿宋_GB2312"/>
          <w:b w:val="0"/>
          <w:bCs/>
          <w:color w:val="000000" w:themeColor="text1"/>
          <w:sz w:val="32"/>
          <w:szCs w:val="32"/>
        </w:rPr>
        <w:t>。</w:t>
      </w:r>
      <w:r>
        <w:rPr>
          <w:rFonts w:eastAsia="仿宋_GB2312"/>
          <w:color w:val="000000" w:themeColor="text1"/>
          <w:sz w:val="32"/>
          <w:szCs w:val="32"/>
        </w:rPr>
        <w:t>公务用车购置及运行维护费支出决算较2021年无变化。</w:t>
      </w:r>
    </w:p>
    <w:p>
      <w:pPr>
        <w:spacing w:line="550" w:lineRule="exact"/>
        <w:ind w:firstLine="640" w:firstLineChars="200"/>
        <w:rPr>
          <w:rFonts w:eastAsia="仿宋_GB2312"/>
          <w:b/>
          <w:color w:val="000000" w:themeColor="text1"/>
          <w:sz w:val="32"/>
          <w:szCs w:val="32"/>
        </w:rPr>
      </w:pPr>
      <w:r>
        <w:rPr>
          <w:rFonts w:eastAsia="仿宋_GB2312"/>
          <w:color w:val="000000" w:themeColor="text1"/>
          <w:sz w:val="32"/>
          <w:szCs w:val="32"/>
        </w:rPr>
        <w:t>其中：</w:t>
      </w:r>
      <w:r>
        <w:rPr>
          <w:rFonts w:eastAsia="仿宋_GB2312"/>
          <w:b/>
          <w:color w:val="000000" w:themeColor="text1"/>
          <w:sz w:val="32"/>
          <w:szCs w:val="32"/>
        </w:rPr>
        <w:t>公务用车购置支出</w:t>
      </w:r>
      <w:r>
        <w:rPr>
          <w:rFonts w:eastAsia="仿宋_GB2312"/>
          <w:color w:val="000000" w:themeColor="text1"/>
          <w:sz w:val="32"/>
          <w:szCs w:val="32"/>
        </w:rPr>
        <w:t>0万元。未购置公务用车。截至2022年12月底，单位共有公务用车0辆。</w:t>
      </w:r>
    </w:p>
    <w:p>
      <w:pPr>
        <w:spacing w:line="550" w:lineRule="exact"/>
        <w:ind w:firstLine="645"/>
        <w:rPr>
          <w:color w:val="000000" w:themeColor="text1"/>
        </w:rPr>
      </w:pPr>
      <w:r>
        <w:rPr>
          <w:rFonts w:eastAsia="仿宋_GB2312"/>
          <w:b/>
          <w:color w:val="000000" w:themeColor="text1"/>
          <w:sz w:val="32"/>
          <w:szCs w:val="32"/>
        </w:rPr>
        <w:t>公务用车运行维护费支出</w:t>
      </w:r>
      <w:r>
        <w:rPr>
          <w:rFonts w:eastAsia="仿宋_GB2312"/>
          <w:color w:val="000000" w:themeColor="text1"/>
          <w:sz w:val="32"/>
          <w:szCs w:val="32"/>
        </w:rPr>
        <w:t>0万元。</w:t>
      </w:r>
    </w:p>
    <w:p>
      <w:pPr>
        <w:spacing w:line="550" w:lineRule="exact"/>
        <w:ind w:firstLine="640"/>
        <w:rPr>
          <w:rFonts w:eastAsia="仿宋_GB2312"/>
          <w:color w:val="000000" w:themeColor="text1"/>
          <w:sz w:val="32"/>
          <w:szCs w:val="32"/>
        </w:rPr>
      </w:pPr>
      <w:r>
        <w:rPr>
          <w:rFonts w:eastAsia="仿宋_GB2312"/>
          <w:b/>
          <w:color w:val="000000" w:themeColor="text1"/>
          <w:sz w:val="32"/>
          <w:szCs w:val="32"/>
        </w:rPr>
        <w:t>3.公务接待费支出</w:t>
      </w:r>
      <w:r>
        <w:rPr>
          <w:rFonts w:eastAsia="仿宋_GB2312"/>
          <w:color w:val="000000" w:themeColor="text1"/>
          <w:sz w:val="32"/>
          <w:szCs w:val="32"/>
        </w:rPr>
        <w:t>11.8万元，</w:t>
      </w:r>
      <w:r>
        <w:rPr>
          <w:rStyle w:val="16"/>
          <w:rFonts w:hAnsi="仿宋" w:eastAsia="仿宋_GB2312"/>
          <w:b w:val="0"/>
          <w:bCs/>
          <w:color w:val="000000" w:themeColor="text1"/>
          <w:sz w:val="32"/>
          <w:szCs w:val="32"/>
        </w:rPr>
        <w:t>完成预算</w:t>
      </w:r>
      <w:r>
        <w:rPr>
          <w:rStyle w:val="16"/>
          <w:rFonts w:eastAsia="仿宋_GB2312"/>
          <w:b w:val="0"/>
          <w:bCs/>
          <w:color w:val="000000" w:themeColor="text1"/>
          <w:sz w:val="32"/>
          <w:szCs w:val="32"/>
        </w:rPr>
        <w:t>100%</w:t>
      </w:r>
      <w:r>
        <w:rPr>
          <w:rStyle w:val="16"/>
          <w:rFonts w:hAnsi="仿宋" w:eastAsia="仿宋_GB2312"/>
          <w:b w:val="0"/>
          <w:bCs/>
          <w:color w:val="000000" w:themeColor="text1"/>
          <w:sz w:val="32"/>
          <w:szCs w:val="32"/>
        </w:rPr>
        <w:t>。</w:t>
      </w:r>
      <w:r>
        <w:rPr>
          <w:rFonts w:eastAsia="仿宋_GB2312"/>
          <w:color w:val="000000" w:themeColor="text1"/>
          <w:sz w:val="32"/>
          <w:szCs w:val="32"/>
        </w:rPr>
        <w:t>公务接待费支出决算与2021年持平。其中：</w:t>
      </w:r>
    </w:p>
    <w:p>
      <w:pPr>
        <w:spacing w:line="550" w:lineRule="exact"/>
        <w:ind w:firstLine="640"/>
        <w:rPr>
          <w:rFonts w:eastAsia="仿宋_GB2312"/>
          <w:color w:val="000000" w:themeColor="text1"/>
          <w:sz w:val="32"/>
          <w:szCs w:val="32"/>
        </w:rPr>
      </w:pPr>
      <w:r>
        <w:rPr>
          <w:rFonts w:hAnsi="仿宋" w:eastAsia="仿宋_GB2312"/>
          <w:b/>
          <w:color w:val="000000" w:themeColor="text1"/>
          <w:sz w:val="32"/>
          <w:szCs w:val="32"/>
        </w:rPr>
        <w:t>国内公务接待支出</w:t>
      </w:r>
      <w:r>
        <w:rPr>
          <w:rFonts w:eastAsia="仿宋_GB2312"/>
          <w:color w:val="000000" w:themeColor="text1"/>
          <w:sz w:val="32"/>
          <w:szCs w:val="32"/>
        </w:rPr>
        <w:t>11.8万元，主要用于执行公务、开展招商引资活动开支的交通费、住宿费、用餐费等。国内公务接待160批次，983人次（不包括陪同人员），共计支出11.8万元，具体内容包括：外出开展投资促进活动、项目对接、洽谈等发生的招待费，来区考察客商、项目签约等发生的食宿费、交通费等。</w:t>
      </w:r>
    </w:p>
    <w:p>
      <w:pPr>
        <w:spacing w:line="550" w:lineRule="exact"/>
        <w:ind w:firstLine="640"/>
        <w:rPr>
          <w:rFonts w:eastAsia="仿宋_GB2312"/>
          <w:color w:val="000000" w:themeColor="text1"/>
          <w:sz w:val="32"/>
          <w:szCs w:val="32"/>
        </w:rPr>
      </w:pPr>
      <w:r>
        <w:rPr>
          <w:rFonts w:hAnsi="仿宋" w:eastAsia="仿宋_GB2312"/>
          <w:b/>
          <w:color w:val="000000" w:themeColor="text1"/>
          <w:sz w:val="32"/>
          <w:szCs w:val="32"/>
        </w:rPr>
        <w:t>外事接待支出</w:t>
      </w:r>
      <w:r>
        <w:rPr>
          <w:rFonts w:eastAsia="仿宋_GB2312"/>
          <w:color w:val="000000" w:themeColor="text1"/>
          <w:sz w:val="32"/>
          <w:szCs w:val="32"/>
        </w:rPr>
        <w:t>0万元，外事接待0批次，0人，共计支出0万元。</w:t>
      </w:r>
      <w:bookmarkStart w:id="51" w:name="_Toc15396610"/>
      <w:bookmarkStart w:id="52" w:name="_Toc15377218"/>
    </w:p>
    <w:p>
      <w:pPr>
        <w:spacing w:line="550" w:lineRule="exact"/>
        <w:ind w:firstLine="640"/>
        <w:outlineLvl w:val="1"/>
        <w:rPr>
          <w:rStyle w:val="29"/>
          <w:rFonts w:ascii="Times New Roman" w:hAnsi="Times New Roman" w:eastAsia="黑体" w:cs="Times New Roman"/>
          <w:color w:val="000000" w:themeColor="text1"/>
        </w:rPr>
      </w:pPr>
      <w:bookmarkStart w:id="53" w:name="_Toc146632963"/>
      <w:r>
        <w:rPr>
          <w:rFonts w:eastAsia="黑体"/>
          <w:color w:val="000000" w:themeColor="text1"/>
          <w:sz w:val="32"/>
          <w:szCs w:val="32"/>
        </w:rPr>
        <w:t>八、</w:t>
      </w:r>
      <w:r>
        <w:rPr>
          <w:rStyle w:val="29"/>
          <w:rFonts w:ascii="Times New Roman" w:hAnsi="黑体" w:eastAsia="黑体" w:cs="Times New Roman"/>
          <w:b w:val="0"/>
          <w:color w:val="000000" w:themeColor="text1"/>
        </w:rPr>
        <w:t>政府性基金预算支出决算情况说明</w:t>
      </w:r>
      <w:bookmarkEnd w:id="51"/>
      <w:bookmarkEnd w:id="52"/>
      <w:bookmarkEnd w:id="53"/>
    </w:p>
    <w:p>
      <w:pPr>
        <w:spacing w:line="550" w:lineRule="exact"/>
        <w:ind w:firstLine="640"/>
        <w:rPr>
          <w:rFonts w:eastAsia="仿宋_GB2312"/>
          <w:color w:val="000000" w:themeColor="text1"/>
          <w:sz w:val="32"/>
          <w:szCs w:val="32"/>
        </w:rPr>
      </w:pPr>
      <w:r>
        <w:rPr>
          <w:rFonts w:eastAsia="仿宋_GB2312"/>
          <w:color w:val="000000" w:themeColor="text1"/>
          <w:sz w:val="32"/>
          <w:szCs w:val="32"/>
        </w:rPr>
        <w:t>2022年政府性基金预算财政拨款支出516.57万元。</w:t>
      </w:r>
    </w:p>
    <w:p>
      <w:pPr>
        <w:numPr>
          <w:ilvl w:val="0"/>
          <w:numId w:val="2"/>
        </w:numPr>
        <w:spacing w:line="550" w:lineRule="exact"/>
        <w:ind w:firstLine="640"/>
        <w:outlineLvl w:val="1"/>
        <w:rPr>
          <w:rStyle w:val="29"/>
          <w:rFonts w:ascii="Times New Roman" w:hAnsi="Times New Roman" w:eastAsia="黑体" w:cs="Times New Roman"/>
          <w:b w:val="0"/>
          <w:color w:val="000000" w:themeColor="text1"/>
        </w:rPr>
      </w:pPr>
      <w:bookmarkStart w:id="54" w:name="_Toc146632964"/>
      <w:bookmarkStart w:id="55" w:name="_Toc15377219"/>
      <w:bookmarkStart w:id="56" w:name="_Toc15396611"/>
      <w:r>
        <w:rPr>
          <w:rStyle w:val="29"/>
          <w:rFonts w:ascii="Times New Roman" w:hAnsi="黑体" w:eastAsia="黑体" w:cs="Times New Roman"/>
          <w:b w:val="0"/>
          <w:color w:val="000000" w:themeColor="text1"/>
        </w:rPr>
        <w:t>国有资本经营预算支出决算情况说明</w:t>
      </w:r>
      <w:bookmarkEnd w:id="54"/>
      <w:bookmarkEnd w:id="55"/>
      <w:bookmarkEnd w:id="56"/>
    </w:p>
    <w:p>
      <w:pPr>
        <w:spacing w:line="550" w:lineRule="exact"/>
        <w:ind w:firstLine="640"/>
        <w:rPr>
          <w:rFonts w:eastAsia="方正小标宋简体"/>
          <w:color w:val="000000" w:themeColor="text1"/>
          <w:sz w:val="44"/>
          <w:szCs w:val="44"/>
        </w:rPr>
      </w:pPr>
      <w:r>
        <w:rPr>
          <w:rFonts w:eastAsia="仿宋_GB2312"/>
          <w:color w:val="000000" w:themeColor="text1"/>
          <w:sz w:val="32"/>
          <w:szCs w:val="32"/>
        </w:rPr>
        <w:t>2022年国有资本经营预算财政拨款支出0万元。</w:t>
      </w:r>
    </w:p>
    <w:p>
      <w:pPr>
        <w:numPr>
          <w:ilvl w:val="0"/>
          <w:numId w:val="2"/>
        </w:numPr>
        <w:spacing w:line="550" w:lineRule="exact"/>
        <w:ind w:firstLine="640"/>
        <w:outlineLvl w:val="1"/>
        <w:rPr>
          <w:rStyle w:val="29"/>
          <w:rFonts w:ascii="Times New Roman" w:hAnsi="Times New Roman" w:eastAsia="黑体" w:cs="Times New Roman"/>
          <w:b w:val="0"/>
          <w:color w:val="000000" w:themeColor="text1"/>
        </w:rPr>
      </w:pPr>
      <w:bookmarkStart w:id="57" w:name="_Toc146632965"/>
      <w:bookmarkStart w:id="58" w:name="_Toc15377221"/>
      <w:bookmarkStart w:id="59" w:name="_Toc15396612"/>
      <w:r>
        <w:rPr>
          <w:rStyle w:val="29"/>
          <w:rFonts w:ascii="Times New Roman" w:hAnsi="黑体" w:eastAsia="黑体" w:cs="Times New Roman"/>
          <w:b w:val="0"/>
          <w:color w:val="000000" w:themeColor="text1"/>
        </w:rPr>
        <w:t>预算绩效管理情况</w:t>
      </w:r>
      <w:bookmarkEnd w:id="57"/>
    </w:p>
    <w:p>
      <w:pPr>
        <w:autoSpaceDE w:val="0"/>
        <w:autoSpaceDN w:val="0"/>
        <w:adjustRightInd w:val="0"/>
        <w:spacing w:line="550" w:lineRule="exact"/>
        <w:ind w:firstLine="640" w:firstLineChars="200"/>
        <w:rPr>
          <w:color w:val="000000" w:themeColor="text1"/>
        </w:rPr>
      </w:pPr>
      <w:r>
        <w:rPr>
          <w:rFonts w:hAnsi="仿宋_GB2312" w:eastAsia="仿宋_GB2312"/>
          <w:color w:val="000000" w:themeColor="text1"/>
          <w:sz w:val="32"/>
          <w:szCs w:val="32"/>
        </w:rPr>
        <w:t>根据预算绩效管理要求，本部门在</w:t>
      </w:r>
      <w:r>
        <w:rPr>
          <w:rFonts w:eastAsia="仿宋_GB2312"/>
          <w:color w:val="000000" w:themeColor="text1"/>
          <w:sz w:val="32"/>
          <w:szCs w:val="32"/>
        </w:rPr>
        <w:t>2022</w:t>
      </w:r>
      <w:r>
        <w:rPr>
          <w:rFonts w:hAnsi="仿宋_GB2312" w:eastAsia="仿宋_GB2312"/>
          <w:color w:val="000000" w:themeColor="text1"/>
          <w:sz w:val="32"/>
          <w:szCs w:val="32"/>
        </w:rPr>
        <w:t>年度预算编制阶段，组织对</w:t>
      </w:r>
      <w:r>
        <w:rPr>
          <w:rFonts w:eastAsia="仿宋_GB2312"/>
          <w:color w:val="000000" w:themeColor="text1"/>
          <w:sz w:val="32"/>
          <w:szCs w:val="32"/>
        </w:rPr>
        <w:t>“</w:t>
      </w:r>
      <w:r>
        <w:rPr>
          <w:rFonts w:hAnsi="仿宋_GB2312" w:eastAsia="仿宋_GB2312"/>
          <w:color w:val="000000" w:themeColor="text1"/>
          <w:sz w:val="32"/>
          <w:szCs w:val="32"/>
        </w:rPr>
        <w:t>昭化造</w:t>
      </w:r>
      <w:r>
        <w:rPr>
          <w:rFonts w:eastAsia="仿宋_GB2312"/>
          <w:color w:val="000000" w:themeColor="text1"/>
          <w:sz w:val="32"/>
          <w:szCs w:val="32"/>
        </w:rPr>
        <w:t>”</w:t>
      </w:r>
      <w:r>
        <w:rPr>
          <w:rFonts w:hAnsi="仿宋_GB2312" w:eastAsia="仿宋_GB2312"/>
          <w:color w:val="000000" w:themeColor="text1"/>
          <w:sz w:val="32"/>
          <w:szCs w:val="32"/>
        </w:rPr>
        <w:t>农特产品线上线下市场体系建设</w:t>
      </w:r>
      <w:r>
        <w:rPr>
          <w:rFonts w:hint="eastAsia" w:hAnsi="仿宋_GB2312" w:eastAsia="仿宋_GB2312"/>
          <w:color w:val="000000" w:themeColor="text1"/>
          <w:sz w:val="32"/>
          <w:szCs w:val="32"/>
          <w:lang w:val="en-US" w:eastAsia="zh-CN"/>
        </w:rPr>
        <w:t>等</w:t>
      </w:r>
      <w:r>
        <w:rPr>
          <w:rFonts w:hAnsi="仿宋_GB2312" w:eastAsia="仿宋_GB2312"/>
          <w:color w:val="000000" w:themeColor="text1"/>
          <w:sz w:val="32"/>
          <w:szCs w:val="32"/>
        </w:rPr>
        <w:t>项目经费开展了预算事前绩效评估，对</w:t>
      </w:r>
      <w:r>
        <w:rPr>
          <w:rFonts w:hint="eastAsia" w:hAnsi="仿宋_GB2312" w:eastAsia="仿宋_GB2312"/>
          <w:color w:val="000000" w:themeColor="text1"/>
          <w:sz w:val="32"/>
          <w:szCs w:val="32"/>
          <w:lang w:val="en-US" w:eastAsia="zh-CN"/>
        </w:rPr>
        <w:t>部门整体和所有</w:t>
      </w:r>
      <w:r>
        <w:rPr>
          <w:rFonts w:hAnsi="仿宋_GB2312" w:eastAsia="仿宋_GB2312"/>
          <w:color w:val="000000" w:themeColor="text1"/>
          <w:sz w:val="32"/>
          <w:szCs w:val="32"/>
        </w:rPr>
        <w:t>项目编制了绩效目标，预算执行过程中，</w:t>
      </w:r>
      <w:r>
        <w:rPr>
          <w:rFonts w:hint="eastAsia" w:hAnsi="仿宋_GB2312" w:eastAsia="仿宋_GB2312"/>
          <w:color w:val="000000" w:themeColor="text1"/>
          <w:sz w:val="32"/>
          <w:szCs w:val="32"/>
          <w:lang w:val="en-US" w:eastAsia="zh-CN"/>
        </w:rPr>
        <w:t>按照财政要求全面开展了绩效运行监控，财政抽</w:t>
      </w:r>
      <w:r>
        <w:rPr>
          <w:rFonts w:hAnsi="仿宋_GB2312" w:eastAsia="仿宋_GB2312"/>
          <w:color w:val="000000" w:themeColor="text1"/>
          <w:sz w:val="32"/>
          <w:szCs w:val="32"/>
        </w:rPr>
        <w:t>取</w:t>
      </w:r>
      <w:r>
        <w:rPr>
          <w:rFonts w:eastAsia="仿宋_GB2312"/>
          <w:color w:val="000000" w:themeColor="text1"/>
          <w:sz w:val="32"/>
          <w:szCs w:val="32"/>
        </w:rPr>
        <w:t>5</w:t>
      </w:r>
      <w:r>
        <w:rPr>
          <w:rFonts w:hAnsi="仿宋_GB2312" w:eastAsia="仿宋_GB2312"/>
          <w:color w:val="000000" w:themeColor="text1"/>
          <w:sz w:val="32"/>
          <w:szCs w:val="32"/>
        </w:rPr>
        <w:t>个项目开展</w:t>
      </w:r>
      <w:r>
        <w:rPr>
          <w:rFonts w:hint="eastAsia" w:hAnsi="仿宋_GB2312" w:eastAsia="仿宋_GB2312"/>
          <w:color w:val="000000" w:themeColor="text1"/>
          <w:sz w:val="32"/>
          <w:szCs w:val="32"/>
          <w:lang w:val="en-US" w:eastAsia="zh-CN"/>
        </w:rPr>
        <w:t>了重点</w:t>
      </w:r>
      <w:r>
        <w:rPr>
          <w:rFonts w:hAnsi="仿宋_GB2312" w:eastAsia="仿宋_GB2312"/>
          <w:color w:val="000000" w:themeColor="text1"/>
          <w:sz w:val="32"/>
          <w:szCs w:val="32"/>
        </w:rPr>
        <w:t>绩效监控，年终执行完毕后，对部门整体支出和</w:t>
      </w:r>
      <w:r>
        <w:rPr>
          <w:rFonts w:eastAsia="仿宋_GB2312"/>
          <w:color w:val="000000" w:themeColor="text1"/>
          <w:sz w:val="32"/>
          <w:szCs w:val="32"/>
        </w:rPr>
        <w:t>5</w:t>
      </w:r>
      <w:r>
        <w:rPr>
          <w:rFonts w:hAnsi="仿宋_GB2312" w:eastAsia="仿宋_GB2312"/>
          <w:color w:val="000000" w:themeColor="text1"/>
          <w:sz w:val="32"/>
          <w:szCs w:val="32"/>
        </w:rPr>
        <w:t>个项目开展了绩效目标完成情况自评，自评情况见附件（第四部分）。</w:t>
      </w:r>
    </w:p>
    <w:p>
      <w:pPr>
        <w:numPr>
          <w:ilvl w:val="0"/>
          <w:numId w:val="2"/>
        </w:numPr>
        <w:spacing w:line="550" w:lineRule="exact"/>
        <w:ind w:firstLine="640"/>
        <w:outlineLvl w:val="1"/>
        <w:rPr>
          <w:rStyle w:val="29"/>
          <w:rFonts w:ascii="Times New Roman" w:hAnsi="Times New Roman" w:eastAsia="黑体" w:cs="Times New Roman"/>
          <w:b w:val="0"/>
          <w:color w:val="000000" w:themeColor="text1"/>
        </w:rPr>
      </w:pPr>
      <w:bookmarkStart w:id="60" w:name="_Toc146632966"/>
      <w:r>
        <w:rPr>
          <w:rStyle w:val="29"/>
          <w:rFonts w:ascii="Times New Roman" w:hAnsi="黑体" w:eastAsia="黑体" w:cs="Times New Roman"/>
          <w:b w:val="0"/>
          <w:color w:val="000000" w:themeColor="text1"/>
        </w:rPr>
        <w:t>其他重要事项的情况说明</w:t>
      </w:r>
      <w:bookmarkEnd w:id="58"/>
      <w:bookmarkEnd w:id="59"/>
      <w:bookmarkEnd w:id="60"/>
    </w:p>
    <w:p>
      <w:pPr>
        <w:spacing w:line="550" w:lineRule="exact"/>
        <w:ind w:firstLine="640" w:firstLineChars="200"/>
        <w:rPr>
          <w:rFonts w:hint="eastAsia" w:ascii="楷体_GB2312" w:eastAsia="楷体_GB2312"/>
          <w:color w:val="000000" w:themeColor="text1"/>
          <w:sz w:val="32"/>
          <w:szCs w:val="32"/>
        </w:rPr>
      </w:pPr>
      <w:bookmarkStart w:id="61" w:name="_Toc15377222"/>
      <w:r>
        <w:rPr>
          <w:rFonts w:hint="eastAsia" w:ascii="楷体_GB2312" w:hAnsi="仿宋" w:eastAsia="楷体_GB2312"/>
          <w:b/>
          <w:color w:val="000000" w:themeColor="text1"/>
          <w:sz w:val="32"/>
          <w:szCs w:val="32"/>
        </w:rPr>
        <w:t>（一）机关运行经费支出情况</w:t>
      </w:r>
      <w:bookmarkEnd w:id="61"/>
    </w:p>
    <w:p>
      <w:pPr>
        <w:spacing w:line="550" w:lineRule="exact"/>
        <w:ind w:firstLine="640" w:firstLineChars="200"/>
        <w:rPr>
          <w:rFonts w:eastAsia="仿宋_GB2312"/>
          <w:b/>
          <w:color w:val="000000" w:themeColor="text1"/>
          <w:sz w:val="32"/>
          <w:szCs w:val="32"/>
        </w:rPr>
      </w:pPr>
      <w:r>
        <w:rPr>
          <w:rFonts w:eastAsia="仿宋_GB2312"/>
          <w:color w:val="000000" w:themeColor="text1"/>
          <w:sz w:val="32"/>
          <w:szCs w:val="32"/>
        </w:rPr>
        <w:t>2022年，广元市昭化区商务和经济合作局机关运行经费支出37.4万元，与2021年持平。</w:t>
      </w:r>
    </w:p>
    <w:p>
      <w:pPr>
        <w:autoSpaceDE w:val="0"/>
        <w:autoSpaceDN w:val="0"/>
        <w:adjustRightInd w:val="0"/>
        <w:spacing w:line="550" w:lineRule="exact"/>
        <w:ind w:firstLine="640" w:firstLineChars="200"/>
        <w:jc w:val="left"/>
        <w:rPr>
          <w:rFonts w:hint="eastAsia" w:ascii="楷体_GB2312" w:eastAsia="楷体_GB2312"/>
          <w:b/>
          <w:color w:val="000000" w:themeColor="text1"/>
          <w:sz w:val="32"/>
          <w:szCs w:val="32"/>
        </w:rPr>
      </w:pPr>
      <w:bookmarkStart w:id="62" w:name="_Toc15377223"/>
      <w:r>
        <w:rPr>
          <w:rFonts w:hint="eastAsia" w:ascii="楷体_GB2312" w:hAnsi="仿宋" w:eastAsia="楷体_GB2312"/>
          <w:b/>
          <w:color w:val="000000" w:themeColor="text1"/>
          <w:sz w:val="32"/>
          <w:szCs w:val="32"/>
        </w:rPr>
        <w:t>（二）政府采购支出情况</w:t>
      </w:r>
      <w:bookmarkEnd w:id="62"/>
    </w:p>
    <w:p>
      <w:pPr>
        <w:spacing w:line="550" w:lineRule="exact"/>
        <w:ind w:firstLine="640" w:firstLineChars="200"/>
        <w:rPr>
          <w:rFonts w:eastAsia="仿宋_GB2312"/>
          <w:b/>
          <w:color w:val="000000" w:themeColor="text1"/>
          <w:sz w:val="32"/>
          <w:szCs w:val="32"/>
        </w:rPr>
      </w:pPr>
      <w:r>
        <w:rPr>
          <w:rFonts w:eastAsia="仿宋_GB2312"/>
          <w:color w:val="000000" w:themeColor="text1"/>
          <w:sz w:val="32"/>
          <w:szCs w:val="32"/>
        </w:rPr>
        <w:t>2022年，广元市昭化区商务和经济合作局政府采购支出总额0万元，其中：政府采购货物支出0万元、政府采购工程支出0万元、政府采购服务支出0万元。授予中小企业合同金额0万元，其中：授予小微企业合同金额0万元。</w:t>
      </w:r>
    </w:p>
    <w:p>
      <w:pPr>
        <w:autoSpaceDE w:val="0"/>
        <w:autoSpaceDN w:val="0"/>
        <w:adjustRightInd w:val="0"/>
        <w:spacing w:line="550" w:lineRule="exact"/>
        <w:ind w:firstLine="640" w:firstLineChars="200"/>
        <w:jc w:val="left"/>
        <w:rPr>
          <w:rFonts w:hint="eastAsia" w:ascii="楷体_GB2312" w:eastAsia="楷体_GB2312"/>
          <w:b/>
          <w:color w:val="000000" w:themeColor="text1"/>
          <w:sz w:val="32"/>
          <w:szCs w:val="32"/>
        </w:rPr>
      </w:pPr>
      <w:bookmarkStart w:id="63" w:name="_Toc15377224"/>
      <w:r>
        <w:rPr>
          <w:rFonts w:hint="eastAsia" w:ascii="楷体_GB2312" w:hAnsi="仿宋" w:eastAsia="楷体_GB2312"/>
          <w:b/>
          <w:color w:val="000000" w:themeColor="text1"/>
          <w:sz w:val="32"/>
          <w:szCs w:val="32"/>
        </w:rPr>
        <w:t>（三）国有资产占有使用情况</w:t>
      </w:r>
      <w:bookmarkEnd w:id="63"/>
    </w:p>
    <w:p>
      <w:pPr>
        <w:spacing w:line="550" w:lineRule="exact"/>
        <w:jc w:val="left"/>
        <w:rPr>
          <w:rFonts w:eastAsia="仿宋_GB2312"/>
          <w:color w:val="000000" w:themeColor="text1"/>
          <w:sz w:val="32"/>
          <w:szCs w:val="32"/>
        </w:rPr>
      </w:pPr>
      <w:r>
        <w:rPr>
          <w:rFonts w:eastAsia="仿宋_GB2312"/>
          <w:color w:val="000000" w:themeColor="text1"/>
          <w:sz w:val="32"/>
          <w:szCs w:val="32"/>
        </w:rPr>
        <w:t>截至2022年12月31日，广元市昭化区商务和经济合作局共有车辆0辆，其中：主要领导干部用车0辆、机要通信用车0辆、应急保障用车0辆、其他用车0辆</w:t>
      </w:r>
      <w:r>
        <w:rPr>
          <w:rFonts w:hint="eastAsia" w:eastAsia="仿宋_GB2312"/>
          <w:color w:val="000000" w:themeColor="text1"/>
          <w:sz w:val="32"/>
          <w:szCs w:val="32"/>
        </w:rPr>
        <w:t>。</w:t>
      </w:r>
    </w:p>
    <w:p>
      <w:pPr>
        <w:pStyle w:val="2"/>
        <w:spacing w:beforeLines="0" w:line="576" w:lineRule="exact"/>
        <w:rPr>
          <w:rFonts w:ascii="Times New Roman"/>
          <w:color w:val="000000" w:themeColor="text1"/>
        </w:rPr>
      </w:pPr>
    </w:p>
    <w:p>
      <w:pPr>
        <w:numPr>
          <w:ilvl w:val="0"/>
          <w:numId w:val="3"/>
        </w:numPr>
        <w:spacing w:line="576" w:lineRule="exact"/>
        <w:jc w:val="center"/>
        <w:outlineLvl w:val="0"/>
        <w:rPr>
          <w:rStyle w:val="28"/>
          <w:rFonts w:eastAsia="黑体"/>
          <w:b w:val="0"/>
          <w:color w:val="000000" w:themeColor="text1"/>
        </w:rPr>
      </w:pPr>
      <w:bookmarkStart w:id="64" w:name="_Toc146632967"/>
      <w:bookmarkStart w:id="65" w:name="_Toc15377225"/>
      <w:bookmarkStart w:id="66" w:name="_Toc15396613"/>
      <w:r>
        <w:rPr>
          <w:rFonts w:hAnsi="黑体" w:eastAsia="黑体"/>
          <w:color w:val="000000" w:themeColor="text1"/>
          <w:sz w:val="44"/>
          <w:szCs w:val="44"/>
        </w:rPr>
        <w:t>名</w:t>
      </w:r>
      <w:r>
        <w:rPr>
          <w:rStyle w:val="28"/>
          <w:rFonts w:hAnsi="黑体" w:eastAsia="黑体"/>
          <w:b w:val="0"/>
          <w:color w:val="000000" w:themeColor="text1"/>
        </w:rPr>
        <w:t>词解释</w:t>
      </w:r>
      <w:bookmarkEnd w:id="64"/>
      <w:bookmarkEnd w:id="65"/>
      <w:bookmarkEnd w:id="66"/>
    </w:p>
    <w:p>
      <w:pPr>
        <w:spacing w:line="576" w:lineRule="exact"/>
        <w:jc w:val="left"/>
        <w:rPr>
          <w:b/>
          <w:color w:val="000000" w:themeColor="text1"/>
          <w:sz w:val="44"/>
          <w:szCs w:val="44"/>
        </w:rPr>
      </w:pP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1.财政拨款收入：指区级财政当年拨付的资金。 </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2.事业收入：指事业单位开展专业业务活动及辅助活动所取得的收入。</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3.经营收入：指事业单位在专业业务活动及其辅助活动之外开展非独立核算经营活动取得的收入。</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4.其他收入：指除上述“财政拨款收入”、“事业收入”、“经营收入”等以外的收入。 </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6.年初结转和结余：指以前年度尚未完成、结转到本年按有关规定继续使用的资金。 </w:t>
      </w:r>
    </w:p>
    <w:p>
      <w:pPr>
        <w:spacing w:line="576" w:lineRule="exact"/>
        <w:ind w:firstLine="640" w:firstLineChars="200"/>
        <w:rPr>
          <w:rFonts w:eastAsia="仿宋_GB2312"/>
          <w:color w:val="000000" w:themeColor="text1"/>
          <w:kern w:val="0"/>
          <w:sz w:val="32"/>
          <w:szCs w:val="32"/>
        </w:rPr>
      </w:pPr>
      <w:r>
        <w:rPr>
          <w:rFonts w:eastAsia="仿宋_GB2312"/>
          <w:color w:val="000000" w:themeColor="text1"/>
          <w:sz w:val="32"/>
          <w:szCs w:val="32"/>
        </w:rPr>
        <w:t>7.</w:t>
      </w:r>
      <w:r>
        <w:rPr>
          <w:rFonts w:eastAsia="仿宋_GB2312"/>
          <w:color w:val="000000" w:themeColor="text1"/>
          <w:kern w:val="0"/>
          <w:sz w:val="32"/>
          <w:szCs w:val="32"/>
        </w:rPr>
        <w:t xml:space="preserve"> 社会保障和就业支出（类）行政事业单位离退休（款）机关事业单位基本养老保险缴费支出（项）:指用于行政事业单位开支的离退休经费。</w:t>
      </w:r>
    </w:p>
    <w:p>
      <w:pPr>
        <w:spacing w:line="576"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8.医疗卫生与计划生育支出（类）医疗保障（款）行政单位医疗（项）:指财政部门集中安排的行政单位基本医疗保险缴费经费。</w:t>
      </w:r>
    </w:p>
    <w:p>
      <w:pPr>
        <w:spacing w:line="576"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9.住房保障支出（类）住房改革支出（款）住房公积金（项）:指行政事业单位按人力资源和社会保障部、财政部规定的基本工资和津贴补贴以及规定比例为职工缴纳的住房公积金。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eastAsia="仿宋_GB2312"/>
          <w:color w:val="000000" w:themeColor="text1"/>
          <w:sz w:val="32"/>
          <w:szCs w:val="32"/>
        </w:rPr>
      </w:pPr>
      <w:r>
        <w:rPr>
          <w:rFonts w:eastAsia="仿宋_GB2312"/>
          <w:color w:val="000000" w:themeColor="text1"/>
          <w:kern w:val="0"/>
          <w:sz w:val="32"/>
          <w:szCs w:val="32"/>
        </w:rPr>
        <w:t>10</w:t>
      </w:r>
      <w:r>
        <w:rPr>
          <w:rFonts w:eastAsia="仿宋_GB2312"/>
          <w:color w:val="000000" w:themeColor="text1"/>
          <w:sz w:val="32"/>
          <w:szCs w:val="32"/>
        </w:rPr>
        <w:t>.结余分配：指事业单位按规定提取的职工福利基金、事业基金和缴纳的所得税，以及建设单位按规定应交回的基本建设竣工项目结余资金。</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11.年末结转和结余：指本年度或以前年度预算安排、因客观条件发生变化无法按原计划实施，需延迟到以后年度按有关规定继续使用的资金。</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12.基本支出：指为保障机构正常运转、完成日常工作任务而发生的人员支出和公用支出。</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 xml:space="preserve">13.项目支出：指在基本支出之外为完成特定行政任务和事业发展目标所发生的支出。 </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b/>
          <w:color w:val="000000" w:themeColor="text1"/>
          <w:sz w:val="44"/>
          <w:szCs w:val="44"/>
        </w:rPr>
      </w:pPr>
      <w:bookmarkStart w:id="67" w:name="_Toc15377226"/>
      <w:r>
        <w:rPr>
          <w:b/>
          <w:color w:val="000000" w:themeColor="text1"/>
          <w:sz w:val="44"/>
          <w:szCs w:val="44"/>
        </w:rPr>
        <w:br w:type="page"/>
      </w:r>
      <w:bookmarkStart w:id="68" w:name="_Toc15396614"/>
    </w:p>
    <w:p>
      <w:pPr>
        <w:numPr>
          <w:ilvl w:val="0"/>
          <w:numId w:val="3"/>
        </w:numPr>
        <w:spacing w:line="600" w:lineRule="exact"/>
        <w:jc w:val="center"/>
        <w:outlineLvl w:val="0"/>
        <w:rPr>
          <w:rStyle w:val="28"/>
          <w:rFonts w:eastAsia="黑体"/>
          <w:b w:val="0"/>
          <w:color w:val="000000" w:themeColor="text1"/>
        </w:rPr>
      </w:pPr>
      <w:bookmarkStart w:id="69" w:name="_Toc146632968"/>
      <w:r>
        <w:rPr>
          <w:rStyle w:val="28"/>
          <w:rFonts w:hAnsi="黑体" w:eastAsia="黑体"/>
          <w:b w:val="0"/>
          <w:color w:val="000000" w:themeColor="text1"/>
        </w:rPr>
        <w:t>附件</w:t>
      </w:r>
      <w:bookmarkEnd w:id="68"/>
      <w:bookmarkEnd w:id="69"/>
    </w:p>
    <w:p>
      <w:pPr>
        <w:pStyle w:val="2"/>
        <w:spacing w:beforeLines="0" w:line="600" w:lineRule="exact"/>
        <w:rPr>
          <w:rFonts w:ascii="Times New Roman"/>
          <w:color w:val="000000" w:themeColor="text1"/>
        </w:rPr>
      </w:pPr>
    </w:p>
    <w:p>
      <w:pPr>
        <w:spacing w:line="600" w:lineRule="exact"/>
        <w:jc w:val="center"/>
        <w:rPr>
          <w:rFonts w:eastAsia="方正小标宋简体"/>
          <w:color w:val="000000" w:themeColor="text1"/>
          <w:sz w:val="44"/>
          <w:szCs w:val="44"/>
        </w:rPr>
      </w:pPr>
      <w:r>
        <w:rPr>
          <w:rFonts w:eastAsia="方正小标宋简体"/>
          <w:color w:val="000000" w:themeColor="text1"/>
          <w:sz w:val="44"/>
          <w:szCs w:val="44"/>
        </w:rPr>
        <w:t>广元市昭化区商务和经济合作局</w:t>
      </w:r>
    </w:p>
    <w:p>
      <w:pPr>
        <w:spacing w:line="600" w:lineRule="exact"/>
        <w:jc w:val="center"/>
        <w:rPr>
          <w:rFonts w:eastAsia="方正小标宋简体"/>
          <w:color w:val="000000" w:themeColor="text1"/>
          <w:sz w:val="44"/>
          <w:szCs w:val="44"/>
        </w:rPr>
      </w:pPr>
      <w:r>
        <w:rPr>
          <w:rFonts w:eastAsia="方正小标宋简体"/>
          <w:color w:val="000000" w:themeColor="text1"/>
          <w:sz w:val="44"/>
          <w:szCs w:val="44"/>
        </w:rPr>
        <w:t>2022年部门整体支出绩效自评报告</w:t>
      </w:r>
    </w:p>
    <w:p>
      <w:pPr>
        <w:spacing w:line="600" w:lineRule="exact"/>
        <w:jc w:val="center"/>
        <w:rPr>
          <w:rFonts w:eastAsia="方正小标宋简体"/>
          <w:color w:val="000000" w:themeColor="text1"/>
          <w:sz w:val="44"/>
          <w:szCs w:val="44"/>
        </w:rPr>
      </w:pPr>
    </w:p>
    <w:p>
      <w:pPr>
        <w:spacing w:line="600" w:lineRule="exact"/>
        <w:ind w:firstLine="640" w:firstLineChars="200"/>
        <w:rPr>
          <w:rFonts w:eastAsia="黑体"/>
          <w:color w:val="000000" w:themeColor="text1"/>
          <w:sz w:val="32"/>
          <w:szCs w:val="32"/>
        </w:rPr>
      </w:pPr>
      <w:r>
        <w:rPr>
          <w:rFonts w:hAnsi="黑体" w:eastAsia="黑体"/>
          <w:color w:val="000000" w:themeColor="text1"/>
          <w:sz w:val="32"/>
          <w:szCs w:val="32"/>
        </w:rPr>
        <w:t>一、预算单位概况</w:t>
      </w:r>
    </w:p>
    <w:p>
      <w:pPr>
        <w:spacing w:line="600"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（一）机构组成</w:t>
      </w:r>
    </w:p>
    <w:p>
      <w:pPr>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按照“三定”方案，区商务和经济合作局设1正3副，内设4个股室（办公室、商贸流通股、服务业发展股、外事港澳股），下设1个事业单位（商务服务中心，副科级）。代管的区政府直属事业单位（区经济合作和外事中心，正科级）设1正2副，内设3个股室（综合股、对外合作股、项目管理股）。</w:t>
      </w:r>
    </w:p>
    <w:p>
      <w:pPr>
        <w:spacing w:line="600"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（二）机构职能</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1.负责全区商务和经济合作工作的统筹协调，拟订全区商务和经济合作工作的政策措施、发展规划、年度计划并组织实施。承担全区商贸服务业发展和投资促进工作中组织实施的综合协调、指导职责。</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2.负责推进全区流通产业结构调整，指导流通企业改革、商贸服务业和社区商业发展，提出促进商贸企业发展的政策建议，推动流通标准化和连锁经营、商业特许经营、物流配送、电子商务等现代流通方式的发展。负责全区商务系统电子政务工作，规划全区公共商务信息服务体系建设并组织实施。</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3.负责推进投资促进等有关领域的经济合作（以下简称经济合作）和全区投资环境推介工作。统筹组织区级重大投资促进活动。牵头全区重大招商引资项目的促进和落实。推进投资促进和管理服务网络体系建设。</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4.研究提出引导区内外资金投向市场体系建设的政策，编制相关产品批发市场规划，指导城市商业网点规划和商业体系建设工作，推进农村市场体系建设，组织实施农村现代流通网络工程，促进城乡市场一体化发展。</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5.负责经济合作项目的编制、储备、包装、论证、推介工作。负责经济合作信息的收集、追踪工作及项目的洽谈、跟踪、签约、协调、督促，搞好“一站式”服务。负责区域经济合作和对外联络服务工作，为有关部门和外来企业提供招商和咨询服务。</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6.承担牵头协调全区整顿和规范市场经济秩序工作的责任。规范市场运行和流通秩序，推动商务领域信用建设，指导商业信用销售，建立市场诚信公共服务平台。按有关规定对典当、租赁、旧货市场等行业进行监督管理。负责全区内外贸易有关行政许可事项。</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7.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市场调控工作。</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8.负责全区对外经济合作工作，执行对外经济合作政策。依法管理和监督对外承包工程、对外劳务合作和出境就业工作。承担境外投资管理的责任，牵头负责外派劳务和赴境外就业人员的权益保护工作。组织管理我区承担的国家对外援助任务。</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9.推动全区博览发展促进工作，参与拟订全区会展业发展规划和相关政策。指导监督管理以昭化区名义在区内外举办的各种交易会、展览会、展销会等经贸活动及商贸交易和经贸推介活动。牵头协调有关部门参加国家、省、市举办的各种商贸交易会、展览会、展销会等工作。负责友好城市商贸活动交流与合作工作。受区政府委托，负责管理区政府各驻外招商机构。</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10.承担进出口相关工作，牵头负责发展服务贸易的相关工作，推动服务外包平台建设。承担组织协调我区进出口公平贸易相关工作的责任。指导全区外商投资促进和管理工作。参与推进我区与国（境）内外相关区域合作。</w:t>
      </w:r>
    </w:p>
    <w:p>
      <w:pPr>
        <w:pStyle w:val="13"/>
        <w:shd w:val="clear" w:color="auto" w:fill="FFFFFF"/>
        <w:spacing w:line="600" w:lineRule="exact"/>
        <w:ind w:firstLine="674"/>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11.负责职责范围内的安全生产和职业健康、生态环境保护、审批服务便民化等工作。</w:t>
      </w:r>
    </w:p>
    <w:p>
      <w:pPr>
        <w:spacing w:line="600" w:lineRule="exact"/>
        <w:ind w:firstLine="640" w:firstLineChars="200"/>
        <w:rPr>
          <w:rFonts w:eastAsia="仿宋_GB2312"/>
          <w:color w:val="000000" w:themeColor="text1"/>
          <w:kern w:val="0"/>
          <w:sz w:val="32"/>
          <w:szCs w:val="32"/>
          <w:shd w:val="clear" w:color="auto" w:fill="FFFFFF"/>
        </w:rPr>
      </w:pPr>
      <w:r>
        <w:rPr>
          <w:rFonts w:eastAsia="仿宋_GB2312"/>
          <w:color w:val="000000" w:themeColor="text1"/>
          <w:kern w:val="0"/>
          <w:sz w:val="32"/>
          <w:szCs w:val="32"/>
          <w:shd w:val="clear" w:color="auto" w:fill="FFFFFF"/>
        </w:rPr>
        <w:t>12.完成区委、区政府交办的其他任务。</w:t>
      </w:r>
    </w:p>
    <w:p>
      <w:pPr>
        <w:spacing w:line="600"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（三）人员概况</w:t>
      </w:r>
    </w:p>
    <w:p>
      <w:pPr>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区商务和经济合作局核定编制15个，其中，行政编制9个，事业编制5个，机关工勤编制1个；区经济合作和外事中心核定事业编制10个。</w:t>
      </w:r>
      <w:r>
        <w:rPr>
          <w:rFonts w:eastAsia="仿宋_GB2312"/>
          <w:color w:val="000000" w:themeColor="text1"/>
          <w:sz w:val="32"/>
          <w:szCs w:val="32"/>
          <w:shd w:val="clear" w:color="auto" w:fill="FFFFFF"/>
        </w:rPr>
        <w:t>2022</w:t>
      </w:r>
      <w:r>
        <w:rPr>
          <w:rFonts w:hAnsi="仿宋_GB2312" w:eastAsia="仿宋_GB2312"/>
          <w:color w:val="000000" w:themeColor="text1"/>
          <w:sz w:val="32"/>
          <w:szCs w:val="32"/>
          <w:shd w:val="clear" w:color="auto" w:fill="FFFFFF"/>
        </w:rPr>
        <w:t>年末实有工作人员</w:t>
      </w:r>
      <w:r>
        <w:rPr>
          <w:rFonts w:eastAsia="仿宋_GB2312"/>
          <w:color w:val="000000" w:themeColor="text1"/>
          <w:sz w:val="32"/>
          <w:szCs w:val="32"/>
          <w:shd w:val="clear" w:color="auto" w:fill="FFFFFF"/>
        </w:rPr>
        <w:t>29</w:t>
      </w:r>
      <w:r>
        <w:rPr>
          <w:rFonts w:hAnsi="仿宋_GB2312" w:eastAsia="仿宋_GB2312"/>
          <w:color w:val="000000" w:themeColor="text1"/>
          <w:sz w:val="32"/>
          <w:szCs w:val="32"/>
          <w:shd w:val="clear" w:color="auto" w:fill="FFFFFF"/>
        </w:rPr>
        <w:t>人，其中：在编在职</w:t>
      </w:r>
      <w:r>
        <w:rPr>
          <w:rFonts w:eastAsia="仿宋_GB2312"/>
          <w:color w:val="000000" w:themeColor="text1"/>
          <w:sz w:val="32"/>
          <w:szCs w:val="32"/>
          <w:shd w:val="clear" w:color="auto" w:fill="FFFFFF"/>
        </w:rPr>
        <w:t>25</w:t>
      </w:r>
      <w:r>
        <w:rPr>
          <w:rFonts w:hAnsi="仿宋_GB2312" w:eastAsia="仿宋_GB2312"/>
          <w:color w:val="000000" w:themeColor="text1"/>
          <w:sz w:val="32"/>
          <w:szCs w:val="32"/>
          <w:shd w:val="clear" w:color="auto" w:fill="FFFFFF"/>
        </w:rPr>
        <w:t>人，</w:t>
      </w:r>
      <w:r>
        <w:rPr>
          <w:rFonts w:hAnsi="仿宋_GB2312" w:eastAsia="仿宋_GB2312"/>
          <w:color w:val="000000" w:themeColor="text1"/>
          <w:sz w:val="32"/>
          <w:szCs w:val="32"/>
        </w:rPr>
        <w:t>借调</w:t>
      </w:r>
      <w:r>
        <w:rPr>
          <w:rFonts w:eastAsia="仿宋_GB2312"/>
          <w:color w:val="000000" w:themeColor="text1"/>
          <w:sz w:val="32"/>
          <w:szCs w:val="32"/>
        </w:rPr>
        <w:t>1</w:t>
      </w:r>
      <w:r>
        <w:rPr>
          <w:rFonts w:hAnsi="仿宋_GB2312" w:eastAsia="仿宋_GB2312"/>
          <w:color w:val="000000" w:themeColor="text1"/>
          <w:sz w:val="32"/>
          <w:szCs w:val="32"/>
        </w:rPr>
        <w:t>人，劳务派遣</w:t>
      </w:r>
      <w:r>
        <w:rPr>
          <w:rFonts w:eastAsia="仿宋_GB2312"/>
          <w:color w:val="000000" w:themeColor="text1"/>
          <w:sz w:val="32"/>
          <w:szCs w:val="32"/>
        </w:rPr>
        <w:t>2</w:t>
      </w:r>
      <w:r>
        <w:rPr>
          <w:rFonts w:hAnsi="仿宋_GB2312" w:eastAsia="仿宋_GB2312"/>
          <w:color w:val="000000" w:themeColor="text1"/>
          <w:sz w:val="32"/>
          <w:szCs w:val="32"/>
        </w:rPr>
        <w:t>人、见习生</w:t>
      </w:r>
      <w:r>
        <w:rPr>
          <w:rFonts w:eastAsia="仿宋_GB2312"/>
          <w:color w:val="000000" w:themeColor="text1"/>
          <w:sz w:val="32"/>
          <w:szCs w:val="32"/>
        </w:rPr>
        <w:t>1</w:t>
      </w:r>
      <w:r>
        <w:rPr>
          <w:rFonts w:hAnsi="仿宋_GB2312" w:eastAsia="仿宋_GB2312"/>
          <w:color w:val="000000" w:themeColor="text1"/>
          <w:sz w:val="32"/>
          <w:szCs w:val="32"/>
        </w:rPr>
        <w:t>人。</w:t>
      </w:r>
    </w:p>
    <w:p>
      <w:pPr>
        <w:spacing w:line="600" w:lineRule="exact"/>
        <w:ind w:firstLine="640" w:firstLineChars="200"/>
        <w:rPr>
          <w:rFonts w:eastAsia="黑体"/>
          <w:color w:val="000000" w:themeColor="text1"/>
          <w:sz w:val="32"/>
          <w:szCs w:val="32"/>
        </w:rPr>
      </w:pPr>
      <w:r>
        <w:rPr>
          <w:rFonts w:hAnsi="黑体" w:eastAsia="黑体"/>
          <w:color w:val="000000" w:themeColor="text1"/>
          <w:sz w:val="32"/>
          <w:szCs w:val="32"/>
        </w:rPr>
        <w:t>二、预算单位财政收支情况</w:t>
      </w:r>
    </w:p>
    <w:p>
      <w:pPr>
        <w:spacing w:line="600"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（一）单位财政资金收入情况</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2022</w:t>
      </w:r>
      <w:r>
        <w:rPr>
          <w:rFonts w:hAnsi="仿宋_GB2312" w:eastAsia="仿宋_GB2312"/>
          <w:color w:val="000000" w:themeColor="text1"/>
          <w:sz w:val="32"/>
          <w:szCs w:val="32"/>
          <w:shd w:val="clear" w:color="auto" w:fill="FFFFFF"/>
        </w:rPr>
        <w:t>年区商务和经济合作局一般公共预算收入为</w:t>
      </w:r>
      <w:r>
        <w:rPr>
          <w:rFonts w:eastAsia="仿宋_GB2312"/>
          <w:caps/>
          <w:color w:val="000000" w:themeColor="text1"/>
          <w:sz w:val="32"/>
          <w:szCs w:val="32"/>
        </w:rPr>
        <w:t>1519.2</w:t>
      </w:r>
      <w:r>
        <w:rPr>
          <w:rFonts w:hAnsi="仿宋_GB2312" w:eastAsia="仿宋_GB2312"/>
          <w:color w:val="000000" w:themeColor="text1"/>
          <w:sz w:val="32"/>
          <w:szCs w:val="32"/>
          <w:shd w:val="clear" w:color="auto" w:fill="FFFFFF"/>
        </w:rPr>
        <w:t>万元。</w:t>
      </w:r>
      <w:r>
        <w:rPr>
          <w:rFonts w:eastAsia="仿宋_GB2312"/>
          <w:color w:val="000000" w:themeColor="text1"/>
          <w:sz w:val="32"/>
          <w:szCs w:val="32"/>
          <w:shd w:val="clear" w:color="auto" w:fill="FFFFFF"/>
        </w:rPr>
        <w:t>2022</w:t>
      </w:r>
      <w:r>
        <w:rPr>
          <w:rFonts w:hAnsi="仿宋_GB2312" w:eastAsia="仿宋_GB2312"/>
          <w:color w:val="000000" w:themeColor="text1"/>
          <w:sz w:val="32"/>
          <w:szCs w:val="32"/>
          <w:shd w:val="clear" w:color="auto" w:fill="FFFFFF"/>
        </w:rPr>
        <w:t>年财政决算收入总额为</w:t>
      </w:r>
      <w:r>
        <w:rPr>
          <w:rFonts w:eastAsia="仿宋_GB2312"/>
          <w:caps/>
          <w:color w:val="000000" w:themeColor="text1"/>
          <w:sz w:val="32"/>
          <w:szCs w:val="32"/>
        </w:rPr>
        <w:t>1519.2</w:t>
      </w:r>
      <w:r>
        <w:rPr>
          <w:rFonts w:hAnsi="仿宋_GB2312" w:eastAsia="仿宋_GB2312"/>
          <w:color w:val="000000" w:themeColor="text1"/>
          <w:sz w:val="32"/>
          <w:szCs w:val="32"/>
          <w:shd w:val="clear" w:color="auto" w:fill="FFFFFF"/>
        </w:rPr>
        <w:t>万元，其中：当年财政一般公共预算拨款收入</w:t>
      </w:r>
      <w:r>
        <w:rPr>
          <w:rFonts w:eastAsia="仿宋_GB2312"/>
          <w:color w:val="000000" w:themeColor="text1"/>
          <w:sz w:val="32"/>
          <w:szCs w:val="32"/>
          <w:shd w:val="clear" w:color="auto" w:fill="FFFFFF"/>
        </w:rPr>
        <w:t>1002.6</w:t>
      </w:r>
      <w:r>
        <w:rPr>
          <w:rFonts w:hAnsi="仿宋_GB2312" w:eastAsia="仿宋_GB2312"/>
          <w:color w:val="000000" w:themeColor="text1"/>
          <w:sz w:val="32"/>
          <w:szCs w:val="32"/>
          <w:shd w:val="clear" w:color="auto" w:fill="FFFFFF"/>
        </w:rPr>
        <w:t>万元、财政其他拨款收入</w:t>
      </w:r>
      <w:r>
        <w:rPr>
          <w:rFonts w:eastAsia="仿宋_GB2312"/>
          <w:color w:val="000000" w:themeColor="text1"/>
          <w:sz w:val="32"/>
          <w:szCs w:val="32"/>
          <w:shd w:val="clear" w:color="auto" w:fill="FFFFFF"/>
        </w:rPr>
        <w:t>516.6</w:t>
      </w:r>
      <w:r>
        <w:rPr>
          <w:rFonts w:hAnsi="仿宋_GB2312" w:eastAsia="仿宋_GB2312"/>
          <w:color w:val="000000" w:themeColor="text1"/>
          <w:sz w:val="32"/>
          <w:szCs w:val="32"/>
          <w:shd w:val="clear" w:color="auto" w:fill="FFFFFF"/>
        </w:rPr>
        <w:t>万元。</w:t>
      </w:r>
    </w:p>
    <w:p>
      <w:pPr>
        <w:spacing w:line="600" w:lineRule="exact"/>
        <w:ind w:firstLine="640" w:firstLineChars="200"/>
        <w:rPr>
          <w:rFonts w:eastAsia="仿宋_GB2312"/>
          <w:b/>
          <w:color w:val="000000" w:themeColor="text1"/>
          <w:sz w:val="32"/>
          <w:szCs w:val="32"/>
          <w:shd w:val="clear" w:color="auto" w:fill="FFFFFF"/>
        </w:rPr>
      </w:pPr>
      <w:r>
        <w:rPr>
          <w:rFonts w:hAnsi="楷体_GB2312" w:eastAsia="楷体_GB2312"/>
          <w:b/>
          <w:color w:val="000000" w:themeColor="text1"/>
          <w:sz w:val="32"/>
          <w:szCs w:val="32"/>
        </w:rPr>
        <w:t>（二）单位财政资金支出情况</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2022</w:t>
      </w:r>
      <w:r>
        <w:rPr>
          <w:rFonts w:hAnsi="仿宋_GB2312" w:eastAsia="仿宋_GB2312"/>
          <w:color w:val="000000" w:themeColor="text1"/>
          <w:sz w:val="32"/>
          <w:szCs w:val="32"/>
          <w:shd w:val="clear" w:color="auto" w:fill="FFFFFF"/>
        </w:rPr>
        <w:t>年区商务和经济合作局安排的一般公共预算支出为</w:t>
      </w:r>
      <w:r>
        <w:rPr>
          <w:rFonts w:eastAsia="仿宋_GB2312"/>
          <w:color w:val="000000" w:themeColor="text1"/>
          <w:sz w:val="32"/>
          <w:szCs w:val="32"/>
          <w:shd w:val="clear" w:color="auto" w:fill="FFFFFF"/>
        </w:rPr>
        <w:t>1519.2</w:t>
      </w:r>
      <w:r>
        <w:rPr>
          <w:rFonts w:hAnsi="仿宋_GB2312" w:eastAsia="仿宋_GB2312"/>
          <w:color w:val="000000" w:themeColor="text1"/>
          <w:sz w:val="32"/>
          <w:szCs w:val="32"/>
          <w:shd w:val="clear" w:color="auto" w:fill="FFFFFF"/>
        </w:rPr>
        <w:t>万元，其中：基本支出</w:t>
      </w:r>
      <w:r>
        <w:rPr>
          <w:rFonts w:eastAsia="仿宋_GB2312"/>
          <w:color w:val="000000" w:themeColor="text1"/>
          <w:sz w:val="32"/>
          <w:szCs w:val="32"/>
          <w:shd w:val="clear" w:color="auto" w:fill="FFFFFF"/>
        </w:rPr>
        <w:t>321.5</w:t>
      </w:r>
      <w:r>
        <w:rPr>
          <w:rFonts w:hAnsi="仿宋_GB2312" w:eastAsia="仿宋_GB2312"/>
          <w:color w:val="000000" w:themeColor="text1"/>
          <w:sz w:val="32"/>
          <w:szCs w:val="32"/>
          <w:shd w:val="clear" w:color="auto" w:fill="FFFFFF"/>
        </w:rPr>
        <w:t>万元，项目支出</w:t>
      </w:r>
      <w:r>
        <w:rPr>
          <w:rFonts w:eastAsia="仿宋_GB2312"/>
          <w:color w:val="000000" w:themeColor="text1"/>
          <w:sz w:val="32"/>
          <w:szCs w:val="32"/>
          <w:shd w:val="clear" w:color="auto" w:fill="FFFFFF"/>
        </w:rPr>
        <w:t>1197.7</w:t>
      </w:r>
      <w:r>
        <w:rPr>
          <w:rFonts w:hAnsi="仿宋_GB2312" w:eastAsia="仿宋_GB2312"/>
          <w:color w:val="000000" w:themeColor="text1"/>
          <w:sz w:val="32"/>
          <w:szCs w:val="32"/>
          <w:shd w:val="clear" w:color="auto" w:fill="FFFFFF"/>
        </w:rPr>
        <w:t>万元。</w:t>
      </w:r>
      <w:r>
        <w:rPr>
          <w:rFonts w:eastAsia="仿宋_GB2312"/>
          <w:color w:val="000000" w:themeColor="text1"/>
          <w:sz w:val="32"/>
          <w:szCs w:val="32"/>
          <w:shd w:val="clear" w:color="auto" w:fill="FFFFFF"/>
        </w:rPr>
        <w:t>2022</w:t>
      </w:r>
      <w:r>
        <w:rPr>
          <w:rFonts w:hAnsi="仿宋_GB2312" w:eastAsia="仿宋_GB2312"/>
          <w:color w:val="000000" w:themeColor="text1"/>
          <w:sz w:val="32"/>
          <w:szCs w:val="32"/>
          <w:shd w:val="clear" w:color="auto" w:fill="FFFFFF"/>
        </w:rPr>
        <w:t>年财政决算支出总额为</w:t>
      </w:r>
      <w:r>
        <w:rPr>
          <w:rFonts w:eastAsia="仿宋_GB2312"/>
          <w:color w:val="000000" w:themeColor="text1"/>
          <w:sz w:val="32"/>
          <w:szCs w:val="32"/>
          <w:shd w:val="clear" w:color="auto" w:fill="FFFFFF"/>
        </w:rPr>
        <w:t>1519.2</w:t>
      </w:r>
      <w:r>
        <w:rPr>
          <w:rFonts w:hAnsi="仿宋_GB2312" w:eastAsia="仿宋_GB2312"/>
          <w:color w:val="000000" w:themeColor="text1"/>
          <w:sz w:val="32"/>
          <w:szCs w:val="32"/>
          <w:shd w:val="clear" w:color="auto" w:fill="FFFFFF"/>
        </w:rPr>
        <w:t>万元，其中：当年财政一般公共预算基本支出为</w:t>
      </w:r>
      <w:r>
        <w:rPr>
          <w:rFonts w:eastAsia="仿宋_GB2312"/>
          <w:color w:val="000000" w:themeColor="text1"/>
          <w:sz w:val="32"/>
          <w:szCs w:val="32"/>
          <w:shd w:val="clear" w:color="auto" w:fill="FFFFFF"/>
        </w:rPr>
        <w:t>1002.6</w:t>
      </w:r>
      <w:r>
        <w:rPr>
          <w:rFonts w:hAnsi="仿宋_GB2312" w:eastAsia="仿宋_GB2312"/>
          <w:color w:val="000000" w:themeColor="text1"/>
          <w:sz w:val="32"/>
          <w:szCs w:val="32"/>
          <w:shd w:val="clear" w:color="auto" w:fill="FFFFFF"/>
        </w:rPr>
        <w:t>万元、财政其他拨款基本支出</w:t>
      </w:r>
      <w:r>
        <w:rPr>
          <w:rFonts w:eastAsia="仿宋_GB2312"/>
          <w:color w:val="000000" w:themeColor="text1"/>
          <w:sz w:val="32"/>
          <w:szCs w:val="32"/>
          <w:shd w:val="clear" w:color="auto" w:fill="FFFFFF"/>
        </w:rPr>
        <w:t>516.6</w:t>
      </w:r>
      <w:r>
        <w:rPr>
          <w:rFonts w:hAnsi="仿宋_GB2312" w:eastAsia="仿宋_GB2312"/>
          <w:color w:val="000000" w:themeColor="text1"/>
          <w:sz w:val="32"/>
          <w:szCs w:val="32"/>
          <w:shd w:val="clear" w:color="auto" w:fill="FFFFFF"/>
        </w:rPr>
        <w:t>万元。</w:t>
      </w:r>
    </w:p>
    <w:p>
      <w:pPr>
        <w:spacing w:line="600" w:lineRule="exact"/>
        <w:ind w:firstLine="640" w:firstLineChars="200"/>
        <w:rPr>
          <w:rFonts w:eastAsia="黑体"/>
          <w:color w:val="000000" w:themeColor="text1"/>
          <w:sz w:val="32"/>
          <w:szCs w:val="32"/>
        </w:rPr>
      </w:pPr>
      <w:r>
        <w:rPr>
          <w:rFonts w:hAnsi="黑体" w:eastAsia="黑体"/>
          <w:color w:val="000000" w:themeColor="text1"/>
          <w:sz w:val="32"/>
          <w:szCs w:val="32"/>
        </w:rPr>
        <w:t>三、部门整体预算绩效管理情况</w:t>
      </w:r>
    </w:p>
    <w:p>
      <w:pPr>
        <w:spacing w:line="600" w:lineRule="exact"/>
        <w:ind w:firstLine="640" w:firstLineChars="200"/>
        <w:rPr>
          <w:rFonts w:eastAsia="仿宋_GB2312"/>
          <w:b/>
          <w:bCs/>
          <w:color w:val="000000" w:themeColor="text1"/>
          <w:sz w:val="32"/>
          <w:szCs w:val="32"/>
        </w:rPr>
      </w:pPr>
      <w:r>
        <w:rPr>
          <w:rFonts w:hAnsi="楷体_GB2312" w:eastAsia="楷体_GB2312"/>
          <w:b/>
          <w:color w:val="000000" w:themeColor="text1"/>
          <w:sz w:val="32"/>
          <w:szCs w:val="32"/>
        </w:rPr>
        <w:t>（一）部门预算项目绩效管理</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1.绩效目标制定</w:t>
      </w:r>
    </w:p>
    <w:p>
      <w:pPr>
        <w:spacing w:line="60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我局依据区委区政府下达的年度综合目标任务及部门职能职责，从产出指标、效益指标、满意度指标三个维度制定了完整详细的绩效目标，全面实现了要素完整、指标细化量化的基本要求，并在党组办公会上讨论通，绩效目标具体如下：</w:t>
      </w:r>
    </w:p>
    <w:tbl>
      <w:tblPr>
        <w:tblStyle w:val="14"/>
        <w:tblW w:w="8783" w:type="dxa"/>
        <w:tblInd w:w="93" w:type="dxa"/>
        <w:tblLayout w:type="autofit"/>
        <w:tblCellMar>
          <w:top w:w="0" w:type="dxa"/>
          <w:left w:w="108" w:type="dxa"/>
          <w:bottom w:w="0" w:type="dxa"/>
          <w:right w:w="108" w:type="dxa"/>
        </w:tblCellMar>
      </w:tblPr>
      <w:tblGrid>
        <w:gridCol w:w="1073"/>
        <w:gridCol w:w="1110"/>
        <w:gridCol w:w="1740"/>
        <w:gridCol w:w="2865"/>
        <w:gridCol w:w="1995"/>
      </w:tblGrid>
      <w:tr>
        <w:tblPrEx>
          <w:tblCellMar>
            <w:top w:w="0" w:type="dxa"/>
            <w:left w:w="108" w:type="dxa"/>
            <w:bottom w:w="0" w:type="dxa"/>
            <w:right w:w="108" w:type="dxa"/>
          </w:tblCellMar>
        </w:tblPrEx>
        <w:trPr>
          <w:trHeight w:val="567" w:hRule="atLeast"/>
        </w:trPr>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年度总体目标</w:t>
            </w:r>
          </w:p>
        </w:tc>
        <w:tc>
          <w:tcPr>
            <w:tcW w:w="7710"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一是加大企业培育力度。积极引导汉寿客栈、辜家大院酒店、崇州鸭子、李老三鱼庄等进行“个转企”，加强对区内拟上限进规企业入库指导，力争明年超额完成任务。二是加大招商引资力度。充分运用昭化驻北京、广州、上海等异地商会力量，广泛宣传推介昭化的交通优势、资源优势以及以家居产业城、食品产业园区为核心的平台优势，积极与外资企业开展常态化对接。争取每季度赴长三角、粤港澳大湾区、京津冀等经济发达区域开展登门招商，推动一批优质省外项目在昭化落地。三是加快推进商贸集聚发展区打造力度。启动实施商业贸易创新转型升级行动，加大商超连锁、产地直销等业态招引培育，加快“后疫情时代”互联网消费端商业布局，加快推进汽车4S产业园提质扩容和产业链延伸，着力打造川东北汽车4S城旗舰。</w:t>
            </w:r>
          </w:p>
        </w:tc>
      </w:tr>
      <w:tr>
        <w:tblPrEx>
          <w:tblCellMar>
            <w:top w:w="0" w:type="dxa"/>
            <w:left w:w="108" w:type="dxa"/>
            <w:bottom w:w="0" w:type="dxa"/>
            <w:right w:w="108" w:type="dxa"/>
          </w:tblCellMar>
        </w:tblPrEx>
        <w:trPr>
          <w:trHeight w:val="567" w:hRule="atLeast"/>
        </w:trPr>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年度绩效指标</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一级指标</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二级指标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三级指标</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指标值</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产出指标</w:t>
            </w:r>
          </w:p>
        </w:tc>
        <w:tc>
          <w:tcPr>
            <w:tcW w:w="17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数量指标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新培育规上服务业企业数量</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≥1个</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引进到位市外资金</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≥37亿元</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在职职工工资发放人数</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≥21人</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tcBorders>
              <w:top w:val="single" w:color="000000" w:sz="4" w:space="0"/>
              <w:left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质量指标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签约项目履约率</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≥10%</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tcBorders>
              <w:top w:val="single" w:color="000000" w:sz="4" w:space="0"/>
              <w:left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时效指标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任务完成时间</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≤1年</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成本指标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人员经费及公用经费</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≤309.5万元</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专项招商引资及线下市场体系工作经费</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≤130万元</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驻外招商小分队及现代服务业工作经费</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≤130万元</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效益指标</w:t>
            </w:r>
          </w:p>
        </w:tc>
        <w:tc>
          <w:tcPr>
            <w:tcW w:w="17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社会效益指标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稳定提高当地就业能力</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定性优良中低差</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p>
        </w:tc>
        <w:tc>
          <w:tcPr>
            <w:tcW w:w="174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促进地方经济发展</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kern w:val="0"/>
                <w:sz w:val="24"/>
              </w:rPr>
            </w:pPr>
            <w:r>
              <w:rPr>
                <w:rFonts w:asciiTheme="majorEastAsia" w:hAnsiTheme="majorEastAsia" w:eastAsiaTheme="majorEastAsia"/>
                <w:color w:val="000000" w:themeColor="text1"/>
                <w:kern w:val="0"/>
                <w:sz w:val="24"/>
              </w:rPr>
              <w:t>定性好坏</w:t>
            </w:r>
          </w:p>
        </w:tc>
      </w:tr>
      <w:tr>
        <w:tblPrEx>
          <w:tblCellMar>
            <w:top w:w="0" w:type="dxa"/>
            <w:left w:w="108" w:type="dxa"/>
            <w:bottom w:w="0" w:type="dxa"/>
            <w:right w:w="108" w:type="dxa"/>
          </w:tblCellMar>
        </w:tblPrEx>
        <w:trPr>
          <w:trHeight w:val="567" w:hRule="atLeast"/>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olor w:val="000000" w:themeColor="text1"/>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满意度指标</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服务对象满意度指标</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企业及单位职工满意度</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≥90%</w:t>
            </w:r>
          </w:p>
        </w:tc>
      </w:tr>
    </w:tbl>
    <w:p>
      <w:pPr>
        <w:spacing w:line="576" w:lineRule="exact"/>
        <w:ind w:firstLine="640" w:firstLineChars="200"/>
        <w:rPr>
          <w:color w:val="000000" w:themeColor="text1"/>
        </w:rPr>
      </w:pPr>
      <w:r>
        <w:rPr>
          <w:rFonts w:eastAsia="仿宋_GB2312"/>
          <w:color w:val="000000" w:themeColor="text1"/>
          <w:sz w:val="32"/>
          <w:szCs w:val="32"/>
          <w:shd w:val="clear" w:color="auto" w:fill="FFFFFF"/>
        </w:rPr>
        <w:t>2.目标实现</w:t>
      </w:r>
    </w:p>
    <w:p>
      <w:pPr>
        <w:spacing w:line="576" w:lineRule="exact"/>
        <w:ind w:firstLine="640" w:firstLineChars="200"/>
        <w:rPr>
          <w:rFonts w:eastAsia="仿宋_GB2312"/>
          <w:color w:val="000000" w:themeColor="text1"/>
          <w:sz w:val="32"/>
          <w:szCs w:val="32"/>
        </w:rPr>
      </w:pPr>
      <w:r>
        <w:rPr>
          <w:rFonts w:hAnsi="仿宋_GB2312" w:eastAsia="仿宋_GB2312"/>
          <w:color w:val="000000" w:themeColor="text1"/>
          <w:sz w:val="32"/>
          <w:szCs w:val="32"/>
        </w:rPr>
        <w:t>人员类预算经费包括基本工资、津贴补贴、绩效工资、目标奖励、养老保险、医疗保险、失业保险、工伤保险、住房公积金。按照成本可控、职工满意等绩效目标要求及财政总体安排，我局均按月足额发放人员工资，及时办理人员</w:t>
      </w:r>
      <w:r>
        <w:rPr>
          <w:rFonts w:eastAsia="仿宋_GB2312"/>
          <w:color w:val="000000" w:themeColor="text1"/>
          <w:sz w:val="32"/>
          <w:szCs w:val="32"/>
        </w:rPr>
        <w:t>“</w:t>
      </w:r>
      <w:r>
        <w:rPr>
          <w:rFonts w:hAnsi="仿宋_GB2312" w:eastAsia="仿宋_GB2312"/>
          <w:color w:val="000000" w:themeColor="text1"/>
          <w:sz w:val="32"/>
          <w:szCs w:val="32"/>
        </w:rPr>
        <w:t>五险二金</w:t>
      </w:r>
      <w:r>
        <w:rPr>
          <w:rFonts w:eastAsia="仿宋_GB2312"/>
          <w:color w:val="000000" w:themeColor="text1"/>
          <w:sz w:val="32"/>
          <w:szCs w:val="32"/>
        </w:rPr>
        <w:t>”</w:t>
      </w:r>
      <w:r>
        <w:rPr>
          <w:rFonts w:hAnsi="仿宋_GB2312" w:eastAsia="仿宋_GB2312"/>
          <w:color w:val="000000" w:themeColor="text1"/>
          <w:sz w:val="32"/>
          <w:szCs w:val="32"/>
        </w:rPr>
        <w:t>缴纳。截止</w:t>
      </w:r>
      <w:r>
        <w:rPr>
          <w:rFonts w:eastAsia="仿宋_GB2312"/>
          <w:color w:val="000000" w:themeColor="text1"/>
          <w:sz w:val="32"/>
          <w:szCs w:val="32"/>
        </w:rPr>
        <w:t>12</w:t>
      </w:r>
      <w:r>
        <w:rPr>
          <w:rFonts w:hAnsi="仿宋_GB2312" w:eastAsia="仿宋_GB2312"/>
          <w:color w:val="000000" w:themeColor="text1"/>
          <w:sz w:val="32"/>
          <w:szCs w:val="32"/>
        </w:rPr>
        <w:t>月</w:t>
      </w:r>
      <w:r>
        <w:rPr>
          <w:rFonts w:eastAsia="仿宋_GB2312"/>
          <w:color w:val="000000" w:themeColor="text1"/>
          <w:sz w:val="32"/>
          <w:szCs w:val="32"/>
        </w:rPr>
        <w:t>31</w:t>
      </w:r>
      <w:r>
        <w:rPr>
          <w:rFonts w:hAnsi="仿宋_GB2312" w:eastAsia="仿宋_GB2312"/>
          <w:color w:val="000000" w:themeColor="text1"/>
          <w:sz w:val="32"/>
          <w:szCs w:val="32"/>
        </w:rPr>
        <w:t>日，我局严格控制人员经费成本，不存在多付、少付、晚付人员经费等情况，单位职工满意度为</w:t>
      </w:r>
      <w:r>
        <w:rPr>
          <w:rFonts w:eastAsia="仿宋_GB2312"/>
          <w:color w:val="000000" w:themeColor="text1"/>
          <w:sz w:val="32"/>
          <w:szCs w:val="32"/>
        </w:rPr>
        <w:t>100%</w:t>
      </w:r>
      <w:r>
        <w:rPr>
          <w:rFonts w:hAnsi="仿宋_GB2312" w:eastAsia="仿宋_GB2312"/>
          <w:color w:val="000000" w:themeColor="text1"/>
          <w:sz w:val="32"/>
          <w:szCs w:val="32"/>
        </w:rPr>
        <w:t>，圆满完成了人员经费的绩效目标任务。</w:t>
      </w:r>
    </w:p>
    <w:p>
      <w:pPr>
        <w:spacing w:line="576" w:lineRule="exact"/>
        <w:ind w:firstLine="640" w:firstLineChars="200"/>
        <w:rPr>
          <w:rFonts w:eastAsia="仿宋_GB2312"/>
          <w:color w:val="000000" w:themeColor="text1"/>
          <w:sz w:val="32"/>
          <w:szCs w:val="32"/>
        </w:rPr>
      </w:pPr>
      <w:r>
        <w:rPr>
          <w:rFonts w:hAnsi="仿宋_GB2312" w:eastAsia="仿宋_GB2312"/>
          <w:color w:val="000000" w:themeColor="text1"/>
          <w:sz w:val="32"/>
          <w:szCs w:val="32"/>
        </w:rPr>
        <w:t>运转类预算经费包括单位定额公用经费、专项招商引资工作经费、线下市场体系建设工作经费，主要用于保障单位运转及工作开展的水电、办公、打印、差旅等费用支出，费用支出以绩效目标为导向，严格把控成本、及时合理支付费用，圆满完成绩效目标任务。</w:t>
      </w:r>
    </w:p>
    <w:p>
      <w:pPr>
        <w:spacing w:line="576" w:lineRule="exact"/>
        <w:ind w:firstLine="640" w:firstLineChars="200"/>
        <w:rPr>
          <w:color w:val="000000" w:themeColor="text1"/>
        </w:rPr>
      </w:pPr>
      <w:r>
        <w:rPr>
          <w:rFonts w:eastAsia="仿宋_GB2312"/>
          <w:color w:val="000000" w:themeColor="text1"/>
          <w:sz w:val="32"/>
          <w:szCs w:val="32"/>
          <w:shd w:val="clear" w:color="auto" w:fill="FFFFFF"/>
        </w:rPr>
        <w:t>3.支出控制</w:t>
      </w:r>
    </w:p>
    <w:p>
      <w:pPr>
        <w:spacing w:line="576" w:lineRule="exact"/>
        <w:ind w:firstLine="640" w:firstLineChars="200"/>
        <w:rPr>
          <w:rFonts w:eastAsia="仿宋_GB2312"/>
          <w:color w:val="000000" w:themeColor="text1"/>
          <w:sz w:val="32"/>
          <w:szCs w:val="32"/>
          <w:shd w:val="clear" w:color="auto" w:fill="FFFFFF"/>
        </w:rPr>
      </w:pPr>
      <w:r>
        <w:rPr>
          <w:rFonts w:hAnsi="仿宋_GB2312" w:eastAsia="仿宋_GB2312"/>
          <w:color w:val="000000" w:themeColor="text1"/>
          <w:sz w:val="32"/>
          <w:szCs w:val="32"/>
        </w:rPr>
        <w:t>通过预算数与决算数对比，</w:t>
      </w:r>
      <w:r>
        <w:rPr>
          <w:rFonts w:eastAsia="仿宋_GB2312"/>
          <w:color w:val="000000" w:themeColor="text1"/>
          <w:sz w:val="32"/>
          <w:szCs w:val="32"/>
          <w:shd w:val="clear" w:color="auto" w:fill="FFFFFF"/>
        </w:rPr>
        <w:t>预决算偏差度为：21.39%</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4.及时处置</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我局</w:t>
      </w:r>
      <w:r>
        <w:rPr>
          <w:rFonts w:hAnsi="仿宋_GB2312" w:eastAsia="仿宋_GB2312"/>
          <w:color w:val="000000" w:themeColor="text1"/>
          <w:sz w:val="32"/>
          <w:szCs w:val="32"/>
        </w:rPr>
        <w:t>部门绩效监控调整取消额与结余注销额均为零</w:t>
      </w:r>
      <w:r>
        <w:rPr>
          <w:rFonts w:eastAsia="仿宋_GB2312"/>
          <w:color w:val="000000" w:themeColor="text1"/>
          <w:sz w:val="32"/>
          <w:szCs w:val="32"/>
          <w:shd w:val="clear" w:color="auto" w:fill="FFFFFF"/>
        </w:rPr>
        <w:t>。</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5.执行进度</w:t>
      </w:r>
    </w:p>
    <w:tbl>
      <w:tblPr>
        <w:tblStyle w:val="14"/>
        <w:tblW w:w="8777" w:type="dxa"/>
        <w:tblInd w:w="93" w:type="dxa"/>
        <w:tblLayout w:type="fixed"/>
        <w:tblCellMar>
          <w:top w:w="0" w:type="dxa"/>
          <w:left w:w="108" w:type="dxa"/>
          <w:bottom w:w="0" w:type="dxa"/>
          <w:right w:w="108" w:type="dxa"/>
        </w:tblCellMar>
      </w:tblPr>
      <w:tblGrid>
        <w:gridCol w:w="1127"/>
        <w:gridCol w:w="1215"/>
        <w:gridCol w:w="1305"/>
        <w:gridCol w:w="1035"/>
        <w:gridCol w:w="1380"/>
        <w:gridCol w:w="1245"/>
        <w:gridCol w:w="1470"/>
      </w:tblGrid>
      <w:tr>
        <w:tblPrEx>
          <w:tblCellMar>
            <w:top w:w="0" w:type="dxa"/>
            <w:left w:w="108" w:type="dxa"/>
            <w:bottom w:w="0" w:type="dxa"/>
            <w:right w:w="108" w:type="dxa"/>
          </w:tblCellMar>
        </w:tblPrEx>
        <w:trPr>
          <w:trHeight w:val="340" w:hRule="atLeast"/>
        </w:trPr>
        <w:tc>
          <w:tcPr>
            <w:tcW w:w="8777"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预算执行进度表（单位：万元）</w:t>
            </w:r>
          </w:p>
        </w:tc>
      </w:tr>
      <w:tr>
        <w:tblPrEx>
          <w:tblCellMar>
            <w:top w:w="0" w:type="dxa"/>
            <w:left w:w="108" w:type="dxa"/>
            <w:bottom w:w="0" w:type="dxa"/>
            <w:right w:w="108" w:type="dxa"/>
          </w:tblCellMar>
        </w:tblPrEx>
        <w:trPr>
          <w:trHeight w:val="500" w:hRule="atLeast"/>
        </w:trPr>
        <w:tc>
          <w:tcPr>
            <w:tcW w:w="1127" w:type="dxa"/>
            <w:vMerge w:val="restart"/>
            <w:tcBorders>
              <w:top w:val="single" w:color="000000" w:sz="4" w:space="0"/>
              <w:left w:val="single" w:color="000000" w:sz="4" w:space="0"/>
              <w:bottom w:val="nil"/>
              <w:right w:val="single" w:color="000000" w:sz="4" w:space="0"/>
            </w:tcBorders>
            <w:noWrap/>
            <w:vAlign w:val="center"/>
          </w:tcPr>
          <w:p>
            <w:pPr>
              <w:widowControl/>
              <w:spacing w:line="576" w:lineRule="exact"/>
              <w:jc w:val="center"/>
              <w:rPr>
                <w:rFonts w:asciiTheme="majorEastAsia" w:hAnsiTheme="majorEastAsia" w:eastAsiaTheme="majorEastAsia"/>
                <w:color w:val="000000" w:themeColor="text1"/>
                <w:sz w:val="24"/>
              </w:rPr>
            </w:pPr>
          </w:p>
        </w:tc>
        <w:tc>
          <w:tcPr>
            <w:tcW w:w="25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人员经费</w:t>
            </w:r>
          </w:p>
        </w:tc>
        <w:tc>
          <w:tcPr>
            <w:tcW w:w="24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日常公用经费</w:t>
            </w:r>
          </w:p>
        </w:tc>
        <w:tc>
          <w:tcPr>
            <w:tcW w:w="27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小计</w:t>
            </w:r>
          </w:p>
        </w:tc>
      </w:tr>
      <w:tr>
        <w:trPr>
          <w:trHeight w:val="500" w:hRule="atLeast"/>
        </w:trPr>
        <w:tc>
          <w:tcPr>
            <w:tcW w:w="1127" w:type="dxa"/>
            <w:vMerge w:val="continue"/>
            <w:tcBorders>
              <w:top w:val="single" w:color="000000" w:sz="4" w:space="0"/>
              <w:left w:val="single" w:color="000000" w:sz="4" w:space="0"/>
              <w:bottom w:val="nil"/>
              <w:right w:val="single" w:color="000000" w:sz="4" w:space="0"/>
            </w:tcBorders>
            <w:noWrap/>
            <w:vAlign w:val="center"/>
          </w:tcPr>
          <w:p>
            <w:pPr>
              <w:widowControl/>
              <w:spacing w:line="576" w:lineRule="exact"/>
              <w:jc w:val="center"/>
              <w:rPr>
                <w:rFonts w:asciiTheme="majorEastAsia" w:hAnsiTheme="majorEastAsia" w:eastAsiaTheme="majorEastAsia"/>
                <w:color w:val="000000" w:themeColor="text1"/>
                <w:sz w:val="24"/>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金额</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进度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金额</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进度</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金额</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进度</w:t>
            </w:r>
          </w:p>
        </w:tc>
      </w:tr>
      <w:tr>
        <w:tblPrEx>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nil"/>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预算</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aps/>
                <w:color w:val="000000" w:themeColor="text1"/>
                <w:sz w:val="24"/>
              </w:rPr>
              <w:t>284.08</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aps/>
                <w:color w:val="000000" w:themeColor="text1"/>
                <w:sz w:val="24"/>
              </w:rPr>
              <w:t>37.4</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321.48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w:t>
            </w:r>
          </w:p>
        </w:tc>
      </w:tr>
      <w:tr>
        <w:tblPrEx>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6月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140.36</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49.41%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14.03</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37.51%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154.39</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48.02%</w:t>
            </w:r>
          </w:p>
        </w:tc>
      </w:tr>
      <w:tr>
        <w:tblPrEx>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9月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221.16</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77.85%</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21.87</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58.47%</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243.03</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75.6%</w:t>
            </w:r>
          </w:p>
        </w:tc>
      </w:tr>
      <w:tr>
        <w:tblPrEx>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11月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232.04</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81.68%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32.52</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86.95%</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264.56</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widowControl/>
              <w:spacing w:line="576" w:lineRule="exact"/>
              <w:jc w:val="center"/>
              <w:textAlignment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kern w:val="0"/>
                <w:sz w:val="24"/>
              </w:rPr>
              <w:t>82.29%</w:t>
            </w:r>
          </w:p>
        </w:tc>
      </w:tr>
    </w:tbl>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如上表，我局预算执行进度符合量化指标要求</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6.预算完成情况</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2022</w:t>
      </w:r>
      <w:r>
        <w:rPr>
          <w:rFonts w:hAnsi="仿宋_GB2312" w:eastAsia="仿宋_GB2312"/>
          <w:color w:val="000000" w:themeColor="text1"/>
          <w:sz w:val="32"/>
          <w:szCs w:val="32"/>
        </w:rPr>
        <w:t>年本单位全年预算收入执行总额为</w:t>
      </w:r>
      <w:r>
        <w:rPr>
          <w:rFonts w:eastAsia="仿宋_GB2312"/>
          <w:color w:val="000000" w:themeColor="text1"/>
          <w:sz w:val="32"/>
          <w:szCs w:val="32"/>
        </w:rPr>
        <w:t>1519.2</w:t>
      </w:r>
      <w:r>
        <w:rPr>
          <w:rFonts w:hAnsi="仿宋_GB2312" w:eastAsia="仿宋_GB2312"/>
          <w:color w:val="000000" w:themeColor="text1"/>
          <w:sz w:val="32"/>
          <w:szCs w:val="32"/>
        </w:rPr>
        <w:t>万元，其中：当年财政拨款收入</w:t>
      </w:r>
      <w:r>
        <w:rPr>
          <w:rFonts w:eastAsia="仿宋_GB2312"/>
          <w:color w:val="000000" w:themeColor="text1"/>
          <w:sz w:val="32"/>
          <w:szCs w:val="32"/>
        </w:rPr>
        <w:t>1519.2</w:t>
      </w:r>
      <w:r>
        <w:rPr>
          <w:rFonts w:hAnsi="仿宋_GB2312" w:eastAsia="仿宋_GB2312"/>
          <w:color w:val="000000" w:themeColor="text1"/>
          <w:sz w:val="32"/>
          <w:szCs w:val="32"/>
        </w:rPr>
        <w:t>万元，事业收入</w:t>
      </w:r>
      <w:r>
        <w:rPr>
          <w:rFonts w:eastAsia="仿宋_GB2312"/>
          <w:color w:val="000000" w:themeColor="text1"/>
          <w:sz w:val="32"/>
          <w:szCs w:val="32"/>
        </w:rPr>
        <w:t>0</w:t>
      </w:r>
      <w:r>
        <w:rPr>
          <w:rFonts w:hAnsi="仿宋_GB2312" w:eastAsia="仿宋_GB2312"/>
          <w:color w:val="000000" w:themeColor="text1"/>
          <w:sz w:val="32"/>
          <w:szCs w:val="32"/>
        </w:rPr>
        <w:t>万元，其他收入</w:t>
      </w:r>
      <w:r>
        <w:rPr>
          <w:rFonts w:eastAsia="仿宋_GB2312"/>
          <w:color w:val="000000" w:themeColor="text1"/>
          <w:sz w:val="32"/>
          <w:szCs w:val="32"/>
        </w:rPr>
        <w:t>0</w:t>
      </w:r>
      <w:r>
        <w:rPr>
          <w:rFonts w:hAnsi="仿宋_GB2312" w:eastAsia="仿宋_GB2312"/>
          <w:color w:val="000000" w:themeColor="text1"/>
          <w:sz w:val="32"/>
          <w:szCs w:val="32"/>
        </w:rPr>
        <w:t>万元；</w:t>
      </w:r>
      <w:r>
        <w:rPr>
          <w:rFonts w:eastAsia="仿宋_GB2312"/>
          <w:color w:val="000000" w:themeColor="text1"/>
          <w:sz w:val="32"/>
          <w:szCs w:val="32"/>
        </w:rPr>
        <w:t>2022</w:t>
      </w:r>
      <w:r>
        <w:rPr>
          <w:rFonts w:hAnsi="仿宋_GB2312" w:eastAsia="仿宋_GB2312"/>
          <w:color w:val="000000" w:themeColor="text1"/>
          <w:sz w:val="32"/>
          <w:szCs w:val="32"/>
        </w:rPr>
        <w:t>年本单位全年预算支出执行总额为</w:t>
      </w:r>
      <w:r>
        <w:rPr>
          <w:rFonts w:eastAsia="仿宋_GB2312"/>
          <w:color w:val="000000" w:themeColor="text1"/>
          <w:sz w:val="32"/>
          <w:szCs w:val="32"/>
        </w:rPr>
        <w:t>1519.2</w:t>
      </w:r>
      <w:r>
        <w:rPr>
          <w:rFonts w:hAnsi="仿宋_GB2312" w:eastAsia="仿宋_GB2312"/>
          <w:color w:val="000000" w:themeColor="text1"/>
          <w:sz w:val="32"/>
          <w:szCs w:val="32"/>
        </w:rPr>
        <w:t>万元，其中：当年一般公共预算财政拨款支出</w:t>
      </w:r>
      <w:r>
        <w:rPr>
          <w:rFonts w:eastAsia="仿宋_GB2312"/>
          <w:color w:val="000000" w:themeColor="text1"/>
          <w:sz w:val="32"/>
          <w:szCs w:val="32"/>
        </w:rPr>
        <w:t>1002.6</w:t>
      </w:r>
      <w:r>
        <w:rPr>
          <w:rFonts w:hAnsi="仿宋_GB2312" w:eastAsia="仿宋_GB2312"/>
          <w:color w:val="000000" w:themeColor="text1"/>
          <w:sz w:val="32"/>
          <w:szCs w:val="32"/>
        </w:rPr>
        <w:t>万元</w:t>
      </w:r>
      <w:r>
        <w:rPr>
          <w:rFonts w:eastAsia="仿宋_GB2312"/>
          <w:color w:val="000000" w:themeColor="text1"/>
          <w:sz w:val="32"/>
          <w:szCs w:val="32"/>
        </w:rPr>
        <w:t>,</w:t>
      </w:r>
      <w:r>
        <w:rPr>
          <w:rFonts w:hAnsi="仿宋_GB2312" w:eastAsia="仿宋_GB2312"/>
          <w:color w:val="000000" w:themeColor="text1"/>
          <w:sz w:val="32"/>
          <w:szCs w:val="32"/>
        </w:rPr>
        <w:t>政府性基金预算财政拨款支出为</w:t>
      </w:r>
      <w:r>
        <w:rPr>
          <w:rFonts w:eastAsia="仿宋_GB2312"/>
          <w:color w:val="000000" w:themeColor="text1"/>
          <w:sz w:val="32"/>
          <w:szCs w:val="32"/>
        </w:rPr>
        <w:t>516.6</w:t>
      </w:r>
      <w:r>
        <w:rPr>
          <w:rFonts w:hAnsi="仿宋_GB2312" w:eastAsia="仿宋_GB2312"/>
          <w:color w:val="000000" w:themeColor="text1"/>
          <w:sz w:val="32"/>
          <w:szCs w:val="32"/>
        </w:rPr>
        <w:t>万元。</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7.资金结余</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2022</w:t>
      </w:r>
      <w:r>
        <w:rPr>
          <w:rFonts w:hAnsi="仿宋_GB2312" w:eastAsia="仿宋_GB2312"/>
          <w:color w:val="000000" w:themeColor="text1"/>
          <w:sz w:val="32"/>
          <w:szCs w:val="32"/>
        </w:rPr>
        <w:t>年度我单位预算金额为</w:t>
      </w:r>
      <w:r>
        <w:rPr>
          <w:rFonts w:eastAsia="仿宋_GB2312"/>
          <w:color w:val="000000" w:themeColor="text1"/>
          <w:sz w:val="32"/>
          <w:szCs w:val="32"/>
        </w:rPr>
        <w:t>1519.2</w:t>
      </w:r>
      <w:r>
        <w:rPr>
          <w:rFonts w:hAnsi="仿宋_GB2312" w:eastAsia="仿宋_GB2312"/>
          <w:color w:val="000000" w:themeColor="text1"/>
          <w:sz w:val="32"/>
          <w:szCs w:val="32"/>
        </w:rPr>
        <w:t>万元，预算执行金额为</w:t>
      </w:r>
      <w:r>
        <w:rPr>
          <w:rFonts w:eastAsia="仿宋_GB2312"/>
          <w:color w:val="000000" w:themeColor="text1"/>
          <w:sz w:val="32"/>
          <w:szCs w:val="32"/>
        </w:rPr>
        <w:t>1519.2</w:t>
      </w:r>
      <w:r>
        <w:rPr>
          <w:rFonts w:hAnsi="仿宋_GB2312" w:eastAsia="仿宋_GB2312"/>
          <w:color w:val="000000" w:themeColor="text1"/>
          <w:sz w:val="32"/>
          <w:szCs w:val="32"/>
        </w:rPr>
        <w:t>万元，指标结转金额为</w:t>
      </w:r>
      <w:r>
        <w:rPr>
          <w:rFonts w:eastAsia="仿宋_GB2312"/>
          <w:color w:val="000000" w:themeColor="text1"/>
          <w:sz w:val="32"/>
          <w:szCs w:val="32"/>
        </w:rPr>
        <w:t>0</w:t>
      </w:r>
      <w:r>
        <w:rPr>
          <w:rFonts w:hAnsi="仿宋_GB2312" w:eastAsia="仿宋_GB2312"/>
          <w:color w:val="000000" w:themeColor="text1"/>
          <w:sz w:val="32"/>
          <w:szCs w:val="32"/>
        </w:rPr>
        <w:t>万元。</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8.违规记录</w:t>
      </w:r>
    </w:p>
    <w:p>
      <w:pPr>
        <w:spacing w:line="576" w:lineRule="exact"/>
        <w:ind w:firstLine="640" w:firstLineChars="200"/>
        <w:rPr>
          <w:rFonts w:eastAsia="仿宋_GB2312"/>
          <w:color w:val="000000" w:themeColor="text1"/>
          <w:sz w:val="32"/>
          <w:szCs w:val="32"/>
        </w:rPr>
      </w:pPr>
      <w:r>
        <w:rPr>
          <w:rFonts w:hAnsi="仿宋_GB2312" w:eastAsia="仿宋_GB2312"/>
          <w:color w:val="000000" w:themeColor="text1"/>
          <w:sz w:val="32"/>
          <w:szCs w:val="32"/>
        </w:rPr>
        <w:t>无。</w:t>
      </w:r>
    </w:p>
    <w:p>
      <w:pPr>
        <w:numPr>
          <w:ilvl w:val="0"/>
          <w:numId w:val="4"/>
        </w:numPr>
        <w:spacing w:line="576"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结果应用公开情况</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1.内部应用：我局制定了《财政预算绩效及征收项目绩效管理制度及考核办法》，根据单位年度总体绩效目标，按照内设股室的分工不同，我单位对内设的各股室设定了绩效目标，制定了相匹配的考核办法，并在年终考核汇总后，成为单位绩效目标完成情况自评的基础。</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2.自评公开：按区财政局统一安排，我局将相关绩效信息随同决算公开已在区政府门户网站进行了公开。</w:t>
      </w:r>
    </w:p>
    <w:p>
      <w:pPr>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3.问题整改:根据上年度第三方绩效评价提出的公务接待管理不规范的问题,我局组织全体干部职工认真学习了《四川省党政机关国内公务接待管理办法》、《“过紧日子”十三条措施》、《广元市昭化区商务接待管理办法》、《昭化区商务和经济合作局公务接待管理办法》，并严格按照公务接待相关规定执行。</w:t>
      </w:r>
    </w:p>
    <w:p>
      <w:pPr>
        <w:spacing w:line="576" w:lineRule="exact"/>
        <w:ind w:firstLine="640" w:firstLineChars="200"/>
        <w:rPr>
          <w:color w:val="000000" w:themeColor="text1"/>
        </w:rPr>
      </w:pPr>
      <w:r>
        <w:rPr>
          <w:rFonts w:eastAsia="仿宋_GB2312"/>
          <w:color w:val="000000" w:themeColor="text1"/>
          <w:sz w:val="32"/>
          <w:szCs w:val="32"/>
        </w:rPr>
        <w:t>4.应用反馈:根据自评及第三方现场评价发现的问题及情况，我局及时进行了完善整改，目前单位绩效目标设置合理规范，绩效管理高效有序，绩效运行监督机制运行流畅。</w:t>
      </w:r>
    </w:p>
    <w:p>
      <w:pPr>
        <w:spacing w:line="576"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（三）自评质量</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我局依据2022年单位预算收支执行情况及单位绩效目标的实现过程及完成情况，结合区委区政府综合目标任务的完成情况对单位绩效工作做了合理准确的自评。</w:t>
      </w:r>
    </w:p>
    <w:p>
      <w:pPr>
        <w:spacing w:line="576" w:lineRule="exact"/>
        <w:ind w:firstLine="640" w:firstLineChars="200"/>
        <w:rPr>
          <w:rFonts w:eastAsia="黑体"/>
          <w:color w:val="000000" w:themeColor="text1"/>
          <w:sz w:val="32"/>
          <w:szCs w:val="32"/>
        </w:rPr>
      </w:pPr>
      <w:r>
        <w:rPr>
          <w:rFonts w:hAnsi="黑体" w:eastAsia="黑体"/>
          <w:color w:val="000000" w:themeColor="text1"/>
          <w:sz w:val="32"/>
          <w:szCs w:val="32"/>
        </w:rPr>
        <w:t>四、部门整体预算绩效管理情况</w:t>
      </w:r>
    </w:p>
    <w:p>
      <w:pPr>
        <w:spacing w:line="576"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（一）自评结论</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2022年我单位部门整体支出绩效评价自查自评结果良好，全年基本支出保证了单位的正常运行和日常工作的正常开展，达到预期绩效目标。</w:t>
      </w:r>
    </w:p>
    <w:p>
      <w:pPr>
        <w:spacing w:line="576"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（二）存在的问题</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预算编制精准度有待提高。</w:t>
      </w:r>
    </w:p>
    <w:p>
      <w:pPr>
        <w:spacing w:line="576" w:lineRule="exact"/>
        <w:ind w:firstLine="640" w:firstLineChars="200"/>
        <w:rPr>
          <w:rFonts w:eastAsia="楷体_GB2312"/>
          <w:b/>
          <w:color w:val="000000" w:themeColor="text1"/>
          <w:sz w:val="32"/>
          <w:szCs w:val="32"/>
        </w:rPr>
      </w:pPr>
      <w:r>
        <w:rPr>
          <w:rFonts w:hAnsi="楷体_GB2312" w:eastAsia="楷体_GB2312"/>
          <w:b/>
          <w:color w:val="000000" w:themeColor="text1"/>
          <w:sz w:val="32"/>
          <w:szCs w:val="32"/>
        </w:rPr>
        <w:t>（三）改进建议</w:t>
      </w:r>
    </w:p>
    <w:p>
      <w:pPr>
        <w:spacing w:line="576"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针对问题，我单位将进一步提高预算编制质量，切实提高预算编制到预算执行的一致性。</w:t>
      </w:r>
    </w:p>
    <w:p>
      <w:pPr>
        <w:widowControl/>
        <w:jc w:val="left"/>
        <w:rPr>
          <w:rFonts w:eastAsia="仿宋_GB2312"/>
          <w:color w:val="000000" w:themeColor="text1"/>
          <w:kern w:val="0"/>
          <w:sz w:val="30"/>
        </w:rPr>
      </w:pPr>
      <w:r>
        <w:rPr>
          <w:color w:val="000000" w:themeColor="text1"/>
        </w:rPr>
        <w:br w:type="page"/>
      </w:r>
    </w:p>
    <w:p>
      <w:pPr>
        <w:widowControl/>
        <w:jc w:val="center"/>
        <w:textAlignment w:val="top"/>
        <w:rPr>
          <w:rFonts w:hint="eastAsia" w:ascii="方正小标宋_GBK" w:eastAsia="方正小标宋_GBK"/>
          <w:color w:val="000000" w:themeColor="text1"/>
          <w:sz w:val="40"/>
          <w:szCs w:val="40"/>
        </w:rPr>
      </w:pPr>
      <w:r>
        <w:rPr>
          <w:rFonts w:hint="eastAsia" w:ascii="方正小标宋_GBK" w:hAnsi="宋体" w:eastAsia="方正小标宋_GBK"/>
          <w:color w:val="000000" w:themeColor="text1"/>
          <w:kern w:val="0"/>
          <w:sz w:val="40"/>
          <w:szCs w:val="40"/>
        </w:rPr>
        <w:t>广元市昭化区部门整体支出绩效目标自评表</w:t>
      </w:r>
    </w:p>
    <w:tbl>
      <w:tblPr>
        <w:tblStyle w:val="14"/>
        <w:tblW w:w="10020" w:type="dxa"/>
        <w:jc w:val="center"/>
        <w:tblLayout w:type="autofit"/>
        <w:tblCellMar>
          <w:top w:w="0" w:type="dxa"/>
          <w:left w:w="108" w:type="dxa"/>
          <w:bottom w:w="0" w:type="dxa"/>
          <w:right w:w="108" w:type="dxa"/>
        </w:tblCellMar>
      </w:tblPr>
      <w:tblGrid>
        <w:gridCol w:w="493"/>
        <w:gridCol w:w="1071"/>
        <w:gridCol w:w="1922"/>
        <w:gridCol w:w="2132"/>
        <w:gridCol w:w="1383"/>
        <w:gridCol w:w="1362"/>
        <w:gridCol w:w="1657"/>
      </w:tblGrid>
      <w:tr>
        <w:tblPrEx>
          <w:tblCellMar>
            <w:top w:w="0" w:type="dxa"/>
            <w:left w:w="108" w:type="dxa"/>
            <w:bottom w:w="0" w:type="dxa"/>
            <w:right w:w="108" w:type="dxa"/>
          </w:tblCellMar>
        </w:tblPrEx>
        <w:trPr>
          <w:trHeight w:val="130" w:hRule="atLeast"/>
          <w:jc w:val="center"/>
        </w:trPr>
        <w:tc>
          <w:tcPr>
            <w:tcW w:w="10020" w:type="dxa"/>
            <w:gridSpan w:val="7"/>
            <w:tcBorders>
              <w:top w:val="nil"/>
              <w:left w:val="nil"/>
              <w:bottom w:val="nil"/>
              <w:right w:val="nil"/>
            </w:tcBorders>
            <w:shd w:val="clear" w:color="auto" w:fill="auto"/>
            <w:noWrap/>
          </w:tcPr>
          <w:p>
            <w:pPr>
              <w:widowControl/>
              <w:spacing w:line="240" w:lineRule="exact"/>
              <w:jc w:val="center"/>
              <w:textAlignment w:val="top"/>
              <w:rPr>
                <w:color w:val="000000" w:themeColor="text1"/>
                <w:szCs w:val="21"/>
              </w:rPr>
            </w:pPr>
            <w:r>
              <w:rPr>
                <w:rFonts w:hAnsi="宋体"/>
                <w:color w:val="000000" w:themeColor="text1"/>
                <w:kern w:val="0"/>
                <w:szCs w:val="21"/>
              </w:rPr>
              <w:t>（</w:t>
            </w:r>
            <w:r>
              <w:rPr>
                <w:color w:val="000000" w:themeColor="text1"/>
                <w:kern w:val="0"/>
                <w:szCs w:val="21"/>
              </w:rPr>
              <w:t>2022</w:t>
            </w:r>
            <w:r>
              <w:rPr>
                <w:rFonts w:eastAsia="MingLiU"/>
                <w:color w:val="000000" w:themeColor="text1"/>
                <w:kern w:val="0"/>
                <w:szCs w:val="21"/>
              </w:rPr>
              <w:t xml:space="preserve"> </w:t>
            </w:r>
            <w:r>
              <w:rPr>
                <w:rFonts w:hAnsi="宋体"/>
                <w:color w:val="000000" w:themeColor="text1"/>
                <w:kern w:val="0"/>
                <w:szCs w:val="21"/>
              </w:rPr>
              <w:t>年度）</w:t>
            </w:r>
          </w:p>
        </w:tc>
      </w:tr>
      <w:tr>
        <w:tblPrEx>
          <w:tblCellMar>
            <w:top w:w="0" w:type="dxa"/>
            <w:left w:w="108" w:type="dxa"/>
            <w:bottom w:w="0" w:type="dxa"/>
            <w:right w:w="108" w:type="dxa"/>
          </w:tblCellMar>
        </w:tblPrEx>
        <w:trPr>
          <w:trHeight w:val="264"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主管部门</w:t>
            </w:r>
          </w:p>
        </w:tc>
        <w:tc>
          <w:tcPr>
            <w:tcW w:w="54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r>
              <w:rPr>
                <w:rFonts w:hAnsi="Arial"/>
                <w:color w:val="000000" w:themeColor="text1"/>
                <w:szCs w:val="21"/>
              </w:rPr>
              <w:t>昭化区商务和经济合作局</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实施单位</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区商务和经济合作局</w:t>
            </w:r>
          </w:p>
        </w:tc>
      </w:tr>
      <w:tr>
        <w:tblPrEx>
          <w:tblCellMar>
            <w:top w:w="0" w:type="dxa"/>
            <w:left w:w="108" w:type="dxa"/>
            <w:bottom w:w="0" w:type="dxa"/>
            <w:right w:w="108" w:type="dxa"/>
          </w:tblCellMar>
        </w:tblPrEx>
        <w:trPr>
          <w:trHeight w:val="135" w:hRule="atLeast"/>
          <w:jc w:val="center"/>
        </w:trPr>
        <w:tc>
          <w:tcPr>
            <w:tcW w:w="15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项目（政策）资金</w:t>
            </w:r>
            <w:r>
              <w:rPr>
                <w:rFonts w:eastAsia="MingLiU"/>
                <w:color w:val="000000" w:themeColor="text1"/>
                <w:kern w:val="0"/>
                <w:szCs w:val="21"/>
              </w:rPr>
              <w:t xml:space="preserve"> </w:t>
            </w:r>
            <w:r>
              <w:rPr>
                <w:rFonts w:hAnsi="宋体"/>
                <w:color w:val="000000" w:themeColor="text1"/>
                <w:kern w:val="0"/>
                <w:szCs w:val="21"/>
              </w:rPr>
              <w:t>（万元）</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全年预算数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全年执行数</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执行率</w:t>
            </w: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年度资金总额</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569.5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1519.2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1519.2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100.00%</w:t>
            </w: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w:t>
            </w:r>
            <w:r>
              <w:rPr>
                <w:rFonts w:eastAsia="MingLiU"/>
                <w:color w:val="000000" w:themeColor="text1"/>
                <w:kern w:val="0"/>
                <w:szCs w:val="21"/>
              </w:rPr>
              <w:t>-</w:t>
            </w:r>
            <w:r>
              <w:rPr>
                <w:rFonts w:hAnsi="宋体"/>
                <w:color w:val="000000" w:themeColor="text1"/>
                <w:kern w:val="0"/>
                <w:szCs w:val="21"/>
              </w:rPr>
              <w:t>）财政拨款小计</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569.5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1002.6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1002.6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100.00%</w:t>
            </w: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 xml:space="preserve">1. </w:t>
            </w:r>
            <w:r>
              <w:rPr>
                <w:rFonts w:hAnsi="宋体"/>
                <w:color w:val="000000" w:themeColor="text1"/>
                <w:kern w:val="0"/>
                <w:szCs w:val="21"/>
              </w:rPr>
              <w:t>一般公共预算</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569.5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516.6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516.6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100.00%</w:t>
            </w: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2.</w:t>
            </w:r>
            <w:r>
              <w:rPr>
                <w:rFonts w:hAnsi="宋体"/>
                <w:color w:val="000000" w:themeColor="text1"/>
                <w:kern w:val="0"/>
                <w:szCs w:val="21"/>
              </w:rPr>
              <w:t>政府性基金</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264"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3.</w:t>
            </w:r>
            <w:r>
              <w:rPr>
                <w:rFonts w:hAnsi="宋体"/>
                <w:color w:val="000000" w:themeColor="text1"/>
                <w:kern w:val="0"/>
                <w:szCs w:val="21"/>
              </w:rPr>
              <w:t>国有资本经营预算</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4</w:t>
            </w:r>
            <w:r>
              <w:rPr>
                <w:rFonts w:eastAsia="MingLiU"/>
                <w:color w:val="000000" w:themeColor="text1"/>
                <w:kern w:val="0"/>
                <w:szCs w:val="21"/>
              </w:rPr>
              <w:t>.</w:t>
            </w:r>
            <w:r>
              <w:rPr>
                <w:rFonts w:hAnsi="宋体"/>
                <w:color w:val="000000" w:themeColor="text1"/>
                <w:kern w:val="0"/>
                <w:szCs w:val="21"/>
              </w:rPr>
              <w:t>社保基金</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（二）其他资金</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整体目标</w:t>
            </w:r>
          </w:p>
        </w:tc>
        <w:tc>
          <w:tcPr>
            <w:tcW w:w="5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年度目标</w:t>
            </w:r>
          </w:p>
        </w:tc>
        <w:tc>
          <w:tcPr>
            <w:tcW w:w="44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完成情况</w:t>
            </w:r>
          </w:p>
        </w:tc>
      </w:tr>
      <w:tr>
        <w:tblPrEx>
          <w:tblCellMar>
            <w:top w:w="0" w:type="dxa"/>
            <w:left w:w="108" w:type="dxa"/>
            <w:bottom w:w="0" w:type="dxa"/>
            <w:right w:w="108" w:type="dxa"/>
          </w:tblCellMar>
        </w:tblPrEx>
        <w:trPr>
          <w:trHeight w:val="2203"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512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color w:val="000000" w:themeColor="text1"/>
                <w:szCs w:val="21"/>
              </w:rPr>
            </w:pPr>
            <w:r>
              <w:rPr>
                <w:rFonts w:hAnsi="宋体"/>
                <w:color w:val="000000" w:themeColor="text1"/>
                <w:kern w:val="0"/>
                <w:szCs w:val="21"/>
              </w:rPr>
              <w:t>一是加大企业培育力度。积极引导汉寿客栈、辜家大院酒店、崇州鸭子、李老三鱼庄等进行</w:t>
            </w:r>
            <w:r>
              <w:rPr>
                <w:color w:val="000000" w:themeColor="text1"/>
                <w:kern w:val="0"/>
                <w:szCs w:val="21"/>
              </w:rPr>
              <w:t>“</w:t>
            </w:r>
            <w:r>
              <w:rPr>
                <w:rFonts w:hAnsi="宋体"/>
                <w:color w:val="000000" w:themeColor="text1"/>
                <w:kern w:val="0"/>
                <w:szCs w:val="21"/>
              </w:rPr>
              <w:t>个转企</w:t>
            </w:r>
            <w:r>
              <w:rPr>
                <w:color w:val="000000" w:themeColor="text1"/>
                <w:kern w:val="0"/>
                <w:szCs w:val="21"/>
              </w:rPr>
              <w:t>”</w:t>
            </w:r>
            <w:r>
              <w:rPr>
                <w:rFonts w:hAnsi="宋体"/>
                <w:color w:val="000000" w:themeColor="text1"/>
                <w:kern w:val="0"/>
                <w:szCs w:val="21"/>
              </w:rPr>
              <w:t>，加强对区内拟上限进规企业入库指导，力争明年超额完成任务。二是加大招商引资力度。充分运用昭化驻北京、广州、上海等异地商会力量，广泛宣传推介昭化的交通优势、资源优势以及以家居产业城、食品产业园区为核心的平台优势，积极与外资企业开展常态化对接。争取每季度赴长三角、粤港澳大湾区、京津冀等经济发达区域开展登门招商，推动一批优质省外项目在昭化落地。三是加快推进商贸集聚发展区打造力度。启动实施商业贸易创新转型升级行动，加大商超连锁、产地直销等业态招引培育，加快</w:t>
            </w:r>
            <w:r>
              <w:rPr>
                <w:color w:val="000000" w:themeColor="text1"/>
                <w:kern w:val="0"/>
                <w:szCs w:val="21"/>
              </w:rPr>
              <w:t>“</w:t>
            </w:r>
            <w:r>
              <w:rPr>
                <w:rFonts w:hAnsi="宋体"/>
                <w:color w:val="000000" w:themeColor="text1"/>
                <w:kern w:val="0"/>
                <w:szCs w:val="21"/>
              </w:rPr>
              <w:t>后疫情时代</w:t>
            </w:r>
            <w:r>
              <w:rPr>
                <w:color w:val="000000" w:themeColor="text1"/>
                <w:kern w:val="0"/>
                <w:szCs w:val="21"/>
              </w:rPr>
              <w:t>”</w:t>
            </w:r>
            <w:r>
              <w:rPr>
                <w:rFonts w:hAnsi="宋体"/>
                <w:color w:val="000000" w:themeColor="text1"/>
                <w:kern w:val="0"/>
                <w:szCs w:val="21"/>
              </w:rPr>
              <w:t>互联网消费端商业布局，加快推进汽车</w:t>
            </w:r>
            <w:r>
              <w:rPr>
                <w:color w:val="000000" w:themeColor="text1"/>
                <w:kern w:val="0"/>
                <w:szCs w:val="21"/>
              </w:rPr>
              <w:t>4S</w:t>
            </w:r>
            <w:r>
              <w:rPr>
                <w:rFonts w:hAnsi="宋体"/>
                <w:color w:val="000000" w:themeColor="text1"/>
                <w:kern w:val="0"/>
                <w:szCs w:val="21"/>
              </w:rPr>
              <w:t>产业园提质扩容和产业链延伸，着力打造川东北汽车</w:t>
            </w:r>
            <w:r>
              <w:rPr>
                <w:color w:val="000000" w:themeColor="text1"/>
                <w:kern w:val="0"/>
                <w:szCs w:val="21"/>
              </w:rPr>
              <w:t>4S</w:t>
            </w:r>
            <w:r>
              <w:rPr>
                <w:rFonts w:hAnsi="宋体"/>
                <w:color w:val="000000" w:themeColor="text1"/>
                <w:kern w:val="0"/>
                <w:szCs w:val="21"/>
              </w:rPr>
              <w:t>城旗舰。</w:t>
            </w:r>
          </w:p>
        </w:tc>
        <w:tc>
          <w:tcPr>
            <w:tcW w:w="440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color w:val="000000" w:themeColor="text1"/>
                <w:szCs w:val="21"/>
              </w:rPr>
            </w:pPr>
            <w:r>
              <w:rPr>
                <w:rFonts w:hAnsi="宋体"/>
                <w:color w:val="000000" w:themeColor="text1"/>
                <w:kern w:val="0"/>
                <w:szCs w:val="21"/>
              </w:rPr>
              <w:t>一是限上企业培育，完成</w:t>
            </w:r>
            <w:r>
              <w:rPr>
                <w:color w:val="000000" w:themeColor="text1"/>
                <w:kern w:val="0"/>
                <w:szCs w:val="21"/>
              </w:rPr>
              <w:t>3</w:t>
            </w:r>
            <w:r>
              <w:rPr>
                <w:rFonts w:hAnsi="宋体"/>
                <w:color w:val="000000" w:themeColor="text1"/>
                <w:kern w:val="0"/>
                <w:szCs w:val="21"/>
              </w:rPr>
              <w:t>家（祥泽顺汽车、宏祥福生态农业、宾鸿酒店），已完成全年目标任务的</w:t>
            </w:r>
            <w:r>
              <w:rPr>
                <w:color w:val="000000" w:themeColor="text1"/>
                <w:kern w:val="0"/>
                <w:szCs w:val="21"/>
              </w:rPr>
              <w:t>150%</w:t>
            </w:r>
            <w:r>
              <w:rPr>
                <w:rFonts w:hAnsi="宋体"/>
                <w:color w:val="000000" w:themeColor="text1"/>
                <w:kern w:val="0"/>
                <w:szCs w:val="21"/>
              </w:rPr>
              <w:t>。规上企业培育，完成</w:t>
            </w:r>
            <w:r>
              <w:rPr>
                <w:color w:val="000000" w:themeColor="text1"/>
                <w:kern w:val="0"/>
                <w:szCs w:val="21"/>
              </w:rPr>
              <w:t>1</w:t>
            </w:r>
            <w:r>
              <w:rPr>
                <w:rFonts w:hAnsi="宋体"/>
                <w:color w:val="000000" w:themeColor="text1"/>
                <w:kern w:val="0"/>
                <w:szCs w:val="21"/>
              </w:rPr>
              <w:t>家（智胜人力资源公司），力争申报</w:t>
            </w:r>
            <w:r>
              <w:rPr>
                <w:color w:val="000000" w:themeColor="text1"/>
                <w:kern w:val="0"/>
                <w:szCs w:val="21"/>
              </w:rPr>
              <w:t>1</w:t>
            </w:r>
            <w:r>
              <w:rPr>
                <w:rFonts w:hAnsi="宋体"/>
                <w:color w:val="000000" w:themeColor="text1"/>
                <w:kern w:val="0"/>
                <w:szCs w:val="21"/>
              </w:rPr>
              <w:t>家（昭贤人力），预测完成全年目标任务。外贸进出口额实现</w:t>
            </w:r>
            <w:r>
              <w:rPr>
                <w:color w:val="000000" w:themeColor="text1"/>
                <w:kern w:val="0"/>
                <w:szCs w:val="21"/>
              </w:rPr>
              <w:t>1.97</w:t>
            </w:r>
            <w:r>
              <w:rPr>
                <w:rFonts w:hAnsi="宋体"/>
                <w:color w:val="000000" w:themeColor="text1"/>
                <w:kern w:val="0"/>
                <w:szCs w:val="21"/>
              </w:rPr>
              <w:t>亿元，超市下目标任务</w:t>
            </w:r>
            <w:r>
              <w:rPr>
                <w:color w:val="000000" w:themeColor="text1"/>
                <w:kern w:val="0"/>
                <w:szCs w:val="21"/>
              </w:rPr>
              <w:t>1</w:t>
            </w:r>
            <w:r>
              <w:rPr>
                <w:rFonts w:hAnsi="宋体"/>
                <w:color w:val="000000" w:themeColor="text1"/>
                <w:kern w:val="0"/>
                <w:szCs w:val="21"/>
              </w:rPr>
              <w:t>亿元的</w:t>
            </w:r>
            <w:r>
              <w:rPr>
                <w:color w:val="000000" w:themeColor="text1"/>
                <w:kern w:val="0"/>
                <w:szCs w:val="21"/>
              </w:rPr>
              <w:t>97%</w:t>
            </w:r>
            <w:r>
              <w:rPr>
                <w:rFonts w:hAnsi="宋体"/>
                <w:color w:val="000000" w:themeColor="text1"/>
                <w:kern w:val="0"/>
                <w:szCs w:val="21"/>
              </w:rPr>
              <w:t>。二是引进市外到位资金</w:t>
            </w:r>
            <w:r>
              <w:rPr>
                <w:color w:val="000000" w:themeColor="text1"/>
                <w:kern w:val="0"/>
                <w:szCs w:val="21"/>
              </w:rPr>
              <w:t>101.7</w:t>
            </w:r>
            <w:r>
              <w:rPr>
                <w:rFonts w:hAnsi="宋体"/>
                <w:color w:val="000000" w:themeColor="text1"/>
                <w:kern w:val="0"/>
                <w:szCs w:val="21"/>
              </w:rPr>
              <w:t>亿元，完成全年任务的</w:t>
            </w:r>
            <w:r>
              <w:rPr>
                <w:color w:val="000000" w:themeColor="text1"/>
                <w:kern w:val="0"/>
                <w:szCs w:val="21"/>
              </w:rPr>
              <w:t>102.5%</w:t>
            </w:r>
            <w:r>
              <w:rPr>
                <w:rFonts w:hAnsi="宋体"/>
                <w:color w:val="000000" w:themeColor="text1"/>
                <w:kern w:val="0"/>
                <w:szCs w:val="21"/>
              </w:rPr>
              <w:t>；引进工业资金</w:t>
            </w:r>
            <w:r>
              <w:rPr>
                <w:color w:val="000000" w:themeColor="text1"/>
                <w:kern w:val="0"/>
                <w:szCs w:val="21"/>
              </w:rPr>
              <w:t>74.4</w:t>
            </w:r>
            <w:r>
              <w:rPr>
                <w:rFonts w:hAnsi="宋体"/>
                <w:color w:val="000000" w:themeColor="text1"/>
                <w:kern w:val="0"/>
                <w:szCs w:val="21"/>
              </w:rPr>
              <w:t>亿元，完成全年任务的</w:t>
            </w:r>
            <w:r>
              <w:rPr>
                <w:color w:val="000000" w:themeColor="text1"/>
                <w:kern w:val="0"/>
                <w:szCs w:val="21"/>
              </w:rPr>
              <w:t>135.3% ,</w:t>
            </w:r>
            <w:r>
              <w:rPr>
                <w:rFonts w:hAnsi="宋体"/>
                <w:color w:val="000000" w:themeColor="text1"/>
                <w:kern w:val="0"/>
                <w:szCs w:val="21"/>
              </w:rPr>
              <w:t>到位外资</w:t>
            </w:r>
            <w:r>
              <w:rPr>
                <w:color w:val="000000" w:themeColor="text1"/>
                <w:kern w:val="0"/>
                <w:szCs w:val="21"/>
              </w:rPr>
              <w:t>924</w:t>
            </w:r>
            <w:r>
              <w:rPr>
                <w:rFonts w:hAnsi="宋体"/>
                <w:color w:val="000000" w:themeColor="text1"/>
                <w:kern w:val="0"/>
                <w:szCs w:val="21"/>
              </w:rPr>
              <w:t>万人民币，均为外商直接投资，完成全年任务的</w:t>
            </w:r>
            <w:r>
              <w:rPr>
                <w:color w:val="000000" w:themeColor="text1"/>
                <w:kern w:val="0"/>
                <w:szCs w:val="21"/>
              </w:rPr>
              <w:t>135%,</w:t>
            </w:r>
            <w:r>
              <w:rPr>
                <w:rFonts w:hAnsi="宋体"/>
                <w:color w:val="000000" w:themeColor="text1"/>
                <w:kern w:val="0"/>
                <w:szCs w:val="21"/>
              </w:rPr>
              <w:t>超额完成市下实际到位外资目标任务。三是新签约亿元项目</w:t>
            </w:r>
            <w:r>
              <w:rPr>
                <w:color w:val="000000" w:themeColor="text1"/>
                <w:kern w:val="0"/>
                <w:szCs w:val="21"/>
              </w:rPr>
              <w:t>20</w:t>
            </w:r>
            <w:r>
              <w:rPr>
                <w:rFonts w:hAnsi="宋体"/>
                <w:color w:val="000000" w:themeColor="text1"/>
                <w:kern w:val="0"/>
                <w:szCs w:val="21"/>
              </w:rPr>
              <w:t>个，其中包括：签约年产</w:t>
            </w:r>
            <w:r>
              <w:rPr>
                <w:color w:val="000000" w:themeColor="text1"/>
                <w:kern w:val="0"/>
                <w:szCs w:val="21"/>
              </w:rPr>
              <w:t>1</w:t>
            </w:r>
            <w:r>
              <w:rPr>
                <w:rFonts w:hAnsi="宋体"/>
                <w:color w:val="000000" w:themeColor="text1"/>
                <w:kern w:val="0"/>
                <w:szCs w:val="21"/>
              </w:rPr>
              <w:t>亿包家居水晶饰品生产项目、秋香严选家居供应链平台项目等亿元以上项目</w:t>
            </w:r>
            <w:r>
              <w:rPr>
                <w:color w:val="000000" w:themeColor="text1"/>
                <w:kern w:val="0"/>
                <w:szCs w:val="21"/>
              </w:rPr>
              <w:t>12</w:t>
            </w:r>
            <w:r>
              <w:rPr>
                <w:rFonts w:hAnsi="宋体"/>
                <w:color w:val="000000" w:themeColor="text1"/>
                <w:kern w:val="0"/>
                <w:szCs w:val="21"/>
              </w:rPr>
              <w:t>个，投资额达</w:t>
            </w:r>
            <w:r>
              <w:rPr>
                <w:color w:val="000000" w:themeColor="text1"/>
                <w:kern w:val="0"/>
                <w:szCs w:val="21"/>
              </w:rPr>
              <w:t>34.8</w:t>
            </w:r>
            <w:r>
              <w:rPr>
                <w:rFonts w:hAnsi="宋体"/>
                <w:color w:val="000000" w:themeColor="text1"/>
                <w:kern w:val="0"/>
                <w:szCs w:val="21"/>
              </w:rPr>
              <w:t>亿元；签约有机茶示范基地建设项目、年产</w:t>
            </w:r>
            <w:r>
              <w:rPr>
                <w:color w:val="000000" w:themeColor="text1"/>
                <w:kern w:val="0"/>
                <w:szCs w:val="21"/>
              </w:rPr>
              <w:t>100</w:t>
            </w:r>
            <w:r>
              <w:rPr>
                <w:rFonts w:hAnsi="宋体"/>
                <w:color w:val="000000" w:themeColor="text1"/>
                <w:kern w:val="0"/>
                <w:szCs w:val="21"/>
              </w:rPr>
              <w:t>万平方米铝合金门窗建设项目等</w:t>
            </w:r>
            <w:r>
              <w:rPr>
                <w:color w:val="000000" w:themeColor="text1"/>
                <w:kern w:val="0"/>
                <w:szCs w:val="21"/>
              </w:rPr>
              <w:t>5</w:t>
            </w:r>
            <w:r>
              <w:rPr>
                <w:rFonts w:hAnsi="宋体"/>
                <w:color w:val="000000" w:themeColor="text1"/>
                <w:kern w:val="0"/>
                <w:szCs w:val="21"/>
              </w:rPr>
              <w:t>亿元以上项目</w:t>
            </w:r>
            <w:r>
              <w:rPr>
                <w:color w:val="000000" w:themeColor="text1"/>
                <w:kern w:val="0"/>
                <w:szCs w:val="21"/>
              </w:rPr>
              <w:t>8</w:t>
            </w:r>
            <w:r>
              <w:rPr>
                <w:rFonts w:hAnsi="宋体"/>
                <w:color w:val="000000" w:themeColor="text1"/>
                <w:kern w:val="0"/>
                <w:szCs w:val="21"/>
              </w:rPr>
              <w:t>个，投资额达</w:t>
            </w:r>
            <w:r>
              <w:rPr>
                <w:color w:val="000000" w:themeColor="text1"/>
                <w:kern w:val="0"/>
                <w:szCs w:val="21"/>
              </w:rPr>
              <w:t>94.8</w:t>
            </w:r>
            <w:r>
              <w:rPr>
                <w:rFonts w:hAnsi="宋体"/>
                <w:color w:val="000000" w:themeColor="text1"/>
                <w:kern w:val="0"/>
                <w:szCs w:val="21"/>
              </w:rPr>
              <w:t>亿元。</w:t>
            </w:r>
          </w:p>
        </w:tc>
      </w:tr>
      <w:tr>
        <w:tblPrEx>
          <w:tblCellMar>
            <w:top w:w="0" w:type="dxa"/>
            <w:left w:w="108" w:type="dxa"/>
            <w:bottom w:w="0" w:type="dxa"/>
            <w:right w:w="108" w:type="dxa"/>
          </w:tblCellMar>
        </w:tblPrEx>
        <w:trPr>
          <w:trHeight w:val="264" w:hRule="atLeast"/>
          <w:jc w:val="center"/>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color w:val="000000" w:themeColor="text1"/>
                <w:szCs w:val="21"/>
              </w:rPr>
            </w:pPr>
            <w:r>
              <w:rPr>
                <w:rFonts w:hAnsi="宋体"/>
                <w:color w:val="000000" w:themeColor="text1"/>
                <w:kern w:val="0"/>
                <w:szCs w:val="21"/>
              </w:rPr>
              <w:t>绩效指标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一级指标</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二级指标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三级指标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年度指标值</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实际完成值</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偏差原因分析及</w:t>
            </w:r>
            <w:r>
              <w:rPr>
                <w:rFonts w:eastAsia="MingLiU"/>
                <w:color w:val="000000" w:themeColor="text1"/>
                <w:kern w:val="0"/>
                <w:szCs w:val="21"/>
              </w:rPr>
              <w:t xml:space="preserve"> </w:t>
            </w:r>
            <w:r>
              <w:rPr>
                <w:rFonts w:hAnsi="宋体"/>
                <w:color w:val="000000" w:themeColor="text1"/>
                <w:kern w:val="0"/>
                <w:szCs w:val="21"/>
              </w:rPr>
              <w:t>改进措施</w:t>
            </w:r>
          </w:p>
        </w:tc>
      </w:tr>
      <w:tr>
        <w:tblPrEx>
          <w:tblCellMar>
            <w:top w:w="0" w:type="dxa"/>
            <w:left w:w="108" w:type="dxa"/>
            <w:bottom w:w="0" w:type="dxa"/>
            <w:right w:w="108" w:type="dxa"/>
          </w:tblCellMar>
        </w:tblPrEx>
        <w:trPr>
          <w:trHeight w:val="264"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产出指标</w:t>
            </w: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数量指标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新培育规上服务业企业数量</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w:t>
            </w:r>
            <w:r>
              <w:rPr>
                <w:rFonts w:hAnsi="宋体"/>
                <w:color w:val="000000" w:themeColor="text1"/>
                <w:kern w:val="0"/>
                <w:szCs w:val="21"/>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2</w:t>
            </w:r>
            <w:r>
              <w:rPr>
                <w:rFonts w:hAnsi="宋体"/>
                <w:color w:val="000000" w:themeColor="text1"/>
                <w:kern w:val="0"/>
                <w:szCs w:val="21"/>
              </w:rPr>
              <w:t>个</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引进到位市外资金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≥37</w:t>
            </w:r>
            <w:r>
              <w:rPr>
                <w:rFonts w:hAnsi="宋体"/>
                <w:color w:val="000000" w:themeColor="text1"/>
                <w:kern w:val="0"/>
                <w:szCs w:val="21"/>
              </w:rPr>
              <w:t>亿元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74.4</w:t>
            </w:r>
            <w:r>
              <w:rPr>
                <w:rFonts w:hAnsi="宋体"/>
                <w:color w:val="000000" w:themeColor="text1"/>
                <w:kern w:val="0"/>
                <w:szCs w:val="21"/>
              </w:rPr>
              <w:t>亿元</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264"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在职职工工资发放人数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≥21</w:t>
            </w:r>
            <w:r>
              <w:rPr>
                <w:rFonts w:hAnsi="宋体"/>
                <w:color w:val="000000" w:themeColor="text1"/>
                <w:kern w:val="0"/>
                <w:szCs w:val="21"/>
              </w:rPr>
              <w:t>人</w:t>
            </w:r>
          </w:p>
        </w:tc>
        <w:tc>
          <w:tcPr>
            <w:tcW w:w="1362"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25</w:t>
            </w:r>
            <w:r>
              <w:rPr>
                <w:rFonts w:hAnsi="宋体"/>
                <w:color w:val="000000" w:themeColor="text1"/>
                <w:kern w:val="0"/>
                <w:szCs w:val="21"/>
              </w:rPr>
              <w:t>人</w:t>
            </w:r>
          </w:p>
        </w:tc>
        <w:tc>
          <w:tcPr>
            <w:tcW w:w="1657" w:type="dxa"/>
            <w:tcBorders>
              <w:top w:val="single" w:color="000000" w:sz="4" w:space="0"/>
              <w:left w:val="single" w:color="000000" w:sz="4" w:space="0"/>
              <w:bottom w:val="nil"/>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质量指标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签约项目履约率</w:t>
            </w:r>
          </w:p>
        </w:tc>
        <w:tc>
          <w:tcPr>
            <w:tcW w:w="1383"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color w:val="000000" w:themeColor="text1"/>
                <w:kern w:val="0"/>
                <w:szCs w:val="21"/>
              </w:rPr>
              <w:t>12%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时效指标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任务完成时间</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w:t>
            </w:r>
            <w:r>
              <w:rPr>
                <w:rFonts w:hAnsi="宋体"/>
                <w:color w:val="000000" w:themeColor="text1"/>
                <w:kern w:val="0"/>
                <w:szCs w:val="21"/>
              </w:rPr>
              <w:t>年</w:t>
            </w:r>
          </w:p>
        </w:tc>
        <w:tc>
          <w:tcPr>
            <w:tcW w:w="1362"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w:t>
            </w:r>
            <w:r>
              <w:rPr>
                <w:rFonts w:hAnsi="宋体"/>
                <w:color w:val="000000" w:themeColor="text1"/>
                <w:kern w:val="0"/>
                <w:szCs w:val="21"/>
              </w:rPr>
              <w:t>年</w:t>
            </w:r>
          </w:p>
        </w:tc>
        <w:tc>
          <w:tcPr>
            <w:tcW w:w="1657" w:type="dxa"/>
            <w:tcBorders>
              <w:top w:val="nil"/>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成本指标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人员经费及公用经费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≤309.5</w:t>
            </w:r>
            <w:r>
              <w:rPr>
                <w:rFonts w:hAnsi="宋体"/>
                <w:color w:val="000000" w:themeColor="text1"/>
                <w:kern w:val="0"/>
                <w:szCs w:val="21"/>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321.48</w:t>
            </w:r>
            <w:r>
              <w:rPr>
                <w:rFonts w:hAnsi="宋体"/>
                <w:color w:val="000000" w:themeColor="text1"/>
                <w:kern w:val="0"/>
                <w:szCs w:val="21"/>
              </w:rPr>
              <w:t>万元</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人员增加</w:t>
            </w:r>
          </w:p>
        </w:tc>
      </w:tr>
      <w:tr>
        <w:tblPrEx>
          <w:tblCellMar>
            <w:top w:w="0" w:type="dxa"/>
            <w:left w:w="108" w:type="dxa"/>
            <w:bottom w:w="0" w:type="dxa"/>
            <w:right w:w="108" w:type="dxa"/>
          </w:tblCellMar>
        </w:tblPrEx>
        <w:trPr>
          <w:trHeight w:val="264"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专项招商引资及线下体系工作经费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≤130</w:t>
            </w:r>
            <w:r>
              <w:rPr>
                <w:rFonts w:hAnsi="宋体"/>
                <w:color w:val="000000" w:themeColor="text1"/>
                <w:kern w:val="0"/>
                <w:szCs w:val="21"/>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130</w:t>
            </w:r>
            <w:r>
              <w:rPr>
                <w:rFonts w:hAnsi="宋体"/>
                <w:color w:val="000000" w:themeColor="text1"/>
                <w:kern w:val="0"/>
                <w:szCs w:val="21"/>
              </w:rPr>
              <w:t>万元</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264"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驻外招商小分队及现代服务业工作经费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≤130</w:t>
            </w:r>
            <w:r>
              <w:rPr>
                <w:rFonts w:hAnsi="宋体"/>
                <w:color w:val="000000" w:themeColor="text1"/>
                <w:kern w:val="0"/>
                <w:szCs w:val="21"/>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130</w:t>
            </w:r>
            <w:r>
              <w:rPr>
                <w:rFonts w:hAnsi="宋体"/>
                <w:color w:val="000000" w:themeColor="text1"/>
                <w:kern w:val="0"/>
                <w:szCs w:val="21"/>
              </w:rPr>
              <w:t>万元</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264"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效益指标</w:t>
            </w: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社会效益指标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稳定提高当地就业能力</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定性优良中低差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优</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3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color w:val="000000" w:themeColor="text1"/>
                <w:szCs w:val="21"/>
              </w:rPr>
            </w:pP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Cs w:val="21"/>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促进地方经济发展</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定性好坏项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好</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r>
        <w:tblPrEx>
          <w:tblCellMar>
            <w:top w:w="0" w:type="dxa"/>
            <w:left w:w="108" w:type="dxa"/>
            <w:bottom w:w="0" w:type="dxa"/>
            <w:right w:w="108" w:type="dxa"/>
          </w:tblCellMar>
        </w:tblPrEx>
        <w:trPr>
          <w:trHeight w:val="140"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color w:val="000000" w:themeColor="text1"/>
                <w:szCs w:val="21"/>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满意度指标</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服务对象满意度指标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rFonts w:hAnsi="宋体"/>
                <w:color w:val="000000" w:themeColor="text1"/>
                <w:kern w:val="0"/>
                <w:szCs w:val="21"/>
              </w:rPr>
              <w:t>企业及单位职工满意度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themeColor="text1"/>
                <w:szCs w:val="21"/>
              </w:rPr>
            </w:pPr>
            <w:r>
              <w:rPr>
                <w:color w:val="000000" w:themeColor="text1"/>
                <w:kern w:val="0"/>
                <w:szCs w:val="21"/>
              </w:rPr>
              <w:t>95%</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Pr>
          <w:p>
            <w:pPr>
              <w:spacing w:line="240" w:lineRule="exact"/>
              <w:jc w:val="center"/>
              <w:rPr>
                <w:color w:val="000000" w:themeColor="text1"/>
                <w:szCs w:val="21"/>
              </w:rPr>
            </w:pPr>
          </w:p>
        </w:tc>
      </w:tr>
    </w:tbl>
    <w:p>
      <w:pPr>
        <w:spacing w:line="576" w:lineRule="exact"/>
        <w:jc w:val="center"/>
        <w:rPr>
          <w:rFonts w:eastAsia="方正小标宋简体"/>
          <w:color w:val="000000" w:themeColor="text1"/>
          <w:sz w:val="44"/>
          <w:szCs w:val="44"/>
        </w:rPr>
      </w:pPr>
      <w:r>
        <w:rPr>
          <w:rFonts w:eastAsia="方正小标宋简体"/>
          <w:color w:val="000000" w:themeColor="text1"/>
          <w:sz w:val="44"/>
          <w:szCs w:val="44"/>
        </w:rPr>
        <w:t>广元市昭化区商务和经济合作局</w:t>
      </w:r>
    </w:p>
    <w:p>
      <w:pPr>
        <w:topLinePunct/>
        <w:spacing w:line="576" w:lineRule="exact"/>
        <w:jc w:val="center"/>
        <w:rPr>
          <w:rFonts w:eastAsia="方正小标宋简体"/>
          <w:bCs/>
          <w:color w:val="000000" w:themeColor="text1"/>
          <w:sz w:val="44"/>
          <w:szCs w:val="44"/>
        </w:rPr>
      </w:pPr>
      <w:r>
        <w:rPr>
          <w:rFonts w:eastAsia="方正小标宋简体"/>
          <w:bCs/>
          <w:color w:val="000000" w:themeColor="text1"/>
          <w:sz w:val="44"/>
          <w:szCs w:val="44"/>
        </w:rPr>
        <w:t>关于2022年“昭化造”农特产品线上线下市场体系建设等项目支出绩效自评</w:t>
      </w:r>
    </w:p>
    <w:p>
      <w:pPr>
        <w:topLinePunct/>
        <w:spacing w:line="576" w:lineRule="exact"/>
        <w:jc w:val="center"/>
        <w:rPr>
          <w:rFonts w:eastAsia="方正小标宋简体"/>
          <w:bCs/>
          <w:color w:val="000000" w:themeColor="text1"/>
          <w:sz w:val="44"/>
          <w:szCs w:val="44"/>
        </w:rPr>
      </w:pPr>
      <w:r>
        <w:rPr>
          <w:rFonts w:eastAsia="方正小标宋简体"/>
          <w:bCs/>
          <w:color w:val="000000" w:themeColor="text1"/>
          <w:sz w:val="44"/>
          <w:szCs w:val="44"/>
        </w:rPr>
        <w:t>报   告</w:t>
      </w:r>
    </w:p>
    <w:p>
      <w:pPr>
        <w:topLinePunct/>
        <w:spacing w:line="576" w:lineRule="exact"/>
        <w:rPr>
          <w:rFonts w:eastAsia="仿宋_GB2312"/>
          <w:color w:val="000000" w:themeColor="text1"/>
          <w:sz w:val="32"/>
          <w:szCs w:val="32"/>
        </w:rPr>
      </w:pPr>
    </w:p>
    <w:p>
      <w:pPr>
        <w:topLinePunct/>
        <w:spacing w:line="576" w:lineRule="exact"/>
        <w:ind w:firstLine="640" w:firstLineChars="200"/>
        <w:rPr>
          <w:rFonts w:eastAsia="仿宋_GB2312"/>
          <w:color w:val="000000" w:themeColor="text1"/>
          <w:sz w:val="32"/>
        </w:rPr>
      </w:pPr>
      <w:r>
        <w:rPr>
          <w:rFonts w:eastAsia="仿宋_GB2312"/>
          <w:color w:val="000000" w:themeColor="text1"/>
          <w:sz w:val="32"/>
          <w:szCs w:val="32"/>
        </w:rPr>
        <w:t>为了进一步加强部门项目监管，提高项目资金使用效益，根据广元市昭化区财政局</w:t>
      </w:r>
      <w:r>
        <w:rPr>
          <w:rFonts w:eastAsia="仿宋_GB2312"/>
          <w:color w:val="000000" w:themeColor="text1"/>
          <w:sz w:val="32"/>
        </w:rPr>
        <w:t>《关于开展2023年部门、政策和项目支出绩效评价工作的通知》(昭财发〔2023〕12号)的要求，结合我单位项目实施情况，现将我单位2022年开展“昭化造”农特产品线上线下市场体系建设、委托招商基本服务费用、促进消费恢复发展资金、疫情防控专项支出－隔离酒店改造及补偿费用、疫情防控应急保障资金、2022年外经贸发展专项资金等5个项目支出绩效自评报告如下：</w:t>
      </w:r>
    </w:p>
    <w:p>
      <w:pPr>
        <w:topLinePunct/>
        <w:spacing w:line="576" w:lineRule="exact"/>
        <w:ind w:firstLine="640" w:firstLineChars="200"/>
        <w:rPr>
          <w:rFonts w:eastAsia="黑体"/>
          <w:bCs/>
          <w:color w:val="000000" w:themeColor="text1"/>
          <w:sz w:val="32"/>
          <w:szCs w:val="32"/>
        </w:rPr>
      </w:pPr>
      <w:r>
        <w:rPr>
          <w:rFonts w:eastAsia="黑体"/>
          <w:bCs/>
          <w:color w:val="000000" w:themeColor="text1"/>
          <w:sz w:val="32"/>
          <w:szCs w:val="32"/>
        </w:rPr>
        <w:t>一、项目概况</w:t>
      </w:r>
    </w:p>
    <w:p>
      <w:pPr>
        <w:topLinePunct/>
        <w:spacing w:line="576" w:lineRule="exact"/>
        <w:ind w:firstLine="640" w:firstLineChars="200"/>
        <w:rPr>
          <w:rFonts w:eastAsia="仿宋_GB2312"/>
          <w:color w:val="000000" w:themeColor="text1"/>
          <w:sz w:val="32"/>
          <w:szCs w:val="32"/>
        </w:rPr>
      </w:pPr>
      <w:r>
        <w:rPr>
          <w:rFonts w:eastAsia="楷体_GB2312"/>
          <w:color w:val="000000" w:themeColor="text1"/>
          <w:sz w:val="32"/>
          <w:szCs w:val="32"/>
        </w:rPr>
        <w:t>（一）项目资金申报及批复情况</w:t>
      </w:r>
      <w:r>
        <w:rPr>
          <w:rFonts w:eastAsia="仿宋_GB2312"/>
          <w:color w:val="000000" w:themeColor="text1"/>
          <w:sz w:val="32"/>
          <w:szCs w:val="32"/>
        </w:rPr>
        <w:t>。我局2022年度区财政局本级预算</w:t>
      </w:r>
      <w:r>
        <w:rPr>
          <w:rFonts w:eastAsia="仿宋_GB2312"/>
          <w:color w:val="000000" w:themeColor="text1"/>
          <w:sz w:val="32"/>
        </w:rPr>
        <w:t>开展“昭化造”农特产品线上线下市场体系建设项目</w:t>
      </w:r>
      <w:r>
        <w:rPr>
          <w:rFonts w:eastAsia="仿宋_GB2312"/>
          <w:color w:val="000000" w:themeColor="text1"/>
          <w:sz w:val="32"/>
          <w:szCs w:val="32"/>
        </w:rPr>
        <w:t>资金140万元、</w:t>
      </w:r>
      <w:r>
        <w:rPr>
          <w:rFonts w:eastAsia="仿宋_GB2312"/>
          <w:color w:val="000000" w:themeColor="text1"/>
          <w:sz w:val="32"/>
        </w:rPr>
        <w:t>委托招商基本服务费用</w:t>
      </w:r>
      <w:r>
        <w:rPr>
          <w:rFonts w:eastAsia="仿宋_GB2312"/>
          <w:color w:val="000000" w:themeColor="text1"/>
          <w:sz w:val="32"/>
          <w:szCs w:val="32"/>
        </w:rPr>
        <w:t>298万元、</w:t>
      </w:r>
      <w:r>
        <w:rPr>
          <w:rFonts w:eastAsia="仿宋_GB2312"/>
          <w:color w:val="000000" w:themeColor="text1"/>
          <w:sz w:val="32"/>
        </w:rPr>
        <w:t>促进消费恢复发展资金87</w:t>
      </w:r>
      <w:r>
        <w:rPr>
          <w:rFonts w:eastAsia="仿宋_GB2312"/>
          <w:color w:val="000000" w:themeColor="text1"/>
          <w:sz w:val="32"/>
          <w:szCs w:val="32"/>
        </w:rPr>
        <w:t>万元、</w:t>
      </w:r>
      <w:r>
        <w:rPr>
          <w:rFonts w:eastAsia="仿宋_GB2312"/>
          <w:color w:val="000000" w:themeColor="text1"/>
          <w:sz w:val="32"/>
        </w:rPr>
        <w:t>疫情防控应急保障资金68.5万元、2022年外经贸发展专项资金70.5万元。</w:t>
      </w:r>
    </w:p>
    <w:p>
      <w:pPr>
        <w:topLinePunct/>
        <w:spacing w:line="576" w:lineRule="exact"/>
        <w:ind w:firstLine="640" w:firstLineChars="200"/>
        <w:rPr>
          <w:rFonts w:eastAsia="仿宋_GB2312"/>
          <w:color w:val="000000" w:themeColor="text1"/>
          <w:sz w:val="32"/>
          <w:szCs w:val="32"/>
        </w:rPr>
      </w:pPr>
      <w:r>
        <w:rPr>
          <w:rFonts w:eastAsia="楷体_GB2312"/>
          <w:color w:val="000000" w:themeColor="text1"/>
          <w:sz w:val="32"/>
          <w:szCs w:val="32"/>
        </w:rPr>
        <w:t>（二）项目绩效目标</w:t>
      </w:r>
      <w:r>
        <w:rPr>
          <w:rFonts w:eastAsia="仿宋_GB2312"/>
          <w:color w:val="000000" w:themeColor="text1"/>
          <w:sz w:val="32"/>
          <w:szCs w:val="32"/>
        </w:rPr>
        <w:t>。根据全年工作安排，按照资金管理办法和专款专用的原则，全力推动各项工作顺利开展。</w:t>
      </w:r>
    </w:p>
    <w:p>
      <w:pPr>
        <w:topLinePunct/>
        <w:spacing w:line="576" w:lineRule="exact"/>
        <w:ind w:firstLine="640" w:firstLineChars="200"/>
        <w:rPr>
          <w:rFonts w:eastAsia="仿宋_GB2312"/>
          <w:color w:val="000000" w:themeColor="text1"/>
          <w:sz w:val="32"/>
        </w:rPr>
      </w:pPr>
      <w:r>
        <w:rPr>
          <w:rFonts w:eastAsia="仿宋_GB2312"/>
          <w:color w:val="000000" w:themeColor="text1"/>
          <w:sz w:val="32"/>
          <w:szCs w:val="32"/>
        </w:rPr>
        <w:t>1.</w:t>
      </w:r>
      <w:r>
        <w:rPr>
          <w:rFonts w:eastAsia="仿宋_GB2312"/>
          <w:color w:val="000000" w:themeColor="text1"/>
          <w:sz w:val="32"/>
        </w:rPr>
        <w:t>“昭化造”农特产品线上线下市场体系建设项目。使用资金140万元。建设“昭化造”农特产品线下专馆4家、线上专营店2家；组织企业参加“昭化造”农特产品推介会3次。</w:t>
      </w:r>
    </w:p>
    <w:p>
      <w:pPr>
        <w:pStyle w:val="2"/>
        <w:spacing w:beforeLines="0" w:line="576" w:lineRule="exact"/>
        <w:ind w:firstLine="640" w:firstLineChars="200"/>
        <w:rPr>
          <w:rFonts w:ascii="Times New Roman"/>
          <w:color w:val="000000" w:themeColor="text1"/>
          <w:sz w:val="32"/>
        </w:rPr>
      </w:pPr>
      <w:r>
        <w:rPr>
          <w:rFonts w:ascii="Times New Roman"/>
          <w:color w:val="000000" w:themeColor="text1"/>
          <w:sz w:val="32"/>
        </w:rPr>
        <w:t>2.委托招商基本服务费用。使用资金298万元。实现新签约亿元项目20个，其中包括：签约年产1亿包家居水晶饰品生产项目、秋香严选家居供应链平台项目等亿元以上项目12个，投资额达34.8亿元；签约有机茶示范基地建设项目、年产100万平方米铝合金门窗建设项目等5亿元以上项目8个，投资额达94.8亿元。</w:t>
      </w:r>
    </w:p>
    <w:p>
      <w:pPr>
        <w:pStyle w:val="2"/>
        <w:spacing w:beforeLines="0" w:line="576" w:lineRule="exact"/>
        <w:ind w:firstLine="640" w:firstLineChars="200"/>
        <w:rPr>
          <w:rFonts w:ascii="Times New Roman"/>
          <w:color w:val="000000" w:themeColor="text1"/>
          <w:sz w:val="32"/>
          <w:szCs w:val="32"/>
        </w:rPr>
      </w:pPr>
      <w:r>
        <w:rPr>
          <w:rFonts w:ascii="Times New Roman"/>
          <w:color w:val="000000" w:themeColor="text1"/>
          <w:sz w:val="32"/>
        </w:rPr>
        <w:t>3.促进消费恢复发展资金。使用资金87</w:t>
      </w:r>
      <w:r>
        <w:rPr>
          <w:rFonts w:ascii="Times New Roman" w:hAnsi="仿宋_GB2312"/>
          <w:color w:val="000000" w:themeColor="text1"/>
          <w:sz w:val="32"/>
          <w:szCs w:val="32"/>
        </w:rPr>
        <w:t>万元。通过开展汽车促销活动，拉动汽车消费</w:t>
      </w:r>
      <w:r>
        <w:rPr>
          <w:rFonts w:ascii="Times New Roman"/>
          <w:color w:val="000000" w:themeColor="text1"/>
          <w:sz w:val="32"/>
          <w:szCs w:val="32"/>
        </w:rPr>
        <w:t>5000</w:t>
      </w:r>
      <w:r>
        <w:rPr>
          <w:rFonts w:ascii="Times New Roman" w:hAnsi="仿宋_GB2312"/>
          <w:color w:val="000000" w:themeColor="text1"/>
          <w:sz w:val="32"/>
          <w:szCs w:val="32"/>
        </w:rPr>
        <w:t>余万元。</w:t>
      </w:r>
    </w:p>
    <w:p>
      <w:pPr>
        <w:pStyle w:val="2"/>
        <w:spacing w:beforeLines="0" w:line="576" w:lineRule="exact"/>
        <w:ind w:firstLine="640" w:firstLineChars="200"/>
        <w:rPr>
          <w:rFonts w:ascii="Times New Roman"/>
          <w:color w:val="000000" w:themeColor="text1"/>
          <w:sz w:val="32"/>
        </w:rPr>
      </w:pPr>
      <w:r>
        <w:rPr>
          <w:rFonts w:ascii="Times New Roman"/>
          <w:color w:val="000000" w:themeColor="text1"/>
          <w:sz w:val="32"/>
          <w:szCs w:val="32"/>
        </w:rPr>
        <w:t>4.</w:t>
      </w:r>
      <w:r>
        <w:rPr>
          <w:rFonts w:ascii="Times New Roman"/>
          <w:color w:val="000000" w:themeColor="text1"/>
          <w:sz w:val="32"/>
        </w:rPr>
        <w:t>疫情防控应急保障资金。使用资金68.5万元。全力保障开元酒店和锦天商务酒店两处医学留观酒店正常运行。通过加强风险地区来返昭人员管理，有效防止输入性疫情传播，确保我区人民人</w:t>
      </w:r>
      <w:r>
        <w:rPr>
          <w:rFonts w:hint="eastAsia" w:ascii="Times New Roman"/>
          <w:color w:val="000000" w:themeColor="text1"/>
          <w:sz w:val="32"/>
          <w:lang w:val="en-US" w:eastAsia="zh-CN"/>
        </w:rPr>
        <w:t>身</w:t>
      </w:r>
      <w:r>
        <w:rPr>
          <w:rFonts w:ascii="Times New Roman"/>
          <w:color w:val="000000" w:themeColor="text1"/>
          <w:sz w:val="32"/>
        </w:rPr>
        <w:t>安全。</w:t>
      </w:r>
    </w:p>
    <w:p>
      <w:pPr>
        <w:pStyle w:val="2"/>
        <w:spacing w:beforeLines="0" w:line="576" w:lineRule="exact"/>
        <w:ind w:firstLine="640" w:firstLineChars="200"/>
        <w:rPr>
          <w:rFonts w:ascii="Times New Roman"/>
          <w:color w:val="000000" w:themeColor="text1"/>
          <w:sz w:val="32"/>
        </w:rPr>
      </w:pPr>
      <w:r>
        <w:rPr>
          <w:rFonts w:ascii="Times New Roman"/>
          <w:color w:val="000000" w:themeColor="text1"/>
          <w:sz w:val="32"/>
        </w:rPr>
        <w:t>5.2022年外经贸发展专项资金。使用资金70.5万元。实现新增出口企业2家（俊业、信德农牧），外贸进出口额实现1.97亿元，超市下目标任务1亿元的97%。</w:t>
      </w:r>
    </w:p>
    <w:p>
      <w:pPr>
        <w:topLinePunct/>
        <w:spacing w:line="576" w:lineRule="exact"/>
        <w:ind w:firstLine="640" w:firstLineChars="200"/>
        <w:rPr>
          <w:rFonts w:eastAsia="仿宋_GB2312"/>
          <w:color w:val="000000" w:themeColor="text1"/>
          <w:sz w:val="32"/>
          <w:szCs w:val="32"/>
        </w:rPr>
      </w:pPr>
      <w:r>
        <w:rPr>
          <w:rFonts w:eastAsia="楷体_GB2312"/>
          <w:color w:val="000000" w:themeColor="text1"/>
          <w:sz w:val="32"/>
          <w:szCs w:val="32"/>
        </w:rPr>
        <w:t>（三）项目资金申报相符性</w:t>
      </w:r>
      <w:r>
        <w:rPr>
          <w:rFonts w:eastAsia="仿宋_GB2312"/>
          <w:color w:val="000000" w:themeColor="text1"/>
          <w:sz w:val="32"/>
          <w:szCs w:val="32"/>
        </w:rPr>
        <w:t>。资金申报完全按照项目实施内容及年度内计划方案实施，资金申报合理，操作性强，可行性高。我局结合资金性质及用途，有预见性、前瞻性地开展工作，有效发挥了资金效益。</w:t>
      </w:r>
    </w:p>
    <w:p>
      <w:pPr>
        <w:topLinePunct/>
        <w:spacing w:line="576" w:lineRule="exact"/>
        <w:ind w:firstLine="640" w:firstLineChars="200"/>
        <w:rPr>
          <w:rFonts w:eastAsia="黑体"/>
          <w:bCs/>
          <w:color w:val="000000" w:themeColor="text1"/>
          <w:sz w:val="32"/>
          <w:szCs w:val="32"/>
        </w:rPr>
      </w:pPr>
      <w:r>
        <w:rPr>
          <w:rFonts w:eastAsia="黑体"/>
          <w:bCs/>
          <w:color w:val="000000" w:themeColor="text1"/>
          <w:sz w:val="32"/>
          <w:szCs w:val="32"/>
        </w:rPr>
        <w:t>二、项目实施及管理情况</w:t>
      </w:r>
    </w:p>
    <w:p>
      <w:pPr>
        <w:topLinePunct/>
        <w:spacing w:line="576" w:lineRule="exact"/>
        <w:ind w:firstLine="640" w:firstLineChars="200"/>
        <w:rPr>
          <w:rFonts w:eastAsia="仿宋_GB2312"/>
          <w:color w:val="000000" w:themeColor="text1"/>
          <w:sz w:val="32"/>
          <w:szCs w:val="32"/>
        </w:rPr>
      </w:pPr>
      <w:r>
        <w:rPr>
          <w:rFonts w:eastAsia="楷体_GB2312"/>
          <w:b/>
          <w:color w:val="000000" w:themeColor="text1"/>
          <w:sz w:val="32"/>
          <w:szCs w:val="32"/>
        </w:rPr>
        <w:t>（一）资金计划、到位及使用情况</w:t>
      </w:r>
      <w:r>
        <w:rPr>
          <w:rFonts w:eastAsia="仿宋_GB2312"/>
          <w:b/>
          <w:color w:val="000000" w:themeColor="text1"/>
          <w:sz w:val="32"/>
          <w:szCs w:val="32"/>
        </w:rPr>
        <w:t>。</w:t>
      </w:r>
      <w:r>
        <w:rPr>
          <w:rFonts w:eastAsia="仿宋_GB2312"/>
          <w:color w:val="000000" w:themeColor="text1"/>
          <w:sz w:val="32"/>
          <w:szCs w:val="32"/>
        </w:rPr>
        <w:t>2022年开展“昭化造”农特产品线上线下市场体系建设等5个项目资金计划安排及时，资金拨付能按时到位，我局严格按照各类项目资金使用要求支出，落实专款专用，无任何违规使用的情况。</w:t>
      </w:r>
    </w:p>
    <w:p>
      <w:pPr>
        <w:topLinePunct/>
        <w:spacing w:line="576" w:lineRule="exact"/>
        <w:ind w:firstLine="640" w:firstLineChars="200"/>
        <w:rPr>
          <w:rFonts w:eastAsia="仿宋_GB2312"/>
          <w:color w:val="000000" w:themeColor="text1"/>
          <w:sz w:val="32"/>
          <w:szCs w:val="32"/>
        </w:rPr>
      </w:pPr>
      <w:r>
        <w:rPr>
          <w:rFonts w:eastAsia="仿宋_GB2312"/>
          <w:bCs/>
          <w:color w:val="000000" w:themeColor="text1"/>
          <w:sz w:val="32"/>
          <w:szCs w:val="32"/>
        </w:rPr>
        <w:t>1.资金计划和到位及时。</w:t>
      </w:r>
      <w:r>
        <w:rPr>
          <w:rFonts w:eastAsia="仿宋_GB2312"/>
          <w:color w:val="000000" w:themeColor="text1"/>
          <w:sz w:val="32"/>
          <w:szCs w:val="32"/>
        </w:rPr>
        <w:t>2022年度区财政局在有效时限内将“昭化造”农特产品线上线下市场体系建设等5个项目资金指标下达我局，我局根据资金用途制定了详细的项目实施方案及资金使用计划，确保了专项资金的专款专用。</w:t>
      </w:r>
    </w:p>
    <w:p>
      <w:pPr>
        <w:topLinePunct/>
        <w:spacing w:line="576" w:lineRule="exact"/>
        <w:ind w:firstLine="640" w:firstLineChars="200"/>
        <w:rPr>
          <w:rFonts w:eastAsia="仿宋_GB2312"/>
          <w:color w:val="000000" w:themeColor="text1"/>
          <w:sz w:val="32"/>
          <w:szCs w:val="32"/>
        </w:rPr>
      </w:pPr>
      <w:r>
        <w:rPr>
          <w:rFonts w:eastAsia="仿宋_GB2312"/>
          <w:bCs/>
          <w:color w:val="000000" w:themeColor="text1"/>
          <w:sz w:val="32"/>
          <w:szCs w:val="32"/>
        </w:rPr>
        <w:t>2.资金使用符合要求。</w:t>
      </w:r>
      <w:r>
        <w:rPr>
          <w:rFonts w:eastAsia="仿宋_GB2312"/>
          <w:color w:val="000000" w:themeColor="text1"/>
          <w:sz w:val="32"/>
          <w:szCs w:val="32"/>
        </w:rPr>
        <w:t>我局项目资金的实际支出完全符合资金开支范围、标准及支付要求，支付依据合规合法，资金支付与预算相符。</w:t>
      </w:r>
    </w:p>
    <w:p>
      <w:pPr>
        <w:topLinePunct/>
        <w:spacing w:line="576" w:lineRule="exact"/>
        <w:ind w:firstLine="640" w:firstLineChars="200"/>
        <w:rPr>
          <w:rFonts w:eastAsia="仿宋_GB2312"/>
          <w:color w:val="000000" w:themeColor="text1"/>
          <w:sz w:val="32"/>
          <w:szCs w:val="32"/>
        </w:rPr>
      </w:pPr>
      <w:r>
        <w:rPr>
          <w:rFonts w:eastAsia="楷体_GB2312"/>
          <w:b/>
          <w:color w:val="000000" w:themeColor="text1"/>
          <w:sz w:val="32"/>
          <w:szCs w:val="32"/>
        </w:rPr>
        <w:t>（二）项目财务管理情况</w:t>
      </w:r>
      <w:r>
        <w:rPr>
          <w:rFonts w:eastAsia="仿宋_GB2312"/>
          <w:b/>
          <w:color w:val="000000" w:themeColor="text1"/>
          <w:sz w:val="32"/>
          <w:szCs w:val="32"/>
        </w:rPr>
        <w:t>。</w:t>
      </w:r>
      <w:r>
        <w:rPr>
          <w:rFonts w:eastAsia="仿宋_GB2312"/>
          <w:color w:val="000000" w:themeColor="text1"/>
          <w:sz w:val="32"/>
          <w:szCs w:val="32"/>
        </w:rPr>
        <w:t>为强化专项资金管理，发挥资金的最大使用绩效，我局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topLinePunct/>
        <w:spacing w:line="576" w:lineRule="exact"/>
        <w:ind w:firstLine="640" w:firstLineChars="200"/>
        <w:rPr>
          <w:rFonts w:eastAsia="仿宋_GB2312"/>
          <w:color w:val="000000" w:themeColor="text1"/>
          <w:sz w:val="32"/>
          <w:szCs w:val="32"/>
        </w:rPr>
      </w:pPr>
      <w:r>
        <w:rPr>
          <w:rFonts w:eastAsia="楷体_GB2312"/>
          <w:b/>
          <w:color w:val="000000" w:themeColor="text1"/>
          <w:sz w:val="32"/>
          <w:szCs w:val="32"/>
        </w:rPr>
        <w:t>（三）项目组织实施情况</w:t>
      </w:r>
      <w:r>
        <w:rPr>
          <w:rFonts w:eastAsia="仿宋_GB2312"/>
          <w:b/>
          <w:color w:val="000000" w:themeColor="text1"/>
          <w:sz w:val="32"/>
          <w:szCs w:val="32"/>
        </w:rPr>
        <w:t>。</w:t>
      </w:r>
      <w:r>
        <w:rPr>
          <w:rFonts w:eastAsia="仿宋_GB2312"/>
          <w:color w:val="000000" w:themeColor="text1"/>
          <w:sz w:val="32"/>
          <w:szCs w:val="32"/>
        </w:rPr>
        <w:t>局党组高度重视，成立了局长杨倩任组长，各相关股室负责人为成员的领导小组，将责任落实到人头，制定了切实可行的工作实施方案，为专项资金的使用提供了坚强的组织保障。项目资金的使用严格按照程序化、制度化、公开化、透明化实施。</w:t>
      </w:r>
    </w:p>
    <w:p>
      <w:pPr>
        <w:topLinePunct/>
        <w:spacing w:line="576" w:lineRule="exact"/>
        <w:ind w:firstLine="640" w:firstLineChars="200"/>
        <w:rPr>
          <w:rFonts w:eastAsia="黑体"/>
          <w:b/>
          <w:color w:val="000000" w:themeColor="text1"/>
          <w:sz w:val="32"/>
          <w:szCs w:val="32"/>
        </w:rPr>
      </w:pPr>
      <w:r>
        <w:rPr>
          <w:rFonts w:eastAsia="黑体"/>
          <w:bCs/>
          <w:color w:val="000000" w:themeColor="text1"/>
          <w:sz w:val="32"/>
          <w:szCs w:val="32"/>
        </w:rPr>
        <w:t>三、项目绩效情况</w:t>
      </w:r>
    </w:p>
    <w:p>
      <w:pPr>
        <w:topLinePunct/>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2022年度</w:t>
      </w:r>
      <w:r>
        <w:rPr>
          <w:rFonts w:eastAsia="仿宋_GB2312"/>
          <w:color w:val="000000" w:themeColor="text1"/>
          <w:sz w:val="32"/>
        </w:rPr>
        <w:t>“昭化造”农特产品线上线下市场体系建设</w:t>
      </w:r>
      <w:r>
        <w:rPr>
          <w:rFonts w:eastAsia="仿宋_GB2312"/>
          <w:color w:val="000000" w:themeColor="text1"/>
          <w:sz w:val="32"/>
          <w:szCs w:val="32"/>
        </w:rPr>
        <w:t>工作等5个项目工作，我局做到了资金与项目方案相符，严格按照方案要求进行实施，加强了资金管理，做到了专款专用，确保了资金的安全，提高了资金使用效率。全年完成市场体系建设、招商引资、疫情防控、外贸进出口、消费促进等各项工作任务。</w:t>
      </w:r>
    </w:p>
    <w:p>
      <w:pPr>
        <w:topLinePunct/>
        <w:spacing w:line="576" w:lineRule="exact"/>
        <w:ind w:firstLine="640" w:firstLineChars="200"/>
        <w:rPr>
          <w:rFonts w:eastAsia="黑体"/>
          <w:bCs/>
          <w:color w:val="000000" w:themeColor="text1"/>
          <w:sz w:val="32"/>
          <w:szCs w:val="32"/>
        </w:rPr>
      </w:pPr>
      <w:r>
        <w:rPr>
          <w:rFonts w:eastAsia="黑体"/>
          <w:bCs/>
          <w:color w:val="000000" w:themeColor="text1"/>
          <w:sz w:val="32"/>
          <w:szCs w:val="32"/>
        </w:rPr>
        <w:t>四、评价结论及建议</w:t>
      </w:r>
    </w:p>
    <w:p>
      <w:pPr>
        <w:topLinePunct/>
        <w:spacing w:line="576" w:lineRule="exact"/>
        <w:ind w:firstLine="640" w:firstLineChars="200"/>
        <w:rPr>
          <w:rFonts w:eastAsia="楷体"/>
          <w:b/>
          <w:color w:val="000000" w:themeColor="text1"/>
          <w:sz w:val="32"/>
        </w:rPr>
      </w:pPr>
      <w:r>
        <w:rPr>
          <w:rFonts w:eastAsia="楷体"/>
          <w:b/>
          <w:color w:val="000000" w:themeColor="text1"/>
          <w:sz w:val="32"/>
        </w:rPr>
        <w:t>（一）评价结论</w:t>
      </w:r>
    </w:p>
    <w:p>
      <w:pPr>
        <w:topLinePunct/>
        <w:spacing w:line="576" w:lineRule="exact"/>
        <w:ind w:firstLine="640" w:firstLineChars="200"/>
        <w:rPr>
          <w:rFonts w:eastAsia="仿宋_GB2312"/>
          <w:color w:val="000000" w:themeColor="text1"/>
          <w:sz w:val="32"/>
        </w:rPr>
      </w:pPr>
      <w:r>
        <w:rPr>
          <w:rFonts w:eastAsia="仿宋_GB2312"/>
          <w:color w:val="000000" w:themeColor="text1"/>
          <w:sz w:val="32"/>
        </w:rPr>
        <w:t>区商务和经济合作局2022年开展“昭化造”农特产品线上线下市场体系建设等5个项目资金支出合规合法，较好的完成了年度目标绩效任务，对标项目支出绩效评价指标体系，我单位对5个项目进行总体自评，评价结果为：优，得分94.5分。</w:t>
      </w:r>
    </w:p>
    <w:p>
      <w:pPr>
        <w:topLinePunct/>
        <w:spacing w:line="576" w:lineRule="exact"/>
        <w:ind w:firstLine="640" w:firstLineChars="200"/>
        <w:rPr>
          <w:rFonts w:eastAsia="楷体"/>
          <w:b/>
          <w:color w:val="000000" w:themeColor="text1"/>
          <w:sz w:val="32"/>
        </w:rPr>
      </w:pPr>
      <w:r>
        <w:rPr>
          <w:rFonts w:eastAsia="楷体"/>
          <w:b/>
          <w:color w:val="000000" w:themeColor="text1"/>
          <w:sz w:val="32"/>
        </w:rPr>
        <w:t>（二）存在的问题</w:t>
      </w:r>
    </w:p>
    <w:p>
      <w:pPr>
        <w:topLinePunct/>
        <w:spacing w:line="576" w:lineRule="exact"/>
        <w:ind w:firstLine="640" w:firstLineChars="200"/>
        <w:rPr>
          <w:rFonts w:eastAsia="仿宋_GB2312"/>
          <w:color w:val="000000" w:themeColor="text1"/>
          <w:sz w:val="32"/>
        </w:rPr>
      </w:pPr>
      <w:r>
        <w:rPr>
          <w:rFonts w:eastAsia="仿宋_GB2312"/>
          <w:color w:val="000000" w:themeColor="text1"/>
          <w:sz w:val="32"/>
        </w:rPr>
        <w:t>无。</w:t>
      </w:r>
    </w:p>
    <w:p>
      <w:pPr>
        <w:topLinePunct/>
        <w:spacing w:line="576" w:lineRule="exact"/>
        <w:ind w:firstLine="640" w:firstLineChars="200"/>
        <w:rPr>
          <w:rFonts w:eastAsia="楷体"/>
          <w:b/>
          <w:color w:val="000000" w:themeColor="text1"/>
          <w:sz w:val="32"/>
        </w:rPr>
      </w:pPr>
      <w:r>
        <w:rPr>
          <w:rFonts w:eastAsia="楷体"/>
          <w:b/>
          <w:color w:val="000000" w:themeColor="text1"/>
          <w:sz w:val="32"/>
        </w:rPr>
        <w:t>（三）相关建议</w:t>
      </w:r>
    </w:p>
    <w:p>
      <w:pPr>
        <w:topLinePunct/>
        <w:spacing w:line="576" w:lineRule="exact"/>
        <w:ind w:firstLine="640" w:firstLineChars="200"/>
        <w:rPr>
          <w:rFonts w:eastAsia="仿宋_GB2312"/>
          <w:color w:val="000000" w:themeColor="text1"/>
          <w:sz w:val="32"/>
        </w:rPr>
      </w:pPr>
      <w:r>
        <w:rPr>
          <w:rFonts w:eastAsia="仿宋_GB2312"/>
          <w:color w:val="000000" w:themeColor="text1"/>
          <w:sz w:val="32"/>
        </w:rPr>
        <w:t>无。</w:t>
      </w:r>
    </w:p>
    <w:p>
      <w:pPr>
        <w:widowControl/>
        <w:jc w:val="left"/>
        <w:rPr>
          <w:rFonts w:eastAsia="仿宋_GB2312"/>
          <w:color w:val="000000" w:themeColor="text1"/>
          <w:kern w:val="0"/>
          <w:sz w:val="30"/>
        </w:rPr>
      </w:pPr>
      <w:r>
        <w:rPr>
          <w:color w:val="000000" w:themeColor="text1"/>
        </w:rPr>
        <w:br w:type="page"/>
      </w:r>
    </w:p>
    <w:p>
      <w:pPr>
        <w:spacing w:afterLines="50" w:line="400" w:lineRule="exact"/>
        <w:jc w:val="center"/>
        <w:rPr>
          <w:rFonts w:eastAsia="方正小标宋简体"/>
          <w:color w:val="000000" w:themeColor="text1"/>
          <w:sz w:val="40"/>
          <w:szCs w:val="40"/>
        </w:rPr>
      </w:pPr>
      <w:bookmarkStart w:id="70" w:name="_Toc15396618"/>
      <w:r>
        <w:rPr>
          <w:rFonts w:hAnsi="方正小标宋简体" w:eastAsia="方正小标宋简体"/>
          <w:color w:val="000000" w:themeColor="text1"/>
          <w:sz w:val="40"/>
          <w:szCs w:val="40"/>
        </w:rPr>
        <w:t>广元市昭化区财政项目支出绩效自评表</w:t>
      </w:r>
    </w:p>
    <w:tbl>
      <w:tblPr>
        <w:tblStyle w:val="34"/>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757"/>
        <w:gridCol w:w="1005"/>
        <w:gridCol w:w="1005"/>
        <w:gridCol w:w="1144"/>
        <w:gridCol w:w="1239"/>
        <w:gridCol w:w="129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项目支出名称</w:t>
            </w:r>
          </w:p>
        </w:tc>
        <w:tc>
          <w:tcPr>
            <w:tcW w:w="7462"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color w:val="000000" w:themeColor="text1"/>
                <w:szCs w:val="21"/>
              </w:rPr>
              <w:t>“昭化造”农特产品线上线下市场体系建设项目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主管部门</w:t>
            </w:r>
          </w:p>
        </w:tc>
        <w:tc>
          <w:tcPr>
            <w:tcW w:w="4393" w:type="dxa"/>
            <w:gridSpan w:val="4"/>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广元市昭化区商务和经济合作局部门</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3"/>
                <w:szCs w:val="21"/>
              </w:rPr>
              <w:t>实施单位</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昭化区商务和经济合作局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457" w:type="dxa"/>
            <w:gridSpan w:val="2"/>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项目支出资金(万元)</w:t>
            </w: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年初预算数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全年预算数</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全年执行数</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年度资金总额</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(一)财政拨款小计</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1.一般公共预算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140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2.政府性基金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3.国有资本经营预算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4.社保基金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(二)其他资金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年度总体目标</w:t>
            </w: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预期目标</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6445" w:type="dxa"/>
            <w:gridSpan w:val="6"/>
            <w:vAlign w:val="center"/>
          </w:tcPr>
          <w:p>
            <w:pPr>
              <w:widowControl/>
              <w:kinsoku w:val="0"/>
              <w:autoSpaceDE w:val="0"/>
              <w:autoSpaceDN w:val="0"/>
              <w:adjustRightInd w:val="0"/>
              <w:snapToGrid w:val="0"/>
              <w:spacing w:line="240" w:lineRule="exac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线上推介:在主流电商平台开设“昭化造”农特产品专营店2家。2、线下推介：在浙江、广元两地建设“昭化造”农特产品专馆4家。3、支持经营主体推广销售“昭化造”农特产品。4、组织区内企业参加各类展会，策划、对接、组织“昭化造”产品及企业在浙江地区开展特色优质农特产品品鉴会、推介会。</w:t>
            </w:r>
          </w:p>
        </w:tc>
        <w:tc>
          <w:tcPr>
            <w:tcW w:w="1774" w:type="dxa"/>
            <w:vAlign w:val="center"/>
          </w:tcPr>
          <w:p>
            <w:pPr>
              <w:widowControl/>
              <w:kinsoku w:val="0"/>
              <w:autoSpaceDE w:val="0"/>
              <w:autoSpaceDN w:val="0"/>
              <w:adjustRightInd w:val="0"/>
              <w:snapToGrid w:val="0"/>
              <w:spacing w:line="240" w:lineRule="exac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1、建设“昭化造”农特产品线下专馆4家，线上专营店2家。2、组织企业参加“昭化造”农特产品推介会3次。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绩效指标</w:t>
            </w: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一级指标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二级指标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三级指标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年度指标值</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实际完成值</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偏差原因分析及 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产出指标</w:t>
            </w:r>
          </w:p>
        </w:tc>
        <w:tc>
          <w:tcPr>
            <w:tcW w:w="1005"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数量指标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指标1：组织区内企业参加各类展会</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≥2次</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3次</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color w:val="000000" w:themeColor="text1"/>
                <w:szCs w:val="21"/>
              </w:rPr>
            </w:pPr>
            <w:r>
              <w:rPr>
                <w:rFonts w:asciiTheme="majorEastAsia" w:hAnsiTheme="majorEastAsia" w:eastAsiaTheme="majorEastAsia"/>
                <w:bCs/>
                <w:color w:val="000000" w:themeColor="text1"/>
                <w:spacing w:val="-2"/>
                <w:szCs w:val="21"/>
              </w:rPr>
              <w:t>指标2：建设线下农特产品专馆</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=4家</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4家</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指标3：建设线上农特产品专营店</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=2家</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2家</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质量指标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产品曝光率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时效指标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任务完成时间</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=1年</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1年</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成本指标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完成目标任务所需费用</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=140万元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140万元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效益指标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经济效益 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促进地方经济发展</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好坏</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满意度 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服务对象满 意度指标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企业、群众满意度</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bl>
    <w:p>
      <w:pPr>
        <w:spacing w:line="240" w:lineRule="exact"/>
        <w:rPr>
          <w:rFonts w:asciiTheme="majorEastAsia" w:hAnsiTheme="majorEastAsia" w:eastAsiaTheme="majorEastAsia"/>
          <w:color w:val="000000" w:themeColor="text1"/>
          <w:szCs w:val="21"/>
        </w:rPr>
      </w:pPr>
    </w:p>
    <w:p>
      <w:pPr>
        <w:spacing w:afterLines="50" w:line="400" w:lineRule="exact"/>
        <w:jc w:val="center"/>
        <w:rPr>
          <w:rFonts w:hAnsi="方正小标宋简体" w:eastAsia="方正小标宋简体"/>
          <w:color w:val="000000" w:themeColor="text1"/>
          <w:sz w:val="40"/>
          <w:szCs w:val="40"/>
        </w:rPr>
      </w:pPr>
      <w:r>
        <w:rPr>
          <w:rFonts w:hAnsi="方正小标宋简体" w:eastAsia="方正小标宋简体"/>
          <w:color w:val="000000" w:themeColor="text1"/>
          <w:sz w:val="40"/>
          <w:szCs w:val="40"/>
        </w:rPr>
        <w:t>广元市昭化区财政项目支出绩效自评表</w:t>
      </w:r>
    </w:p>
    <w:tbl>
      <w:tblPr>
        <w:tblStyle w:val="34"/>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757"/>
        <w:gridCol w:w="1005"/>
        <w:gridCol w:w="1005"/>
        <w:gridCol w:w="1144"/>
        <w:gridCol w:w="1239"/>
        <w:gridCol w:w="129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项目支出名称</w:t>
            </w:r>
          </w:p>
        </w:tc>
        <w:tc>
          <w:tcPr>
            <w:tcW w:w="7462"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委托招商基本服务费用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主管部门</w:t>
            </w:r>
          </w:p>
        </w:tc>
        <w:tc>
          <w:tcPr>
            <w:tcW w:w="4393" w:type="dxa"/>
            <w:gridSpan w:val="4"/>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广元市昭化区商务和经济合作局部门</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3"/>
                <w:szCs w:val="21"/>
              </w:rPr>
              <w:t>实施单位</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昭化区商务和经济合作局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457" w:type="dxa"/>
            <w:gridSpan w:val="2"/>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项目支出资金</w:t>
            </w:r>
          </w:p>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(万元)</w:t>
            </w: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年初预算数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全年预算数</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全年执行数</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年度资金总额</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(一)财政拨款小计</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1.一般公共预算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298</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2.政府性基金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3.国有资本经营预算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4.社保基金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(二)其他资金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年度总体目标</w:t>
            </w: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预期目标</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6445" w:type="dxa"/>
            <w:gridSpan w:val="6"/>
            <w:vAlign w:val="center"/>
          </w:tcPr>
          <w:p>
            <w:pPr>
              <w:widowControl/>
              <w:kinsoku w:val="0"/>
              <w:autoSpaceDE w:val="0"/>
              <w:autoSpaceDN w:val="0"/>
              <w:adjustRightInd w:val="0"/>
              <w:snapToGrid w:val="0"/>
              <w:spacing w:line="240" w:lineRule="exac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区委八届二次全会暨区委经济工作会议将2022年定位招商引资攻坚年，为进一步充实我区招商工作力量，全面提升招商引资工作针对性和实效性，加快推动家居建材、食品饮料等产业快速发展，全面服务“四城新区”建设，招商引资攻坚年半年推进会要求创新招商引资模式，改变传统招商机制，提升市场化招商比例，全面提升招商引资工作质效，稳步推进委托招商机制。区人民政府与上海东方龙商务科技集团有限公司就委托招商引资事宜达成合作协议，合作期限12个月，委托招商引资基本服务费为298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全年完成年初下达招商目标任务。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绩效指标</w:t>
            </w: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一级指标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二级指标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三级指标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年度指标值</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实际完成值</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偏差原因分析及 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产出指标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数量指标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引进落地项目投资总额</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≥10亿元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34.8亿元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质量指标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任务完成及时率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时效指标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任务完成时间</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=1年</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1年</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成本指标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委托招商引资基本服务费</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=298万元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298万元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效益指标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经济效益 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促进地方经济发展</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好坏</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满意度 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服务对象满 意度指标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投资企业满意度</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bl>
    <w:p>
      <w:pPr>
        <w:spacing w:line="240" w:lineRule="exact"/>
        <w:jc w:val="center"/>
        <w:rPr>
          <w:rFonts w:asciiTheme="majorEastAsia" w:hAnsiTheme="majorEastAsia" w:eastAsiaTheme="majorEastAsia"/>
          <w:color w:val="000000" w:themeColor="text1"/>
          <w:szCs w:val="21"/>
        </w:rPr>
      </w:pPr>
    </w:p>
    <w:p>
      <w:pPr>
        <w:pStyle w:val="2"/>
        <w:spacing w:beforeLines="0" w:line="240" w:lineRule="exact"/>
        <w:rPr>
          <w:rFonts w:asciiTheme="majorEastAsia" w:hAnsiTheme="majorEastAsia" w:eastAsiaTheme="majorEastAsia"/>
          <w:color w:val="000000" w:themeColor="text1"/>
          <w:sz w:val="21"/>
          <w:szCs w:val="21"/>
        </w:rPr>
      </w:pPr>
      <w:r>
        <w:rPr>
          <w:rFonts w:asciiTheme="majorEastAsia" w:hAnsiTheme="majorEastAsia" w:eastAsiaTheme="majorEastAsia"/>
          <w:color w:val="000000" w:themeColor="text1"/>
          <w:sz w:val="21"/>
          <w:szCs w:val="21"/>
        </w:rPr>
        <w:br w:type="page"/>
      </w:r>
    </w:p>
    <w:p>
      <w:pPr>
        <w:spacing w:afterLines="50" w:line="400" w:lineRule="exact"/>
        <w:jc w:val="center"/>
        <w:rPr>
          <w:rFonts w:hAnsi="方正小标宋简体" w:eastAsia="方正小标宋简体"/>
          <w:color w:val="000000" w:themeColor="text1"/>
          <w:sz w:val="40"/>
          <w:szCs w:val="40"/>
        </w:rPr>
      </w:pPr>
      <w:r>
        <w:rPr>
          <w:rFonts w:hAnsi="方正小标宋简体" w:eastAsia="方正小标宋简体"/>
          <w:color w:val="000000" w:themeColor="text1"/>
          <w:sz w:val="40"/>
          <w:szCs w:val="40"/>
        </w:rPr>
        <w:t>广元市昭化区财政项目支出绩效自评表</w:t>
      </w:r>
    </w:p>
    <w:tbl>
      <w:tblPr>
        <w:tblStyle w:val="34"/>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757"/>
        <w:gridCol w:w="1005"/>
        <w:gridCol w:w="1005"/>
        <w:gridCol w:w="1144"/>
        <w:gridCol w:w="1239"/>
        <w:gridCol w:w="129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项目支出名称</w:t>
            </w:r>
          </w:p>
        </w:tc>
        <w:tc>
          <w:tcPr>
            <w:tcW w:w="7462"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促进消费恢复发展资金（区本级）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主管部门</w:t>
            </w:r>
          </w:p>
        </w:tc>
        <w:tc>
          <w:tcPr>
            <w:tcW w:w="4393" w:type="dxa"/>
            <w:gridSpan w:val="4"/>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广元市昭化区商务和经济合作局部门</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3"/>
                <w:szCs w:val="21"/>
              </w:rPr>
              <w:t>实施单位</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昭化区商务和经济合作局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457" w:type="dxa"/>
            <w:gridSpan w:val="2"/>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项目支出资金 (万元)</w:t>
            </w: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年初预算数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全年预算数</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全年执行数</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年度资金总额</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(一)财政拨款小计</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1.一般公共预算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87</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2.政府性基金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3.国有资本经营预算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4.社保基金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(二)其他资金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年度总体目标</w:t>
            </w: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预期目标</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落实好市商务局和市财政局联合印发《广元市促进消费恢复发展政策实施细则》文件精神，更好发挥消费对经济循环的牵引带动作用，促进消费，进一步增强消费对经济增长拉动作用，推动全区经济健康发展。</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活动开展后，拉动消费5000余万元。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绩效指标</w:t>
            </w: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一级指标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二级指标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三级指标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年度指标值</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实际完成值</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偏差原因分析及 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产出指标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数量指标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发放消费券数量</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≥9000份</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9921份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质量指标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消费券核销及时率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时效指标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活动开展时间</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=1.5月</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1.5月</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成本指标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区本级补助资金</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=87万元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87万元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效益指标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经济效益 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促进消费，拉动经济增长</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好坏</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满意度 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服务对象满 意度指标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消费者满意度</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bl>
    <w:p>
      <w:pPr>
        <w:spacing w:line="240" w:lineRule="exact"/>
        <w:rPr>
          <w:rFonts w:asciiTheme="majorEastAsia" w:hAnsiTheme="majorEastAsia" w:eastAsiaTheme="majorEastAsia"/>
          <w:color w:val="000000" w:themeColor="text1"/>
          <w:szCs w:val="21"/>
        </w:rPr>
      </w:pPr>
    </w:p>
    <w:p>
      <w:pPr>
        <w:widowControl/>
        <w:spacing w:line="240" w:lineRule="exact"/>
        <w:jc w:val="left"/>
        <w:rPr>
          <w:rFonts w:asciiTheme="majorEastAsia" w:hAnsiTheme="majorEastAsia" w:eastAsiaTheme="majorEastAsia"/>
          <w:color w:val="000000" w:themeColor="text1"/>
          <w:szCs w:val="21"/>
        </w:rPr>
      </w:pPr>
      <w:r>
        <w:rPr>
          <w:rFonts w:asciiTheme="majorEastAsia" w:hAnsiTheme="majorEastAsia" w:eastAsiaTheme="majorEastAsia"/>
          <w:color w:val="000000" w:themeColor="text1"/>
          <w:szCs w:val="21"/>
        </w:rPr>
        <w:br w:type="page"/>
      </w:r>
    </w:p>
    <w:p>
      <w:pPr>
        <w:spacing w:afterLines="50" w:line="400" w:lineRule="exact"/>
        <w:jc w:val="center"/>
        <w:rPr>
          <w:rFonts w:hAnsi="方正小标宋简体" w:eastAsia="方正小标宋简体"/>
          <w:color w:val="000000" w:themeColor="text1"/>
          <w:sz w:val="40"/>
          <w:szCs w:val="40"/>
        </w:rPr>
      </w:pPr>
      <w:r>
        <w:rPr>
          <w:rFonts w:hAnsi="方正小标宋简体" w:eastAsia="方正小标宋简体"/>
          <w:color w:val="000000" w:themeColor="text1"/>
          <w:sz w:val="40"/>
          <w:szCs w:val="40"/>
        </w:rPr>
        <w:t>广元市昭化区财政项目支出绩效自评表</w:t>
      </w:r>
    </w:p>
    <w:tbl>
      <w:tblPr>
        <w:tblStyle w:val="34"/>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757"/>
        <w:gridCol w:w="1005"/>
        <w:gridCol w:w="1005"/>
        <w:gridCol w:w="1144"/>
        <w:gridCol w:w="1239"/>
        <w:gridCol w:w="129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项目支出名称</w:t>
            </w:r>
          </w:p>
        </w:tc>
        <w:tc>
          <w:tcPr>
            <w:tcW w:w="7462"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疫情防控应急保障资金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主管部门</w:t>
            </w:r>
          </w:p>
        </w:tc>
        <w:tc>
          <w:tcPr>
            <w:tcW w:w="4393" w:type="dxa"/>
            <w:gridSpan w:val="4"/>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广元市昭化区商务和经济合作局部门</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3"/>
                <w:szCs w:val="21"/>
              </w:rPr>
              <w:t>实施单位</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昭化区商务和经济合作局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457" w:type="dxa"/>
            <w:gridSpan w:val="2"/>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项目支出资金 (万元)</w:t>
            </w: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年初预算数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全年预算数</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全年执行数</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年度资金总额</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(一)财政拨款小计</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1.一般公共预算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68.5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2.政府性基金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3.国有资本经营预算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4.社保基金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(二)其他资金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年度总体目标</w:t>
            </w: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预期目标</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为加强风险地区来返昭管理，落实“外防输入”策略，提升风险地区流入人员的跟踪力度，有效防止输入性疫情传播，设立集中医学留观酒店有力提升我区应对新冠疫情应急处置能力。</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启用开元酒店和锦天商务酒店两处医学留观酒店，确保我区人民人</w:t>
            </w:r>
            <w:r>
              <w:rPr>
                <w:rFonts w:hint="eastAsia" w:asciiTheme="majorEastAsia" w:hAnsiTheme="majorEastAsia" w:eastAsiaTheme="majorEastAsia"/>
                <w:bCs/>
                <w:color w:val="000000" w:themeColor="text1"/>
                <w:spacing w:val="-2"/>
                <w:szCs w:val="21"/>
                <w:lang w:val="en-US" w:eastAsia="zh-CN"/>
              </w:rPr>
              <w:t>身</w:t>
            </w:r>
            <w:r>
              <w:rPr>
                <w:rFonts w:asciiTheme="majorEastAsia" w:hAnsiTheme="majorEastAsia" w:eastAsiaTheme="majorEastAsia"/>
                <w:bCs/>
                <w:color w:val="000000" w:themeColor="text1"/>
                <w:spacing w:val="-2"/>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绩效指标</w:t>
            </w: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一级指标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二级指标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三级指标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年度指标值</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实际完成值</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偏差原因分析及 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产出指标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数量指标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医学留观酒店保障月数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=12月</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12月</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质量指标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保障留观酒店正常运行率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时效指标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运行经费支付及时率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成本指标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运行经费</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=68.5万元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67.4万元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效益指标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社会</w:t>
            </w:r>
            <w:bookmarkStart w:id="98" w:name="_GoBack"/>
            <w:bookmarkEnd w:id="98"/>
            <w:r>
              <w:rPr>
                <w:rFonts w:asciiTheme="majorEastAsia" w:hAnsiTheme="majorEastAsia" w:eastAsiaTheme="majorEastAsia"/>
                <w:bCs/>
                <w:color w:val="000000" w:themeColor="text1"/>
                <w:spacing w:val="-2"/>
                <w:szCs w:val="21"/>
              </w:rPr>
              <w:t>效益 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提升我区应对新冠疫情应急处置能力</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好坏</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满意度 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服务对象满 意度指标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群众满意度</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bl>
    <w:p>
      <w:pPr>
        <w:spacing w:line="240" w:lineRule="exact"/>
        <w:rPr>
          <w:rFonts w:asciiTheme="majorEastAsia" w:hAnsiTheme="majorEastAsia" w:eastAsiaTheme="majorEastAsia"/>
          <w:color w:val="000000" w:themeColor="text1"/>
          <w:szCs w:val="21"/>
        </w:rPr>
      </w:pPr>
    </w:p>
    <w:p>
      <w:pPr>
        <w:spacing w:line="240" w:lineRule="exact"/>
        <w:rPr>
          <w:rFonts w:asciiTheme="majorEastAsia" w:hAnsiTheme="majorEastAsia" w:eastAsiaTheme="majorEastAsia"/>
          <w:color w:val="000000" w:themeColor="text1"/>
          <w:szCs w:val="21"/>
        </w:rPr>
      </w:pPr>
    </w:p>
    <w:p>
      <w:pPr>
        <w:widowControl/>
        <w:spacing w:line="240" w:lineRule="exact"/>
        <w:jc w:val="left"/>
        <w:rPr>
          <w:rFonts w:asciiTheme="majorEastAsia" w:hAnsiTheme="majorEastAsia" w:eastAsiaTheme="majorEastAsia"/>
          <w:color w:val="000000" w:themeColor="text1"/>
          <w:szCs w:val="21"/>
        </w:rPr>
      </w:pPr>
      <w:r>
        <w:rPr>
          <w:rFonts w:asciiTheme="majorEastAsia" w:hAnsiTheme="majorEastAsia" w:eastAsiaTheme="majorEastAsia"/>
          <w:color w:val="000000" w:themeColor="text1"/>
          <w:szCs w:val="21"/>
        </w:rPr>
        <w:br w:type="page"/>
      </w:r>
    </w:p>
    <w:p>
      <w:pPr>
        <w:spacing w:afterLines="50" w:line="400" w:lineRule="exact"/>
        <w:jc w:val="center"/>
        <w:rPr>
          <w:rFonts w:hAnsi="方正小标宋简体" w:eastAsia="方正小标宋简体"/>
          <w:color w:val="000000" w:themeColor="text1"/>
          <w:sz w:val="40"/>
          <w:szCs w:val="40"/>
        </w:rPr>
      </w:pPr>
      <w:r>
        <w:rPr>
          <w:rFonts w:hAnsi="方正小标宋简体" w:eastAsia="方正小标宋简体"/>
          <w:color w:val="000000" w:themeColor="text1"/>
          <w:sz w:val="40"/>
          <w:szCs w:val="40"/>
        </w:rPr>
        <w:t>广元市昭化区财政项目支出绩效自评表</w:t>
      </w:r>
    </w:p>
    <w:tbl>
      <w:tblPr>
        <w:tblStyle w:val="34"/>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757"/>
        <w:gridCol w:w="1005"/>
        <w:gridCol w:w="1005"/>
        <w:gridCol w:w="1144"/>
        <w:gridCol w:w="1239"/>
        <w:gridCol w:w="129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项目支出名称</w:t>
            </w:r>
          </w:p>
        </w:tc>
        <w:tc>
          <w:tcPr>
            <w:tcW w:w="7462"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2022年外经贸发展专项资金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主管部门</w:t>
            </w:r>
          </w:p>
        </w:tc>
        <w:tc>
          <w:tcPr>
            <w:tcW w:w="4393" w:type="dxa"/>
            <w:gridSpan w:val="4"/>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广元市昭化区商务和经济合作局部门</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3"/>
                <w:szCs w:val="21"/>
              </w:rPr>
              <w:t>实施单位</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zCs w:val="21"/>
              </w:rPr>
              <w:t>昭化区商务和经济合作局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项目支出资金 (万元)</w:t>
            </w: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年初预算数</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全年预算数</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全年执行数</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年度资金总额</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(一)财政拨款小计</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1.一般公共预算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70.5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zCs w:val="21"/>
              </w:rPr>
            </w:pPr>
            <w:r>
              <w:rPr>
                <w:rFonts w:asciiTheme="majorEastAsia" w:hAnsiTheme="majorEastAsia" w:eastAsiaTheme="majorEastAsia"/>
                <w:bCs/>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2.政府性基金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3.国有资本经营预算</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4.社保基金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7" w:type="dxa"/>
            <w:gridSpan w:val="2"/>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010"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(二)其他资金</w:t>
            </w:r>
          </w:p>
        </w:tc>
        <w:tc>
          <w:tcPr>
            <w:tcW w:w="114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年度总体目标</w:t>
            </w: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预期目标</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6445" w:type="dxa"/>
            <w:gridSpan w:val="6"/>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支持中小企业开拓市场，引导进出口协同发展。</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新增出口企业2家（俊业、信德农牧），外贸进出口额实现1.97亿元，超市下目标任务1亿元的97%。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绩效指标</w:t>
            </w: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一级指标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二级指标</w:t>
            </w:r>
          </w:p>
        </w:tc>
        <w:tc>
          <w:tcPr>
            <w:tcW w:w="2149" w:type="dxa"/>
            <w:gridSpan w:val="2"/>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三级指标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年度指标值</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实际完成值</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偏差原因分析及 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产出指标</w:t>
            </w:r>
          </w:p>
        </w:tc>
        <w:tc>
          <w:tcPr>
            <w:tcW w:w="1005" w:type="dxa"/>
            <w:vMerge w:val="restart"/>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数量指标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指标1：支持中小企业开拓国内国际市场</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≥1家</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2家</w:t>
            </w:r>
          </w:p>
        </w:tc>
        <w:tc>
          <w:tcPr>
            <w:tcW w:w="1774" w:type="dxa"/>
            <w:vAlign w:val="center"/>
          </w:tcPr>
          <w:p>
            <w:pPr>
              <w:widowControl/>
              <w:kinsoku w:val="0"/>
              <w:autoSpaceDE w:val="0"/>
              <w:autoSpaceDN w:val="0"/>
              <w:adjustRightInd w:val="0"/>
              <w:snapToGrid w:val="0"/>
              <w:spacing w:line="240" w:lineRule="exact"/>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指标2：外贸进出口总额</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≥1亿元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1.97亿元</w:t>
            </w:r>
          </w:p>
        </w:tc>
        <w:tc>
          <w:tcPr>
            <w:tcW w:w="1774" w:type="dxa"/>
            <w:vAlign w:val="center"/>
          </w:tcPr>
          <w:p>
            <w:pPr>
              <w:widowControl/>
              <w:kinsoku w:val="0"/>
              <w:autoSpaceDE w:val="0"/>
              <w:autoSpaceDN w:val="0"/>
              <w:adjustRightInd w:val="0"/>
              <w:snapToGrid w:val="0"/>
              <w:spacing w:line="240" w:lineRule="exact"/>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质量指标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目标任务完成率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时效指标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补助资金支付及时率</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100%</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1005" w:type="dxa"/>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成本指标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补助资金</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=70.5万元</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70.5万元</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效益指标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社会效益 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提升我区应对新冠疫情应急处置能力</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好坏</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好</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00" w:type="dxa"/>
            <w:vMerge w:val="continue"/>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c>
          <w:tcPr>
            <w:tcW w:w="757"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满意度 指标</w:t>
            </w:r>
          </w:p>
        </w:tc>
        <w:tc>
          <w:tcPr>
            <w:tcW w:w="100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服务对象满 意度指标</w:t>
            </w:r>
          </w:p>
        </w:tc>
        <w:tc>
          <w:tcPr>
            <w:tcW w:w="2149" w:type="dxa"/>
            <w:gridSpan w:val="2"/>
            <w:vAlign w:val="center"/>
          </w:tcPr>
          <w:p>
            <w:pPr>
              <w:widowControl/>
              <w:kinsoku w:val="0"/>
              <w:autoSpaceDE w:val="0"/>
              <w:autoSpaceDN w:val="0"/>
              <w:adjustRightInd w:val="0"/>
              <w:snapToGrid w:val="0"/>
              <w:spacing w:line="240" w:lineRule="exact"/>
              <w:jc w:val="left"/>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群众满意度</w:t>
            </w:r>
          </w:p>
        </w:tc>
        <w:tc>
          <w:tcPr>
            <w:tcW w:w="1239"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≥85%</w:t>
            </w:r>
          </w:p>
        </w:tc>
        <w:tc>
          <w:tcPr>
            <w:tcW w:w="1295"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r>
              <w:rPr>
                <w:rFonts w:asciiTheme="majorEastAsia" w:hAnsiTheme="majorEastAsia" w:eastAsiaTheme="majorEastAsia"/>
                <w:bCs/>
                <w:color w:val="000000" w:themeColor="text1"/>
                <w:spacing w:val="-2"/>
                <w:szCs w:val="21"/>
              </w:rPr>
              <w:t>95%</w:t>
            </w:r>
          </w:p>
        </w:tc>
        <w:tc>
          <w:tcPr>
            <w:tcW w:w="1774" w:type="dxa"/>
            <w:vAlign w:val="center"/>
          </w:tcPr>
          <w:p>
            <w:pPr>
              <w:widowControl/>
              <w:kinsoku w:val="0"/>
              <w:autoSpaceDE w:val="0"/>
              <w:autoSpaceDN w:val="0"/>
              <w:adjustRightInd w:val="0"/>
              <w:snapToGrid w:val="0"/>
              <w:spacing w:line="240" w:lineRule="exact"/>
              <w:jc w:val="center"/>
              <w:textAlignment w:val="baseline"/>
              <w:rPr>
                <w:rFonts w:asciiTheme="majorEastAsia" w:hAnsiTheme="majorEastAsia" w:eastAsiaTheme="majorEastAsia"/>
                <w:bCs/>
                <w:color w:val="000000" w:themeColor="text1"/>
                <w:spacing w:val="-2"/>
                <w:szCs w:val="21"/>
              </w:rPr>
            </w:pPr>
          </w:p>
        </w:tc>
      </w:tr>
    </w:tbl>
    <w:p>
      <w:pPr>
        <w:spacing w:line="576" w:lineRule="exact"/>
        <w:jc w:val="center"/>
        <w:outlineLvl w:val="0"/>
        <w:rPr>
          <w:rFonts w:eastAsia="黑体"/>
          <w:color w:val="000000" w:themeColor="text1"/>
          <w:sz w:val="44"/>
          <w:szCs w:val="44"/>
        </w:rPr>
      </w:pPr>
      <w:bookmarkStart w:id="71" w:name="_Toc146632969"/>
    </w:p>
    <w:p>
      <w:pPr>
        <w:spacing w:line="576" w:lineRule="exact"/>
        <w:jc w:val="center"/>
        <w:outlineLvl w:val="0"/>
        <w:rPr>
          <w:rStyle w:val="28"/>
          <w:rFonts w:eastAsia="黑体"/>
          <w:b w:val="0"/>
          <w:color w:val="000000" w:themeColor="text1"/>
        </w:rPr>
      </w:pPr>
      <w:r>
        <w:rPr>
          <w:rFonts w:eastAsia="黑体"/>
          <w:color w:val="000000" w:themeColor="text1"/>
          <w:sz w:val="44"/>
          <w:szCs w:val="44"/>
        </w:rPr>
        <w:t>第</w:t>
      </w:r>
      <w:r>
        <w:rPr>
          <w:rStyle w:val="28"/>
          <w:rFonts w:eastAsia="黑体"/>
          <w:b w:val="0"/>
          <w:color w:val="000000" w:themeColor="text1"/>
        </w:rPr>
        <w:t>五部分 附表</w:t>
      </w:r>
      <w:bookmarkEnd w:id="67"/>
      <w:bookmarkEnd w:id="70"/>
      <w:bookmarkEnd w:id="71"/>
      <w:bookmarkStart w:id="72" w:name="_Toc15396619"/>
    </w:p>
    <w:p>
      <w:pPr>
        <w:pStyle w:val="2"/>
        <w:spacing w:before="93"/>
        <w:rPr>
          <w:rFonts w:ascii="Times New Roman"/>
          <w:color w:val="000000" w:themeColor="text1"/>
        </w:rPr>
      </w:pPr>
    </w:p>
    <w:bookmarkEnd w:id="72"/>
    <w:p>
      <w:pPr>
        <w:pStyle w:val="4"/>
        <w:spacing w:before="0" w:after="0" w:line="576" w:lineRule="exact"/>
        <w:ind w:firstLine="640" w:firstLineChars="200"/>
        <w:rPr>
          <w:rFonts w:ascii="Times New Roman" w:hAnsi="Times New Roman" w:eastAsia="仿宋_GB2312" w:cs="Times New Roman"/>
          <w:color w:val="000000" w:themeColor="text1"/>
        </w:rPr>
      </w:pPr>
      <w:bookmarkStart w:id="73" w:name="_Toc146632970"/>
      <w:r>
        <w:rPr>
          <w:rFonts w:ascii="Times New Roman" w:hAnsi="Times New Roman" w:eastAsia="仿宋_GB2312" w:cs="Times New Roman"/>
          <w:b w:val="0"/>
          <w:color w:val="000000" w:themeColor="text1"/>
        </w:rPr>
        <w:t>一、收</w:t>
      </w:r>
      <w:r>
        <w:rPr>
          <w:rStyle w:val="29"/>
          <w:rFonts w:ascii="Times New Roman" w:hAnsi="Times New Roman" w:eastAsia="仿宋_GB2312" w:cs="Times New Roman"/>
          <w:b w:val="0"/>
          <w:bCs w:val="0"/>
          <w:color w:val="000000" w:themeColor="text1"/>
        </w:rPr>
        <w:t>入支出决算总表</w:t>
      </w:r>
      <w:bookmarkEnd w:id="73"/>
    </w:p>
    <w:p>
      <w:pPr>
        <w:pStyle w:val="4"/>
        <w:spacing w:before="0" w:after="0" w:line="576" w:lineRule="exact"/>
        <w:ind w:firstLine="640" w:firstLineChars="200"/>
        <w:rPr>
          <w:rFonts w:ascii="Times New Roman" w:hAnsi="Times New Roman" w:eastAsia="仿宋_GB2312" w:cs="Times New Roman"/>
          <w:color w:val="000000" w:themeColor="text1"/>
        </w:rPr>
      </w:pPr>
      <w:bookmarkStart w:id="74" w:name="_Toc146632971"/>
      <w:bookmarkStart w:id="75" w:name="_Toc15396620"/>
      <w:r>
        <w:rPr>
          <w:rFonts w:ascii="Times New Roman" w:hAnsi="Times New Roman" w:eastAsia="仿宋_GB2312" w:cs="Times New Roman"/>
          <w:b w:val="0"/>
          <w:color w:val="000000" w:themeColor="text1"/>
        </w:rPr>
        <w:t>二、收</w:t>
      </w:r>
      <w:r>
        <w:rPr>
          <w:rStyle w:val="29"/>
          <w:rFonts w:ascii="Times New Roman" w:hAnsi="Times New Roman" w:eastAsia="仿宋_GB2312" w:cs="Times New Roman"/>
          <w:b w:val="0"/>
          <w:bCs w:val="0"/>
          <w:color w:val="000000" w:themeColor="text1"/>
        </w:rPr>
        <w:t>入决算表</w:t>
      </w:r>
      <w:bookmarkEnd w:id="74"/>
      <w:bookmarkEnd w:id="75"/>
    </w:p>
    <w:p>
      <w:pPr>
        <w:pStyle w:val="4"/>
        <w:spacing w:before="0" w:after="0" w:line="576" w:lineRule="exact"/>
        <w:ind w:firstLine="640" w:firstLineChars="200"/>
        <w:rPr>
          <w:rFonts w:ascii="Times New Roman" w:hAnsi="Times New Roman" w:eastAsia="仿宋_GB2312" w:cs="Times New Roman"/>
          <w:color w:val="000000" w:themeColor="text1"/>
        </w:rPr>
      </w:pPr>
      <w:bookmarkStart w:id="76" w:name="_Toc15396621"/>
      <w:bookmarkStart w:id="77" w:name="_Toc146632972"/>
      <w:r>
        <w:rPr>
          <w:rStyle w:val="29"/>
          <w:rFonts w:ascii="Times New Roman" w:hAnsi="Times New Roman" w:eastAsia="仿宋_GB2312" w:cs="Times New Roman"/>
          <w:b w:val="0"/>
          <w:bCs w:val="0"/>
          <w:color w:val="000000" w:themeColor="text1"/>
        </w:rPr>
        <w:t>三、</w:t>
      </w:r>
      <w:r>
        <w:rPr>
          <w:rFonts w:ascii="Times New Roman" w:hAnsi="Times New Roman" w:eastAsia="仿宋_GB2312" w:cs="Times New Roman"/>
          <w:b w:val="0"/>
          <w:color w:val="000000" w:themeColor="text1"/>
        </w:rPr>
        <w:t>支</w:t>
      </w:r>
      <w:r>
        <w:rPr>
          <w:rStyle w:val="29"/>
          <w:rFonts w:ascii="Times New Roman" w:hAnsi="Times New Roman" w:eastAsia="仿宋_GB2312" w:cs="Times New Roman"/>
          <w:b w:val="0"/>
          <w:bCs w:val="0"/>
          <w:color w:val="000000" w:themeColor="text1"/>
        </w:rPr>
        <w:t>出决算表</w:t>
      </w:r>
      <w:bookmarkEnd w:id="76"/>
      <w:bookmarkEnd w:id="77"/>
    </w:p>
    <w:p>
      <w:pPr>
        <w:pStyle w:val="4"/>
        <w:spacing w:before="0" w:after="0" w:line="576" w:lineRule="exact"/>
        <w:ind w:firstLine="640" w:firstLineChars="200"/>
        <w:rPr>
          <w:rFonts w:ascii="Times New Roman" w:hAnsi="Times New Roman" w:eastAsia="仿宋_GB2312" w:cs="Times New Roman"/>
          <w:b w:val="0"/>
          <w:color w:val="000000" w:themeColor="text1"/>
        </w:rPr>
      </w:pPr>
      <w:bookmarkStart w:id="78" w:name="_Toc15396622"/>
      <w:bookmarkStart w:id="79" w:name="_Toc146632973"/>
      <w:r>
        <w:rPr>
          <w:rStyle w:val="29"/>
          <w:rFonts w:ascii="Times New Roman" w:hAnsi="Times New Roman" w:eastAsia="仿宋_GB2312" w:cs="Times New Roman"/>
          <w:b w:val="0"/>
          <w:bCs w:val="0"/>
          <w:color w:val="000000" w:themeColor="text1"/>
        </w:rPr>
        <w:t>四、</w:t>
      </w:r>
      <w:r>
        <w:rPr>
          <w:rFonts w:ascii="Times New Roman" w:hAnsi="Times New Roman" w:eastAsia="仿宋_GB2312" w:cs="Times New Roman"/>
          <w:b w:val="0"/>
          <w:color w:val="000000" w:themeColor="text1"/>
        </w:rPr>
        <w:t>财</w:t>
      </w:r>
      <w:r>
        <w:rPr>
          <w:rStyle w:val="29"/>
          <w:rFonts w:ascii="Times New Roman" w:hAnsi="Times New Roman" w:eastAsia="仿宋_GB2312" w:cs="Times New Roman"/>
          <w:b w:val="0"/>
          <w:bCs w:val="0"/>
          <w:color w:val="000000" w:themeColor="text1"/>
        </w:rPr>
        <w:t>政拨款收入支出决算总表</w:t>
      </w:r>
      <w:bookmarkEnd w:id="78"/>
      <w:bookmarkEnd w:id="79"/>
    </w:p>
    <w:p>
      <w:pPr>
        <w:pStyle w:val="4"/>
        <w:spacing w:before="0" w:after="0" w:line="576" w:lineRule="exact"/>
        <w:ind w:firstLine="640" w:firstLineChars="200"/>
        <w:rPr>
          <w:rStyle w:val="29"/>
          <w:rFonts w:ascii="Times New Roman" w:hAnsi="Times New Roman" w:eastAsia="仿宋_GB2312" w:cs="Times New Roman"/>
          <w:b w:val="0"/>
          <w:bCs w:val="0"/>
          <w:color w:val="000000" w:themeColor="text1"/>
        </w:rPr>
      </w:pPr>
      <w:bookmarkStart w:id="80" w:name="_Toc15396623"/>
      <w:bookmarkStart w:id="81" w:name="_Toc146632974"/>
      <w:r>
        <w:rPr>
          <w:rStyle w:val="29"/>
          <w:rFonts w:ascii="Times New Roman" w:hAnsi="Times New Roman" w:eastAsia="仿宋_GB2312" w:cs="Times New Roman"/>
          <w:b w:val="0"/>
          <w:bCs w:val="0"/>
          <w:color w:val="000000" w:themeColor="text1"/>
        </w:rPr>
        <w:t>五、</w:t>
      </w:r>
      <w:r>
        <w:rPr>
          <w:rFonts w:ascii="Times New Roman" w:hAnsi="Times New Roman" w:eastAsia="仿宋_GB2312" w:cs="Times New Roman"/>
          <w:b w:val="0"/>
          <w:color w:val="000000" w:themeColor="text1"/>
        </w:rPr>
        <w:t>财</w:t>
      </w:r>
      <w:r>
        <w:rPr>
          <w:rStyle w:val="29"/>
          <w:rFonts w:ascii="Times New Roman" w:hAnsi="Times New Roman" w:eastAsia="仿宋_GB2312" w:cs="Times New Roman"/>
          <w:b w:val="0"/>
          <w:bCs w:val="0"/>
          <w:color w:val="000000" w:themeColor="text1"/>
        </w:rPr>
        <w:t>政拨款支出决算明细表</w:t>
      </w:r>
      <w:bookmarkEnd w:id="80"/>
      <w:bookmarkEnd w:id="81"/>
      <w:bookmarkStart w:id="82" w:name="_Toc15396624"/>
    </w:p>
    <w:p>
      <w:pPr>
        <w:pStyle w:val="4"/>
        <w:spacing w:before="0" w:after="0" w:line="576" w:lineRule="exact"/>
        <w:ind w:firstLine="640" w:firstLineChars="200"/>
        <w:rPr>
          <w:rFonts w:ascii="Times New Roman" w:hAnsi="Times New Roman" w:eastAsia="仿宋_GB2312" w:cs="Times New Roman"/>
          <w:color w:val="000000" w:themeColor="text1"/>
        </w:rPr>
      </w:pPr>
      <w:bookmarkStart w:id="83" w:name="_Toc146632975"/>
      <w:r>
        <w:rPr>
          <w:rStyle w:val="29"/>
          <w:rFonts w:ascii="Times New Roman" w:hAnsi="Times New Roman" w:eastAsia="仿宋_GB2312" w:cs="Times New Roman"/>
          <w:b w:val="0"/>
          <w:bCs w:val="0"/>
          <w:color w:val="000000" w:themeColor="text1"/>
        </w:rPr>
        <w:t>六、</w:t>
      </w:r>
      <w:r>
        <w:rPr>
          <w:rFonts w:ascii="Times New Roman" w:hAnsi="Times New Roman" w:eastAsia="仿宋_GB2312" w:cs="Times New Roman"/>
          <w:b w:val="0"/>
          <w:color w:val="000000" w:themeColor="text1"/>
        </w:rPr>
        <w:t>一</w:t>
      </w:r>
      <w:r>
        <w:rPr>
          <w:rStyle w:val="29"/>
          <w:rFonts w:ascii="Times New Roman" w:hAnsi="Times New Roman" w:eastAsia="仿宋_GB2312" w:cs="Times New Roman"/>
          <w:b w:val="0"/>
          <w:bCs w:val="0"/>
          <w:color w:val="000000" w:themeColor="text1"/>
        </w:rPr>
        <w:t>般公共预算财政拨款支出决算表</w:t>
      </w:r>
      <w:bookmarkEnd w:id="82"/>
      <w:bookmarkEnd w:id="83"/>
    </w:p>
    <w:p>
      <w:pPr>
        <w:pStyle w:val="4"/>
        <w:spacing w:before="0" w:after="0" w:line="576" w:lineRule="exact"/>
        <w:ind w:firstLine="640" w:firstLineChars="200"/>
        <w:rPr>
          <w:rFonts w:ascii="Times New Roman" w:hAnsi="Times New Roman" w:eastAsia="仿宋_GB2312" w:cs="Times New Roman"/>
          <w:color w:val="000000" w:themeColor="text1"/>
        </w:rPr>
      </w:pPr>
      <w:bookmarkStart w:id="84" w:name="_Toc15396625"/>
      <w:bookmarkStart w:id="85" w:name="_Toc146632976"/>
      <w:r>
        <w:rPr>
          <w:rStyle w:val="29"/>
          <w:rFonts w:ascii="Times New Roman" w:hAnsi="Times New Roman" w:eastAsia="仿宋_GB2312" w:cs="Times New Roman"/>
          <w:b w:val="0"/>
          <w:bCs w:val="0"/>
          <w:color w:val="000000" w:themeColor="text1"/>
        </w:rPr>
        <w:t>七、</w:t>
      </w:r>
      <w:r>
        <w:rPr>
          <w:rFonts w:ascii="Times New Roman" w:hAnsi="Times New Roman" w:eastAsia="仿宋_GB2312" w:cs="Times New Roman"/>
          <w:b w:val="0"/>
          <w:color w:val="000000" w:themeColor="text1"/>
        </w:rPr>
        <w:t>一</w:t>
      </w:r>
      <w:r>
        <w:rPr>
          <w:rStyle w:val="29"/>
          <w:rFonts w:ascii="Times New Roman" w:hAnsi="Times New Roman" w:eastAsia="仿宋_GB2312" w:cs="Times New Roman"/>
          <w:b w:val="0"/>
          <w:bCs w:val="0"/>
          <w:color w:val="000000" w:themeColor="text1"/>
        </w:rPr>
        <w:t>般公共预算财政拨款支出决算明细表</w:t>
      </w:r>
      <w:bookmarkEnd w:id="84"/>
      <w:bookmarkEnd w:id="85"/>
    </w:p>
    <w:p>
      <w:pPr>
        <w:pStyle w:val="4"/>
        <w:spacing w:before="0" w:after="0" w:line="576" w:lineRule="exact"/>
        <w:ind w:firstLine="640" w:firstLineChars="200"/>
        <w:rPr>
          <w:rFonts w:ascii="Times New Roman" w:hAnsi="Times New Roman" w:eastAsia="仿宋_GB2312" w:cs="Times New Roman"/>
          <w:color w:val="000000" w:themeColor="text1"/>
        </w:rPr>
      </w:pPr>
      <w:bookmarkStart w:id="86" w:name="_Toc146632977"/>
      <w:bookmarkStart w:id="87" w:name="_Toc15396626"/>
      <w:r>
        <w:rPr>
          <w:rStyle w:val="29"/>
          <w:rFonts w:ascii="Times New Roman" w:hAnsi="Times New Roman" w:eastAsia="仿宋_GB2312" w:cs="Times New Roman"/>
          <w:b w:val="0"/>
          <w:bCs w:val="0"/>
          <w:color w:val="000000" w:themeColor="text1"/>
        </w:rPr>
        <w:t>八、</w:t>
      </w:r>
      <w:r>
        <w:rPr>
          <w:rFonts w:ascii="Times New Roman" w:hAnsi="Times New Roman" w:eastAsia="仿宋_GB2312" w:cs="Times New Roman"/>
          <w:b w:val="0"/>
          <w:color w:val="000000" w:themeColor="text1"/>
        </w:rPr>
        <w:t>一</w:t>
      </w:r>
      <w:r>
        <w:rPr>
          <w:rStyle w:val="29"/>
          <w:rFonts w:ascii="Times New Roman" w:hAnsi="Times New Roman" w:eastAsia="仿宋_GB2312" w:cs="Times New Roman"/>
          <w:b w:val="0"/>
          <w:bCs w:val="0"/>
          <w:color w:val="000000" w:themeColor="text1"/>
        </w:rPr>
        <w:t>般公共预算财政拨款基本支出决算表</w:t>
      </w:r>
      <w:bookmarkEnd w:id="86"/>
      <w:bookmarkEnd w:id="87"/>
    </w:p>
    <w:p>
      <w:pPr>
        <w:pStyle w:val="4"/>
        <w:spacing w:before="0" w:after="0" w:line="576" w:lineRule="exact"/>
        <w:ind w:firstLine="640" w:firstLineChars="200"/>
        <w:rPr>
          <w:rFonts w:ascii="Times New Roman" w:hAnsi="Times New Roman" w:eastAsia="仿宋_GB2312" w:cs="Times New Roman"/>
          <w:color w:val="000000" w:themeColor="text1"/>
        </w:rPr>
      </w:pPr>
      <w:bookmarkStart w:id="88" w:name="_Toc15396627"/>
      <w:bookmarkStart w:id="89" w:name="_Toc146632978"/>
      <w:r>
        <w:rPr>
          <w:rStyle w:val="29"/>
          <w:rFonts w:ascii="Times New Roman" w:hAnsi="Times New Roman" w:eastAsia="仿宋_GB2312" w:cs="Times New Roman"/>
          <w:b w:val="0"/>
          <w:bCs w:val="0"/>
          <w:color w:val="000000" w:themeColor="text1"/>
        </w:rPr>
        <w:t>九、</w:t>
      </w:r>
      <w:r>
        <w:rPr>
          <w:rFonts w:ascii="Times New Roman" w:hAnsi="Times New Roman" w:eastAsia="仿宋_GB2312" w:cs="Times New Roman"/>
          <w:b w:val="0"/>
          <w:color w:val="000000" w:themeColor="text1"/>
        </w:rPr>
        <w:t>一</w:t>
      </w:r>
      <w:r>
        <w:rPr>
          <w:rStyle w:val="29"/>
          <w:rFonts w:ascii="Times New Roman" w:hAnsi="Times New Roman" w:eastAsia="仿宋_GB2312" w:cs="Times New Roman"/>
          <w:b w:val="0"/>
          <w:bCs w:val="0"/>
          <w:color w:val="000000" w:themeColor="text1"/>
        </w:rPr>
        <w:t>般公共预算财政拨款项目支出决算表</w:t>
      </w:r>
      <w:bookmarkEnd w:id="88"/>
      <w:bookmarkEnd w:id="89"/>
    </w:p>
    <w:p>
      <w:pPr>
        <w:pStyle w:val="4"/>
        <w:spacing w:before="0" w:after="0" w:line="576" w:lineRule="exact"/>
        <w:ind w:firstLine="640" w:firstLineChars="200"/>
        <w:rPr>
          <w:rFonts w:ascii="Times New Roman" w:hAnsi="Times New Roman" w:eastAsia="仿宋_GB2312" w:cs="Times New Roman"/>
          <w:color w:val="000000" w:themeColor="text1"/>
        </w:rPr>
      </w:pPr>
      <w:bookmarkStart w:id="90" w:name="_Toc15396628"/>
      <w:bookmarkStart w:id="91" w:name="_Toc146632979"/>
      <w:r>
        <w:rPr>
          <w:rStyle w:val="29"/>
          <w:rFonts w:ascii="Times New Roman" w:hAnsi="Times New Roman" w:eastAsia="仿宋_GB2312" w:cs="Times New Roman"/>
          <w:b w:val="0"/>
          <w:bCs w:val="0"/>
          <w:color w:val="000000" w:themeColor="text1"/>
        </w:rPr>
        <w:t>十、</w:t>
      </w:r>
      <w:bookmarkEnd w:id="90"/>
      <w:r>
        <w:rPr>
          <w:rFonts w:ascii="Times New Roman" w:hAnsi="Times New Roman" w:eastAsia="仿宋_GB2312" w:cs="Times New Roman"/>
          <w:b w:val="0"/>
          <w:color w:val="000000" w:themeColor="text1"/>
        </w:rPr>
        <w:t>政</w:t>
      </w:r>
      <w:r>
        <w:rPr>
          <w:rStyle w:val="29"/>
          <w:rFonts w:ascii="Times New Roman" w:hAnsi="Times New Roman" w:eastAsia="仿宋_GB2312" w:cs="Times New Roman"/>
          <w:b w:val="0"/>
          <w:bCs w:val="0"/>
          <w:color w:val="000000" w:themeColor="text1"/>
        </w:rPr>
        <w:t>府性基金预算财政拨款收入支出决算表</w:t>
      </w:r>
      <w:bookmarkEnd w:id="91"/>
    </w:p>
    <w:p>
      <w:pPr>
        <w:pStyle w:val="4"/>
        <w:spacing w:before="0" w:after="0" w:line="576" w:lineRule="exact"/>
        <w:ind w:firstLine="640" w:firstLineChars="200"/>
        <w:rPr>
          <w:rFonts w:ascii="Times New Roman" w:hAnsi="Times New Roman" w:eastAsia="仿宋_GB2312" w:cs="Times New Roman"/>
          <w:color w:val="000000" w:themeColor="text1"/>
        </w:rPr>
      </w:pPr>
      <w:bookmarkStart w:id="92" w:name="_Toc15396629"/>
      <w:bookmarkStart w:id="93" w:name="_Toc146632980"/>
      <w:r>
        <w:rPr>
          <w:rStyle w:val="29"/>
          <w:rFonts w:ascii="Times New Roman" w:hAnsi="Times New Roman" w:eastAsia="仿宋_GB2312" w:cs="Times New Roman"/>
          <w:b w:val="0"/>
          <w:bCs w:val="0"/>
          <w:color w:val="000000" w:themeColor="text1"/>
        </w:rPr>
        <w:t>十一、</w:t>
      </w:r>
      <w:bookmarkEnd w:id="92"/>
      <w:r>
        <w:rPr>
          <w:rFonts w:ascii="Times New Roman" w:hAnsi="Times New Roman" w:eastAsia="仿宋_GB2312" w:cs="Times New Roman"/>
          <w:b w:val="0"/>
          <w:color w:val="000000" w:themeColor="text1"/>
        </w:rPr>
        <w:t>国</w:t>
      </w:r>
      <w:r>
        <w:rPr>
          <w:rStyle w:val="29"/>
          <w:rFonts w:ascii="Times New Roman" w:hAnsi="Times New Roman" w:eastAsia="仿宋_GB2312" w:cs="Times New Roman"/>
          <w:b w:val="0"/>
          <w:bCs w:val="0"/>
          <w:color w:val="000000" w:themeColor="text1"/>
        </w:rPr>
        <w:t>有资本经营预算财政拨款收入支出决算表</w:t>
      </w:r>
      <w:bookmarkEnd w:id="93"/>
    </w:p>
    <w:p>
      <w:pPr>
        <w:pStyle w:val="4"/>
        <w:spacing w:before="0" w:after="0" w:line="576" w:lineRule="exact"/>
        <w:ind w:firstLine="640" w:firstLineChars="200"/>
        <w:rPr>
          <w:rFonts w:ascii="Times New Roman" w:hAnsi="Times New Roman" w:eastAsia="仿宋_GB2312" w:cs="Times New Roman"/>
          <w:color w:val="000000" w:themeColor="text1"/>
        </w:rPr>
      </w:pPr>
      <w:bookmarkStart w:id="94" w:name="_Toc15396630"/>
      <w:bookmarkStart w:id="95" w:name="_Toc146632981"/>
      <w:r>
        <w:rPr>
          <w:rStyle w:val="29"/>
          <w:rFonts w:ascii="Times New Roman" w:hAnsi="Times New Roman" w:eastAsia="仿宋_GB2312" w:cs="Times New Roman"/>
          <w:b w:val="0"/>
          <w:bCs w:val="0"/>
          <w:color w:val="000000" w:themeColor="text1"/>
        </w:rPr>
        <w:t>十二、</w:t>
      </w:r>
      <w:bookmarkEnd w:id="94"/>
      <w:r>
        <w:rPr>
          <w:rStyle w:val="29"/>
          <w:rFonts w:ascii="Times New Roman" w:hAnsi="Times New Roman" w:eastAsia="仿宋_GB2312" w:cs="Times New Roman"/>
          <w:b w:val="0"/>
          <w:bCs w:val="0"/>
          <w:color w:val="000000" w:themeColor="text1"/>
        </w:rPr>
        <w:t>国有资本经营预算财政拨款支出决算表</w:t>
      </w:r>
      <w:bookmarkEnd w:id="95"/>
    </w:p>
    <w:p>
      <w:pPr>
        <w:pStyle w:val="4"/>
        <w:spacing w:before="0" w:after="0" w:line="576" w:lineRule="exact"/>
        <w:ind w:firstLine="640" w:firstLineChars="200"/>
        <w:rPr>
          <w:rFonts w:ascii="Times New Roman" w:hAnsi="Times New Roman" w:eastAsia="仿宋_GB2312" w:cs="Times New Roman"/>
          <w:color w:val="000000" w:themeColor="text1"/>
        </w:rPr>
      </w:pPr>
      <w:bookmarkStart w:id="96" w:name="_Toc15396631"/>
      <w:bookmarkStart w:id="97" w:name="_Toc146632982"/>
      <w:r>
        <w:rPr>
          <w:rStyle w:val="29"/>
          <w:rFonts w:ascii="Times New Roman" w:hAnsi="Times New Roman" w:eastAsia="仿宋_GB2312" w:cs="Times New Roman"/>
          <w:b w:val="0"/>
          <w:bCs w:val="0"/>
          <w:color w:val="000000" w:themeColor="text1"/>
        </w:rPr>
        <w:t>十三、</w:t>
      </w:r>
      <w:bookmarkEnd w:id="96"/>
      <w:r>
        <w:rPr>
          <w:rStyle w:val="29"/>
          <w:rFonts w:ascii="Times New Roman" w:hAnsi="Times New Roman" w:eastAsia="仿宋_GB2312" w:cs="Times New Roman"/>
          <w:b w:val="0"/>
          <w:bCs w:val="0"/>
          <w:color w:val="000000" w:themeColor="text1"/>
        </w:rPr>
        <w:t>财政拨款“三公”经费支出决算表</w:t>
      </w:r>
      <w:bookmarkEnd w:id="97"/>
    </w:p>
    <w:p>
      <w:pPr>
        <w:spacing w:line="560" w:lineRule="exact"/>
        <w:rPr>
          <w:rFonts w:eastAsia="仿宋_GB2312"/>
          <w:color w:val="000000" w:themeColor="text1"/>
        </w:rPr>
      </w:pPr>
    </w:p>
    <w:sectPr>
      <w:footerReference r:id="rId4" w:type="default"/>
      <w:pgSz w:w="11906" w:h="16838"/>
      <w:pgMar w:top="2098" w:right="1474" w:bottom="1701" w:left="1588" w:header="851" w:footer="1531"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22855617"/>
      <w:docPartObj>
        <w:docPartGallery w:val="autotext"/>
      </w:docPartObj>
    </w:sdtPr>
    <w:sdtEndPr>
      <w:rPr>
        <w:rFonts w:hint="eastAsia" w:ascii="宋体" w:hAnsi="宋体"/>
        <w:sz w:val="28"/>
        <w:szCs w:val="28"/>
      </w:rPr>
    </w:sdtEndPr>
    <w:sdtContent>
      <w:p>
        <w:pPr>
          <w:pStyle w:val="9"/>
          <w:framePr w:wrap="around" w:vAnchor="text" w:hAnchor="margin" w:xAlign="outside" w:y="1"/>
          <w:ind w:left="210" w:leftChars="100" w:right="210" w:rightChars="100"/>
          <w:rPr>
            <w:rStyle w:val="17"/>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7AB457"/>
    <w:multiLevelType w:val="singleLevel"/>
    <w:tmpl w:val="387AB457"/>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51C18"/>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451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43B6"/>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E7234"/>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0242AD"/>
    <w:rsid w:val="08A635D3"/>
    <w:rsid w:val="0A2032A3"/>
    <w:rsid w:val="0B112AED"/>
    <w:rsid w:val="0B2107F8"/>
    <w:rsid w:val="0B8A37D8"/>
    <w:rsid w:val="0E585CD2"/>
    <w:rsid w:val="0F2B2376"/>
    <w:rsid w:val="10C055FF"/>
    <w:rsid w:val="118107EC"/>
    <w:rsid w:val="11DD6519"/>
    <w:rsid w:val="12D9092B"/>
    <w:rsid w:val="14087FC8"/>
    <w:rsid w:val="16BB723D"/>
    <w:rsid w:val="18015F3F"/>
    <w:rsid w:val="1B8D4B68"/>
    <w:rsid w:val="1BE8440E"/>
    <w:rsid w:val="1D155CEE"/>
    <w:rsid w:val="1EB62272"/>
    <w:rsid w:val="1FF53B7A"/>
    <w:rsid w:val="202E7F90"/>
    <w:rsid w:val="20F57F95"/>
    <w:rsid w:val="240371BF"/>
    <w:rsid w:val="257B0F03"/>
    <w:rsid w:val="25C741E6"/>
    <w:rsid w:val="263D6B3A"/>
    <w:rsid w:val="27842671"/>
    <w:rsid w:val="29FD04D3"/>
    <w:rsid w:val="2ABE7A3E"/>
    <w:rsid w:val="2EFA178C"/>
    <w:rsid w:val="2F184236"/>
    <w:rsid w:val="30126E9F"/>
    <w:rsid w:val="30B46D73"/>
    <w:rsid w:val="319F7F4E"/>
    <w:rsid w:val="39AE70AB"/>
    <w:rsid w:val="3C0C0783"/>
    <w:rsid w:val="3F256965"/>
    <w:rsid w:val="3F795B0E"/>
    <w:rsid w:val="3F9F3A96"/>
    <w:rsid w:val="493C27E9"/>
    <w:rsid w:val="496F39ED"/>
    <w:rsid w:val="49FF41D3"/>
    <w:rsid w:val="4A185DC8"/>
    <w:rsid w:val="4B162465"/>
    <w:rsid w:val="4BE068DB"/>
    <w:rsid w:val="4BF6002B"/>
    <w:rsid w:val="4C313471"/>
    <w:rsid w:val="4ECE2238"/>
    <w:rsid w:val="50813210"/>
    <w:rsid w:val="51DB4B86"/>
    <w:rsid w:val="55333C3E"/>
    <w:rsid w:val="56AF5DCE"/>
    <w:rsid w:val="57DC670D"/>
    <w:rsid w:val="58A01FE2"/>
    <w:rsid w:val="592779FE"/>
    <w:rsid w:val="5BBE338D"/>
    <w:rsid w:val="5C7A6745"/>
    <w:rsid w:val="60FC4310"/>
    <w:rsid w:val="64CA39A1"/>
    <w:rsid w:val="666311F2"/>
    <w:rsid w:val="67EC5F78"/>
    <w:rsid w:val="6B840456"/>
    <w:rsid w:val="6C4A05C8"/>
    <w:rsid w:val="72734D90"/>
    <w:rsid w:val="72D26706"/>
    <w:rsid w:val="74E366CA"/>
    <w:rsid w:val="79E7B28D"/>
    <w:rsid w:val="7E51331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0"/>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rPr>
  </w:style>
  <w:style w:type="paragraph" w:customStyle="1" w:styleId="19">
    <w:name w:val="table of figures1"/>
    <w:basedOn w:val="1"/>
    <w:next w:val="1"/>
    <w:qFormat/>
    <w:uiPriority w:val="99"/>
    <w:pPr>
      <w:ind w:left="200" w:leftChars="200" w:hanging="200" w:hangingChars="200"/>
    </w:p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9"/>
    <w:qFormat/>
    <w:locked/>
    <w:uiPriority w:val="0"/>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31"/>
    <w:basedOn w:val="15"/>
    <w:qFormat/>
    <w:uiPriority w:val="0"/>
    <w:rPr>
      <w:rFonts w:hint="eastAsia" w:ascii="宋体" w:hAnsi="宋体" w:eastAsia="宋体" w:cs="宋体"/>
      <w:color w:val="000000"/>
      <w:sz w:val="22"/>
      <w:szCs w:val="22"/>
      <w:u w:val="none"/>
    </w:rPr>
  </w:style>
  <w:style w:type="character" w:customStyle="1" w:styleId="36">
    <w:name w:val="font41"/>
    <w:basedOn w:val="15"/>
    <w:qFormat/>
    <w:uiPriority w:val="0"/>
    <w:rPr>
      <w:rFonts w:ascii="MingLiU" w:hAnsi="MingLiU" w:eastAsia="MingLiU" w:cs="MingLiU"/>
      <w:color w:val="000000"/>
      <w:sz w:val="22"/>
      <w:szCs w:val="22"/>
      <w:u w:val="none"/>
    </w:rPr>
  </w:style>
  <w:style w:type="character" w:customStyle="1" w:styleId="37">
    <w:name w:val="font61"/>
    <w:basedOn w:val="15"/>
    <w:qFormat/>
    <w:uiPriority w:val="0"/>
    <w:rPr>
      <w:rFonts w:ascii="宋体" w:hAnsi="宋体" w:eastAsia="宋体" w:cs="宋体"/>
      <w:color w:val="000000"/>
      <w:sz w:val="22"/>
      <w:szCs w:val="22"/>
      <w:u w:val="none"/>
    </w:rPr>
  </w:style>
  <w:style w:type="character" w:customStyle="1" w:styleId="38">
    <w:name w:val="font71"/>
    <w:basedOn w:val="15"/>
    <w:qFormat/>
    <w:uiPriority w:val="0"/>
    <w:rPr>
      <w:rFonts w:hint="eastAsia" w:ascii="宋体" w:hAnsi="宋体" w:eastAsia="宋体" w:cs="宋体"/>
      <w:color w:val="000000"/>
      <w:sz w:val="20"/>
      <w:szCs w:val="20"/>
      <w:u w:val="none"/>
    </w:rPr>
  </w:style>
  <w:style w:type="character" w:customStyle="1" w:styleId="39">
    <w:name w:val="font81"/>
    <w:basedOn w:val="15"/>
    <w:qFormat/>
    <w:uiPriority w:val="0"/>
    <w:rPr>
      <w:rFonts w:hint="default" w:ascii="MingLiU" w:hAnsi="MingLiU" w:eastAsia="MingLiU" w:cs="MingLiU"/>
      <w:color w:val="000000"/>
      <w:sz w:val="20"/>
      <w:szCs w:val="20"/>
      <w:u w:val="none"/>
    </w:rPr>
  </w:style>
  <w:style w:type="paragraph" w:customStyle="1" w:styleId="4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收、支决算总计</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2021年度</c:v>
                </c:pt>
                <c:pt idx="1">
                  <c:v>2022年度</c:v>
                </c:pt>
              </c:strCache>
            </c:strRef>
          </c:cat>
          <c:val>
            <c:numRef>
              <c:f>[工作簿1]Sheet1!$B$2:$B$3</c:f>
              <c:numCache>
                <c:formatCode>General</c:formatCode>
                <c:ptCount val="2"/>
                <c:pt idx="0">
                  <c:v>646.87</c:v>
                </c:pt>
                <c:pt idx="1">
                  <c:v>1519.17</c:v>
                </c:pt>
              </c:numCache>
            </c:numRef>
          </c:val>
        </c:ser>
        <c:dLbls>
          <c:showLegendKey val="0"/>
          <c:showVal val="1"/>
          <c:showCatName val="0"/>
          <c:showSerName val="0"/>
          <c:showPercent val="0"/>
          <c:showBubbleSize val="0"/>
        </c:dLbls>
        <c:gapWidth val="246"/>
        <c:overlap val="-28"/>
        <c:axId val="163244672"/>
        <c:axId val="163586048"/>
      </c:barChart>
      <c:catAx>
        <c:axId val="1632446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586048"/>
        <c:crosses val="autoZero"/>
        <c:auto val="1"/>
        <c:lblAlgn val="ctr"/>
        <c:lblOffset val="100"/>
        <c:noMultiLvlLbl val="0"/>
      </c:catAx>
      <c:valAx>
        <c:axId val="16358604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244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[工作簿1]Sheet1!$B$23</c:f>
              <c:strCache>
                <c:ptCount val="1"/>
                <c:pt idx="0">
                  <c:v>收入决算占比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[工作簿1]Sheet1!$A$24:$A$25</c:f>
              <c:strCache>
                <c:ptCount val="2"/>
                <c:pt idx="0">
                  <c:v>一般公共预算财政拨款收入</c:v>
                </c:pt>
                <c:pt idx="1">
                  <c:v>政府性基金预算财政拨款收入</c:v>
                </c:pt>
              </c:strCache>
            </c:strRef>
          </c:cat>
          <c:val>
            <c:numRef>
              <c:f>[工作簿1]Sheet1!$B$24:$B$25</c:f>
              <c:numCache>
                <c:formatCode>0%</c:formatCode>
                <c:ptCount val="2"/>
                <c:pt idx="0">
                  <c:v>0.66</c:v>
                </c:pt>
                <c:pt idx="1">
                  <c:v>0.34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支出决算占比</a:t>
            </a:r>
          </a:p>
        </c:rich>
      </c:tx>
      <c:layout/>
      <c:overlay val="0"/>
      <c:spPr>
        <a:noFill/>
        <a:ln>
          <a:noFill/>
        </a:ln>
        <a:effectLst/>
      </c:spPr>
    </c:title>
    <c:autoTitleDeleted val="0"/>
    <c:plotArea>
      <c:layout/>
      <c:pieChart>
        <c:varyColors val="1"/>
        <c:ser>
          <c:idx val="0"/>
          <c:order val="0"/>
          <c:tx>
            <c:strRef>
              <c:f>"支出决算占比(平均值)"</c:f>
              <c:strCache>
                <c:ptCount val="1"/>
                <c:pt idx="0">
                  <c:v>支出决算占比(平均值)</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2</a:t>
                    </a:r>
                    <a:r>
                      <a:rPr lang="en-US" altLang="zh-CN"/>
                      <a:t>1.16%</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7</a:t>
                    </a:r>
                    <a:r>
                      <a:rPr lang="en-US" altLang="zh-CN"/>
                      <a:t>8.84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{"基本支出","项目支出"}</c:f>
              <c:strCache>
                <c:ptCount val="2"/>
                <c:pt idx="0">
                  <c:v>基本支出</c:v>
                </c:pt>
                <c:pt idx="1">
                  <c:v>项目支出</c:v>
                </c:pt>
              </c:strCache>
            </c:strRef>
          </c:cat>
          <c:val>
            <c:numRef>
              <c:f>{0.2116,0.7884}</c:f>
              <c:numCache>
                <c:formatCode>General</c:formatCode>
                <c:ptCount val="2"/>
                <c:pt idx="0">
                  <c:v>0.2116</c:v>
                </c:pt>
                <c:pt idx="1">
                  <c:v>0.7884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[工作簿1]Sheet1!$B$60</c:f>
              <c:strCache>
                <c:ptCount val="1"/>
                <c:pt idx="0">
                  <c:v>财政拨款收、支决算总计</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[工作簿1]Sheet1!$A$61:$A$62</c:f>
              <c:strCache>
                <c:ptCount val="2"/>
                <c:pt idx="0">
                  <c:v>2021年度</c:v>
                </c:pt>
                <c:pt idx="1">
                  <c:v>2022年度</c:v>
                </c:pt>
              </c:strCache>
            </c:strRef>
          </c:cat>
          <c:val>
            <c:numRef>
              <c:f>[工作簿1]Sheet1!$B$61:$B$62</c:f>
              <c:numCache>
                <c:formatCode>General</c:formatCode>
                <c:ptCount val="2"/>
                <c:pt idx="0">
                  <c:v>646.87</c:v>
                </c:pt>
                <c:pt idx="1">
                  <c:v>1519.17</c:v>
                </c:pt>
              </c:numCache>
            </c:numRef>
          </c:val>
        </c:ser>
        <c:dLbls>
          <c:showLegendKey val="0"/>
          <c:showVal val="1"/>
          <c:showCatName val="0"/>
          <c:showSerName val="0"/>
          <c:showPercent val="0"/>
          <c:showBubbleSize val="0"/>
        </c:dLbls>
        <c:gapWidth val="246"/>
        <c:overlap val="-28"/>
        <c:axId val="173054208"/>
        <c:axId val="173060096"/>
      </c:barChart>
      <c:catAx>
        <c:axId val="1730542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060096"/>
        <c:crosses val="autoZero"/>
        <c:auto val="1"/>
        <c:lblAlgn val="ctr"/>
        <c:lblOffset val="100"/>
        <c:noMultiLvlLbl val="0"/>
      </c:catAx>
      <c:valAx>
        <c:axId val="17306009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0542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808684210526316"/>
          <c:y val="0.176388888888889"/>
          <c:w val="0.888210526315789"/>
          <c:h val="0.606805555555556"/>
        </c:manualLayout>
      </c:layout>
      <c:barChart>
        <c:barDir val="col"/>
        <c:grouping val="clustered"/>
        <c:varyColors val="0"/>
        <c:ser>
          <c:idx val="0"/>
          <c:order val="0"/>
          <c:tx>
            <c:strRef>
              <c:f>[工作簿1]Sheet1!$B$76</c:f>
              <c:strCache>
                <c:ptCount val="1"/>
                <c:pt idx="0">
                  <c:v>一般公共预算财政拨款支出</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[工作簿1]Sheet1!$A$77:$A$78</c:f>
              <c:strCache>
                <c:ptCount val="2"/>
                <c:pt idx="0">
                  <c:v>2021年度</c:v>
                </c:pt>
                <c:pt idx="1">
                  <c:v>2022年度</c:v>
                </c:pt>
              </c:strCache>
            </c:strRef>
          </c:cat>
          <c:val>
            <c:numRef>
              <c:f>[工作簿1]Sheet1!$B$77:$B$78</c:f>
              <c:numCache>
                <c:formatCode>General</c:formatCode>
                <c:ptCount val="2"/>
                <c:pt idx="0">
                  <c:v>496.79</c:v>
                </c:pt>
                <c:pt idx="1">
                  <c:v>1002.6</c:v>
                </c:pt>
              </c:numCache>
            </c:numRef>
          </c:val>
        </c:ser>
        <c:dLbls>
          <c:showLegendKey val="0"/>
          <c:showVal val="1"/>
          <c:showCatName val="0"/>
          <c:showSerName val="0"/>
          <c:showPercent val="0"/>
          <c:showBubbleSize val="0"/>
        </c:dLbls>
        <c:gapWidth val="246"/>
        <c:overlap val="-28"/>
        <c:axId val="173154304"/>
        <c:axId val="173155840"/>
      </c:barChart>
      <c:catAx>
        <c:axId val="1731543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155840"/>
        <c:crosses val="autoZero"/>
        <c:auto val="1"/>
        <c:lblAlgn val="ctr"/>
        <c:lblOffset val="100"/>
        <c:noMultiLvlLbl val="0"/>
      </c:catAx>
      <c:valAx>
        <c:axId val="17315584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1543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[工作簿1]Sheet1!$B$97</c:f>
              <c:strCache>
                <c:ptCount val="1"/>
                <c:pt idx="0">
                  <c:v>一般公共预算财政拨款支出占比</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a:outerShdw blurRad="76200" dist="25400" dir="2700000" algn="tl" rotWithShape="0">
                  <a:schemeClr val="accent1">
                    <a:lumMod val="60000"/>
                    <a:lumMod val="50000"/>
                    <a:alpha val="30000"/>
                  </a:schemeClr>
                </a:outerShdw>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6</a:t>
                    </a:r>
                    <a:r>
                      <a:rPr lang="en-US" altLang="zh-CN"/>
                      <a:t>0.64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360747170186233"/>
                  <c:y val="-0.047817621321451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2.51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a:t>
                    </a:r>
                    <a:r>
                      <a:rPr lang="en-US" altLang="zh-CN"/>
                      <a:t>.18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a:t>
                    </a:r>
                    <a:r>
                      <a:rPr lang="en-US" altLang="zh-CN"/>
                      <a:t>3.96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1.9</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16</a:t>
                    </a:r>
                    <a:r>
                      <a:rPr lang="en-US" altLang="zh-CN"/>
                      <a:t>.49</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[工作簿1]Sheet1!$A$98:$A$104</c:f>
              <c:strCache>
                <c:ptCount val="7"/>
                <c:pt idx="0">
                  <c:v>一般公共服务支出</c:v>
                </c:pt>
                <c:pt idx="1">
                  <c:v>社会保障和就业支</c:v>
                </c:pt>
                <c:pt idx="2">
                  <c:v>卫生健康支出</c:v>
                </c:pt>
                <c:pt idx="3">
                  <c:v>农林水支出</c:v>
                </c:pt>
                <c:pt idx="4">
                  <c:v>资源勘探工业信息等支出</c:v>
                </c:pt>
                <c:pt idx="5">
                  <c:v>商业服务业等支出</c:v>
                </c:pt>
                <c:pt idx="6">
                  <c:v>住房保障支出</c:v>
                </c:pt>
              </c:strCache>
            </c:strRef>
          </c:cat>
          <c:val>
            <c:numRef>
              <c:f>[工作簿1]Sheet1!$B$98:$B$104</c:f>
              <c:numCache>
                <c:formatCode>0.00%</c:formatCode>
                <c:ptCount val="7"/>
                <c:pt idx="0">
                  <c:v>0.6064</c:v>
                </c:pt>
                <c:pt idx="1" c:formatCode="0%">
                  <c:v>0.0335</c:v>
                </c:pt>
                <c:pt idx="2">
                  <c:v>0.0118</c:v>
                </c:pt>
                <c:pt idx="3">
                  <c:v>0.1396</c:v>
                </c:pt>
                <c:pt idx="4">
                  <c:v>0.019</c:v>
                </c:pt>
                <c:pt idx="5">
                  <c:v>0.1646</c:v>
                </c:pt>
                <c:pt idx="6">
                  <c:v>0.0251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93F0-19C8-44B0-AC89-0EA4D5E0AAF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14567</Words>
  <Characters>4592</Characters>
  <Lines>38</Lines>
  <Paragraphs>38</Paragraphs>
  <TotalTime>41</TotalTime>
  <ScaleCrop>false</ScaleCrop>
  <LinksUpToDate>false</LinksUpToDate>
  <CharactersWithSpaces>19121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2022-08-06T02:23:00Z</cp:lastPrinted>
  <dcterms:modified xsi:type="dcterms:W3CDTF">2023-10-10T04:19:08Z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DC8A4191EEF4427090E1645ED735A710_13</vt:lpwstr>
  </property>
</Properties>
</file>