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sz w:val="72"/>
          <w:szCs w:val="72"/>
        </w:rPr>
      </w:pPr>
      <w:bookmarkStart w:id="0" w:name="_Toc15306267"/>
    </w:p>
    <w:p>
      <w:pPr>
        <w:spacing w:line="600" w:lineRule="exact"/>
        <w:jc w:val="center"/>
        <w:outlineLvl w:val="0"/>
        <w:rPr>
          <w:rFonts w:ascii="方正小标宋简体" w:hAnsi="宋体" w:eastAsia="方正小标宋简体"/>
          <w:sz w:val="72"/>
          <w:szCs w:val="72"/>
        </w:rPr>
      </w:pPr>
    </w:p>
    <w:bookmarkEnd w:id="0"/>
    <w:p>
      <w:pPr>
        <w:adjustRightInd w:val="0"/>
        <w:snapToGrid w:val="0"/>
        <w:spacing w:line="600" w:lineRule="exact"/>
        <w:jc w:val="center"/>
        <w:outlineLvl w:val="0"/>
        <w:rPr>
          <w:rFonts w:eastAsia="方正小标宋简体"/>
          <w:color w:val="000000"/>
          <w:spacing w:val="-6"/>
          <w:w w:val="80"/>
          <w:sz w:val="52"/>
          <w:szCs w:val="52"/>
        </w:rPr>
      </w:pPr>
      <w:bookmarkStart w:id="1" w:name="_Toc31936"/>
      <w:bookmarkStart w:id="2" w:name="_Toc30388"/>
      <w:bookmarkStart w:id="3" w:name="_Toc15396598"/>
      <w:bookmarkStart w:id="4" w:name="_Toc15377426"/>
      <w:bookmarkStart w:id="5" w:name="_Toc30035"/>
      <w:bookmarkStart w:id="6" w:name="_Toc11692"/>
      <w:bookmarkStart w:id="7" w:name="_Toc15378442"/>
      <w:bookmarkStart w:id="8" w:name="_Toc15377194"/>
      <w:bookmarkStart w:id="9" w:name="_Toc15396476"/>
      <w:r>
        <w:rPr>
          <w:rFonts w:eastAsia="方正小标宋简体"/>
          <w:color w:val="000000"/>
          <w:spacing w:val="-6"/>
          <w:w w:val="80"/>
          <w:sz w:val="52"/>
          <w:szCs w:val="52"/>
        </w:rPr>
        <w:t>四川省</w:t>
      </w:r>
      <w:bookmarkStart w:id="10" w:name="_Toc15306268"/>
      <w:r>
        <w:rPr>
          <w:rFonts w:eastAsia="方正小标宋简体"/>
          <w:color w:val="000000"/>
          <w:spacing w:val="-6"/>
          <w:w w:val="80"/>
          <w:sz w:val="52"/>
          <w:szCs w:val="52"/>
        </w:rPr>
        <w:t>广元市昭化区</w:t>
      </w:r>
      <w:r>
        <w:rPr>
          <w:rFonts w:hint="eastAsia" w:eastAsia="方正小标宋简体"/>
          <w:color w:val="000000"/>
          <w:spacing w:val="-6"/>
          <w:w w:val="80"/>
          <w:sz w:val="52"/>
          <w:szCs w:val="52"/>
        </w:rPr>
        <w:t>商务和经济合作</w:t>
      </w:r>
      <w:r>
        <w:rPr>
          <w:rFonts w:eastAsia="方正小标宋简体"/>
          <w:color w:val="000000"/>
          <w:spacing w:val="-6"/>
          <w:w w:val="80"/>
          <w:sz w:val="52"/>
          <w:szCs w:val="52"/>
        </w:rPr>
        <w:t>局</w:t>
      </w:r>
      <w:bookmarkEnd w:id="1"/>
      <w:bookmarkEnd w:id="2"/>
      <w:bookmarkStart w:id="11" w:name="_Toc27841"/>
      <w:bookmarkStart w:id="12" w:name="_Toc25854"/>
      <w:bookmarkStart w:id="13" w:name="_Toc15377425"/>
      <w:bookmarkStart w:id="14" w:name="_Toc15377193"/>
      <w:bookmarkStart w:id="15" w:name="_Toc15378441"/>
      <w:bookmarkStart w:id="16" w:name="_Toc15396475"/>
      <w:bookmarkStart w:id="17" w:name="_Toc15396597"/>
      <w:r>
        <w:rPr>
          <w:rFonts w:eastAsia="方正小标宋简体"/>
          <w:color w:val="000000"/>
          <w:spacing w:val="-6"/>
          <w:w w:val="80"/>
          <w:sz w:val="52"/>
          <w:szCs w:val="52"/>
        </w:rPr>
        <w:t>202</w:t>
      </w:r>
      <w:r>
        <w:rPr>
          <w:rFonts w:hint="eastAsia" w:eastAsia="方正小标宋简体"/>
          <w:color w:val="000000"/>
          <w:spacing w:val="-6"/>
          <w:w w:val="80"/>
          <w:sz w:val="52"/>
          <w:szCs w:val="52"/>
          <w:lang w:val="en-US" w:eastAsia="zh-CN"/>
        </w:rPr>
        <w:t>1</w:t>
      </w:r>
      <w:r>
        <w:rPr>
          <w:rFonts w:eastAsia="方正小标宋简体"/>
          <w:color w:val="000000"/>
          <w:spacing w:val="-6"/>
          <w:w w:val="80"/>
          <w:sz w:val="52"/>
          <w:szCs w:val="52"/>
        </w:rPr>
        <w:t>年度</w:t>
      </w:r>
      <w:bookmarkEnd w:id="11"/>
      <w:bookmarkEnd w:id="12"/>
      <w:bookmarkEnd w:id="13"/>
      <w:bookmarkEnd w:id="14"/>
      <w:bookmarkEnd w:id="15"/>
      <w:bookmarkEnd w:id="16"/>
      <w:bookmarkEnd w:id="17"/>
    </w:p>
    <w:p>
      <w:pPr>
        <w:pStyle w:val="5"/>
        <w:spacing w:before="0" w:after="0" w:line="900" w:lineRule="exact"/>
        <w:rPr>
          <w:rFonts w:ascii="Times New Roman" w:hAnsi="Times New Roman"/>
        </w:rPr>
      </w:pPr>
    </w:p>
    <w:p>
      <w:pPr>
        <w:adjustRightInd w:val="0"/>
        <w:snapToGrid w:val="0"/>
        <w:spacing w:line="1400" w:lineRule="exact"/>
        <w:jc w:val="center"/>
        <w:outlineLvl w:val="0"/>
        <w:rPr>
          <w:rFonts w:eastAsia="方正小标宋简体"/>
          <w:color w:val="000000"/>
          <w:sz w:val="80"/>
          <w:szCs w:val="80"/>
        </w:rPr>
      </w:pPr>
      <w:bookmarkStart w:id="18" w:name="_Toc29689"/>
      <w:bookmarkStart w:id="19" w:name="_Toc5569"/>
      <w:r>
        <w:rPr>
          <w:rFonts w:eastAsia="方正小标宋简体"/>
          <w:color w:val="000000"/>
          <w:sz w:val="80"/>
          <w:szCs w:val="80"/>
        </w:rPr>
        <w:t>部</w:t>
      </w:r>
      <w:bookmarkEnd w:id="18"/>
      <w:bookmarkEnd w:id="19"/>
    </w:p>
    <w:p>
      <w:pPr>
        <w:adjustRightInd w:val="0"/>
        <w:snapToGrid w:val="0"/>
        <w:spacing w:line="1400" w:lineRule="exact"/>
        <w:jc w:val="center"/>
        <w:outlineLvl w:val="0"/>
        <w:rPr>
          <w:rFonts w:eastAsia="方正小标宋简体"/>
          <w:color w:val="000000"/>
          <w:sz w:val="80"/>
          <w:szCs w:val="80"/>
        </w:rPr>
      </w:pPr>
      <w:bookmarkStart w:id="20" w:name="_Toc2896"/>
      <w:bookmarkStart w:id="21" w:name="_Toc12508"/>
      <w:r>
        <w:rPr>
          <w:rFonts w:eastAsia="方正小标宋简体"/>
          <w:color w:val="000000"/>
          <w:sz w:val="80"/>
          <w:szCs w:val="80"/>
        </w:rPr>
        <w:t>门</w:t>
      </w:r>
      <w:bookmarkEnd w:id="20"/>
      <w:bookmarkEnd w:id="21"/>
    </w:p>
    <w:p>
      <w:pPr>
        <w:adjustRightInd w:val="0"/>
        <w:snapToGrid w:val="0"/>
        <w:spacing w:line="1400" w:lineRule="exact"/>
        <w:jc w:val="center"/>
        <w:outlineLvl w:val="0"/>
        <w:rPr>
          <w:rFonts w:eastAsia="方正小标宋简体"/>
          <w:color w:val="000000"/>
          <w:sz w:val="80"/>
          <w:szCs w:val="80"/>
        </w:rPr>
      </w:pPr>
      <w:bookmarkStart w:id="22" w:name="_Toc7732"/>
      <w:bookmarkStart w:id="23" w:name="_Toc7408"/>
      <w:r>
        <w:rPr>
          <w:rFonts w:eastAsia="方正小标宋简体"/>
          <w:color w:val="000000"/>
          <w:sz w:val="80"/>
          <w:szCs w:val="80"/>
        </w:rPr>
        <w:t>决</w:t>
      </w:r>
      <w:bookmarkEnd w:id="22"/>
      <w:bookmarkEnd w:id="23"/>
    </w:p>
    <w:p>
      <w:pPr>
        <w:adjustRightInd w:val="0"/>
        <w:snapToGrid w:val="0"/>
        <w:spacing w:line="1400" w:lineRule="exact"/>
        <w:jc w:val="center"/>
        <w:outlineLvl w:val="0"/>
        <w:rPr>
          <w:rFonts w:eastAsia="方正小标宋简体"/>
          <w:color w:val="000000"/>
          <w:sz w:val="80"/>
          <w:szCs w:val="80"/>
        </w:rPr>
      </w:pPr>
      <w:bookmarkStart w:id="24" w:name="_Toc13588"/>
      <w:bookmarkStart w:id="25" w:name="_Toc25576"/>
      <w:r>
        <w:rPr>
          <w:rFonts w:eastAsia="方正小标宋简体"/>
          <w:color w:val="000000"/>
          <w:sz w:val="80"/>
          <w:szCs w:val="80"/>
        </w:rPr>
        <w:t>算</w:t>
      </w:r>
      <w:bookmarkEnd w:id="3"/>
      <w:bookmarkEnd w:id="4"/>
      <w:bookmarkEnd w:id="5"/>
      <w:bookmarkEnd w:id="6"/>
      <w:bookmarkEnd w:id="7"/>
      <w:bookmarkEnd w:id="8"/>
      <w:bookmarkEnd w:id="9"/>
      <w:bookmarkEnd w:id="10"/>
      <w:bookmarkEnd w:id="24"/>
      <w:bookmarkEnd w:id="25"/>
    </w:p>
    <w:p>
      <w:pPr>
        <w:adjustRightInd w:val="0"/>
        <w:snapToGrid w:val="0"/>
        <w:spacing w:line="1400" w:lineRule="exact"/>
        <w:jc w:val="center"/>
        <w:outlineLvl w:val="0"/>
        <w:rPr>
          <w:rFonts w:eastAsia="方正小标宋简体"/>
          <w:color w:val="000000"/>
          <w:sz w:val="80"/>
          <w:szCs w:val="80"/>
        </w:rPr>
      </w:pPr>
      <w:bookmarkStart w:id="26" w:name="_Toc18895"/>
      <w:bookmarkStart w:id="27" w:name="_Toc19591"/>
      <w:r>
        <w:rPr>
          <w:rFonts w:eastAsia="方正小标宋简体"/>
          <w:color w:val="000000"/>
          <w:sz w:val="80"/>
          <w:szCs w:val="80"/>
        </w:rPr>
        <w:t>说</w:t>
      </w:r>
      <w:bookmarkEnd w:id="26"/>
      <w:bookmarkEnd w:id="27"/>
    </w:p>
    <w:p>
      <w:pPr>
        <w:adjustRightInd w:val="0"/>
        <w:snapToGrid w:val="0"/>
        <w:spacing w:line="1400" w:lineRule="exact"/>
        <w:jc w:val="center"/>
        <w:outlineLvl w:val="0"/>
        <w:rPr>
          <w:rFonts w:eastAsia="方正小标宋简体"/>
          <w:color w:val="000000"/>
          <w:sz w:val="80"/>
          <w:szCs w:val="80"/>
        </w:rPr>
      </w:pPr>
      <w:bookmarkStart w:id="28" w:name="_Toc31909"/>
      <w:bookmarkStart w:id="29" w:name="_Toc26522"/>
      <w:r>
        <w:rPr>
          <w:rFonts w:eastAsia="方正小标宋简体"/>
          <w:color w:val="000000"/>
          <w:sz w:val="80"/>
          <w:szCs w:val="80"/>
        </w:rPr>
        <w:t>明</w:t>
      </w:r>
      <w:bookmarkEnd w:id="28"/>
      <w:bookmarkEnd w:id="29"/>
    </w:p>
    <w:p>
      <w:pPr>
        <w:adjustRightInd w:val="0"/>
        <w:snapToGrid w:val="0"/>
        <w:spacing w:line="1400" w:lineRule="exact"/>
        <w:jc w:val="center"/>
        <w:outlineLvl w:val="0"/>
        <w:rPr>
          <w:rFonts w:eastAsia="黑体"/>
          <w:sz w:val="36"/>
          <w:szCs w:val="36"/>
        </w:rPr>
      </w:pPr>
      <w:r>
        <w:rPr>
          <w:rFonts w:eastAsia="黑体"/>
          <w:sz w:val="36"/>
          <w:szCs w:val="36"/>
        </w:rPr>
        <w:t>202</w:t>
      </w:r>
      <w:r>
        <w:rPr>
          <w:rFonts w:hint="eastAsia" w:eastAsia="黑体"/>
          <w:sz w:val="36"/>
          <w:szCs w:val="36"/>
        </w:rPr>
        <w:t>2</w:t>
      </w:r>
      <w:r>
        <w:rPr>
          <w:rFonts w:eastAsia="黑体"/>
          <w:sz w:val="36"/>
          <w:szCs w:val="36"/>
        </w:rPr>
        <w:t>年9月30日</w:t>
      </w:r>
    </w:p>
    <w:p>
      <w:pPr>
        <w:spacing w:line="576" w:lineRule="exact"/>
        <w:jc w:val="center"/>
        <w:rPr>
          <w:rFonts w:eastAsia="黑体"/>
          <w:sz w:val="48"/>
          <w:szCs w:val="48"/>
        </w:rPr>
      </w:pPr>
      <w:r>
        <w:rPr>
          <w:rFonts w:ascii="方正小标宋简体" w:hAnsi="宋体" w:eastAsia="方正小标宋简体"/>
          <w:sz w:val="36"/>
          <w:szCs w:val="36"/>
        </w:rPr>
        <w:br w:type="page"/>
      </w:r>
      <w:r>
        <w:rPr>
          <w:rFonts w:hAnsi="黑体" w:eastAsia="黑体"/>
          <w:sz w:val="48"/>
          <w:szCs w:val="48"/>
        </w:rPr>
        <w:t>目录</w:t>
      </w:r>
    </w:p>
    <w:p>
      <w:pPr>
        <w:spacing w:line="576" w:lineRule="exact"/>
        <w:rPr>
          <w:rFonts w:eastAsia="仿宋_GB2312"/>
          <w:sz w:val="32"/>
          <w:szCs w:val="32"/>
        </w:rPr>
      </w:pPr>
    </w:p>
    <w:p>
      <w:pPr>
        <w:pStyle w:val="12"/>
        <w:adjustRightInd w:val="0"/>
        <w:snapToGrid w:val="0"/>
        <w:spacing w:before="0" w:line="576" w:lineRule="exact"/>
        <w:jc w:val="left"/>
        <w:rPr>
          <w:rFonts w:ascii="Times New Roman" w:hAnsi="Times New Roman" w:eastAsia="黑体"/>
          <w:sz w:val="32"/>
          <w:szCs w:val="32"/>
        </w:rPr>
      </w:pPr>
      <w:r>
        <w:rPr>
          <w:rFonts w:ascii="Times New Roman" w:hAnsi="黑体" w:eastAsia="黑体"/>
          <w:sz w:val="32"/>
          <w:szCs w:val="32"/>
        </w:rPr>
        <w:t>第一部分</w:t>
      </w:r>
      <w:r>
        <w:rPr>
          <w:rFonts w:ascii="Times New Roman" w:hAnsi="Times New Roman" w:eastAsia="黑体"/>
          <w:sz w:val="32"/>
          <w:szCs w:val="32"/>
        </w:rPr>
        <w:t xml:space="preserve"> </w:t>
      </w:r>
      <w:r>
        <w:rPr>
          <w:rFonts w:ascii="Times New Roman" w:hAnsi="黑体" w:eastAsia="黑体"/>
          <w:sz w:val="32"/>
          <w:szCs w:val="32"/>
        </w:rPr>
        <w:t>单位概况</w:t>
      </w:r>
      <w:r>
        <w:rPr>
          <w:rFonts w:hint="eastAsia" w:ascii="Times New Roman" w:hAnsi="黑体" w:eastAsia="黑体"/>
          <w:sz w:val="32"/>
          <w:szCs w:val="32"/>
        </w:rPr>
        <w:tab/>
      </w:r>
      <w:r>
        <w:rPr>
          <w:rFonts w:hint="eastAsia" w:ascii="Times New Roman" w:hAnsi="黑体" w:eastAsia="黑体"/>
          <w:sz w:val="32"/>
          <w:szCs w:val="32"/>
        </w:rPr>
        <w:t>1</w:t>
      </w:r>
    </w:p>
    <w:p>
      <w:pPr>
        <w:pStyle w:val="13"/>
        <w:adjustRightInd w:val="0"/>
        <w:snapToGrid w:val="0"/>
        <w:spacing w:line="576" w:lineRule="exact"/>
        <w:jc w:val="left"/>
        <w:rPr>
          <w:rFonts w:eastAsia="仿宋_GB2312"/>
          <w:sz w:val="32"/>
          <w:szCs w:val="32"/>
        </w:rPr>
      </w:pPr>
      <w:r>
        <w:rPr>
          <w:rFonts w:eastAsia="仿宋_GB2312"/>
          <w:sz w:val="32"/>
          <w:szCs w:val="32"/>
        </w:rPr>
        <w:t>一、职能简介</w:t>
      </w:r>
      <w:r>
        <w:rPr>
          <w:rFonts w:hint="eastAsia" w:eastAsia="仿宋_GB2312"/>
          <w:sz w:val="32"/>
          <w:szCs w:val="32"/>
        </w:rPr>
        <w:tab/>
      </w:r>
      <w:r>
        <w:rPr>
          <w:rFonts w:hint="eastAsia" w:eastAsia="仿宋_GB2312"/>
          <w:sz w:val="32"/>
          <w:szCs w:val="32"/>
        </w:rPr>
        <w:t>1</w:t>
      </w:r>
    </w:p>
    <w:p>
      <w:pPr>
        <w:pStyle w:val="13"/>
        <w:adjustRightInd w:val="0"/>
        <w:snapToGrid w:val="0"/>
        <w:spacing w:line="576" w:lineRule="exact"/>
        <w:jc w:val="left"/>
        <w:rPr>
          <w:rFonts w:eastAsia="仿宋_GB2312"/>
          <w:sz w:val="32"/>
          <w:szCs w:val="32"/>
        </w:rPr>
      </w:pPr>
      <w:r>
        <w:rPr>
          <w:rFonts w:eastAsia="仿宋_GB2312"/>
          <w:sz w:val="32"/>
          <w:szCs w:val="32"/>
        </w:rPr>
        <w:t>二、2021年重点工作完成情况</w:t>
      </w:r>
      <w:r>
        <w:rPr>
          <w:rFonts w:hint="eastAsia" w:eastAsia="仿宋_GB2312"/>
          <w:sz w:val="32"/>
          <w:szCs w:val="32"/>
        </w:rPr>
        <w:tab/>
      </w:r>
      <w:r>
        <w:rPr>
          <w:rFonts w:hint="eastAsia" w:eastAsia="仿宋_GB2312"/>
          <w:sz w:val="32"/>
          <w:szCs w:val="32"/>
        </w:rPr>
        <w:t>3</w:t>
      </w:r>
    </w:p>
    <w:p>
      <w:pPr>
        <w:pStyle w:val="12"/>
        <w:adjustRightInd w:val="0"/>
        <w:snapToGrid w:val="0"/>
        <w:spacing w:before="0" w:line="576" w:lineRule="exact"/>
        <w:jc w:val="left"/>
        <w:rPr>
          <w:rFonts w:ascii="Times New Roman" w:hAnsi="Times New Roman" w:eastAsia="黑体"/>
          <w:sz w:val="32"/>
          <w:szCs w:val="32"/>
        </w:rPr>
      </w:pPr>
      <w:r>
        <w:rPr>
          <w:rFonts w:ascii="Times New Roman" w:hAnsi="黑体" w:eastAsia="黑体"/>
          <w:sz w:val="32"/>
          <w:szCs w:val="32"/>
        </w:rPr>
        <w:t>第二部分</w:t>
      </w:r>
      <w:r>
        <w:rPr>
          <w:rFonts w:ascii="Times New Roman" w:hAnsi="Times New Roman" w:eastAsia="黑体"/>
          <w:sz w:val="32"/>
          <w:szCs w:val="32"/>
        </w:rPr>
        <w:t xml:space="preserve"> 2021</w:t>
      </w:r>
      <w:r>
        <w:rPr>
          <w:rFonts w:ascii="Times New Roman" w:hAnsi="黑体" w:eastAsia="黑体"/>
          <w:sz w:val="32"/>
          <w:szCs w:val="32"/>
        </w:rPr>
        <w:t>年度单位决算情况说明</w:t>
      </w:r>
      <w:r>
        <w:rPr>
          <w:rFonts w:hint="eastAsia" w:ascii="Times New Roman" w:hAnsi="黑体" w:eastAsia="黑体"/>
          <w:sz w:val="32"/>
          <w:szCs w:val="32"/>
        </w:rPr>
        <w:tab/>
      </w:r>
      <w:r>
        <w:rPr>
          <w:rFonts w:hint="eastAsia" w:ascii="Times New Roman" w:hAnsi="黑体" w:eastAsia="黑体"/>
          <w:sz w:val="32"/>
          <w:szCs w:val="32"/>
        </w:rPr>
        <w:t>8</w:t>
      </w:r>
    </w:p>
    <w:p>
      <w:pPr>
        <w:pStyle w:val="13"/>
        <w:adjustRightInd w:val="0"/>
        <w:snapToGrid w:val="0"/>
        <w:spacing w:line="576" w:lineRule="exact"/>
        <w:jc w:val="left"/>
        <w:rPr>
          <w:rFonts w:eastAsia="仿宋_GB2312"/>
          <w:sz w:val="32"/>
          <w:szCs w:val="32"/>
        </w:rPr>
      </w:pPr>
      <w:r>
        <w:rPr>
          <w:rFonts w:eastAsia="仿宋_GB2312"/>
          <w:sz w:val="32"/>
          <w:szCs w:val="32"/>
        </w:rPr>
        <w:t>一、收入支出决算总体情况说明</w:t>
      </w:r>
      <w:r>
        <w:rPr>
          <w:rFonts w:hint="eastAsia" w:eastAsia="仿宋_GB2312"/>
          <w:sz w:val="32"/>
          <w:szCs w:val="32"/>
        </w:rPr>
        <w:tab/>
      </w:r>
      <w:r>
        <w:rPr>
          <w:rFonts w:hint="eastAsia" w:eastAsia="仿宋_GB2312"/>
          <w:sz w:val="32"/>
          <w:szCs w:val="32"/>
        </w:rPr>
        <w:t>8</w:t>
      </w:r>
    </w:p>
    <w:p>
      <w:pPr>
        <w:pStyle w:val="13"/>
        <w:adjustRightInd w:val="0"/>
        <w:snapToGrid w:val="0"/>
        <w:spacing w:line="576" w:lineRule="exact"/>
        <w:jc w:val="left"/>
        <w:rPr>
          <w:rFonts w:eastAsia="仿宋_GB2312"/>
          <w:sz w:val="32"/>
          <w:szCs w:val="32"/>
        </w:rPr>
      </w:pPr>
      <w:r>
        <w:rPr>
          <w:rFonts w:eastAsia="仿宋_GB2312"/>
          <w:sz w:val="32"/>
          <w:szCs w:val="32"/>
        </w:rPr>
        <w:t>二、收入决算情况说明</w:t>
      </w:r>
      <w:r>
        <w:rPr>
          <w:rFonts w:hint="eastAsia" w:eastAsia="仿宋_GB2312"/>
          <w:sz w:val="32"/>
          <w:szCs w:val="32"/>
        </w:rPr>
        <w:tab/>
      </w:r>
      <w:r>
        <w:rPr>
          <w:rFonts w:hint="eastAsia" w:eastAsia="仿宋_GB2312"/>
          <w:sz w:val="32"/>
          <w:szCs w:val="32"/>
        </w:rPr>
        <w:t>8</w:t>
      </w:r>
    </w:p>
    <w:p>
      <w:pPr>
        <w:pStyle w:val="13"/>
        <w:adjustRightInd w:val="0"/>
        <w:snapToGrid w:val="0"/>
        <w:spacing w:line="576" w:lineRule="exact"/>
        <w:jc w:val="left"/>
        <w:rPr>
          <w:rFonts w:eastAsia="仿宋_GB2312"/>
          <w:sz w:val="32"/>
          <w:szCs w:val="32"/>
        </w:rPr>
      </w:pPr>
      <w:r>
        <w:rPr>
          <w:rFonts w:eastAsia="仿宋_GB2312"/>
          <w:sz w:val="32"/>
          <w:szCs w:val="32"/>
        </w:rPr>
        <w:t>三、支出决算情况说明</w:t>
      </w:r>
      <w:r>
        <w:rPr>
          <w:rFonts w:hint="eastAsia" w:eastAsia="仿宋_GB2312"/>
          <w:sz w:val="32"/>
          <w:szCs w:val="32"/>
        </w:rPr>
        <w:tab/>
      </w:r>
      <w:r>
        <w:rPr>
          <w:rFonts w:hint="eastAsia" w:eastAsia="仿宋_GB2312"/>
          <w:sz w:val="32"/>
          <w:szCs w:val="32"/>
        </w:rPr>
        <w:t>9</w:t>
      </w:r>
    </w:p>
    <w:p>
      <w:pPr>
        <w:pStyle w:val="13"/>
        <w:adjustRightInd w:val="0"/>
        <w:snapToGrid w:val="0"/>
        <w:spacing w:line="576" w:lineRule="exact"/>
        <w:jc w:val="left"/>
        <w:rPr>
          <w:rFonts w:hint="eastAsia" w:eastAsia="仿宋_GB2312"/>
          <w:sz w:val="32"/>
          <w:szCs w:val="32"/>
          <w:lang w:eastAsia="zh-CN"/>
        </w:rPr>
      </w:pPr>
      <w:r>
        <w:rPr>
          <w:rFonts w:eastAsia="仿宋_GB2312"/>
          <w:sz w:val="32"/>
          <w:szCs w:val="32"/>
        </w:rPr>
        <w:t>四、财政拨款收入支出决算总体情况说明</w:t>
      </w:r>
      <w:r>
        <w:rPr>
          <w:rFonts w:hint="eastAsia" w:eastAsia="仿宋_GB2312"/>
          <w:sz w:val="32"/>
          <w:szCs w:val="32"/>
        </w:rPr>
        <w:tab/>
      </w:r>
      <w:r>
        <w:rPr>
          <w:rFonts w:hint="eastAsia" w:eastAsia="仿宋_GB2312"/>
          <w:sz w:val="32"/>
          <w:szCs w:val="32"/>
          <w:lang w:val="en-US" w:eastAsia="zh-CN"/>
        </w:rPr>
        <w:t>9</w:t>
      </w:r>
    </w:p>
    <w:p>
      <w:pPr>
        <w:pStyle w:val="13"/>
        <w:adjustRightInd w:val="0"/>
        <w:snapToGrid w:val="0"/>
        <w:spacing w:line="576" w:lineRule="exact"/>
        <w:jc w:val="left"/>
        <w:rPr>
          <w:rFonts w:eastAsia="仿宋_GB2312"/>
          <w:sz w:val="32"/>
          <w:szCs w:val="32"/>
        </w:rPr>
      </w:pPr>
      <w:r>
        <w:rPr>
          <w:rFonts w:eastAsia="仿宋_GB2312"/>
          <w:sz w:val="32"/>
          <w:szCs w:val="32"/>
        </w:rPr>
        <w:t>五、一般公共预算财政拨款支出决算情况说明</w:t>
      </w:r>
      <w:r>
        <w:rPr>
          <w:rFonts w:hint="eastAsia" w:eastAsia="仿宋_GB2312"/>
          <w:sz w:val="32"/>
          <w:szCs w:val="32"/>
        </w:rPr>
        <w:tab/>
      </w:r>
      <w:r>
        <w:rPr>
          <w:rFonts w:hint="eastAsia" w:eastAsia="仿宋_GB2312"/>
          <w:sz w:val="32"/>
          <w:szCs w:val="32"/>
        </w:rPr>
        <w:t>10</w:t>
      </w:r>
    </w:p>
    <w:p>
      <w:pPr>
        <w:pStyle w:val="13"/>
        <w:adjustRightInd w:val="0"/>
        <w:snapToGrid w:val="0"/>
        <w:spacing w:line="576" w:lineRule="exact"/>
        <w:jc w:val="left"/>
        <w:rPr>
          <w:rFonts w:eastAsia="仿宋_GB2312"/>
          <w:sz w:val="32"/>
          <w:szCs w:val="32"/>
        </w:rPr>
      </w:pPr>
      <w:r>
        <w:rPr>
          <w:rFonts w:eastAsia="仿宋_GB2312"/>
          <w:sz w:val="32"/>
          <w:szCs w:val="32"/>
        </w:rPr>
        <w:t>六、一般公共预算财政拨款基本支出决算情况说明</w:t>
      </w:r>
      <w:r>
        <w:rPr>
          <w:rFonts w:hint="eastAsia" w:eastAsia="仿宋_GB2312"/>
          <w:sz w:val="32"/>
          <w:szCs w:val="32"/>
        </w:rPr>
        <w:tab/>
      </w:r>
      <w:r>
        <w:rPr>
          <w:rFonts w:hint="eastAsia" w:eastAsia="仿宋_GB2312"/>
          <w:sz w:val="32"/>
          <w:szCs w:val="32"/>
        </w:rPr>
        <w:t>13</w:t>
      </w:r>
    </w:p>
    <w:p>
      <w:pPr>
        <w:pStyle w:val="13"/>
        <w:adjustRightInd w:val="0"/>
        <w:snapToGrid w:val="0"/>
        <w:spacing w:line="576" w:lineRule="exact"/>
        <w:jc w:val="left"/>
        <w:rPr>
          <w:rFonts w:hint="eastAsia" w:eastAsia="仿宋_GB2312"/>
          <w:sz w:val="32"/>
          <w:szCs w:val="32"/>
          <w:lang w:eastAsia="zh-CN"/>
        </w:rPr>
      </w:pPr>
      <w:r>
        <w:rPr>
          <w:rFonts w:eastAsia="仿宋_GB2312"/>
          <w:sz w:val="32"/>
          <w:szCs w:val="32"/>
        </w:rPr>
        <w:t>七、“三公”经费财政拨款支出决算情况说明</w:t>
      </w:r>
      <w:r>
        <w:rPr>
          <w:rFonts w:hint="eastAsia" w:eastAsia="仿宋_GB2312"/>
          <w:sz w:val="32"/>
          <w:szCs w:val="32"/>
        </w:rPr>
        <w:tab/>
      </w:r>
      <w:r>
        <w:rPr>
          <w:rFonts w:hint="eastAsia" w:eastAsia="仿宋_GB2312"/>
          <w:sz w:val="32"/>
          <w:szCs w:val="32"/>
        </w:rPr>
        <w:t>1</w:t>
      </w:r>
      <w:r>
        <w:rPr>
          <w:rFonts w:hint="eastAsia" w:eastAsia="仿宋_GB2312"/>
          <w:sz w:val="32"/>
          <w:szCs w:val="32"/>
          <w:lang w:val="en-US" w:eastAsia="zh-CN"/>
        </w:rPr>
        <w:t>4</w:t>
      </w:r>
    </w:p>
    <w:p>
      <w:pPr>
        <w:pStyle w:val="13"/>
        <w:adjustRightInd w:val="0"/>
        <w:snapToGrid w:val="0"/>
        <w:spacing w:line="576" w:lineRule="exact"/>
        <w:jc w:val="left"/>
        <w:rPr>
          <w:rFonts w:eastAsia="仿宋_GB2312"/>
          <w:sz w:val="32"/>
          <w:szCs w:val="32"/>
        </w:rPr>
      </w:pPr>
      <w:r>
        <w:rPr>
          <w:rFonts w:eastAsia="仿宋_GB2312"/>
          <w:sz w:val="32"/>
          <w:szCs w:val="32"/>
        </w:rPr>
        <w:t>八、政府性基金预算支出决算情况说明</w:t>
      </w:r>
      <w:r>
        <w:rPr>
          <w:rFonts w:hint="eastAsia" w:eastAsia="仿宋_GB2312"/>
          <w:sz w:val="32"/>
          <w:szCs w:val="32"/>
        </w:rPr>
        <w:tab/>
      </w:r>
      <w:r>
        <w:rPr>
          <w:rFonts w:hint="eastAsia" w:eastAsia="仿宋_GB2312"/>
          <w:sz w:val="32"/>
          <w:szCs w:val="32"/>
        </w:rPr>
        <w:t>15</w:t>
      </w:r>
    </w:p>
    <w:p>
      <w:pPr>
        <w:pStyle w:val="13"/>
        <w:adjustRightInd w:val="0"/>
        <w:snapToGrid w:val="0"/>
        <w:spacing w:line="576" w:lineRule="exact"/>
        <w:jc w:val="left"/>
        <w:rPr>
          <w:rFonts w:eastAsia="仿宋_GB2312"/>
          <w:sz w:val="32"/>
          <w:szCs w:val="32"/>
        </w:rPr>
      </w:pPr>
      <w:r>
        <w:rPr>
          <w:rFonts w:eastAsia="仿宋_GB2312"/>
          <w:sz w:val="32"/>
          <w:szCs w:val="32"/>
        </w:rPr>
        <w:t>九、国有资本经营预算支出决算情况说明</w:t>
      </w:r>
      <w:r>
        <w:rPr>
          <w:rFonts w:hint="eastAsia" w:eastAsia="仿宋_GB2312"/>
          <w:sz w:val="32"/>
          <w:szCs w:val="32"/>
        </w:rPr>
        <w:tab/>
      </w:r>
      <w:r>
        <w:rPr>
          <w:rFonts w:hint="eastAsia" w:eastAsia="仿宋_GB2312"/>
          <w:sz w:val="32"/>
          <w:szCs w:val="32"/>
        </w:rPr>
        <w:t>15</w:t>
      </w:r>
    </w:p>
    <w:p>
      <w:pPr>
        <w:pStyle w:val="13"/>
        <w:adjustRightInd w:val="0"/>
        <w:snapToGrid w:val="0"/>
        <w:spacing w:line="576" w:lineRule="exact"/>
        <w:jc w:val="left"/>
        <w:rPr>
          <w:rFonts w:eastAsia="仿宋_GB2312"/>
          <w:sz w:val="32"/>
          <w:szCs w:val="32"/>
        </w:rPr>
      </w:pPr>
      <w:r>
        <w:rPr>
          <w:rFonts w:eastAsia="仿宋_GB2312"/>
          <w:sz w:val="32"/>
          <w:szCs w:val="32"/>
        </w:rPr>
        <w:t>十、预算绩效管理情况</w:t>
      </w:r>
      <w:r>
        <w:rPr>
          <w:rFonts w:hint="eastAsia" w:eastAsia="仿宋_GB2312"/>
          <w:sz w:val="32"/>
          <w:szCs w:val="32"/>
        </w:rPr>
        <w:tab/>
      </w:r>
      <w:r>
        <w:rPr>
          <w:rFonts w:hint="eastAsia" w:eastAsia="仿宋_GB2312"/>
          <w:sz w:val="32"/>
          <w:szCs w:val="32"/>
        </w:rPr>
        <w:t>15</w:t>
      </w:r>
    </w:p>
    <w:p>
      <w:pPr>
        <w:pStyle w:val="13"/>
        <w:adjustRightInd w:val="0"/>
        <w:snapToGrid w:val="0"/>
        <w:spacing w:line="576" w:lineRule="exact"/>
        <w:jc w:val="left"/>
        <w:rPr>
          <w:rFonts w:eastAsia="仿宋_GB2312"/>
          <w:sz w:val="32"/>
          <w:szCs w:val="32"/>
        </w:rPr>
      </w:pPr>
      <w:r>
        <w:rPr>
          <w:rFonts w:eastAsia="仿宋_GB2312"/>
          <w:sz w:val="32"/>
          <w:szCs w:val="32"/>
        </w:rPr>
        <w:t>十一、其他重要事项的情况说明</w:t>
      </w:r>
      <w:r>
        <w:rPr>
          <w:rFonts w:hint="eastAsia" w:eastAsia="仿宋_GB2312"/>
          <w:sz w:val="32"/>
          <w:szCs w:val="32"/>
        </w:rPr>
        <w:tab/>
      </w:r>
      <w:r>
        <w:rPr>
          <w:rFonts w:hint="eastAsia" w:eastAsia="仿宋_GB2312"/>
          <w:sz w:val="32"/>
          <w:szCs w:val="32"/>
        </w:rPr>
        <w:t>16</w:t>
      </w:r>
    </w:p>
    <w:p>
      <w:pPr>
        <w:pStyle w:val="12"/>
        <w:adjustRightInd w:val="0"/>
        <w:snapToGrid w:val="0"/>
        <w:spacing w:before="0" w:line="576" w:lineRule="exact"/>
        <w:jc w:val="left"/>
        <w:rPr>
          <w:rFonts w:ascii="Times New Roman" w:hAnsi="Times New Roman" w:eastAsia="黑体"/>
          <w:sz w:val="32"/>
          <w:szCs w:val="32"/>
        </w:rPr>
      </w:pPr>
      <w:r>
        <w:rPr>
          <w:rFonts w:ascii="Times New Roman" w:hAnsi="黑体" w:eastAsia="黑体"/>
          <w:sz w:val="32"/>
          <w:szCs w:val="32"/>
        </w:rPr>
        <w:t>第三部分</w:t>
      </w:r>
      <w:r>
        <w:rPr>
          <w:rFonts w:ascii="Times New Roman" w:hAnsi="Times New Roman" w:eastAsia="黑体"/>
          <w:sz w:val="32"/>
          <w:szCs w:val="32"/>
        </w:rPr>
        <w:t xml:space="preserve"> </w:t>
      </w:r>
      <w:r>
        <w:rPr>
          <w:rFonts w:ascii="Times New Roman" w:hAnsi="黑体" w:eastAsia="黑体"/>
          <w:sz w:val="32"/>
          <w:szCs w:val="32"/>
        </w:rPr>
        <w:t>名词解释</w:t>
      </w:r>
      <w:r>
        <w:rPr>
          <w:rFonts w:hint="eastAsia" w:ascii="Times New Roman" w:hAnsi="黑体" w:eastAsia="黑体"/>
          <w:sz w:val="32"/>
          <w:szCs w:val="32"/>
        </w:rPr>
        <w:tab/>
      </w:r>
      <w:r>
        <w:rPr>
          <w:rFonts w:hint="eastAsia" w:ascii="Times New Roman" w:hAnsi="黑体" w:eastAsia="黑体"/>
          <w:sz w:val="32"/>
          <w:szCs w:val="32"/>
        </w:rPr>
        <w:t>17</w:t>
      </w:r>
    </w:p>
    <w:p>
      <w:pPr>
        <w:pStyle w:val="12"/>
        <w:adjustRightInd w:val="0"/>
        <w:snapToGrid w:val="0"/>
        <w:spacing w:before="0" w:line="576" w:lineRule="exact"/>
        <w:jc w:val="left"/>
        <w:rPr>
          <w:rFonts w:ascii="Times New Roman" w:hAnsi="Times New Roman" w:eastAsia="黑体"/>
          <w:sz w:val="32"/>
          <w:szCs w:val="32"/>
        </w:rPr>
      </w:pPr>
      <w:r>
        <w:rPr>
          <w:rFonts w:ascii="Times New Roman" w:hAnsi="黑体" w:eastAsia="黑体"/>
          <w:sz w:val="32"/>
          <w:szCs w:val="32"/>
        </w:rPr>
        <w:t>第四部分</w:t>
      </w:r>
      <w:r>
        <w:rPr>
          <w:rFonts w:ascii="Times New Roman" w:hAnsi="Times New Roman" w:eastAsia="黑体"/>
          <w:sz w:val="32"/>
          <w:szCs w:val="32"/>
        </w:rPr>
        <w:t xml:space="preserve"> </w:t>
      </w:r>
      <w:r>
        <w:rPr>
          <w:rFonts w:ascii="Times New Roman" w:hAnsi="黑体" w:eastAsia="黑体"/>
          <w:sz w:val="32"/>
          <w:szCs w:val="32"/>
        </w:rPr>
        <w:t>附件</w:t>
      </w:r>
      <w:r>
        <w:rPr>
          <w:rFonts w:hint="eastAsia" w:ascii="Times New Roman" w:hAnsi="黑体" w:eastAsia="黑体"/>
          <w:sz w:val="32"/>
          <w:szCs w:val="32"/>
        </w:rPr>
        <w:tab/>
      </w:r>
      <w:r>
        <w:rPr>
          <w:rFonts w:hint="eastAsia" w:ascii="Times New Roman" w:hAnsi="黑体" w:eastAsia="黑体"/>
          <w:sz w:val="32"/>
          <w:szCs w:val="32"/>
        </w:rPr>
        <w:t>20</w:t>
      </w:r>
    </w:p>
    <w:p>
      <w:pPr>
        <w:pStyle w:val="12"/>
        <w:adjustRightInd w:val="0"/>
        <w:snapToGrid w:val="0"/>
        <w:spacing w:before="0" w:line="576" w:lineRule="exact"/>
        <w:jc w:val="left"/>
        <w:rPr>
          <w:rFonts w:ascii="Times New Roman" w:hAnsi="黑体" w:eastAsia="黑体"/>
          <w:sz w:val="32"/>
          <w:szCs w:val="32"/>
        </w:rPr>
      </w:pPr>
    </w:p>
    <w:p>
      <w:pPr>
        <w:pStyle w:val="12"/>
        <w:adjustRightInd w:val="0"/>
        <w:snapToGrid w:val="0"/>
        <w:spacing w:before="0" w:line="576" w:lineRule="exact"/>
        <w:jc w:val="left"/>
        <w:rPr>
          <w:rFonts w:ascii="Times New Roman" w:hAnsi="黑体" w:eastAsia="黑体"/>
          <w:sz w:val="32"/>
          <w:szCs w:val="32"/>
        </w:rPr>
      </w:pPr>
    </w:p>
    <w:p>
      <w:pPr>
        <w:pStyle w:val="12"/>
        <w:adjustRightInd w:val="0"/>
        <w:snapToGrid w:val="0"/>
        <w:spacing w:before="0" w:line="576" w:lineRule="exact"/>
        <w:jc w:val="left"/>
        <w:rPr>
          <w:rFonts w:ascii="Times New Roman" w:hAnsi="黑体" w:eastAsia="黑体"/>
          <w:sz w:val="32"/>
          <w:szCs w:val="32"/>
        </w:rPr>
      </w:pPr>
    </w:p>
    <w:p>
      <w:pPr>
        <w:pStyle w:val="12"/>
        <w:adjustRightInd w:val="0"/>
        <w:snapToGrid w:val="0"/>
        <w:spacing w:before="0" w:line="576" w:lineRule="exact"/>
        <w:jc w:val="left"/>
        <w:rPr>
          <w:rFonts w:hint="eastAsia" w:ascii="Times New Roman" w:hAnsi="Times New Roman" w:eastAsia="黑体"/>
          <w:sz w:val="32"/>
          <w:szCs w:val="32"/>
          <w:lang w:eastAsia="zh-CN"/>
        </w:rPr>
      </w:pPr>
      <w:r>
        <w:rPr>
          <w:rFonts w:ascii="Times New Roman" w:hAnsi="黑体" w:eastAsia="黑体"/>
          <w:sz w:val="32"/>
          <w:szCs w:val="32"/>
        </w:rPr>
        <w:t>第五部分</w:t>
      </w:r>
      <w:r>
        <w:rPr>
          <w:rFonts w:ascii="Times New Roman" w:hAnsi="Times New Roman" w:eastAsia="黑体"/>
          <w:sz w:val="32"/>
          <w:szCs w:val="32"/>
        </w:rPr>
        <w:t xml:space="preserve"> </w:t>
      </w:r>
      <w:r>
        <w:rPr>
          <w:rFonts w:ascii="Times New Roman" w:hAnsi="黑体" w:eastAsia="黑体"/>
          <w:sz w:val="32"/>
          <w:szCs w:val="32"/>
        </w:rPr>
        <w:t>附表</w:t>
      </w:r>
      <w:r>
        <w:rPr>
          <w:rFonts w:hint="eastAsia" w:ascii="Times New Roman" w:hAnsi="黑体" w:eastAsia="黑体"/>
          <w:sz w:val="32"/>
          <w:szCs w:val="32"/>
        </w:rPr>
        <w:tab/>
      </w:r>
      <w:r>
        <w:rPr>
          <w:rFonts w:hint="eastAsia" w:ascii="Times New Roman" w:hAnsi="黑体" w:eastAsia="黑体"/>
          <w:sz w:val="32"/>
          <w:szCs w:val="32"/>
        </w:rPr>
        <w:t>2</w:t>
      </w:r>
      <w:r>
        <w:rPr>
          <w:rFonts w:hint="eastAsia" w:ascii="Times New Roman" w:hAnsi="黑体" w:eastAsia="黑体"/>
          <w:sz w:val="32"/>
          <w:szCs w:val="32"/>
          <w:lang w:val="en-US" w:eastAsia="zh-CN"/>
        </w:rPr>
        <w:t>5</w:t>
      </w:r>
    </w:p>
    <w:p>
      <w:pPr>
        <w:pStyle w:val="13"/>
        <w:adjustRightInd w:val="0"/>
        <w:snapToGrid w:val="0"/>
        <w:spacing w:line="576" w:lineRule="exact"/>
        <w:jc w:val="left"/>
        <w:rPr>
          <w:rFonts w:hint="eastAsia" w:eastAsia="仿宋_GB2312"/>
          <w:sz w:val="32"/>
          <w:szCs w:val="32"/>
          <w:lang w:eastAsia="zh-CN"/>
        </w:rPr>
      </w:pPr>
      <w:r>
        <w:rPr>
          <w:rFonts w:eastAsia="仿宋_GB2312"/>
          <w:sz w:val="32"/>
          <w:szCs w:val="32"/>
        </w:rPr>
        <w:t>一、收入支出决算总表</w:t>
      </w:r>
      <w:r>
        <w:rPr>
          <w:rFonts w:hint="eastAsia" w:eastAsia="仿宋_GB2312"/>
          <w:sz w:val="32"/>
          <w:szCs w:val="32"/>
        </w:rPr>
        <w:tab/>
      </w:r>
      <w:r>
        <w:rPr>
          <w:rFonts w:hint="eastAsia" w:eastAsia="仿宋_GB2312"/>
          <w:sz w:val="32"/>
          <w:szCs w:val="32"/>
        </w:rPr>
        <w:t>2</w:t>
      </w:r>
      <w:r>
        <w:rPr>
          <w:rFonts w:hint="eastAsia" w:eastAsia="仿宋_GB2312"/>
          <w:sz w:val="32"/>
          <w:szCs w:val="32"/>
          <w:lang w:val="en-US" w:eastAsia="zh-CN"/>
        </w:rPr>
        <w:t>5</w:t>
      </w:r>
    </w:p>
    <w:p>
      <w:pPr>
        <w:pStyle w:val="13"/>
        <w:adjustRightInd w:val="0"/>
        <w:snapToGrid w:val="0"/>
        <w:spacing w:line="576" w:lineRule="exact"/>
        <w:jc w:val="left"/>
        <w:rPr>
          <w:rFonts w:hint="eastAsia" w:eastAsia="仿宋_GB2312"/>
          <w:sz w:val="32"/>
          <w:szCs w:val="32"/>
          <w:lang w:eastAsia="zh-CN"/>
        </w:rPr>
      </w:pPr>
      <w:r>
        <w:rPr>
          <w:rFonts w:eastAsia="仿宋_GB2312"/>
          <w:sz w:val="32"/>
          <w:szCs w:val="32"/>
        </w:rPr>
        <w:t>二、收入决算表</w:t>
      </w:r>
      <w:r>
        <w:rPr>
          <w:rFonts w:hint="eastAsia" w:eastAsia="仿宋_GB2312"/>
          <w:sz w:val="32"/>
          <w:szCs w:val="32"/>
        </w:rPr>
        <w:tab/>
      </w:r>
      <w:r>
        <w:rPr>
          <w:rFonts w:hint="eastAsia" w:eastAsia="仿宋_GB2312"/>
          <w:sz w:val="32"/>
          <w:szCs w:val="32"/>
        </w:rPr>
        <w:t>2</w:t>
      </w:r>
      <w:r>
        <w:rPr>
          <w:rFonts w:hint="eastAsia" w:eastAsia="仿宋_GB2312"/>
          <w:sz w:val="32"/>
          <w:szCs w:val="32"/>
          <w:lang w:val="en-US" w:eastAsia="zh-CN"/>
        </w:rPr>
        <w:t>5</w:t>
      </w:r>
    </w:p>
    <w:p>
      <w:pPr>
        <w:pStyle w:val="13"/>
        <w:adjustRightInd w:val="0"/>
        <w:snapToGrid w:val="0"/>
        <w:spacing w:line="576" w:lineRule="exact"/>
        <w:jc w:val="left"/>
        <w:rPr>
          <w:rFonts w:hint="eastAsia" w:eastAsia="仿宋_GB2312"/>
          <w:sz w:val="32"/>
          <w:szCs w:val="32"/>
          <w:lang w:eastAsia="zh-CN"/>
        </w:rPr>
      </w:pPr>
      <w:r>
        <w:rPr>
          <w:rFonts w:eastAsia="仿宋_GB2312"/>
          <w:sz w:val="32"/>
          <w:szCs w:val="32"/>
        </w:rPr>
        <w:t>三、支出决算表</w:t>
      </w:r>
      <w:r>
        <w:rPr>
          <w:rFonts w:hint="eastAsia" w:eastAsia="仿宋_GB2312"/>
          <w:sz w:val="32"/>
          <w:szCs w:val="32"/>
        </w:rPr>
        <w:tab/>
      </w:r>
      <w:r>
        <w:rPr>
          <w:rFonts w:hint="eastAsia" w:eastAsia="仿宋_GB2312"/>
          <w:sz w:val="32"/>
          <w:szCs w:val="32"/>
        </w:rPr>
        <w:t>2</w:t>
      </w:r>
      <w:r>
        <w:rPr>
          <w:rFonts w:hint="eastAsia" w:eastAsia="仿宋_GB2312"/>
          <w:sz w:val="32"/>
          <w:szCs w:val="32"/>
          <w:lang w:val="en-US" w:eastAsia="zh-CN"/>
        </w:rPr>
        <w:t>5</w:t>
      </w:r>
    </w:p>
    <w:p>
      <w:pPr>
        <w:pStyle w:val="13"/>
        <w:adjustRightInd w:val="0"/>
        <w:snapToGrid w:val="0"/>
        <w:spacing w:line="576" w:lineRule="exact"/>
        <w:jc w:val="left"/>
        <w:rPr>
          <w:rFonts w:hint="eastAsia" w:eastAsia="仿宋_GB2312"/>
          <w:sz w:val="32"/>
          <w:szCs w:val="32"/>
          <w:lang w:eastAsia="zh-CN"/>
        </w:rPr>
      </w:pPr>
      <w:r>
        <w:rPr>
          <w:rFonts w:eastAsia="仿宋_GB2312"/>
          <w:sz w:val="32"/>
          <w:szCs w:val="32"/>
        </w:rPr>
        <w:t>四、财政拨款收入支出决算总表</w:t>
      </w:r>
      <w:r>
        <w:rPr>
          <w:rFonts w:hint="eastAsia" w:eastAsia="仿宋_GB2312"/>
          <w:sz w:val="32"/>
          <w:szCs w:val="32"/>
        </w:rPr>
        <w:tab/>
      </w:r>
      <w:r>
        <w:rPr>
          <w:rFonts w:hint="eastAsia" w:eastAsia="仿宋_GB2312"/>
          <w:sz w:val="32"/>
          <w:szCs w:val="32"/>
        </w:rPr>
        <w:t>2</w:t>
      </w:r>
      <w:r>
        <w:rPr>
          <w:rFonts w:hint="eastAsia" w:eastAsia="仿宋_GB2312"/>
          <w:sz w:val="32"/>
          <w:szCs w:val="32"/>
          <w:lang w:val="en-US" w:eastAsia="zh-CN"/>
        </w:rPr>
        <w:t>5</w:t>
      </w:r>
    </w:p>
    <w:p>
      <w:pPr>
        <w:pStyle w:val="13"/>
        <w:adjustRightInd w:val="0"/>
        <w:snapToGrid w:val="0"/>
        <w:spacing w:line="576" w:lineRule="exact"/>
        <w:jc w:val="left"/>
        <w:rPr>
          <w:rFonts w:hint="eastAsia" w:eastAsia="仿宋_GB2312"/>
          <w:sz w:val="32"/>
          <w:szCs w:val="32"/>
          <w:lang w:eastAsia="zh-CN"/>
        </w:rPr>
      </w:pPr>
      <w:r>
        <w:rPr>
          <w:rFonts w:eastAsia="仿宋_GB2312"/>
          <w:sz w:val="32"/>
          <w:szCs w:val="32"/>
        </w:rPr>
        <w:t>五、财政拨款支出决算明细表</w:t>
      </w:r>
      <w:r>
        <w:rPr>
          <w:rFonts w:hint="eastAsia" w:eastAsia="仿宋_GB2312"/>
          <w:sz w:val="32"/>
          <w:szCs w:val="32"/>
        </w:rPr>
        <w:tab/>
      </w:r>
      <w:r>
        <w:rPr>
          <w:rFonts w:hint="eastAsia" w:eastAsia="仿宋_GB2312"/>
          <w:sz w:val="32"/>
          <w:szCs w:val="32"/>
        </w:rPr>
        <w:t>2</w:t>
      </w:r>
      <w:r>
        <w:rPr>
          <w:rFonts w:hint="eastAsia" w:eastAsia="仿宋_GB2312"/>
          <w:sz w:val="32"/>
          <w:szCs w:val="32"/>
          <w:lang w:val="en-US" w:eastAsia="zh-CN"/>
        </w:rPr>
        <w:t>5</w:t>
      </w:r>
    </w:p>
    <w:p>
      <w:pPr>
        <w:pStyle w:val="13"/>
        <w:adjustRightInd w:val="0"/>
        <w:snapToGrid w:val="0"/>
        <w:spacing w:line="576" w:lineRule="exact"/>
        <w:jc w:val="left"/>
        <w:rPr>
          <w:rFonts w:hint="eastAsia" w:eastAsia="仿宋_GB2312"/>
          <w:sz w:val="32"/>
          <w:szCs w:val="32"/>
          <w:lang w:eastAsia="zh-CN"/>
        </w:rPr>
      </w:pPr>
      <w:r>
        <w:rPr>
          <w:rFonts w:eastAsia="仿宋_GB2312"/>
          <w:sz w:val="32"/>
          <w:szCs w:val="32"/>
        </w:rPr>
        <w:t>六、一般公共预算财政拨款支出决算表</w:t>
      </w:r>
      <w:r>
        <w:rPr>
          <w:rFonts w:hint="eastAsia" w:eastAsia="仿宋_GB2312"/>
          <w:sz w:val="32"/>
          <w:szCs w:val="32"/>
        </w:rPr>
        <w:tab/>
      </w:r>
      <w:r>
        <w:rPr>
          <w:rFonts w:hint="eastAsia" w:eastAsia="仿宋_GB2312"/>
          <w:sz w:val="32"/>
          <w:szCs w:val="32"/>
        </w:rPr>
        <w:t>2</w:t>
      </w:r>
      <w:r>
        <w:rPr>
          <w:rFonts w:hint="eastAsia" w:eastAsia="仿宋_GB2312"/>
          <w:sz w:val="32"/>
          <w:szCs w:val="32"/>
          <w:lang w:val="en-US" w:eastAsia="zh-CN"/>
        </w:rPr>
        <w:t>5</w:t>
      </w:r>
    </w:p>
    <w:p>
      <w:pPr>
        <w:pStyle w:val="13"/>
        <w:adjustRightInd w:val="0"/>
        <w:snapToGrid w:val="0"/>
        <w:spacing w:line="576" w:lineRule="exact"/>
        <w:jc w:val="left"/>
        <w:rPr>
          <w:rFonts w:hint="eastAsia" w:eastAsia="仿宋_GB2312"/>
          <w:sz w:val="32"/>
          <w:szCs w:val="32"/>
          <w:lang w:eastAsia="zh-CN"/>
        </w:rPr>
      </w:pPr>
      <w:r>
        <w:rPr>
          <w:rFonts w:eastAsia="仿宋_GB2312"/>
          <w:sz w:val="32"/>
          <w:szCs w:val="32"/>
        </w:rPr>
        <w:t>七、一般公共预算财政拨款支出决算明细表</w:t>
      </w:r>
      <w:r>
        <w:rPr>
          <w:rFonts w:hint="eastAsia" w:eastAsia="仿宋_GB2312"/>
          <w:sz w:val="32"/>
          <w:szCs w:val="32"/>
        </w:rPr>
        <w:tab/>
      </w:r>
      <w:r>
        <w:rPr>
          <w:rFonts w:hint="eastAsia" w:eastAsia="仿宋_GB2312"/>
          <w:sz w:val="32"/>
          <w:szCs w:val="32"/>
        </w:rPr>
        <w:t>2</w:t>
      </w:r>
      <w:r>
        <w:rPr>
          <w:rFonts w:hint="eastAsia" w:eastAsia="仿宋_GB2312"/>
          <w:sz w:val="32"/>
          <w:szCs w:val="32"/>
          <w:lang w:val="en-US" w:eastAsia="zh-CN"/>
        </w:rPr>
        <w:t>5</w:t>
      </w:r>
    </w:p>
    <w:p>
      <w:pPr>
        <w:pStyle w:val="13"/>
        <w:adjustRightInd w:val="0"/>
        <w:snapToGrid w:val="0"/>
        <w:spacing w:line="576" w:lineRule="exact"/>
        <w:jc w:val="left"/>
        <w:rPr>
          <w:rFonts w:hint="eastAsia" w:eastAsia="仿宋_GB2312"/>
          <w:sz w:val="32"/>
          <w:szCs w:val="32"/>
          <w:lang w:eastAsia="zh-CN"/>
        </w:rPr>
      </w:pPr>
      <w:r>
        <w:rPr>
          <w:rFonts w:eastAsia="仿宋_GB2312"/>
          <w:sz w:val="32"/>
          <w:szCs w:val="32"/>
        </w:rPr>
        <w:t>八、一般公共预算财政拨款基本支出决算表</w:t>
      </w:r>
      <w:r>
        <w:rPr>
          <w:rFonts w:hint="eastAsia" w:eastAsia="仿宋_GB2312"/>
          <w:sz w:val="32"/>
          <w:szCs w:val="32"/>
        </w:rPr>
        <w:tab/>
      </w:r>
      <w:r>
        <w:rPr>
          <w:rFonts w:hint="eastAsia" w:eastAsia="仿宋_GB2312"/>
          <w:sz w:val="32"/>
          <w:szCs w:val="32"/>
        </w:rPr>
        <w:t>2</w:t>
      </w:r>
      <w:r>
        <w:rPr>
          <w:rFonts w:hint="eastAsia" w:eastAsia="仿宋_GB2312"/>
          <w:sz w:val="32"/>
          <w:szCs w:val="32"/>
          <w:lang w:val="en-US" w:eastAsia="zh-CN"/>
        </w:rPr>
        <w:t>5</w:t>
      </w:r>
    </w:p>
    <w:p>
      <w:pPr>
        <w:pStyle w:val="13"/>
        <w:adjustRightInd w:val="0"/>
        <w:snapToGrid w:val="0"/>
        <w:spacing w:line="576" w:lineRule="exact"/>
        <w:jc w:val="left"/>
        <w:rPr>
          <w:rFonts w:hint="eastAsia" w:eastAsia="仿宋_GB2312"/>
          <w:sz w:val="32"/>
          <w:szCs w:val="32"/>
          <w:lang w:eastAsia="zh-CN"/>
        </w:rPr>
      </w:pPr>
      <w:r>
        <w:rPr>
          <w:rFonts w:eastAsia="仿宋_GB2312"/>
          <w:sz w:val="32"/>
          <w:szCs w:val="32"/>
        </w:rPr>
        <w:t>九、一般公共预算财政拨款项目支出决算表</w:t>
      </w:r>
      <w:r>
        <w:rPr>
          <w:rFonts w:hint="eastAsia" w:eastAsia="仿宋_GB2312"/>
          <w:sz w:val="32"/>
          <w:szCs w:val="32"/>
        </w:rPr>
        <w:tab/>
      </w:r>
      <w:r>
        <w:rPr>
          <w:rFonts w:hint="eastAsia" w:eastAsia="仿宋_GB2312"/>
          <w:sz w:val="32"/>
          <w:szCs w:val="32"/>
        </w:rPr>
        <w:t>2</w:t>
      </w:r>
      <w:r>
        <w:rPr>
          <w:rFonts w:hint="eastAsia" w:eastAsia="仿宋_GB2312"/>
          <w:sz w:val="32"/>
          <w:szCs w:val="32"/>
          <w:lang w:val="en-US" w:eastAsia="zh-CN"/>
        </w:rPr>
        <w:t>5</w:t>
      </w:r>
    </w:p>
    <w:p>
      <w:pPr>
        <w:pStyle w:val="13"/>
        <w:adjustRightInd w:val="0"/>
        <w:snapToGrid w:val="0"/>
        <w:spacing w:line="576" w:lineRule="exact"/>
        <w:jc w:val="left"/>
        <w:rPr>
          <w:rFonts w:hint="eastAsia" w:eastAsia="仿宋_GB2312"/>
          <w:sz w:val="32"/>
          <w:szCs w:val="32"/>
          <w:lang w:eastAsia="zh-CN"/>
        </w:rPr>
      </w:pPr>
      <w:r>
        <w:rPr>
          <w:rFonts w:eastAsia="仿宋_GB2312"/>
          <w:sz w:val="32"/>
          <w:szCs w:val="32"/>
        </w:rPr>
        <w:t>十、一般公共预算财政拨款“三公”经费支出决算表</w:t>
      </w:r>
      <w:r>
        <w:rPr>
          <w:rFonts w:hint="eastAsia" w:eastAsia="仿宋_GB2312"/>
          <w:sz w:val="32"/>
          <w:szCs w:val="32"/>
        </w:rPr>
        <w:tab/>
      </w:r>
      <w:r>
        <w:rPr>
          <w:rFonts w:hint="eastAsia" w:eastAsia="仿宋_GB2312"/>
          <w:sz w:val="32"/>
          <w:szCs w:val="32"/>
        </w:rPr>
        <w:t>2</w:t>
      </w:r>
      <w:r>
        <w:rPr>
          <w:rFonts w:hint="eastAsia" w:eastAsia="仿宋_GB2312"/>
          <w:sz w:val="32"/>
          <w:szCs w:val="32"/>
          <w:lang w:val="en-US" w:eastAsia="zh-CN"/>
        </w:rPr>
        <w:t>5</w:t>
      </w:r>
    </w:p>
    <w:p>
      <w:pPr>
        <w:pStyle w:val="13"/>
        <w:adjustRightInd w:val="0"/>
        <w:snapToGrid w:val="0"/>
        <w:spacing w:line="576" w:lineRule="exact"/>
        <w:jc w:val="left"/>
        <w:rPr>
          <w:rFonts w:hint="eastAsia" w:eastAsia="仿宋_GB2312"/>
          <w:sz w:val="32"/>
          <w:szCs w:val="32"/>
          <w:lang w:eastAsia="zh-CN"/>
        </w:rPr>
      </w:pPr>
      <w:r>
        <w:rPr>
          <w:rFonts w:eastAsia="仿宋_GB2312"/>
          <w:sz w:val="32"/>
          <w:szCs w:val="32"/>
        </w:rPr>
        <w:t>十一、政府性基金预算财政拨款收入支出决算表</w:t>
      </w:r>
      <w:r>
        <w:rPr>
          <w:rFonts w:hint="eastAsia" w:eastAsia="仿宋_GB2312"/>
          <w:sz w:val="32"/>
          <w:szCs w:val="32"/>
        </w:rPr>
        <w:tab/>
      </w:r>
      <w:r>
        <w:rPr>
          <w:rFonts w:hint="eastAsia" w:eastAsia="仿宋_GB2312"/>
          <w:sz w:val="32"/>
          <w:szCs w:val="32"/>
        </w:rPr>
        <w:t>2</w:t>
      </w:r>
      <w:r>
        <w:rPr>
          <w:rFonts w:hint="eastAsia" w:eastAsia="仿宋_GB2312"/>
          <w:sz w:val="32"/>
          <w:szCs w:val="32"/>
          <w:lang w:val="en-US" w:eastAsia="zh-CN"/>
        </w:rPr>
        <w:t>5</w:t>
      </w:r>
    </w:p>
    <w:p>
      <w:pPr>
        <w:pStyle w:val="13"/>
        <w:adjustRightInd w:val="0"/>
        <w:snapToGrid w:val="0"/>
        <w:spacing w:line="576" w:lineRule="exact"/>
        <w:jc w:val="left"/>
        <w:rPr>
          <w:rFonts w:hint="eastAsia" w:eastAsia="仿宋_GB2312"/>
          <w:sz w:val="32"/>
          <w:szCs w:val="32"/>
          <w:lang w:eastAsia="zh-CN"/>
        </w:rPr>
      </w:pPr>
      <w:r>
        <w:rPr>
          <w:rFonts w:eastAsia="仿宋_GB2312"/>
          <w:sz w:val="32"/>
          <w:szCs w:val="32"/>
        </w:rPr>
        <w:t>十二、</w:t>
      </w:r>
      <w:r>
        <w:rPr>
          <w:rFonts w:eastAsia="仿宋_GB2312"/>
          <w:spacing w:val="-8"/>
          <w:sz w:val="32"/>
          <w:szCs w:val="32"/>
        </w:rPr>
        <w:t>政府性基金预算财政拨款“三公”经费支出决算表</w:t>
      </w:r>
      <w:r>
        <w:rPr>
          <w:rFonts w:hint="eastAsia" w:eastAsia="仿宋_GB2312"/>
          <w:sz w:val="32"/>
          <w:szCs w:val="32"/>
        </w:rPr>
        <w:tab/>
      </w:r>
      <w:r>
        <w:rPr>
          <w:rFonts w:hint="eastAsia" w:eastAsia="仿宋_GB2312"/>
          <w:sz w:val="32"/>
          <w:szCs w:val="32"/>
        </w:rPr>
        <w:t>2</w:t>
      </w:r>
      <w:r>
        <w:rPr>
          <w:rFonts w:hint="eastAsia" w:eastAsia="仿宋_GB2312"/>
          <w:sz w:val="32"/>
          <w:szCs w:val="32"/>
          <w:lang w:val="en-US" w:eastAsia="zh-CN"/>
        </w:rPr>
        <w:t>5</w:t>
      </w:r>
    </w:p>
    <w:p>
      <w:pPr>
        <w:pStyle w:val="13"/>
        <w:adjustRightInd w:val="0"/>
        <w:snapToGrid w:val="0"/>
        <w:spacing w:line="576" w:lineRule="exact"/>
        <w:jc w:val="left"/>
        <w:rPr>
          <w:rFonts w:hint="eastAsia" w:eastAsia="仿宋_GB2312"/>
          <w:sz w:val="32"/>
          <w:szCs w:val="32"/>
          <w:lang w:eastAsia="zh-CN"/>
        </w:rPr>
      </w:pPr>
      <w:r>
        <w:rPr>
          <w:rFonts w:eastAsia="仿宋_GB2312"/>
          <w:sz w:val="32"/>
          <w:szCs w:val="32"/>
        </w:rPr>
        <w:t>十三、国有资本经营预算财政拨款收入支出决算表</w:t>
      </w:r>
      <w:r>
        <w:rPr>
          <w:rFonts w:hint="eastAsia" w:eastAsia="仿宋_GB2312"/>
          <w:sz w:val="32"/>
          <w:szCs w:val="32"/>
        </w:rPr>
        <w:tab/>
      </w:r>
      <w:r>
        <w:rPr>
          <w:rFonts w:hint="eastAsia" w:eastAsia="仿宋_GB2312"/>
          <w:sz w:val="32"/>
          <w:szCs w:val="32"/>
        </w:rPr>
        <w:t>2</w:t>
      </w:r>
      <w:r>
        <w:rPr>
          <w:rFonts w:hint="eastAsia" w:eastAsia="仿宋_GB2312"/>
          <w:sz w:val="32"/>
          <w:szCs w:val="32"/>
          <w:lang w:val="en-US" w:eastAsia="zh-CN"/>
        </w:rPr>
        <w:t>5</w:t>
      </w:r>
    </w:p>
    <w:p>
      <w:pPr>
        <w:pStyle w:val="13"/>
        <w:adjustRightInd w:val="0"/>
        <w:snapToGrid w:val="0"/>
        <w:spacing w:line="576" w:lineRule="exact"/>
        <w:jc w:val="left"/>
        <w:rPr>
          <w:rFonts w:hint="eastAsia" w:eastAsia="仿宋_GB2312"/>
          <w:sz w:val="32"/>
          <w:szCs w:val="32"/>
          <w:lang w:eastAsia="zh-CN"/>
        </w:rPr>
      </w:pPr>
      <w:r>
        <w:rPr>
          <w:rFonts w:eastAsia="仿宋_GB2312"/>
          <w:sz w:val="32"/>
          <w:szCs w:val="32"/>
        </w:rPr>
        <w:t>十四、国有资本经营预算财政拨款支出决算表</w:t>
      </w:r>
      <w:r>
        <w:rPr>
          <w:rFonts w:hint="eastAsia" w:eastAsia="仿宋_GB2312"/>
          <w:sz w:val="32"/>
          <w:szCs w:val="32"/>
        </w:rPr>
        <w:tab/>
      </w:r>
      <w:r>
        <w:rPr>
          <w:rFonts w:hint="eastAsia" w:eastAsia="仿宋_GB2312"/>
          <w:sz w:val="32"/>
          <w:szCs w:val="32"/>
        </w:rPr>
        <w:t>2</w:t>
      </w:r>
      <w:r>
        <w:rPr>
          <w:rFonts w:hint="eastAsia" w:eastAsia="仿宋_GB2312"/>
          <w:sz w:val="32"/>
          <w:szCs w:val="32"/>
          <w:lang w:val="en-US" w:eastAsia="zh-CN"/>
        </w:rPr>
        <w:t>5</w:t>
      </w:r>
    </w:p>
    <w:p/>
    <w:p>
      <w:pPr>
        <w:spacing w:line="576" w:lineRule="exact"/>
        <w:jc w:val="center"/>
        <w:rPr>
          <w:rFonts w:ascii="仿宋" w:hAnsi="仿宋" w:eastAsia="仿宋"/>
          <w:sz w:val="24"/>
        </w:rPr>
      </w:pPr>
    </w:p>
    <w:p>
      <w:pPr>
        <w:widowControl/>
        <w:spacing w:line="440" w:lineRule="exact"/>
        <w:jc w:val="left"/>
        <w:rPr>
          <w:rFonts w:ascii="仿宋" w:hAnsi="仿宋" w:eastAsia="仿宋"/>
          <w:b/>
          <w:sz w:val="24"/>
        </w:rPr>
        <w:sectPr>
          <w:headerReference r:id="rId3" w:type="default"/>
          <w:pgSz w:w="11906" w:h="16838"/>
          <w:pgMar w:top="2098" w:right="1474" w:bottom="1984" w:left="1587" w:header="851" w:footer="992" w:gutter="0"/>
          <w:pgNumType w:start="1"/>
          <w:cols w:space="425" w:num="1"/>
          <w:titlePg/>
          <w:docGrid w:type="lines" w:linePitch="312" w:charSpace="0"/>
        </w:sectPr>
      </w:pPr>
      <w:bookmarkStart w:id="30" w:name="_Toc15396599"/>
      <w:bookmarkStart w:id="31" w:name="_Toc15377196"/>
    </w:p>
    <w:p>
      <w:pPr>
        <w:pStyle w:val="4"/>
        <w:jc w:val="center"/>
        <w:rPr>
          <w:rStyle w:val="28"/>
          <w:rFonts w:ascii="黑体" w:hAnsi="黑体" w:eastAsia="黑体"/>
          <w:b/>
          <w:bCs w:val="0"/>
        </w:rPr>
      </w:pPr>
      <w:r>
        <w:rPr>
          <w:rFonts w:hint="eastAsia" w:ascii="黑体" w:hAnsi="黑体" w:eastAsia="黑体"/>
          <w:b w:val="0"/>
        </w:rPr>
        <w:t>第一部分 单位</w:t>
      </w:r>
      <w:r>
        <w:rPr>
          <w:rStyle w:val="28"/>
          <w:rFonts w:hint="eastAsia" w:ascii="黑体" w:hAnsi="黑体" w:eastAsia="黑体"/>
          <w:b w:val="0"/>
          <w:bCs w:val="0"/>
        </w:rPr>
        <w:t>概况</w:t>
      </w:r>
      <w:bookmarkEnd w:id="30"/>
      <w:bookmarkEnd w:id="31"/>
    </w:p>
    <w:p>
      <w:pPr>
        <w:pStyle w:val="5"/>
        <w:spacing w:before="0" w:after="0"/>
        <w:ind w:firstLine="640" w:firstLineChars="200"/>
        <w:rPr>
          <w:rStyle w:val="29"/>
          <w:rFonts w:ascii="黑体" w:hAnsi="黑体" w:eastAsia="黑体"/>
          <w:b w:val="0"/>
          <w:bCs w:val="0"/>
        </w:rPr>
      </w:pPr>
      <w:bookmarkStart w:id="32" w:name="_Toc15377197"/>
      <w:bookmarkStart w:id="33" w:name="_Toc15396600"/>
      <w:r>
        <w:rPr>
          <w:rStyle w:val="29"/>
          <w:rFonts w:hint="eastAsia" w:ascii="黑体" w:hAnsi="黑体" w:eastAsia="黑体"/>
          <w:b w:val="0"/>
          <w:bCs w:val="0"/>
        </w:rPr>
        <w:t>一、职能简介</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贯彻落实国家、省、市有关商务和经济合作的各项方针、政策和法律、法规；拟订全区商务和经济合作工作的发展战略、发展规划、年度计划、政策措施；负责全区商务和经济合作工作的统筹协调，研究拟订促进全区商务、经济合作的相关措施并监督实施；负责对全区商务和经济合作目标责任单位的专项考核工作。</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负责经济合作项目的编制、储备、包装、论证、推介工作；负责经济合作信息的收集、追踪工作；牵头经济合作项目的洽谈、跟踪、签约、协调、督促，搞好“一站式”服务；负责与我区驻各地商会、知名企业等组织的对外联络、咨询服务等工作；负责经济合作项目统计及上报工作。</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承担全区服务业发展工作中组织实施的协调职责，牵头制定全区现代服务业发展规划，负责现代服务业发展的综合协调、指导职责；调查研究现代服务业发展中的重大问题，提出政策建议。负责批发、零售、餐饮业、娱乐业、住宿业和居民服务业等行业的发展指导，按有关规定对典当、租赁、旧货市场等行业进行监督管理，负责汽车报废及更新、药品流通、再生资源回收等行业指导管理工作。</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研究提出引导国内外资金投向区内市场体系建设的具体政策措施，制定全区商贸流通发展规划和物流规划并组织实施；培育建设全区商贸流通体系，发展城乡市场；推进流通产业结构调整，发展连锁经营、物流配送、电子商务等现代流通方式；协调商品市场建设和商业设施建设中的有关问题；指导全区流通领域建立现代企业制度工作，促进城乡市场一体化发展。</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承担牵头协调全区整顿和规范市场经济秩序工作的责任；落实国家、省、市规范市场运行、流通秩序和打破市场垄断、地区封锁的政策；推动商务领域信用建设，指导商业信用销售，建立市场诚信公共服务平台；负责全区内外贸易有关行政许可事项。</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6.承担组织实施重要消费品市场调控和重要生产资料流通管理的责任；监测分析市场运行、商品供求状况，调查分析商品价格信息，进行预测预警和信息引导和市场调控工作。</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7.执行国家制定的进出口商品管理办法、进出口目录和进出口商品配额招标政策；负责进出口配额、许可证申报、实施的协调与指导工作；负责上级下达我区关系国计民生的重要工业品、原材料及重要农产品进出口计划的实施；贯彻落实鼓励出口政策，研究推广国际贸易方式，指导各类进出口业务相关工作。</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8.依法监督技术引进、设备进口、国家限制出口技术等工作；推进进出口贸易标准化工作；牵头负责发展服务贸易的相关工作，推动服务外包平台建设。</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9.贯彻执行对港、澳、台地区的经贸政策、贸易中长期规划及管理规章；指导全区的经贸机构与港澳台地区有关经贸机构开展经贸合作。</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10.承担组织协调我区反倾销、反补贴保障措施和技术性贸易壁垒等与进出口公平贸易相关工作的责任；牵头开展对外贸易调查、产业损害调查；指导协调产业安全应对、企业在国外的反垄断应诉工作和国外对我区出口商品的反倾销、反补贴保障措施的应诉工作。</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11.贯彻国家、省、市外商投资政策和改革方案，指导全区外商投资工作；统计分析全区外商投资情况，依法监督检查外商投资企业执行有关法律法规规章、合同章程的情况并协调解决有关问题。</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12.负责全区对外经济合作工作，执行对外经济合作政策；依法管理和监督对外承包工程、对外劳务合作和出境就业工作；会同相关部门做好外派劳务和赴境外就业人员的权益保护工作；管理多双边对我区的无偿援助和赠款（不含财政合作项目下外国政府及国际金融组织对我区赠款）等发展合作业务。</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13.指导监督以昭化区名义在区外举办的各种交易会、展览会、展销会等经贸活动；监督管理在区内举办的各种商贸交易会、展览会、展销会等活动；牵头协调有关部门参加国家、省、市举办的各种商贸交易会、展览会、展销会等工作。负责友好城市商贸活动交流与合作工作。</w:t>
      </w:r>
    </w:p>
    <w:p>
      <w:pPr>
        <w:snapToGrid w:val="0"/>
        <w:spacing w:line="52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14.完成区委和区政府交办的其他任务。</w:t>
      </w:r>
    </w:p>
    <w:p>
      <w:pPr>
        <w:snapToGrid w:val="0"/>
        <w:spacing w:line="520" w:lineRule="exact"/>
        <w:ind w:firstLine="640" w:firstLineChars="200"/>
        <w:rPr>
          <w:rFonts w:ascii="仿宋" w:hAnsi="仿宋" w:eastAsia="仿宋"/>
          <w:bCs/>
          <w:color w:val="000000"/>
          <w:sz w:val="32"/>
          <w:szCs w:val="32"/>
        </w:rPr>
      </w:pPr>
      <w:r>
        <w:rPr>
          <w:rFonts w:hint="eastAsia" w:ascii="仿宋_GB2312" w:hAnsi="仿宋_GB2312" w:eastAsia="仿宋_GB2312" w:cs="仿宋_GB2312"/>
          <w:sz w:val="32"/>
          <w:szCs w:val="32"/>
        </w:rPr>
        <w:t>15.承办区政府交办的其他事项。</w:t>
      </w:r>
    </w:p>
    <w:p>
      <w:pPr>
        <w:pStyle w:val="5"/>
        <w:spacing w:before="0" w:after="0"/>
        <w:ind w:firstLine="640" w:firstLineChars="200"/>
        <w:rPr>
          <w:rFonts w:ascii="黑体" w:hAnsi="黑体" w:eastAsia="黑体"/>
          <w:b w:val="0"/>
        </w:rPr>
      </w:pPr>
      <w:r>
        <w:rPr>
          <w:rFonts w:hint="eastAsia" w:ascii="黑体" w:hAnsi="黑体" w:eastAsia="黑体"/>
          <w:b w:val="0"/>
        </w:rPr>
        <w:t>二、2021年重点工作</w:t>
      </w:r>
      <w:bookmarkEnd w:id="32"/>
      <w:bookmarkEnd w:id="33"/>
      <w:r>
        <w:rPr>
          <w:rFonts w:hint="eastAsia" w:ascii="黑体" w:hAnsi="黑体" w:eastAsia="黑体"/>
          <w:b w:val="0"/>
        </w:rPr>
        <w:t>完成情况</w:t>
      </w:r>
    </w:p>
    <w:p>
      <w:pPr>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（一）主要目标任务完成情况。</w:t>
      </w:r>
      <w:r>
        <w:rPr>
          <w:rFonts w:hint="eastAsia" w:ascii="仿宋_GB2312" w:hAnsi="仿宋_GB2312" w:eastAsia="仿宋_GB2312" w:cs="仿宋_GB2312"/>
          <w:sz w:val="32"/>
          <w:szCs w:val="32"/>
        </w:rPr>
        <w:t>服务业增加值实现19.06亿元、同比增长9.5%；社消零总额实现28.8亿元、同比增长18.6%；培育限上商贸企业4家，完成市下目标任务的200%；培育规上服务业企业1家，完成市下目标任务的100%；外贸进出口实现进出口总额57.14万元，完成全年目标任务5.3%；外商投资FDI（外商直接投资）到位资金310万美元，超额完成全年目标任务。新签约亿元以上项目16个，新开工亿元以上项目14个，均超额完成目标任务，招商引资到位资金75.71亿元，完成目标任务的103.7%。</w:t>
      </w:r>
    </w:p>
    <w:p>
      <w:pPr>
        <w:spacing w:line="570" w:lineRule="exact"/>
        <w:ind w:firstLine="640" w:firstLineChars="200"/>
        <w:rPr>
          <w:rFonts w:ascii="仿宋_GB2312" w:hAnsi="仿宋_GB2312" w:eastAsia="仿宋_GB2312" w:cs="仿宋_GB2312"/>
          <w:kern w:val="0"/>
          <w:sz w:val="32"/>
          <w:szCs w:val="32"/>
        </w:rPr>
      </w:pPr>
      <w:r>
        <w:rPr>
          <w:rFonts w:hint="eastAsia" w:ascii="楷体" w:hAnsi="楷体" w:eastAsia="楷体" w:cs="楷体"/>
          <w:sz w:val="32"/>
          <w:szCs w:val="32"/>
        </w:rPr>
        <w:t>（二）坚定不移抓发展，两上”企业培育“成效明显。</w:t>
      </w:r>
      <w:r>
        <w:rPr>
          <w:rFonts w:hint="eastAsia" w:ascii="仿宋_GB2312" w:hAnsi="仿宋_GB2312" w:eastAsia="仿宋_GB2312" w:cs="仿宋_GB2312"/>
          <w:kern w:val="0"/>
          <w:sz w:val="32"/>
          <w:szCs w:val="32"/>
        </w:rPr>
        <w:t>对全区服务业企业、个体户现状进行全面摸底调查，建立服务业主体培育名录库，落实培育规划，确保企业梯次入库。紧紧围绕年初拟上限进规企业名单，强化入库申报指导，确保限上区内符合条件的商贸企业、规上服务业企业分批次均衡入库。强力抓好“个转企”培育，广泛宣传促进民营经济健康发展的相关扶持政策，争取已达上限标准的个体注册为企业，并纳入下年度入库计划。全区上限商贸企业31家、进规服务企业8家。</w:t>
      </w:r>
    </w:p>
    <w:p>
      <w:pPr>
        <w:spacing w:line="576"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（三）坚定不移抓电商，不断壮大电商物流。</w:t>
      </w:r>
      <w:r>
        <w:rPr>
          <w:rFonts w:hint="eastAsia" w:ascii="仿宋_GB2312" w:hAnsi="仿宋_GB2312" w:eastAsia="仿宋_GB2312" w:cs="仿宋_GB2312"/>
          <w:sz w:val="32"/>
          <w:szCs w:val="32"/>
        </w:rPr>
        <w:t>坚持“市场主体+政府引导”原则，成功打造区级电商物流产业园，并引进中通、邮政、万农合创等12家电商物流企业入园运营，建成1000㎡电商仓储物流配送中心，配备专用设施设备，基本形成了集电商销售、数据支持服务、产品仓储（冷藏）、物流中转配送等功能于一体的“电商+物流”融合发展园区。依托万农合创等企业，在微信开设四川扶贫应用小程序，专门负责销售昭化优质农特产品，目前已上线产品20余种。开展“以购代销”活动，在“朋友圈”进行广泛推送。通过微信小程序销售扶贫产品560余万元。在天猫、京东、工行融E购、农行掌银、扶贫832等平台开通扶贫产品专营店30余家网络店铺，畅通网销渠道。实现农产品网销额2.01亿元，同比增长45%。</w:t>
      </w:r>
    </w:p>
    <w:p>
      <w:pPr>
        <w:spacing w:line="570"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（四）坚定不移抓招商，全面激发经济活力。</w:t>
      </w:r>
      <w:r>
        <w:rPr>
          <w:rFonts w:hint="eastAsia" w:ascii="仿宋_GB2312" w:hAnsi="仿宋_GB2312" w:eastAsia="仿宋_GB2312" w:cs="仿宋_GB2312"/>
          <w:sz w:val="32"/>
          <w:szCs w:val="32"/>
        </w:rPr>
        <w:t>紧盯我区重点发展产业，有针对性地策划储备食品加工、家具建材、旅游康养、仓储物流等重点招引项目44个，投资总额达310亿元。加大项目推介洽谈工作力度，紧盯目标跟踪洽谈，积极参加省市平台组织的大型招商活动，今年以来，组织参加知名企业四川行、第十八届西博会、浙广合作推介会等多次省级活动。外出招商30余次。组织全区招商引资项目集中签约活动3次，共签约项目42个，签约资金150.5亿元，促成广元康家湾“四季春天”康养产业新城、平乐多彩水世界等一批项目落户昭化。</w:t>
      </w:r>
    </w:p>
    <w:p>
      <w:pPr>
        <w:widowControl/>
        <w:spacing w:line="576" w:lineRule="exact"/>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（五）坚定不移抓疫情防控，筑牢疫情防线。</w:t>
      </w:r>
      <w:r>
        <w:rPr>
          <w:rFonts w:hint="eastAsia" w:ascii="仿宋_GB2312" w:hAnsi="仿宋_GB2312" w:eastAsia="仿宋_GB2312" w:cs="仿宋_GB2312"/>
          <w:sz w:val="32"/>
          <w:szCs w:val="32"/>
        </w:rPr>
        <w:t>党组定期组织召开疫情防控工作会议，组织学习传达各级疫情防控会议精神和疫情防控政策，解决工作中存在的困难和问题；与企业签订《疫情防控承诺书》，发放《疫情防控法律责任风险提示》《酒店宾馆疫情防控告知书》200余份，进一步压实企业疫情防控主体责任，切实绷紧疫情防控弦。常态化开展疫情防控监督检查，重点检查企业“一码三查”、戴口罩、测体温、“一米线”、核酸检测、疫苗接种等疫情防控措施落实情况，做到现场检查发现的问题，现场交办，跟踪督促企业问题整改到位，集中开展监督检查26场次220余家，开展疫情防控宣传14场次，发放宣传资料3000余份。全面做好生活必需品保供。落实保供生产企业4家、保供企业9家、保供生产基地16家、应急运输车辆30辆、应急物资运输中转站2个、物资接收总站点12个、末端配送队伍573名。全区物资储备情况：肉200吨、粮食4400吨、油5040吨、蔬菜2548吨（时令）、蛋27.5吨、方便食品16吨、奶制品1200件，充分保障全区15天的生活物资需求。</w:t>
      </w:r>
    </w:p>
    <w:p>
      <w:pPr>
        <w:ind w:firstLine="640" w:firstLineChars="200"/>
        <w:rPr>
          <w:rFonts w:ascii="仿宋_GB2312" w:hAnsi="仿宋_GB2312" w:eastAsia="仿宋_GB2312" w:cs="仿宋_GB2312"/>
          <w:sz w:val="32"/>
          <w:szCs w:val="32"/>
        </w:rPr>
      </w:pPr>
      <w:r>
        <w:rPr>
          <w:rFonts w:hint="eastAsia" w:ascii="楷体" w:hAnsi="楷体" w:eastAsia="楷体" w:cs="楷体"/>
          <w:sz w:val="32"/>
          <w:szCs w:val="32"/>
        </w:rPr>
        <w:t>（六）坚定不移抓安全，守牢安全底线。</w:t>
      </w:r>
      <w:r>
        <w:rPr>
          <w:rFonts w:hint="eastAsia" w:ascii="仿宋_GB2312" w:hAnsi="仿宋_GB2312" w:eastAsia="仿宋_GB2312" w:cs="仿宋_GB2312"/>
          <w:sz w:val="32"/>
          <w:szCs w:val="32"/>
        </w:rPr>
        <w:t>采取日常监督检查与专项整治相结合、集中整治与联合检查的方式相结合，紧盯商超、酒店、汽车4S店重点企业，在春节、五一、国庆等重点时段、展销等重大活动开展常态化安全生产监督检查，尤其是做好商贸服务行业用电、食品、房屋、燃气、消防等安全工作的监督检查，做到检查无死角、无漏洞、无盲区，确保安全工作责任到位、安全投入到位、安全教育培训到位、安全管理到位。以深入开展“安全生产月”活动为契机，扎实开展安全隐患排查整治，对于检查排查出来的安全隐患，督促企业建立问题台账和整改销号台账，发现一处、整改一处、销号一处，切实堵塞安全工作的漏洞。检查商场超市、酒店、4S店等商贸经营场所248家次，排查安全隐患26个，已全部整改到位，签订安全承诺书60余份，开展安全生产宣传6次，发放宣传资料2000余份。</w:t>
      </w:r>
    </w:p>
    <w:p>
      <w:pPr>
        <w:ind w:firstLine="640" w:firstLineChars="200"/>
        <w:rPr>
          <w:rFonts w:ascii="仿宋_GB2312" w:hAnsi="仿宋_GB2312" w:eastAsia="仿宋_GB2312" w:cs="仿宋_GB2312"/>
          <w:sz w:val="32"/>
          <w:szCs w:val="32"/>
        </w:rPr>
      </w:pPr>
      <w:r>
        <w:rPr>
          <w:rFonts w:hint="eastAsia" w:ascii="楷体" w:hAnsi="楷体" w:eastAsia="楷体" w:cs="楷体"/>
          <w:sz w:val="32"/>
          <w:szCs w:val="32"/>
        </w:rPr>
        <w:t>（七）坚定不移抓党建、廉政建设，营造风清气正的政治生态。</w:t>
      </w:r>
      <w:r>
        <w:rPr>
          <w:rFonts w:hint="eastAsia" w:ascii="仿宋_GB2312" w:hAnsi="仿宋_GB2312" w:eastAsia="仿宋_GB2312" w:cs="仿宋_GB2312"/>
          <w:sz w:val="32"/>
          <w:szCs w:val="32"/>
        </w:rPr>
        <w:t>深入学习贯彻习近平新时代中国特色社会主义思想、党的十九届六中全会</w:t>
      </w:r>
      <w:bookmarkStart w:id="85" w:name="_GoBack"/>
      <w:bookmarkEnd w:id="85"/>
      <w:r>
        <w:rPr>
          <w:rFonts w:hint="eastAsia" w:ascii="仿宋_GB2312" w:hAnsi="仿宋_GB2312" w:eastAsia="仿宋_GB2312" w:cs="仿宋_GB2312"/>
          <w:sz w:val="32"/>
          <w:szCs w:val="32"/>
        </w:rPr>
        <w:t>精神和省市区全会精神，教育引导党员干部树牢“四个意识”，坚定“四个自信”，坚决做到“两个维护”。定期召开党建工作专题会，安排部署党建工作，坚持党建工作和业务工作同谋划、同部署、同落实、同考核。严格落实“三会课” 、主题党日、谈心谈话等制度，加强党员干部教育管理，督促党员领导干部参加双重组织生活。发挥党建促乡村振兴作用，持续驻村帮扶，做到真帮实助，采取以购代销方式，帮助销售农特产品164枚155万元。深化党风廉政建设和作风建设工作。召开党风廉政建设专题会议4次，警示教育大会2次，开展党风廉政建设社会评价1次，上廉政党课6次。进一步筑牢党员廉政防线，打造了一支素质好、能干事、想干事、作风优良的干部队伍。</w:t>
      </w:r>
    </w:p>
    <w:p>
      <w:pPr>
        <w:widowControl/>
        <w:jc w:val="left"/>
        <w:rPr>
          <w:rFonts w:ascii="仿宋" w:hAnsi="仿宋" w:eastAsia="仿宋"/>
          <w:kern w:val="0"/>
          <w:sz w:val="32"/>
          <w:szCs w:val="32"/>
        </w:rPr>
      </w:pPr>
      <w:r>
        <w:rPr>
          <w:rFonts w:ascii="仿宋" w:hAnsi="仿宋" w:eastAsia="仿宋"/>
          <w:sz w:val="32"/>
          <w:szCs w:val="32"/>
        </w:rPr>
        <w:br w:type="page"/>
      </w:r>
    </w:p>
    <w:p>
      <w:pPr>
        <w:pStyle w:val="4"/>
        <w:ind w:right="440"/>
        <w:jc w:val="center"/>
        <w:rPr>
          <w:rStyle w:val="28"/>
          <w:rFonts w:ascii="黑体" w:hAnsi="黑体" w:eastAsia="黑体"/>
          <w:b w:val="0"/>
          <w:bCs/>
        </w:rPr>
      </w:pPr>
      <w:bookmarkStart w:id="34" w:name="_Toc15377204"/>
      <w:bookmarkStart w:id="35" w:name="_Toc15396602"/>
      <w:r>
        <w:rPr>
          <w:rFonts w:hint="eastAsia" w:ascii="黑体" w:hAnsi="黑体" w:eastAsia="黑体"/>
          <w:b w:val="0"/>
        </w:rPr>
        <w:t>第二部分 2021年度</w:t>
      </w:r>
      <w:r>
        <w:rPr>
          <w:rStyle w:val="28"/>
          <w:rFonts w:hint="eastAsia" w:ascii="黑体" w:hAnsi="黑体" w:eastAsia="黑体"/>
          <w:b w:val="0"/>
          <w:bCs/>
        </w:rPr>
        <w:t>单位决算情况说明</w:t>
      </w:r>
      <w:bookmarkEnd w:id="34"/>
      <w:bookmarkEnd w:id="35"/>
    </w:p>
    <w:p>
      <w:pPr>
        <w:pStyle w:val="27"/>
        <w:numPr>
          <w:ilvl w:val="0"/>
          <w:numId w:val="1"/>
        </w:numPr>
        <w:spacing w:line="600" w:lineRule="exact"/>
        <w:ind w:firstLineChars="0"/>
        <w:outlineLvl w:val="1"/>
        <w:rPr>
          <w:rStyle w:val="29"/>
          <w:rFonts w:ascii="黑体" w:hAnsi="黑体" w:eastAsia="黑体"/>
          <w:b w:val="0"/>
        </w:rPr>
      </w:pPr>
      <w:bookmarkStart w:id="36" w:name="_Toc15396603"/>
      <w:bookmarkStart w:id="37" w:name="_Toc15377205"/>
      <w:r>
        <w:rPr>
          <w:rFonts w:hint="eastAsia" w:ascii="黑体" w:hAnsi="黑体" w:eastAsia="黑体"/>
          <w:sz w:val="32"/>
          <w:szCs w:val="32"/>
        </w:rPr>
        <w:t>收</w:t>
      </w:r>
      <w:r>
        <w:rPr>
          <w:rStyle w:val="29"/>
          <w:rFonts w:hint="eastAsia" w:ascii="黑体" w:hAnsi="黑体" w:eastAsia="黑体"/>
          <w:b w:val="0"/>
        </w:rPr>
        <w:t>入支出决算总体情况说明</w:t>
      </w:r>
      <w:bookmarkEnd w:id="36"/>
      <w:bookmarkEnd w:id="37"/>
    </w:p>
    <w:p>
      <w:pPr>
        <w:spacing w:line="600" w:lineRule="exact"/>
        <w:ind w:firstLine="640" w:firstLineChars="200"/>
        <w:rPr>
          <w:rFonts w:ascii="仿宋" w:hAnsi="仿宋" w:eastAsia="仿宋"/>
          <w:sz w:val="32"/>
          <w:szCs w:val="32"/>
        </w:rPr>
      </w:pPr>
      <w:r>
        <w:rPr>
          <w:rFonts w:hint="eastAsia" w:ascii="仿宋" w:hAnsi="仿宋" w:eastAsia="仿宋"/>
          <w:sz w:val="32"/>
          <w:szCs w:val="32"/>
        </w:rPr>
        <w:t>2021年度收、支总计646.87万元。与2020年相比，收、支总计各减少1111.95万元，下降63.22</w:t>
      </w:r>
      <w:r>
        <w:rPr>
          <w:rFonts w:ascii="仿宋" w:hAnsi="仿宋" w:eastAsia="仿宋"/>
          <w:sz w:val="32"/>
          <w:szCs w:val="32"/>
        </w:rPr>
        <w:t>%</w:t>
      </w:r>
      <w:r>
        <w:rPr>
          <w:rFonts w:hint="eastAsia" w:ascii="仿宋" w:hAnsi="仿宋" w:eastAsia="仿宋"/>
          <w:sz w:val="32"/>
          <w:szCs w:val="32"/>
        </w:rPr>
        <w:t>。主要变动原因：一是上年结转项目支出43.95万元；二是本年度较上年度少安排政府性基金预算1134.64。</w:t>
      </w:r>
    </w:p>
    <w:p>
      <w:pPr>
        <w:pStyle w:val="2"/>
        <w:spacing w:before="93"/>
        <w:jc w:val="center"/>
      </w:pPr>
      <w:r>
        <w:drawing>
          <wp:inline distT="0" distB="0" distL="0" distR="0">
            <wp:extent cx="4544695" cy="2893060"/>
            <wp:effectExtent l="0" t="0" r="0" b="0"/>
            <wp:docPr id="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pic:cNvPicPr>
                      <a:picLocks noChangeAspect="1" noChangeArrowheads="1"/>
                    </pic:cNvPicPr>
                  </pic:nvPicPr>
                  <pic:blipFill>
                    <a:blip r:embed="rId6"/>
                    <a:srcRect/>
                    <a:stretch>
                      <a:fillRect/>
                    </a:stretch>
                  </pic:blipFill>
                  <pic:spPr>
                    <a:xfrm>
                      <a:off x="0" y="0"/>
                      <a:ext cx="4544695" cy="2893060"/>
                    </a:xfrm>
                    <a:prstGeom prst="rect">
                      <a:avLst/>
                    </a:prstGeom>
                    <a:noFill/>
                    <a:ln w="9525">
                      <a:noFill/>
                      <a:miter lim="800000"/>
                      <a:headEnd/>
                      <a:tailEnd/>
                    </a:ln>
                  </pic:spPr>
                </pic:pic>
              </a:graphicData>
            </a:graphic>
          </wp:inline>
        </w:drawing>
      </w:r>
    </w:p>
    <w:p>
      <w:pPr>
        <w:pStyle w:val="27"/>
        <w:numPr>
          <w:ilvl w:val="0"/>
          <w:numId w:val="1"/>
        </w:numPr>
        <w:spacing w:line="600" w:lineRule="exact"/>
        <w:ind w:firstLineChars="0"/>
        <w:outlineLvl w:val="1"/>
        <w:rPr>
          <w:rStyle w:val="29"/>
          <w:rFonts w:ascii="黑体" w:hAnsi="黑体" w:eastAsia="黑体"/>
          <w:b w:val="0"/>
        </w:rPr>
      </w:pPr>
      <w:bookmarkStart w:id="38" w:name="_Toc15396604"/>
      <w:bookmarkStart w:id="39" w:name="_Toc15377206"/>
      <w:r>
        <w:rPr>
          <w:rFonts w:hint="eastAsia" w:ascii="黑体" w:hAnsi="黑体" w:eastAsia="黑体"/>
          <w:sz w:val="32"/>
          <w:szCs w:val="32"/>
        </w:rPr>
        <w:t>收</w:t>
      </w:r>
      <w:r>
        <w:rPr>
          <w:rStyle w:val="29"/>
          <w:rFonts w:hint="eastAsia" w:ascii="黑体" w:hAnsi="黑体" w:eastAsia="黑体"/>
          <w:b w:val="0"/>
        </w:rPr>
        <w:t>入决算情况说明</w:t>
      </w:r>
      <w:bookmarkEnd w:id="38"/>
      <w:bookmarkEnd w:id="39"/>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21年本年收入合计602.92万元，其中：一般公共预算财政拨款收入452.84万元，占75.11</w:t>
      </w:r>
      <w:r>
        <w:rPr>
          <w:rFonts w:ascii="仿宋" w:hAnsi="仿宋" w:eastAsia="仿宋"/>
          <w:sz w:val="32"/>
          <w:szCs w:val="32"/>
        </w:rPr>
        <w:t>%</w:t>
      </w:r>
      <w:r>
        <w:rPr>
          <w:rFonts w:hint="eastAsia" w:ascii="仿宋" w:hAnsi="仿宋" w:eastAsia="仿宋"/>
          <w:sz w:val="32"/>
          <w:szCs w:val="32"/>
        </w:rPr>
        <w:t>；政府性基金预算财政拨款收入150.08万元，占24.89</w:t>
      </w:r>
      <w:r>
        <w:rPr>
          <w:rFonts w:ascii="仿宋" w:hAnsi="仿宋" w:eastAsia="仿宋"/>
          <w:sz w:val="32"/>
          <w:szCs w:val="32"/>
        </w:rPr>
        <w:t>%</w:t>
      </w:r>
      <w:r>
        <w:rPr>
          <w:rFonts w:hint="eastAsia" w:ascii="仿宋" w:hAnsi="仿宋" w:eastAsia="仿宋"/>
          <w:sz w:val="32"/>
          <w:szCs w:val="32"/>
        </w:rPr>
        <w:t>。</w:t>
      </w:r>
    </w:p>
    <w:p>
      <w:pPr>
        <w:pStyle w:val="2"/>
        <w:spacing w:before="93"/>
        <w:jc w:val="center"/>
      </w:pPr>
      <w:r>
        <w:drawing>
          <wp:inline distT="0" distB="0" distL="0" distR="0">
            <wp:extent cx="3614420" cy="2810510"/>
            <wp:effectExtent l="0" t="0" r="508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7"/>
                    <a:srcRect/>
                    <a:stretch>
                      <a:fillRect/>
                    </a:stretch>
                  </pic:blipFill>
                  <pic:spPr>
                    <a:xfrm>
                      <a:off x="0" y="0"/>
                      <a:ext cx="3614420" cy="2810510"/>
                    </a:xfrm>
                    <a:prstGeom prst="rect">
                      <a:avLst/>
                    </a:prstGeom>
                    <a:noFill/>
                    <a:ln w="9525">
                      <a:noFill/>
                      <a:miter lim="800000"/>
                      <a:headEnd/>
                      <a:tailEnd/>
                    </a:ln>
                  </pic:spPr>
                </pic:pic>
              </a:graphicData>
            </a:graphic>
          </wp:inline>
        </w:drawing>
      </w:r>
    </w:p>
    <w:p>
      <w:pPr>
        <w:pStyle w:val="27"/>
        <w:numPr>
          <w:ilvl w:val="0"/>
          <w:numId w:val="1"/>
        </w:numPr>
        <w:spacing w:line="600" w:lineRule="exact"/>
        <w:ind w:firstLineChars="0"/>
        <w:outlineLvl w:val="1"/>
        <w:rPr>
          <w:rStyle w:val="29"/>
          <w:rFonts w:ascii="黑体" w:hAnsi="黑体" w:eastAsia="黑体"/>
          <w:b w:val="0"/>
        </w:rPr>
      </w:pPr>
      <w:bookmarkStart w:id="40" w:name="_Toc15377207"/>
      <w:bookmarkStart w:id="41" w:name="_Toc15396605"/>
      <w:r>
        <w:rPr>
          <w:rFonts w:hint="eastAsia" w:ascii="黑体" w:hAnsi="黑体" w:eastAsia="黑体"/>
          <w:sz w:val="32"/>
          <w:szCs w:val="32"/>
        </w:rPr>
        <w:t>支</w:t>
      </w:r>
      <w:r>
        <w:rPr>
          <w:rStyle w:val="29"/>
          <w:rFonts w:hint="eastAsia" w:ascii="黑体" w:hAnsi="黑体" w:eastAsia="黑体"/>
          <w:b w:val="0"/>
        </w:rPr>
        <w:t>出决算情况说明</w:t>
      </w:r>
      <w:bookmarkEnd w:id="40"/>
      <w:bookmarkEnd w:id="41"/>
    </w:p>
    <w:p>
      <w:pPr>
        <w:spacing w:line="600" w:lineRule="exact"/>
        <w:ind w:firstLine="640" w:firstLineChars="200"/>
        <w:outlineLvl w:val="1"/>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21年本年支出合计646.87万元，其中：基本支出252.92万元，占39.1</w:t>
      </w:r>
      <w:r>
        <w:rPr>
          <w:rFonts w:ascii="仿宋" w:hAnsi="仿宋" w:eastAsia="仿宋"/>
          <w:sz w:val="32"/>
          <w:szCs w:val="32"/>
        </w:rPr>
        <w:t>%</w:t>
      </w:r>
      <w:r>
        <w:rPr>
          <w:rFonts w:hint="eastAsia" w:ascii="仿宋" w:hAnsi="仿宋" w:eastAsia="仿宋"/>
          <w:sz w:val="32"/>
          <w:szCs w:val="32"/>
        </w:rPr>
        <w:t>；项目支出393.95万元，占60.9</w:t>
      </w:r>
      <w:r>
        <w:rPr>
          <w:rFonts w:ascii="仿宋" w:hAnsi="仿宋" w:eastAsia="仿宋"/>
          <w:sz w:val="32"/>
          <w:szCs w:val="32"/>
        </w:rPr>
        <w:t>%</w:t>
      </w:r>
      <w:r>
        <w:rPr>
          <w:rFonts w:hint="eastAsia" w:ascii="仿宋" w:hAnsi="仿宋" w:eastAsia="仿宋"/>
          <w:sz w:val="32"/>
          <w:szCs w:val="32"/>
        </w:rPr>
        <w:t>。</w:t>
      </w:r>
    </w:p>
    <w:p>
      <w:pPr>
        <w:pStyle w:val="2"/>
        <w:spacing w:before="93"/>
        <w:jc w:val="center"/>
      </w:pPr>
      <w:r>
        <w:drawing>
          <wp:inline distT="0" distB="0" distL="0" distR="0">
            <wp:extent cx="3115945" cy="2751455"/>
            <wp:effectExtent l="0" t="0" r="0" b="1079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noChangeArrowheads="1"/>
                    </pic:cNvPicPr>
                  </pic:nvPicPr>
                  <pic:blipFill>
                    <a:blip r:embed="rId8"/>
                    <a:srcRect/>
                    <a:stretch>
                      <a:fillRect/>
                    </a:stretch>
                  </pic:blipFill>
                  <pic:spPr>
                    <a:xfrm>
                      <a:off x="0" y="0"/>
                      <a:ext cx="3115945" cy="2751455"/>
                    </a:xfrm>
                    <a:prstGeom prst="rect">
                      <a:avLst/>
                    </a:prstGeom>
                    <a:noFill/>
                    <a:ln w="9525">
                      <a:noFill/>
                      <a:miter lim="800000"/>
                      <a:headEnd/>
                      <a:tailEnd/>
                    </a:ln>
                  </pic:spPr>
                </pic:pic>
              </a:graphicData>
            </a:graphic>
          </wp:inline>
        </w:drawing>
      </w:r>
    </w:p>
    <w:p>
      <w:pPr>
        <w:spacing w:line="600" w:lineRule="exact"/>
        <w:ind w:firstLine="640" w:firstLineChars="200"/>
        <w:outlineLvl w:val="1"/>
        <w:rPr>
          <w:rStyle w:val="29"/>
          <w:rFonts w:ascii="黑体" w:hAnsi="黑体" w:eastAsia="黑体"/>
          <w:b w:val="0"/>
        </w:rPr>
      </w:pPr>
      <w:bookmarkStart w:id="42" w:name="_Toc15377208"/>
      <w:bookmarkStart w:id="43" w:name="_Toc15396606"/>
      <w:r>
        <w:rPr>
          <w:rFonts w:hint="eastAsia" w:ascii="黑体" w:hAnsi="黑体" w:eastAsia="黑体"/>
          <w:sz w:val="32"/>
          <w:szCs w:val="32"/>
        </w:rPr>
        <w:t>四、财</w:t>
      </w:r>
      <w:r>
        <w:rPr>
          <w:rStyle w:val="29"/>
          <w:rFonts w:hint="eastAsia" w:ascii="黑体" w:hAnsi="黑体" w:eastAsia="黑体"/>
          <w:b w:val="0"/>
        </w:rPr>
        <w:t>政拨款收入支出决算总体情况说明</w:t>
      </w:r>
      <w:bookmarkEnd w:id="42"/>
      <w:bookmarkEnd w:id="43"/>
    </w:p>
    <w:p>
      <w:pPr>
        <w:spacing w:line="600" w:lineRule="exact"/>
        <w:ind w:firstLine="640" w:firstLineChars="200"/>
        <w:rPr>
          <w:rFonts w:ascii="仿宋" w:hAnsi="仿宋" w:eastAsia="仿宋"/>
          <w:sz w:val="32"/>
          <w:szCs w:val="32"/>
        </w:rPr>
      </w:pPr>
      <w:bookmarkStart w:id="44" w:name="_Toc15377209"/>
      <w:bookmarkStart w:id="45" w:name="_Toc15396607"/>
      <w:r>
        <w:rPr>
          <w:rFonts w:hint="eastAsia" w:ascii="仿宋" w:hAnsi="仿宋" w:eastAsia="仿宋"/>
          <w:sz w:val="32"/>
          <w:szCs w:val="32"/>
        </w:rPr>
        <w:t>2021年度收、支总计646.87万元。与2020年相比，收、支总计各减少1111.95万元，下降63.22</w:t>
      </w:r>
      <w:r>
        <w:rPr>
          <w:rFonts w:ascii="仿宋" w:hAnsi="仿宋" w:eastAsia="仿宋"/>
          <w:sz w:val="32"/>
          <w:szCs w:val="32"/>
        </w:rPr>
        <w:t>%</w:t>
      </w:r>
      <w:r>
        <w:rPr>
          <w:rFonts w:hint="eastAsia" w:ascii="仿宋" w:hAnsi="仿宋" w:eastAsia="仿宋"/>
          <w:sz w:val="32"/>
          <w:szCs w:val="32"/>
        </w:rPr>
        <w:t>。主要变动原因：一是上年结转项目支出43.95万元；二是本年度较上年度少安排政府性基金预算1134.64。</w:t>
      </w:r>
    </w:p>
    <w:p>
      <w:pPr>
        <w:pStyle w:val="2"/>
        <w:spacing w:before="93"/>
        <w:jc w:val="center"/>
      </w:pPr>
      <w:r>
        <w:drawing>
          <wp:inline distT="0" distB="0" distL="0" distR="0">
            <wp:extent cx="4544695" cy="2893060"/>
            <wp:effectExtent l="0" t="0" r="0" b="0"/>
            <wp:docPr id="10"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pic:cNvPicPr>
                      <a:picLocks noChangeAspect="1" noChangeArrowheads="1"/>
                    </pic:cNvPicPr>
                  </pic:nvPicPr>
                  <pic:blipFill>
                    <a:blip r:embed="rId6"/>
                    <a:srcRect/>
                    <a:stretch>
                      <a:fillRect/>
                    </a:stretch>
                  </pic:blipFill>
                  <pic:spPr>
                    <a:xfrm>
                      <a:off x="0" y="0"/>
                      <a:ext cx="4544695" cy="2893060"/>
                    </a:xfrm>
                    <a:prstGeom prst="rect">
                      <a:avLst/>
                    </a:prstGeom>
                    <a:noFill/>
                    <a:ln w="9525">
                      <a:noFill/>
                      <a:miter lim="800000"/>
                      <a:headEnd/>
                      <a:tailEnd/>
                    </a:ln>
                  </pic:spPr>
                </pic:pic>
              </a:graphicData>
            </a:graphic>
          </wp:inline>
        </w:drawing>
      </w:r>
    </w:p>
    <w:p>
      <w:pPr>
        <w:spacing w:line="600" w:lineRule="exact"/>
        <w:ind w:firstLine="640" w:firstLineChars="200"/>
        <w:outlineLvl w:val="1"/>
        <w:rPr>
          <w:rStyle w:val="29"/>
          <w:rFonts w:ascii="黑体" w:hAnsi="黑体" w:eastAsia="黑体"/>
          <w:b w:val="0"/>
        </w:rPr>
      </w:pPr>
      <w:r>
        <w:rPr>
          <w:rFonts w:hint="eastAsia" w:ascii="黑体" w:hAnsi="黑体" w:eastAsia="黑体"/>
          <w:sz w:val="32"/>
          <w:szCs w:val="32"/>
        </w:rPr>
        <w:t>五、</w:t>
      </w:r>
      <w:r>
        <w:rPr>
          <w:rFonts w:hint="eastAsia" w:ascii="黑体" w:hAnsi="黑体" w:eastAsia="黑体"/>
          <w:b/>
          <w:sz w:val="32"/>
          <w:szCs w:val="32"/>
        </w:rPr>
        <w:t>一</w:t>
      </w:r>
      <w:r>
        <w:rPr>
          <w:rStyle w:val="29"/>
          <w:rFonts w:hint="eastAsia" w:ascii="黑体" w:hAnsi="黑体" w:eastAsia="黑体"/>
          <w:b w:val="0"/>
        </w:rPr>
        <w:t>般公共预算财政拨款支出决算情况说明</w:t>
      </w:r>
      <w:bookmarkEnd w:id="44"/>
      <w:bookmarkEnd w:id="45"/>
    </w:p>
    <w:p>
      <w:pPr>
        <w:spacing w:line="600" w:lineRule="exact"/>
        <w:ind w:firstLine="640" w:firstLineChars="200"/>
        <w:outlineLvl w:val="2"/>
        <w:rPr>
          <w:rFonts w:ascii="仿宋" w:hAnsi="仿宋" w:eastAsia="仿宋"/>
          <w:b/>
          <w:sz w:val="32"/>
          <w:szCs w:val="32"/>
        </w:rPr>
      </w:pPr>
      <w:bookmarkStart w:id="46" w:name="_Toc15377210"/>
      <w:r>
        <w:rPr>
          <w:rFonts w:hint="eastAsia" w:ascii="仿宋" w:hAnsi="仿宋" w:eastAsia="仿宋"/>
          <w:b/>
          <w:sz w:val="32"/>
          <w:szCs w:val="32"/>
        </w:rPr>
        <w:t>（一）一般公共预算财政拨款支出决算总体情况</w:t>
      </w:r>
      <w:bookmarkEnd w:id="46"/>
    </w:p>
    <w:p>
      <w:pPr>
        <w:spacing w:line="600" w:lineRule="exact"/>
        <w:ind w:firstLine="640" w:firstLineChars="200"/>
        <w:outlineLvl w:val="2"/>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21年一般公共预算财政拨款支出496.79万元，占本年支出合计的76.8</w:t>
      </w:r>
      <w:r>
        <w:rPr>
          <w:rFonts w:ascii="仿宋" w:hAnsi="仿宋" w:eastAsia="仿宋"/>
          <w:sz w:val="32"/>
          <w:szCs w:val="32"/>
        </w:rPr>
        <w:t>%</w:t>
      </w:r>
      <w:r>
        <w:rPr>
          <w:rFonts w:hint="eastAsia" w:ascii="仿宋" w:hAnsi="仿宋" w:eastAsia="仿宋"/>
          <w:sz w:val="32"/>
          <w:szCs w:val="32"/>
        </w:rPr>
        <w:t>。与</w:t>
      </w:r>
      <w:r>
        <w:rPr>
          <w:rFonts w:ascii="仿宋" w:hAnsi="仿宋" w:eastAsia="仿宋"/>
          <w:sz w:val="32"/>
          <w:szCs w:val="32"/>
        </w:rPr>
        <w:t>20</w:t>
      </w:r>
      <w:r>
        <w:rPr>
          <w:rFonts w:hint="eastAsia" w:ascii="仿宋" w:hAnsi="仿宋" w:eastAsia="仿宋"/>
          <w:sz w:val="32"/>
          <w:szCs w:val="32"/>
        </w:rPr>
        <w:t>20年相比，一般公共预算财政拨款支出增加66.64万元，增长15.49</w:t>
      </w:r>
      <w:r>
        <w:rPr>
          <w:rFonts w:ascii="仿宋" w:hAnsi="仿宋" w:eastAsia="仿宋"/>
          <w:sz w:val="32"/>
          <w:szCs w:val="32"/>
        </w:rPr>
        <w:t>%</w:t>
      </w:r>
      <w:r>
        <w:rPr>
          <w:rFonts w:hint="eastAsia" w:ascii="仿宋" w:hAnsi="仿宋" w:eastAsia="仿宋"/>
          <w:sz w:val="32"/>
          <w:szCs w:val="32"/>
        </w:rPr>
        <w:t>。主要变动原因：一是上年结转项目支出43.95万元；二是人员增加</w:t>
      </w:r>
      <w:bookmarkStart w:id="47" w:name="_Toc15377211"/>
      <w:r>
        <w:rPr>
          <w:rFonts w:hint="eastAsia" w:ascii="仿宋" w:hAnsi="仿宋" w:eastAsia="仿宋"/>
          <w:sz w:val="32"/>
          <w:szCs w:val="32"/>
        </w:rPr>
        <w:t>。</w:t>
      </w:r>
    </w:p>
    <w:p>
      <w:pPr>
        <w:pStyle w:val="2"/>
        <w:spacing w:before="93"/>
        <w:jc w:val="center"/>
      </w:pPr>
      <w:r>
        <w:drawing>
          <wp:inline distT="0" distB="0" distL="0" distR="0">
            <wp:extent cx="4199255" cy="26746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9"/>
                    <a:srcRect/>
                    <a:stretch>
                      <a:fillRect/>
                    </a:stretch>
                  </pic:blipFill>
                  <pic:spPr>
                    <a:xfrm>
                      <a:off x="0" y="0"/>
                      <a:ext cx="4199997" cy="2675075"/>
                    </a:xfrm>
                    <a:prstGeom prst="rect">
                      <a:avLst/>
                    </a:prstGeom>
                    <a:noFill/>
                    <a:ln w="9525">
                      <a:noFill/>
                      <a:miter lim="800000"/>
                      <a:headEnd/>
                      <a:tailEnd/>
                    </a:ln>
                  </pic:spPr>
                </pic:pic>
              </a:graphicData>
            </a:graphic>
          </wp:inline>
        </w:drawing>
      </w:r>
    </w:p>
    <w:p>
      <w:pPr>
        <w:spacing w:line="600" w:lineRule="exact"/>
        <w:ind w:firstLine="640" w:firstLineChars="200"/>
        <w:outlineLvl w:val="2"/>
        <w:rPr>
          <w:rFonts w:ascii="仿宋" w:hAnsi="仿宋" w:eastAsia="仿宋"/>
          <w:b/>
          <w:sz w:val="32"/>
          <w:szCs w:val="32"/>
        </w:rPr>
      </w:pPr>
      <w:r>
        <w:rPr>
          <w:rFonts w:hint="eastAsia" w:ascii="仿宋" w:hAnsi="仿宋" w:eastAsia="仿宋"/>
          <w:b/>
          <w:sz w:val="32"/>
          <w:szCs w:val="32"/>
        </w:rPr>
        <w:t>（二）一般公共预算财政拨款支出决算结构情况</w:t>
      </w:r>
      <w:bookmarkEnd w:id="47"/>
    </w:p>
    <w:p>
      <w:pPr>
        <w:spacing w:line="600" w:lineRule="exact"/>
        <w:ind w:firstLine="640"/>
        <w:rPr>
          <w:rFonts w:ascii="仿宋" w:hAnsi="仿宋" w:eastAsia="仿宋"/>
          <w:sz w:val="32"/>
          <w:szCs w:val="32"/>
        </w:rPr>
      </w:pPr>
      <w:r>
        <w:rPr>
          <w:rFonts w:hint="eastAsia" w:ascii="仿宋" w:hAnsi="仿宋" w:eastAsia="仿宋"/>
          <w:sz w:val="32"/>
          <w:szCs w:val="32"/>
        </w:rPr>
        <w:t>2021年一般公共预算财政拨款支出496.79万元，主要用于以下方面:一般公共服务（类）支出421.05万元，占84.75%； 商业服务业等（类）支出13.85万元，占2.79%；资源勘探工业信息等（类）支出10.00万元，占2.01%；社会保障和就业（类）支出20.36万元，占4.10%；卫生健康支出10.23万元，占2.06%；住房保障支出21.30万元，占4.29%。</w:t>
      </w:r>
    </w:p>
    <w:p>
      <w:pPr>
        <w:pStyle w:val="2"/>
        <w:spacing w:before="93"/>
        <w:jc w:val="center"/>
      </w:pPr>
      <w:r>
        <w:drawing>
          <wp:inline distT="0" distB="0" distL="0" distR="0">
            <wp:extent cx="5636895" cy="2807970"/>
            <wp:effectExtent l="0" t="0" r="0" b="1143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
                    <pic:cNvPicPr>
                      <a:picLocks noChangeAspect="1" noChangeArrowheads="1"/>
                    </pic:cNvPicPr>
                  </pic:nvPicPr>
                  <pic:blipFill>
                    <a:blip r:embed="rId10"/>
                    <a:srcRect/>
                    <a:stretch>
                      <a:fillRect/>
                    </a:stretch>
                  </pic:blipFill>
                  <pic:spPr>
                    <a:xfrm>
                      <a:off x="0" y="0"/>
                      <a:ext cx="5636895" cy="2807970"/>
                    </a:xfrm>
                    <a:prstGeom prst="rect">
                      <a:avLst/>
                    </a:prstGeom>
                    <a:noFill/>
                    <a:ln w="9525">
                      <a:noFill/>
                      <a:miter lim="800000"/>
                      <a:headEnd/>
                      <a:tailEnd/>
                    </a:ln>
                  </pic:spPr>
                </pic:pic>
              </a:graphicData>
            </a:graphic>
          </wp:inline>
        </w:drawing>
      </w:r>
    </w:p>
    <w:p>
      <w:pPr>
        <w:spacing w:line="600" w:lineRule="exact"/>
        <w:ind w:firstLine="640" w:firstLineChars="200"/>
        <w:outlineLvl w:val="2"/>
        <w:rPr>
          <w:rFonts w:ascii="仿宋" w:hAnsi="仿宋" w:eastAsia="仿宋"/>
          <w:b/>
          <w:sz w:val="32"/>
          <w:szCs w:val="32"/>
        </w:rPr>
      </w:pPr>
      <w:bookmarkStart w:id="48" w:name="_Toc15377212"/>
      <w:r>
        <w:rPr>
          <w:rFonts w:hint="eastAsia" w:ascii="仿宋" w:hAnsi="仿宋" w:eastAsia="仿宋"/>
          <w:b/>
          <w:sz w:val="32"/>
          <w:szCs w:val="32"/>
        </w:rPr>
        <w:t>（三）一般公共预算财政拨款支出决算具体情况</w:t>
      </w:r>
      <w:bookmarkEnd w:id="48"/>
    </w:p>
    <w:p>
      <w:pPr>
        <w:spacing w:line="600" w:lineRule="exact"/>
        <w:ind w:firstLine="640" w:firstLineChars="200"/>
        <w:rPr>
          <w:rStyle w:val="17"/>
          <w:rFonts w:ascii="仿宋" w:hAnsi="仿宋" w:eastAsia="仿宋"/>
          <w:b w:val="0"/>
          <w:bCs/>
          <w:sz w:val="32"/>
          <w:szCs w:val="32"/>
        </w:rPr>
      </w:pPr>
      <w:bookmarkStart w:id="49" w:name="_Toc15377213"/>
      <w:bookmarkStart w:id="50" w:name="_Toc15378460"/>
      <w:bookmarkStart w:id="51" w:name="_Toc15377444"/>
      <w:r>
        <w:rPr>
          <w:rStyle w:val="17"/>
          <w:rFonts w:hint="eastAsia" w:ascii="仿宋" w:hAnsi="仿宋" w:eastAsia="仿宋"/>
          <w:b w:val="0"/>
          <w:bCs/>
          <w:sz w:val="32"/>
          <w:szCs w:val="32"/>
        </w:rPr>
        <w:t>2021年一般公共预算支出决算数为496.79，完成预算100%。其中：</w:t>
      </w:r>
      <w:bookmarkEnd w:id="49"/>
      <w:bookmarkEnd w:id="50"/>
      <w:bookmarkEnd w:id="51"/>
    </w:p>
    <w:p>
      <w:pPr>
        <w:spacing w:line="600" w:lineRule="exact"/>
        <w:ind w:firstLine="640" w:firstLineChars="200"/>
        <w:rPr>
          <w:rStyle w:val="17"/>
          <w:rFonts w:ascii="仿宋" w:hAnsi="仿宋" w:eastAsia="仿宋"/>
          <w:b w:val="0"/>
          <w:bCs/>
          <w:sz w:val="32"/>
          <w:szCs w:val="32"/>
        </w:rPr>
      </w:pPr>
      <w:r>
        <w:rPr>
          <w:rStyle w:val="17"/>
          <w:rFonts w:hint="eastAsia" w:ascii="仿宋" w:hAnsi="仿宋" w:eastAsia="仿宋"/>
          <w:b w:val="0"/>
          <w:bCs/>
          <w:sz w:val="32"/>
          <w:szCs w:val="32"/>
        </w:rPr>
        <w:t>1.一般公共服务（类）商贸服务（款）行政运行（项）: 支出决算为201.03万元，完成预算100%</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ind w:firstLine="640" w:firstLineChars="200"/>
        <w:rPr>
          <w:rStyle w:val="17"/>
          <w:rFonts w:ascii="仿宋" w:hAnsi="仿宋" w:eastAsia="仿宋"/>
          <w:b w:val="0"/>
          <w:bCs/>
          <w:sz w:val="32"/>
          <w:szCs w:val="32"/>
        </w:rPr>
      </w:pPr>
      <w:r>
        <w:rPr>
          <w:rStyle w:val="17"/>
          <w:rFonts w:hint="eastAsia" w:ascii="仿宋" w:hAnsi="仿宋" w:eastAsia="仿宋"/>
          <w:b w:val="0"/>
          <w:bCs/>
          <w:sz w:val="32"/>
          <w:szCs w:val="32"/>
        </w:rPr>
        <w:t>2.一般公共服务（类）商贸服务（款）招商引资（项）:  支出决算为149.07万元，完成预算100%</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ind w:firstLine="640" w:firstLineChars="200"/>
        <w:rPr>
          <w:rStyle w:val="17"/>
          <w:rFonts w:ascii="仿宋" w:hAnsi="仿宋" w:eastAsia="仿宋"/>
          <w:b w:val="0"/>
          <w:bCs/>
          <w:sz w:val="32"/>
          <w:szCs w:val="32"/>
        </w:rPr>
      </w:pPr>
      <w:r>
        <w:rPr>
          <w:rStyle w:val="17"/>
          <w:rFonts w:hint="eastAsia" w:ascii="仿宋" w:hAnsi="仿宋" w:eastAsia="仿宋"/>
          <w:b w:val="0"/>
          <w:bCs/>
          <w:sz w:val="32"/>
          <w:szCs w:val="32"/>
        </w:rPr>
        <w:t>3.商业服务业等支出（类）商业流通事务（款）其他商业流通事务支出（项）: 支出决算为70.95万元，完成预算100%</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ind w:firstLine="640" w:firstLineChars="200"/>
        <w:rPr>
          <w:rStyle w:val="17"/>
          <w:rFonts w:ascii="仿宋" w:hAnsi="仿宋" w:eastAsia="仿宋"/>
          <w:b w:val="0"/>
          <w:bCs/>
          <w:sz w:val="32"/>
          <w:szCs w:val="32"/>
        </w:rPr>
      </w:pPr>
      <w:r>
        <w:rPr>
          <w:rStyle w:val="17"/>
          <w:rFonts w:hint="eastAsia" w:ascii="仿宋" w:hAnsi="仿宋" w:eastAsia="仿宋"/>
          <w:b w:val="0"/>
          <w:bCs/>
          <w:sz w:val="32"/>
          <w:szCs w:val="32"/>
        </w:rPr>
        <w:t>4.资源勘探工业信息等支出（类）工业和信息产业监管（款）其他工业和信息产业监管支出（项）2021年度东西部协作项目调整计划: 支出决算为10万元，完成预算100%</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ind w:firstLine="640" w:firstLineChars="200"/>
        <w:rPr>
          <w:rStyle w:val="17"/>
          <w:rFonts w:ascii="仿宋" w:hAnsi="仿宋" w:eastAsia="仿宋"/>
          <w:b w:val="0"/>
          <w:bCs/>
          <w:sz w:val="32"/>
          <w:szCs w:val="32"/>
        </w:rPr>
      </w:pPr>
      <w:r>
        <w:rPr>
          <w:rStyle w:val="17"/>
          <w:rFonts w:hint="eastAsia" w:ascii="仿宋" w:hAnsi="仿宋" w:eastAsia="仿宋"/>
          <w:b w:val="0"/>
          <w:bCs/>
          <w:sz w:val="32"/>
          <w:szCs w:val="32"/>
        </w:rPr>
        <w:t>5.商业服务业等支出（类）涉外发展服务支出（款）其他涉外发展服务支出（项）: 支出决算为13.85万元，完成预算100%</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ind w:firstLine="640" w:firstLineChars="200"/>
        <w:rPr>
          <w:rStyle w:val="17"/>
          <w:rFonts w:ascii="仿宋" w:hAnsi="仿宋" w:eastAsia="仿宋"/>
          <w:b w:val="0"/>
          <w:bCs/>
          <w:sz w:val="32"/>
          <w:szCs w:val="32"/>
        </w:rPr>
      </w:pPr>
      <w:r>
        <w:rPr>
          <w:rStyle w:val="17"/>
          <w:rFonts w:hint="eastAsia" w:ascii="仿宋" w:hAnsi="仿宋" w:eastAsia="仿宋"/>
          <w:b w:val="0"/>
          <w:bCs/>
          <w:sz w:val="32"/>
          <w:szCs w:val="32"/>
        </w:rPr>
        <w:t>6.</w:t>
      </w:r>
      <w:bookmarkStart w:id="52" w:name="_Toc15396608"/>
      <w:bookmarkStart w:id="53" w:name="_Toc15377214"/>
      <w:r>
        <w:rPr>
          <w:rStyle w:val="17"/>
          <w:rFonts w:hint="eastAsia" w:ascii="仿宋" w:hAnsi="仿宋" w:eastAsia="仿宋"/>
          <w:b w:val="0"/>
          <w:bCs/>
          <w:sz w:val="32"/>
          <w:szCs w:val="32"/>
        </w:rPr>
        <w:t>社会保障和就业（类）行政事业单位离退休（款）机关事业单位基本养老保险缴费支出（项）: 支出决算为20.36万元，完成预算100%</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ind w:firstLine="640" w:firstLineChars="200"/>
        <w:rPr>
          <w:rStyle w:val="17"/>
          <w:rFonts w:ascii="仿宋" w:hAnsi="仿宋" w:eastAsia="仿宋"/>
          <w:b w:val="0"/>
          <w:bCs/>
          <w:sz w:val="32"/>
          <w:szCs w:val="32"/>
        </w:rPr>
      </w:pPr>
      <w:r>
        <w:rPr>
          <w:rStyle w:val="17"/>
          <w:rFonts w:hint="eastAsia" w:ascii="仿宋" w:hAnsi="仿宋" w:eastAsia="仿宋"/>
          <w:b w:val="0"/>
          <w:bCs/>
          <w:sz w:val="32"/>
          <w:szCs w:val="32"/>
        </w:rPr>
        <w:t>7.医疗卫生与计划生育（类）行政事业单位医疗（款）行政单位医疗（项）: 支出决算为10.23万元，完成预算100%</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spacing w:line="600" w:lineRule="exact"/>
        <w:ind w:firstLine="640" w:firstLineChars="200"/>
        <w:rPr>
          <w:rStyle w:val="17"/>
          <w:rFonts w:ascii="仿宋" w:hAnsi="仿宋" w:eastAsia="仿宋"/>
          <w:b w:val="0"/>
          <w:bCs/>
          <w:sz w:val="32"/>
          <w:szCs w:val="32"/>
        </w:rPr>
      </w:pPr>
      <w:r>
        <w:rPr>
          <w:rStyle w:val="17"/>
          <w:rFonts w:hint="eastAsia" w:ascii="仿宋" w:hAnsi="仿宋" w:eastAsia="仿宋"/>
          <w:b w:val="0"/>
          <w:bCs/>
          <w:sz w:val="32"/>
          <w:szCs w:val="32"/>
        </w:rPr>
        <w:t>8.住房保障支出（类）住房改革支出（款）住房公积金（项）: 支出决算为21.3万元，完成预算100%</w:t>
      </w:r>
      <w:r>
        <w:rPr>
          <w:rStyle w:val="17"/>
          <w:rFonts w:hint="eastAsia" w:ascii="仿宋" w:hAnsi="仿宋" w:eastAsia="仿宋"/>
          <w:b w:val="0"/>
          <w:bCs/>
          <w:sz w:val="32"/>
          <w:szCs w:val="32"/>
          <w:lang w:eastAsia="zh-CN"/>
        </w:rPr>
        <w:t>，</w:t>
      </w:r>
      <w:r>
        <w:rPr>
          <w:rStyle w:val="17"/>
          <w:rFonts w:hint="eastAsia" w:ascii="仿宋" w:hAnsi="仿宋" w:eastAsia="仿宋"/>
          <w:b w:val="0"/>
          <w:bCs/>
          <w:sz w:val="32"/>
          <w:szCs w:val="32"/>
          <w:lang w:val="en-US" w:eastAsia="zh-CN"/>
        </w:rPr>
        <w:t>决算数等于预算数</w:t>
      </w:r>
      <w:r>
        <w:rPr>
          <w:rStyle w:val="17"/>
          <w:rFonts w:hint="eastAsia" w:ascii="仿宋" w:hAnsi="仿宋" w:eastAsia="仿宋"/>
          <w:b w:val="0"/>
          <w:bCs/>
          <w:sz w:val="32"/>
          <w:szCs w:val="32"/>
        </w:rPr>
        <w:t>。</w:t>
      </w:r>
    </w:p>
    <w:p>
      <w:pPr>
        <w:tabs>
          <w:tab w:val="right" w:pos="8306"/>
        </w:tabs>
        <w:spacing w:line="600" w:lineRule="exact"/>
        <w:ind w:firstLine="640"/>
        <w:outlineLvl w:val="1"/>
        <w:rPr>
          <w:rStyle w:val="29"/>
        </w:rPr>
      </w:pPr>
      <w:r>
        <w:rPr>
          <w:rFonts w:hint="eastAsia" w:ascii="黑体" w:eastAsia="黑体"/>
          <w:sz w:val="32"/>
          <w:szCs w:val="32"/>
        </w:rPr>
        <w:t>六</w:t>
      </w:r>
      <w:r>
        <w:rPr>
          <w:rFonts w:hint="eastAsia" w:ascii="黑体" w:eastAsia="黑体"/>
          <w:b/>
          <w:sz w:val="32"/>
          <w:szCs w:val="32"/>
        </w:rPr>
        <w:t>、</w:t>
      </w:r>
      <w:r>
        <w:rPr>
          <w:rFonts w:hint="eastAsia" w:ascii="黑体" w:hAnsi="黑体" w:eastAsia="黑体"/>
          <w:b/>
          <w:sz w:val="32"/>
          <w:szCs w:val="32"/>
        </w:rPr>
        <w:t>一</w:t>
      </w:r>
      <w:r>
        <w:rPr>
          <w:rStyle w:val="29"/>
          <w:rFonts w:hint="eastAsia" w:ascii="黑体" w:hAnsi="黑体" w:eastAsia="黑体"/>
          <w:b w:val="0"/>
        </w:rPr>
        <w:t>般公共预算财政拨款基本支出决算情况说明</w:t>
      </w:r>
      <w:bookmarkEnd w:id="52"/>
      <w:bookmarkEnd w:id="53"/>
      <w:r>
        <w:rPr>
          <w:rStyle w:val="29"/>
          <w:rFonts w:ascii="黑体" w:hAnsi="黑体" w:eastAsia="黑体"/>
          <w:b w:val="0"/>
        </w:rPr>
        <w:tab/>
      </w:r>
    </w:p>
    <w:p>
      <w:pPr>
        <w:spacing w:line="600" w:lineRule="exact"/>
        <w:ind w:firstLine="645"/>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21年一般公共预算财政拨款基本支出252.92万元，其中：</w:t>
      </w:r>
    </w:p>
    <w:p>
      <w:pPr>
        <w:spacing w:line="600" w:lineRule="exact"/>
        <w:ind w:firstLine="645"/>
        <w:rPr>
          <w:rFonts w:ascii="仿宋" w:hAnsi="仿宋" w:eastAsia="仿宋"/>
          <w:b/>
          <w:sz w:val="32"/>
          <w:szCs w:val="32"/>
        </w:rPr>
      </w:pPr>
      <w:r>
        <w:rPr>
          <w:rFonts w:hint="eastAsia" w:ascii="仿宋" w:hAnsi="仿宋" w:eastAsia="仿宋"/>
          <w:sz w:val="32"/>
          <w:szCs w:val="32"/>
        </w:rPr>
        <w:t>人员经费217.17万元，主要包括：基本工资、津贴补贴、奖金、绩效工资、机关事业单位基本养老保险缴费、职业年金缴费、其他工资福利支出、离休费、退休费、抚恤金、生活补助、医疗费补助、奖励金、住房公积金、其他对个人和家庭的补助支出等。</w:t>
      </w:r>
      <w:r>
        <w:rPr>
          <w:rFonts w:ascii="仿宋" w:hAnsi="仿宋" w:eastAsia="仿宋"/>
          <w:sz w:val="32"/>
          <w:szCs w:val="32"/>
        </w:rPr>
        <w:br w:type="textWrapping"/>
      </w:r>
      <w:r>
        <w:rPr>
          <w:rFonts w:hint="eastAsia" w:ascii="仿宋" w:hAnsi="仿宋" w:eastAsia="仿宋"/>
          <w:sz w:val="32"/>
          <w:szCs w:val="32"/>
        </w:rPr>
        <w:t>　　公用经费35.76万元，主要包括：办公费、印刷费、咨询费、水费、电费、邮电费、差旅费、维修（护）费、租赁费、会议费、培训费、公务接待费、工会经费、其他交通费、其他商品和服务支出等。</w:t>
      </w:r>
    </w:p>
    <w:p>
      <w:pPr>
        <w:spacing w:line="600" w:lineRule="exact"/>
        <w:ind w:firstLine="640"/>
        <w:outlineLvl w:val="1"/>
        <w:rPr>
          <w:rStyle w:val="29"/>
          <w:rFonts w:ascii="黑体" w:hAnsi="黑体" w:eastAsia="黑体"/>
          <w:b w:val="0"/>
        </w:rPr>
      </w:pPr>
      <w:bookmarkStart w:id="54" w:name="_Toc15377215"/>
      <w:bookmarkStart w:id="55" w:name="_Toc15396609"/>
      <w:r>
        <w:rPr>
          <w:rFonts w:hint="eastAsia" w:ascii="黑体" w:eastAsia="黑体"/>
          <w:sz w:val="32"/>
          <w:szCs w:val="32"/>
        </w:rPr>
        <w:t>七、</w:t>
      </w:r>
      <w:r>
        <w:rPr>
          <w:rStyle w:val="29"/>
          <w:rFonts w:hint="eastAsia" w:ascii="黑体" w:hAnsi="黑体" w:eastAsia="黑体"/>
        </w:rPr>
        <w:t>“</w:t>
      </w:r>
      <w:r>
        <w:rPr>
          <w:rStyle w:val="29"/>
          <w:rFonts w:hint="eastAsia" w:ascii="黑体" w:hAnsi="黑体" w:eastAsia="黑体"/>
          <w:b w:val="0"/>
        </w:rPr>
        <w:t>三公”经费财政拨款支出决算情况说明</w:t>
      </w:r>
      <w:bookmarkEnd w:id="54"/>
      <w:bookmarkEnd w:id="55"/>
    </w:p>
    <w:p>
      <w:pPr>
        <w:spacing w:line="600" w:lineRule="exact"/>
        <w:ind w:firstLine="640"/>
        <w:outlineLvl w:val="2"/>
        <w:rPr>
          <w:rFonts w:hint="eastAsia" w:ascii="仿宋" w:hAnsi="仿宋" w:eastAsia="仿宋"/>
          <w:b/>
          <w:sz w:val="32"/>
          <w:szCs w:val="32"/>
        </w:rPr>
      </w:pPr>
      <w:bookmarkStart w:id="56" w:name="_Toc15377216"/>
      <w:r>
        <w:rPr>
          <w:rFonts w:hint="eastAsia" w:ascii="仿宋" w:hAnsi="仿宋" w:eastAsia="仿宋"/>
          <w:b/>
          <w:sz w:val="32"/>
          <w:szCs w:val="32"/>
        </w:rPr>
        <w:t>（一）“三公”经费财政拨款支出决算总体情况说明</w:t>
      </w:r>
      <w:bookmarkEnd w:id="56"/>
    </w:p>
    <w:p>
      <w:pPr>
        <w:spacing w:line="600" w:lineRule="exact"/>
        <w:ind w:firstLine="640"/>
        <w:rPr>
          <w:rFonts w:ascii="仿宋" w:hAnsi="仿宋" w:eastAsia="仿宋"/>
          <w:color w:val="auto"/>
          <w:sz w:val="32"/>
          <w:szCs w:val="32"/>
          <w:highlight w:val="none"/>
        </w:rPr>
      </w:pPr>
      <w:bookmarkStart w:id="57" w:name="_Toc15377217"/>
      <w:r>
        <w:rPr>
          <w:rFonts w:ascii="仿宋" w:hAnsi="仿宋" w:eastAsia="仿宋"/>
          <w:color w:val="auto"/>
          <w:sz w:val="32"/>
          <w:szCs w:val="32"/>
          <w:highlight w:val="none"/>
        </w:rPr>
        <w:t>20</w:t>
      </w:r>
      <w:r>
        <w:rPr>
          <w:rFonts w:hint="eastAsia" w:ascii="仿宋" w:hAnsi="仿宋" w:eastAsia="仿宋"/>
          <w:color w:val="auto"/>
          <w:sz w:val="32"/>
          <w:szCs w:val="32"/>
          <w:highlight w:val="none"/>
          <w:lang w:val="en-US" w:eastAsia="zh-CN"/>
        </w:rPr>
        <w:t>21</w:t>
      </w:r>
      <w:r>
        <w:rPr>
          <w:rFonts w:hint="eastAsia" w:ascii="仿宋" w:hAnsi="仿宋" w:eastAsia="仿宋"/>
          <w:color w:val="auto"/>
          <w:sz w:val="32"/>
          <w:szCs w:val="32"/>
          <w:highlight w:val="none"/>
        </w:rPr>
        <w:t>年“三公”经费财政拨款支出决算为</w:t>
      </w:r>
      <w:r>
        <w:rPr>
          <w:rFonts w:hint="eastAsia" w:ascii="仿宋" w:hAnsi="仿宋" w:eastAsia="仿宋"/>
          <w:color w:val="auto"/>
          <w:sz w:val="32"/>
          <w:szCs w:val="32"/>
          <w:highlight w:val="none"/>
          <w:lang w:val="en-US" w:eastAsia="zh-CN"/>
        </w:rPr>
        <w:t>14.00</w:t>
      </w:r>
      <w:r>
        <w:rPr>
          <w:rFonts w:hint="eastAsia" w:ascii="仿宋" w:hAnsi="仿宋" w:eastAsia="仿宋"/>
          <w:color w:val="auto"/>
          <w:sz w:val="32"/>
          <w:szCs w:val="32"/>
          <w:highlight w:val="none"/>
        </w:rPr>
        <w:t>万元，完成预算</w:t>
      </w:r>
      <w:r>
        <w:rPr>
          <w:rFonts w:hint="eastAsia" w:ascii="仿宋" w:hAnsi="仿宋" w:eastAsia="仿宋"/>
          <w:color w:val="auto"/>
          <w:sz w:val="32"/>
          <w:szCs w:val="32"/>
          <w:highlight w:val="none"/>
          <w:lang w:val="en-US" w:eastAsia="zh-CN"/>
        </w:rPr>
        <w:t>94.92</w:t>
      </w:r>
      <w:r>
        <w:rPr>
          <w:rFonts w:ascii="仿宋" w:hAnsi="仿宋" w:eastAsia="仿宋"/>
          <w:color w:val="auto"/>
          <w:sz w:val="32"/>
          <w:szCs w:val="32"/>
          <w:highlight w:val="none"/>
        </w:rPr>
        <w:t>%</w:t>
      </w:r>
      <w:r>
        <w:rPr>
          <w:rFonts w:hint="eastAsia" w:ascii="仿宋" w:hAnsi="仿宋" w:eastAsia="仿宋"/>
          <w:color w:val="auto"/>
          <w:sz w:val="32"/>
          <w:szCs w:val="32"/>
          <w:highlight w:val="none"/>
        </w:rPr>
        <w:t>，决算数小于预算数的主要原因是</w:t>
      </w:r>
      <w:r>
        <w:rPr>
          <w:rFonts w:hint="eastAsia" w:ascii="仿宋" w:hAnsi="仿宋" w:eastAsia="仿宋"/>
          <w:color w:val="auto"/>
          <w:sz w:val="32"/>
          <w:szCs w:val="32"/>
          <w:highlight w:val="none"/>
          <w:lang w:eastAsia="zh-CN"/>
        </w:rPr>
        <w:t>压缩开支，厉行节约</w:t>
      </w:r>
      <w:r>
        <w:rPr>
          <w:rFonts w:hint="eastAsia" w:ascii="仿宋" w:hAnsi="仿宋" w:eastAsia="仿宋"/>
          <w:color w:val="auto"/>
          <w:sz w:val="32"/>
          <w:szCs w:val="32"/>
          <w:highlight w:val="none"/>
        </w:rPr>
        <w:t>。</w:t>
      </w:r>
    </w:p>
    <w:p>
      <w:pPr>
        <w:spacing w:line="600" w:lineRule="exact"/>
        <w:ind w:firstLine="640"/>
        <w:outlineLvl w:val="2"/>
        <w:rPr>
          <w:rFonts w:ascii="仿宋" w:hAnsi="仿宋" w:eastAsia="仿宋"/>
          <w:b/>
          <w:sz w:val="32"/>
          <w:szCs w:val="32"/>
        </w:rPr>
      </w:pPr>
      <w:r>
        <w:rPr>
          <w:rFonts w:hint="eastAsia" w:ascii="仿宋" w:hAnsi="仿宋" w:eastAsia="仿宋"/>
          <w:b/>
          <w:sz w:val="32"/>
          <w:szCs w:val="32"/>
        </w:rPr>
        <w:t>（二）“三公”经费财政拨款支出决算具体情况说明</w:t>
      </w:r>
      <w:bookmarkEnd w:id="57"/>
    </w:p>
    <w:p>
      <w:pPr>
        <w:spacing w:line="600" w:lineRule="exact"/>
        <w:ind w:firstLine="640"/>
        <w:rPr>
          <w:rFonts w:ascii="仿宋" w:hAnsi="仿宋" w:eastAsia="仿宋"/>
          <w:sz w:val="32"/>
          <w:szCs w:val="32"/>
        </w:rPr>
      </w:pPr>
      <w:r>
        <w:rPr>
          <w:rFonts w:ascii="仿宋" w:hAnsi="仿宋" w:eastAsia="仿宋"/>
          <w:sz w:val="32"/>
          <w:szCs w:val="32"/>
        </w:rPr>
        <w:t>20</w:t>
      </w:r>
      <w:r>
        <w:rPr>
          <w:rFonts w:hint="eastAsia" w:ascii="仿宋" w:hAnsi="仿宋" w:eastAsia="仿宋"/>
          <w:sz w:val="32"/>
          <w:szCs w:val="32"/>
        </w:rPr>
        <w:t>21年“三公”经费财政拨款支出决算中，因公出国（境）费支出决算0万元，</w:t>
      </w:r>
      <w:r>
        <w:rPr>
          <w:rFonts w:hint="eastAsia" w:ascii="仿宋" w:hAnsi="仿宋" w:eastAsia="仿宋"/>
          <w:sz w:val="32"/>
          <w:szCs w:val="32"/>
          <w:lang w:val="en-US" w:eastAsia="zh-CN"/>
        </w:rPr>
        <w:t>占0%。</w:t>
      </w:r>
      <w:r>
        <w:rPr>
          <w:rFonts w:hint="eastAsia" w:ascii="仿宋" w:hAnsi="仿宋" w:eastAsia="仿宋"/>
          <w:sz w:val="32"/>
          <w:szCs w:val="32"/>
        </w:rPr>
        <w:t>公务用车购置及运行维护费支出决算0万元，</w:t>
      </w:r>
      <w:r>
        <w:rPr>
          <w:rFonts w:hint="eastAsia" w:ascii="仿宋" w:hAnsi="仿宋" w:eastAsia="仿宋"/>
          <w:sz w:val="32"/>
          <w:szCs w:val="32"/>
          <w:lang w:val="en-US" w:eastAsia="zh-CN"/>
        </w:rPr>
        <w:t>占0%。</w:t>
      </w:r>
      <w:r>
        <w:rPr>
          <w:rFonts w:hint="eastAsia" w:ascii="仿宋" w:hAnsi="仿宋" w:eastAsia="仿宋"/>
          <w:sz w:val="32"/>
          <w:szCs w:val="32"/>
        </w:rPr>
        <w:t>公务接待费支出决算</w:t>
      </w:r>
      <w:r>
        <w:rPr>
          <w:rFonts w:hint="eastAsia" w:ascii="仿宋" w:hAnsi="仿宋" w:eastAsia="仿宋"/>
          <w:sz w:val="32"/>
          <w:szCs w:val="32"/>
          <w:lang w:eastAsia="zh-CN"/>
        </w:rPr>
        <w:t>14.00</w:t>
      </w:r>
      <w:r>
        <w:rPr>
          <w:rFonts w:hint="eastAsia" w:ascii="仿宋" w:hAnsi="仿宋" w:eastAsia="仿宋"/>
          <w:sz w:val="32"/>
          <w:szCs w:val="32"/>
        </w:rPr>
        <w:t>万元，占100</w:t>
      </w:r>
      <w:r>
        <w:rPr>
          <w:rFonts w:ascii="仿宋" w:hAnsi="仿宋" w:eastAsia="仿宋"/>
          <w:sz w:val="32"/>
          <w:szCs w:val="32"/>
        </w:rPr>
        <w:t>%</w:t>
      </w:r>
      <w:r>
        <w:rPr>
          <w:rFonts w:hint="eastAsia" w:ascii="仿宋" w:hAnsi="仿宋" w:eastAsia="仿宋"/>
          <w:sz w:val="32"/>
          <w:szCs w:val="32"/>
        </w:rPr>
        <w:t>。具体情况如下：</w:t>
      </w:r>
    </w:p>
    <w:p>
      <w:pPr>
        <w:pStyle w:val="2"/>
        <w:spacing w:before="93"/>
        <w:jc w:val="center"/>
      </w:pPr>
      <w:r>
        <w:drawing>
          <wp:inline distT="0" distB="0" distL="0" distR="0">
            <wp:extent cx="4805680" cy="3296285"/>
            <wp:effectExtent l="0" t="0" r="13970" b="1841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a:srcRect/>
                    <a:stretch>
                      <a:fillRect/>
                    </a:stretch>
                  </pic:blipFill>
                  <pic:spPr>
                    <a:xfrm>
                      <a:off x="0" y="0"/>
                      <a:ext cx="4805680" cy="3296285"/>
                    </a:xfrm>
                    <a:prstGeom prst="rect">
                      <a:avLst/>
                    </a:prstGeom>
                    <a:noFill/>
                    <a:ln w="9525">
                      <a:noFill/>
                      <a:miter lim="800000"/>
                      <a:headEnd/>
                      <a:tailEnd/>
                    </a:ln>
                  </pic:spPr>
                </pic:pic>
              </a:graphicData>
            </a:graphic>
          </wp:inline>
        </w:drawing>
      </w:r>
    </w:p>
    <w:p>
      <w:pPr>
        <w:spacing w:line="600" w:lineRule="exact"/>
        <w:ind w:firstLine="645"/>
      </w:pPr>
      <w:r>
        <w:rPr>
          <w:rFonts w:ascii="仿宋_GB2312" w:eastAsia="仿宋_GB2312"/>
          <w:b/>
          <w:sz w:val="32"/>
          <w:szCs w:val="32"/>
        </w:rPr>
        <w:t>1.</w:t>
      </w:r>
      <w:r>
        <w:rPr>
          <w:rFonts w:hint="eastAsia" w:ascii="仿宋_GB2312" w:eastAsia="仿宋_GB2312"/>
          <w:b/>
          <w:sz w:val="32"/>
          <w:szCs w:val="32"/>
        </w:rPr>
        <w:t>因公出国（境）经费支出</w:t>
      </w:r>
      <w:r>
        <w:rPr>
          <w:rFonts w:hint="eastAsia" w:ascii="仿宋_GB2312" w:eastAsia="仿宋_GB2312"/>
          <w:sz w:val="32"/>
          <w:szCs w:val="32"/>
        </w:rPr>
        <w:t>0万元，</w:t>
      </w:r>
      <w:r>
        <w:rPr>
          <w:rFonts w:hint="eastAsia" w:ascii="仿宋" w:hAnsi="仿宋" w:eastAsia="仿宋"/>
          <w:sz w:val="32"/>
          <w:szCs w:val="32"/>
        </w:rPr>
        <w:t>年初未安排预算</w:t>
      </w:r>
      <w:r>
        <w:rPr>
          <w:rStyle w:val="17"/>
          <w:rFonts w:hint="eastAsia" w:ascii="仿宋" w:hAnsi="仿宋" w:eastAsia="仿宋"/>
          <w:b w:val="0"/>
          <w:bCs/>
          <w:sz w:val="32"/>
          <w:szCs w:val="32"/>
        </w:rPr>
        <w:t>。</w:t>
      </w:r>
      <w:r>
        <w:rPr>
          <w:rFonts w:hint="eastAsia" w:ascii="仿宋_GB2312" w:eastAsia="仿宋_GB2312"/>
          <w:sz w:val="32"/>
          <w:szCs w:val="32"/>
        </w:rPr>
        <w:t>因公出国（境）支出决算较</w:t>
      </w:r>
      <w:r>
        <w:rPr>
          <w:rFonts w:ascii="仿宋_GB2312" w:eastAsia="仿宋_GB2312"/>
          <w:sz w:val="32"/>
          <w:szCs w:val="32"/>
        </w:rPr>
        <w:t>20</w:t>
      </w:r>
      <w:r>
        <w:rPr>
          <w:rFonts w:hint="eastAsia" w:ascii="仿宋_GB2312" w:eastAsia="仿宋_GB2312"/>
          <w:sz w:val="32"/>
          <w:szCs w:val="32"/>
        </w:rPr>
        <w:t>20年无变化。</w:t>
      </w:r>
    </w:p>
    <w:p>
      <w:pPr>
        <w:spacing w:line="600" w:lineRule="exact"/>
        <w:ind w:firstLine="640"/>
        <w:rPr>
          <w:rFonts w:ascii="仿宋_GB2312" w:eastAsia="仿宋_GB2312"/>
          <w:b/>
          <w:sz w:val="32"/>
          <w:szCs w:val="32"/>
        </w:rPr>
      </w:pPr>
      <w:r>
        <w:rPr>
          <w:rFonts w:ascii="仿宋_GB2312" w:eastAsia="仿宋_GB2312"/>
          <w:b/>
          <w:sz w:val="32"/>
          <w:szCs w:val="32"/>
        </w:rPr>
        <w:t>2.</w:t>
      </w:r>
      <w:r>
        <w:rPr>
          <w:rFonts w:hint="eastAsia" w:ascii="仿宋_GB2312" w:eastAsia="仿宋_GB2312"/>
          <w:b/>
          <w:sz w:val="32"/>
          <w:szCs w:val="32"/>
        </w:rPr>
        <w:t>公务用车购置及运行维护费支出</w:t>
      </w:r>
      <w:r>
        <w:rPr>
          <w:rFonts w:hint="eastAsia" w:ascii="仿宋_GB2312" w:eastAsia="仿宋_GB2312"/>
          <w:sz w:val="32"/>
          <w:szCs w:val="32"/>
        </w:rPr>
        <w:t>0万元,</w:t>
      </w:r>
      <w:r>
        <w:rPr>
          <w:rFonts w:hint="eastAsia" w:ascii="仿宋" w:hAnsi="仿宋" w:eastAsia="仿宋"/>
          <w:sz w:val="32"/>
          <w:szCs w:val="32"/>
        </w:rPr>
        <w:t>年初未安排预算</w:t>
      </w:r>
      <w:r>
        <w:rPr>
          <w:rStyle w:val="17"/>
          <w:rFonts w:hint="eastAsia" w:ascii="仿宋" w:hAnsi="仿宋" w:eastAsia="仿宋"/>
          <w:b w:val="0"/>
          <w:bCs/>
          <w:sz w:val="32"/>
          <w:szCs w:val="32"/>
        </w:rPr>
        <w:t>。</w:t>
      </w:r>
      <w:r>
        <w:rPr>
          <w:rFonts w:hint="eastAsia" w:ascii="仿宋_GB2312" w:eastAsia="仿宋_GB2312"/>
          <w:sz w:val="32"/>
          <w:szCs w:val="32"/>
        </w:rPr>
        <w:t>公务用车购置及运行维护费支出决算较</w:t>
      </w:r>
      <w:r>
        <w:rPr>
          <w:rFonts w:ascii="仿宋_GB2312" w:eastAsia="仿宋_GB2312"/>
          <w:sz w:val="32"/>
          <w:szCs w:val="32"/>
        </w:rPr>
        <w:t>20</w:t>
      </w:r>
      <w:r>
        <w:rPr>
          <w:rFonts w:hint="eastAsia" w:ascii="仿宋_GB2312" w:eastAsia="仿宋_GB2312"/>
          <w:sz w:val="32"/>
          <w:szCs w:val="32"/>
        </w:rPr>
        <w:t>20年无变化。</w:t>
      </w:r>
    </w:p>
    <w:p>
      <w:pPr>
        <w:spacing w:line="600" w:lineRule="exact"/>
        <w:ind w:firstLine="640" w:firstLineChars="200"/>
        <w:rPr>
          <w:rFonts w:ascii="仿宋_GB2312" w:eastAsia="仿宋_GB2312"/>
          <w:b/>
          <w:sz w:val="32"/>
          <w:szCs w:val="32"/>
        </w:rPr>
      </w:pPr>
      <w:r>
        <w:rPr>
          <w:rFonts w:hint="eastAsia" w:ascii="仿宋_GB2312" w:eastAsia="仿宋_GB2312"/>
          <w:sz w:val="32"/>
          <w:szCs w:val="32"/>
        </w:rPr>
        <w:t>其中：</w:t>
      </w:r>
      <w:r>
        <w:rPr>
          <w:rFonts w:hint="eastAsia" w:ascii="仿宋_GB2312" w:eastAsia="仿宋_GB2312"/>
          <w:b/>
          <w:sz w:val="32"/>
          <w:szCs w:val="32"/>
        </w:rPr>
        <w:t>公务用车购置支出</w:t>
      </w:r>
      <w:r>
        <w:rPr>
          <w:rFonts w:hint="eastAsia" w:ascii="仿宋_GB2312" w:eastAsia="仿宋_GB2312"/>
          <w:sz w:val="32"/>
          <w:szCs w:val="32"/>
        </w:rPr>
        <w:t>0万元。未购置公务用车。截至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月底，单位共有公务用车0辆。</w:t>
      </w:r>
    </w:p>
    <w:p>
      <w:pPr>
        <w:spacing w:line="600" w:lineRule="exact"/>
        <w:ind w:firstLine="645"/>
      </w:pPr>
      <w:r>
        <w:rPr>
          <w:rFonts w:hint="eastAsia" w:ascii="仿宋_GB2312" w:eastAsia="仿宋_GB2312"/>
          <w:b/>
          <w:sz w:val="32"/>
          <w:szCs w:val="32"/>
        </w:rPr>
        <w:t>公务用车运行维护费支出</w:t>
      </w:r>
      <w:r>
        <w:rPr>
          <w:rFonts w:hint="eastAsia" w:ascii="仿宋_GB2312" w:eastAsia="仿宋_GB2312"/>
          <w:sz w:val="32"/>
          <w:szCs w:val="32"/>
        </w:rPr>
        <w:t>0万元。</w:t>
      </w:r>
    </w:p>
    <w:p>
      <w:pPr>
        <w:spacing w:line="600" w:lineRule="exact"/>
        <w:ind w:firstLine="640"/>
        <w:rPr>
          <w:rFonts w:ascii="仿宋_GB2312" w:eastAsia="仿宋_GB2312"/>
          <w:sz w:val="32"/>
          <w:szCs w:val="32"/>
        </w:rPr>
      </w:pPr>
      <w:r>
        <w:rPr>
          <w:rFonts w:ascii="仿宋_GB2312" w:eastAsia="仿宋_GB2312"/>
          <w:b/>
          <w:sz w:val="32"/>
          <w:szCs w:val="32"/>
        </w:rPr>
        <w:t>3.</w:t>
      </w:r>
      <w:r>
        <w:rPr>
          <w:rFonts w:hint="eastAsia" w:ascii="仿宋_GB2312" w:eastAsia="仿宋_GB2312"/>
          <w:b/>
          <w:sz w:val="32"/>
          <w:szCs w:val="32"/>
        </w:rPr>
        <w:t>公务接待费支出</w:t>
      </w:r>
      <w:r>
        <w:rPr>
          <w:rFonts w:hint="eastAsia" w:ascii="仿宋_GB2312" w:eastAsia="仿宋_GB2312"/>
          <w:sz w:val="32"/>
          <w:szCs w:val="32"/>
          <w:lang w:eastAsia="zh-CN"/>
        </w:rPr>
        <w:t>14.00</w:t>
      </w:r>
      <w:r>
        <w:rPr>
          <w:rFonts w:hint="eastAsia" w:ascii="仿宋_GB2312" w:eastAsia="仿宋_GB2312"/>
          <w:sz w:val="32"/>
          <w:szCs w:val="32"/>
        </w:rPr>
        <w:t>万元，</w:t>
      </w:r>
      <w:r>
        <w:rPr>
          <w:rStyle w:val="17"/>
          <w:rFonts w:hint="eastAsia" w:ascii="仿宋" w:hAnsi="仿宋" w:eastAsia="仿宋"/>
          <w:b w:val="0"/>
          <w:bCs/>
          <w:sz w:val="32"/>
          <w:szCs w:val="32"/>
        </w:rPr>
        <w:t>完成预算100</w:t>
      </w:r>
      <w:r>
        <w:rPr>
          <w:rStyle w:val="17"/>
          <w:rFonts w:ascii="仿宋" w:hAnsi="仿宋" w:eastAsia="仿宋"/>
          <w:b w:val="0"/>
          <w:bCs/>
          <w:sz w:val="32"/>
          <w:szCs w:val="32"/>
        </w:rPr>
        <w:t>%</w:t>
      </w:r>
      <w:r>
        <w:rPr>
          <w:rStyle w:val="17"/>
          <w:rFonts w:hint="eastAsia" w:ascii="仿宋" w:hAnsi="仿宋" w:eastAsia="仿宋"/>
          <w:b w:val="0"/>
          <w:bCs/>
          <w:sz w:val="32"/>
          <w:szCs w:val="32"/>
        </w:rPr>
        <w:t>。</w:t>
      </w:r>
      <w:r>
        <w:rPr>
          <w:rFonts w:hint="eastAsia" w:ascii="仿宋_GB2312" w:eastAsia="仿宋_GB2312"/>
          <w:sz w:val="32"/>
          <w:szCs w:val="32"/>
        </w:rPr>
        <w:t>公务接待费支出决算数与</w:t>
      </w:r>
      <w:r>
        <w:rPr>
          <w:rFonts w:ascii="仿宋_GB2312" w:eastAsia="仿宋_GB2312"/>
          <w:sz w:val="32"/>
          <w:szCs w:val="32"/>
        </w:rPr>
        <w:t>20</w:t>
      </w:r>
      <w:r>
        <w:rPr>
          <w:rFonts w:hint="eastAsia" w:ascii="仿宋_GB2312" w:eastAsia="仿宋_GB2312"/>
          <w:sz w:val="32"/>
          <w:szCs w:val="32"/>
        </w:rPr>
        <w:t>20年持平。其中：</w:t>
      </w:r>
    </w:p>
    <w:p>
      <w:pPr>
        <w:spacing w:line="600" w:lineRule="exact"/>
        <w:ind w:firstLine="640"/>
        <w:rPr>
          <w:rFonts w:ascii="仿宋_GB2312" w:eastAsia="仿宋_GB2312"/>
          <w:sz w:val="32"/>
          <w:szCs w:val="32"/>
        </w:rPr>
      </w:pPr>
      <w:r>
        <w:rPr>
          <w:rFonts w:hint="eastAsia" w:ascii="仿宋" w:hAnsi="仿宋" w:eastAsia="仿宋"/>
          <w:b/>
          <w:sz w:val="32"/>
          <w:szCs w:val="32"/>
        </w:rPr>
        <w:t>国内公务接待支出</w:t>
      </w:r>
      <w:r>
        <w:rPr>
          <w:rFonts w:hint="eastAsia" w:ascii="仿宋" w:hAnsi="仿宋" w:eastAsia="仿宋"/>
          <w:sz w:val="32"/>
          <w:szCs w:val="32"/>
          <w:lang w:eastAsia="zh-CN"/>
        </w:rPr>
        <w:t>14.00</w:t>
      </w:r>
      <w:r>
        <w:rPr>
          <w:rFonts w:hint="eastAsia" w:ascii="仿宋_GB2312" w:eastAsia="仿宋_GB2312"/>
          <w:sz w:val="32"/>
          <w:szCs w:val="32"/>
        </w:rPr>
        <w:t>万元，</w:t>
      </w:r>
      <w:r>
        <w:rPr>
          <w:rFonts w:hint="eastAsia" w:ascii="仿宋_GB2312" w:eastAsia="仿宋_GB2312"/>
          <w:color w:val="000000"/>
          <w:sz w:val="32"/>
          <w:szCs w:val="32"/>
        </w:rPr>
        <w:t>主要用于执行公务、开展招商引资活动开支的交通费、住宿费、用餐费等。国内公务接待168批次，1080人次（不包括陪同人员），共计支出</w:t>
      </w:r>
      <w:r>
        <w:rPr>
          <w:rFonts w:hint="eastAsia" w:ascii="仿宋_GB2312" w:eastAsia="仿宋_GB2312"/>
          <w:color w:val="000000"/>
          <w:sz w:val="32"/>
          <w:szCs w:val="32"/>
          <w:lang w:eastAsia="zh-CN"/>
        </w:rPr>
        <w:t>14.00</w:t>
      </w:r>
      <w:r>
        <w:rPr>
          <w:rFonts w:hint="eastAsia" w:ascii="仿宋_GB2312" w:eastAsia="仿宋_GB2312"/>
          <w:color w:val="000000"/>
          <w:sz w:val="32"/>
          <w:szCs w:val="32"/>
        </w:rPr>
        <w:t>万元，具体内容包括：外出开展投资促进活动、项目对接、洽谈等发生的招待费，来区考察客商、项目签约等发生的食宿费、交通费等。</w:t>
      </w:r>
    </w:p>
    <w:p>
      <w:pPr>
        <w:spacing w:line="600" w:lineRule="exact"/>
        <w:ind w:firstLine="640"/>
        <w:outlineLvl w:val="1"/>
        <w:rPr>
          <w:rFonts w:ascii="仿宋_GB2312" w:eastAsia="仿宋_GB2312"/>
          <w:sz w:val="32"/>
          <w:szCs w:val="32"/>
        </w:rPr>
      </w:pPr>
      <w:r>
        <w:rPr>
          <w:rFonts w:hint="eastAsia" w:ascii="仿宋" w:hAnsi="仿宋" w:eastAsia="仿宋"/>
          <w:b/>
          <w:sz w:val="32"/>
          <w:szCs w:val="32"/>
        </w:rPr>
        <w:t>外事接待支出</w:t>
      </w:r>
      <w:r>
        <w:rPr>
          <w:rFonts w:hint="eastAsia" w:ascii="仿宋" w:hAnsi="仿宋" w:eastAsia="仿宋"/>
          <w:sz w:val="32"/>
          <w:szCs w:val="32"/>
        </w:rPr>
        <w:t>0</w:t>
      </w:r>
      <w:r>
        <w:rPr>
          <w:rFonts w:hint="eastAsia" w:ascii="仿宋_GB2312" w:eastAsia="仿宋_GB2312"/>
          <w:sz w:val="32"/>
          <w:szCs w:val="32"/>
        </w:rPr>
        <w:t>万元，外事接待0批次，0人，共计支出0万元。</w:t>
      </w:r>
      <w:bookmarkStart w:id="58" w:name="_Toc15377218"/>
      <w:bookmarkStart w:id="59" w:name="_Toc15396610"/>
    </w:p>
    <w:p>
      <w:pPr>
        <w:spacing w:line="600" w:lineRule="exact"/>
        <w:ind w:firstLine="640"/>
        <w:outlineLvl w:val="1"/>
        <w:rPr>
          <w:rStyle w:val="29"/>
          <w:rFonts w:ascii="黑体" w:hAnsi="黑体" w:eastAsia="黑体"/>
        </w:rPr>
      </w:pPr>
      <w:r>
        <w:rPr>
          <w:rFonts w:hint="eastAsia" w:ascii="黑体" w:eastAsia="黑体"/>
          <w:sz w:val="32"/>
          <w:szCs w:val="32"/>
        </w:rPr>
        <w:t>八、</w:t>
      </w:r>
      <w:r>
        <w:rPr>
          <w:rStyle w:val="29"/>
          <w:rFonts w:hint="eastAsia" w:ascii="黑体" w:hAnsi="黑体" w:eastAsia="黑体"/>
          <w:b w:val="0"/>
        </w:rPr>
        <w:t>政府性基金预算支出决算情况说明</w:t>
      </w:r>
      <w:bookmarkEnd w:id="58"/>
      <w:bookmarkEnd w:id="59"/>
    </w:p>
    <w:p>
      <w:pPr>
        <w:spacing w:line="600" w:lineRule="exact"/>
        <w:ind w:firstLine="640"/>
        <w:rPr>
          <w:rFonts w:ascii="仿宋_GB2312" w:eastAsia="仿宋_GB2312"/>
          <w:sz w:val="32"/>
          <w:szCs w:val="32"/>
        </w:rPr>
      </w:pPr>
      <w:r>
        <w:rPr>
          <w:rFonts w:ascii="仿宋_GB2312" w:eastAsia="仿宋_GB2312"/>
          <w:sz w:val="32"/>
          <w:szCs w:val="32"/>
        </w:rPr>
        <w:t>20</w:t>
      </w:r>
      <w:r>
        <w:rPr>
          <w:rFonts w:hint="eastAsia" w:ascii="仿宋_GB2312" w:eastAsia="仿宋_GB2312"/>
          <w:sz w:val="32"/>
          <w:szCs w:val="32"/>
        </w:rPr>
        <w:t>21年政府性基金预算财政拨款支出0万元。</w:t>
      </w:r>
    </w:p>
    <w:p>
      <w:pPr>
        <w:numPr>
          <w:ilvl w:val="0"/>
          <w:numId w:val="2"/>
        </w:numPr>
        <w:spacing w:line="600" w:lineRule="exact"/>
        <w:ind w:firstLine="640"/>
        <w:outlineLvl w:val="1"/>
        <w:rPr>
          <w:rStyle w:val="29"/>
          <w:rFonts w:ascii="黑体" w:hAnsi="黑体" w:eastAsia="黑体"/>
          <w:b w:val="0"/>
        </w:rPr>
      </w:pPr>
      <w:bookmarkStart w:id="60" w:name="_Toc15396611"/>
      <w:bookmarkStart w:id="61" w:name="_Toc15377219"/>
      <w:r>
        <w:rPr>
          <w:rStyle w:val="29"/>
          <w:rFonts w:hint="eastAsia" w:ascii="黑体" w:hAnsi="黑体" w:eastAsia="黑体"/>
          <w:b w:val="0"/>
        </w:rPr>
        <w:t>国有资本经营预算支出决算情况说明</w:t>
      </w:r>
      <w:bookmarkEnd w:id="60"/>
      <w:bookmarkEnd w:id="61"/>
    </w:p>
    <w:p>
      <w:pPr>
        <w:spacing w:line="600" w:lineRule="exact"/>
        <w:ind w:firstLine="640"/>
        <w:rPr>
          <w:rFonts w:ascii="方正小标宋简体" w:hAnsi="方正小标宋简体" w:eastAsia="方正小标宋简体" w:cs="方正小标宋简体"/>
          <w:sz w:val="44"/>
          <w:szCs w:val="44"/>
        </w:rPr>
      </w:pPr>
      <w:r>
        <w:rPr>
          <w:rFonts w:ascii="仿宋_GB2312" w:eastAsia="仿宋_GB2312"/>
          <w:sz w:val="32"/>
          <w:szCs w:val="32"/>
        </w:rPr>
        <w:t>20</w:t>
      </w:r>
      <w:r>
        <w:rPr>
          <w:rFonts w:hint="eastAsia" w:ascii="仿宋_GB2312" w:eastAsia="仿宋_GB2312"/>
          <w:sz w:val="32"/>
          <w:szCs w:val="32"/>
        </w:rPr>
        <w:t>21年国有资本经营预算财政拨款支出0万元。</w:t>
      </w:r>
    </w:p>
    <w:p>
      <w:pPr>
        <w:numPr>
          <w:ilvl w:val="0"/>
          <w:numId w:val="2"/>
        </w:numPr>
        <w:spacing w:line="600" w:lineRule="exact"/>
        <w:ind w:firstLine="640"/>
        <w:outlineLvl w:val="1"/>
        <w:rPr>
          <w:rStyle w:val="29"/>
          <w:rFonts w:ascii="黑体" w:hAnsi="黑体" w:eastAsia="黑体"/>
          <w:b w:val="0"/>
        </w:rPr>
      </w:pPr>
      <w:bookmarkStart w:id="62" w:name="_Toc15396612"/>
      <w:bookmarkStart w:id="63" w:name="_Toc15377221"/>
      <w:r>
        <w:rPr>
          <w:rStyle w:val="29"/>
          <w:rFonts w:hint="eastAsia" w:ascii="黑体" w:hAnsi="黑体" w:eastAsia="黑体"/>
          <w:b w:val="0"/>
        </w:rPr>
        <w:t>预算绩效管理情况</w:t>
      </w:r>
    </w:p>
    <w:p>
      <w:pPr>
        <w:autoSpaceDE w:val="0"/>
        <w:autoSpaceDN w:val="0"/>
        <w:adjustRightInd w:val="0"/>
        <w:spacing w:line="600" w:lineRule="exact"/>
        <w:ind w:firstLine="640" w:firstLineChars="200"/>
      </w:pPr>
      <w:r>
        <w:rPr>
          <w:rFonts w:hint="eastAsia" w:ascii="仿宋_GB2312" w:hAnsi="仿宋_GB2312" w:eastAsia="仿宋_GB2312" w:cs="仿宋_GB2312"/>
          <w:sz w:val="32"/>
          <w:szCs w:val="32"/>
        </w:rPr>
        <w:t>根据预算绩效管理要求，本部门在2021年度预算编制阶段，组织对</w:t>
      </w:r>
      <w:r>
        <w:rPr>
          <w:rFonts w:hint="eastAsia" w:ascii="仿宋_GB2312" w:hAnsi="仿宋_GB2312" w:eastAsia="仿宋_GB2312" w:cs="仿宋_GB2312"/>
          <w:sz w:val="32"/>
          <w:szCs w:val="32"/>
          <w:lang w:eastAsia="zh-CN"/>
        </w:rPr>
        <w:t>宗皇米酒加工生产项目用地补助</w:t>
      </w:r>
      <w:r>
        <w:rPr>
          <w:rFonts w:hint="eastAsia" w:ascii="仿宋_GB2312" w:hAnsi="仿宋_GB2312" w:eastAsia="仿宋_GB2312" w:cs="仿宋_GB2312"/>
          <w:sz w:val="32"/>
          <w:szCs w:val="32"/>
        </w:rPr>
        <w:t>开展了预算事前绩效评估，对</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个项目编制了绩效目标，预算执行过程中，选取</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个项目开展绩效监控，年终执行完毕后，对</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个项目开展了绩效目标完成情况自评，2021年部门预算项目绩效目标自评表见附件（第四部分）。</w:t>
      </w:r>
    </w:p>
    <w:p>
      <w:pPr>
        <w:numPr>
          <w:ilvl w:val="0"/>
          <w:numId w:val="2"/>
        </w:numPr>
        <w:spacing w:line="600" w:lineRule="exact"/>
        <w:ind w:firstLine="640"/>
        <w:outlineLvl w:val="1"/>
        <w:rPr>
          <w:rStyle w:val="29"/>
          <w:rFonts w:ascii="黑体" w:hAnsi="黑体" w:eastAsia="黑体"/>
          <w:b w:val="0"/>
        </w:rPr>
      </w:pPr>
      <w:r>
        <w:rPr>
          <w:rStyle w:val="29"/>
          <w:rFonts w:hint="eastAsia" w:ascii="黑体" w:hAnsi="黑体" w:eastAsia="黑体"/>
          <w:b w:val="0"/>
        </w:rPr>
        <w:t>其他重要事项的情况说明</w:t>
      </w:r>
      <w:bookmarkEnd w:id="62"/>
      <w:bookmarkEnd w:id="63"/>
    </w:p>
    <w:p>
      <w:pPr>
        <w:spacing w:line="600" w:lineRule="exact"/>
        <w:ind w:firstLine="640" w:firstLineChars="200"/>
        <w:outlineLvl w:val="2"/>
        <w:rPr>
          <w:rFonts w:ascii="仿宋" w:hAnsi="仿宋" w:eastAsia="仿宋"/>
          <w:sz w:val="32"/>
          <w:szCs w:val="32"/>
        </w:rPr>
      </w:pPr>
      <w:bookmarkStart w:id="64" w:name="_Toc15377222"/>
      <w:r>
        <w:rPr>
          <w:rFonts w:hint="eastAsia" w:ascii="仿宋" w:hAnsi="仿宋" w:eastAsia="仿宋"/>
          <w:b/>
          <w:sz w:val="32"/>
          <w:szCs w:val="32"/>
        </w:rPr>
        <w:t>（一）机关运行经费支出情况</w:t>
      </w:r>
      <w:bookmarkEnd w:id="64"/>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广元市昭化区商务和经济合作局</w:t>
      </w:r>
      <w:r>
        <w:rPr>
          <w:rFonts w:hint="eastAsia" w:ascii="仿宋_GB2312" w:eastAsia="仿宋_GB2312"/>
          <w:sz w:val="32"/>
          <w:szCs w:val="32"/>
        </w:rPr>
        <w:t>机关运行经费支出35.76万元，与</w:t>
      </w:r>
      <w:r>
        <w:rPr>
          <w:rFonts w:ascii="仿宋_GB2312" w:eastAsia="仿宋_GB2312"/>
          <w:sz w:val="32"/>
          <w:szCs w:val="32"/>
        </w:rPr>
        <w:t>20</w:t>
      </w:r>
      <w:r>
        <w:rPr>
          <w:rFonts w:hint="eastAsia" w:ascii="仿宋_GB2312" w:eastAsia="仿宋_GB2312"/>
          <w:sz w:val="32"/>
          <w:szCs w:val="32"/>
        </w:rPr>
        <w:t>20年持平。</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65" w:name="_Toc15377223"/>
      <w:r>
        <w:rPr>
          <w:rFonts w:hint="eastAsia" w:ascii="仿宋" w:hAnsi="仿宋" w:eastAsia="仿宋"/>
          <w:b/>
          <w:sz w:val="32"/>
          <w:szCs w:val="32"/>
        </w:rPr>
        <w:t>（二）政府采购支出情况</w:t>
      </w:r>
      <w:bookmarkEnd w:id="65"/>
    </w:p>
    <w:p>
      <w:pPr>
        <w:spacing w:line="600" w:lineRule="exact"/>
        <w:ind w:firstLine="640" w:firstLineChars="200"/>
        <w:rPr>
          <w:rFonts w:ascii="仿宋" w:hAnsi="仿宋" w:eastAsia="仿宋"/>
          <w:b/>
          <w:sz w:val="32"/>
          <w:szCs w:val="32"/>
        </w:rPr>
      </w:pPr>
      <w:r>
        <w:rPr>
          <w:rFonts w:ascii="仿宋_GB2312" w:eastAsia="仿宋_GB2312"/>
          <w:sz w:val="32"/>
          <w:szCs w:val="32"/>
        </w:rPr>
        <w:t>20</w:t>
      </w:r>
      <w:r>
        <w:rPr>
          <w:rFonts w:hint="eastAsia" w:ascii="仿宋_GB2312" w:eastAsia="仿宋_GB2312"/>
          <w:sz w:val="32"/>
          <w:szCs w:val="32"/>
        </w:rPr>
        <w:t>21年，</w:t>
      </w:r>
      <w:r>
        <w:rPr>
          <w:rFonts w:hint="eastAsia" w:ascii="仿宋_GB2312" w:eastAsia="仿宋_GB2312"/>
          <w:sz w:val="32"/>
          <w:szCs w:val="32"/>
          <w:lang w:eastAsia="zh-CN"/>
        </w:rPr>
        <w:t>广元市昭化区商务和经济合作局</w:t>
      </w:r>
      <w:r>
        <w:rPr>
          <w:rFonts w:hint="eastAsia" w:ascii="仿宋_GB2312" w:eastAsia="仿宋_GB2312"/>
          <w:sz w:val="32"/>
          <w:szCs w:val="32"/>
        </w:rPr>
        <w:t>政府采购支出总额0万元，其中：政府采购货物支出0万元、政府采购工程支出0万元、政府采购服务支出0万元。</w:t>
      </w:r>
      <w:r>
        <w:rPr>
          <w:rFonts w:hint="eastAsia" w:ascii="仿宋_GB2312" w:eastAsia="仿宋_GB2312"/>
          <w:color w:val="auto"/>
          <w:sz w:val="32"/>
          <w:szCs w:val="32"/>
          <w:highlight w:val="none"/>
        </w:rPr>
        <w:t>授予中小企业合同金额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万元，其中：授予小微企业合同金额</w:t>
      </w:r>
      <w:r>
        <w:rPr>
          <w:rFonts w:hint="eastAsia" w:ascii="仿宋_GB2312" w:eastAsia="仿宋_GB2312"/>
          <w:color w:val="auto"/>
          <w:sz w:val="32"/>
          <w:szCs w:val="32"/>
          <w:highlight w:val="none"/>
          <w:lang w:val="en-US" w:eastAsia="zh-CN"/>
        </w:rPr>
        <w:t>0</w:t>
      </w:r>
      <w:r>
        <w:rPr>
          <w:rFonts w:hint="eastAsia" w:ascii="仿宋_GB2312" w:eastAsia="仿宋_GB2312"/>
          <w:color w:val="auto"/>
          <w:sz w:val="32"/>
          <w:szCs w:val="32"/>
          <w:highlight w:val="none"/>
        </w:rPr>
        <w:t>万元。</w:t>
      </w:r>
    </w:p>
    <w:p>
      <w:pPr>
        <w:autoSpaceDE w:val="0"/>
        <w:autoSpaceDN w:val="0"/>
        <w:adjustRightInd w:val="0"/>
        <w:spacing w:line="600" w:lineRule="exact"/>
        <w:ind w:firstLine="640" w:firstLineChars="200"/>
        <w:jc w:val="left"/>
        <w:outlineLvl w:val="2"/>
        <w:rPr>
          <w:rFonts w:ascii="仿宋" w:hAnsi="仿宋" w:eastAsia="仿宋"/>
          <w:b/>
          <w:sz w:val="32"/>
          <w:szCs w:val="32"/>
        </w:rPr>
      </w:pPr>
      <w:bookmarkStart w:id="66" w:name="_Toc15377224"/>
      <w:r>
        <w:rPr>
          <w:rFonts w:hint="eastAsia" w:ascii="仿宋" w:hAnsi="仿宋" w:eastAsia="仿宋"/>
          <w:b/>
          <w:sz w:val="32"/>
          <w:szCs w:val="32"/>
        </w:rPr>
        <w:t>（三）国有资产占有使用情况</w:t>
      </w:r>
      <w:bookmarkEnd w:id="66"/>
    </w:p>
    <w:p>
      <w:pPr>
        <w:spacing w:line="600" w:lineRule="exact"/>
        <w:ind w:firstLine="640" w:firstLineChars="200"/>
        <w:rPr>
          <w:rFonts w:ascii="仿宋" w:hAnsi="仿宋" w:eastAsia="仿宋"/>
          <w:b/>
          <w:sz w:val="32"/>
          <w:szCs w:val="32"/>
        </w:rPr>
      </w:pPr>
      <w:r>
        <w:rPr>
          <w:rFonts w:hint="eastAsia" w:ascii="仿宋_GB2312" w:eastAsia="仿宋_GB2312"/>
          <w:sz w:val="32"/>
          <w:szCs w:val="32"/>
        </w:rPr>
        <w:t>截至</w:t>
      </w:r>
      <w:r>
        <w:rPr>
          <w:rFonts w:ascii="仿宋_GB2312" w:eastAsia="仿宋_GB2312"/>
          <w:sz w:val="32"/>
          <w:szCs w:val="32"/>
        </w:rPr>
        <w:t>20</w:t>
      </w:r>
      <w:r>
        <w:rPr>
          <w:rFonts w:hint="eastAsia" w:ascii="仿宋_GB2312" w:eastAsia="仿宋_GB2312"/>
          <w:sz w:val="32"/>
          <w:szCs w:val="32"/>
        </w:rPr>
        <w:t>21年</w:t>
      </w:r>
      <w:r>
        <w:rPr>
          <w:rFonts w:ascii="仿宋_GB2312" w:eastAsia="仿宋_GB2312"/>
          <w:sz w:val="32"/>
          <w:szCs w:val="32"/>
        </w:rPr>
        <w:t>12</w:t>
      </w:r>
      <w:r>
        <w:rPr>
          <w:rFonts w:hint="eastAsia" w:ascii="仿宋_GB2312" w:eastAsia="仿宋_GB2312"/>
          <w:sz w:val="32"/>
          <w:szCs w:val="32"/>
        </w:rPr>
        <w:t>月</w:t>
      </w:r>
      <w:r>
        <w:rPr>
          <w:rFonts w:ascii="仿宋_GB2312" w:eastAsia="仿宋_GB2312"/>
          <w:sz w:val="32"/>
          <w:szCs w:val="32"/>
        </w:rPr>
        <w:t>31</w:t>
      </w:r>
      <w:r>
        <w:rPr>
          <w:rFonts w:hint="eastAsia" w:ascii="仿宋_GB2312" w:eastAsia="仿宋_GB2312"/>
          <w:sz w:val="32"/>
          <w:szCs w:val="32"/>
        </w:rPr>
        <w:t>日，</w:t>
      </w:r>
      <w:r>
        <w:rPr>
          <w:rFonts w:hint="eastAsia" w:ascii="仿宋_GB2312" w:eastAsia="仿宋_GB2312"/>
          <w:sz w:val="32"/>
          <w:szCs w:val="32"/>
          <w:lang w:eastAsia="zh-CN"/>
        </w:rPr>
        <w:t>广元市昭化区商务和经济合作局</w:t>
      </w:r>
      <w:r>
        <w:rPr>
          <w:rFonts w:hint="eastAsia" w:ascii="仿宋_GB2312" w:eastAsia="仿宋_GB2312"/>
          <w:sz w:val="32"/>
          <w:szCs w:val="32"/>
        </w:rPr>
        <w:t>共有车辆0辆，其中：主要领导干部用车0辆、机要通信用车0辆、应急保障用车0辆、其他用车0辆。</w:t>
      </w:r>
    </w:p>
    <w:p>
      <w:pPr>
        <w:widowControl/>
        <w:ind w:firstLine="640" w:firstLineChars="200"/>
        <w:jc w:val="left"/>
        <w:rPr>
          <w:rFonts w:ascii="仿宋_GB2312" w:eastAsia="仿宋_GB2312"/>
          <w:sz w:val="32"/>
          <w:szCs w:val="32"/>
        </w:rPr>
      </w:pPr>
    </w:p>
    <w:p>
      <w:pPr>
        <w:pStyle w:val="2"/>
        <w:rPr>
          <w:rFonts w:ascii="仿宋_GB2312" w:eastAsia="仿宋_GB2312"/>
          <w:sz w:val="32"/>
          <w:szCs w:val="32"/>
        </w:rPr>
      </w:pPr>
    </w:p>
    <w:p>
      <w:pPr>
        <w:numPr>
          <w:ilvl w:val="0"/>
          <w:numId w:val="3"/>
        </w:numPr>
        <w:spacing w:line="600" w:lineRule="exact"/>
        <w:ind w:firstLine="660" w:firstLineChars="150"/>
        <w:jc w:val="center"/>
        <w:outlineLvl w:val="0"/>
        <w:rPr>
          <w:rStyle w:val="28"/>
          <w:rFonts w:ascii="黑体" w:hAnsi="黑体" w:eastAsia="黑体"/>
          <w:b w:val="0"/>
        </w:rPr>
      </w:pPr>
      <w:bookmarkStart w:id="67" w:name="_Toc15377225"/>
      <w:bookmarkStart w:id="68" w:name="_Toc15396613"/>
      <w:r>
        <w:rPr>
          <w:rFonts w:hint="eastAsia" w:ascii="黑体" w:hAnsi="黑体" w:eastAsia="黑体"/>
          <w:sz w:val="44"/>
          <w:szCs w:val="44"/>
        </w:rPr>
        <w:t>名</w:t>
      </w:r>
      <w:r>
        <w:rPr>
          <w:rStyle w:val="28"/>
          <w:rFonts w:hint="eastAsia" w:ascii="黑体" w:hAnsi="黑体" w:eastAsia="黑体"/>
          <w:b w:val="0"/>
        </w:rPr>
        <w:t>词解释</w:t>
      </w:r>
      <w:bookmarkEnd w:id="67"/>
      <w:bookmarkEnd w:id="68"/>
    </w:p>
    <w:p>
      <w:pPr>
        <w:spacing w:line="600" w:lineRule="exact"/>
        <w:jc w:val="left"/>
        <w:rPr>
          <w:rFonts w:ascii="宋体"/>
          <w:b/>
          <w:sz w:val="44"/>
          <w:szCs w:val="44"/>
        </w:rPr>
      </w:pP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1.财政拨款收入：指区级财政当年拨付的资金。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2.事业收入：指事业单位开展专业业务活动及辅助活动所取得的收入。</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3.经营收入：指事业单位在专业业务活动及其辅助活动之外开展非独立核算经营活动取得的收入。</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4.其他收入：指除上述“财政拨款收入”、“事业收入”、“经营收入”等以外的收入。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5.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 xml:space="preserve">6.年初结转和结余：指以前年度尚未完成、结转到本年按有关规定继续使用的资金。 </w:t>
      </w:r>
    </w:p>
    <w:p>
      <w:pPr>
        <w:ind w:firstLine="640" w:firstLineChars="200"/>
        <w:rPr>
          <w:rFonts w:ascii="仿宋_GB2312" w:hAnsi="Calibri" w:eastAsia="仿宋_GB2312" w:cs="仿宋"/>
          <w:color w:val="000000"/>
          <w:kern w:val="0"/>
          <w:sz w:val="32"/>
          <w:szCs w:val="32"/>
        </w:rPr>
      </w:pPr>
      <w:r>
        <w:rPr>
          <w:rFonts w:hint="eastAsia" w:ascii="仿宋_GB2312" w:eastAsia="仿宋_GB2312"/>
          <w:color w:val="000000"/>
          <w:sz w:val="32"/>
          <w:szCs w:val="32"/>
        </w:rPr>
        <w:t>7.</w:t>
      </w:r>
      <w:r>
        <w:rPr>
          <w:rFonts w:hint="eastAsia" w:ascii="仿宋_GB2312" w:hAnsi="Calibri" w:eastAsia="仿宋_GB2312" w:cs="仿宋"/>
          <w:color w:val="000000"/>
          <w:kern w:val="0"/>
          <w:sz w:val="32"/>
          <w:szCs w:val="32"/>
        </w:rPr>
        <w:t xml:space="preserve"> 社会保障和就业支出（类）行政事业单位离退休（款）机关事业单位基本养老保险缴费支出（项）:指用于行政事业单位开支的离退休经费。</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8.医疗卫生与计划生育支出（类）医疗保障（款）行政单位医疗（项）:指财政部门集中安排的行政单位基本医疗保险缴费经费。</w:t>
      </w:r>
    </w:p>
    <w:p>
      <w:pPr>
        <w:ind w:firstLine="640" w:firstLineChars="200"/>
        <w:rPr>
          <w:rFonts w:ascii="仿宋_GB2312" w:hAnsi="Calibri" w:eastAsia="仿宋_GB2312" w:cs="仿宋"/>
          <w:color w:val="000000"/>
          <w:kern w:val="0"/>
          <w:sz w:val="32"/>
          <w:szCs w:val="32"/>
        </w:rPr>
      </w:pPr>
      <w:r>
        <w:rPr>
          <w:rFonts w:hint="eastAsia" w:ascii="仿宋_GB2312" w:hAnsi="Calibri" w:eastAsia="仿宋_GB2312" w:cs="仿宋"/>
          <w:color w:val="000000"/>
          <w:kern w:val="0"/>
          <w:sz w:val="32"/>
          <w:szCs w:val="32"/>
        </w:rPr>
        <w:t>9.住房保障支出（类）住房改革支出（款）住房公积金（项）:指行政事业单位按人力资源和社会保障部、财政部规定的基本工资和津贴补贴以及规定比例为职工缴纳的住房公积金。</w:t>
      </w:r>
    </w:p>
    <w:p>
      <w:pPr>
        <w:ind w:firstLine="640" w:firstLineChars="200"/>
        <w:rPr>
          <w:rFonts w:ascii="仿宋_GB2312" w:eastAsia="仿宋_GB2312"/>
          <w:color w:val="000000"/>
          <w:sz w:val="32"/>
          <w:szCs w:val="32"/>
        </w:rPr>
      </w:pPr>
      <w:r>
        <w:rPr>
          <w:rFonts w:hint="eastAsia" w:ascii="仿宋_GB2312" w:hAnsi="Calibri" w:eastAsia="仿宋_GB2312" w:cs="仿宋"/>
          <w:color w:val="000000"/>
          <w:kern w:val="0"/>
          <w:sz w:val="32"/>
          <w:szCs w:val="32"/>
        </w:rPr>
        <w:t>10</w:t>
      </w:r>
      <w:r>
        <w:rPr>
          <w:rFonts w:hint="eastAsia" w:ascii="仿宋_GB2312" w:eastAsia="仿宋_GB2312"/>
          <w:color w:val="000000"/>
          <w:sz w:val="32"/>
          <w:szCs w:val="32"/>
        </w:rPr>
        <w:t>.结余分配：指事业单位按规定提取的职工福利基金、事业基金和缴纳的所得税，以及建设单位按规定应交回的基本建设竣工项目结余资金。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11.年末结转和结余：指本年度或以前年度预算安排、因客观条件发生变化无法按原计划实施，需延迟到以后年度按有关规定继续使用的资金。</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12.基本支出：指为保障机构正常运转、完成日常工作任务而发生的人员支出和公用支出。</w:t>
      </w:r>
    </w:p>
    <w:p>
      <w:pPr>
        <w:ind w:firstLine="640" w:firstLineChars="200"/>
        <w:rPr>
          <w:rFonts w:ascii="仿宋_GB2312" w:eastAsia="仿宋_GB2312"/>
          <w:color w:val="000000"/>
          <w:sz w:val="32"/>
          <w:szCs w:val="32"/>
        </w:rPr>
      </w:pPr>
      <w:r>
        <w:rPr>
          <w:rFonts w:hint="eastAsia" w:ascii="仿宋_GB2312" w:eastAsia="仿宋_GB2312"/>
          <w:color w:val="000000"/>
          <w:sz w:val="32"/>
          <w:szCs w:val="32"/>
        </w:rPr>
        <w:t xml:space="preserve">13.项目支出：指在基本支出之外为完成特定行政任务和事业发展目标所发生的支出。 </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14.“三公”经费：纳入省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6"/>
        <w:spacing w:line="560" w:lineRule="exact"/>
        <w:ind w:firstLine="640" w:firstLineChars="200"/>
        <w:rPr>
          <w:rFonts w:ascii="仿宋_GB2312" w:eastAsia="仿宋_GB2312"/>
          <w:sz w:val="32"/>
          <w:szCs w:val="32"/>
        </w:rPr>
      </w:pPr>
      <w:r>
        <w:rPr>
          <w:rFonts w:hint="eastAsia" w:ascii="仿宋_GB2312" w:eastAsia="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spacing w:line="600" w:lineRule="exact"/>
        <w:jc w:val="center"/>
        <w:outlineLvl w:val="0"/>
        <w:rPr>
          <w:rStyle w:val="28"/>
          <w:rFonts w:ascii="黑体" w:hAnsi="黑体" w:eastAsia="黑体"/>
          <w:b w:val="0"/>
        </w:rPr>
      </w:pPr>
      <w:bookmarkStart w:id="69" w:name="_Toc15377226"/>
      <w:r>
        <w:rPr>
          <w:rFonts w:ascii="宋体"/>
          <w:b/>
          <w:sz w:val="44"/>
          <w:szCs w:val="44"/>
        </w:rPr>
        <w:br w:type="page"/>
      </w:r>
      <w:bookmarkStart w:id="70" w:name="_Toc15396614"/>
      <w:r>
        <w:rPr>
          <w:rFonts w:hint="eastAsia" w:ascii="黑体" w:hAnsi="黑体" w:eastAsia="黑体"/>
          <w:sz w:val="44"/>
          <w:szCs w:val="44"/>
        </w:rPr>
        <w:t>第</w:t>
      </w:r>
      <w:r>
        <w:rPr>
          <w:rStyle w:val="28"/>
          <w:rFonts w:hint="eastAsia" w:ascii="黑体" w:hAnsi="黑体" w:eastAsia="黑体"/>
          <w:b w:val="0"/>
        </w:rPr>
        <w:t>四部分 附件</w:t>
      </w:r>
      <w:bookmarkEnd w:id="70"/>
    </w:p>
    <w:p>
      <w:pPr>
        <w:spacing w:line="572" w:lineRule="exact"/>
        <w:jc w:val="left"/>
        <w:outlineLvl w:val="0"/>
        <w:rPr>
          <w:rFonts w:ascii="仿宋_GB2312" w:hAnsi="仿宋_GB2312" w:eastAsia="仿宋_GB2312" w:cs="仿宋_GB2312"/>
          <w:sz w:val="32"/>
          <w:szCs w:val="32"/>
        </w:rPr>
      </w:pPr>
      <w:r>
        <w:rPr>
          <w:rFonts w:hint="eastAsia" w:ascii="黑体" w:hAnsi="黑体" w:eastAsia="黑体" w:cs="黑体"/>
          <w:sz w:val="32"/>
          <w:szCs w:val="32"/>
        </w:rPr>
        <w:t>附件</w:t>
      </w:r>
    </w:p>
    <w:tbl>
      <w:tblPr>
        <w:tblStyle w:val="15"/>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348"/>
        <w:gridCol w:w="1476"/>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bookmarkStart w:id="71" w:name="_Toc15396618"/>
            <w:r>
              <w:rPr>
                <w:rFonts w:hint="eastAsia" w:ascii="宋体" w:hAnsi="宋体" w:cs="宋体"/>
                <w:b/>
                <w:sz w:val="32"/>
                <w:szCs w:val="32"/>
              </w:rPr>
              <w:t>2021年部门预算项目绩效目标自评-现代服务业工作经费</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eastAsia" w:asciiTheme="minorEastAsia" w:hAnsiTheme="minorEastAsia" w:eastAsiaTheme="minorEastAsia" w:cstheme="minorEastAsia"/>
                <w:sz w:val="21"/>
                <w:szCs w:val="21"/>
                <w:lang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广元市昭化区商务和经济合作局</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项目预算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执行情况</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（万元）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 xml:space="preserve"> 预算数：</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其中：</w:t>
            </w:r>
          </w:p>
          <w:p>
            <w:pPr>
              <w:widowControl/>
              <w:spacing w:line="32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财政拨款</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其中：</w:t>
            </w:r>
          </w:p>
          <w:p>
            <w:pPr>
              <w:widowControl/>
              <w:spacing w:line="32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其他资金</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年度总体目标</w:t>
            </w:r>
          </w:p>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积极培育壮大商贸实体，建立主体培育名录库，分阶段落实培育规划，强化入库申报指导，强力抓好“个转企”培育，确保进规上限目标如期实现。年内新培育限上商贸企业2家，规上服务企业2家。</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年内新培育限上商贸企业2家，规上服务企业2家。</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一级</w:t>
            </w:r>
          </w:p>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二级</w:t>
            </w:r>
          </w:p>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三级</w:t>
            </w:r>
          </w:p>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完成</w:t>
            </w:r>
          </w:p>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新培育限上商贸企业个数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2家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2家</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Theme="minorEastAsia" w:hAnsiTheme="minorEastAsia" w:eastAsiaTheme="minorEastAsia" w:cstheme="minorEastAsia"/>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达到入库标准企业个数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4家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4家</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Theme="minorEastAsia" w:hAnsiTheme="minorEastAsia" w:eastAsiaTheme="minorEastAsia" w:cstheme="minorEastAsia"/>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年内</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年内已完成</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Theme="minorEastAsia" w:hAnsiTheme="minorEastAsia" w:eastAsiaTheme="minorEastAsia" w:cstheme="minorEastAsia"/>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30万元</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效益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经济效益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对地方经济的影响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促进地方经济发展</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促进地方经济健康发展</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Theme="minorEastAsia" w:hAnsiTheme="minorEastAsia" w:eastAsiaTheme="minorEastAsia" w:cstheme="minorEastAsia"/>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社会效益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促进就业</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壮大商贸实体</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进规上限目标如期实现</w:t>
            </w: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Theme="minorEastAsia" w:hAnsiTheme="minorEastAsia" w:eastAsiaTheme="minorEastAsia" w:cstheme="minorEastAsia"/>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92" w:leftChars="87" w:hanging="210" w:hangingChars="10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生态效益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环保要求</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执行国家环保政策</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认真执行国家环保政策</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Theme="minorEastAsia" w:hAnsiTheme="minorEastAsia" w:eastAsiaTheme="minorEastAsia" w:cstheme="minorEastAsia"/>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可持续影响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对企业可持续发展的影响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积极</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积极</w:t>
            </w: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满意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度指标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满意度</w:t>
            </w:r>
          </w:p>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95%以上</w:t>
            </w:r>
          </w:p>
        </w:tc>
      </w:tr>
    </w:tbl>
    <w:p>
      <w:pPr>
        <w:spacing w:line="600" w:lineRule="exact"/>
        <w:jc w:val="center"/>
        <w:outlineLvl w:val="0"/>
        <w:rPr>
          <w:rFonts w:ascii="黑体" w:hAnsi="黑体" w:eastAsia="黑体"/>
          <w:szCs w:val="21"/>
        </w:rPr>
      </w:pPr>
    </w:p>
    <w:p>
      <w:pPr>
        <w:widowControl/>
        <w:jc w:val="left"/>
        <w:rPr>
          <w:rFonts w:ascii="黑体" w:hAnsi="黑体" w:eastAsia="黑体"/>
          <w:sz w:val="44"/>
          <w:szCs w:val="44"/>
        </w:rPr>
      </w:pPr>
      <w:r>
        <w:rPr>
          <w:rFonts w:ascii="黑体" w:hAnsi="黑体" w:eastAsia="黑体"/>
          <w:sz w:val="44"/>
          <w:szCs w:val="44"/>
        </w:rPr>
        <w:br w:type="page"/>
      </w:r>
    </w:p>
    <w:tbl>
      <w:tblPr>
        <w:tblStyle w:val="15"/>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1976"/>
        <w:gridCol w:w="1142"/>
        <w:gridCol w:w="1348"/>
        <w:gridCol w:w="1476"/>
        <w:gridCol w:w="1224"/>
        <w:gridCol w:w="2409"/>
        <w:gridCol w:w="236"/>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2021年部门预算项目绩效目标自评-市级重点项目工作经费</w:t>
            </w:r>
          </w:p>
        </w:tc>
        <w:tc>
          <w:tcPr>
            <w:tcW w:w="234" w:type="dxa"/>
            <w:tcBorders>
              <w:top w:val="nil"/>
              <w:left w:val="nil"/>
              <w:bottom w:val="nil"/>
              <w:right w:val="nil"/>
            </w:tcBorders>
            <w:shd w:val="clear" w:color="auto" w:fill="auto"/>
            <w:vAlign w:val="center"/>
          </w:tcPr>
          <w:p>
            <w:pPr>
              <w:widowControl/>
              <w:jc w:val="center"/>
              <w:textAlignment w:val="center"/>
              <w:rPr>
                <w:rFonts w:ascii="宋体" w:hAnsi="宋体" w:cs="宋体"/>
                <w:b/>
                <w:kern w:val="0"/>
                <w:sz w:val="32"/>
                <w:szCs w:val="32"/>
              </w:rPr>
            </w:pPr>
          </w:p>
        </w:tc>
      </w:tr>
      <w:tr>
        <w:tblPrEx>
          <w:tblCellMar>
            <w:top w:w="0" w:type="dxa"/>
            <w:left w:w="108" w:type="dxa"/>
            <w:bottom w:w="0" w:type="dxa"/>
            <w:right w:w="108" w:type="dxa"/>
          </w:tblCellMar>
        </w:tblPrEx>
        <w:trPr>
          <w:gridAfter w:val="1"/>
          <w:wAfter w:w="234" w:type="dxa"/>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eastAsia" w:asciiTheme="minorEastAsia" w:hAnsiTheme="minorEastAsia" w:eastAsiaTheme="minorEastAsia" w:cstheme="minorEastAsia"/>
                <w:sz w:val="21"/>
                <w:szCs w:val="21"/>
                <w:lang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广元市昭化区商务和经济合作局</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项目预算</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执行情况</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（万元）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 xml:space="preserve"> 预算数：</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27.35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27.35</w:t>
            </w:r>
          </w:p>
        </w:tc>
      </w:tr>
      <w:tr>
        <w:tblPrEx>
          <w:tblCellMar>
            <w:top w:w="0" w:type="dxa"/>
            <w:left w:w="108" w:type="dxa"/>
            <w:bottom w:w="0" w:type="dxa"/>
            <w:right w:w="108" w:type="dxa"/>
          </w:tblCellMar>
        </w:tblPrEx>
        <w:trPr>
          <w:gridAfter w:val="1"/>
          <w:wAfter w:w="234" w:type="dxa"/>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其中：</w:t>
            </w:r>
          </w:p>
          <w:p>
            <w:pPr>
              <w:widowControl/>
              <w:spacing w:line="32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财政拨款</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27.35</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其中：</w:t>
            </w:r>
          </w:p>
          <w:p>
            <w:pPr>
              <w:widowControl/>
              <w:spacing w:line="32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27.35</w:t>
            </w:r>
          </w:p>
        </w:tc>
      </w:tr>
      <w:tr>
        <w:tblPrEx>
          <w:tblCellMar>
            <w:top w:w="0" w:type="dxa"/>
            <w:left w:w="108" w:type="dxa"/>
            <w:bottom w:w="0" w:type="dxa"/>
            <w:right w:w="108" w:type="dxa"/>
          </w:tblCellMar>
        </w:tblPrEx>
        <w:trPr>
          <w:gridAfter w:val="1"/>
          <w:wAfter w:w="234" w:type="dxa"/>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其他资金</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p>
        </w:tc>
      </w:tr>
      <w:tr>
        <w:tblPrEx>
          <w:tblCellMar>
            <w:top w:w="0" w:type="dxa"/>
            <w:left w:w="108" w:type="dxa"/>
            <w:bottom w:w="0" w:type="dxa"/>
            <w:right w:w="108" w:type="dxa"/>
          </w:tblCellMar>
        </w:tblPrEx>
        <w:trPr>
          <w:gridAfter w:val="1"/>
          <w:wAfter w:w="234" w:type="dxa"/>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年度总体目标</w:t>
            </w:r>
          </w:p>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目标实际完成情况</w:t>
            </w:r>
          </w:p>
        </w:tc>
      </w:tr>
      <w:tr>
        <w:tblPrEx>
          <w:tblCellMar>
            <w:top w:w="0" w:type="dxa"/>
            <w:left w:w="108" w:type="dxa"/>
            <w:bottom w:w="0" w:type="dxa"/>
            <w:right w:w="108" w:type="dxa"/>
          </w:tblCellMar>
        </w:tblPrEx>
        <w:trPr>
          <w:gridAfter w:val="1"/>
          <w:wAfter w:w="234" w:type="dxa"/>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在市区两级政府的领导下，会同市区相关部门，进一步加大与碧桂园地产集团的跟踪洽谈力度，力争现代筑美智能家居产业项目年内签约。</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已签约</w:t>
            </w:r>
          </w:p>
        </w:tc>
      </w:tr>
      <w:tr>
        <w:tblPrEx>
          <w:tblCellMar>
            <w:top w:w="0" w:type="dxa"/>
            <w:left w:w="108" w:type="dxa"/>
            <w:bottom w:w="0" w:type="dxa"/>
            <w:right w:w="108" w:type="dxa"/>
          </w:tblCellMar>
        </w:tblPrEx>
        <w:trPr>
          <w:gridAfter w:val="1"/>
          <w:wAfter w:w="234" w:type="dxa"/>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一级</w:t>
            </w:r>
          </w:p>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二级</w:t>
            </w:r>
          </w:p>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三级</w:t>
            </w:r>
          </w:p>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实际完成指标值</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完成</w:t>
            </w:r>
          </w:p>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项目签约投资额</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5000万元以上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5000万元以上</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Theme="minorEastAsia" w:hAnsiTheme="minorEastAsia" w:eastAsiaTheme="minorEastAsia" w:cstheme="minorEastAsia"/>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协议亩均投资额</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不低于80万元/亩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kern w:val="0"/>
                <w:sz w:val="21"/>
                <w:szCs w:val="21"/>
              </w:rPr>
              <w:t>不低于80万元/亩</w:t>
            </w:r>
          </w:p>
        </w:tc>
      </w:tr>
      <w:tr>
        <w:tblPrEx>
          <w:tblCellMar>
            <w:top w:w="0" w:type="dxa"/>
            <w:left w:w="108" w:type="dxa"/>
            <w:bottom w:w="0" w:type="dxa"/>
            <w:right w:w="108" w:type="dxa"/>
          </w:tblCellMar>
        </w:tblPrEx>
        <w:trPr>
          <w:gridAfter w:val="1"/>
          <w:wAfter w:w="234" w:type="dxa"/>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Theme="minorEastAsia" w:hAnsiTheme="minorEastAsia" w:eastAsiaTheme="minorEastAsia" w:cstheme="minorEastAsia"/>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完成时限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年内</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年内已完成</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Theme="minorEastAsia" w:hAnsiTheme="minorEastAsia" w:eastAsiaTheme="minorEastAsia" w:cstheme="minorEastAsia"/>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跟踪洽谈经费</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27.35万元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27.35万元</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效益</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经济效益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协议年产值</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5亿元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已签约</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Theme="minorEastAsia" w:hAnsiTheme="minorEastAsia" w:eastAsiaTheme="minorEastAsia" w:cstheme="minorEastAsia"/>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社会效益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协议约定带动劳动就业人数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约定当地就业人数约1000人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已签约</w:t>
            </w:r>
          </w:p>
        </w:tc>
      </w:tr>
      <w:tr>
        <w:tblPrEx>
          <w:tblCellMar>
            <w:top w:w="0" w:type="dxa"/>
            <w:left w:w="108" w:type="dxa"/>
            <w:bottom w:w="0" w:type="dxa"/>
            <w:right w:w="108" w:type="dxa"/>
          </w:tblCellMar>
        </w:tblPrEx>
        <w:trPr>
          <w:gridAfter w:val="1"/>
          <w:wAfter w:w="234" w:type="dxa"/>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Theme="minorEastAsia" w:hAnsiTheme="minorEastAsia" w:eastAsiaTheme="minorEastAsia" w:cstheme="minorEastAsia"/>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92" w:leftChars="87" w:hanging="210" w:hangingChars="100"/>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生态效益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环保要求</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执行国家环保政策</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已签约</w:t>
            </w:r>
          </w:p>
        </w:tc>
      </w:tr>
      <w:tr>
        <w:tblPrEx>
          <w:tblCellMar>
            <w:top w:w="0" w:type="dxa"/>
            <w:left w:w="108" w:type="dxa"/>
            <w:bottom w:w="0" w:type="dxa"/>
            <w:right w:w="108" w:type="dxa"/>
          </w:tblCellMar>
        </w:tblPrEx>
        <w:trPr>
          <w:gridAfter w:val="1"/>
          <w:wAfter w:w="234" w:type="dxa"/>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Theme="minorEastAsia" w:hAnsiTheme="minorEastAsia" w:eastAsiaTheme="minorEastAsia" w:cstheme="minorEastAsia"/>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可持续影响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对本行业未来可持续发展的影响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建立完善的家居产业化链条集群</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已签约</w:t>
            </w:r>
          </w:p>
        </w:tc>
      </w:tr>
      <w:tr>
        <w:tblPrEx>
          <w:tblCellMar>
            <w:top w:w="0" w:type="dxa"/>
            <w:left w:w="108" w:type="dxa"/>
            <w:bottom w:w="0" w:type="dxa"/>
            <w:right w:w="108" w:type="dxa"/>
          </w:tblCellMar>
        </w:tblPrEx>
        <w:trPr>
          <w:gridAfter w:val="1"/>
          <w:wAfter w:w="234" w:type="dxa"/>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Theme="minorEastAsia" w:hAnsiTheme="minorEastAsia" w:eastAsiaTheme="minorEastAsia" w:cstheme="minorEastAsia"/>
                <w:sz w:val="21"/>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满意</w:t>
            </w:r>
            <w:r>
              <w:rPr>
                <w:rFonts w:hint="eastAsia" w:asciiTheme="minorEastAsia" w:hAnsiTheme="minorEastAsia" w:eastAsiaTheme="minorEastAsia" w:cstheme="minorEastAsia"/>
                <w:kern w:val="0"/>
                <w:sz w:val="21"/>
                <w:szCs w:val="21"/>
              </w:rPr>
              <w:br w:type="textWrapping"/>
            </w:r>
            <w:r>
              <w:rPr>
                <w:rFonts w:hint="eastAsia" w:asciiTheme="minorEastAsia" w:hAnsiTheme="minorEastAsia" w:eastAsiaTheme="minorEastAsia" w:cstheme="minorEastAsia"/>
                <w:kern w:val="0"/>
                <w:sz w:val="21"/>
                <w:szCs w:val="21"/>
              </w:rPr>
              <w:t>度指标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kern w:val="0"/>
                <w:sz w:val="21"/>
                <w:szCs w:val="21"/>
              </w:rPr>
              <w:t>满意度</w:t>
            </w:r>
          </w:p>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kern w:val="0"/>
                <w:sz w:val="21"/>
                <w:szCs w:val="21"/>
              </w:rPr>
              <w:t>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95%以上</w:t>
            </w:r>
          </w:p>
        </w:tc>
      </w:tr>
    </w:tbl>
    <w:p>
      <w:pPr>
        <w:spacing w:line="600" w:lineRule="exact"/>
        <w:jc w:val="center"/>
        <w:outlineLvl w:val="0"/>
        <w:rPr>
          <w:rFonts w:ascii="黑体" w:hAnsi="黑体" w:eastAsia="黑体"/>
          <w:sz w:val="44"/>
          <w:szCs w:val="44"/>
        </w:rPr>
      </w:pPr>
    </w:p>
    <w:p>
      <w:pPr>
        <w:spacing w:line="600" w:lineRule="exact"/>
        <w:jc w:val="center"/>
        <w:outlineLvl w:val="0"/>
        <w:rPr>
          <w:rFonts w:ascii="黑体" w:hAnsi="黑体" w:eastAsia="黑体"/>
          <w:sz w:val="44"/>
          <w:szCs w:val="44"/>
        </w:rPr>
      </w:pPr>
    </w:p>
    <w:tbl>
      <w:tblPr>
        <w:tblStyle w:val="15"/>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2025"/>
        <w:gridCol w:w="1170"/>
        <w:gridCol w:w="1381"/>
        <w:gridCol w:w="1512"/>
        <w:gridCol w:w="1254"/>
        <w:gridCol w:w="2469"/>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2021年部门预算项目绩效目标自评-区重点项目工作经费</w:t>
            </w:r>
          </w:p>
        </w:tc>
      </w:tr>
      <w:tr>
        <w:tblPrEx>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eastAsia" w:ascii="宋体" w:hAnsi="宋体" w:eastAsia="宋体" w:cs="宋体"/>
                <w:sz w:val="21"/>
                <w:szCs w:val="21"/>
                <w:lang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eastAsia="zh-CN"/>
              </w:rPr>
              <w:t>广元市昭化区商务和经济合作局</w:t>
            </w:r>
          </w:p>
        </w:tc>
      </w:tr>
      <w:tr>
        <w:tblPrEx>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项目预算</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执行情况</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（万元）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 xml:space="preserve"> 预算数：</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4.4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4.4</w:t>
            </w:r>
          </w:p>
        </w:tc>
      </w:tr>
      <w:tr>
        <w:tblPrEx>
          <w:tblCellMar>
            <w:top w:w="0" w:type="dxa"/>
            <w:left w:w="108" w:type="dxa"/>
            <w:bottom w:w="0" w:type="dxa"/>
            <w:right w:w="108" w:type="dxa"/>
          </w:tblCellMar>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其中：</w:t>
            </w:r>
          </w:p>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财政拨款</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4.4</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其中：</w:t>
            </w:r>
          </w:p>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sz w:val="21"/>
                <w:szCs w:val="21"/>
              </w:rPr>
              <w:t>4.4</w:t>
            </w:r>
          </w:p>
        </w:tc>
      </w:tr>
      <w:tr>
        <w:tblPrEx>
          <w:tblCellMar>
            <w:top w:w="0" w:type="dxa"/>
            <w:left w:w="108" w:type="dxa"/>
            <w:bottom w:w="0" w:type="dxa"/>
            <w:right w:w="108" w:type="dxa"/>
          </w:tblCellMar>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其他资金</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年度总体目标</w:t>
            </w:r>
          </w:p>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目标实际完成情况</w:t>
            </w:r>
          </w:p>
        </w:tc>
      </w:tr>
      <w:tr>
        <w:tblPrEx>
          <w:tblCellMar>
            <w:top w:w="0" w:type="dxa"/>
            <w:left w:w="108" w:type="dxa"/>
            <w:bottom w:w="0" w:type="dxa"/>
            <w:right w:w="108" w:type="dxa"/>
          </w:tblCellMar>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宋体" w:hAnsi="宋体" w:eastAsia="宋体" w:cs="宋体"/>
                <w:sz w:val="21"/>
                <w:szCs w:val="21"/>
              </w:rPr>
            </w:pPr>
            <w:r>
              <w:rPr>
                <w:rFonts w:hint="eastAsia" w:ascii="宋体" w:hAnsi="宋体" w:eastAsia="宋体" w:cs="宋体"/>
                <w:sz w:val="21"/>
                <w:szCs w:val="21"/>
              </w:rPr>
              <w:t>督促成都申事达金属门窗有限公司的年产20万平方米金属门窗建设项目按时间进度开工建设并投入试运行。</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宋体" w:hAnsi="宋体" w:eastAsia="宋体" w:cs="宋体"/>
                <w:sz w:val="21"/>
                <w:szCs w:val="21"/>
              </w:rPr>
            </w:pPr>
            <w:r>
              <w:rPr>
                <w:rFonts w:hint="eastAsia" w:ascii="宋体" w:hAnsi="宋体" w:eastAsia="宋体" w:cs="宋体"/>
                <w:sz w:val="21"/>
                <w:szCs w:val="21"/>
              </w:rPr>
              <w:t>已投产运行</w:t>
            </w:r>
          </w:p>
        </w:tc>
      </w:tr>
      <w:tr>
        <w:tblPrEx>
          <w:tblCellMar>
            <w:top w:w="0" w:type="dxa"/>
            <w:left w:w="108" w:type="dxa"/>
            <w:bottom w:w="0" w:type="dxa"/>
            <w:right w:w="108" w:type="dxa"/>
          </w:tblCellMar>
        </w:tblPrEx>
        <w:trPr>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一级</w:t>
            </w:r>
          </w:p>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二级</w:t>
            </w:r>
          </w:p>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三级</w:t>
            </w:r>
          </w:p>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实际完成指标值</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宋体" w:hAnsi="宋体" w:eastAsia="宋体" w:cs="宋体"/>
                <w:kern w:val="0"/>
                <w:sz w:val="21"/>
                <w:szCs w:val="21"/>
              </w:rPr>
            </w:pPr>
            <w:r>
              <w:rPr>
                <w:rFonts w:hint="eastAsia" w:ascii="宋体" w:hAnsi="宋体" w:eastAsia="宋体" w:cs="宋体"/>
                <w:kern w:val="0"/>
                <w:sz w:val="21"/>
                <w:szCs w:val="21"/>
              </w:rPr>
              <w:t>完成</w:t>
            </w:r>
          </w:p>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color w:val="000000"/>
                <w:kern w:val="0"/>
                <w:sz w:val="21"/>
                <w:szCs w:val="21"/>
              </w:rPr>
              <w:t>标准化厂房建设面积</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color w:val="000000"/>
                <w:kern w:val="0"/>
                <w:sz w:val="21"/>
                <w:szCs w:val="21"/>
              </w:rPr>
              <w:t>1.4万平方米</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color w:val="000000"/>
                <w:kern w:val="0"/>
                <w:sz w:val="21"/>
                <w:szCs w:val="21"/>
              </w:rPr>
              <w:t>1.4万平方米</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color w:val="000000"/>
                <w:kern w:val="0"/>
                <w:sz w:val="21"/>
                <w:szCs w:val="21"/>
              </w:rPr>
              <w:t>亩均投资额</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color w:val="000000"/>
                <w:kern w:val="0"/>
                <w:sz w:val="21"/>
                <w:szCs w:val="21"/>
              </w:rPr>
              <w:t>不低于80万元/亩</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color w:val="000000"/>
                <w:kern w:val="0"/>
                <w:sz w:val="21"/>
                <w:szCs w:val="21"/>
              </w:rPr>
              <w:t>不低于80万元/亩</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完成时限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年内</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年内已完成</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工作经费成本控制额</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4.4万元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4.4万元</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效益</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经济效益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亩均税收</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3万元以上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3万元以上</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社会效益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带动劳动就业人数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新增本地劳动力就业20人以上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带动劳动就业20人以上</w:t>
            </w:r>
          </w:p>
        </w:tc>
      </w:tr>
      <w:tr>
        <w:tblPrEx>
          <w:tblCellMar>
            <w:top w:w="0" w:type="dxa"/>
            <w:left w:w="108" w:type="dxa"/>
            <w:bottom w:w="0" w:type="dxa"/>
            <w:right w:w="108" w:type="dxa"/>
          </w:tblCellMar>
        </w:tblPrEx>
        <w:trPr>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92" w:leftChars="87" w:hanging="210" w:hangingChars="100"/>
              <w:jc w:val="left"/>
              <w:textAlignment w:val="bottom"/>
              <w:rPr>
                <w:rFonts w:hint="eastAsia" w:ascii="宋体" w:hAnsi="宋体" w:eastAsia="宋体" w:cs="宋体"/>
                <w:sz w:val="21"/>
                <w:szCs w:val="21"/>
              </w:rPr>
            </w:pPr>
            <w:r>
              <w:rPr>
                <w:rFonts w:hint="eastAsia" w:ascii="宋体" w:hAnsi="宋体" w:eastAsia="宋体" w:cs="宋体"/>
                <w:kern w:val="0"/>
                <w:sz w:val="21"/>
                <w:szCs w:val="21"/>
              </w:rPr>
              <w:t>生态效益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环保要求</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执行国家环保政策</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执行国家环保政策</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可持续影响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对本行业未来可持续发展的影响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良性</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良好</w:t>
            </w:r>
          </w:p>
        </w:tc>
      </w:tr>
      <w:tr>
        <w:tblPrEx>
          <w:tblCellMar>
            <w:top w:w="0" w:type="dxa"/>
            <w:left w:w="108" w:type="dxa"/>
            <w:bottom w:w="0" w:type="dxa"/>
            <w:right w:w="108" w:type="dxa"/>
          </w:tblCellMar>
        </w:tblPrEx>
        <w:trPr>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满意</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度指标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kern w:val="0"/>
                <w:sz w:val="21"/>
                <w:szCs w:val="21"/>
              </w:rPr>
            </w:pPr>
            <w:r>
              <w:rPr>
                <w:rFonts w:hint="eastAsia" w:ascii="宋体" w:hAnsi="宋体" w:eastAsia="宋体" w:cs="宋体"/>
                <w:kern w:val="0"/>
                <w:sz w:val="21"/>
                <w:szCs w:val="21"/>
              </w:rPr>
              <w:t>满意度</w:t>
            </w:r>
          </w:p>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企业满意度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95%以上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95%以上</w:t>
            </w:r>
          </w:p>
        </w:tc>
      </w:tr>
    </w:tbl>
    <w:p>
      <w:pPr>
        <w:spacing w:line="600" w:lineRule="exact"/>
        <w:jc w:val="center"/>
        <w:outlineLvl w:val="0"/>
        <w:rPr>
          <w:rFonts w:ascii="黑体" w:hAnsi="黑体" w:eastAsia="黑体"/>
          <w:sz w:val="44"/>
          <w:szCs w:val="44"/>
        </w:rPr>
      </w:pPr>
    </w:p>
    <w:tbl>
      <w:tblPr>
        <w:tblStyle w:val="15"/>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2025"/>
        <w:gridCol w:w="1170"/>
        <w:gridCol w:w="1381"/>
        <w:gridCol w:w="1512"/>
        <w:gridCol w:w="1254"/>
        <w:gridCol w:w="2469"/>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w:t>
            </w:r>
            <w:r>
              <w:rPr>
                <w:rFonts w:hint="eastAsia" w:ascii="宋体" w:hAnsi="宋体" w:cs="宋体"/>
                <w:b/>
                <w:sz w:val="21"/>
                <w:szCs w:val="21"/>
              </w:rPr>
              <w:t>广元（昭化）电商物流园区建设（一期）项目</w:t>
            </w:r>
          </w:p>
        </w:tc>
      </w:tr>
      <w:tr>
        <w:tblPrEx>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eastAsia" w:ascii="宋体" w:hAnsi="宋体" w:eastAsia="宋体" w:cs="宋体"/>
                <w:sz w:val="21"/>
                <w:szCs w:val="21"/>
                <w:lang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eastAsia="zh-CN"/>
              </w:rPr>
              <w:t>广元市昭化区商务和经济合作局</w:t>
            </w:r>
          </w:p>
        </w:tc>
      </w:tr>
      <w:tr>
        <w:tblPrEx>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项目预算</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执行情况</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（万元）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 xml:space="preserve"> 预算数：</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r>
      <w:tr>
        <w:tblPrEx>
          <w:tblCellMar>
            <w:top w:w="0" w:type="dxa"/>
            <w:left w:w="108" w:type="dxa"/>
            <w:bottom w:w="0" w:type="dxa"/>
            <w:right w:w="108" w:type="dxa"/>
          </w:tblCellMar>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其中：</w:t>
            </w:r>
          </w:p>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财政拨款</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其中：</w:t>
            </w:r>
          </w:p>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r>
      <w:tr>
        <w:tblPrEx>
          <w:tblCellMar>
            <w:top w:w="0" w:type="dxa"/>
            <w:left w:w="108" w:type="dxa"/>
            <w:bottom w:w="0" w:type="dxa"/>
            <w:right w:w="108" w:type="dxa"/>
          </w:tblCellMar>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其他资金</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年度总体目标</w:t>
            </w:r>
          </w:p>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目标实际完成情况</w:t>
            </w:r>
          </w:p>
        </w:tc>
      </w:tr>
      <w:tr>
        <w:tblPrEx>
          <w:tblCellMar>
            <w:top w:w="0" w:type="dxa"/>
            <w:left w:w="108" w:type="dxa"/>
            <w:bottom w:w="0" w:type="dxa"/>
            <w:right w:w="108" w:type="dxa"/>
          </w:tblCellMar>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宋体" w:hAnsi="宋体" w:eastAsia="宋体" w:cs="宋体"/>
                <w:sz w:val="21"/>
                <w:szCs w:val="21"/>
              </w:rPr>
            </w:pPr>
            <w:r>
              <w:rPr>
                <w:rFonts w:hint="eastAsia" w:ascii="宋体" w:hAnsi="宋体" w:eastAsia="宋体" w:cs="宋体"/>
                <w:sz w:val="21"/>
                <w:szCs w:val="21"/>
              </w:rPr>
              <w:t>双凤物流园区电商站点</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宋体" w:hAnsi="宋体" w:eastAsia="宋体" w:cs="宋体"/>
                <w:sz w:val="21"/>
                <w:szCs w:val="21"/>
                <w:lang w:eastAsia="zh-CN"/>
              </w:rPr>
            </w:pPr>
            <w:r>
              <w:rPr>
                <w:rFonts w:hint="eastAsia" w:ascii="宋体" w:hAnsi="宋体" w:cs="宋体"/>
                <w:sz w:val="21"/>
                <w:szCs w:val="21"/>
                <w:lang w:eastAsia="zh-CN"/>
              </w:rPr>
              <w:t>已建成</w:t>
            </w:r>
          </w:p>
        </w:tc>
      </w:tr>
      <w:tr>
        <w:tblPrEx>
          <w:tblCellMar>
            <w:top w:w="0" w:type="dxa"/>
            <w:left w:w="108" w:type="dxa"/>
            <w:bottom w:w="0" w:type="dxa"/>
            <w:right w:w="108" w:type="dxa"/>
          </w:tblCellMar>
        </w:tblPrEx>
        <w:trPr>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一级</w:t>
            </w:r>
          </w:p>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二级</w:t>
            </w:r>
          </w:p>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三级</w:t>
            </w:r>
          </w:p>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实际完成指标值</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宋体" w:hAnsi="宋体" w:eastAsia="宋体" w:cs="宋体"/>
                <w:kern w:val="0"/>
                <w:sz w:val="21"/>
                <w:szCs w:val="21"/>
              </w:rPr>
            </w:pPr>
            <w:r>
              <w:rPr>
                <w:rFonts w:hint="eastAsia" w:ascii="宋体" w:hAnsi="宋体" w:eastAsia="宋体" w:cs="宋体"/>
                <w:kern w:val="0"/>
                <w:sz w:val="21"/>
                <w:szCs w:val="21"/>
              </w:rPr>
              <w:t>完成</w:t>
            </w:r>
          </w:p>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lang w:eastAsia="zh-CN"/>
              </w:rPr>
            </w:pPr>
            <w:r>
              <w:rPr>
                <w:rFonts w:hint="eastAsia" w:ascii="宋体" w:hAnsi="宋体" w:cs="宋体"/>
                <w:color w:val="000000"/>
                <w:kern w:val="0"/>
                <w:sz w:val="21"/>
                <w:szCs w:val="21"/>
                <w:lang w:eastAsia="zh-CN"/>
              </w:rPr>
              <w:t>入驻电商企业家数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lang w:eastAsia="zh-CN"/>
              </w:rPr>
            </w:pPr>
            <w:r>
              <w:rPr>
                <w:rFonts w:hint="eastAsia" w:ascii="宋体" w:hAnsi="宋体" w:cs="宋体"/>
                <w:color w:val="000000"/>
                <w:kern w:val="0"/>
                <w:sz w:val="21"/>
                <w:szCs w:val="21"/>
                <w:lang w:val="en-US" w:eastAsia="zh-CN"/>
              </w:rPr>
              <w:t>1家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lang w:eastAsia="zh-CN"/>
              </w:rPr>
            </w:pPr>
            <w:r>
              <w:rPr>
                <w:rFonts w:hint="eastAsia" w:ascii="宋体" w:hAnsi="宋体" w:cs="宋体"/>
                <w:color w:val="000000"/>
                <w:kern w:val="0"/>
                <w:sz w:val="21"/>
                <w:szCs w:val="21"/>
                <w:lang w:val="en-US" w:eastAsia="zh-CN"/>
              </w:rPr>
              <w:t>1家</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lang w:eastAsia="zh-CN"/>
              </w:rPr>
            </w:pPr>
            <w:r>
              <w:rPr>
                <w:rFonts w:hint="eastAsia" w:ascii="宋体" w:hAnsi="宋体" w:cs="宋体"/>
                <w:color w:val="000000"/>
                <w:kern w:val="0"/>
                <w:sz w:val="21"/>
                <w:szCs w:val="21"/>
                <w:lang w:eastAsia="zh-CN"/>
              </w:rPr>
              <w:t>销售额</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default" w:ascii="宋体" w:hAnsi="宋体" w:eastAsia="宋体" w:cs="宋体"/>
                <w:sz w:val="21"/>
                <w:szCs w:val="21"/>
                <w:lang w:val="en-US" w:eastAsia="zh-CN"/>
              </w:rPr>
            </w:pPr>
            <w:r>
              <w:rPr>
                <w:rFonts w:hint="eastAsia" w:ascii="宋体" w:hAnsi="宋体" w:cs="宋体"/>
                <w:sz w:val="21"/>
                <w:szCs w:val="21"/>
                <w:lang w:val="en-US" w:eastAsia="zh-CN"/>
              </w:rPr>
              <w:t>1亿</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lang w:eastAsia="zh-CN"/>
              </w:rPr>
            </w:pPr>
            <w:r>
              <w:rPr>
                <w:rFonts w:hint="eastAsia" w:ascii="宋体" w:hAnsi="宋体" w:cs="宋体"/>
                <w:color w:val="000000"/>
                <w:kern w:val="0"/>
                <w:sz w:val="21"/>
                <w:szCs w:val="21"/>
                <w:lang w:val="en-US" w:eastAsia="zh-CN"/>
              </w:rPr>
              <w:t>1亿</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完成时限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年内</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年内已完成</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工作经费成本控制额</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cs="宋体"/>
                <w:sz w:val="21"/>
                <w:szCs w:val="21"/>
                <w:lang w:val="en-US" w:eastAsia="zh-CN"/>
              </w:rPr>
              <w:t>10</w:t>
            </w:r>
            <w:r>
              <w:rPr>
                <w:rFonts w:hint="eastAsia" w:ascii="宋体" w:hAnsi="宋体" w:eastAsia="宋体" w:cs="宋体"/>
                <w:sz w:val="21"/>
                <w:szCs w:val="21"/>
              </w:rPr>
              <w:t>万元</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效益</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经济效益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Theme="minorEastAsia" w:hAnsiTheme="minorEastAsia" w:eastAsiaTheme="minorEastAsia" w:cstheme="minorEastAsia"/>
                <w:sz w:val="21"/>
                <w:szCs w:val="21"/>
              </w:rPr>
              <w:t>对地方经济的影响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Theme="minorEastAsia" w:hAnsiTheme="minorEastAsia" w:eastAsiaTheme="minorEastAsia" w:cstheme="minorEastAsia"/>
                <w:sz w:val="21"/>
                <w:szCs w:val="21"/>
              </w:rPr>
              <w:t>促进地方经济发展</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Theme="minorEastAsia" w:hAnsiTheme="minorEastAsia" w:eastAsiaTheme="minorEastAsia" w:cstheme="minorEastAsia"/>
                <w:sz w:val="21"/>
                <w:szCs w:val="21"/>
              </w:rPr>
              <w:t>促进地方经济健康发展</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社会效益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带动劳动就业人数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新增本地劳动力就业20人以上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带动劳动就业20人以上</w:t>
            </w:r>
          </w:p>
        </w:tc>
      </w:tr>
      <w:tr>
        <w:tblPrEx>
          <w:tblCellMar>
            <w:top w:w="0" w:type="dxa"/>
            <w:left w:w="108" w:type="dxa"/>
            <w:bottom w:w="0" w:type="dxa"/>
            <w:right w:w="108" w:type="dxa"/>
          </w:tblCellMar>
        </w:tblPrEx>
        <w:trPr>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92" w:leftChars="87" w:hanging="210" w:hangingChars="100"/>
              <w:jc w:val="left"/>
              <w:textAlignment w:val="bottom"/>
              <w:rPr>
                <w:rFonts w:hint="eastAsia" w:ascii="宋体" w:hAnsi="宋体" w:eastAsia="宋体" w:cs="宋体"/>
                <w:sz w:val="21"/>
                <w:szCs w:val="21"/>
              </w:rPr>
            </w:pPr>
            <w:r>
              <w:rPr>
                <w:rFonts w:hint="eastAsia" w:ascii="宋体" w:hAnsi="宋体" w:eastAsia="宋体" w:cs="宋体"/>
                <w:kern w:val="0"/>
                <w:sz w:val="21"/>
                <w:szCs w:val="21"/>
              </w:rPr>
              <w:t>生态效益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环保要求</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执行国家环保政策</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执行国家环保政策</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可持续影响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对本行业未来可持续发展的影响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良性</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良好</w:t>
            </w:r>
          </w:p>
        </w:tc>
      </w:tr>
      <w:tr>
        <w:tblPrEx>
          <w:tblCellMar>
            <w:top w:w="0" w:type="dxa"/>
            <w:left w:w="108" w:type="dxa"/>
            <w:bottom w:w="0" w:type="dxa"/>
            <w:right w:w="108" w:type="dxa"/>
          </w:tblCellMar>
        </w:tblPrEx>
        <w:trPr>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满意</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度指标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kern w:val="0"/>
                <w:sz w:val="21"/>
                <w:szCs w:val="21"/>
              </w:rPr>
            </w:pPr>
            <w:r>
              <w:rPr>
                <w:rFonts w:hint="eastAsia" w:ascii="宋体" w:hAnsi="宋体" w:eastAsia="宋体" w:cs="宋体"/>
                <w:kern w:val="0"/>
                <w:sz w:val="21"/>
                <w:szCs w:val="21"/>
              </w:rPr>
              <w:t>满意度</w:t>
            </w:r>
          </w:p>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企业满意度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95%以上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95%以上</w:t>
            </w:r>
          </w:p>
        </w:tc>
      </w:tr>
    </w:tbl>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tbl>
      <w:tblPr>
        <w:tblStyle w:val="15"/>
        <w:tblpPr w:leftFromText="180" w:rightFromText="180" w:vertAnchor="text" w:horzAnchor="page" w:tblpX="1281" w:tblpY="660"/>
        <w:tblOverlap w:val="never"/>
        <w:tblW w:w="9811" w:type="dxa"/>
        <w:tblInd w:w="0" w:type="dxa"/>
        <w:tblLayout w:type="fixed"/>
        <w:tblCellMar>
          <w:top w:w="0" w:type="dxa"/>
          <w:left w:w="108" w:type="dxa"/>
          <w:bottom w:w="0" w:type="dxa"/>
          <w:right w:w="108" w:type="dxa"/>
        </w:tblCellMar>
      </w:tblPr>
      <w:tblGrid>
        <w:gridCol w:w="2025"/>
        <w:gridCol w:w="1170"/>
        <w:gridCol w:w="1381"/>
        <w:gridCol w:w="1512"/>
        <w:gridCol w:w="1254"/>
        <w:gridCol w:w="2469"/>
      </w:tblGrid>
      <w:tr>
        <w:tblPrEx>
          <w:tblCellMar>
            <w:top w:w="0" w:type="dxa"/>
            <w:left w:w="108" w:type="dxa"/>
            <w:bottom w:w="0" w:type="dxa"/>
            <w:right w:w="108" w:type="dxa"/>
          </w:tblCellMar>
        </w:tblPrEx>
        <w:trPr>
          <w:trHeight w:val="675" w:hRule="atLeast"/>
        </w:trPr>
        <w:tc>
          <w:tcPr>
            <w:tcW w:w="9577" w:type="dxa"/>
            <w:gridSpan w:val="6"/>
            <w:tcBorders>
              <w:top w:val="nil"/>
              <w:left w:val="nil"/>
              <w:bottom w:val="nil"/>
              <w:right w:val="nil"/>
            </w:tcBorders>
            <w:shd w:val="clear" w:color="auto" w:fill="auto"/>
            <w:vAlign w:val="center"/>
          </w:tcPr>
          <w:p>
            <w:pPr>
              <w:widowControl/>
              <w:jc w:val="center"/>
              <w:textAlignment w:val="center"/>
              <w:rPr>
                <w:rFonts w:ascii="宋体" w:hAnsi="宋体" w:cs="宋体"/>
                <w:b/>
                <w:sz w:val="32"/>
                <w:szCs w:val="32"/>
              </w:rPr>
            </w:pPr>
            <w:r>
              <w:rPr>
                <w:rFonts w:hint="eastAsia" w:ascii="宋体" w:hAnsi="宋体" w:cs="宋体"/>
                <w:b/>
                <w:sz w:val="32"/>
                <w:szCs w:val="32"/>
              </w:rPr>
              <w:t>2021年部门预算项目绩效目标自评-中央外经贸发展专项资金</w:t>
            </w:r>
          </w:p>
        </w:tc>
      </w:tr>
      <w:tr>
        <w:tblPrEx>
          <w:tblCellMar>
            <w:top w:w="0" w:type="dxa"/>
            <w:left w:w="108" w:type="dxa"/>
            <w:bottom w:w="0" w:type="dxa"/>
            <w:right w:w="108" w:type="dxa"/>
          </w:tblCellMar>
        </w:tblPrEx>
        <w:trPr>
          <w:trHeight w:val="254" w:hRule="atLeast"/>
        </w:trPr>
        <w:tc>
          <w:tcPr>
            <w:tcW w:w="311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主管部门及代码</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textAlignment w:val="center"/>
              <w:rPr>
                <w:rFonts w:hint="eastAsia" w:ascii="宋体" w:hAnsi="宋体" w:eastAsia="宋体" w:cs="宋体"/>
                <w:sz w:val="21"/>
                <w:szCs w:val="21"/>
                <w:lang w:eastAsia="zh-CN"/>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实施单位</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sz w:val="21"/>
                <w:szCs w:val="21"/>
                <w:lang w:eastAsia="zh-CN"/>
              </w:rPr>
              <w:t>广元市昭化区商务和经济合作局</w:t>
            </w:r>
          </w:p>
        </w:tc>
      </w:tr>
      <w:tr>
        <w:tblPrEx>
          <w:tblCellMar>
            <w:top w:w="0" w:type="dxa"/>
            <w:left w:w="108" w:type="dxa"/>
            <w:bottom w:w="0" w:type="dxa"/>
            <w:right w:w="108" w:type="dxa"/>
          </w:tblCellMar>
        </w:tblPrEx>
        <w:trPr>
          <w:trHeight w:val="341" w:hRule="atLeast"/>
        </w:trPr>
        <w:tc>
          <w:tcPr>
            <w:tcW w:w="311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项目预算</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执行情况</w:t>
            </w:r>
            <w:r>
              <w:rPr>
                <w:rFonts w:hint="eastAsia" w:ascii="宋体" w:hAnsi="宋体" w:eastAsia="宋体" w:cs="宋体"/>
                <w:kern w:val="0"/>
                <w:sz w:val="21"/>
                <w:szCs w:val="21"/>
              </w:rPr>
              <w:br w:type="textWrapping"/>
            </w:r>
            <w:r>
              <w:rPr>
                <w:rFonts w:hint="eastAsia" w:ascii="宋体" w:hAnsi="宋体" w:eastAsia="宋体" w:cs="宋体"/>
                <w:kern w:val="0"/>
                <w:sz w:val="21"/>
                <w:szCs w:val="21"/>
              </w:rPr>
              <w:t>（万元）</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 xml:space="preserve"> 预算数：</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 xml:space="preserve"> 执行数：</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0.6</w:t>
            </w:r>
          </w:p>
        </w:tc>
      </w:tr>
      <w:tr>
        <w:tblPrEx>
          <w:tblCellMar>
            <w:top w:w="0" w:type="dxa"/>
            <w:left w:w="108" w:type="dxa"/>
            <w:bottom w:w="0" w:type="dxa"/>
            <w:right w:w="108" w:type="dxa"/>
          </w:tblCellMar>
        </w:tblPrEx>
        <w:trPr>
          <w:trHeight w:val="555"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其中：</w:t>
            </w:r>
          </w:p>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财政拨款</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0.6</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kern w:val="0"/>
                <w:sz w:val="21"/>
                <w:szCs w:val="21"/>
              </w:rPr>
            </w:pPr>
            <w:r>
              <w:rPr>
                <w:rFonts w:hint="eastAsia" w:ascii="宋体" w:hAnsi="宋体" w:eastAsia="宋体" w:cs="宋体"/>
                <w:kern w:val="0"/>
                <w:sz w:val="21"/>
                <w:szCs w:val="21"/>
              </w:rPr>
              <w:t>其中：</w:t>
            </w:r>
          </w:p>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财政拨款</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0.6</w:t>
            </w:r>
          </w:p>
        </w:tc>
      </w:tr>
      <w:tr>
        <w:tblPrEx>
          <w:tblCellMar>
            <w:top w:w="0" w:type="dxa"/>
            <w:left w:w="108" w:type="dxa"/>
            <w:bottom w:w="0" w:type="dxa"/>
            <w:right w:w="108" w:type="dxa"/>
          </w:tblCellMar>
        </w:tblPrEx>
        <w:trPr>
          <w:trHeight w:val="341" w:hRule="atLeast"/>
        </w:trPr>
        <w:tc>
          <w:tcPr>
            <w:tcW w:w="311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其他资金</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sz w:val="21"/>
                <w:szCs w:val="21"/>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left"/>
              <w:textAlignment w:val="center"/>
              <w:rPr>
                <w:rFonts w:hint="eastAsia" w:ascii="宋体" w:hAnsi="宋体" w:eastAsia="宋体" w:cs="宋体"/>
                <w:sz w:val="21"/>
                <w:szCs w:val="21"/>
              </w:rPr>
            </w:pPr>
            <w:r>
              <w:rPr>
                <w:rFonts w:hint="eastAsia" w:ascii="宋体" w:hAnsi="宋体" w:eastAsia="宋体" w:cs="宋体"/>
                <w:kern w:val="0"/>
                <w:sz w:val="21"/>
                <w:szCs w:val="21"/>
              </w:rPr>
              <w:t>其他资金</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p>
        </w:tc>
      </w:tr>
      <w:tr>
        <w:tblPrEx>
          <w:tblCellMar>
            <w:top w:w="0" w:type="dxa"/>
            <w:left w:w="108" w:type="dxa"/>
            <w:bottom w:w="0" w:type="dxa"/>
            <w:right w:w="108" w:type="dxa"/>
          </w:tblCellMar>
        </w:tblPrEx>
        <w:trPr>
          <w:trHeight w:val="217" w:hRule="atLeast"/>
        </w:trPr>
        <w:tc>
          <w:tcPr>
            <w:tcW w:w="197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年度总体目标</w:t>
            </w:r>
          </w:p>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完成情况</w:t>
            </w: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预期目标</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目标实际完成情况</w:t>
            </w:r>
          </w:p>
        </w:tc>
      </w:tr>
      <w:tr>
        <w:tblPrEx>
          <w:tblCellMar>
            <w:top w:w="0" w:type="dxa"/>
            <w:left w:w="108" w:type="dxa"/>
            <w:bottom w:w="0" w:type="dxa"/>
            <w:right w:w="108" w:type="dxa"/>
          </w:tblCellMar>
        </w:tblPrEx>
        <w:trPr>
          <w:trHeight w:val="797" w:hRule="atLeast"/>
        </w:trPr>
        <w:tc>
          <w:tcPr>
            <w:tcW w:w="197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3966" w:type="dxa"/>
            <w:gridSpan w:val="3"/>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宋体" w:hAnsi="宋体" w:eastAsia="宋体" w:cs="宋体"/>
                <w:sz w:val="21"/>
                <w:szCs w:val="21"/>
              </w:rPr>
            </w:pPr>
            <w:r>
              <w:rPr>
                <w:rFonts w:hint="eastAsia" w:ascii="宋体" w:hAnsi="宋体" w:eastAsia="宋体" w:cs="宋体"/>
                <w:sz w:val="21"/>
                <w:szCs w:val="21"/>
              </w:rPr>
              <w:t>组织企业参加130届中国进出口商品交易会“广交会”</w:t>
            </w:r>
          </w:p>
        </w:tc>
        <w:tc>
          <w:tcPr>
            <w:tcW w:w="3634" w:type="dxa"/>
            <w:gridSpan w:val="2"/>
            <w:tcBorders>
              <w:top w:val="single" w:color="000000" w:sz="4" w:space="0"/>
              <w:left w:val="single" w:color="000000" w:sz="4" w:space="0"/>
              <w:bottom w:val="single" w:color="000000" w:sz="4" w:space="0"/>
              <w:right w:val="single" w:color="000000" w:sz="4" w:space="0"/>
            </w:tcBorders>
            <w:shd w:val="clear" w:color="auto" w:fill="auto"/>
          </w:tcPr>
          <w:p>
            <w:pPr>
              <w:widowControl/>
              <w:spacing w:line="320" w:lineRule="exact"/>
              <w:jc w:val="left"/>
              <w:textAlignment w:val="top"/>
              <w:rPr>
                <w:rFonts w:hint="eastAsia" w:ascii="宋体" w:hAnsi="宋体" w:eastAsia="宋体" w:cs="宋体"/>
                <w:sz w:val="21"/>
                <w:szCs w:val="21"/>
              </w:rPr>
            </w:pPr>
            <w:r>
              <w:rPr>
                <w:rFonts w:hint="eastAsia" w:ascii="宋体" w:hAnsi="宋体" w:cs="宋体"/>
                <w:sz w:val="21"/>
                <w:szCs w:val="21"/>
                <w:lang w:eastAsia="zh-CN"/>
              </w:rPr>
              <w:t>组织</w:t>
            </w:r>
            <w:r>
              <w:rPr>
                <w:rFonts w:hint="eastAsia" w:ascii="宋体" w:hAnsi="宋体" w:eastAsia="宋体" w:cs="宋体"/>
                <w:sz w:val="21"/>
                <w:szCs w:val="21"/>
              </w:rPr>
              <w:t>广元万农合创科技有限公司</w:t>
            </w:r>
            <w:r>
              <w:rPr>
                <w:rFonts w:hint="eastAsia" w:ascii="宋体" w:hAnsi="宋体" w:cs="宋体"/>
                <w:sz w:val="21"/>
                <w:szCs w:val="21"/>
                <w:lang w:eastAsia="zh-CN"/>
              </w:rPr>
              <w:t>按时</w:t>
            </w:r>
            <w:r>
              <w:rPr>
                <w:rFonts w:hint="eastAsia" w:ascii="宋体" w:hAnsi="宋体" w:eastAsia="宋体" w:cs="宋体"/>
                <w:sz w:val="21"/>
                <w:szCs w:val="21"/>
              </w:rPr>
              <w:t>参加</w:t>
            </w:r>
          </w:p>
        </w:tc>
      </w:tr>
      <w:tr>
        <w:tblPrEx>
          <w:tblCellMar>
            <w:top w:w="0" w:type="dxa"/>
            <w:left w:w="108" w:type="dxa"/>
            <w:bottom w:w="0" w:type="dxa"/>
            <w:right w:w="108" w:type="dxa"/>
          </w:tblCellMar>
        </w:tblPrEx>
        <w:trPr>
          <w:trHeight w:val="693" w:hRule="atLeast"/>
        </w:trPr>
        <w:tc>
          <w:tcPr>
            <w:tcW w:w="1977" w:type="dxa"/>
            <w:vMerge w:val="restart"/>
            <w:tcBorders>
              <w:top w:val="single" w:color="000000" w:sz="4" w:space="0"/>
              <w:left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年度绩效指标完成情况</w:t>
            </w:r>
          </w:p>
        </w:tc>
        <w:tc>
          <w:tcPr>
            <w:tcW w:w="1142" w:type="dxa"/>
            <w:tcBorders>
              <w:top w:val="single" w:color="000000" w:sz="4" w:space="0"/>
              <w:left w:val="nil"/>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一级</w:t>
            </w:r>
          </w:p>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二级</w:t>
            </w:r>
          </w:p>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kern w:val="0"/>
                <w:sz w:val="21"/>
                <w:szCs w:val="21"/>
              </w:rPr>
            </w:pPr>
            <w:r>
              <w:rPr>
                <w:rFonts w:hint="eastAsia" w:ascii="宋体" w:hAnsi="宋体" w:eastAsia="宋体" w:cs="宋体"/>
                <w:kern w:val="0"/>
                <w:sz w:val="21"/>
                <w:szCs w:val="21"/>
              </w:rPr>
              <w:t>三级</w:t>
            </w:r>
          </w:p>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指标</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预期指标值</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center"/>
              <w:rPr>
                <w:rFonts w:hint="eastAsia" w:ascii="宋体" w:hAnsi="宋体" w:eastAsia="宋体" w:cs="宋体"/>
                <w:sz w:val="21"/>
                <w:szCs w:val="21"/>
              </w:rPr>
            </w:pPr>
            <w:r>
              <w:rPr>
                <w:rFonts w:hint="eastAsia" w:ascii="宋体" w:hAnsi="宋体" w:eastAsia="宋体" w:cs="宋体"/>
                <w:kern w:val="0"/>
                <w:sz w:val="21"/>
                <w:szCs w:val="21"/>
              </w:rPr>
              <w:t>实际完成指标值</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宋体" w:hAnsi="宋体" w:eastAsia="宋体" w:cs="宋体"/>
                <w:kern w:val="0"/>
                <w:sz w:val="21"/>
                <w:szCs w:val="21"/>
              </w:rPr>
            </w:pPr>
            <w:r>
              <w:rPr>
                <w:rFonts w:hint="eastAsia" w:ascii="宋体" w:hAnsi="宋体" w:eastAsia="宋体" w:cs="宋体"/>
                <w:kern w:val="0"/>
                <w:sz w:val="21"/>
                <w:szCs w:val="21"/>
              </w:rPr>
              <w:t>完成</w:t>
            </w:r>
          </w:p>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数量指标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cs="宋体"/>
                <w:color w:val="000000"/>
                <w:kern w:val="0"/>
                <w:sz w:val="21"/>
                <w:szCs w:val="21"/>
                <w:lang w:eastAsia="zh-CN"/>
              </w:rPr>
              <w:t>组织参展</w:t>
            </w:r>
            <w:r>
              <w:rPr>
                <w:rFonts w:hint="eastAsia" w:ascii="宋体" w:hAnsi="宋体" w:eastAsia="宋体" w:cs="宋体"/>
                <w:color w:val="000000"/>
                <w:kern w:val="0"/>
                <w:sz w:val="21"/>
                <w:szCs w:val="21"/>
              </w:rPr>
              <w:t>企业个数</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lang w:eastAsia="zh-CN"/>
              </w:rPr>
            </w:pPr>
            <w:r>
              <w:rPr>
                <w:rFonts w:hint="eastAsia" w:ascii="宋体" w:hAnsi="宋体" w:eastAsia="宋体" w:cs="宋体"/>
                <w:color w:val="000000"/>
                <w:kern w:val="0"/>
                <w:sz w:val="21"/>
                <w:szCs w:val="21"/>
              </w:rPr>
              <w:t>1</w:t>
            </w:r>
            <w:r>
              <w:rPr>
                <w:rFonts w:hint="eastAsia" w:ascii="宋体" w:hAnsi="宋体" w:cs="宋体"/>
                <w:color w:val="000000"/>
                <w:kern w:val="0"/>
                <w:sz w:val="21"/>
                <w:szCs w:val="21"/>
                <w:lang w:eastAsia="zh-CN"/>
              </w:rPr>
              <w:t>家</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lang w:eastAsia="zh-CN"/>
              </w:rPr>
            </w:pPr>
            <w:r>
              <w:rPr>
                <w:rFonts w:hint="eastAsia" w:ascii="宋体" w:hAnsi="宋体" w:cs="宋体"/>
                <w:color w:val="000000"/>
                <w:kern w:val="0"/>
                <w:sz w:val="21"/>
                <w:szCs w:val="21"/>
                <w:lang w:val="en-US" w:eastAsia="zh-CN"/>
              </w:rPr>
              <w:t>1家</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质量指标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color w:val="000000"/>
                <w:kern w:val="0"/>
                <w:sz w:val="21"/>
                <w:szCs w:val="21"/>
              </w:rPr>
              <w:t>资金使用合规性</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合规</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sz w:val="21"/>
                <w:szCs w:val="21"/>
              </w:rPr>
            </w:pPr>
            <w:r>
              <w:rPr>
                <w:rFonts w:hint="eastAsia" w:ascii="宋体" w:hAnsi="宋体" w:eastAsia="宋体" w:cs="宋体"/>
                <w:i w:val="0"/>
                <w:color w:val="000000"/>
                <w:kern w:val="0"/>
                <w:sz w:val="20"/>
                <w:szCs w:val="20"/>
                <w:u w:val="none"/>
                <w:lang w:val="en-US" w:eastAsia="zh-CN" w:bidi="ar"/>
              </w:rPr>
              <w:t>合规</w:t>
            </w:r>
          </w:p>
        </w:tc>
      </w:tr>
      <w:tr>
        <w:tblPrEx>
          <w:tblCellMar>
            <w:top w:w="0" w:type="dxa"/>
            <w:left w:w="108" w:type="dxa"/>
            <w:bottom w:w="0" w:type="dxa"/>
            <w:right w:w="108" w:type="dxa"/>
          </w:tblCellMar>
        </w:tblPrEx>
        <w:trPr>
          <w:trHeight w:val="415"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时效指标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完成时限</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年内</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年内已完成</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成本指标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经费成本控制额</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cs="宋体"/>
                <w:sz w:val="21"/>
                <w:szCs w:val="21"/>
                <w:lang w:val="en-US" w:eastAsia="zh-CN"/>
              </w:rPr>
              <w:t>0.6</w:t>
            </w:r>
            <w:r>
              <w:rPr>
                <w:rFonts w:hint="eastAsia" w:ascii="宋体" w:hAnsi="宋体" w:eastAsia="宋体" w:cs="宋体"/>
                <w:sz w:val="21"/>
                <w:szCs w:val="21"/>
              </w:rPr>
              <w:t>万元</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cs="宋体"/>
                <w:sz w:val="21"/>
                <w:szCs w:val="21"/>
                <w:lang w:val="en-US" w:eastAsia="zh-CN"/>
              </w:rPr>
              <w:t>0.6</w:t>
            </w:r>
            <w:r>
              <w:rPr>
                <w:rFonts w:hint="eastAsia" w:ascii="宋体" w:hAnsi="宋体" w:eastAsia="宋体" w:cs="宋体"/>
                <w:sz w:val="21"/>
                <w:szCs w:val="21"/>
              </w:rPr>
              <w:t>万元</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效益</w:t>
            </w:r>
            <w:r>
              <w:rPr>
                <w:rFonts w:hint="eastAsia" w:ascii="宋体" w:hAnsi="宋体" w:eastAsia="宋体" w:cs="宋体"/>
                <w:kern w:val="0"/>
                <w:sz w:val="21"/>
                <w:szCs w:val="21"/>
              </w:rPr>
              <w:br w:type="textWrapping"/>
            </w:r>
            <w:r>
              <w:rPr>
                <w:rFonts w:hint="eastAsia" w:ascii="宋体" w:hAnsi="宋体" w:eastAsia="宋体" w:cs="宋体"/>
                <w:kern w:val="0"/>
                <w:sz w:val="21"/>
                <w:szCs w:val="21"/>
              </w:rPr>
              <w:t>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经济效益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lang w:eastAsia="zh-CN"/>
              </w:rPr>
            </w:pPr>
            <w:r>
              <w:rPr>
                <w:rFonts w:hint="eastAsia" w:ascii="宋体" w:hAnsi="宋体" w:cs="宋体"/>
                <w:sz w:val="21"/>
                <w:szCs w:val="21"/>
                <w:lang w:eastAsia="zh-CN"/>
              </w:rPr>
              <w:t>对</w:t>
            </w:r>
            <w:r>
              <w:rPr>
                <w:rFonts w:hint="eastAsia" w:ascii="宋体" w:hAnsi="宋体" w:eastAsia="宋体" w:cs="宋体"/>
                <w:sz w:val="21"/>
                <w:szCs w:val="21"/>
              </w:rPr>
              <w:t>中小企业开拓市场</w:t>
            </w:r>
            <w:r>
              <w:rPr>
                <w:rFonts w:hint="eastAsia" w:ascii="宋体" w:hAnsi="宋体" w:cs="宋体"/>
                <w:sz w:val="21"/>
                <w:szCs w:val="21"/>
                <w:lang w:eastAsia="zh-CN"/>
              </w:rPr>
              <w:t>的影响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cs="宋体"/>
                <w:sz w:val="21"/>
                <w:szCs w:val="21"/>
                <w:lang w:eastAsia="zh-CN"/>
              </w:rPr>
              <w:t>促进</w:t>
            </w:r>
            <w:r>
              <w:rPr>
                <w:rFonts w:hint="eastAsia" w:ascii="宋体" w:hAnsi="宋体" w:eastAsia="宋体" w:cs="宋体"/>
                <w:sz w:val="21"/>
                <w:szCs w:val="21"/>
              </w:rPr>
              <w:t>中小企业开拓市场</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cs="宋体"/>
                <w:sz w:val="21"/>
                <w:szCs w:val="21"/>
                <w:lang w:eastAsia="zh-CN"/>
              </w:rPr>
              <w:t>提高</w:t>
            </w:r>
            <w:r>
              <w:rPr>
                <w:rFonts w:hint="eastAsia" w:ascii="宋体" w:hAnsi="宋体" w:eastAsia="宋体" w:cs="宋体"/>
                <w:sz w:val="21"/>
                <w:szCs w:val="21"/>
              </w:rPr>
              <w:t>中小企业开拓市场增速</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社会效益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提高企业竞争力</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提高</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提高</w:t>
            </w:r>
          </w:p>
        </w:tc>
      </w:tr>
      <w:tr>
        <w:tblPrEx>
          <w:tblCellMar>
            <w:top w:w="0" w:type="dxa"/>
            <w:left w:w="108" w:type="dxa"/>
            <w:bottom w:w="0" w:type="dxa"/>
            <w:right w:w="108" w:type="dxa"/>
          </w:tblCellMar>
        </w:tblPrEx>
        <w:trPr>
          <w:trHeight w:val="577"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ind w:left="392" w:leftChars="87" w:hanging="210" w:hangingChars="100"/>
              <w:jc w:val="left"/>
              <w:textAlignment w:val="bottom"/>
              <w:rPr>
                <w:rFonts w:hint="eastAsia" w:ascii="宋体" w:hAnsi="宋体" w:eastAsia="宋体" w:cs="宋体"/>
                <w:sz w:val="21"/>
                <w:szCs w:val="21"/>
              </w:rPr>
            </w:pPr>
            <w:r>
              <w:rPr>
                <w:rFonts w:hint="eastAsia" w:ascii="宋体" w:hAnsi="宋体" w:eastAsia="宋体" w:cs="宋体"/>
                <w:kern w:val="0"/>
                <w:sz w:val="21"/>
                <w:szCs w:val="21"/>
              </w:rPr>
              <w:t>生态效益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环保要求</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执行国家环保政策</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执行国家环保政策</w:t>
            </w:r>
          </w:p>
        </w:tc>
      </w:tr>
      <w:tr>
        <w:tblPrEx>
          <w:tblCellMar>
            <w:top w:w="0" w:type="dxa"/>
            <w:left w:w="108" w:type="dxa"/>
            <w:bottom w:w="0" w:type="dxa"/>
            <w:right w:w="108" w:type="dxa"/>
          </w:tblCellMar>
        </w:tblPrEx>
        <w:trPr>
          <w:trHeight w:val="480" w:hRule="atLeast"/>
        </w:trPr>
        <w:tc>
          <w:tcPr>
            <w:tcW w:w="1977" w:type="dxa"/>
            <w:vMerge w:val="continue"/>
            <w:tcBorders>
              <w:left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vMerge w:val="continue"/>
            <w:tcBorders>
              <w:top w:val="single" w:color="000000" w:sz="4" w:space="0"/>
              <w:left w:val="single" w:color="000000" w:sz="4" w:space="0"/>
              <w:bottom w:val="single" w:color="000000" w:sz="4" w:space="0"/>
              <w:right w:val="single" w:color="000000" w:sz="4" w:space="0"/>
            </w:tcBorders>
            <w:shd w:val="clear" w:color="auto" w:fill="auto"/>
            <w:vAlign w:val="bottom"/>
          </w:tcPr>
          <w:p>
            <w:pPr>
              <w:spacing w:line="320" w:lineRule="exact"/>
              <w:jc w:val="center"/>
              <w:rPr>
                <w:rFonts w:hint="eastAsia" w:ascii="宋体" w:hAnsi="宋体" w:eastAsia="宋体" w:cs="宋体"/>
                <w:sz w:val="21"/>
                <w:szCs w:val="21"/>
              </w:rPr>
            </w:pP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可持续影响 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对本行业未来可持续发展的影响</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良性</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良好</w:t>
            </w:r>
          </w:p>
        </w:tc>
      </w:tr>
      <w:tr>
        <w:tblPrEx>
          <w:tblCellMar>
            <w:top w:w="0" w:type="dxa"/>
            <w:left w:w="108" w:type="dxa"/>
            <w:bottom w:w="0" w:type="dxa"/>
            <w:right w:w="108" w:type="dxa"/>
          </w:tblCellMar>
        </w:tblPrEx>
        <w:trPr>
          <w:trHeight w:val="530" w:hRule="atLeast"/>
        </w:trPr>
        <w:tc>
          <w:tcPr>
            <w:tcW w:w="1977" w:type="dxa"/>
            <w:vMerge w:val="continue"/>
            <w:tcBorders>
              <w:left w:val="single" w:color="000000" w:sz="4" w:space="0"/>
              <w:bottom w:val="single" w:color="000000" w:sz="4" w:space="0"/>
              <w:right w:val="single" w:color="000000" w:sz="4" w:space="0"/>
            </w:tcBorders>
            <w:shd w:val="clear" w:color="auto" w:fill="auto"/>
            <w:vAlign w:val="center"/>
          </w:tcPr>
          <w:p>
            <w:pPr>
              <w:spacing w:line="320" w:lineRule="exact"/>
              <w:jc w:val="center"/>
              <w:rPr>
                <w:rFonts w:hint="eastAsia" w:ascii="宋体" w:hAnsi="宋体" w:eastAsia="宋体" w:cs="宋体"/>
                <w:sz w:val="21"/>
                <w:szCs w:val="21"/>
              </w:rPr>
            </w:pPr>
          </w:p>
        </w:tc>
        <w:tc>
          <w:tcPr>
            <w:tcW w:w="1142"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满意</w:t>
            </w:r>
            <w:r>
              <w:rPr>
                <w:rFonts w:hint="eastAsia" w:ascii="宋体" w:hAnsi="宋体" w:eastAsia="宋体" w:cs="宋体"/>
                <w:kern w:val="0"/>
                <w:sz w:val="21"/>
                <w:szCs w:val="21"/>
              </w:rPr>
              <w:br w:type="textWrapping"/>
            </w:r>
            <w:r>
              <w:rPr>
                <w:rFonts w:hint="eastAsia" w:ascii="宋体" w:hAnsi="宋体" w:eastAsia="宋体" w:cs="宋体"/>
                <w:kern w:val="0"/>
                <w:sz w:val="21"/>
                <w:szCs w:val="21"/>
              </w:rPr>
              <w:t>度指标</w:t>
            </w:r>
          </w:p>
        </w:tc>
        <w:tc>
          <w:tcPr>
            <w:tcW w:w="1348"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kern w:val="0"/>
                <w:sz w:val="21"/>
                <w:szCs w:val="21"/>
              </w:rPr>
            </w:pPr>
            <w:r>
              <w:rPr>
                <w:rFonts w:hint="eastAsia" w:ascii="宋体" w:hAnsi="宋体" w:eastAsia="宋体" w:cs="宋体"/>
                <w:kern w:val="0"/>
                <w:sz w:val="21"/>
                <w:szCs w:val="21"/>
              </w:rPr>
              <w:t>满意度</w:t>
            </w:r>
          </w:p>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kern w:val="0"/>
                <w:sz w:val="21"/>
                <w:szCs w:val="21"/>
              </w:rPr>
              <w:t>指标</w:t>
            </w:r>
          </w:p>
        </w:tc>
        <w:tc>
          <w:tcPr>
            <w:tcW w:w="1476"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left"/>
              <w:textAlignment w:val="bottom"/>
              <w:rPr>
                <w:rFonts w:hint="eastAsia" w:ascii="宋体" w:hAnsi="宋体" w:eastAsia="宋体" w:cs="宋体"/>
                <w:sz w:val="21"/>
                <w:szCs w:val="21"/>
              </w:rPr>
            </w:pPr>
            <w:r>
              <w:rPr>
                <w:rFonts w:hint="eastAsia" w:ascii="宋体" w:hAnsi="宋体" w:eastAsia="宋体" w:cs="宋体"/>
                <w:sz w:val="21"/>
                <w:szCs w:val="21"/>
              </w:rPr>
              <w:t>企业满意度</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95%以上</w:t>
            </w:r>
          </w:p>
        </w:tc>
        <w:tc>
          <w:tcPr>
            <w:tcW w:w="2410" w:type="dxa"/>
            <w:tcBorders>
              <w:top w:val="single" w:color="000000" w:sz="4" w:space="0"/>
              <w:left w:val="single" w:color="000000" w:sz="4" w:space="0"/>
              <w:bottom w:val="single" w:color="000000" w:sz="4" w:space="0"/>
              <w:right w:val="single" w:color="000000" w:sz="4" w:space="0"/>
            </w:tcBorders>
            <w:shd w:val="clear" w:color="auto" w:fill="auto"/>
            <w:vAlign w:val="bottom"/>
          </w:tcPr>
          <w:p>
            <w:pPr>
              <w:widowControl/>
              <w:spacing w:line="320" w:lineRule="exact"/>
              <w:jc w:val="center"/>
              <w:textAlignment w:val="bottom"/>
              <w:rPr>
                <w:rFonts w:hint="eastAsia" w:ascii="宋体" w:hAnsi="宋体" w:eastAsia="宋体" w:cs="宋体"/>
                <w:sz w:val="21"/>
                <w:szCs w:val="21"/>
              </w:rPr>
            </w:pPr>
            <w:r>
              <w:rPr>
                <w:rFonts w:hint="eastAsia" w:ascii="宋体" w:hAnsi="宋体" w:eastAsia="宋体" w:cs="宋体"/>
                <w:sz w:val="21"/>
                <w:szCs w:val="21"/>
              </w:rPr>
              <w:t>95%以上</w:t>
            </w:r>
          </w:p>
        </w:tc>
      </w:tr>
    </w:tbl>
    <w:p>
      <w:pPr>
        <w:spacing w:line="600" w:lineRule="exact"/>
        <w:jc w:val="center"/>
        <w:outlineLvl w:val="0"/>
        <w:rPr>
          <w:rFonts w:hint="eastAsia" w:ascii="黑体" w:hAnsi="黑体" w:eastAsia="黑体"/>
          <w:sz w:val="44"/>
          <w:szCs w:val="44"/>
        </w:rPr>
      </w:pPr>
    </w:p>
    <w:p>
      <w:pPr>
        <w:spacing w:line="600" w:lineRule="exact"/>
        <w:jc w:val="center"/>
        <w:outlineLvl w:val="0"/>
        <w:rPr>
          <w:rFonts w:hint="eastAsia" w:ascii="黑体" w:hAnsi="黑体" w:eastAsia="黑体"/>
          <w:sz w:val="44"/>
          <w:szCs w:val="44"/>
        </w:rPr>
      </w:pPr>
    </w:p>
    <w:p>
      <w:pPr>
        <w:spacing w:line="600" w:lineRule="exact"/>
        <w:jc w:val="center"/>
        <w:outlineLvl w:val="0"/>
      </w:pPr>
      <w:r>
        <w:rPr>
          <w:rFonts w:hint="eastAsia" w:ascii="黑体" w:hAnsi="黑体" w:eastAsia="黑体"/>
          <w:sz w:val="44"/>
          <w:szCs w:val="44"/>
        </w:rPr>
        <w:t>第</w:t>
      </w:r>
      <w:r>
        <w:rPr>
          <w:rStyle w:val="28"/>
          <w:rFonts w:hint="eastAsia" w:ascii="黑体" w:hAnsi="黑体" w:eastAsia="黑体"/>
          <w:b w:val="0"/>
        </w:rPr>
        <w:t>五部分 附表</w:t>
      </w:r>
      <w:bookmarkEnd w:id="69"/>
      <w:bookmarkEnd w:id="71"/>
      <w:bookmarkStart w:id="72" w:name="_Toc15396619"/>
    </w:p>
    <w:p>
      <w:pPr>
        <w:pStyle w:val="5"/>
        <w:spacing w:before="0" w:after="0" w:line="640" w:lineRule="exact"/>
        <w:ind w:firstLine="640" w:firstLineChars="200"/>
        <w:rPr>
          <w:rFonts w:ascii="仿宋" w:hAnsi="仿宋" w:eastAsia="仿宋"/>
          <w:b w:val="0"/>
        </w:rPr>
      </w:pPr>
    </w:p>
    <w:p>
      <w:pPr>
        <w:pStyle w:val="5"/>
        <w:spacing w:before="0" w:after="0" w:line="640" w:lineRule="exact"/>
        <w:ind w:firstLine="640" w:firstLineChars="200"/>
        <w:rPr>
          <w:rFonts w:ascii="仿宋" w:hAnsi="仿宋" w:eastAsia="仿宋"/>
        </w:rPr>
      </w:pPr>
      <w:r>
        <w:rPr>
          <w:rFonts w:hint="eastAsia" w:ascii="仿宋" w:hAnsi="仿宋" w:eastAsia="仿宋"/>
          <w:b w:val="0"/>
        </w:rPr>
        <w:t>一、收</w:t>
      </w:r>
      <w:r>
        <w:rPr>
          <w:rStyle w:val="29"/>
          <w:rFonts w:hint="eastAsia" w:ascii="仿宋" w:hAnsi="仿宋" w:eastAsia="仿宋"/>
          <w:b w:val="0"/>
          <w:bCs w:val="0"/>
        </w:rPr>
        <w:t>入支出决算总表</w:t>
      </w:r>
      <w:bookmarkEnd w:id="72"/>
    </w:p>
    <w:p>
      <w:pPr>
        <w:pStyle w:val="5"/>
        <w:spacing w:before="0" w:after="0" w:line="640" w:lineRule="exact"/>
        <w:ind w:firstLine="640" w:firstLineChars="200"/>
        <w:rPr>
          <w:rFonts w:ascii="仿宋" w:hAnsi="仿宋" w:eastAsia="仿宋"/>
        </w:rPr>
      </w:pPr>
      <w:bookmarkStart w:id="73" w:name="_Toc15396620"/>
      <w:r>
        <w:rPr>
          <w:rFonts w:hint="eastAsia" w:ascii="仿宋" w:hAnsi="仿宋" w:eastAsia="仿宋"/>
          <w:b w:val="0"/>
        </w:rPr>
        <w:t>二、收</w:t>
      </w:r>
      <w:r>
        <w:rPr>
          <w:rStyle w:val="29"/>
          <w:rFonts w:hint="eastAsia" w:ascii="仿宋" w:hAnsi="仿宋" w:eastAsia="仿宋"/>
          <w:b w:val="0"/>
          <w:bCs w:val="0"/>
        </w:rPr>
        <w:t>入决算表</w:t>
      </w:r>
      <w:bookmarkEnd w:id="73"/>
    </w:p>
    <w:p>
      <w:pPr>
        <w:pStyle w:val="5"/>
        <w:spacing w:before="0" w:after="0" w:line="640" w:lineRule="exact"/>
        <w:ind w:firstLine="640" w:firstLineChars="200"/>
        <w:rPr>
          <w:rFonts w:ascii="仿宋" w:hAnsi="仿宋" w:eastAsia="仿宋"/>
        </w:rPr>
      </w:pPr>
      <w:bookmarkStart w:id="74" w:name="_Toc15396621"/>
      <w:r>
        <w:rPr>
          <w:rStyle w:val="29"/>
          <w:rFonts w:hint="eastAsia" w:ascii="仿宋" w:hAnsi="仿宋" w:eastAsia="仿宋"/>
          <w:b w:val="0"/>
          <w:bCs w:val="0"/>
        </w:rPr>
        <w:t>三、</w:t>
      </w:r>
      <w:r>
        <w:rPr>
          <w:rFonts w:hint="eastAsia" w:ascii="仿宋" w:hAnsi="仿宋" w:eastAsia="仿宋"/>
          <w:b w:val="0"/>
        </w:rPr>
        <w:t>支</w:t>
      </w:r>
      <w:r>
        <w:rPr>
          <w:rStyle w:val="29"/>
          <w:rFonts w:hint="eastAsia" w:ascii="仿宋" w:hAnsi="仿宋" w:eastAsia="仿宋"/>
          <w:b w:val="0"/>
          <w:bCs w:val="0"/>
        </w:rPr>
        <w:t>出决算表</w:t>
      </w:r>
      <w:bookmarkEnd w:id="74"/>
    </w:p>
    <w:p>
      <w:pPr>
        <w:pStyle w:val="5"/>
        <w:spacing w:before="0" w:after="0" w:line="640" w:lineRule="exact"/>
        <w:ind w:firstLine="640" w:firstLineChars="200"/>
        <w:rPr>
          <w:rFonts w:ascii="仿宋" w:hAnsi="仿宋" w:eastAsia="仿宋"/>
          <w:b w:val="0"/>
        </w:rPr>
      </w:pPr>
      <w:bookmarkStart w:id="75" w:name="_Toc15396622"/>
      <w:r>
        <w:rPr>
          <w:rStyle w:val="29"/>
          <w:rFonts w:hint="eastAsia" w:ascii="仿宋" w:hAnsi="仿宋" w:eastAsia="仿宋"/>
          <w:b w:val="0"/>
          <w:bCs w:val="0"/>
        </w:rPr>
        <w:t>四、</w:t>
      </w:r>
      <w:r>
        <w:rPr>
          <w:rFonts w:hint="eastAsia" w:ascii="仿宋" w:hAnsi="仿宋" w:eastAsia="仿宋"/>
          <w:b w:val="0"/>
        </w:rPr>
        <w:t>财</w:t>
      </w:r>
      <w:r>
        <w:rPr>
          <w:rStyle w:val="29"/>
          <w:rFonts w:hint="eastAsia" w:ascii="仿宋" w:hAnsi="仿宋" w:eastAsia="仿宋"/>
          <w:b w:val="0"/>
          <w:bCs w:val="0"/>
        </w:rPr>
        <w:t>政拨款收入支出决算总表</w:t>
      </w:r>
      <w:bookmarkEnd w:id="75"/>
    </w:p>
    <w:p>
      <w:pPr>
        <w:pStyle w:val="5"/>
        <w:spacing w:before="0" w:after="0" w:line="640" w:lineRule="exact"/>
        <w:ind w:firstLine="640" w:firstLineChars="200"/>
        <w:rPr>
          <w:rStyle w:val="29"/>
          <w:rFonts w:ascii="仿宋" w:hAnsi="仿宋" w:eastAsia="仿宋"/>
          <w:b w:val="0"/>
          <w:bCs w:val="0"/>
        </w:rPr>
      </w:pPr>
      <w:bookmarkStart w:id="76" w:name="_Toc15396623"/>
      <w:r>
        <w:rPr>
          <w:rStyle w:val="29"/>
          <w:rFonts w:hint="eastAsia" w:ascii="仿宋" w:hAnsi="仿宋" w:eastAsia="仿宋"/>
          <w:b w:val="0"/>
          <w:bCs w:val="0"/>
        </w:rPr>
        <w:t>五、</w:t>
      </w:r>
      <w:r>
        <w:rPr>
          <w:rFonts w:hint="eastAsia" w:ascii="仿宋" w:hAnsi="仿宋" w:eastAsia="仿宋"/>
          <w:b w:val="0"/>
        </w:rPr>
        <w:t>财</w:t>
      </w:r>
      <w:r>
        <w:rPr>
          <w:rStyle w:val="29"/>
          <w:rFonts w:hint="eastAsia" w:ascii="仿宋" w:hAnsi="仿宋" w:eastAsia="仿宋"/>
          <w:b w:val="0"/>
          <w:bCs w:val="0"/>
        </w:rPr>
        <w:t>政拨款支出决算明细表</w:t>
      </w:r>
      <w:bookmarkEnd w:id="76"/>
      <w:bookmarkStart w:id="77" w:name="_Toc15396624"/>
    </w:p>
    <w:p>
      <w:pPr>
        <w:pStyle w:val="5"/>
        <w:spacing w:before="0" w:after="0" w:line="640" w:lineRule="exact"/>
        <w:ind w:firstLine="640" w:firstLineChars="200"/>
        <w:rPr>
          <w:rFonts w:ascii="仿宋" w:hAnsi="仿宋" w:eastAsia="仿宋"/>
        </w:rPr>
      </w:pPr>
      <w:r>
        <w:rPr>
          <w:rStyle w:val="29"/>
          <w:rFonts w:hint="eastAsia" w:ascii="仿宋" w:hAnsi="仿宋" w:eastAsia="仿宋"/>
          <w:b w:val="0"/>
          <w:bCs w:val="0"/>
        </w:rPr>
        <w:t>六、</w:t>
      </w:r>
      <w:r>
        <w:rPr>
          <w:rFonts w:hint="eastAsia" w:ascii="仿宋" w:hAnsi="仿宋" w:eastAsia="仿宋"/>
          <w:b w:val="0"/>
        </w:rPr>
        <w:t>一</w:t>
      </w:r>
      <w:r>
        <w:rPr>
          <w:rStyle w:val="29"/>
          <w:rFonts w:hint="eastAsia" w:ascii="仿宋" w:hAnsi="仿宋" w:eastAsia="仿宋"/>
          <w:b w:val="0"/>
          <w:bCs w:val="0"/>
        </w:rPr>
        <w:t>般公共预算财政拨款支出决算表</w:t>
      </w:r>
      <w:bookmarkEnd w:id="77"/>
    </w:p>
    <w:p>
      <w:pPr>
        <w:pStyle w:val="5"/>
        <w:spacing w:before="0" w:after="0" w:line="640" w:lineRule="exact"/>
        <w:ind w:firstLine="640" w:firstLineChars="200"/>
        <w:rPr>
          <w:rFonts w:ascii="仿宋" w:hAnsi="仿宋" w:eastAsia="仿宋"/>
        </w:rPr>
      </w:pPr>
      <w:bookmarkStart w:id="78" w:name="_Toc15396625"/>
      <w:r>
        <w:rPr>
          <w:rStyle w:val="29"/>
          <w:rFonts w:hint="eastAsia" w:ascii="仿宋" w:hAnsi="仿宋" w:eastAsia="仿宋"/>
          <w:b w:val="0"/>
          <w:bCs w:val="0"/>
        </w:rPr>
        <w:t>七、</w:t>
      </w:r>
      <w:r>
        <w:rPr>
          <w:rFonts w:hint="eastAsia" w:ascii="仿宋" w:hAnsi="仿宋" w:eastAsia="仿宋"/>
          <w:b w:val="0"/>
        </w:rPr>
        <w:t>一</w:t>
      </w:r>
      <w:r>
        <w:rPr>
          <w:rStyle w:val="29"/>
          <w:rFonts w:hint="eastAsia" w:ascii="仿宋" w:hAnsi="仿宋" w:eastAsia="仿宋"/>
          <w:b w:val="0"/>
          <w:bCs w:val="0"/>
        </w:rPr>
        <w:t>般公共预算财政拨款支出决算明细表</w:t>
      </w:r>
      <w:bookmarkEnd w:id="78"/>
    </w:p>
    <w:p>
      <w:pPr>
        <w:pStyle w:val="5"/>
        <w:spacing w:before="0" w:after="0" w:line="640" w:lineRule="exact"/>
        <w:ind w:firstLine="640" w:firstLineChars="200"/>
        <w:rPr>
          <w:rFonts w:ascii="仿宋" w:hAnsi="仿宋" w:eastAsia="仿宋"/>
        </w:rPr>
      </w:pPr>
      <w:bookmarkStart w:id="79" w:name="_Toc15396626"/>
      <w:r>
        <w:rPr>
          <w:rStyle w:val="29"/>
          <w:rFonts w:hint="eastAsia" w:ascii="仿宋" w:hAnsi="仿宋" w:eastAsia="仿宋"/>
          <w:b w:val="0"/>
          <w:bCs w:val="0"/>
        </w:rPr>
        <w:t>八、</w:t>
      </w:r>
      <w:r>
        <w:rPr>
          <w:rFonts w:hint="eastAsia" w:ascii="仿宋" w:hAnsi="仿宋" w:eastAsia="仿宋"/>
          <w:b w:val="0"/>
        </w:rPr>
        <w:t>一</w:t>
      </w:r>
      <w:r>
        <w:rPr>
          <w:rStyle w:val="29"/>
          <w:rFonts w:hint="eastAsia" w:ascii="仿宋" w:hAnsi="仿宋" w:eastAsia="仿宋"/>
          <w:b w:val="0"/>
          <w:bCs w:val="0"/>
        </w:rPr>
        <w:t>般公共预算财政拨款基本支出决算表</w:t>
      </w:r>
      <w:bookmarkEnd w:id="79"/>
    </w:p>
    <w:p>
      <w:pPr>
        <w:pStyle w:val="5"/>
        <w:spacing w:before="0" w:after="0" w:line="640" w:lineRule="exact"/>
        <w:ind w:firstLine="640" w:firstLineChars="200"/>
        <w:rPr>
          <w:rFonts w:ascii="仿宋" w:hAnsi="仿宋" w:eastAsia="仿宋"/>
        </w:rPr>
      </w:pPr>
      <w:bookmarkStart w:id="80" w:name="_Toc15396627"/>
      <w:r>
        <w:rPr>
          <w:rStyle w:val="29"/>
          <w:rFonts w:hint="eastAsia" w:ascii="仿宋" w:hAnsi="仿宋" w:eastAsia="仿宋"/>
          <w:b w:val="0"/>
          <w:bCs w:val="0"/>
        </w:rPr>
        <w:t>九、</w:t>
      </w:r>
      <w:r>
        <w:rPr>
          <w:rFonts w:hint="eastAsia" w:ascii="仿宋" w:hAnsi="仿宋" w:eastAsia="仿宋"/>
          <w:b w:val="0"/>
        </w:rPr>
        <w:t>一</w:t>
      </w:r>
      <w:r>
        <w:rPr>
          <w:rStyle w:val="29"/>
          <w:rFonts w:hint="eastAsia" w:ascii="仿宋" w:hAnsi="仿宋" w:eastAsia="仿宋"/>
          <w:b w:val="0"/>
          <w:bCs w:val="0"/>
        </w:rPr>
        <w:t>般公共预算财政拨款项目支出决算表</w:t>
      </w:r>
      <w:bookmarkEnd w:id="80"/>
    </w:p>
    <w:p>
      <w:pPr>
        <w:pStyle w:val="5"/>
        <w:spacing w:before="0" w:after="0" w:line="640" w:lineRule="exact"/>
        <w:ind w:firstLine="640" w:firstLineChars="200"/>
        <w:rPr>
          <w:rFonts w:ascii="仿宋" w:hAnsi="仿宋" w:eastAsia="仿宋"/>
        </w:rPr>
      </w:pPr>
      <w:bookmarkStart w:id="81" w:name="_Toc15396628"/>
      <w:r>
        <w:rPr>
          <w:rStyle w:val="29"/>
          <w:rFonts w:hint="eastAsia" w:ascii="仿宋" w:hAnsi="仿宋" w:eastAsia="仿宋"/>
          <w:b w:val="0"/>
          <w:bCs w:val="0"/>
        </w:rPr>
        <w:t>十、</w:t>
      </w:r>
      <w:r>
        <w:rPr>
          <w:rFonts w:hint="eastAsia" w:ascii="仿宋" w:hAnsi="仿宋" w:eastAsia="仿宋"/>
          <w:b w:val="0"/>
        </w:rPr>
        <w:t>一</w:t>
      </w:r>
      <w:r>
        <w:rPr>
          <w:rStyle w:val="29"/>
          <w:rFonts w:hint="eastAsia" w:ascii="仿宋" w:hAnsi="仿宋" w:eastAsia="仿宋"/>
          <w:b w:val="0"/>
          <w:bCs w:val="0"/>
        </w:rPr>
        <w:t>般公共预算财政拨款“三公”经费支出决算表</w:t>
      </w:r>
      <w:bookmarkEnd w:id="81"/>
    </w:p>
    <w:p>
      <w:pPr>
        <w:pStyle w:val="5"/>
        <w:spacing w:before="0" w:after="0" w:line="640" w:lineRule="exact"/>
        <w:ind w:firstLine="640" w:firstLineChars="200"/>
        <w:rPr>
          <w:rFonts w:ascii="仿宋" w:hAnsi="仿宋" w:eastAsia="仿宋"/>
        </w:rPr>
      </w:pPr>
      <w:bookmarkStart w:id="82" w:name="_Toc15396629"/>
      <w:r>
        <w:rPr>
          <w:rStyle w:val="29"/>
          <w:rFonts w:hint="eastAsia" w:ascii="仿宋" w:hAnsi="仿宋" w:eastAsia="仿宋"/>
          <w:b w:val="0"/>
          <w:bCs w:val="0"/>
        </w:rPr>
        <w:t>十一、</w:t>
      </w:r>
      <w:r>
        <w:rPr>
          <w:rFonts w:hint="eastAsia" w:ascii="仿宋" w:hAnsi="仿宋" w:eastAsia="仿宋"/>
          <w:b w:val="0"/>
        </w:rPr>
        <w:t>政</w:t>
      </w:r>
      <w:r>
        <w:rPr>
          <w:rStyle w:val="29"/>
          <w:rFonts w:hint="eastAsia" w:ascii="仿宋" w:hAnsi="仿宋" w:eastAsia="仿宋"/>
          <w:b w:val="0"/>
          <w:bCs w:val="0"/>
        </w:rPr>
        <w:t>府性基金预算财政拨款收入支出决算表</w:t>
      </w:r>
      <w:bookmarkEnd w:id="82"/>
    </w:p>
    <w:p>
      <w:pPr>
        <w:pStyle w:val="5"/>
        <w:spacing w:before="0" w:after="0" w:line="640" w:lineRule="exact"/>
        <w:ind w:firstLine="640" w:firstLineChars="200"/>
        <w:rPr>
          <w:rFonts w:ascii="仿宋" w:hAnsi="仿宋" w:eastAsia="仿宋"/>
        </w:rPr>
      </w:pPr>
      <w:bookmarkStart w:id="83" w:name="_Toc15396630"/>
      <w:r>
        <w:rPr>
          <w:rStyle w:val="29"/>
          <w:rFonts w:hint="eastAsia" w:ascii="仿宋" w:hAnsi="仿宋" w:eastAsia="仿宋"/>
          <w:b w:val="0"/>
          <w:bCs w:val="0"/>
        </w:rPr>
        <w:t>十二、</w:t>
      </w:r>
      <w:r>
        <w:rPr>
          <w:rFonts w:hint="eastAsia" w:ascii="仿宋" w:hAnsi="仿宋" w:eastAsia="仿宋"/>
          <w:b w:val="0"/>
        </w:rPr>
        <w:t>政</w:t>
      </w:r>
      <w:r>
        <w:rPr>
          <w:rStyle w:val="29"/>
          <w:rFonts w:hint="eastAsia" w:ascii="仿宋" w:hAnsi="仿宋" w:eastAsia="仿宋"/>
          <w:b w:val="0"/>
          <w:bCs w:val="0"/>
        </w:rPr>
        <w:t>府性基金预算财政拨款“三公”经费支出决算表</w:t>
      </w:r>
      <w:bookmarkEnd w:id="83"/>
    </w:p>
    <w:p>
      <w:pPr>
        <w:pStyle w:val="5"/>
        <w:spacing w:before="0" w:after="0" w:line="640" w:lineRule="exact"/>
        <w:ind w:firstLine="640" w:firstLineChars="200"/>
        <w:rPr>
          <w:rStyle w:val="29"/>
          <w:rFonts w:ascii="仿宋" w:hAnsi="仿宋" w:eastAsia="仿宋"/>
          <w:b w:val="0"/>
          <w:bCs w:val="0"/>
        </w:rPr>
      </w:pPr>
      <w:bookmarkStart w:id="84" w:name="_Toc15396631"/>
      <w:r>
        <w:rPr>
          <w:rStyle w:val="29"/>
          <w:rFonts w:hint="eastAsia" w:ascii="仿宋" w:hAnsi="仿宋" w:eastAsia="仿宋"/>
          <w:b w:val="0"/>
          <w:bCs w:val="0"/>
        </w:rPr>
        <w:t>十三、</w:t>
      </w:r>
      <w:r>
        <w:rPr>
          <w:rFonts w:hint="eastAsia" w:ascii="仿宋" w:hAnsi="仿宋" w:eastAsia="仿宋"/>
          <w:b w:val="0"/>
        </w:rPr>
        <w:t>国</w:t>
      </w:r>
      <w:r>
        <w:rPr>
          <w:rStyle w:val="29"/>
          <w:rFonts w:hint="eastAsia" w:ascii="仿宋" w:hAnsi="仿宋" w:eastAsia="仿宋"/>
          <w:b w:val="0"/>
          <w:bCs w:val="0"/>
        </w:rPr>
        <w:t>有资本经营预算财政拨款收入支出决算表</w:t>
      </w:r>
      <w:bookmarkEnd w:id="84"/>
    </w:p>
    <w:p>
      <w:pPr>
        <w:spacing w:line="640" w:lineRule="exact"/>
        <w:ind w:firstLine="640" w:firstLineChars="200"/>
        <w:rPr>
          <w:rFonts w:eastAsia="仿宋"/>
        </w:rPr>
      </w:pPr>
      <w:r>
        <w:rPr>
          <w:rStyle w:val="29"/>
          <w:rFonts w:hint="eastAsia" w:ascii="仿宋" w:hAnsi="仿宋" w:eastAsia="仿宋"/>
          <w:b w:val="0"/>
          <w:bCs w:val="0"/>
        </w:rPr>
        <w:t>十四、国有资本经营预算财政拨款支出决算表</w:t>
      </w:r>
    </w:p>
    <w:sectPr>
      <w:footerReference r:id="rId4" w:type="default"/>
      <w:pgSz w:w="11906" w:h="16838"/>
      <w:pgMar w:top="2154" w:right="1474" w:bottom="2041" w:left="1588" w:header="851" w:footer="992" w:gutter="0"/>
      <w:pgNumType w:fmt="numberInDash"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0"/>
                </w:pPr>
                <w:r>
                  <w:rPr>
                    <w:rFonts w:hint="eastAsia"/>
                    <w:sz w:val="28"/>
                    <w:szCs w:val="28"/>
                  </w:rPr>
                  <w:fldChar w:fldCharType="begin"/>
                </w:r>
                <w:r>
                  <w:rPr>
                    <w:rFonts w:hint="eastAsia"/>
                    <w:sz w:val="28"/>
                    <w:szCs w:val="28"/>
                  </w:rPr>
                  <w:instrText xml:space="preserve"> PAGE  \* MERGEFORMAT </w:instrText>
                </w:r>
                <w:r>
                  <w:rPr>
                    <w:rFonts w:hint="eastAsia"/>
                    <w:sz w:val="28"/>
                    <w:szCs w:val="28"/>
                  </w:rPr>
                  <w:fldChar w:fldCharType="separate"/>
                </w:r>
                <w:r>
                  <w:rPr>
                    <w:sz w:val="28"/>
                    <w:szCs w:val="28"/>
                  </w:rPr>
                  <w:t>- 24 -</w:t>
                </w:r>
                <w:r>
                  <w:rPr>
                    <w:rFonts w:hint="eastAsia"/>
                    <w:sz w:val="28"/>
                    <w:szCs w:val="2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ascii="黑体" w:hAnsi="黑体" w:eastAsia="黑体" w:cs="黑体"/>
        <w:sz w:val="44"/>
        <w:szCs w:val="44"/>
      </w:rPr>
    </w:lvl>
  </w:abstractNum>
  <w:abstractNum w:abstractNumId="2">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GVhYTg4NGNkZWJkODFjNzcyZDRjM2M4Y2UzNjI5ZmUifQ=="/>
  </w:docVars>
  <w:rsids>
    <w:rsidRoot w:val="00F1361C"/>
    <w:rsid w:val="000222C6"/>
    <w:rsid w:val="0002549F"/>
    <w:rsid w:val="000468DB"/>
    <w:rsid w:val="0006487A"/>
    <w:rsid w:val="00065F8F"/>
    <w:rsid w:val="00067E10"/>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518"/>
    <w:rsid w:val="0018106D"/>
    <w:rsid w:val="001877A7"/>
    <w:rsid w:val="00191536"/>
    <w:rsid w:val="00196687"/>
    <w:rsid w:val="001A1B21"/>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7040"/>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54EDF"/>
    <w:rsid w:val="00471401"/>
    <w:rsid w:val="00473F31"/>
    <w:rsid w:val="0048263A"/>
    <w:rsid w:val="00487E5D"/>
    <w:rsid w:val="004A711F"/>
    <w:rsid w:val="004B199D"/>
    <w:rsid w:val="004B4690"/>
    <w:rsid w:val="004E0A2D"/>
    <w:rsid w:val="004E206B"/>
    <w:rsid w:val="004E6DF7"/>
    <w:rsid w:val="004F0FBD"/>
    <w:rsid w:val="00505A47"/>
    <w:rsid w:val="00512FDA"/>
    <w:rsid w:val="00515399"/>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537E2"/>
    <w:rsid w:val="0066343B"/>
    <w:rsid w:val="00664777"/>
    <w:rsid w:val="006748A4"/>
    <w:rsid w:val="00681A31"/>
    <w:rsid w:val="00683E73"/>
    <w:rsid w:val="006A3141"/>
    <w:rsid w:val="006A5E34"/>
    <w:rsid w:val="006B2422"/>
    <w:rsid w:val="006B2B9A"/>
    <w:rsid w:val="006C1937"/>
    <w:rsid w:val="006F020C"/>
    <w:rsid w:val="007127B7"/>
    <w:rsid w:val="0071798E"/>
    <w:rsid w:val="007416B6"/>
    <w:rsid w:val="00746F48"/>
    <w:rsid w:val="0075404D"/>
    <w:rsid w:val="00755CB0"/>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BA0"/>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482E"/>
    <w:rsid w:val="00A16847"/>
    <w:rsid w:val="00A237D8"/>
    <w:rsid w:val="00A268C4"/>
    <w:rsid w:val="00A307CD"/>
    <w:rsid w:val="00A331C8"/>
    <w:rsid w:val="00A367A0"/>
    <w:rsid w:val="00A40A00"/>
    <w:rsid w:val="00A4142F"/>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963E7"/>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53C52"/>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A2032A3"/>
    <w:rsid w:val="0B112AED"/>
    <w:rsid w:val="0B8A37D8"/>
    <w:rsid w:val="0E585CD2"/>
    <w:rsid w:val="0EAF3C33"/>
    <w:rsid w:val="10C055FF"/>
    <w:rsid w:val="117B2F3B"/>
    <w:rsid w:val="118107EC"/>
    <w:rsid w:val="11DD6519"/>
    <w:rsid w:val="167F55B5"/>
    <w:rsid w:val="16BB723D"/>
    <w:rsid w:val="170F098D"/>
    <w:rsid w:val="18015F3F"/>
    <w:rsid w:val="1BE8440E"/>
    <w:rsid w:val="1D155CEE"/>
    <w:rsid w:val="20F57F95"/>
    <w:rsid w:val="240371BF"/>
    <w:rsid w:val="25C741E6"/>
    <w:rsid w:val="263D6B3A"/>
    <w:rsid w:val="27842671"/>
    <w:rsid w:val="29FD04D3"/>
    <w:rsid w:val="2ABE7A3E"/>
    <w:rsid w:val="2D4D04DA"/>
    <w:rsid w:val="2EFA178C"/>
    <w:rsid w:val="304C5B79"/>
    <w:rsid w:val="30B46D73"/>
    <w:rsid w:val="319F7F4E"/>
    <w:rsid w:val="34307A9A"/>
    <w:rsid w:val="39AE70AB"/>
    <w:rsid w:val="3C0C0783"/>
    <w:rsid w:val="3F795B0E"/>
    <w:rsid w:val="3F9F3A96"/>
    <w:rsid w:val="42540BDE"/>
    <w:rsid w:val="493C27E9"/>
    <w:rsid w:val="496F39ED"/>
    <w:rsid w:val="49FF41D3"/>
    <w:rsid w:val="4A185DC8"/>
    <w:rsid w:val="4BE068DB"/>
    <w:rsid w:val="4BF6002B"/>
    <w:rsid w:val="4ECE2238"/>
    <w:rsid w:val="4FE9398E"/>
    <w:rsid w:val="5023571A"/>
    <w:rsid w:val="50813210"/>
    <w:rsid w:val="51C570EE"/>
    <w:rsid w:val="51DB4B86"/>
    <w:rsid w:val="55333C3E"/>
    <w:rsid w:val="565142BB"/>
    <w:rsid w:val="57DC670D"/>
    <w:rsid w:val="584F6BA9"/>
    <w:rsid w:val="5A9B4808"/>
    <w:rsid w:val="5BBE338D"/>
    <w:rsid w:val="5C750208"/>
    <w:rsid w:val="64CA39A1"/>
    <w:rsid w:val="68565B5D"/>
    <w:rsid w:val="6B131FE9"/>
    <w:rsid w:val="6C4A05C8"/>
    <w:rsid w:val="72734D90"/>
    <w:rsid w:val="74E366CA"/>
    <w:rsid w:val="768872CA"/>
    <w:rsid w:val="79E7B28D"/>
    <w:rsid w:val="7F9F20EE"/>
    <w:rsid w:val="9E3A10E2"/>
    <w:rsid w:val="F2E1F9D4"/>
    <w:rsid w:val="F788081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qFormat="1" w:uiPriority="39"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2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2"/>
    <w:unhideWhenUsed/>
    <w:qFormat/>
    <w:uiPriority w:val="9"/>
    <w:pPr>
      <w:keepNext/>
      <w:keepLines/>
      <w:spacing w:before="260" w:after="260" w:line="416" w:lineRule="auto"/>
      <w:outlineLvl w:val="2"/>
    </w:pPr>
    <w:rPr>
      <w:b/>
      <w:bCs/>
      <w:sz w:val="32"/>
      <w:szCs w:val="32"/>
    </w:rPr>
  </w:style>
  <w:style w:type="character" w:default="1" w:styleId="16">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5"/>
    <w:qFormat/>
    <w:uiPriority w:val="99"/>
    <w:pPr>
      <w:spacing w:beforeLines="30"/>
    </w:pPr>
    <w:rPr>
      <w:rFonts w:ascii="仿宋_GB2312" w:eastAsia="仿宋_GB2312"/>
      <w:kern w:val="0"/>
      <w:sz w:val="30"/>
    </w:rPr>
  </w:style>
  <w:style w:type="paragraph" w:styleId="3">
    <w:name w:val="toc 5"/>
    <w:basedOn w:val="1"/>
    <w:next w:val="1"/>
    <w:unhideWhenUsed/>
    <w:qFormat/>
    <w:uiPriority w:val="39"/>
    <w:pPr>
      <w:ind w:left="1680" w:leftChars="800"/>
    </w:pPr>
  </w:style>
  <w:style w:type="paragraph" w:styleId="7">
    <w:name w:val="Body Text Indent"/>
    <w:basedOn w:val="1"/>
    <w:qFormat/>
    <w:uiPriority w:val="99"/>
    <w:pPr>
      <w:ind w:firstLine="630"/>
      <w:jc w:val="left"/>
    </w:pPr>
    <w:rPr>
      <w:rFonts w:eastAsia="黑体"/>
      <w:sz w:val="32"/>
      <w:szCs w:val="32"/>
    </w:r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1"/>
    <w:semiHidden/>
    <w:unhideWhenUsed/>
    <w:qFormat/>
    <w:uiPriority w:val="99"/>
    <w:rPr>
      <w:sz w:val="18"/>
      <w:szCs w:val="18"/>
    </w:rPr>
  </w:style>
  <w:style w:type="paragraph" w:styleId="10">
    <w:name w:val="footer"/>
    <w:basedOn w:val="1"/>
    <w:link w:val="23"/>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1"/>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oc 2"/>
    <w:basedOn w:val="1"/>
    <w:next w:val="1"/>
    <w:unhideWhenUsed/>
    <w:qFormat/>
    <w:uiPriority w:val="39"/>
    <w:pPr>
      <w:tabs>
        <w:tab w:val="right" w:leader="dot" w:pos="8296"/>
      </w:tabs>
      <w:ind w:left="420" w:leftChars="200"/>
    </w:pPr>
  </w:style>
  <w:style w:type="paragraph" w:styleId="14">
    <w:name w:val="Body Text First Indent 2"/>
    <w:basedOn w:val="7"/>
    <w:qFormat/>
    <w:uiPriority w:val="99"/>
    <w:pPr>
      <w:spacing w:after="120"/>
      <w:ind w:left="420" w:leftChars="200" w:firstLine="420"/>
    </w:pPr>
  </w:style>
  <w:style w:type="character" w:styleId="17">
    <w:name w:val="Strong"/>
    <w:basedOn w:val="16"/>
    <w:qFormat/>
    <w:uiPriority w:val="99"/>
    <w:rPr>
      <w:b/>
    </w:rPr>
  </w:style>
  <w:style w:type="character" w:styleId="18">
    <w:name w:val="Hyperlink"/>
    <w:basedOn w:val="16"/>
    <w:unhideWhenUsed/>
    <w:qFormat/>
    <w:uiPriority w:val="99"/>
    <w:rPr>
      <w:color w:val="0000FF" w:themeColor="hyperlink"/>
      <w:u w:val="single"/>
    </w:rPr>
  </w:style>
  <w:style w:type="paragraph" w:customStyle="1" w:styleId="19">
    <w:name w:val="table of figures1"/>
    <w:basedOn w:val="1"/>
    <w:next w:val="1"/>
    <w:qFormat/>
    <w:uiPriority w:val="99"/>
    <w:pPr>
      <w:ind w:left="200" w:leftChars="200" w:hanging="200" w:hangingChars="200"/>
    </w:pPr>
  </w:style>
  <w:style w:type="character" w:customStyle="1" w:styleId="20">
    <w:name w:val="Header Char"/>
    <w:basedOn w:val="16"/>
    <w:semiHidden/>
    <w:qFormat/>
    <w:uiPriority w:val="99"/>
    <w:rPr>
      <w:rFonts w:ascii="Times New Roman" w:hAnsi="Times New Roman"/>
      <w:sz w:val="18"/>
      <w:szCs w:val="18"/>
    </w:rPr>
  </w:style>
  <w:style w:type="character" w:customStyle="1" w:styleId="21">
    <w:name w:val="页眉 Char"/>
    <w:link w:val="11"/>
    <w:semiHidden/>
    <w:qFormat/>
    <w:locked/>
    <w:uiPriority w:val="99"/>
    <w:rPr>
      <w:sz w:val="18"/>
    </w:rPr>
  </w:style>
  <w:style w:type="character" w:customStyle="1" w:styleId="22">
    <w:name w:val="Footer Char"/>
    <w:basedOn w:val="16"/>
    <w:semiHidden/>
    <w:qFormat/>
    <w:uiPriority w:val="99"/>
    <w:rPr>
      <w:rFonts w:ascii="Times New Roman" w:hAnsi="Times New Roman"/>
      <w:sz w:val="18"/>
      <w:szCs w:val="18"/>
    </w:rPr>
  </w:style>
  <w:style w:type="character" w:customStyle="1" w:styleId="23">
    <w:name w:val="页脚 Char"/>
    <w:link w:val="10"/>
    <w:qFormat/>
    <w:locked/>
    <w:uiPriority w:val="99"/>
    <w:rPr>
      <w:sz w:val="18"/>
    </w:rPr>
  </w:style>
  <w:style w:type="character" w:customStyle="1" w:styleId="24">
    <w:name w:val="Body Text Char"/>
    <w:basedOn w:val="16"/>
    <w:semiHidden/>
    <w:qFormat/>
    <w:uiPriority w:val="99"/>
    <w:rPr>
      <w:rFonts w:ascii="Times New Roman" w:hAnsi="Times New Roman"/>
      <w:szCs w:val="24"/>
    </w:rPr>
  </w:style>
  <w:style w:type="character" w:customStyle="1" w:styleId="25">
    <w:name w:val="正文文本 Char"/>
    <w:link w:val="2"/>
    <w:qFormat/>
    <w:locked/>
    <w:uiPriority w:val="99"/>
    <w:rPr>
      <w:rFonts w:ascii="仿宋_GB2312" w:hAnsi="Times New Roman" w:eastAsia="仿宋_GB2312"/>
      <w:sz w:val="24"/>
    </w:rPr>
  </w:style>
  <w:style w:type="paragraph" w:customStyle="1" w:styleId="26">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7">
    <w:name w:val="List Paragraph"/>
    <w:basedOn w:val="1"/>
    <w:qFormat/>
    <w:uiPriority w:val="34"/>
    <w:pPr>
      <w:ind w:firstLine="420" w:firstLineChars="200"/>
    </w:pPr>
  </w:style>
  <w:style w:type="character" w:customStyle="1" w:styleId="28">
    <w:name w:val="标题 1 Char"/>
    <w:basedOn w:val="16"/>
    <w:link w:val="4"/>
    <w:qFormat/>
    <w:uiPriority w:val="9"/>
    <w:rPr>
      <w:rFonts w:ascii="Times New Roman" w:hAnsi="Times New Roman"/>
      <w:b/>
      <w:bCs/>
      <w:kern w:val="44"/>
      <w:sz w:val="44"/>
      <w:szCs w:val="44"/>
    </w:rPr>
  </w:style>
  <w:style w:type="character" w:customStyle="1" w:styleId="29">
    <w:name w:val="标题 2 Char"/>
    <w:basedOn w:val="16"/>
    <w:link w:val="5"/>
    <w:qFormat/>
    <w:uiPriority w:val="9"/>
    <w:rPr>
      <w:rFonts w:asciiTheme="majorHAnsi" w:hAnsiTheme="majorHAnsi" w:eastAsiaTheme="majorEastAsia" w:cstheme="majorBidi"/>
      <w:b/>
      <w:bCs/>
      <w:kern w:val="2"/>
      <w:sz w:val="32"/>
      <w:szCs w:val="32"/>
    </w:rPr>
  </w:style>
  <w:style w:type="paragraph" w:customStyle="1" w:styleId="30">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1">
    <w:name w:val="批注框文本 Char"/>
    <w:basedOn w:val="16"/>
    <w:link w:val="9"/>
    <w:semiHidden/>
    <w:qFormat/>
    <w:uiPriority w:val="99"/>
    <w:rPr>
      <w:rFonts w:ascii="Times New Roman" w:hAnsi="Times New Roman"/>
      <w:kern w:val="2"/>
      <w:sz w:val="18"/>
      <w:szCs w:val="18"/>
    </w:rPr>
  </w:style>
  <w:style w:type="character" w:customStyle="1" w:styleId="32">
    <w:name w:val="标题 3 Char"/>
    <w:basedOn w:val="16"/>
    <w:link w:val="6"/>
    <w:qFormat/>
    <w:uiPriority w:val="9"/>
    <w:rPr>
      <w:rFonts w:ascii="Times New Roman" w:hAnsi="Times New Roman"/>
      <w:b/>
      <w:bCs/>
      <w:kern w:val="2"/>
      <w:sz w:val="32"/>
      <w:szCs w:val="32"/>
    </w:rPr>
  </w:style>
  <w:style w:type="paragraph" w:customStyle="1" w:styleId="33">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4.emf"/><Relationship Id="rId8" Type="http://schemas.openxmlformats.org/officeDocument/2006/relationships/image" Target="media/image3.emf"/><Relationship Id="rId7" Type="http://schemas.openxmlformats.org/officeDocument/2006/relationships/image" Target="media/image2.emf"/><Relationship Id="rId6" Type="http://schemas.openxmlformats.org/officeDocument/2006/relationships/image" Target="media/image1.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6.emf"/><Relationship Id="rId10" Type="http://schemas.openxmlformats.org/officeDocument/2006/relationships/image" Target="media/image5.emf"/><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28</Pages>
  <Words>9969</Words>
  <Characters>10673</Characters>
  <Lines>78</Lines>
  <Paragraphs>21</Paragraphs>
  <TotalTime>7</TotalTime>
  <ScaleCrop>false</ScaleCrop>
  <LinksUpToDate>false</LinksUpToDate>
  <CharactersWithSpaces>10779</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2020-08-05T01:49:00Z</dcterms:created>
  <dc:creator>曹颖</dc:creator>
  <cp:lastModifiedBy>DELL</cp:lastModifiedBy>
  <cp:lastPrinted>2022-09-30T08:16:00Z</cp:lastPrinted>
  <dcterms:modified xsi:type="dcterms:W3CDTF">2022-12-23T09:01:04Z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18C4299B72334D3095585539B3212D20</vt:lpwstr>
  </property>
</Properties>
</file>