
<file path=[Content_Types].xml><?xml version="1.0" encoding="utf-8"?>
<Types xmlns="http://schemas.openxmlformats.org/package/2006/content-types">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E2836D">
      <w:pPr>
        <w:spacing w:line="600" w:lineRule="exact"/>
        <w:jc w:val="center"/>
        <w:rPr>
          <w:rFonts w:ascii="方正小标宋简体" w:hAnsi="宋体" w:eastAsia="方正小标宋简体"/>
          <w:sz w:val="72"/>
          <w:szCs w:val="72"/>
        </w:rPr>
      </w:pPr>
      <w:bookmarkStart w:id="0" w:name="_Toc15306267"/>
      <w:bookmarkStart w:id="106" w:name="_GoBack"/>
      <w:bookmarkEnd w:id="106"/>
      <w:r>
        <w:rPr>
          <w:rFonts w:hint="eastAsia" w:ascii="方正小标宋简体" w:hAnsi="宋体" w:eastAsia="方正小标宋简体"/>
          <w:sz w:val="72"/>
          <w:szCs w:val="72"/>
        </w:rPr>
        <w:t xml:space="preserve">  </w:t>
      </w:r>
    </w:p>
    <w:p w14:paraId="201EAC72">
      <w:pPr>
        <w:spacing w:line="600" w:lineRule="exact"/>
        <w:jc w:val="center"/>
        <w:rPr>
          <w:rFonts w:ascii="方正小标宋简体" w:hAnsi="宋体" w:eastAsia="方正小标宋简体"/>
          <w:sz w:val="72"/>
          <w:szCs w:val="72"/>
        </w:rPr>
      </w:pPr>
    </w:p>
    <w:p w14:paraId="55BDDE78">
      <w:pPr>
        <w:spacing w:line="600" w:lineRule="exact"/>
        <w:jc w:val="center"/>
        <w:rPr>
          <w:rFonts w:ascii="方正小标宋简体" w:hAnsi="宋体" w:eastAsia="方正小标宋简体"/>
          <w:sz w:val="72"/>
          <w:szCs w:val="72"/>
        </w:rPr>
      </w:pPr>
    </w:p>
    <w:p w14:paraId="5515AC3F">
      <w:pPr>
        <w:spacing w:line="600" w:lineRule="exact"/>
        <w:jc w:val="center"/>
        <w:rPr>
          <w:rFonts w:ascii="方正舒体" w:hAnsi="方正舒体" w:eastAsia="方正舒体" w:cs="方正舒体"/>
          <w:sz w:val="72"/>
          <w:szCs w:val="72"/>
        </w:rPr>
      </w:pPr>
    </w:p>
    <w:p w14:paraId="4C53BCE1">
      <w:pPr>
        <w:adjustRightInd w:val="0"/>
        <w:snapToGrid w:val="0"/>
        <w:spacing w:line="360" w:lineRule="auto"/>
        <w:jc w:val="center"/>
        <w:outlineLvl w:val="0"/>
        <w:rPr>
          <w:rFonts w:ascii="方正舒体" w:hAnsi="方正舒体" w:eastAsia="方正舒体" w:cs="方正舒体"/>
          <w:sz w:val="72"/>
          <w:szCs w:val="72"/>
        </w:rPr>
      </w:pPr>
      <w:bookmarkStart w:id="1" w:name="_Toc15377193"/>
      <w:bookmarkStart w:id="2" w:name="_Toc14963"/>
      <w:bookmarkStart w:id="3" w:name="_Toc15396475"/>
      <w:bookmarkStart w:id="4" w:name="_Toc15378441"/>
      <w:bookmarkStart w:id="5" w:name="_Toc15377425"/>
      <w:bookmarkStart w:id="6" w:name="_Toc15396597"/>
      <w:r>
        <w:rPr>
          <w:rFonts w:hint="eastAsia" w:ascii="方正舒体" w:hAnsi="方正舒体" w:eastAsia="方正舒体" w:cs="方正舒体"/>
          <w:sz w:val="72"/>
          <w:szCs w:val="72"/>
        </w:rPr>
        <w:t>2021年度</w:t>
      </w:r>
      <w:bookmarkEnd w:id="1"/>
      <w:bookmarkEnd w:id="2"/>
      <w:bookmarkEnd w:id="3"/>
      <w:bookmarkEnd w:id="4"/>
      <w:bookmarkEnd w:id="5"/>
      <w:bookmarkEnd w:id="6"/>
    </w:p>
    <w:p w14:paraId="0F9CC97B">
      <w:pPr>
        <w:adjustRightInd w:val="0"/>
        <w:snapToGrid w:val="0"/>
        <w:spacing w:line="360" w:lineRule="auto"/>
        <w:jc w:val="center"/>
        <w:outlineLvl w:val="0"/>
        <w:rPr>
          <w:rFonts w:ascii="方正舒体" w:hAnsi="方正舒体" w:eastAsia="方正舒体" w:cs="方正舒体"/>
          <w:sz w:val="72"/>
          <w:szCs w:val="72"/>
        </w:rPr>
      </w:pPr>
      <w:bookmarkStart w:id="7" w:name="_Toc15377426"/>
      <w:bookmarkStart w:id="8" w:name="_Toc15377194"/>
      <w:bookmarkStart w:id="9" w:name="_Toc15396598"/>
      <w:bookmarkStart w:id="10" w:name="_Toc15396476"/>
      <w:bookmarkStart w:id="11" w:name="_Toc15378442"/>
      <w:bookmarkStart w:id="12" w:name="_Toc5748"/>
      <w:r>
        <w:rPr>
          <w:rFonts w:hint="eastAsia" w:ascii="方正舒体" w:hAnsi="方正舒体" w:eastAsia="方正舒体" w:cs="方正舒体"/>
          <w:sz w:val="72"/>
          <w:szCs w:val="72"/>
        </w:rPr>
        <w:t>四川省</w:t>
      </w:r>
      <w:bookmarkEnd w:id="0"/>
      <w:bookmarkStart w:id="13" w:name="_Toc15306268"/>
      <w:r>
        <w:rPr>
          <w:rFonts w:hint="eastAsia" w:ascii="方正舒体" w:hAnsi="方正舒体" w:eastAsia="方正舒体" w:cs="方正舒体"/>
          <w:sz w:val="72"/>
          <w:szCs w:val="72"/>
        </w:rPr>
        <w:t>广元市昭化区人民法院单位决算</w:t>
      </w:r>
      <w:bookmarkEnd w:id="7"/>
      <w:bookmarkEnd w:id="8"/>
      <w:bookmarkEnd w:id="9"/>
      <w:bookmarkEnd w:id="10"/>
      <w:bookmarkEnd w:id="11"/>
      <w:bookmarkEnd w:id="12"/>
      <w:bookmarkEnd w:id="13"/>
    </w:p>
    <w:p w14:paraId="32798B38">
      <w:pPr>
        <w:adjustRightInd w:val="0"/>
        <w:snapToGrid w:val="0"/>
        <w:spacing w:line="360" w:lineRule="auto"/>
        <w:jc w:val="center"/>
        <w:rPr>
          <w:rFonts w:ascii="方正小标宋简体" w:hAnsi="宋体" w:eastAsia="方正小标宋简体"/>
          <w:sz w:val="52"/>
          <w:szCs w:val="52"/>
        </w:rPr>
      </w:pPr>
    </w:p>
    <w:p w14:paraId="025CABF4">
      <w:pPr>
        <w:widowControl/>
        <w:tabs>
          <w:tab w:val="center" w:pos="4153"/>
          <w:tab w:val="left" w:pos="5835"/>
        </w:tabs>
        <w:jc w:val="left"/>
        <w:rPr>
          <w:rFonts w:ascii="黑体" w:hAnsi="黑体" w:eastAsia="黑体"/>
          <w:sz w:val="48"/>
          <w:szCs w:val="48"/>
        </w:rPr>
      </w:pPr>
      <w:r>
        <w:rPr>
          <w:rFonts w:ascii="方正小标宋简体" w:hAnsi="宋体" w:eastAsia="方正小标宋简体"/>
          <w:sz w:val="36"/>
          <w:szCs w:val="36"/>
        </w:rPr>
        <w:br w:type="page"/>
      </w:r>
      <w:r>
        <w:rPr>
          <w:rFonts w:ascii="方正小标宋简体" w:hAnsi="宋体" w:eastAsia="方正小标宋简体"/>
          <w:sz w:val="36"/>
          <w:szCs w:val="36"/>
        </w:rPr>
        <w:tab/>
      </w:r>
      <w:r>
        <w:rPr>
          <w:rFonts w:hint="eastAsia" w:ascii="黑体" w:hAnsi="黑体" w:eastAsia="黑体"/>
          <w:sz w:val="48"/>
          <w:szCs w:val="48"/>
        </w:rPr>
        <w:t>目录</w:t>
      </w:r>
      <w:r>
        <w:rPr>
          <w:rFonts w:ascii="黑体" w:hAnsi="黑体" w:eastAsia="黑体"/>
          <w:sz w:val="48"/>
          <w:szCs w:val="48"/>
        </w:rPr>
        <w:tab/>
      </w:r>
    </w:p>
    <w:sdt>
      <w:sdtPr>
        <w:rPr>
          <w:rFonts w:ascii="宋体" w:hAnsi="宋体"/>
        </w:rPr>
        <w:id w:val="147477247"/>
        <w:docPartObj>
          <w:docPartGallery w:val="Table of Contents"/>
          <w:docPartUnique/>
        </w:docPartObj>
      </w:sdtPr>
      <w:sdtEndPr>
        <w:rPr>
          <w:rFonts w:ascii="仿宋" w:hAnsi="仿宋" w:eastAsia="仿宋"/>
          <w:b/>
          <w:sz w:val="28"/>
          <w:szCs w:val="28"/>
        </w:rPr>
      </w:sdtEndPr>
      <w:sdtContent>
        <w:p w14:paraId="4A1F4191">
          <w:pPr>
            <w:jc w:val="center"/>
          </w:pPr>
        </w:p>
        <w:p w14:paraId="6A726A1E">
          <w:pPr>
            <w:pStyle w:val="31"/>
            <w:tabs>
              <w:tab w:val="right" w:leader="dot" w:pos="8306"/>
            </w:tabs>
            <w:rPr>
              <w:b/>
            </w:rPr>
          </w:pPr>
          <w:r>
            <w:fldChar w:fldCharType="begin"/>
          </w:r>
          <w:r>
            <w:instrText xml:space="preserve">TOC \o "1-2" \h \u </w:instrText>
          </w:r>
          <w:r>
            <w:fldChar w:fldCharType="separate"/>
          </w:r>
        </w:p>
        <w:p w14:paraId="00AA9604">
          <w:pPr>
            <w:pStyle w:val="31"/>
            <w:tabs>
              <w:tab w:val="right" w:leader="dot" w:pos="8306"/>
            </w:tabs>
            <w:rPr>
              <w:b/>
            </w:rPr>
          </w:pPr>
          <w:r>
            <w:fldChar w:fldCharType="begin"/>
          </w:r>
          <w:r>
            <w:instrText xml:space="preserve"> HYPERLINK \l "_Toc31570" </w:instrText>
          </w:r>
          <w:r>
            <w:fldChar w:fldCharType="separate"/>
          </w:r>
          <w:r>
            <w:rPr>
              <w:rFonts w:hint="eastAsia" w:ascii="黑体" w:hAnsi="黑体" w:eastAsia="黑体"/>
              <w:b/>
            </w:rPr>
            <w:t>第一部分 单位概况</w:t>
          </w:r>
          <w:r>
            <w:rPr>
              <w:b/>
            </w:rPr>
            <w:tab/>
          </w:r>
          <w:r>
            <w:rPr>
              <w:b/>
            </w:rPr>
            <w:fldChar w:fldCharType="begin"/>
          </w:r>
          <w:r>
            <w:rPr>
              <w:b/>
            </w:rPr>
            <w:instrText xml:space="preserve"> PAGEREF _Toc31570 \h </w:instrText>
          </w:r>
          <w:r>
            <w:rPr>
              <w:b/>
            </w:rPr>
            <w:fldChar w:fldCharType="separate"/>
          </w:r>
          <w:r>
            <w:rPr>
              <w:b/>
            </w:rPr>
            <w:t>3</w:t>
          </w:r>
          <w:r>
            <w:rPr>
              <w:b/>
            </w:rPr>
            <w:fldChar w:fldCharType="end"/>
          </w:r>
          <w:r>
            <w:rPr>
              <w:b/>
            </w:rPr>
            <w:fldChar w:fldCharType="end"/>
          </w:r>
        </w:p>
        <w:p w14:paraId="043E3F76">
          <w:pPr>
            <w:pStyle w:val="32"/>
            <w:tabs>
              <w:tab w:val="right" w:leader="dot" w:pos="8306"/>
            </w:tabs>
            <w:ind w:left="420"/>
          </w:pPr>
          <w:r>
            <w:fldChar w:fldCharType="begin"/>
          </w:r>
          <w:r>
            <w:instrText xml:space="preserve"> HYPERLINK \l "_Toc18438" </w:instrText>
          </w:r>
          <w:r>
            <w:fldChar w:fldCharType="separate"/>
          </w:r>
          <w:r>
            <w:rPr>
              <w:rFonts w:hint="eastAsia" w:ascii="黑体" w:hAnsi="黑体" w:eastAsia="黑体"/>
            </w:rPr>
            <w:t>一、 职能简介及2021年重点工作完成情况</w:t>
          </w:r>
          <w:r>
            <w:tab/>
          </w:r>
          <w:r>
            <w:fldChar w:fldCharType="begin"/>
          </w:r>
          <w:r>
            <w:instrText xml:space="preserve"> PAGEREF _Toc18438 \h </w:instrText>
          </w:r>
          <w:r>
            <w:fldChar w:fldCharType="separate"/>
          </w:r>
          <w:r>
            <w:t>3</w:t>
          </w:r>
          <w:r>
            <w:fldChar w:fldCharType="end"/>
          </w:r>
          <w:r>
            <w:fldChar w:fldCharType="end"/>
          </w:r>
        </w:p>
        <w:p w14:paraId="4BD93489">
          <w:pPr>
            <w:pStyle w:val="32"/>
            <w:tabs>
              <w:tab w:val="right" w:leader="dot" w:pos="8306"/>
            </w:tabs>
            <w:ind w:left="420"/>
          </w:pPr>
          <w:r>
            <w:fldChar w:fldCharType="begin"/>
          </w:r>
          <w:r>
            <w:instrText xml:space="preserve"> HYPERLINK \l "_Toc32305" </w:instrText>
          </w:r>
          <w:r>
            <w:fldChar w:fldCharType="separate"/>
          </w:r>
          <w:r>
            <w:rPr>
              <w:rFonts w:hint="eastAsia" w:ascii="黑体" w:hAnsi="黑体" w:eastAsia="黑体"/>
            </w:rPr>
            <w:t>二、 机构设置</w:t>
          </w:r>
          <w:r>
            <w:tab/>
          </w:r>
          <w:r>
            <w:fldChar w:fldCharType="begin"/>
          </w:r>
          <w:r>
            <w:instrText xml:space="preserve"> PAGEREF _Toc32305 \h </w:instrText>
          </w:r>
          <w:r>
            <w:fldChar w:fldCharType="separate"/>
          </w:r>
          <w:r>
            <w:t>4</w:t>
          </w:r>
          <w:r>
            <w:fldChar w:fldCharType="end"/>
          </w:r>
          <w:r>
            <w:fldChar w:fldCharType="end"/>
          </w:r>
        </w:p>
        <w:p w14:paraId="1B029F23">
          <w:pPr>
            <w:pStyle w:val="31"/>
            <w:tabs>
              <w:tab w:val="right" w:leader="dot" w:pos="8306"/>
            </w:tabs>
            <w:rPr>
              <w:b/>
            </w:rPr>
          </w:pPr>
          <w:r>
            <w:fldChar w:fldCharType="begin"/>
          </w:r>
          <w:r>
            <w:instrText xml:space="preserve"> HYPERLINK \l "_Toc7244" </w:instrText>
          </w:r>
          <w:r>
            <w:fldChar w:fldCharType="separate"/>
          </w:r>
          <w:r>
            <w:rPr>
              <w:rFonts w:hint="eastAsia" w:ascii="黑体" w:hAnsi="黑体" w:eastAsia="黑体"/>
              <w:b/>
              <w:bCs/>
            </w:rPr>
            <w:t>第二部分 2021年度单位决算情况说明</w:t>
          </w:r>
          <w:r>
            <w:rPr>
              <w:b/>
            </w:rPr>
            <w:tab/>
          </w:r>
          <w:r>
            <w:rPr>
              <w:b/>
            </w:rPr>
            <w:fldChar w:fldCharType="begin"/>
          </w:r>
          <w:r>
            <w:rPr>
              <w:b/>
            </w:rPr>
            <w:instrText xml:space="preserve"> PAGEREF _Toc7244 \h </w:instrText>
          </w:r>
          <w:r>
            <w:rPr>
              <w:b/>
            </w:rPr>
            <w:fldChar w:fldCharType="separate"/>
          </w:r>
          <w:r>
            <w:rPr>
              <w:b/>
            </w:rPr>
            <w:t>6</w:t>
          </w:r>
          <w:r>
            <w:rPr>
              <w:b/>
            </w:rPr>
            <w:fldChar w:fldCharType="end"/>
          </w:r>
          <w:r>
            <w:rPr>
              <w:b/>
            </w:rPr>
            <w:fldChar w:fldCharType="end"/>
          </w:r>
        </w:p>
        <w:p w14:paraId="24F69D2F">
          <w:pPr>
            <w:pStyle w:val="32"/>
            <w:tabs>
              <w:tab w:val="right" w:leader="dot" w:pos="8306"/>
            </w:tabs>
            <w:ind w:left="420"/>
          </w:pPr>
          <w:r>
            <w:fldChar w:fldCharType="begin"/>
          </w:r>
          <w:r>
            <w:instrText xml:space="preserve"> HYPERLINK \l "_Toc32728" </w:instrText>
          </w:r>
          <w:r>
            <w:fldChar w:fldCharType="separate"/>
          </w:r>
          <w:r>
            <w:rPr>
              <w:rFonts w:ascii="黑体" w:hAnsi="黑体" w:eastAsia="黑体"/>
            </w:rPr>
            <w:t xml:space="preserve">一、 </w:t>
          </w:r>
          <w:r>
            <w:rPr>
              <w:rFonts w:hint="eastAsia" w:ascii="黑体" w:hAnsi="黑体" w:eastAsia="黑体"/>
              <w:szCs w:val="32"/>
            </w:rPr>
            <w:t>收</w:t>
          </w:r>
          <w:r>
            <w:rPr>
              <w:rFonts w:hint="eastAsia" w:ascii="黑体" w:hAnsi="黑体" w:eastAsia="黑体"/>
            </w:rPr>
            <w:t>入支出决算总体情况说明</w:t>
          </w:r>
          <w:r>
            <w:tab/>
          </w:r>
          <w:r>
            <w:fldChar w:fldCharType="begin"/>
          </w:r>
          <w:r>
            <w:instrText xml:space="preserve"> PAGEREF _Toc32728 \h </w:instrText>
          </w:r>
          <w:r>
            <w:fldChar w:fldCharType="separate"/>
          </w:r>
          <w:r>
            <w:t>6</w:t>
          </w:r>
          <w:r>
            <w:fldChar w:fldCharType="end"/>
          </w:r>
          <w:r>
            <w:fldChar w:fldCharType="end"/>
          </w:r>
        </w:p>
        <w:p w14:paraId="101BF820">
          <w:pPr>
            <w:pStyle w:val="32"/>
            <w:tabs>
              <w:tab w:val="right" w:leader="dot" w:pos="8306"/>
            </w:tabs>
            <w:ind w:left="420"/>
          </w:pPr>
          <w:r>
            <w:fldChar w:fldCharType="begin"/>
          </w:r>
          <w:r>
            <w:instrText xml:space="preserve"> HYPERLINK \l "_Toc23697" </w:instrText>
          </w:r>
          <w:r>
            <w:fldChar w:fldCharType="separate"/>
          </w:r>
          <w:r>
            <w:rPr>
              <w:rFonts w:ascii="黑体" w:hAnsi="黑体" w:eastAsia="黑体"/>
            </w:rPr>
            <w:t xml:space="preserve">二、 </w:t>
          </w:r>
          <w:r>
            <w:rPr>
              <w:rFonts w:hint="eastAsia" w:ascii="黑体" w:hAnsi="黑体" w:eastAsia="黑体"/>
              <w:szCs w:val="32"/>
            </w:rPr>
            <w:t>收</w:t>
          </w:r>
          <w:r>
            <w:rPr>
              <w:rFonts w:hint="eastAsia" w:ascii="黑体" w:hAnsi="黑体" w:eastAsia="黑体"/>
            </w:rPr>
            <w:t>入决算情况说明</w:t>
          </w:r>
          <w:r>
            <w:tab/>
          </w:r>
          <w:r>
            <w:fldChar w:fldCharType="begin"/>
          </w:r>
          <w:r>
            <w:instrText xml:space="preserve"> PAGEREF _Toc23697 \h </w:instrText>
          </w:r>
          <w:r>
            <w:fldChar w:fldCharType="separate"/>
          </w:r>
          <w:r>
            <w:t>6</w:t>
          </w:r>
          <w:r>
            <w:fldChar w:fldCharType="end"/>
          </w:r>
          <w:r>
            <w:fldChar w:fldCharType="end"/>
          </w:r>
        </w:p>
        <w:p w14:paraId="098741DD">
          <w:pPr>
            <w:pStyle w:val="32"/>
            <w:tabs>
              <w:tab w:val="right" w:leader="dot" w:pos="8306"/>
            </w:tabs>
            <w:ind w:left="420"/>
          </w:pPr>
          <w:r>
            <w:fldChar w:fldCharType="begin"/>
          </w:r>
          <w:r>
            <w:instrText xml:space="preserve"> HYPERLINK \l "_Toc19936" </w:instrText>
          </w:r>
          <w:r>
            <w:fldChar w:fldCharType="separate"/>
          </w:r>
          <w:r>
            <w:rPr>
              <w:rFonts w:ascii="黑体" w:hAnsi="黑体" w:eastAsia="黑体"/>
            </w:rPr>
            <w:t xml:space="preserve">三、 </w:t>
          </w:r>
          <w:r>
            <w:rPr>
              <w:rFonts w:hint="eastAsia" w:ascii="黑体" w:hAnsi="黑体" w:eastAsia="黑体"/>
              <w:szCs w:val="32"/>
            </w:rPr>
            <w:t>支</w:t>
          </w:r>
          <w:r>
            <w:rPr>
              <w:rFonts w:hint="eastAsia" w:ascii="黑体" w:hAnsi="黑体" w:eastAsia="黑体"/>
            </w:rPr>
            <w:t>出决算情况说明</w:t>
          </w:r>
          <w:r>
            <w:tab/>
          </w:r>
          <w:r>
            <w:fldChar w:fldCharType="begin"/>
          </w:r>
          <w:r>
            <w:instrText xml:space="preserve"> PAGEREF _Toc19936 \h </w:instrText>
          </w:r>
          <w:r>
            <w:fldChar w:fldCharType="separate"/>
          </w:r>
          <w:r>
            <w:t>7</w:t>
          </w:r>
          <w:r>
            <w:fldChar w:fldCharType="end"/>
          </w:r>
          <w:r>
            <w:fldChar w:fldCharType="end"/>
          </w:r>
        </w:p>
        <w:p w14:paraId="272737E9">
          <w:pPr>
            <w:pStyle w:val="32"/>
            <w:tabs>
              <w:tab w:val="right" w:leader="dot" w:pos="8306"/>
            </w:tabs>
            <w:ind w:left="420"/>
          </w:pPr>
          <w:r>
            <w:fldChar w:fldCharType="begin"/>
          </w:r>
          <w:r>
            <w:instrText xml:space="preserve"> HYPERLINK \l "_Toc14886" </w:instrText>
          </w:r>
          <w:r>
            <w:fldChar w:fldCharType="separate"/>
          </w:r>
          <w:r>
            <w:rPr>
              <w:rFonts w:hint="eastAsia" w:ascii="黑体" w:hAnsi="黑体" w:eastAsia="黑体"/>
              <w:szCs w:val="32"/>
            </w:rPr>
            <w:t>四、财</w:t>
          </w:r>
          <w:r>
            <w:rPr>
              <w:rFonts w:hint="eastAsia" w:ascii="黑体" w:hAnsi="黑体" w:eastAsia="黑体"/>
            </w:rPr>
            <w:t>政拨款收入支出决算总体情况说明</w:t>
          </w:r>
          <w:r>
            <w:tab/>
          </w:r>
          <w:r>
            <w:fldChar w:fldCharType="begin"/>
          </w:r>
          <w:r>
            <w:instrText xml:space="preserve"> PAGEREF _Toc14886 \h </w:instrText>
          </w:r>
          <w:r>
            <w:fldChar w:fldCharType="separate"/>
          </w:r>
          <w:r>
            <w:t>8</w:t>
          </w:r>
          <w:r>
            <w:fldChar w:fldCharType="end"/>
          </w:r>
          <w:r>
            <w:fldChar w:fldCharType="end"/>
          </w:r>
        </w:p>
        <w:p w14:paraId="14FB3334">
          <w:pPr>
            <w:pStyle w:val="32"/>
            <w:tabs>
              <w:tab w:val="right" w:leader="dot" w:pos="8306"/>
            </w:tabs>
            <w:ind w:left="420"/>
          </w:pPr>
          <w:r>
            <w:fldChar w:fldCharType="begin"/>
          </w:r>
          <w:r>
            <w:instrText xml:space="preserve"> HYPERLINK \l "_Toc26775" </w:instrText>
          </w:r>
          <w: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fldChar w:fldCharType="begin"/>
          </w:r>
          <w:r>
            <w:instrText xml:space="preserve"> PAGEREF _Toc26775 \h </w:instrText>
          </w:r>
          <w:r>
            <w:fldChar w:fldCharType="separate"/>
          </w:r>
          <w:r>
            <w:t>8</w:t>
          </w:r>
          <w:r>
            <w:fldChar w:fldCharType="end"/>
          </w:r>
          <w:r>
            <w:fldChar w:fldCharType="end"/>
          </w:r>
        </w:p>
        <w:p w14:paraId="6FA35571">
          <w:pPr>
            <w:pStyle w:val="32"/>
            <w:tabs>
              <w:tab w:val="right" w:leader="dot" w:pos="8306"/>
            </w:tabs>
            <w:ind w:left="420"/>
          </w:pPr>
          <w:r>
            <w:fldChar w:fldCharType="begin"/>
          </w:r>
          <w:r>
            <w:instrText xml:space="preserve"> HYPERLINK \l "_Toc18135" </w:instrText>
          </w:r>
          <w: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fldChar w:fldCharType="begin"/>
          </w:r>
          <w:r>
            <w:instrText xml:space="preserve"> PAGEREF _Toc18135 \h </w:instrText>
          </w:r>
          <w:r>
            <w:fldChar w:fldCharType="separate"/>
          </w:r>
          <w:r>
            <w:t>11</w:t>
          </w:r>
          <w:r>
            <w:fldChar w:fldCharType="end"/>
          </w:r>
          <w:r>
            <w:fldChar w:fldCharType="end"/>
          </w:r>
        </w:p>
        <w:p w14:paraId="71FDCECA">
          <w:pPr>
            <w:pStyle w:val="32"/>
            <w:tabs>
              <w:tab w:val="right" w:leader="dot" w:pos="8306"/>
            </w:tabs>
            <w:ind w:left="420"/>
          </w:pPr>
          <w:r>
            <w:fldChar w:fldCharType="begin"/>
          </w:r>
          <w:r>
            <w:instrText xml:space="preserve"> HYPERLINK \l "_Toc16430" </w:instrText>
          </w:r>
          <w:r>
            <w:fldChar w:fldCharType="separate"/>
          </w:r>
          <w:r>
            <w:rPr>
              <w:rFonts w:hint="eastAsia" w:ascii="黑体" w:eastAsia="黑体"/>
              <w:szCs w:val="32"/>
            </w:rPr>
            <w:t>七、</w:t>
          </w:r>
          <w:r>
            <w:rPr>
              <w:rFonts w:hint="eastAsia" w:ascii="黑体" w:hAnsi="黑体" w:eastAsia="黑体"/>
            </w:rPr>
            <w:t>“三公”经费财政拨款支出决算情况说明</w:t>
          </w:r>
          <w:r>
            <w:tab/>
          </w:r>
          <w:r>
            <w:fldChar w:fldCharType="begin"/>
          </w:r>
          <w:r>
            <w:instrText xml:space="preserve"> PAGEREF _Toc16430 \h </w:instrText>
          </w:r>
          <w:r>
            <w:fldChar w:fldCharType="separate"/>
          </w:r>
          <w:r>
            <w:t>11</w:t>
          </w:r>
          <w:r>
            <w:fldChar w:fldCharType="end"/>
          </w:r>
          <w:r>
            <w:fldChar w:fldCharType="end"/>
          </w:r>
        </w:p>
        <w:p w14:paraId="421B2C9B">
          <w:pPr>
            <w:pStyle w:val="32"/>
            <w:tabs>
              <w:tab w:val="right" w:leader="dot" w:pos="8306"/>
            </w:tabs>
            <w:ind w:left="420"/>
          </w:pPr>
          <w:r>
            <w:fldChar w:fldCharType="begin"/>
          </w:r>
          <w:r>
            <w:instrText xml:space="preserve"> HYPERLINK \l "_Toc19286" </w:instrText>
          </w:r>
          <w:r>
            <w:fldChar w:fldCharType="separate"/>
          </w:r>
          <w:r>
            <w:rPr>
              <w:rFonts w:hint="eastAsia" w:ascii="黑体" w:eastAsia="黑体"/>
              <w:szCs w:val="32"/>
            </w:rPr>
            <w:t>八、</w:t>
          </w:r>
          <w:r>
            <w:rPr>
              <w:rFonts w:hint="eastAsia" w:ascii="黑体" w:hAnsi="黑体" w:eastAsia="黑体"/>
            </w:rPr>
            <w:t>政府性基金预算支出决算情况说明</w:t>
          </w:r>
          <w:r>
            <w:tab/>
          </w:r>
          <w:r>
            <w:fldChar w:fldCharType="begin"/>
          </w:r>
          <w:r>
            <w:instrText xml:space="preserve"> PAGEREF _Toc19286 \h </w:instrText>
          </w:r>
          <w:r>
            <w:fldChar w:fldCharType="separate"/>
          </w:r>
          <w:r>
            <w:t>13</w:t>
          </w:r>
          <w:r>
            <w:fldChar w:fldCharType="end"/>
          </w:r>
          <w:r>
            <w:fldChar w:fldCharType="end"/>
          </w:r>
        </w:p>
        <w:p w14:paraId="307C0B7F">
          <w:pPr>
            <w:pStyle w:val="32"/>
            <w:tabs>
              <w:tab w:val="right" w:leader="dot" w:pos="8306"/>
            </w:tabs>
            <w:ind w:left="420"/>
          </w:pPr>
          <w:r>
            <w:fldChar w:fldCharType="begin"/>
          </w:r>
          <w:r>
            <w:instrText xml:space="preserve"> HYPERLINK \l "_Toc17094" </w:instrText>
          </w:r>
          <w:r>
            <w:fldChar w:fldCharType="separate"/>
          </w:r>
          <w:r>
            <w:rPr>
              <w:rFonts w:hint="eastAsia" w:ascii="黑体" w:hAnsi="黑体" w:eastAsia="黑体"/>
            </w:rPr>
            <w:t>九、 国有资本经营预算支出决算情况说明</w:t>
          </w:r>
          <w:r>
            <w:tab/>
          </w:r>
          <w:r>
            <w:fldChar w:fldCharType="begin"/>
          </w:r>
          <w:r>
            <w:instrText xml:space="preserve"> PAGEREF _Toc17094 \h </w:instrText>
          </w:r>
          <w:r>
            <w:fldChar w:fldCharType="separate"/>
          </w:r>
          <w:r>
            <w:t>13</w:t>
          </w:r>
          <w:r>
            <w:fldChar w:fldCharType="end"/>
          </w:r>
          <w:r>
            <w:fldChar w:fldCharType="end"/>
          </w:r>
        </w:p>
        <w:p w14:paraId="2EC40059">
          <w:pPr>
            <w:pStyle w:val="32"/>
            <w:tabs>
              <w:tab w:val="right" w:leader="dot" w:pos="8306"/>
            </w:tabs>
            <w:ind w:left="420"/>
          </w:pPr>
          <w:r>
            <w:fldChar w:fldCharType="begin"/>
          </w:r>
          <w:r>
            <w:instrText xml:space="preserve"> HYPERLINK \l "_Toc22122" </w:instrText>
          </w:r>
          <w:r>
            <w:fldChar w:fldCharType="separate"/>
          </w:r>
          <w:r>
            <w:rPr>
              <w:rFonts w:hint="eastAsia" w:ascii="黑体" w:hAnsi="黑体" w:eastAsia="黑体"/>
            </w:rPr>
            <w:t>十、 预算绩效管理情况</w:t>
          </w:r>
          <w:r>
            <w:tab/>
          </w:r>
          <w:r>
            <w:fldChar w:fldCharType="begin"/>
          </w:r>
          <w:r>
            <w:instrText xml:space="preserve"> PAGEREF _Toc22122 \h </w:instrText>
          </w:r>
          <w:r>
            <w:fldChar w:fldCharType="separate"/>
          </w:r>
          <w:r>
            <w:t>14</w:t>
          </w:r>
          <w:r>
            <w:fldChar w:fldCharType="end"/>
          </w:r>
          <w:r>
            <w:fldChar w:fldCharType="end"/>
          </w:r>
        </w:p>
        <w:p w14:paraId="7E82620C">
          <w:pPr>
            <w:pStyle w:val="32"/>
            <w:tabs>
              <w:tab w:val="right" w:leader="dot" w:pos="8306"/>
            </w:tabs>
            <w:ind w:left="420"/>
          </w:pPr>
          <w:r>
            <w:fldChar w:fldCharType="begin"/>
          </w:r>
          <w:r>
            <w:instrText xml:space="preserve"> HYPERLINK \l "_Toc8084" </w:instrText>
          </w:r>
          <w:r>
            <w:fldChar w:fldCharType="separate"/>
          </w:r>
          <w:r>
            <w:rPr>
              <w:rFonts w:hint="eastAsia" w:ascii="黑体" w:hAnsi="黑体" w:eastAsia="黑体"/>
            </w:rPr>
            <w:t>十一、 其他重要事项的情况说明</w:t>
          </w:r>
          <w:r>
            <w:tab/>
          </w:r>
          <w:r>
            <w:fldChar w:fldCharType="begin"/>
          </w:r>
          <w:r>
            <w:instrText xml:space="preserve"> PAGEREF _Toc8084 \h </w:instrText>
          </w:r>
          <w:r>
            <w:fldChar w:fldCharType="separate"/>
          </w:r>
          <w:r>
            <w:t>14</w:t>
          </w:r>
          <w:r>
            <w:fldChar w:fldCharType="end"/>
          </w:r>
          <w:r>
            <w:fldChar w:fldCharType="end"/>
          </w:r>
        </w:p>
        <w:p w14:paraId="34EDF0AB">
          <w:pPr>
            <w:pStyle w:val="31"/>
            <w:tabs>
              <w:tab w:val="right" w:leader="dot" w:pos="8306"/>
            </w:tabs>
            <w:rPr>
              <w:b/>
            </w:rPr>
          </w:pPr>
          <w:r>
            <w:fldChar w:fldCharType="begin"/>
          </w:r>
          <w:r>
            <w:instrText xml:space="preserve"> HYPERLINK \l "_Toc8711" </w:instrText>
          </w:r>
          <w:r>
            <w:fldChar w:fldCharType="separate"/>
          </w:r>
          <w:r>
            <w:rPr>
              <w:rFonts w:hint="eastAsia" w:ascii="黑体" w:hAnsi="黑体" w:eastAsia="黑体" w:cs="黑体"/>
              <w:b/>
              <w:szCs w:val="44"/>
            </w:rPr>
            <w:t xml:space="preserve">第三部分 </w:t>
          </w:r>
          <w:r>
            <w:rPr>
              <w:rFonts w:hint="eastAsia" w:ascii="黑体" w:hAnsi="黑体" w:eastAsia="黑体"/>
              <w:b/>
              <w:szCs w:val="44"/>
            </w:rPr>
            <w:t>名</w:t>
          </w:r>
          <w:r>
            <w:rPr>
              <w:rFonts w:hint="eastAsia" w:ascii="黑体" w:hAnsi="黑体" w:eastAsia="黑体"/>
              <w:b/>
            </w:rPr>
            <w:t>词解释</w:t>
          </w:r>
          <w:r>
            <w:rPr>
              <w:b/>
            </w:rPr>
            <w:tab/>
          </w:r>
          <w:r>
            <w:rPr>
              <w:b/>
            </w:rPr>
            <w:fldChar w:fldCharType="begin"/>
          </w:r>
          <w:r>
            <w:rPr>
              <w:b/>
            </w:rPr>
            <w:instrText xml:space="preserve"> PAGEREF _Toc8711 \h </w:instrText>
          </w:r>
          <w:r>
            <w:rPr>
              <w:b/>
            </w:rPr>
            <w:fldChar w:fldCharType="separate"/>
          </w:r>
          <w:r>
            <w:rPr>
              <w:b/>
            </w:rPr>
            <w:t>16</w:t>
          </w:r>
          <w:r>
            <w:rPr>
              <w:b/>
            </w:rPr>
            <w:fldChar w:fldCharType="end"/>
          </w:r>
          <w:r>
            <w:rPr>
              <w:b/>
            </w:rPr>
            <w:fldChar w:fldCharType="end"/>
          </w:r>
        </w:p>
        <w:p w14:paraId="5F3A07B4">
          <w:pPr>
            <w:pStyle w:val="31"/>
            <w:tabs>
              <w:tab w:val="right" w:leader="dot" w:pos="8306"/>
            </w:tabs>
            <w:rPr>
              <w:b/>
            </w:rPr>
          </w:pPr>
          <w:r>
            <w:fldChar w:fldCharType="begin"/>
          </w:r>
          <w:r>
            <w:instrText xml:space="preserve"> HYPERLINK \l "_Toc585" </w:instrText>
          </w:r>
          <w:r>
            <w:fldChar w:fldCharType="separate"/>
          </w:r>
          <w:r>
            <w:rPr>
              <w:rFonts w:hint="eastAsia" w:ascii="黑体" w:hAnsi="黑体" w:eastAsia="黑体"/>
              <w:b/>
              <w:szCs w:val="44"/>
            </w:rPr>
            <w:t>第</w:t>
          </w:r>
          <w:r>
            <w:rPr>
              <w:rFonts w:hint="eastAsia" w:ascii="黑体" w:hAnsi="黑体" w:eastAsia="黑体"/>
              <w:b/>
            </w:rPr>
            <w:t>四部分 附件</w:t>
          </w:r>
          <w:r>
            <w:rPr>
              <w:b/>
            </w:rPr>
            <w:tab/>
          </w:r>
          <w:r>
            <w:rPr>
              <w:b/>
            </w:rPr>
            <w:fldChar w:fldCharType="begin"/>
          </w:r>
          <w:r>
            <w:rPr>
              <w:b/>
            </w:rPr>
            <w:instrText xml:space="preserve"> PAGEREF _Toc585 \h </w:instrText>
          </w:r>
          <w:r>
            <w:rPr>
              <w:b/>
            </w:rPr>
            <w:fldChar w:fldCharType="separate"/>
          </w:r>
          <w:r>
            <w:rPr>
              <w:b/>
            </w:rPr>
            <w:t>18</w:t>
          </w:r>
          <w:r>
            <w:rPr>
              <w:b/>
            </w:rPr>
            <w:fldChar w:fldCharType="end"/>
          </w:r>
          <w:r>
            <w:rPr>
              <w:b/>
            </w:rPr>
            <w:fldChar w:fldCharType="end"/>
          </w:r>
        </w:p>
        <w:p w14:paraId="57A73916">
          <w:pPr>
            <w:pStyle w:val="31"/>
            <w:tabs>
              <w:tab w:val="right" w:leader="dot" w:pos="8306"/>
            </w:tabs>
            <w:rPr>
              <w:b/>
            </w:rPr>
          </w:pPr>
          <w:r>
            <w:fldChar w:fldCharType="begin"/>
          </w:r>
          <w:r>
            <w:instrText xml:space="preserve"> HYPERLINK \l "_Toc14447" </w:instrText>
          </w:r>
          <w:r>
            <w:fldChar w:fldCharType="separate"/>
          </w:r>
          <w:r>
            <w:rPr>
              <w:rFonts w:hint="eastAsia" w:ascii="黑体" w:hAnsi="黑体" w:eastAsia="黑体"/>
              <w:b/>
              <w:szCs w:val="44"/>
            </w:rPr>
            <w:t>第</w:t>
          </w:r>
          <w:r>
            <w:rPr>
              <w:rFonts w:hint="eastAsia" w:ascii="黑体" w:hAnsi="黑体" w:eastAsia="黑体"/>
              <w:b/>
            </w:rPr>
            <w:t>五部分 附表</w:t>
          </w:r>
          <w:r>
            <w:rPr>
              <w:b/>
            </w:rPr>
            <w:tab/>
          </w:r>
          <w:r>
            <w:rPr>
              <w:b/>
            </w:rPr>
            <w:fldChar w:fldCharType="begin"/>
          </w:r>
          <w:r>
            <w:rPr>
              <w:b/>
            </w:rPr>
            <w:instrText xml:space="preserve"> PAGEREF _Toc14447 \h </w:instrText>
          </w:r>
          <w:r>
            <w:rPr>
              <w:b/>
            </w:rPr>
            <w:fldChar w:fldCharType="separate"/>
          </w:r>
          <w:r>
            <w:rPr>
              <w:b/>
            </w:rPr>
            <w:t>19</w:t>
          </w:r>
          <w:r>
            <w:rPr>
              <w:b/>
            </w:rPr>
            <w:fldChar w:fldCharType="end"/>
          </w:r>
          <w:r>
            <w:rPr>
              <w:b/>
            </w:rPr>
            <w:fldChar w:fldCharType="end"/>
          </w:r>
        </w:p>
        <w:p w14:paraId="7487A989">
          <w:pPr>
            <w:pStyle w:val="32"/>
            <w:tabs>
              <w:tab w:val="right" w:leader="dot" w:pos="8306"/>
            </w:tabs>
            <w:ind w:left="420"/>
            <w:rPr>
              <w:rFonts w:ascii="黑体" w:hAnsi="黑体" w:eastAsia="黑体"/>
            </w:rPr>
          </w:pPr>
          <w:r>
            <w:fldChar w:fldCharType="begin"/>
          </w:r>
          <w:r>
            <w:instrText xml:space="preserve"> HYPERLINK \l "_Toc24696" </w:instrText>
          </w:r>
          <w:r>
            <w:fldChar w:fldCharType="separate"/>
          </w:r>
          <w:r>
            <w:rPr>
              <w:rFonts w:hint="eastAsia" w:ascii="黑体" w:hAnsi="黑体" w:eastAsia="黑体"/>
            </w:rPr>
            <w:t>一、收入支出决算总表</w:t>
          </w:r>
          <w:r>
            <w:rPr>
              <w:rFonts w:ascii="黑体" w:hAnsi="黑体" w:eastAsia="黑体"/>
            </w:rPr>
            <w:tab/>
          </w:r>
          <w:r>
            <w:rPr>
              <w:rFonts w:ascii="黑体" w:hAnsi="黑体" w:eastAsia="黑体"/>
            </w:rPr>
            <w:fldChar w:fldCharType="begin"/>
          </w:r>
          <w:r>
            <w:rPr>
              <w:rFonts w:ascii="黑体" w:hAnsi="黑体" w:eastAsia="黑体"/>
            </w:rPr>
            <w:instrText xml:space="preserve"> PAGEREF _Toc24696 \h </w:instrText>
          </w:r>
          <w:r>
            <w:rPr>
              <w:rFonts w:ascii="黑体" w:hAnsi="黑体" w:eastAsia="黑体"/>
            </w:rPr>
            <w:fldChar w:fldCharType="separate"/>
          </w:r>
          <w:r>
            <w:rPr>
              <w:rFonts w:ascii="黑体" w:hAnsi="黑体" w:eastAsia="黑体"/>
            </w:rPr>
            <w:t>19</w:t>
          </w:r>
          <w:r>
            <w:rPr>
              <w:rFonts w:ascii="黑体" w:hAnsi="黑体" w:eastAsia="黑体"/>
            </w:rPr>
            <w:fldChar w:fldCharType="end"/>
          </w:r>
          <w:r>
            <w:rPr>
              <w:rFonts w:ascii="黑体" w:hAnsi="黑体" w:eastAsia="黑体"/>
            </w:rPr>
            <w:fldChar w:fldCharType="end"/>
          </w:r>
        </w:p>
        <w:p w14:paraId="1A9FC486">
          <w:pPr>
            <w:pStyle w:val="32"/>
            <w:tabs>
              <w:tab w:val="right" w:leader="dot" w:pos="8306"/>
            </w:tabs>
            <w:ind w:left="420"/>
            <w:rPr>
              <w:rFonts w:ascii="黑体" w:hAnsi="黑体" w:eastAsia="黑体"/>
            </w:rPr>
          </w:pPr>
          <w:r>
            <w:fldChar w:fldCharType="begin"/>
          </w:r>
          <w:r>
            <w:instrText xml:space="preserve"> HYPERLINK \l "_Toc566" </w:instrText>
          </w:r>
          <w:r>
            <w:fldChar w:fldCharType="separate"/>
          </w:r>
          <w:r>
            <w:rPr>
              <w:rFonts w:hint="eastAsia" w:ascii="黑体" w:hAnsi="黑体" w:eastAsia="黑体"/>
            </w:rPr>
            <w:t>二、收入决算表</w:t>
          </w:r>
          <w:r>
            <w:rPr>
              <w:rFonts w:ascii="黑体" w:hAnsi="黑体" w:eastAsia="黑体"/>
            </w:rPr>
            <w:tab/>
          </w:r>
          <w:r>
            <w:rPr>
              <w:rFonts w:ascii="黑体" w:hAnsi="黑体" w:eastAsia="黑体"/>
            </w:rPr>
            <w:fldChar w:fldCharType="begin"/>
          </w:r>
          <w:r>
            <w:rPr>
              <w:rFonts w:ascii="黑体" w:hAnsi="黑体" w:eastAsia="黑体"/>
            </w:rPr>
            <w:instrText xml:space="preserve"> PAGEREF _Toc566 \h </w:instrText>
          </w:r>
          <w:r>
            <w:rPr>
              <w:rFonts w:ascii="黑体" w:hAnsi="黑体" w:eastAsia="黑体"/>
            </w:rPr>
            <w:fldChar w:fldCharType="separate"/>
          </w:r>
          <w:r>
            <w:rPr>
              <w:rFonts w:ascii="黑体" w:hAnsi="黑体" w:eastAsia="黑体"/>
            </w:rPr>
            <w:t>19</w:t>
          </w:r>
          <w:r>
            <w:rPr>
              <w:rFonts w:ascii="黑体" w:hAnsi="黑体" w:eastAsia="黑体"/>
            </w:rPr>
            <w:fldChar w:fldCharType="end"/>
          </w:r>
          <w:r>
            <w:rPr>
              <w:rFonts w:ascii="黑体" w:hAnsi="黑体" w:eastAsia="黑体"/>
            </w:rPr>
            <w:fldChar w:fldCharType="end"/>
          </w:r>
        </w:p>
        <w:p w14:paraId="1E6D2E9C">
          <w:pPr>
            <w:pStyle w:val="32"/>
            <w:tabs>
              <w:tab w:val="right" w:leader="dot" w:pos="8306"/>
            </w:tabs>
            <w:ind w:left="420"/>
            <w:rPr>
              <w:rFonts w:ascii="黑体" w:hAnsi="黑体" w:eastAsia="黑体"/>
            </w:rPr>
          </w:pPr>
          <w:r>
            <w:fldChar w:fldCharType="begin"/>
          </w:r>
          <w:r>
            <w:instrText xml:space="preserve"> HYPERLINK \l "_Toc12832" </w:instrText>
          </w:r>
          <w:r>
            <w:fldChar w:fldCharType="separate"/>
          </w:r>
          <w:r>
            <w:rPr>
              <w:rFonts w:hint="eastAsia" w:ascii="黑体" w:hAnsi="黑体" w:eastAsia="黑体"/>
            </w:rPr>
            <w:t>三、支出决算表</w:t>
          </w:r>
          <w:r>
            <w:rPr>
              <w:rFonts w:ascii="黑体" w:hAnsi="黑体" w:eastAsia="黑体"/>
            </w:rPr>
            <w:tab/>
          </w:r>
          <w:r>
            <w:rPr>
              <w:rFonts w:ascii="黑体" w:hAnsi="黑体" w:eastAsia="黑体"/>
            </w:rPr>
            <w:fldChar w:fldCharType="begin"/>
          </w:r>
          <w:r>
            <w:rPr>
              <w:rFonts w:ascii="黑体" w:hAnsi="黑体" w:eastAsia="黑体"/>
            </w:rPr>
            <w:instrText xml:space="preserve"> PAGEREF _Toc12832 \h </w:instrText>
          </w:r>
          <w:r>
            <w:rPr>
              <w:rFonts w:ascii="黑体" w:hAnsi="黑体" w:eastAsia="黑体"/>
            </w:rPr>
            <w:fldChar w:fldCharType="separate"/>
          </w:r>
          <w:r>
            <w:rPr>
              <w:rFonts w:ascii="黑体" w:hAnsi="黑体" w:eastAsia="黑体"/>
            </w:rPr>
            <w:t>19</w:t>
          </w:r>
          <w:r>
            <w:rPr>
              <w:rFonts w:ascii="黑体" w:hAnsi="黑体" w:eastAsia="黑体"/>
            </w:rPr>
            <w:fldChar w:fldCharType="end"/>
          </w:r>
          <w:r>
            <w:rPr>
              <w:rFonts w:ascii="黑体" w:hAnsi="黑体" w:eastAsia="黑体"/>
            </w:rPr>
            <w:fldChar w:fldCharType="end"/>
          </w:r>
        </w:p>
        <w:p w14:paraId="4C1A828B">
          <w:pPr>
            <w:pStyle w:val="32"/>
            <w:tabs>
              <w:tab w:val="right" w:leader="dot" w:pos="8306"/>
            </w:tabs>
            <w:ind w:left="420"/>
            <w:rPr>
              <w:rFonts w:ascii="黑体" w:hAnsi="黑体" w:eastAsia="黑体"/>
            </w:rPr>
          </w:pPr>
          <w:r>
            <w:fldChar w:fldCharType="begin"/>
          </w:r>
          <w:r>
            <w:instrText xml:space="preserve"> HYPERLINK \l "_Toc31457" </w:instrText>
          </w:r>
          <w:r>
            <w:fldChar w:fldCharType="separate"/>
          </w:r>
          <w:r>
            <w:rPr>
              <w:rFonts w:hint="eastAsia" w:ascii="黑体" w:hAnsi="黑体" w:eastAsia="黑体"/>
            </w:rPr>
            <w:t>四、财政拨款收入支出决算总表</w:t>
          </w:r>
          <w:r>
            <w:rPr>
              <w:rFonts w:ascii="黑体" w:hAnsi="黑体" w:eastAsia="黑体"/>
            </w:rPr>
            <w:tab/>
          </w:r>
          <w:r>
            <w:rPr>
              <w:rFonts w:ascii="黑体" w:hAnsi="黑体" w:eastAsia="黑体"/>
            </w:rPr>
            <w:fldChar w:fldCharType="begin"/>
          </w:r>
          <w:r>
            <w:rPr>
              <w:rFonts w:ascii="黑体" w:hAnsi="黑体" w:eastAsia="黑体"/>
            </w:rPr>
            <w:instrText xml:space="preserve"> PAGEREF _Toc31457 \h </w:instrText>
          </w:r>
          <w:r>
            <w:rPr>
              <w:rFonts w:ascii="黑体" w:hAnsi="黑体" w:eastAsia="黑体"/>
            </w:rPr>
            <w:fldChar w:fldCharType="separate"/>
          </w:r>
          <w:r>
            <w:rPr>
              <w:rFonts w:ascii="黑体" w:hAnsi="黑体" w:eastAsia="黑体"/>
            </w:rPr>
            <w:t>19</w:t>
          </w:r>
          <w:r>
            <w:rPr>
              <w:rFonts w:ascii="黑体" w:hAnsi="黑体" w:eastAsia="黑体"/>
            </w:rPr>
            <w:fldChar w:fldCharType="end"/>
          </w:r>
          <w:r>
            <w:rPr>
              <w:rFonts w:ascii="黑体" w:hAnsi="黑体" w:eastAsia="黑体"/>
            </w:rPr>
            <w:fldChar w:fldCharType="end"/>
          </w:r>
        </w:p>
        <w:p w14:paraId="71291D29">
          <w:pPr>
            <w:pStyle w:val="32"/>
            <w:tabs>
              <w:tab w:val="right" w:leader="dot" w:pos="8306"/>
            </w:tabs>
            <w:ind w:left="420"/>
            <w:rPr>
              <w:rFonts w:ascii="黑体" w:hAnsi="黑体" w:eastAsia="黑体"/>
            </w:rPr>
          </w:pPr>
          <w:r>
            <w:fldChar w:fldCharType="begin"/>
          </w:r>
          <w:r>
            <w:instrText xml:space="preserve"> HYPERLINK \l "_Toc3919" </w:instrText>
          </w:r>
          <w:r>
            <w:fldChar w:fldCharType="separate"/>
          </w:r>
          <w:r>
            <w:rPr>
              <w:rFonts w:hint="eastAsia" w:ascii="黑体" w:hAnsi="黑体" w:eastAsia="黑体"/>
            </w:rPr>
            <w:t>五、财政拨款支出决算明细表</w:t>
          </w:r>
          <w:r>
            <w:rPr>
              <w:rFonts w:ascii="黑体" w:hAnsi="黑体" w:eastAsia="黑体"/>
            </w:rPr>
            <w:tab/>
          </w:r>
          <w:r>
            <w:rPr>
              <w:rFonts w:ascii="黑体" w:hAnsi="黑体" w:eastAsia="黑体"/>
            </w:rPr>
            <w:fldChar w:fldCharType="begin"/>
          </w:r>
          <w:r>
            <w:rPr>
              <w:rFonts w:ascii="黑体" w:hAnsi="黑体" w:eastAsia="黑体"/>
            </w:rPr>
            <w:instrText xml:space="preserve"> PAGEREF _Toc3919 \h </w:instrText>
          </w:r>
          <w:r>
            <w:rPr>
              <w:rFonts w:ascii="黑体" w:hAnsi="黑体" w:eastAsia="黑体"/>
            </w:rPr>
            <w:fldChar w:fldCharType="separate"/>
          </w:r>
          <w:r>
            <w:rPr>
              <w:rFonts w:ascii="黑体" w:hAnsi="黑体" w:eastAsia="黑体"/>
            </w:rPr>
            <w:t>19</w:t>
          </w:r>
          <w:r>
            <w:rPr>
              <w:rFonts w:ascii="黑体" w:hAnsi="黑体" w:eastAsia="黑体"/>
            </w:rPr>
            <w:fldChar w:fldCharType="end"/>
          </w:r>
          <w:r>
            <w:rPr>
              <w:rFonts w:ascii="黑体" w:hAnsi="黑体" w:eastAsia="黑体"/>
            </w:rPr>
            <w:fldChar w:fldCharType="end"/>
          </w:r>
        </w:p>
        <w:p w14:paraId="56423D92">
          <w:pPr>
            <w:pStyle w:val="32"/>
            <w:tabs>
              <w:tab w:val="right" w:leader="dot" w:pos="8306"/>
            </w:tabs>
            <w:ind w:left="420"/>
            <w:rPr>
              <w:rFonts w:ascii="黑体" w:hAnsi="黑体" w:eastAsia="黑体"/>
            </w:rPr>
          </w:pPr>
          <w:r>
            <w:fldChar w:fldCharType="begin"/>
          </w:r>
          <w:r>
            <w:instrText xml:space="preserve"> HYPERLINK \l "_Toc23911" </w:instrText>
          </w:r>
          <w:r>
            <w:fldChar w:fldCharType="separate"/>
          </w:r>
          <w:r>
            <w:rPr>
              <w:rFonts w:hint="eastAsia" w:ascii="黑体" w:hAnsi="黑体" w:eastAsia="黑体"/>
            </w:rPr>
            <w:t>六、一般公共预算财政拨款支出决算表</w:t>
          </w:r>
          <w:r>
            <w:rPr>
              <w:rFonts w:ascii="黑体" w:hAnsi="黑体" w:eastAsia="黑体"/>
            </w:rPr>
            <w:tab/>
          </w:r>
          <w:r>
            <w:rPr>
              <w:rFonts w:ascii="黑体" w:hAnsi="黑体" w:eastAsia="黑体"/>
            </w:rPr>
            <w:fldChar w:fldCharType="begin"/>
          </w:r>
          <w:r>
            <w:rPr>
              <w:rFonts w:ascii="黑体" w:hAnsi="黑体" w:eastAsia="黑体"/>
            </w:rPr>
            <w:instrText xml:space="preserve"> PAGEREF _Toc23911 \h </w:instrText>
          </w:r>
          <w:r>
            <w:rPr>
              <w:rFonts w:ascii="黑体" w:hAnsi="黑体" w:eastAsia="黑体"/>
            </w:rPr>
            <w:fldChar w:fldCharType="separate"/>
          </w:r>
          <w:r>
            <w:rPr>
              <w:rFonts w:ascii="黑体" w:hAnsi="黑体" w:eastAsia="黑体"/>
            </w:rPr>
            <w:t>19</w:t>
          </w:r>
          <w:r>
            <w:rPr>
              <w:rFonts w:ascii="黑体" w:hAnsi="黑体" w:eastAsia="黑体"/>
            </w:rPr>
            <w:fldChar w:fldCharType="end"/>
          </w:r>
          <w:r>
            <w:rPr>
              <w:rFonts w:ascii="黑体" w:hAnsi="黑体" w:eastAsia="黑体"/>
            </w:rPr>
            <w:fldChar w:fldCharType="end"/>
          </w:r>
        </w:p>
        <w:p w14:paraId="6BCB8E5E">
          <w:pPr>
            <w:pStyle w:val="32"/>
            <w:tabs>
              <w:tab w:val="right" w:leader="dot" w:pos="8306"/>
            </w:tabs>
            <w:ind w:left="420"/>
            <w:rPr>
              <w:rFonts w:ascii="黑体" w:hAnsi="黑体" w:eastAsia="黑体"/>
            </w:rPr>
          </w:pPr>
          <w:r>
            <w:fldChar w:fldCharType="begin"/>
          </w:r>
          <w:r>
            <w:instrText xml:space="preserve"> HYPERLINK \l "_Toc2727" </w:instrText>
          </w:r>
          <w:r>
            <w:fldChar w:fldCharType="separate"/>
          </w:r>
          <w:r>
            <w:rPr>
              <w:rFonts w:hint="eastAsia" w:ascii="黑体" w:hAnsi="黑体" w:eastAsia="黑体"/>
            </w:rPr>
            <w:t>七、一般公共预算财政拨款支出决算明细表</w:t>
          </w:r>
          <w:r>
            <w:rPr>
              <w:rFonts w:ascii="黑体" w:hAnsi="黑体" w:eastAsia="黑体"/>
            </w:rPr>
            <w:tab/>
          </w:r>
          <w:r>
            <w:rPr>
              <w:rFonts w:ascii="黑体" w:hAnsi="黑体" w:eastAsia="黑体"/>
            </w:rPr>
            <w:fldChar w:fldCharType="begin"/>
          </w:r>
          <w:r>
            <w:rPr>
              <w:rFonts w:ascii="黑体" w:hAnsi="黑体" w:eastAsia="黑体"/>
            </w:rPr>
            <w:instrText xml:space="preserve"> PAGEREF _Toc2727 \h </w:instrText>
          </w:r>
          <w:r>
            <w:rPr>
              <w:rFonts w:ascii="黑体" w:hAnsi="黑体" w:eastAsia="黑体"/>
            </w:rPr>
            <w:fldChar w:fldCharType="separate"/>
          </w:r>
          <w:r>
            <w:rPr>
              <w:rFonts w:ascii="黑体" w:hAnsi="黑体" w:eastAsia="黑体"/>
            </w:rPr>
            <w:t>19</w:t>
          </w:r>
          <w:r>
            <w:rPr>
              <w:rFonts w:ascii="黑体" w:hAnsi="黑体" w:eastAsia="黑体"/>
            </w:rPr>
            <w:fldChar w:fldCharType="end"/>
          </w:r>
          <w:r>
            <w:rPr>
              <w:rFonts w:ascii="黑体" w:hAnsi="黑体" w:eastAsia="黑体"/>
            </w:rPr>
            <w:fldChar w:fldCharType="end"/>
          </w:r>
        </w:p>
        <w:p w14:paraId="6F424B67">
          <w:pPr>
            <w:pStyle w:val="32"/>
            <w:tabs>
              <w:tab w:val="right" w:leader="dot" w:pos="8306"/>
            </w:tabs>
            <w:ind w:left="420"/>
            <w:rPr>
              <w:rFonts w:ascii="黑体" w:hAnsi="黑体" w:eastAsia="黑体"/>
            </w:rPr>
          </w:pPr>
          <w:r>
            <w:fldChar w:fldCharType="begin"/>
          </w:r>
          <w:r>
            <w:instrText xml:space="preserve"> HYPERLINK \l "_Toc20286" </w:instrText>
          </w:r>
          <w:r>
            <w:fldChar w:fldCharType="separate"/>
          </w:r>
          <w:r>
            <w:rPr>
              <w:rFonts w:hint="eastAsia" w:ascii="黑体" w:hAnsi="黑体" w:eastAsia="黑体"/>
            </w:rPr>
            <w:t>八、一般公共预算财政拨款基本支出决算表</w:t>
          </w:r>
          <w:r>
            <w:rPr>
              <w:rFonts w:ascii="黑体" w:hAnsi="黑体" w:eastAsia="黑体"/>
            </w:rPr>
            <w:tab/>
          </w:r>
          <w:r>
            <w:rPr>
              <w:rFonts w:ascii="黑体" w:hAnsi="黑体" w:eastAsia="黑体"/>
            </w:rPr>
            <w:fldChar w:fldCharType="begin"/>
          </w:r>
          <w:r>
            <w:rPr>
              <w:rFonts w:ascii="黑体" w:hAnsi="黑体" w:eastAsia="黑体"/>
            </w:rPr>
            <w:instrText xml:space="preserve"> PAGEREF _Toc20286 \h </w:instrText>
          </w:r>
          <w:r>
            <w:rPr>
              <w:rFonts w:ascii="黑体" w:hAnsi="黑体" w:eastAsia="黑体"/>
            </w:rPr>
            <w:fldChar w:fldCharType="separate"/>
          </w:r>
          <w:r>
            <w:rPr>
              <w:rFonts w:ascii="黑体" w:hAnsi="黑体" w:eastAsia="黑体"/>
            </w:rPr>
            <w:t>19</w:t>
          </w:r>
          <w:r>
            <w:rPr>
              <w:rFonts w:ascii="黑体" w:hAnsi="黑体" w:eastAsia="黑体"/>
            </w:rPr>
            <w:fldChar w:fldCharType="end"/>
          </w:r>
          <w:r>
            <w:rPr>
              <w:rFonts w:ascii="黑体" w:hAnsi="黑体" w:eastAsia="黑体"/>
            </w:rPr>
            <w:fldChar w:fldCharType="end"/>
          </w:r>
        </w:p>
        <w:p w14:paraId="48544B8C">
          <w:pPr>
            <w:pStyle w:val="32"/>
            <w:tabs>
              <w:tab w:val="right" w:leader="dot" w:pos="8306"/>
            </w:tabs>
            <w:ind w:left="420"/>
            <w:rPr>
              <w:rFonts w:ascii="黑体" w:hAnsi="黑体" w:eastAsia="黑体"/>
            </w:rPr>
          </w:pPr>
          <w:r>
            <w:fldChar w:fldCharType="begin"/>
          </w:r>
          <w:r>
            <w:instrText xml:space="preserve"> HYPERLINK \l "_Toc9120" </w:instrText>
          </w:r>
          <w:r>
            <w:fldChar w:fldCharType="separate"/>
          </w:r>
          <w:r>
            <w:rPr>
              <w:rFonts w:hint="eastAsia" w:ascii="黑体" w:hAnsi="黑体" w:eastAsia="黑体"/>
            </w:rPr>
            <w:t>九、一般公共预算财政拨款项目支出决算表</w:t>
          </w:r>
          <w:r>
            <w:rPr>
              <w:rFonts w:ascii="黑体" w:hAnsi="黑体" w:eastAsia="黑体"/>
            </w:rPr>
            <w:tab/>
          </w:r>
          <w:r>
            <w:rPr>
              <w:rFonts w:ascii="黑体" w:hAnsi="黑体" w:eastAsia="黑体"/>
            </w:rPr>
            <w:fldChar w:fldCharType="begin"/>
          </w:r>
          <w:r>
            <w:rPr>
              <w:rFonts w:ascii="黑体" w:hAnsi="黑体" w:eastAsia="黑体"/>
            </w:rPr>
            <w:instrText xml:space="preserve"> PAGEREF _Toc9120 \h </w:instrText>
          </w:r>
          <w:r>
            <w:rPr>
              <w:rFonts w:ascii="黑体" w:hAnsi="黑体" w:eastAsia="黑体"/>
            </w:rPr>
            <w:fldChar w:fldCharType="separate"/>
          </w:r>
          <w:r>
            <w:rPr>
              <w:rFonts w:ascii="黑体" w:hAnsi="黑体" w:eastAsia="黑体"/>
            </w:rPr>
            <w:t>19</w:t>
          </w:r>
          <w:r>
            <w:rPr>
              <w:rFonts w:ascii="黑体" w:hAnsi="黑体" w:eastAsia="黑体"/>
            </w:rPr>
            <w:fldChar w:fldCharType="end"/>
          </w:r>
          <w:r>
            <w:rPr>
              <w:rFonts w:ascii="黑体" w:hAnsi="黑体" w:eastAsia="黑体"/>
            </w:rPr>
            <w:fldChar w:fldCharType="end"/>
          </w:r>
        </w:p>
        <w:p w14:paraId="0DFD5D06">
          <w:pPr>
            <w:pStyle w:val="32"/>
            <w:tabs>
              <w:tab w:val="right" w:leader="dot" w:pos="8306"/>
            </w:tabs>
            <w:ind w:left="420"/>
            <w:rPr>
              <w:rFonts w:ascii="黑体" w:hAnsi="黑体" w:eastAsia="黑体"/>
            </w:rPr>
          </w:pPr>
          <w:r>
            <w:fldChar w:fldCharType="begin"/>
          </w:r>
          <w:r>
            <w:instrText xml:space="preserve"> HYPERLINK \l "_Toc27251" </w:instrText>
          </w:r>
          <w:r>
            <w:fldChar w:fldCharType="separate"/>
          </w:r>
          <w:r>
            <w:rPr>
              <w:rFonts w:hint="eastAsia" w:ascii="黑体" w:hAnsi="黑体" w:eastAsia="黑体"/>
            </w:rPr>
            <w:t>十、一般公共预算财政拨款“三公”经费支出决算表</w:t>
          </w:r>
          <w:r>
            <w:rPr>
              <w:rFonts w:ascii="黑体" w:hAnsi="黑体" w:eastAsia="黑体"/>
            </w:rPr>
            <w:tab/>
          </w:r>
          <w:r>
            <w:rPr>
              <w:rFonts w:ascii="黑体" w:hAnsi="黑体" w:eastAsia="黑体"/>
            </w:rPr>
            <w:fldChar w:fldCharType="begin"/>
          </w:r>
          <w:r>
            <w:rPr>
              <w:rFonts w:ascii="黑体" w:hAnsi="黑体" w:eastAsia="黑体"/>
            </w:rPr>
            <w:instrText xml:space="preserve"> PAGEREF _Toc27251 \h </w:instrText>
          </w:r>
          <w:r>
            <w:rPr>
              <w:rFonts w:ascii="黑体" w:hAnsi="黑体" w:eastAsia="黑体"/>
            </w:rPr>
            <w:fldChar w:fldCharType="separate"/>
          </w:r>
          <w:r>
            <w:rPr>
              <w:rFonts w:ascii="黑体" w:hAnsi="黑体" w:eastAsia="黑体"/>
            </w:rPr>
            <w:t>19</w:t>
          </w:r>
          <w:r>
            <w:rPr>
              <w:rFonts w:ascii="黑体" w:hAnsi="黑体" w:eastAsia="黑体"/>
            </w:rPr>
            <w:fldChar w:fldCharType="end"/>
          </w:r>
          <w:r>
            <w:rPr>
              <w:rFonts w:ascii="黑体" w:hAnsi="黑体" w:eastAsia="黑体"/>
            </w:rPr>
            <w:fldChar w:fldCharType="end"/>
          </w:r>
        </w:p>
        <w:p w14:paraId="3182CF6B">
          <w:pPr>
            <w:pStyle w:val="32"/>
            <w:tabs>
              <w:tab w:val="right" w:leader="dot" w:pos="8306"/>
            </w:tabs>
            <w:ind w:left="420"/>
            <w:rPr>
              <w:rFonts w:ascii="黑体" w:hAnsi="黑体" w:eastAsia="黑体"/>
            </w:rPr>
          </w:pPr>
          <w:r>
            <w:fldChar w:fldCharType="begin"/>
          </w:r>
          <w:r>
            <w:instrText xml:space="preserve"> HYPERLINK \l "_Toc2754" </w:instrText>
          </w:r>
          <w:r>
            <w:fldChar w:fldCharType="separate"/>
          </w:r>
          <w:r>
            <w:rPr>
              <w:rFonts w:hint="eastAsia" w:ascii="黑体" w:hAnsi="黑体" w:eastAsia="黑体"/>
            </w:rPr>
            <w:t>十一、政府性基金预算财政拨款收入支出决算表</w:t>
          </w:r>
          <w:r>
            <w:rPr>
              <w:rFonts w:ascii="黑体" w:hAnsi="黑体" w:eastAsia="黑体"/>
            </w:rPr>
            <w:tab/>
          </w:r>
          <w:r>
            <w:rPr>
              <w:rFonts w:ascii="黑体" w:hAnsi="黑体" w:eastAsia="黑体"/>
            </w:rPr>
            <w:fldChar w:fldCharType="begin"/>
          </w:r>
          <w:r>
            <w:rPr>
              <w:rFonts w:ascii="黑体" w:hAnsi="黑体" w:eastAsia="黑体"/>
            </w:rPr>
            <w:instrText xml:space="preserve"> PAGEREF _Toc2754 \h </w:instrText>
          </w:r>
          <w:r>
            <w:rPr>
              <w:rFonts w:ascii="黑体" w:hAnsi="黑体" w:eastAsia="黑体"/>
            </w:rPr>
            <w:fldChar w:fldCharType="separate"/>
          </w:r>
          <w:r>
            <w:rPr>
              <w:rFonts w:ascii="黑体" w:hAnsi="黑体" w:eastAsia="黑体"/>
            </w:rPr>
            <w:t>19</w:t>
          </w:r>
          <w:r>
            <w:rPr>
              <w:rFonts w:ascii="黑体" w:hAnsi="黑体" w:eastAsia="黑体"/>
            </w:rPr>
            <w:fldChar w:fldCharType="end"/>
          </w:r>
          <w:r>
            <w:rPr>
              <w:rFonts w:ascii="黑体" w:hAnsi="黑体" w:eastAsia="黑体"/>
            </w:rPr>
            <w:fldChar w:fldCharType="end"/>
          </w:r>
        </w:p>
        <w:p w14:paraId="565E1A7C">
          <w:pPr>
            <w:pStyle w:val="32"/>
            <w:tabs>
              <w:tab w:val="right" w:leader="dot" w:pos="8306"/>
            </w:tabs>
            <w:ind w:left="420"/>
            <w:rPr>
              <w:rFonts w:ascii="黑体" w:hAnsi="黑体" w:eastAsia="黑体"/>
            </w:rPr>
          </w:pPr>
          <w:r>
            <w:fldChar w:fldCharType="begin"/>
          </w:r>
          <w:r>
            <w:instrText xml:space="preserve"> HYPERLINK \l "_Toc18801" </w:instrText>
          </w:r>
          <w:r>
            <w:fldChar w:fldCharType="separate"/>
          </w:r>
          <w:r>
            <w:rPr>
              <w:rFonts w:hint="eastAsia" w:ascii="黑体" w:hAnsi="黑体" w:eastAsia="黑体"/>
            </w:rPr>
            <w:t>十二、政府性基金预算财政拨款“三公”经费支出决算表</w:t>
          </w:r>
          <w:r>
            <w:rPr>
              <w:rFonts w:ascii="黑体" w:hAnsi="黑体" w:eastAsia="黑体"/>
            </w:rPr>
            <w:tab/>
          </w:r>
          <w:r>
            <w:rPr>
              <w:rFonts w:ascii="黑体" w:hAnsi="黑体" w:eastAsia="黑体"/>
            </w:rPr>
            <w:fldChar w:fldCharType="begin"/>
          </w:r>
          <w:r>
            <w:rPr>
              <w:rFonts w:ascii="黑体" w:hAnsi="黑体" w:eastAsia="黑体"/>
            </w:rPr>
            <w:instrText xml:space="preserve"> PAGEREF _Toc18801 \h </w:instrText>
          </w:r>
          <w:r>
            <w:rPr>
              <w:rFonts w:ascii="黑体" w:hAnsi="黑体" w:eastAsia="黑体"/>
            </w:rPr>
            <w:fldChar w:fldCharType="separate"/>
          </w:r>
          <w:r>
            <w:rPr>
              <w:rFonts w:ascii="黑体" w:hAnsi="黑体" w:eastAsia="黑体"/>
            </w:rPr>
            <w:t>19</w:t>
          </w:r>
          <w:r>
            <w:rPr>
              <w:rFonts w:ascii="黑体" w:hAnsi="黑体" w:eastAsia="黑体"/>
            </w:rPr>
            <w:fldChar w:fldCharType="end"/>
          </w:r>
          <w:r>
            <w:rPr>
              <w:rFonts w:ascii="黑体" w:hAnsi="黑体" w:eastAsia="黑体"/>
            </w:rPr>
            <w:fldChar w:fldCharType="end"/>
          </w:r>
        </w:p>
        <w:p w14:paraId="1A5B8E1C">
          <w:pPr>
            <w:pStyle w:val="32"/>
            <w:tabs>
              <w:tab w:val="right" w:leader="dot" w:pos="8306"/>
            </w:tabs>
            <w:ind w:left="420"/>
            <w:rPr>
              <w:rFonts w:ascii="黑体" w:hAnsi="黑体" w:eastAsia="黑体"/>
            </w:rPr>
          </w:pPr>
          <w:r>
            <w:fldChar w:fldCharType="begin"/>
          </w:r>
          <w:r>
            <w:instrText xml:space="preserve"> HYPERLINK \l "_Toc29887" </w:instrText>
          </w:r>
          <w:r>
            <w:fldChar w:fldCharType="separate"/>
          </w:r>
          <w:r>
            <w:rPr>
              <w:rFonts w:hint="eastAsia" w:ascii="黑体" w:hAnsi="黑体" w:eastAsia="黑体"/>
            </w:rPr>
            <w:t>十三、国有资本经营预算财政拨款收入支出决算表</w:t>
          </w:r>
          <w:r>
            <w:rPr>
              <w:rFonts w:ascii="黑体" w:hAnsi="黑体" w:eastAsia="黑体"/>
            </w:rPr>
            <w:tab/>
          </w:r>
          <w:r>
            <w:rPr>
              <w:rFonts w:ascii="黑体" w:hAnsi="黑体" w:eastAsia="黑体"/>
            </w:rPr>
            <w:fldChar w:fldCharType="begin"/>
          </w:r>
          <w:r>
            <w:rPr>
              <w:rFonts w:ascii="黑体" w:hAnsi="黑体" w:eastAsia="黑体"/>
            </w:rPr>
            <w:instrText xml:space="preserve"> PAGEREF _Toc29887 \h </w:instrText>
          </w:r>
          <w:r>
            <w:rPr>
              <w:rFonts w:ascii="黑体" w:hAnsi="黑体" w:eastAsia="黑体"/>
            </w:rPr>
            <w:fldChar w:fldCharType="separate"/>
          </w:r>
          <w:r>
            <w:rPr>
              <w:rFonts w:ascii="黑体" w:hAnsi="黑体" w:eastAsia="黑体"/>
            </w:rPr>
            <w:t>19</w:t>
          </w:r>
          <w:r>
            <w:rPr>
              <w:rFonts w:ascii="黑体" w:hAnsi="黑体" w:eastAsia="黑体"/>
            </w:rPr>
            <w:fldChar w:fldCharType="end"/>
          </w:r>
          <w:r>
            <w:rPr>
              <w:rFonts w:ascii="黑体" w:hAnsi="黑体" w:eastAsia="黑体"/>
            </w:rPr>
            <w:fldChar w:fldCharType="end"/>
          </w:r>
        </w:p>
        <w:p w14:paraId="022AF2E7">
          <w:pPr>
            <w:pStyle w:val="32"/>
            <w:tabs>
              <w:tab w:val="right" w:leader="dot" w:pos="8306"/>
            </w:tabs>
            <w:ind w:left="420"/>
            <w:rPr>
              <w:rFonts w:ascii="黑体" w:hAnsi="黑体" w:eastAsia="黑体"/>
            </w:rPr>
          </w:pPr>
          <w:r>
            <w:fldChar w:fldCharType="begin"/>
          </w:r>
          <w:r>
            <w:instrText xml:space="preserve"> HYPERLINK \l "_Toc10800" </w:instrText>
          </w:r>
          <w:r>
            <w:fldChar w:fldCharType="separate"/>
          </w:r>
          <w:r>
            <w:rPr>
              <w:rFonts w:hint="eastAsia" w:ascii="黑体" w:hAnsi="黑体" w:eastAsia="黑体"/>
            </w:rPr>
            <w:t>十四、国有资本经营预算财政拨款支出决算表</w:t>
          </w:r>
          <w:r>
            <w:rPr>
              <w:rFonts w:ascii="黑体" w:hAnsi="黑体" w:eastAsia="黑体"/>
            </w:rPr>
            <w:tab/>
          </w:r>
          <w:r>
            <w:rPr>
              <w:rFonts w:ascii="黑体" w:hAnsi="黑体" w:eastAsia="黑体"/>
            </w:rPr>
            <w:fldChar w:fldCharType="begin"/>
          </w:r>
          <w:r>
            <w:rPr>
              <w:rFonts w:ascii="黑体" w:hAnsi="黑体" w:eastAsia="黑体"/>
            </w:rPr>
            <w:instrText xml:space="preserve"> PAGEREF _Toc10800 \h </w:instrText>
          </w:r>
          <w:r>
            <w:rPr>
              <w:rFonts w:ascii="黑体" w:hAnsi="黑体" w:eastAsia="黑体"/>
            </w:rPr>
            <w:fldChar w:fldCharType="separate"/>
          </w:r>
          <w:r>
            <w:rPr>
              <w:rFonts w:ascii="黑体" w:hAnsi="黑体" w:eastAsia="黑体"/>
            </w:rPr>
            <w:t>19</w:t>
          </w:r>
          <w:r>
            <w:rPr>
              <w:rFonts w:ascii="黑体" w:hAnsi="黑体" w:eastAsia="黑体"/>
            </w:rPr>
            <w:fldChar w:fldCharType="end"/>
          </w:r>
          <w:r>
            <w:rPr>
              <w:rFonts w:ascii="黑体" w:hAnsi="黑体" w:eastAsia="黑体"/>
            </w:rPr>
            <w:fldChar w:fldCharType="end"/>
          </w:r>
        </w:p>
        <w:p w14:paraId="0420589C">
          <w:pPr>
            <w:pStyle w:val="11"/>
            <w:jc w:val="both"/>
          </w:pPr>
          <w:r>
            <w:rPr>
              <w:b/>
            </w:rPr>
            <w:fldChar w:fldCharType="end"/>
          </w:r>
        </w:p>
      </w:sdtContent>
    </w:sdt>
    <w:p w14:paraId="66D17D80"/>
    <w:p w14:paraId="468A8C64">
      <w:pPr>
        <w:pStyle w:val="3"/>
        <w:jc w:val="center"/>
        <w:rPr>
          <w:rStyle w:val="25"/>
          <w:rFonts w:ascii="黑体" w:hAnsi="黑体" w:eastAsia="黑体"/>
          <w:b/>
          <w:bCs w:val="0"/>
        </w:rPr>
      </w:pPr>
      <w:bookmarkStart w:id="14" w:name="_Toc15377196"/>
      <w:bookmarkStart w:id="15" w:name="_Toc15396599"/>
      <w:bookmarkStart w:id="16" w:name="_Toc31570"/>
      <w:r>
        <w:rPr>
          <w:rFonts w:hint="eastAsia" w:ascii="黑体" w:hAnsi="黑体" w:eastAsia="黑体"/>
          <w:b w:val="0"/>
        </w:rPr>
        <w:t>第一部分 单位</w:t>
      </w:r>
      <w:r>
        <w:rPr>
          <w:rStyle w:val="25"/>
          <w:rFonts w:hint="eastAsia" w:ascii="黑体" w:hAnsi="黑体" w:eastAsia="黑体"/>
          <w:b w:val="0"/>
          <w:bCs w:val="0"/>
        </w:rPr>
        <w:t>概况</w:t>
      </w:r>
      <w:bookmarkEnd w:id="14"/>
      <w:bookmarkEnd w:id="15"/>
      <w:bookmarkEnd w:id="16"/>
    </w:p>
    <w:p w14:paraId="69C23AB8">
      <w:pPr>
        <w:widowControl/>
        <w:jc w:val="left"/>
        <w:rPr>
          <w:rFonts w:ascii="黑体" w:eastAsia="黑体"/>
          <w:sz w:val="32"/>
          <w:szCs w:val="32"/>
        </w:rPr>
      </w:pPr>
    </w:p>
    <w:p w14:paraId="7077C6AB">
      <w:pPr>
        <w:pStyle w:val="4"/>
        <w:numPr>
          <w:ilvl w:val="0"/>
          <w:numId w:val="1"/>
        </w:numPr>
        <w:rPr>
          <w:rStyle w:val="26"/>
          <w:rFonts w:hint="eastAsia" w:ascii="黑体" w:hAnsi="黑体" w:eastAsia="黑体"/>
          <w:b w:val="0"/>
          <w:bCs w:val="0"/>
        </w:rPr>
      </w:pPr>
      <w:bookmarkStart w:id="17" w:name="_Toc15377197"/>
      <w:bookmarkStart w:id="18" w:name="_Toc15396600"/>
      <w:r>
        <w:rPr>
          <w:rStyle w:val="26"/>
          <w:rFonts w:hint="eastAsia" w:ascii="黑体" w:hAnsi="黑体" w:eastAsia="黑体"/>
          <w:b w:val="0"/>
          <w:bCs w:val="0"/>
        </w:rPr>
        <w:t>职能简介及2021年重点工作完成情况</w:t>
      </w:r>
    </w:p>
    <w:p w14:paraId="3C32E37E">
      <w:pPr>
        <w:rPr>
          <w:rFonts w:ascii="仿宋" w:hAnsi="仿宋" w:eastAsia="仿宋"/>
          <w:b/>
        </w:rPr>
      </w:pPr>
      <w:r>
        <w:rPr>
          <w:rFonts w:hint="eastAsia" w:ascii="仿宋" w:hAnsi="仿宋" w:eastAsia="仿宋"/>
          <w:b/>
          <w:sz w:val="32"/>
          <w:szCs w:val="32"/>
        </w:rPr>
        <w:t>（一）</w:t>
      </w:r>
      <w:r>
        <w:rPr>
          <w:rStyle w:val="26"/>
          <w:rFonts w:hint="eastAsia" w:ascii="仿宋" w:hAnsi="仿宋" w:eastAsia="仿宋"/>
        </w:rPr>
        <w:t>职能简介</w:t>
      </w:r>
    </w:p>
    <w:p w14:paraId="138FC30C">
      <w:pPr>
        <w:ind w:firstLine="640" w:firstLineChars="200"/>
        <w:rPr>
          <w:rFonts w:ascii="仿宋_GB2312" w:eastAsia="仿宋_GB2312"/>
          <w:sz w:val="32"/>
          <w:szCs w:val="32"/>
        </w:rPr>
      </w:pPr>
      <w:r>
        <w:rPr>
          <w:rFonts w:hint="eastAsia" w:ascii="仿宋_GB2312" w:eastAsia="仿宋_GB2312"/>
          <w:sz w:val="32"/>
          <w:szCs w:val="32"/>
        </w:rPr>
        <w:t>1.依法审理法律规定由基层人民法院管辖、中级人民法院指定管辖或者认为应当由本法院审理的刑事、民事、行政等一审案件。</w:t>
      </w:r>
    </w:p>
    <w:p w14:paraId="51EB30C5">
      <w:pPr>
        <w:ind w:firstLine="640" w:firstLineChars="200"/>
        <w:rPr>
          <w:rFonts w:ascii="仿宋_GB2312" w:eastAsia="仿宋_GB2312"/>
          <w:sz w:val="32"/>
          <w:szCs w:val="32"/>
        </w:rPr>
      </w:pPr>
      <w:r>
        <w:rPr>
          <w:rFonts w:hint="eastAsia" w:ascii="仿宋_GB2312" w:eastAsia="仿宋_GB2312"/>
          <w:sz w:val="32"/>
          <w:szCs w:val="32"/>
        </w:rPr>
        <w:t>2.依法审理中级人民法院指定再审的案件和市人民检察院抗诉的案件。受理当事人不服本院发生法律效力的判决、裁定并提起申诉的刑事、行政诉讼案件。</w:t>
      </w:r>
    </w:p>
    <w:p w14:paraId="0E38F3F1">
      <w:pPr>
        <w:ind w:firstLine="640" w:firstLineChars="200"/>
        <w:rPr>
          <w:rFonts w:ascii="仿宋_GB2312" w:eastAsia="仿宋_GB2312"/>
          <w:sz w:val="32"/>
          <w:szCs w:val="32"/>
        </w:rPr>
      </w:pPr>
      <w:r>
        <w:rPr>
          <w:rFonts w:hint="eastAsia" w:ascii="仿宋_GB2312" w:eastAsia="仿宋_GB2312"/>
          <w:sz w:val="32"/>
          <w:szCs w:val="32"/>
        </w:rPr>
        <w:t>3.依法行使执行权和司法决定权。</w:t>
      </w:r>
    </w:p>
    <w:p w14:paraId="643BB1BE">
      <w:pPr>
        <w:ind w:firstLine="640" w:firstLineChars="200"/>
        <w:rPr>
          <w:rFonts w:ascii="仿宋_GB2312" w:eastAsia="仿宋_GB2312"/>
          <w:sz w:val="32"/>
          <w:szCs w:val="32"/>
        </w:rPr>
      </w:pPr>
      <w:r>
        <w:rPr>
          <w:rFonts w:hint="eastAsia" w:ascii="仿宋_GB2312" w:eastAsia="仿宋_GB2312"/>
          <w:sz w:val="32"/>
          <w:szCs w:val="32"/>
        </w:rPr>
        <w:t>4.对法律规定、规章等草案提出意见，对案件审理中发现的问题提出司法建议。</w:t>
      </w:r>
    </w:p>
    <w:p w14:paraId="5650E694">
      <w:pPr>
        <w:ind w:firstLine="640" w:firstLineChars="200"/>
        <w:rPr>
          <w:rFonts w:ascii="仿宋_GB2312" w:eastAsia="仿宋_GB2312"/>
          <w:sz w:val="32"/>
          <w:szCs w:val="32"/>
        </w:rPr>
      </w:pPr>
      <w:r>
        <w:rPr>
          <w:rFonts w:hint="eastAsia" w:ascii="仿宋_GB2312" w:eastAsia="仿宋_GB2312"/>
          <w:sz w:val="32"/>
          <w:szCs w:val="32"/>
        </w:rPr>
        <w:t>5.指导基层法庭工作。</w:t>
      </w:r>
    </w:p>
    <w:p w14:paraId="3F58846D">
      <w:pPr>
        <w:ind w:firstLine="640" w:firstLineChars="200"/>
        <w:rPr>
          <w:rFonts w:ascii="仿宋_GB2312" w:eastAsia="仿宋_GB2312"/>
          <w:sz w:val="32"/>
          <w:szCs w:val="32"/>
        </w:rPr>
      </w:pPr>
      <w:r>
        <w:rPr>
          <w:rFonts w:hint="eastAsia" w:ascii="仿宋_GB2312" w:eastAsia="仿宋_GB2312"/>
          <w:sz w:val="32"/>
          <w:szCs w:val="32"/>
        </w:rPr>
        <w:t>6.负责全院的思想政治、教育培训工作和干部管理工作。</w:t>
      </w:r>
    </w:p>
    <w:p w14:paraId="3FC0310A">
      <w:pPr>
        <w:ind w:firstLine="640" w:firstLineChars="200"/>
        <w:rPr>
          <w:rFonts w:ascii="仿宋_GB2312" w:eastAsia="仿宋_GB2312"/>
          <w:sz w:val="32"/>
          <w:szCs w:val="32"/>
        </w:rPr>
      </w:pPr>
      <w:r>
        <w:rPr>
          <w:rFonts w:hint="eastAsia" w:ascii="仿宋_GB2312" w:eastAsia="仿宋_GB2312"/>
          <w:sz w:val="32"/>
          <w:szCs w:val="32"/>
        </w:rPr>
        <w:t>7.负责全院财务、专项投资的计划管理及分配。</w:t>
      </w:r>
    </w:p>
    <w:p w14:paraId="721D045C">
      <w:pPr>
        <w:ind w:firstLine="640" w:firstLineChars="200"/>
        <w:rPr>
          <w:rFonts w:ascii="仿宋_GB2312" w:eastAsia="仿宋_GB2312"/>
          <w:sz w:val="32"/>
          <w:szCs w:val="32"/>
        </w:rPr>
      </w:pPr>
      <w:r>
        <w:rPr>
          <w:rFonts w:hint="eastAsia" w:ascii="仿宋_GB2312" w:eastAsia="仿宋_GB2312"/>
          <w:sz w:val="32"/>
          <w:szCs w:val="32"/>
        </w:rPr>
        <w:t>8.负责全院的监察工作。</w:t>
      </w:r>
    </w:p>
    <w:p w14:paraId="34E285F7">
      <w:pPr>
        <w:ind w:firstLine="640" w:firstLineChars="200"/>
        <w:rPr>
          <w:rFonts w:ascii="仿宋_GB2312" w:eastAsia="仿宋_GB2312"/>
          <w:sz w:val="32"/>
          <w:szCs w:val="32"/>
        </w:rPr>
      </w:pPr>
      <w:r>
        <w:rPr>
          <w:rFonts w:hint="eastAsia" w:ascii="仿宋_GB2312" w:eastAsia="仿宋_GB2312"/>
          <w:sz w:val="32"/>
          <w:szCs w:val="32"/>
        </w:rPr>
        <w:t>9.管理人民法院司法警察工作。</w:t>
      </w:r>
    </w:p>
    <w:p w14:paraId="27816EF5">
      <w:pPr>
        <w:ind w:firstLine="640" w:firstLineChars="200"/>
        <w:rPr>
          <w:rFonts w:ascii="仿宋_GB2312" w:eastAsia="仿宋_GB2312"/>
          <w:sz w:val="32"/>
          <w:szCs w:val="32"/>
        </w:rPr>
      </w:pPr>
      <w:r>
        <w:rPr>
          <w:rFonts w:hint="eastAsia" w:ascii="仿宋_GB2312" w:eastAsia="仿宋_GB2312"/>
          <w:sz w:val="32"/>
          <w:szCs w:val="32"/>
        </w:rPr>
        <w:t>10.做好本院行政、后勤事业管理和服务工作。</w:t>
      </w:r>
    </w:p>
    <w:p w14:paraId="3F718E0C">
      <w:pPr>
        <w:ind w:firstLine="640" w:firstLineChars="200"/>
        <w:rPr>
          <w:rFonts w:ascii="仿宋_GB2312" w:eastAsia="仿宋_GB2312"/>
          <w:sz w:val="32"/>
          <w:szCs w:val="32"/>
        </w:rPr>
      </w:pPr>
      <w:r>
        <w:rPr>
          <w:rFonts w:hint="eastAsia" w:ascii="仿宋_GB2312" w:eastAsia="仿宋_GB2312"/>
          <w:sz w:val="32"/>
          <w:szCs w:val="32"/>
        </w:rPr>
        <w:t>11.宣传法制，教育公民忠于社会主义祖国，自觉遵守宪法、法律和社会公德。</w:t>
      </w:r>
    </w:p>
    <w:p w14:paraId="1F1832CB">
      <w:pPr>
        <w:ind w:firstLine="640" w:firstLineChars="200"/>
        <w:rPr>
          <w:rFonts w:ascii="仿宋_GB2312" w:eastAsia="仿宋_GB2312"/>
          <w:sz w:val="32"/>
          <w:szCs w:val="32"/>
        </w:rPr>
      </w:pPr>
      <w:r>
        <w:rPr>
          <w:rFonts w:hint="eastAsia" w:ascii="仿宋_GB2312" w:eastAsia="仿宋_GB2312"/>
          <w:sz w:val="32"/>
          <w:szCs w:val="32"/>
        </w:rPr>
        <w:t>12.积极参与社会治安综合治理。</w:t>
      </w:r>
    </w:p>
    <w:p w14:paraId="32362535">
      <w:pPr>
        <w:ind w:firstLine="640" w:firstLineChars="200"/>
        <w:rPr>
          <w:rFonts w:ascii="仿宋_GB2312" w:eastAsia="仿宋_GB2312"/>
          <w:sz w:val="32"/>
          <w:szCs w:val="32"/>
        </w:rPr>
      </w:pPr>
      <w:r>
        <w:rPr>
          <w:rFonts w:hint="eastAsia" w:ascii="仿宋_GB2312" w:eastAsia="仿宋_GB2312"/>
          <w:sz w:val="32"/>
          <w:szCs w:val="32"/>
        </w:rPr>
        <w:t>13.承办其它应由基层人民法院负责的工作。</w:t>
      </w:r>
    </w:p>
    <w:p w14:paraId="2D21A43B"/>
    <w:p w14:paraId="4D0EC97C">
      <w:pPr>
        <w:pStyle w:val="4"/>
        <w:rPr>
          <w:rFonts w:ascii="仿宋" w:hAnsi="仿宋" w:eastAsia="仿宋"/>
        </w:rPr>
      </w:pPr>
      <w:bookmarkStart w:id="19" w:name="_Toc32305"/>
      <w:r>
        <w:rPr>
          <w:rFonts w:hint="eastAsia" w:ascii="仿宋" w:hAnsi="仿宋" w:eastAsia="仿宋"/>
        </w:rPr>
        <w:t>（二）2021年重点工作</w:t>
      </w:r>
      <w:bookmarkEnd w:id="17"/>
      <w:bookmarkEnd w:id="18"/>
      <w:r>
        <w:rPr>
          <w:rFonts w:hint="eastAsia" w:ascii="仿宋" w:hAnsi="仿宋" w:eastAsia="仿宋"/>
        </w:rPr>
        <w:t>完成情况</w:t>
      </w:r>
      <w:bookmarkEnd w:id="19"/>
    </w:p>
    <w:p w14:paraId="1F04D0D4">
      <w:pPr>
        <w:ind w:firstLine="420" w:firstLineChars="200"/>
        <w:rPr>
          <w:rFonts w:ascii="仿宋_GB2312" w:eastAsia="仿宋_GB2312"/>
          <w:sz w:val="32"/>
          <w:szCs w:val="32"/>
        </w:rPr>
      </w:pPr>
      <w:r>
        <w:rPr>
          <w:rFonts w:hint="eastAsia" w:ascii="黑体" w:hAnsi="黑体" w:eastAsia="黑体"/>
        </w:rPr>
        <w:t xml:space="preserve">  </w:t>
      </w:r>
      <w:r>
        <w:rPr>
          <w:rFonts w:hint="eastAsia" w:ascii="仿宋_GB2312" w:eastAsia="仿宋_GB2312"/>
          <w:sz w:val="32"/>
          <w:szCs w:val="32"/>
        </w:rPr>
        <w:t>坚持以习近平新时代中国特色社会主义思想为指引，牢牢把握“司法为民、公正司法”工作主线，充分履职尽责，狠抓执法办案，继续推进司法改革，加快“智慧法院”建设步伐，努力回应群众对司法的新需求和新期待，为奋力实现脱贫攻坚与全面小康双重跨越，加快建设现代化产城一体城乡融合绿色发展的昭化新区提供坚强有力的司法服务和保障。</w:t>
      </w:r>
    </w:p>
    <w:p w14:paraId="656DEC3D">
      <w:pPr>
        <w:ind w:firstLine="640" w:firstLineChars="200"/>
        <w:rPr>
          <w:rFonts w:ascii="仿宋_GB2312" w:eastAsia="仿宋_GB2312"/>
          <w:sz w:val="32"/>
          <w:szCs w:val="32"/>
        </w:rPr>
      </w:pPr>
      <w:r>
        <w:rPr>
          <w:rFonts w:hint="eastAsia" w:ascii="仿宋_GB2312" w:eastAsia="仿宋_GB2312"/>
          <w:sz w:val="32"/>
          <w:szCs w:val="32"/>
        </w:rPr>
        <w:t>1.更加主动地服务社会发展大局。自觉把思想和行动统一到区委对形势的分析判断和决策部署上来，不断提高贯彻落实的自觉性和坚定性。紧密结合审判工作实际，通过依法公正高效审理和执行涉及绿色发展、脱贫攻坚、项目投资、产业发展等相关案件，切实推动区委决策部署落地见效。</w:t>
      </w:r>
    </w:p>
    <w:p w14:paraId="37375FFE">
      <w:pPr>
        <w:ind w:firstLine="640" w:firstLineChars="200"/>
        <w:rPr>
          <w:rFonts w:ascii="仿宋_GB2312" w:eastAsia="仿宋_GB2312"/>
          <w:sz w:val="32"/>
          <w:szCs w:val="32"/>
        </w:rPr>
      </w:pPr>
      <w:r>
        <w:rPr>
          <w:rFonts w:hint="eastAsia" w:ascii="仿宋_GB2312" w:eastAsia="仿宋_GB2312"/>
          <w:sz w:val="32"/>
          <w:szCs w:val="32"/>
        </w:rPr>
        <w:t>2.更加坚定地抓好审判执行案件质量。结合市法院“两个一流”考核办法和我院绩效考核办法，进一步开展案件研讨、法律问题研究，切实加强业务交流学习。充分发挥专业法官会议作用，为法官提供法律咨询，确保案件质量。加强审判管理，严格时限和督办管理，提升审判执行案件效率。</w:t>
      </w:r>
    </w:p>
    <w:p w14:paraId="67BDACAF">
      <w:pPr>
        <w:ind w:firstLine="640" w:firstLineChars="200"/>
        <w:rPr>
          <w:rFonts w:ascii="仿宋_GB2312" w:eastAsia="仿宋_GB2312"/>
          <w:sz w:val="32"/>
          <w:szCs w:val="32"/>
        </w:rPr>
      </w:pPr>
      <w:r>
        <w:rPr>
          <w:rFonts w:hint="eastAsia" w:ascii="仿宋_GB2312" w:eastAsia="仿宋_GB2312"/>
          <w:sz w:val="32"/>
          <w:szCs w:val="32"/>
        </w:rPr>
        <w:t>3.更加深入地推进司法改革工作。继续深化司法体制综合配套改革，确保改革政策落实到位、改革效果明显提升。及时研究解决审判团队运行、三类人员业绩考评等工作中出现的新情况新问题，健全完善更加科学合理的人员管理机制，确保司法改革各项政策精准落地，进一步巩固和完善司法体制改革成果。</w:t>
      </w:r>
    </w:p>
    <w:p w14:paraId="5D184692">
      <w:pPr>
        <w:ind w:firstLine="640" w:firstLineChars="200"/>
        <w:rPr>
          <w:rFonts w:hint="eastAsia" w:ascii="仿宋_GB2312" w:eastAsia="仿宋_GB2312"/>
          <w:sz w:val="32"/>
          <w:szCs w:val="32"/>
        </w:rPr>
      </w:pPr>
      <w:r>
        <w:rPr>
          <w:rFonts w:hint="eastAsia" w:ascii="仿宋_GB2312" w:eastAsia="仿宋_GB2312"/>
          <w:sz w:val="32"/>
          <w:szCs w:val="32"/>
        </w:rPr>
        <w:t>4.更加有效地落实司法为民。创新工作方法，积极回应社会关切，满足人民群众对司法的新需求。依法高效审理各类涉民生案件，加大涉民生案件执行力度，切实维护弱势群体合法权益。不断加快“智慧法院”建设，加大案件庭审直播力度，增加当事人和社会各界了解法院的渠道。</w:t>
      </w:r>
    </w:p>
    <w:p w14:paraId="177289F1">
      <w:pPr>
        <w:pStyle w:val="4"/>
        <w:rPr>
          <w:rStyle w:val="26"/>
          <w:b w:val="0"/>
          <w:bCs w:val="0"/>
        </w:rPr>
      </w:pPr>
      <w:bookmarkStart w:id="20" w:name="_Toc15377200"/>
      <w:bookmarkStart w:id="21" w:name="_Toc15396601"/>
      <w:r>
        <w:rPr>
          <w:rFonts w:hint="eastAsia" w:ascii="黑体" w:eastAsia="黑体"/>
          <w:b w:val="0"/>
          <w:color w:val="000000"/>
        </w:rPr>
        <w:t>二、</w:t>
      </w:r>
      <w:r>
        <w:rPr>
          <w:rFonts w:hint="eastAsia" w:ascii="黑体" w:hAnsi="黑体" w:eastAsia="黑体"/>
          <w:b w:val="0"/>
          <w:color w:val="000000"/>
        </w:rPr>
        <w:t>机</w:t>
      </w:r>
      <w:r>
        <w:rPr>
          <w:rStyle w:val="26"/>
          <w:rFonts w:hint="eastAsia" w:ascii="黑体" w:hAnsi="黑体" w:eastAsia="黑体"/>
          <w:b w:val="0"/>
          <w:bCs w:val="0"/>
        </w:rPr>
        <w:t>构设置</w:t>
      </w:r>
      <w:bookmarkEnd w:id="20"/>
      <w:bookmarkEnd w:id="21"/>
    </w:p>
    <w:p w14:paraId="4EDF8F63">
      <w:pPr>
        <w:ind w:firstLine="640" w:firstLineChars="200"/>
        <w:rPr>
          <w:rFonts w:hint="eastAsia" w:ascii="仿宋" w:hAnsi="仿宋" w:eastAsia="仿宋" w:cs="仿宋"/>
          <w:sz w:val="32"/>
          <w:szCs w:val="32"/>
        </w:rPr>
      </w:pPr>
      <w:r>
        <w:rPr>
          <w:rFonts w:hint="eastAsia" w:ascii="仿宋" w:hAnsi="仿宋" w:eastAsia="仿宋" w:cs="仿宋"/>
          <w:sz w:val="32"/>
          <w:szCs w:val="32"/>
        </w:rPr>
        <w:t>区法院下属部门13个，其中院机关部门十个，基层法庭三个，主要包括：政治处、机关党委、办公室、刑庭、民庭、行政庭、立案庭、审管办、执行局、司法警察大队、卫子法庭、昭化法庭、虎跳法庭。</w:t>
      </w:r>
    </w:p>
    <w:p w14:paraId="22F17EDF">
      <w:pPr>
        <w:pStyle w:val="6"/>
        <w:spacing w:before="93"/>
        <w:ind w:firstLine="640" w:firstLineChars="200"/>
        <w:rPr>
          <w:rFonts w:hint="eastAsia"/>
        </w:rPr>
      </w:pPr>
      <w:r>
        <w:rPr>
          <w:rFonts w:hint="eastAsia" w:ascii="仿宋" w:hAnsi="仿宋" w:eastAsia="仿宋" w:cs="仿宋"/>
          <w:sz w:val="32"/>
          <w:szCs w:val="32"/>
        </w:rPr>
        <w:t>无下属二级单位。</w:t>
      </w:r>
    </w:p>
    <w:p w14:paraId="5F9AF27E">
      <w:pPr>
        <w:pStyle w:val="2"/>
      </w:pPr>
    </w:p>
    <w:p w14:paraId="7166B19D">
      <w:pPr>
        <w:widowControl/>
        <w:jc w:val="left"/>
        <w:rPr>
          <w:rFonts w:ascii="仿宋" w:hAnsi="仿宋" w:eastAsia="仿宋"/>
          <w:kern w:val="0"/>
          <w:sz w:val="32"/>
          <w:szCs w:val="32"/>
        </w:rPr>
      </w:pPr>
      <w:r>
        <w:rPr>
          <w:rFonts w:ascii="仿宋" w:hAnsi="仿宋" w:eastAsia="仿宋"/>
          <w:sz w:val="32"/>
          <w:szCs w:val="32"/>
        </w:rPr>
        <w:br w:type="page"/>
      </w:r>
    </w:p>
    <w:p w14:paraId="5893D722">
      <w:pPr>
        <w:pStyle w:val="3"/>
        <w:ind w:right="440"/>
        <w:jc w:val="center"/>
        <w:rPr>
          <w:rStyle w:val="25"/>
          <w:rFonts w:ascii="黑体" w:hAnsi="黑体" w:eastAsia="黑体"/>
          <w:b w:val="0"/>
          <w:bCs/>
        </w:rPr>
      </w:pPr>
      <w:bookmarkStart w:id="22" w:name="_Toc15396602"/>
      <w:bookmarkStart w:id="23" w:name="_Toc15377204"/>
      <w:bookmarkStart w:id="24" w:name="_Toc7244"/>
      <w:r>
        <w:rPr>
          <w:rFonts w:hint="eastAsia" w:ascii="黑体" w:hAnsi="黑体" w:eastAsia="黑体"/>
          <w:b w:val="0"/>
        </w:rPr>
        <w:t>第二部分 2021年度</w:t>
      </w:r>
      <w:r>
        <w:rPr>
          <w:rStyle w:val="25"/>
          <w:rFonts w:hint="eastAsia" w:ascii="黑体" w:hAnsi="黑体" w:eastAsia="黑体"/>
          <w:b w:val="0"/>
          <w:bCs/>
        </w:rPr>
        <w:t>单位决算情况说明</w:t>
      </w:r>
      <w:bookmarkEnd w:id="22"/>
      <w:bookmarkEnd w:id="23"/>
      <w:bookmarkEnd w:id="24"/>
    </w:p>
    <w:p w14:paraId="707E8B14"/>
    <w:p w14:paraId="7490413F">
      <w:pPr>
        <w:pStyle w:val="24"/>
        <w:numPr>
          <w:ilvl w:val="0"/>
          <w:numId w:val="2"/>
        </w:numPr>
        <w:spacing w:line="600" w:lineRule="exact"/>
        <w:ind w:firstLineChars="0"/>
        <w:outlineLvl w:val="1"/>
        <w:rPr>
          <w:rStyle w:val="26"/>
          <w:rFonts w:ascii="黑体" w:hAnsi="黑体" w:eastAsia="黑体"/>
          <w:b w:val="0"/>
        </w:rPr>
      </w:pPr>
      <w:bookmarkStart w:id="25" w:name="_Toc15396603"/>
      <w:bookmarkStart w:id="26" w:name="_Toc32728"/>
      <w:bookmarkStart w:id="27" w:name="_Toc15377205"/>
      <w:r>
        <w:rPr>
          <w:rFonts w:hint="eastAsia" w:ascii="黑体" w:hAnsi="黑体" w:eastAsia="黑体"/>
          <w:sz w:val="32"/>
          <w:szCs w:val="32"/>
        </w:rPr>
        <w:t>收</w:t>
      </w:r>
      <w:r>
        <w:rPr>
          <w:rStyle w:val="26"/>
          <w:rFonts w:hint="eastAsia" w:ascii="黑体" w:hAnsi="黑体" w:eastAsia="黑体"/>
          <w:b w:val="0"/>
        </w:rPr>
        <w:t>入支出决算总体情况说明</w:t>
      </w:r>
      <w:bookmarkEnd w:id="25"/>
      <w:bookmarkEnd w:id="26"/>
      <w:bookmarkEnd w:id="27"/>
    </w:p>
    <w:p w14:paraId="503E8351">
      <w:pPr>
        <w:spacing w:line="600" w:lineRule="exact"/>
        <w:ind w:firstLine="640" w:firstLineChars="200"/>
        <w:rPr>
          <w:rFonts w:ascii="仿宋" w:hAnsi="仿宋" w:eastAsia="仿宋"/>
          <w:sz w:val="32"/>
          <w:szCs w:val="32"/>
        </w:rPr>
      </w:pPr>
      <w:r>
        <w:rPr>
          <w:rFonts w:hint="eastAsia" w:ascii="仿宋" w:hAnsi="仿宋" w:eastAsia="仿宋"/>
          <w:sz w:val="32"/>
          <w:szCs w:val="32"/>
        </w:rPr>
        <w:t>2021年度收、支总计1434.91万元。与2020年相比，收、支总计各增加</w:t>
      </w:r>
      <w:r>
        <w:rPr>
          <w:rFonts w:hint="eastAsia" w:ascii="仿宋" w:hAnsi="仿宋" w:eastAsia="仿宋"/>
          <w:color w:val="000000"/>
          <w:sz w:val="32"/>
          <w:szCs w:val="32"/>
        </w:rPr>
        <w:t>18.05</w:t>
      </w:r>
      <w:r>
        <w:rPr>
          <w:rFonts w:hint="eastAsia" w:ascii="仿宋" w:hAnsi="仿宋" w:eastAsia="仿宋"/>
          <w:sz w:val="32"/>
          <w:szCs w:val="32"/>
        </w:rPr>
        <w:t>万元，增长1.27</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color w:val="000000"/>
          <w:sz w:val="32"/>
          <w:szCs w:val="32"/>
        </w:rPr>
        <w:t>部分人员职务职级调整，工资产生调高。</w:t>
      </w:r>
    </w:p>
    <w:p w14:paraId="626ABB2B">
      <w:pPr>
        <w:pStyle w:val="2"/>
      </w:pPr>
    </w:p>
    <w:p w14:paraId="0ADF8EF9">
      <w:pPr>
        <w:pStyle w:val="2"/>
        <w:rPr>
          <w:rFonts w:ascii="仿宋_GB2312" w:eastAsia="仿宋_GB2312"/>
          <w:sz w:val="32"/>
          <w:szCs w:val="32"/>
        </w:rPr>
      </w:pPr>
      <w:r>
        <w:rPr>
          <w:rFonts w:hint="eastAsia" w:eastAsia="仿宋"/>
        </w:rPr>
        <w:object>
          <v:shape id="_x0000_i1025" o:spt="75" type="#_x0000_t75" style="height:358.1pt;width:454.55pt;" o:ole="t" filled="f" o:preferrelative="t" stroked="f" coordsize="21600,21600">
            <v:path/>
            <v:fill on="f" focussize="0,0"/>
            <v:stroke on="f" joinstyle="miter"/>
            <v:imagedata r:id="rId7" o:title=""/>
            <o:lock v:ext="edit" aspectratio="t"/>
            <w10:wrap type="none"/>
            <w10:anchorlock/>
          </v:shape>
          <o:OLEObject Type="Embed" ProgID="Excel.Chart.8" ShapeID="_x0000_i1025" DrawAspect="Content" ObjectID="_1468075725" r:id="rId6">
            <o:LockedField>false</o:LockedField>
          </o:OLEObject>
        </w:object>
      </w:r>
    </w:p>
    <w:p w14:paraId="09D8394B">
      <w:pPr>
        <w:pStyle w:val="24"/>
        <w:numPr>
          <w:ilvl w:val="0"/>
          <w:numId w:val="2"/>
        </w:numPr>
        <w:spacing w:line="600" w:lineRule="exact"/>
        <w:ind w:firstLineChars="0"/>
        <w:outlineLvl w:val="1"/>
        <w:rPr>
          <w:rStyle w:val="26"/>
          <w:rFonts w:ascii="黑体" w:hAnsi="黑体" w:eastAsia="黑体"/>
          <w:b w:val="0"/>
        </w:rPr>
      </w:pPr>
      <w:bookmarkStart w:id="28" w:name="_Toc15396604"/>
      <w:bookmarkStart w:id="29" w:name="_Toc15377206"/>
      <w:bookmarkStart w:id="30" w:name="_Toc23697"/>
      <w:r>
        <w:rPr>
          <w:rFonts w:hint="eastAsia" w:ascii="黑体" w:hAnsi="黑体" w:eastAsia="黑体"/>
          <w:sz w:val="32"/>
          <w:szCs w:val="32"/>
        </w:rPr>
        <w:t>收</w:t>
      </w:r>
      <w:r>
        <w:rPr>
          <w:rStyle w:val="26"/>
          <w:rFonts w:hint="eastAsia" w:ascii="黑体" w:hAnsi="黑体" w:eastAsia="黑体"/>
          <w:b w:val="0"/>
        </w:rPr>
        <w:t>入决算情况说明</w:t>
      </w:r>
      <w:bookmarkEnd w:id="28"/>
      <w:bookmarkEnd w:id="29"/>
      <w:bookmarkEnd w:id="30"/>
    </w:p>
    <w:p w14:paraId="3124AEA7">
      <w:pPr>
        <w:spacing w:line="600" w:lineRule="exact"/>
        <w:ind w:firstLine="640" w:firstLineChars="200"/>
        <w:outlineLvl w:val="1"/>
        <w:rPr>
          <w:rFonts w:ascii="仿宋" w:hAnsi="仿宋" w:eastAsia="仿宋"/>
          <w:sz w:val="32"/>
          <w:szCs w:val="32"/>
        </w:rPr>
      </w:pPr>
      <w:bookmarkStart w:id="31" w:name="_Toc11646"/>
      <w:r>
        <w:rPr>
          <w:rFonts w:ascii="仿宋" w:hAnsi="仿宋" w:eastAsia="仿宋"/>
          <w:sz w:val="32"/>
          <w:szCs w:val="32"/>
        </w:rPr>
        <w:t>20</w:t>
      </w:r>
      <w:r>
        <w:rPr>
          <w:rFonts w:hint="eastAsia" w:ascii="仿宋" w:hAnsi="仿宋" w:eastAsia="仿宋"/>
          <w:sz w:val="32"/>
          <w:szCs w:val="32"/>
        </w:rPr>
        <w:t>21年本年收入合计1434.91万元，其中：一般公共预算财政拨款收入1434.91万元，占100</w:t>
      </w:r>
      <w:r>
        <w:rPr>
          <w:rFonts w:ascii="仿宋" w:hAnsi="仿宋" w:eastAsia="仿宋"/>
          <w:sz w:val="32"/>
          <w:szCs w:val="32"/>
        </w:rPr>
        <w:t>%</w:t>
      </w:r>
      <w:r>
        <w:rPr>
          <w:rFonts w:hint="eastAsia" w:ascii="仿宋" w:hAnsi="仿宋" w:eastAsia="仿宋"/>
          <w:sz w:val="32"/>
          <w:szCs w:val="32"/>
        </w:rPr>
        <w:t>。</w:t>
      </w:r>
      <w:bookmarkEnd w:id="31"/>
    </w:p>
    <w:p w14:paraId="168A9DCF">
      <w:pPr>
        <w:spacing w:line="600" w:lineRule="exact"/>
        <w:ind w:firstLine="643" w:firstLineChars="200"/>
        <w:rPr>
          <w:rFonts w:ascii="仿宋" w:hAnsi="仿宋" w:eastAsia="仿宋"/>
          <w:b/>
          <w:sz w:val="32"/>
          <w:szCs w:val="32"/>
        </w:rPr>
      </w:pPr>
    </w:p>
    <w:p w14:paraId="1E08BD94">
      <w:pPr>
        <w:spacing w:line="600" w:lineRule="exact"/>
        <w:ind w:firstLine="640" w:firstLineChars="200"/>
        <w:rPr>
          <w:rFonts w:ascii="仿宋" w:hAnsi="仿宋" w:eastAsia="仿宋"/>
          <w:sz w:val="32"/>
          <w:szCs w:val="32"/>
        </w:rPr>
      </w:pPr>
    </w:p>
    <w:p w14:paraId="50723B9C">
      <w:pPr>
        <w:pStyle w:val="2"/>
        <w:jc w:val="center"/>
        <w:rPr>
          <w:rFonts w:eastAsia="仿宋"/>
        </w:rPr>
      </w:pPr>
      <w:r>
        <w:rPr>
          <w:rFonts w:hint="eastAsia" w:ascii="仿宋_GB2312" w:eastAsia="仿宋_GB2312"/>
          <w:sz w:val="32"/>
          <w:szCs w:val="32"/>
        </w:rPr>
        <w:t xml:space="preserve"> </w:t>
      </w:r>
      <w:r>
        <w:rPr>
          <w:rFonts w:ascii="仿宋_GB2312" w:eastAsia="仿宋_GB2312"/>
          <w:sz w:val="32"/>
          <w:szCs w:val="32"/>
        </w:rPr>
        <w:drawing>
          <wp:inline distT="0" distB="0" distL="114300" distR="114300">
            <wp:extent cx="4476750" cy="2324100"/>
            <wp:effectExtent l="4445" t="4445" r="14605" b="14605"/>
            <wp:docPr id="2" name="图表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299A516">
      <w:pPr>
        <w:spacing w:line="600" w:lineRule="exact"/>
        <w:ind w:firstLine="640" w:firstLineChars="200"/>
        <w:rPr>
          <w:rFonts w:ascii="仿宋_GB2312" w:eastAsia="仿宋_GB2312"/>
          <w:sz w:val="32"/>
          <w:szCs w:val="32"/>
        </w:rPr>
      </w:pPr>
    </w:p>
    <w:p w14:paraId="3F76C988">
      <w:pPr>
        <w:pStyle w:val="24"/>
        <w:numPr>
          <w:ilvl w:val="0"/>
          <w:numId w:val="2"/>
        </w:numPr>
        <w:spacing w:line="600" w:lineRule="exact"/>
        <w:ind w:firstLineChars="0"/>
        <w:outlineLvl w:val="1"/>
        <w:rPr>
          <w:rStyle w:val="26"/>
          <w:rFonts w:ascii="黑体" w:hAnsi="黑体" w:eastAsia="黑体"/>
          <w:b w:val="0"/>
        </w:rPr>
      </w:pPr>
      <w:bookmarkStart w:id="32" w:name="_Toc15396605"/>
      <w:bookmarkStart w:id="33" w:name="_Toc19936"/>
      <w:bookmarkStart w:id="34" w:name="_Toc15377207"/>
      <w:r>
        <w:rPr>
          <w:rFonts w:hint="eastAsia" w:ascii="黑体" w:hAnsi="黑体" w:eastAsia="黑体"/>
          <w:sz w:val="32"/>
          <w:szCs w:val="32"/>
        </w:rPr>
        <w:t>支</w:t>
      </w:r>
      <w:r>
        <w:rPr>
          <w:rStyle w:val="26"/>
          <w:rFonts w:hint="eastAsia" w:ascii="黑体" w:hAnsi="黑体" w:eastAsia="黑体"/>
          <w:b w:val="0"/>
        </w:rPr>
        <w:t>出决算情况说明</w:t>
      </w:r>
      <w:bookmarkEnd w:id="32"/>
      <w:bookmarkEnd w:id="33"/>
      <w:bookmarkEnd w:id="34"/>
    </w:p>
    <w:p w14:paraId="2E25A4A4">
      <w:pPr>
        <w:spacing w:line="600" w:lineRule="exact"/>
        <w:ind w:firstLine="640" w:firstLineChars="200"/>
        <w:outlineLvl w:val="1"/>
        <w:rPr>
          <w:rFonts w:ascii="仿宋" w:hAnsi="仿宋" w:eastAsia="仿宋"/>
          <w:sz w:val="32"/>
          <w:szCs w:val="32"/>
        </w:rPr>
      </w:pPr>
      <w:bookmarkStart w:id="35" w:name="_Toc6634"/>
      <w:r>
        <w:rPr>
          <w:rFonts w:ascii="仿宋" w:hAnsi="仿宋" w:eastAsia="仿宋"/>
          <w:sz w:val="32"/>
          <w:szCs w:val="32"/>
        </w:rPr>
        <w:t>20</w:t>
      </w:r>
      <w:r>
        <w:rPr>
          <w:rFonts w:hint="eastAsia" w:ascii="仿宋" w:hAnsi="仿宋" w:eastAsia="仿宋"/>
          <w:sz w:val="32"/>
          <w:szCs w:val="32"/>
        </w:rPr>
        <w:t>21年本年支出合计1434.91万元，其中：基本支出1148.91万元，占80</w:t>
      </w:r>
      <w:r>
        <w:rPr>
          <w:rFonts w:ascii="仿宋" w:hAnsi="仿宋" w:eastAsia="仿宋"/>
          <w:sz w:val="32"/>
          <w:szCs w:val="32"/>
        </w:rPr>
        <w:t>%</w:t>
      </w:r>
      <w:r>
        <w:rPr>
          <w:rFonts w:hint="eastAsia" w:ascii="仿宋" w:hAnsi="仿宋" w:eastAsia="仿宋"/>
          <w:sz w:val="32"/>
          <w:szCs w:val="32"/>
        </w:rPr>
        <w:t>；项目支出286万元，占20</w:t>
      </w:r>
      <w:r>
        <w:rPr>
          <w:rFonts w:ascii="仿宋" w:hAnsi="仿宋" w:eastAsia="仿宋"/>
          <w:sz w:val="32"/>
          <w:szCs w:val="32"/>
        </w:rPr>
        <w:t>%</w:t>
      </w:r>
      <w:r>
        <w:rPr>
          <w:rFonts w:hint="eastAsia" w:ascii="仿宋" w:hAnsi="仿宋" w:eastAsia="仿宋"/>
          <w:sz w:val="32"/>
          <w:szCs w:val="32"/>
        </w:rPr>
        <w:t>。</w:t>
      </w:r>
      <w:bookmarkEnd w:id="35"/>
    </w:p>
    <w:p w14:paraId="14B40157">
      <w:pPr>
        <w:spacing w:line="600" w:lineRule="exact"/>
        <w:ind w:firstLine="640"/>
        <w:rPr>
          <w:rFonts w:ascii="仿宋" w:hAnsi="仿宋" w:eastAsia="仿宋"/>
          <w:sz w:val="32"/>
          <w:szCs w:val="32"/>
          <w:shd w:val="pct10" w:color="auto" w:fill="FFFFFF"/>
        </w:rPr>
      </w:pPr>
    </w:p>
    <w:p w14:paraId="14AD213C">
      <w:pPr>
        <w:pStyle w:val="2"/>
      </w:pPr>
      <w:r>
        <w:rPr>
          <w:rFonts w:hint="eastAsia" w:ascii="仿宋_GB2312" w:eastAsia="仿宋_GB2312"/>
          <w:sz w:val="32"/>
          <w:szCs w:val="32"/>
        </w:rPr>
        <w:t xml:space="preserve">   </w:t>
      </w:r>
      <w:r>
        <w:rPr>
          <w:rFonts w:ascii="仿宋_GB2312" w:eastAsia="仿宋_GB2312"/>
          <w:sz w:val="32"/>
          <w:szCs w:val="32"/>
        </w:rPr>
        <w:drawing>
          <wp:inline distT="0" distB="0" distL="114300" distR="114300">
            <wp:extent cx="4572000" cy="2743200"/>
            <wp:effectExtent l="4445" t="4445" r="14605" b="14605"/>
            <wp:docPr id="3" name="图表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D021387">
      <w:pPr>
        <w:spacing w:line="600" w:lineRule="exact"/>
        <w:ind w:firstLine="640" w:firstLineChars="200"/>
        <w:rPr>
          <w:rFonts w:ascii="仿宋_GB2312" w:eastAsia="仿宋_GB2312"/>
          <w:sz w:val="32"/>
          <w:szCs w:val="32"/>
        </w:rPr>
      </w:pPr>
    </w:p>
    <w:p w14:paraId="365BF74D">
      <w:pPr>
        <w:spacing w:line="600" w:lineRule="exact"/>
        <w:ind w:firstLine="640" w:firstLineChars="200"/>
        <w:rPr>
          <w:rFonts w:ascii="黑体" w:hAnsi="黑体" w:eastAsia="黑体"/>
          <w:sz w:val="32"/>
          <w:szCs w:val="32"/>
        </w:rPr>
      </w:pPr>
      <w:bookmarkStart w:id="36" w:name="_Toc15396606"/>
      <w:bookmarkStart w:id="37" w:name="_Toc15377208"/>
    </w:p>
    <w:p w14:paraId="33BF7870">
      <w:pPr>
        <w:spacing w:line="600" w:lineRule="exact"/>
        <w:ind w:firstLine="640" w:firstLineChars="200"/>
        <w:outlineLvl w:val="1"/>
        <w:rPr>
          <w:rStyle w:val="26"/>
          <w:rFonts w:ascii="黑体" w:hAnsi="黑体" w:eastAsia="黑体"/>
          <w:b w:val="0"/>
        </w:rPr>
      </w:pPr>
      <w:bookmarkStart w:id="38" w:name="_Toc14886"/>
      <w:r>
        <w:rPr>
          <w:rFonts w:hint="eastAsia" w:ascii="黑体" w:hAnsi="黑体" w:eastAsia="黑体"/>
          <w:sz w:val="32"/>
          <w:szCs w:val="32"/>
        </w:rPr>
        <w:t>四、财</w:t>
      </w:r>
      <w:r>
        <w:rPr>
          <w:rStyle w:val="26"/>
          <w:rFonts w:hint="eastAsia" w:ascii="黑体" w:hAnsi="黑体" w:eastAsia="黑体"/>
          <w:b w:val="0"/>
        </w:rPr>
        <w:t>政拨款收入支出决算总体情况说明</w:t>
      </w:r>
      <w:bookmarkEnd w:id="36"/>
      <w:bookmarkEnd w:id="37"/>
      <w:bookmarkEnd w:id="38"/>
    </w:p>
    <w:p w14:paraId="02A96F5D">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21年财政拨款收、支总计1434.91万元。与</w:t>
      </w:r>
      <w:r>
        <w:rPr>
          <w:rFonts w:ascii="仿宋" w:hAnsi="仿宋" w:eastAsia="仿宋"/>
          <w:sz w:val="32"/>
          <w:szCs w:val="32"/>
        </w:rPr>
        <w:t>20</w:t>
      </w:r>
      <w:r>
        <w:rPr>
          <w:rFonts w:hint="eastAsia" w:ascii="仿宋" w:hAnsi="仿宋" w:eastAsia="仿宋"/>
          <w:sz w:val="32"/>
          <w:szCs w:val="32"/>
        </w:rPr>
        <w:t>20年相比，财政拨款收、支总计各增加</w:t>
      </w:r>
      <w:r>
        <w:rPr>
          <w:rFonts w:hint="eastAsia" w:ascii="仿宋" w:hAnsi="仿宋" w:eastAsia="仿宋"/>
          <w:color w:val="000000"/>
          <w:sz w:val="32"/>
          <w:szCs w:val="32"/>
        </w:rPr>
        <w:t>18.05</w:t>
      </w:r>
      <w:r>
        <w:rPr>
          <w:rFonts w:hint="eastAsia" w:ascii="仿宋" w:hAnsi="仿宋" w:eastAsia="仿宋"/>
          <w:sz w:val="32"/>
          <w:szCs w:val="32"/>
        </w:rPr>
        <w:t>万元，增长1.27</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color w:val="000000"/>
          <w:sz w:val="32"/>
          <w:szCs w:val="32"/>
        </w:rPr>
        <w:t>部分人员职务职级调整，工资产生调高。</w:t>
      </w:r>
    </w:p>
    <w:p w14:paraId="26565A5E">
      <w:pPr>
        <w:spacing w:line="600" w:lineRule="exact"/>
        <w:rPr>
          <w:rFonts w:ascii="仿宋" w:hAnsi="仿宋" w:eastAsia="仿宋"/>
          <w:sz w:val="32"/>
          <w:szCs w:val="32"/>
        </w:rPr>
      </w:pPr>
    </w:p>
    <w:p w14:paraId="28BA50FC">
      <w:pPr>
        <w:pStyle w:val="2"/>
        <w:rPr>
          <w:rFonts w:ascii="仿宋" w:hAnsi="仿宋" w:eastAsia="仿宋"/>
          <w:b/>
          <w:sz w:val="32"/>
          <w:szCs w:val="32"/>
        </w:rPr>
      </w:pPr>
      <w:r>
        <w:rPr>
          <w:rFonts w:hint="eastAsia" w:eastAsia="仿宋"/>
        </w:rPr>
        <w:object>
          <v:shape id="_x0000_i1026" o:spt="75" type="#_x0000_t75" style="height:328.7pt;width:417.6pt;" o:ole="t" filled="f" o:preferrelative="t" stroked="f" coordsize="21600,21600">
            <v:path/>
            <v:fill on="f" focussize="0,0"/>
            <v:stroke on="f" joinstyle="miter"/>
            <v:imagedata r:id="rId7" o:title=""/>
            <o:lock v:ext="edit" aspectratio="t"/>
            <w10:wrap type="none"/>
            <w10:anchorlock/>
          </v:shape>
          <o:OLEObject Type="Embed" ProgID="Excel.Chart.8" ShapeID="_x0000_i1026" DrawAspect="Content" ObjectID="_1468075726" r:id="rId10">
            <o:LockedField>false</o:LockedField>
          </o:OLEObject>
        </w:object>
      </w:r>
    </w:p>
    <w:p w14:paraId="46CC9AA8">
      <w:pPr>
        <w:spacing w:line="600" w:lineRule="exact"/>
        <w:ind w:firstLine="640" w:firstLineChars="200"/>
        <w:outlineLvl w:val="1"/>
        <w:rPr>
          <w:rStyle w:val="26"/>
          <w:rFonts w:ascii="黑体" w:hAnsi="黑体" w:eastAsia="黑体"/>
          <w:b w:val="0"/>
        </w:rPr>
      </w:pPr>
      <w:bookmarkStart w:id="39" w:name="_Toc26775"/>
      <w:bookmarkStart w:id="40" w:name="_Toc15377209"/>
      <w:bookmarkStart w:id="41" w:name="_Toc15396607"/>
      <w:r>
        <w:rPr>
          <w:rFonts w:hint="eastAsia" w:ascii="黑体" w:hAnsi="黑体" w:eastAsia="黑体"/>
          <w:sz w:val="32"/>
          <w:szCs w:val="32"/>
        </w:rPr>
        <w:t>五、</w:t>
      </w:r>
      <w:r>
        <w:rPr>
          <w:rFonts w:hint="eastAsia" w:ascii="黑体" w:hAnsi="黑体" w:eastAsia="黑体"/>
          <w:b/>
          <w:sz w:val="32"/>
          <w:szCs w:val="32"/>
        </w:rPr>
        <w:t>一</w:t>
      </w:r>
      <w:r>
        <w:rPr>
          <w:rStyle w:val="26"/>
          <w:rFonts w:hint="eastAsia" w:ascii="黑体" w:hAnsi="黑体" w:eastAsia="黑体"/>
          <w:b w:val="0"/>
        </w:rPr>
        <w:t>般公共预算财政拨款支出决算情况说明</w:t>
      </w:r>
      <w:bookmarkEnd w:id="39"/>
      <w:bookmarkEnd w:id="40"/>
      <w:bookmarkEnd w:id="41"/>
    </w:p>
    <w:p w14:paraId="3767331A">
      <w:pPr>
        <w:spacing w:line="600" w:lineRule="exact"/>
        <w:ind w:firstLine="643" w:firstLineChars="200"/>
        <w:outlineLvl w:val="2"/>
        <w:rPr>
          <w:rFonts w:ascii="仿宋" w:hAnsi="仿宋" w:eastAsia="仿宋"/>
          <w:b/>
          <w:sz w:val="32"/>
          <w:szCs w:val="32"/>
        </w:rPr>
      </w:pPr>
      <w:bookmarkStart w:id="42" w:name="_Toc15377210"/>
      <w:r>
        <w:rPr>
          <w:rFonts w:hint="eastAsia" w:ascii="仿宋" w:hAnsi="仿宋" w:eastAsia="仿宋"/>
          <w:b/>
          <w:sz w:val="32"/>
          <w:szCs w:val="32"/>
        </w:rPr>
        <w:t>（一）一般公共预算财政拨款支出决算总体情况</w:t>
      </w:r>
      <w:bookmarkEnd w:id="42"/>
    </w:p>
    <w:p w14:paraId="2D29562A">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21年一般公共预算财政拨款支出1434.91万元，占本年支出合计的100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20年相比，一般公共预算财政拨款支出增加</w:t>
      </w:r>
      <w:r>
        <w:rPr>
          <w:rFonts w:hint="eastAsia" w:ascii="仿宋" w:hAnsi="仿宋" w:eastAsia="仿宋"/>
          <w:color w:val="000000"/>
          <w:sz w:val="32"/>
          <w:szCs w:val="32"/>
        </w:rPr>
        <w:t>18.05</w:t>
      </w:r>
      <w:r>
        <w:rPr>
          <w:rFonts w:hint="eastAsia" w:ascii="仿宋" w:hAnsi="仿宋" w:eastAsia="仿宋"/>
          <w:sz w:val="32"/>
          <w:szCs w:val="32"/>
        </w:rPr>
        <w:t>万元，增长1.27</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color w:val="000000"/>
          <w:sz w:val="32"/>
          <w:szCs w:val="32"/>
        </w:rPr>
        <w:t>部分人员职务职级调整，工资产生调高。</w:t>
      </w:r>
    </w:p>
    <w:p w14:paraId="34D382F9">
      <w:pPr>
        <w:spacing w:line="600" w:lineRule="exact"/>
        <w:ind w:firstLine="640" w:firstLineChars="200"/>
        <w:rPr>
          <w:rFonts w:ascii="仿宋" w:hAnsi="仿宋" w:eastAsia="仿宋"/>
          <w:sz w:val="32"/>
          <w:szCs w:val="32"/>
        </w:rPr>
      </w:pPr>
    </w:p>
    <w:p w14:paraId="6DF8E88B">
      <w:pPr>
        <w:pStyle w:val="2"/>
      </w:pPr>
      <w:r>
        <w:rPr>
          <w:rFonts w:hint="eastAsia" w:eastAsia="仿宋"/>
        </w:rPr>
        <w:object>
          <v:shape id="_x0000_i1027" o:spt="75" type="#_x0000_t75" style="height:353.1pt;width:448.3pt;" o:ole="t" filled="f" o:preferrelative="t" stroked="f" coordsize="21600,21600">
            <v:path/>
            <v:fill on="f" focussize="0,0"/>
            <v:stroke on="f" joinstyle="miter"/>
            <v:imagedata r:id="rId12" o:title=""/>
            <o:lock v:ext="edit" aspectratio="t"/>
            <w10:wrap type="none"/>
            <w10:anchorlock/>
          </v:shape>
          <o:OLEObject Type="Embed" ProgID="Excel.Chart.8" ShapeID="_x0000_i1027" DrawAspect="Content" ObjectID="_1468075727" r:id="rId11">
            <o:LockedField>false</o:LockedField>
          </o:OLEObject>
        </w:object>
      </w:r>
    </w:p>
    <w:p w14:paraId="712CF2BE">
      <w:pPr>
        <w:spacing w:line="600" w:lineRule="exact"/>
        <w:ind w:firstLine="640" w:firstLineChars="200"/>
        <w:rPr>
          <w:rFonts w:ascii="仿宋" w:hAnsi="仿宋" w:eastAsia="仿宋"/>
          <w:sz w:val="32"/>
          <w:szCs w:val="32"/>
        </w:rPr>
      </w:pPr>
    </w:p>
    <w:p w14:paraId="3DB1157E">
      <w:pPr>
        <w:spacing w:line="600" w:lineRule="exact"/>
        <w:ind w:firstLine="643" w:firstLineChars="200"/>
        <w:outlineLvl w:val="2"/>
        <w:rPr>
          <w:rFonts w:ascii="仿宋" w:hAnsi="仿宋" w:eastAsia="仿宋"/>
          <w:b/>
          <w:sz w:val="32"/>
          <w:szCs w:val="32"/>
        </w:rPr>
      </w:pPr>
      <w:bookmarkStart w:id="43" w:name="_Toc15377211"/>
      <w:r>
        <w:rPr>
          <w:rFonts w:hint="eastAsia" w:ascii="仿宋" w:hAnsi="仿宋" w:eastAsia="仿宋"/>
          <w:b/>
          <w:sz w:val="32"/>
          <w:szCs w:val="32"/>
        </w:rPr>
        <w:t>（二）一般公共预算财政拨款支出决算结构情况</w:t>
      </w:r>
      <w:bookmarkEnd w:id="43"/>
    </w:p>
    <w:p w14:paraId="5FF44D11">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21年一般公共预算财政拨款支出1434.91万元，主要用于以下方面</w:t>
      </w:r>
      <w:r>
        <w:rPr>
          <w:rFonts w:ascii="仿宋" w:hAnsi="仿宋" w:eastAsia="仿宋"/>
          <w:sz w:val="32"/>
          <w:szCs w:val="32"/>
        </w:rPr>
        <w:t>:</w:t>
      </w:r>
      <w:r>
        <w:rPr>
          <w:rFonts w:hint="eastAsia" w:ascii="仿宋" w:hAnsi="仿宋" w:eastAsia="仿宋"/>
          <w:b/>
          <w:sz w:val="32"/>
          <w:szCs w:val="32"/>
        </w:rPr>
        <w:t>公共安全（类）</w:t>
      </w:r>
      <w:r>
        <w:rPr>
          <w:rFonts w:hint="eastAsia" w:ascii="仿宋" w:hAnsi="仿宋" w:eastAsia="仿宋"/>
          <w:sz w:val="32"/>
          <w:szCs w:val="32"/>
        </w:rPr>
        <w:t>支出1235.15万元，占86.08</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社会保障和就业（类）</w:t>
      </w:r>
      <w:r>
        <w:rPr>
          <w:rFonts w:hint="eastAsia" w:ascii="仿宋" w:hAnsi="仿宋" w:eastAsia="仿宋"/>
          <w:sz w:val="32"/>
          <w:szCs w:val="32"/>
        </w:rPr>
        <w:t>支出81.31万元，占5.67</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w:t>
      </w:r>
      <w:r>
        <w:rPr>
          <w:rFonts w:hint="eastAsia" w:ascii="仿宋" w:hAnsi="仿宋" w:eastAsia="仿宋"/>
          <w:b/>
          <w:sz w:val="32"/>
          <w:szCs w:val="32"/>
        </w:rPr>
        <w:t>（类）</w:t>
      </w:r>
      <w:r>
        <w:rPr>
          <w:rFonts w:hint="eastAsia" w:ascii="仿宋" w:hAnsi="仿宋" w:eastAsia="仿宋"/>
          <w:b/>
          <w:bCs/>
          <w:sz w:val="32"/>
          <w:szCs w:val="32"/>
        </w:rPr>
        <w:t>支出</w:t>
      </w:r>
      <w:r>
        <w:rPr>
          <w:rFonts w:hint="eastAsia" w:ascii="仿宋" w:hAnsi="仿宋" w:eastAsia="仿宋"/>
          <w:sz w:val="32"/>
          <w:szCs w:val="32"/>
        </w:rPr>
        <w:t>39.29万元，占2.74</w:t>
      </w:r>
      <w:r>
        <w:rPr>
          <w:rFonts w:ascii="仿宋" w:hAnsi="仿宋" w:eastAsia="仿宋"/>
          <w:sz w:val="32"/>
          <w:szCs w:val="32"/>
        </w:rPr>
        <w:t>%</w:t>
      </w:r>
      <w:r>
        <w:rPr>
          <w:rFonts w:hint="eastAsia" w:ascii="仿宋" w:hAnsi="仿宋" w:eastAsia="仿宋"/>
          <w:sz w:val="32"/>
          <w:szCs w:val="32"/>
        </w:rPr>
        <w:t>；住房保障</w:t>
      </w:r>
      <w:r>
        <w:rPr>
          <w:rFonts w:hint="eastAsia" w:ascii="仿宋" w:hAnsi="仿宋" w:eastAsia="仿宋"/>
          <w:b/>
          <w:sz w:val="32"/>
          <w:szCs w:val="32"/>
        </w:rPr>
        <w:t>（类）</w:t>
      </w:r>
      <w:r>
        <w:rPr>
          <w:rFonts w:hint="eastAsia" w:ascii="仿宋" w:hAnsi="仿宋" w:eastAsia="仿宋"/>
          <w:sz w:val="32"/>
          <w:szCs w:val="32"/>
        </w:rPr>
        <w:t>支出79.17万元，占5.51</w:t>
      </w:r>
      <w:r>
        <w:rPr>
          <w:rFonts w:ascii="仿宋" w:hAnsi="仿宋" w:eastAsia="仿宋"/>
          <w:sz w:val="32"/>
          <w:szCs w:val="32"/>
        </w:rPr>
        <w:t>%</w:t>
      </w:r>
      <w:r>
        <w:rPr>
          <w:rFonts w:hint="eastAsia" w:ascii="仿宋" w:hAnsi="仿宋" w:eastAsia="仿宋"/>
          <w:sz w:val="32"/>
          <w:szCs w:val="32"/>
        </w:rPr>
        <w:t>。</w:t>
      </w:r>
    </w:p>
    <w:p w14:paraId="1D472D6B">
      <w:pPr>
        <w:spacing w:line="600" w:lineRule="exact"/>
        <w:ind w:firstLine="640"/>
        <w:rPr>
          <w:rFonts w:ascii="仿宋" w:hAnsi="仿宋" w:eastAsia="仿宋"/>
          <w:sz w:val="32"/>
          <w:szCs w:val="32"/>
        </w:rPr>
      </w:pPr>
    </w:p>
    <w:p w14:paraId="2A0F69A8">
      <w:pPr>
        <w:pStyle w:val="2"/>
      </w:pPr>
      <w:r>
        <w:rPr>
          <w:rFonts w:hint="eastAsia" w:ascii="仿宋" w:hAnsi="仿宋" w:eastAsia="仿宋"/>
          <w:color w:val="000000"/>
          <w:sz w:val="32"/>
          <w:szCs w:val="32"/>
        </w:rPr>
        <w:drawing>
          <wp:inline distT="0" distB="0" distL="114300" distR="114300">
            <wp:extent cx="5619750" cy="3962400"/>
            <wp:effectExtent l="4445" t="4445" r="14605" b="14605"/>
            <wp:docPr id="4" name="图表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77C8CAF">
      <w:pPr>
        <w:spacing w:line="600" w:lineRule="exact"/>
        <w:ind w:firstLine="640" w:firstLineChars="200"/>
        <w:rPr>
          <w:rFonts w:ascii="仿宋" w:hAnsi="仿宋" w:eastAsia="仿宋"/>
          <w:sz w:val="32"/>
          <w:szCs w:val="32"/>
        </w:rPr>
      </w:pPr>
    </w:p>
    <w:p w14:paraId="7718C5EB">
      <w:pPr>
        <w:spacing w:line="600" w:lineRule="exact"/>
        <w:ind w:firstLine="643" w:firstLineChars="200"/>
        <w:outlineLvl w:val="2"/>
        <w:rPr>
          <w:rFonts w:ascii="仿宋" w:hAnsi="仿宋" w:eastAsia="仿宋"/>
          <w:b/>
          <w:sz w:val="32"/>
          <w:szCs w:val="32"/>
        </w:rPr>
      </w:pPr>
      <w:bookmarkStart w:id="44" w:name="_Toc15377212"/>
      <w:r>
        <w:rPr>
          <w:rFonts w:hint="eastAsia" w:ascii="仿宋" w:hAnsi="仿宋" w:eastAsia="仿宋"/>
          <w:b/>
          <w:sz w:val="32"/>
          <w:szCs w:val="32"/>
        </w:rPr>
        <w:t>（三）一般公共预算财政拨款支出决算具体情况</w:t>
      </w:r>
      <w:bookmarkEnd w:id="44"/>
    </w:p>
    <w:p w14:paraId="2F51F01C">
      <w:pPr>
        <w:spacing w:line="600" w:lineRule="exact"/>
        <w:ind w:firstLine="643" w:firstLineChars="200"/>
        <w:outlineLvl w:val="1"/>
        <w:rPr>
          <w:rStyle w:val="15"/>
          <w:rFonts w:ascii="仿宋" w:hAnsi="仿宋" w:eastAsia="仿宋"/>
          <w:bCs/>
          <w:sz w:val="32"/>
          <w:szCs w:val="32"/>
        </w:rPr>
      </w:pPr>
      <w:bookmarkStart w:id="45" w:name="_Toc15378460"/>
      <w:bookmarkStart w:id="46" w:name="_Toc6985"/>
      <w:bookmarkStart w:id="47" w:name="_Toc15377213"/>
      <w:bookmarkStart w:id="48" w:name="_Toc15377444"/>
      <w:r>
        <w:rPr>
          <w:rFonts w:hint="eastAsia" w:ascii="仿宋" w:hAnsi="仿宋" w:eastAsia="仿宋"/>
          <w:b/>
          <w:sz w:val="32"/>
          <w:szCs w:val="32"/>
        </w:rPr>
        <w:t>2021年一般公共预算支出决算数为</w:t>
      </w:r>
      <w:r>
        <w:rPr>
          <w:rFonts w:hint="eastAsia" w:ascii="仿宋" w:hAnsi="仿宋" w:eastAsia="仿宋"/>
          <w:sz w:val="32"/>
          <w:szCs w:val="32"/>
        </w:rPr>
        <w:t>1434.91万元，</w:t>
      </w:r>
      <w:r>
        <w:rPr>
          <w:rStyle w:val="15"/>
          <w:rFonts w:hint="eastAsia" w:ascii="仿宋" w:hAnsi="仿宋" w:eastAsia="仿宋"/>
          <w:bCs/>
          <w:sz w:val="32"/>
          <w:szCs w:val="32"/>
        </w:rPr>
        <w:t>完成预算100</w:t>
      </w:r>
      <w:r>
        <w:rPr>
          <w:rStyle w:val="15"/>
          <w:rFonts w:ascii="仿宋" w:hAnsi="仿宋" w:eastAsia="仿宋"/>
          <w:bCs/>
          <w:sz w:val="32"/>
          <w:szCs w:val="32"/>
        </w:rPr>
        <w:t>%</w:t>
      </w:r>
      <w:r>
        <w:rPr>
          <w:rStyle w:val="15"/>
          <w:rFonts w:hint="eastAsia" w:ascii="仿宋" w:hAnsi="仿宋" w:eastAsia="仿宋"/>
          <w:bCs/>
          <w:sz w:val="32"/>
          <w:szCs w:val="32"/>
        </w:rPr>
        <w:t>。其中：</w:t>
      </w:r>
      <w:bookmarkEnd w:id="45"/>
      <w:bookmarkEnd w:id="46"/>
      <w:bookmarkEnd w:id="47"/>
      <w:bookmarkEnd w:id="48"/>
    </w:p>
    <w:p w14:paraId="2F57B376">
      <w:pPr>
        <w:spacing w:line="600" w:lineRule="exact"/>
        <w:ind w:firstLine="643" w:firstLineChars="200"/>
        <w:rPr>
          <w:rFonts w:ascii="仿宋" w:hAnsi="仿宋" w:eastAsia="仿宋"/>
          <w:b/>
          <w:color w:val="000000"/>
          <w:sz w:val="32"/>
          <w:szCs w:val="32"/>
        </w:rPr>
      </w:pPr>
      <w:r>
        <w:rPr>
          <w:rStyle w:val="15"/>
          <w:rFonts w:ascii="仿宋" w:hAnsi="仿宋" w:eastAsia="仿宋"/>
          <w:bCs/>
          <w:color w:val="000000"/>
          <w:sz w:val="32"/>
          <w:szCs w:val="32"/>
        </w:rPr>
        <w:t>1.</w:t>
      </w:r>
      <w:r>
        <w:rPr>
          <w:rStyle w:val="15"/>
          <w:rFonts w:hint="eastAsia" w:ascii="仿宋" w:hAnsi="仿宋" w:eastAsia="仿宋"/>
          <w:bCs/>
          <w:color w:val="000000"/>
          <w:sz w:val="32"/>
          <w:szCs w:val="32"/>
        </w:rPr>
        <w:t>公共安全支出（类）法院（款）行政运行（项）</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支出决算为949.15万元，完成预算100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14:paraId="2B66FAFA">
      <w:pPr>
        <w:spacing w:line="600" w:lineRule="exact"/>
        <w:ind w:firstLine="643" w:firstLineChars="200"/>
        <w:rPr>
          <w:rFonts w:ascii="仿宋" w:hAnsi="仿宋" w:eastAsia="仿宋"/>
          <w:b/>
          <w:color w:val="000000"/>
          <w:sz w:val="32"/>
          <w:szCs w:val="32"/>
        </w:rPr>
      </w:pPr>
      <w:r>
        <w:rPr>
          <w:rStyle w:val="15"/>
          <w:rFonts w:ascii="仿宋" w:hAnsi="仿宋" w:eastAsia="仿宋"/>
          <w:bCs/>
          <w:color w:val="000000"/>
          <w:sz w:val="32"/>
          <w:szCs w:val="32"/>
        </w:rPr>
        <w:t>2.</w:t>
      </w:r>
      <w:r>
        <w:rPr>
          <w:rStyle w:val="15"/>
          <w:rFonts w:hint="eastAsia" w:ascii="仿宋" w:hAnsi="仿宋" w:eastAsia="仿宋"/>
          <w:bCs/>
          <w:color w:val="000000"/>
          <w:sz w:val="32"/>
          <w:szCs w:val="32"/>
        </w:rPr>
        <w:t>公共安全支出（类）法院（款）其他法院支出（项）</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支出决算为286万元，完成预算100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14:paraId="06CCEFFD">
      <w:pPr>
        <w:spacing w:line="600" w:lineRule="exact"/>
        <w:ind w:firstLine="643" w:firstLineChars="200"/>
        <w:rPr>
          <w:rFonts w:ascii="仿宋" w:hAnsi="仿宋" w:eastAsia="仿宋"/>
          <w:b/>
          <w:color w:val="000000"/>
          <w:sz w:val="32"/>
          <w:szCs w:val="32"/>
        </w:rPr>
      </w:pPr>
      <w:r>
        <w:rPr>
          <w:rStyle w:val="15"/>
          <w:rFonts w:ascii="仿宋" w:hAnsi="仿宋" w:eastAsia="仿宋"/>
          <w:bCs/>
          <w:color w:val="000000"/>
          <w:sz w:val="32"/>
          <w:szCs w:val="32"/>
        </w:rPr>
        <w:t>3.</w:t>
      </w:r>
      <w:r>
        <w:rPr>
          <w:rStyle w:val="15"/>
          <w:rFonts w:hint="eastAsia" w:ascii="仿宋" w:hAnsi="仿宋" w:eastAsia="仿宋"/>
          <w:bCs/>
          <w:color w:val="000000"/>
          <w:sz w:val="32"/>
          <w:szCs w:val="32"/>
        </w:rPr>
        <w:t>社会保障和就业支出（类）行政事业单位养老支出（款）机关事业单位基本养老保险缴费支出（项）</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支出决算为81.31万元，完成预算100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14:paraId="6AF84B78">
      <w:pPr>
        <w:spacing w:line="600" w:lineRule="exact"/>
        <w:ind w:firstLine="643" w:firstLineChars="200"/>
        <w:rPr>
          <w:rFonts w:ascii="仿宋" w:hAnsi="仿宋" w:eastAsia="仿宋"/>
          <w:b/>
          <w:color w:val="000000"/>
          <w:sz w:val="32"/>
          <w:szCs w:val="32"/>
        </w:rPr>
      </w:pPr>
      <w:r>
        <w:rPr>
          <w:rStyle w:val="15"/>
          <w:rFonts w:ascii="仿宋" w:hAnsi="仿宋" w:eastAsia="仿宋"/>
          <w:bCs/>
          <w:color w:val="000000"/>
          <w:sz w:val="32"/>
          <w:szCs w:val="32"/>
        </w:rPr>
        <w:t>4.</w:t>
      </w:r>
      <w:r>
        <w:rPr>
          <w:rStyle w:val="15"/>
          <w:rFonts w:hint="eastAsia" w:ascii="仿宋" w:hAnsi="仿宋" w:eastAsia="仿宋"/>
          <w:bCs/>
          <w:color w:val="000000"/>
          <w:sz w:val="32"/>
          <w:szCs w:val="32"/>
        </w:rPr>
        <w:t>卫生健康支出（类）行政事业单位医疗（款）行政单位医疗（项）</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支出决算为39.29万元，完成预算100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14:paraId="32A24802">
      <w:pPr>
        <w:pStyle w:val="2"/>
        <w:ind w:firstLine="643" w:firstLineChars="200"/>
        <w:rPr>
          <w:rFonts w:ascii="仿宋" w:hAnsi="仿宋" w:eastAsia="仿宋"/>
          <w:b/>
          <w:sz w:val="32"/>
          <w:szCs w:val="32"/>
        </w:rPr>
      </w:pPr>
      <w:r>
        <w:rPr>
          <w:rStyle w:val="15"/>
          <w:rFonts w:ascii="仿宋" w:hAnsi="仿宋" w:eastAsia="仿宋"/>
          <w:bCs/>
          <w:color w:val="000000"/>
          <w:sz w:val="32"/>
          <w:szCs w:val="32"/>
        </w:rPr>
        <w:t>5.</w:t>
      </w:r>
      <w:r>
        <w:rPr>
          <w:rStyle w:val="15"/>
          <w:rFonts w:hint="eastAsia" w:ascii="仿宋" w:hAnsi="仿宋" w:eastAsia="仿宋"/>
          <w:bCs/>
          <w:color w:val="000000"/>
          <w:sz w:val="32"/>
          <w:szCs w:val="32"/>
        </w:rPr>
        <w:t>住房保障支出（类）住房改革支出（款）住房公积金（项）</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支出决算为79.17万元，完成预算100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14:paraId="637A869F">
      <w:pPr>
        <w:spacing w:line="600" w:lineRule="exact"/>
        <w:ind w:firstLine="640"/>
        <w:rPr>
          <w:rFonts w:ascii="仿宋" w:hAnsi="仿宋" w:eastAsia="仿宋"/>
          <w:b/>
          <w:sz w:val="32"/>
          <w:szCs w:val="32"/>
        </w:rPr>
      </w:pPr>
    </w:p>
    <w:p w14:paraId="4B9BC92D">
      <w:pPr>
        <w:tabs>
          <w:tab w:val="right" w:pos="8306"/>
        </w:tabs>
        <w:spacing w:line="600" w:lineRule="exact"/>
        <w:ind w:firstLine="640"/>
        <w:outlineLvl w:val="1"/>
        <w:rPr>
          <w:rStyle w:val="26"/>
        </w:rPr>
      </w:pPr>
      <w:bookmarkStart w:id="49" w:name="_Toc15396608"/>
      <w:bookmarkStart w:id="50" w:name="_Toc15377214"/>
      <w:bookmarkStart w:id="51" w:name="_Toc18135"/>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6"/>
          <w:rFonts w:hint="eastAsia" w:ascii="黑体" w:hAnsi="黑体" w:eastAsia="黑体"/>
          <w:b w:val="0"/>
        </w:rPr>
        <w:t>般公共预算财政拨款基本支出决算情况说明</w:t>
      </w:r>
      <w:bookmarkEnd w:id="49"/>
      <w:bookmarkEnd w:id="50"/>
      <w:bookmarkEnd w:id="51"/>
      <w:r>
        <w:rPr>
          <w:rStyle w:val="26"/>
          <w:rFonts w:ascii="黑体" w:hAnsi="黑体" w:eastAsia="黑体"/>
          <w:b w:val="0"/>
        </w:rPr>
        <w:tab/>
      </w:r>
    </w:p>
    <w:p w14:paraId="0EA625CE">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21年一般公共预算财政拨款基本支出1148.91万元，其中：</w:t>
      </w:r>
    </w:p>
    <w:p w14:paraId="6E988302">
      <w:pPr>
        <w:spacing w:line="600" w:lineRule="exact"/>
        <w:ind w:firstLine="645"/>
        <w:rPr>
          <w:rFonts w:ascii="仿宋" w:hAnsi="仿宋" w:eastAsia="仿宋"/>
          <w:sz w:val="32"/>
          <w:szCs w:val="32"/>
        </w:rPr>
      </w:pPr>
      <w:r>
        <w:rPr>
          <w:rFonts w:hint="eastAsia" w:ascii="仿宋" w:hAnsi="仿宋" w:eastAsia="仿宋"/>
          <w:sz w:val="32"/>
          <w:szCs w:val="32"/>
        </w:rPr>
        <w:t>人员经费863.54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14:paraId="7B59AF35">
      <w:pPr>
        <w:spacing w:line="600" w:lineRule="exact"/>
        <w:ind w:firstLine="645"/>
        <w:rPr>
          <w:rFonts w:ascii="仿宋" w:hAnsi="仿宋" w:eastAsia="仿宋"/>
          <w:sz w:val="32"/>
          <w:szCs w:val="32"/>
        </w:rPr>
      </w:pPr>
      <w:r>
        <w:rPr>
          <w:rFonts w:hint="eastAsia" w:ascii="仿宋" w:hAnsi="仿宋" w:eastAsia="仿宋"/>
          <w:sz w:val="32"/>
          <w:szCs w:val="32"/>
        </w:rPr>
        <w:t>公用经费285.37万元，主要包括：办公费、印刷费、手续费、水费、电费、邮电费、物业管理费、差旅费、维修（护）费、会议费、培训费、公务接待费、劳务费、委托业务费、工会经费、公务用车运行维护费、其他交通费、税金及附加费用、其他商品和服务支出等。</w:t>
      </w:r>
    </w:p>
    <w:p w14:paraId="2C051923">
      <w:pPr>
        <w:spacing w:line="600" w:lineRule="exact"/>
        <w:ind w:firstLine="640"/>
        <w:rPr>
          <w:rFonts w:ascii="仿宋" w:hAnsi="仿宋" w:eastAsia="仿宋"/>
          <w:b/>
          <w:sz w:val="32"/>
          <w:szCs w:val="32"/>
        </w:rPr>
      </w:pPr>
    </w:p>
    <w:p w14:paraId="1589B23D">
      <w:pPr>
        <w:spacing w:line="600" w:lineRule="exact"/>
        <w:ind w:firstLine="640"/>
        <w:outlineLvl w:val="1"/>
        <w:rPr>
          <w:rStyle w:val="26"/>
          <w:rFonts w:ascii="黑体" w:hAnsi="黑体" w:eastAsia="黑体"/>
          <w:b w:val="0"/>
        </w:rPr>
      </w:pPr>
      <w:bookmarkStart w:id="52" w:name="_Toc15377215"/>
      <w:bookmarkStart w:id="53" w:name="_Toc16430"/>
      <w:bookmarkStart w:id="54" w:name="_Toc15396609"/>
      <w:r>
        <w:rPr>
          <w:rFonts w:hint="eastAsia" w:ascii="黑体" w:eastAsia="黑体"/>
          <w:sz w:val="32"/>
          <w:szCs w:val="32"/>
        </w:rPr>
        <w:t>七、</w:t>
      </w:r>
      <w:r>
        <w:rPr>
          <w:rStyle w:val="26"/>
          <w:rFonts w:hint="eastAsia" w:ascii="黑体" w:hAnsi="黑体" w:eastAsia="黑体"/>
        </w:rPr>
        <w:t>“</w:t>
      </w:r>
      <w:r>
        <w:rPr>
          <w:rStyle w:val="26"/>
          <w:rFonts w:hint="eastAsia" w:ascii="黑体" w:hAnsi="黑体" w:eastAsia="黑体"/>
          <w:b w:val="0"/>
        </w:rPr>
        <w:t>三公”经费财政拨款支出决算情况说明</w:t>
      </w:r>
      <w:bookmarkEnd w:id="52"/>
      <w:bookmarkEnd w:id="53"/>
      <w:bookmarkEnd w:id="54"/>
    </w:p>
    <w:p w14:paraId="43CFEDFF">
      <w:pPr>
        <w:spacing w:line="600" w:lineRule="exact"/>
        <w:ind w:firstLine="640"/>
        <w:outlineLvl w:val="2"/>
        <w:rPr>
          <w:rFonts w:ascii="仿宋" w:hAnsi="仿宋" w:eastAsia="仿宋"/>
          <w:b/>
          <w:sz w:val="32"/>
          <w:szCs w:val="32"/>
        </w:rPr>
      </w:pPr>
      <w:bookmarkStart w:id="55" w:name="_Toc15377216"/>
      <w:r>
        <w:rPr>
          <w:rFonts w:hint="eastAsia" w:ascii="仿宋" w:hAnsi="仿宋" w:eastAsia="仿宋"/>
          <w:b/>
          <w:sz w:val="32"/>
          <w:szCs w:val="32"/>
        </w:rPr>
        <w:t>（一）“三公”经费财政拨款支出决算总体情况说明</w:t>
      </w:r>
      <w:bookmarkEnd w:id="55"/>
    </w:p>
    <w:p w14:paraId="1A052770">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21年“三公”经费财政拨款支出决算为23.2万元，完成预算100</w:t>
      </w:r>
      <w:r>
        <w:rPr>
          <w:rFonts w:ascii="仿宋" w:hAnsi="仿宋" w:eastAsia="仿宋"/>
          <w:sz w:val="32"/>
          <w:szCs w:val="32"/>
        </w:rPr>
        <w:t>%</w:t>
      </w:r>
      <w:r>
        <w:rPr>
          <w:rFonts w:hint="eastAsia" w:ascii="仿宋" w:hAnsi="仿宋" w:eastAsia="仿宋"/>
          <w:sz w:val="32"/>
          <w:szCs w:val="32"/>
        </w:rPr>
        <w:t>。</w:t>
      </w:r>
    </w:p>
    <w:p w14:paraId="0721CC7C">
      <w:pPr>
        <w:spacing w:line="600" w:lineRule="exact"/>
        <w:ind w:firstLine="640"/>
        <w:outlineLvl w:val="2"/>
        <w:rPr>
          <w:rFonts w:ascii="仿宋" w:hAnsi="仿宋" w:eastAsia="仿宋"/>
          <w:b/>
          <w:sz w:val="32"/>
          <w:szCs w:val="32"/>
        </w:rPr>
      </w:pPr>
      <w:bookmarkStart w:id="56" w:name="_Toc15377217"/>
      <w:r>
        <w:rPr>
          <w:rFonts w:hint="eastAsia" w:ascii="仿宋" w:hAnsi="仿宋" w:eastAsia="仿宋"/>
          <w:b/>
          <w:sz w:val="32"/>
          <w:szCs w:val="32"/>
        </w:rPr>
        <w:t>（二）“三公”经费财政拨款支出决算具体情况说明</w:t>
      </w:r>
      <w:bookmarkEnd w:id="56"/>
    </w:p>
    <w:p w14:paraId="731515AA">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；公务用车购置及运行维护费支出决算20万元，占86.21</w:t>
      </w:r>
      <w:r>
        <w:rPr>
          <w:rFonts w:ascii="仿宋" w:hAnsi="仿宋" w:eastAsia="仿宋"/>
          <w:sz w:val="32"/>
          <w:szCs w:val="32"/>
        </w:rPr>
        <w:t>%</w:t>
      </w:r>
      <w:r>
        <w:rPr>
          <w:rFonts w:hint="eastAsia" w:ascii="仿宋" w:hAnsi="仿宋" w:eastAsia="仿宋"/>
          <w:sz w:val="32"/>
          <w:szCs w:val="32"/>
        </w:rPr>
        <w:t>；公务接待费支出决算3.2万元，占13.79</w:t>
      </w:r>
      <w:r>
        <w:rPr>
          <w:rFonts w:ascii="仿宋" w:hAnsi="仿宋" w:eastAsia="仿宋"/>
          <w:sz w:val="32"/>
          <w:szCs w:val="32"/>
        </w:rPr>
        <w:t>%</w:t>
      </w:r>
      <w:r>
        <w:rPr>
          <w:rFonts w:hint="eastAsia" w:ascii="仿宋" w:hAnsi="仿宋" w:eastAsia="仿宋"/>
          <w:sz w:val="32"/>
          <w:szCs w:val="32"/>
        </w:rPr>
        <w:t>。具体情况如下：</w:t>
      </w:r>
    </w:p>
    <w:p w14:paraId="73F20B19">
      <w:pPr>
        <w:spacing w:line="600" w:lineRule="exact"/>
        <w:ind w:firstLine="640"/>
        <w:rPr>
          <w:rFonts w:ascii="仿宋" w:hAnsi="仿宋" w:eastAsia="仿宋"/>
          <w:sz w:val="32"/>
          <w:szCs w:val="32"/>
        </w:rPr>
      </w:pPr>
    </w:p>
    <w:p w14:paraId="62551E54">
      <w:pPr>
        <w:pStyle w:val="2"/>
      </w:pPr>
      <w:r>
        <w:rPr>
          <w:rFonts w:hint="eastAsia" w:ascii="仿宋" w:hAnsi="仿宋" w:eastAsia="仿宋"/>
          <w:color w:val="000000"/>
          <w:sz w:val="32"/>
          <w:szCs w:val="32"/>
        </w:rPr>
        <w:drawing>
          <wp:inline distT="0" distB="0" distL="114300" distR="114300">
            <wp:extent cx="5086350" cy="3810000"/>
            <wp:effectExtent l="4445" t="4445" r="14605" b="14605"/>
            <wp:docPr id="1" name="图表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183153E">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rPr>
        <w:t>0万元，年初未安排预算。</w:t>
      </w:r>
    </w:p>
    <w:p w14:paraId="57427021">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rPr>
        <w:t>20万元,</w:t>
      </w:r>
      <w:r>
        <w:rPr>
          <w:rStyle w:val="15"/>
          <w:rFonts w:hint="eastAsia" w:ascii="仿宋" w:hAnsi="仿宋" w:eastAsia="仿宋"/>
          <w:b w:val="0"/>
          <w:bCs/>
          <w:sz w:val="32"/>
          <w:szCs w:val="32"/>
        </w:rPr>
        <w:t>完成预算100</w:t>
      </w:r>
      <w:r>
        <w:rPr>
          <w:rStyle w:val="15"/>
          <w:rFonts w:ascii="仿宋" w:hAnsi="仿宋" w:eastAsia="仿宋"/>
          <w:b w:val="0"/>
          <w:bCs/>
          <w:sz w:val="32"/>
          <w:szCs w:val="32"/>
        </w:rPr>
        <w:t>%</w:t>
      </w:r>
      <w:r>
        <w:rPr>
          <w:rStyle w:val="15"/>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20年减少42.27万元，下降67.88</w:t>
      </w:r>
      <w:r>
        <w:rPr>
          <w:rFonts w:ascii="仿宋_GB2312" w:eastAsia="仿宋_GB2312"/>
          <w:sz w:val="32"/>
          <w:szCs w:val="32"/>
        </w:rPr>
        <w:t>%</w:t>
      </w:r>
      <w:r>
        <w:rPr>
          <w:rFonts w:hint="eastAsia" w:ascii="仿宋_GB2312" w:eastAsia="仿宋_GB2312"/>
          <w:sz w:val="32"/>
          <w:szCs w:val="32"/>
        </w:rPr>
        <w:t>。主要原因是2021年未采购公务用车。</w:t>
      </w:r>
    </w:p>
    <w:p w14:paraId="72397D43">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rPr>
        <w:t>0万元。全年按规定更新购置公务用车0辆。截至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月底，单位共有公务用车12辆，其中：轿车7辆、越野车2辆、商务车1辆、特种用车2辆。</w:t>
      </w:r>
    </w:p>
    <w:p w14:paraId="4CA88EC5">
      <w:pPr>
        <w:spacing w:line="600" w:lineRule="exact"/>
        <w:ind w:firstLine="640"/>
      </w:pPr>
      <w:r>
        <w:rPr>
          <w:rFonts w:hint="eastAsia" w:ascii="仿宋_GB2312" w:eastAsia="仿宋_GB2312"/>
          <w:b/>
          <w:sz w:val="32"/>
          <w:szCs w:val="32"/>
        </w:rPr>
        <w:t>公务用车运行维护费支出</w:t>
      </w:r>
      <w:r>
        <w:rPr>
          <w:rFonts w:hint="eastAsia" w:ascii="仿宋_GB2312" w:eastAsia="仿宋_GB2312"/>
          <w:sz w:val="32"/>
          <w:szCs w:val="32"/>
        </w:rPr>
        <w:t>20万元。主要用于办案执行等所需的公务用车燃料费、维修费、过路过桥费、保险费等支出。</w:t>
      </w:r>
    </w:p>
    <w:p w14:paraId="5FFF270A">
      <w:pPr>
        <w:spacing w:line="600" w:lineRule="exact"/>
        <w:ind w:firstLine="643" w:firstLineChars="200"/>
        <w:rPr>
          <w:rFonts w:ascii="仿宋_GB2312" w:eastAsia="仿宋_GB2312"/>
          <w:sz w:val="32"/>
          <w:szCs w:val="32"/>
          <w:highlight w:val="yellow"/>
        </w:rPr>
      </w:pPr>
      <w:r>
        <w:rPr>
          <w:rFonts w:hint="eastAsia" w:ascii="仿宋_GB2312" w:eastAsia="仿宋_GB2312"/>
          <w:b/>
          <w:sz w:val="32"/>
          <w:szCs w:val="32"/>
        </w:rPr>
        <w:t>3.公务接待费支出</w:t>
      </w:r>
      <w:r>
        <w:rPr>
          <w:rFonts w:hint="eastAsia" w:ascii="仿宋_GB2312" w:eastAsia="仿宋_GB2312"/>
          <w:sz w:val="32"/>
          <w:szCs w:val="32"/>
        </w:rPr>
        <w:t>3.2万元，</w:t>
      </w:r>
      <w:r>
        <w:rPr>
          <w:rStyle w:val="15"/>
          <w:rFonts w:hint="eastAsia" w:ascii="仿宋" w:hAnsi="仿宋" w:eastAsia="仿宋"/>
          <w:b w:val="0"/>
          <w:bCs/>
          <w:sz w:val="32"/>
          <w:szCs w:val="32"/>
        </w:rPr>
        <w:t>完成预算100</w:t>
      </w:r>
      <w:r>
        <w:rPr>
          <w:rStyle w:val="15"/>
          <w:rFonts w:ascii="仿宋" w:hAnsi="仿宋" w:eastAsia="仿宋"/>
          <w:b w:val="0"/>
          <w:bCs/>
          <w:sz w:val="32"/>
          <w:szCs w:val="32"/>
        </w:rPr>
        <w:t>%</w:t>
      </w:r>
      <w:r>
        <w:rPr>
          <w:rStyle w:val="15"/>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20年减少4.8万元，下降57.5</w:t>
      </w:r>
      <w:r>
        <w:rPr>
          <w:rFonts w:ascii="仿宋_GB2312" w:eastAsia="仿宋_GB2312"/>
          <w:sz w:val="32"/>
          <w:szCs w:val="32"/>
        </w:rPr>
        <w:t>%</w:t>
      </w:r>
      <w:r>
        <w:rPr>
          <w:rFonts w:hint="eastAsia" w:ascii="仿宋_GB2312" w:eastAsia="仿宋_GB2312"/>
          <w:sz w:val="32"/>
          <w:szCs w:val="32"/>
        </w:rPr>
        <w:t>，下降主要原因是</w:t>
      </w:r>
      <w:r>
        <w:rPr>
          <w:rFonts w:hint="eastAsia" w:ascii="仿宋_GB2312" w:eastAsia="仿宋_GB2312"/>
          <w:color w:val="000000"/>
          <w:sz w:val="32"/>
          <w:szCs w:val="32"/>
        </w:rPr>
        <w:t>厉行节约，响应中央政策，压减经公务接待经费支出。</w:t>
      </w:r>
    </w:p>
    <w:p w14:paraId="15741837">
      <w:pPr>
        <w:spacing w:line="600" w:lineRule="exact"/>
        <w:ind w:firstLine="643" w:firstLineChars="200"/>
        <w:rPr>
          <w:rFonts w:ascii="仿宋_GB2312" w:eastAsia="仿宋_GB2312"/>
          <w:sz w:val="32"/>
          <w:szCs w:val="32"/>
        </w:rPr>
      </w:pPr>
      <w:r>
        <w:rPr>
          <w:rFonts w:hint="eastAsia" w:ascii="仿宋" w:hAnsi="仿宋" w:eastAsia="仿宋"/>
          <w:b/>
          <w:sz w:val="32"/>
          <w:szCs w:val="32"/>
        </w:rPr>
        <w:t>其中：国内公务接待支出</w:t>
      </w:r>
      <w:r>
        <w:rPr>
          <w:rFonts w:hint="eastAsia" w:ascii="仿宋" w:hAnsi="仿宋" w:eastAsia="仿宋"/>
          <w:sz w:val="32"/>
          <w:szCs w:val="32"/>
        </w:rPr>
        <w:t>3.2</w:t>
      </w:r>
      <w:r>
        <w:rPr>
          <w:rFonts w:hint="eastAsia" w:ascii="仿宋_GB2312" w:eastAsia="仿宋_GB2312"/>
          <w:sz w:val="32"/>
          <w:szCs w:val="32"/>
        </w:rPr>
        <w:t>万元，主要用于执行公务、开展业务活动开支的交通费、住宿费、用餐费等。国内公务接待68批次，289人次（不包括陪同人员），共计支出3.2万元，具体内容包括：</w:t>
      </w:r>
      <w:r>
        <w:rPr>
          <w:rFonts w:hint="eastAsia" w:ascii="仿宋_GB2312" w:hAnsi="仿宋_GB2312" w:eastAsia="仿宋_GB2312" w:cs="仿宋_GB2312"/>
          <w:sz w:val="32"/>
          <w:szCs w:val="32"/>
        </w:rPr>
        <w:t>外地以及上级法院到我院刑事案件开庭，接待参与诉讼的法官、书记员、人民陪审员、值庭法警、接待外地法院到我区执行案件、接待其它公务活动开支</w:t>
      </w:r>
      <w:r>
        <w:rPr>
          <w:rFonts w:hint="eastAsia" w:ascii="仿宋_GB2312" w:eastAsia="仿宋_GB2312"/>
          <w:sz w:val="32"/>
          <w:szCs w:val="32"/>
        </w:rPr>
        <w:t>。</w:t>
      </w:r>
    </w:p>
    <w:p w14:paraId="6B6EF11A">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sz w:val="32"/>
          <w:szCs w:val="32"/>
        </w:rPr>
        <w:t>0</w:t>
      </w:r>
      <w:r>
        <w:rPr>
          <w:rFonts w:hint="eastAsia" w:ascii="仿宋_GB2312" w:eastAsia="仿宋_GB2312"/>
          <w:sz w:val="32"/>
          <w:szCs w:val="32"/>
        </w:rPr>
        <w:t>万元，外事接待0批次，0人，共计支出0万元）。</w:t>
      </w:r>
    </w:p>
    <w:p w14:paraId="297E6F62">
      <w:pPr>
        <w:spacing w:line="600" w:lineRule="exact"/>
        <w:ind w:firstLine="640"/>
        <w:rPr>
          <w:rFonts w:ascii="黑体" w:eastAsia="黑体"/>
          <w:sz w:val="32"/>
          <w:szCs w:val="32"/>
        </w:rPr>
      </w:pPr>
      <w:bookmarkStart w:id="57" w:name="_Toc15396610"/>
      <w:bookmarkStart w:id="58" w:name="_Toc15377218"/>
    </w:p>
    <w:p w14:paraId="420752E3">
      <w:pPr>
        <w:spacing w:line="600" w:lineRule="exact"/>
        <w:ind w:firstLine="640"/>
        <w:outlineLvl w:val="1"/>
        <w:rPr>
          <w:rStyle w:val="26"/>
          <w:rFonts w:ascii="黑体" w:hAnsi="黑体" w:eastAsia="黑体"/>
        </w:rPr>
      </w:pPr>
      <w:bookmarkStart w:id="59" w:name="_Toc19286"/>
      <w:r>
        <w:rPr>
          <w:rFonts w:hint="eastAsia" w:ascii="黑体" w:eastAsia="黑体"/>
          <w:sz w:val="32"/>
          <w:szCs w:val="32"/>
        </w:rPr>
        <w:t>八、</w:t>
      </w:r>
      <w:r>
        <w:rPr>
          <w:rStyle w:val="26"/>
          <w:rFonts w:hint="eastAsia" w:ascii="黑体" w:hAnsi="黑体" w:eastAsia="黑体"/>
          <w:b w:val="0"/>
        </w:rPr>
        <w:t>政府性基金预算支出决算情况说明</w:t>
      </w:r>
      <w:bookmarkEnd w:id="57"/>
      <w:bookmarkEnd w:id="58"/>
      <w:bookmarkEnd w:id="59"/>
    </w:p>
    <w:p w14:paraId="316C6378">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21年政府性基金预算财政拨款支出0万元。</w:t>
      </w:r>
    </w:p>
    <w:p w14:paraId="483E3301">
      <w:pPr>
        <w:spacing w:line="600" w:lineRule="exact"/>
        <w:ind w:firstLine="640"/>
        <w:rPr>
          <w:rFonts w:ascii="仿宋_GB2312" w:eastAsia="仿宋_GB2312"/>
          <w:sz w:val="32"/>
          <w:szCs w:val="32"/>
        </w:rPr>
      </w:pPr>
    </w:p>
    <w:p w14:paraId="73B79B83">
      <w:pPr>
        <w:numPr>
          <w:ilvl w:val="0"/>
          <w:numId w:val="3"/>
        </w:numPr>
        <w:spacing w:line="600" w:lineRule="exact"/>
        <w:ind w:firstLine="640"/>
        <w:outlineLvl w:val="1"/>
        <w:rPr>
          <w:rStyle w:val="26"/>
          <w:rFonts w:ascii="黑体" w:hAnsi="黑体" w:eastAsia="黑体"/>
          <w:b w:val="0"/>
        </w:rPr>
      </w:pPr>
      <w:bookmarkStart w:id="60" w:name="_Toc15396611"/>
      <w:bookmarkStart w:id="61" w:name="_Toc15377219"/>
      <w:bookmarkStart w:id="62" w:name="_Toc17094"/>
      <w:r>
        <w:rPr>
          <w:rStyle w:val="26"/>
          <w:rFonts w:hint="eastAsia" w:ascii="黑体" w:hAnsi="黑体" w:eastAsia="黑体"/>
          <w:b w:val="0"/>
        </w:rPr>
        <w:t>国有资本经营预算支出决算情况说明</w:t>
      </w:r>
      <w:bookmarkEnd w:id="60"/>
      <w:bookmarkEnd w:id="61"/>
      <w:bookmarkEnd w:id="62"/>
    </w:p>
    <w:p w14:paraId="546DF091">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21年国有资本经营预算财政拨款支出0万元。</w:t>
      </w:r>
    </w:p>
    <w:p w14:paraId="17A1C2C3">
      <w:pPr>
        <w:spacing w:line="580" w:lineRule="exact"/>
        <w:jc w:val="center"/>
        <w:rPr>
          <w:rFonts w:ascii="方正小标宋简体" w:hAnsi="方正小标宋简体" w:eastAsia="方正小标宋简体" w:cs="方正小标宋简体"/>
          <w:sz w:val="44"/>
          <w:szCs w:val="44"/>
        </w:rPr>
      </w:pPr>
    </w:p>
    <w:p w14:paraId="0842F1F4">
      <w:pPr>
        <w:numPr>
          <w:ilvl w:val="0"/>
          <w:numId w:val="3"/>
        </w:numPr>
        <w:spacing w:line="600" w:lineRule="exact"/>
        <w:ind w:firstLine="640"/>
        <w:outlineLvl w:val="1"/>
        <w:rPr>
          <w:rStyle w:val="26"/>
          <w:rFonts w:ascii="黑体" w:hAnsi="黑体" w:eastAsia="黑体"/>
          <w:b w:val="0"/>
        </w:rPr>
      </w:pPr>
      <w:bookmarkStart w:id="63" w:name="_Toc22122"/>
      <w:bookmarkStart w:id="64" w:name="_Toc15396612"/>
      <w:bookmarkStart w:id="65" w:name="_Toc15377221"/>
      <w:r>
        <w:rPr>
          <w:rStyle w:val="26"/>
          <w:rFonts w:hint="eastAsia" w:ascii="黑体" w:hAnsi="黑体" w:eastAsia="黑体"/>
          <w:b w:val="0"/>
        </w:rPr>
        <w:t>预算绩效管理情况</w:t>
      </w:r>
      <w:bookmarkEnd w:id="63"/>
    </w:p>
    <w:p w14:paraId="2F008C51">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根据预算绩效管理要求，本单位在2021年度预算编制阶段，组织对2021年中央政法转移支付</w:t>
      </w:r>
      <w:r>
        <w:rPr>
          <w:rFonts w:hint="eastAsia" w:ascii="仿宋_GB2312" w:hAnsi="宋体" w:eastAsia="仿宋_GB2312"/>
          <w:sz w:val="32"/>
          <w:szCs w:val="32"/>
        </w:rPr>
        <w:t>办案业务和业务装备经费</w:t>
      </w:r>
      <w:r>
        <w:rPr>
          <w:rFonts w:hint="eastAsia" w:ascii="仿宋_GB2312" w:hAnsi="仿宋_GB2312" w:eastAsia="仿宋_GB2312" w:cs="仿宋_GB2312"/>
          <w:sz w:val="32"/>
          <w:szCs w:val="32"/>
        </w:rPr>
        <w:t>项目开展了预算事前绩效评估，对2021年中央和省级政法转移支付</w:t>
      </w:r>
      <w:r>
        <w:rPr>
          <w:rFonts w:hint="eastAsia" w:ascii="仿宋_GB2312" w:hAnsi="宋体" w:eastAsia="仿宋_GB2312"/>
          <w:sz w:val="32"/>
          <w:szCs w:val="32"/>
        </w:rPr>
        <w:t>办案业务和业务装备经费</w:t>
      </w:r>
      <w:r>
        <w:rPr>
          <w:rFonts w:hint="eastAsia" w:ascii="仿宋_GB2312" w:hAnsi="仿宋_GB2312" w:eastAsia="仿宋_GB2312" w:cs="仿宋_GB2312"/>
          <w:sz w:val="32"/>
          <w:szCs w:val="32"/>
        </w:rPr>
        <w:t>项目编制了绩效目标，预算执行过程中，选取2021年中央和省级政法转移支付</w:t>
      </w:r>
      <w:r>
        <w:rPr>
          <w:rFonts w:hint="eastAsia" w:ascii="仿宋_GB2312" w:hAnsi="宋体" w:eastAsia="仿宋_GB2312"/>
          <w:sz w:val="32"/>
          <w:szCs w:val="32"/>
        </w:rPr>
        <w:t>办案业务和业务装备经费</w:t>
      </w:r>
      <w:r>
        <w:rPr>
          <w:rFonts w:hint="eastAsia" w:ascii="仿宋_GB2312" w:hAnsi="仿宋_GB2312" w:eastAsia="仿宋_GB2312" w:cs="仿宋_GB2312"/>
          <w:sz w:val="32"/>
          <w:szCs w:val="32"/>
        </w:rPr>
        <w:t>项目开展绩效监控，年终执行完毕后，对2021年中央和省级政法转移支付</w:t>
      </w:r>
      <w:r>
        <w:rPr>
          <w:rFonts w:hint="eastAsia" w:ascii="仿宋_GB2312" w:hAnsi="宋体" w:eastAsia="仿宋_GB2312"/>
          <w:sz w:val="32"/>
          <w:szCs w:val="32"/>
        </w:rPr>
        <w:t>办案业务和业务装备经费</w:t>
      </w:r>
      <w:r>
        <w:rPr>
          <w:rFonts w:hint="eastAsia" w:ascii="仿宋_GB2312" w:hAnsi="仿宋_GB2312" w:eastAsia="仿宋_GB2312" w:cs="仿宋_GB2312"/>
          <w:sz w:val="32"/>
          <w:szCs w:val="32"/>
        </w:rPr>
        <w:t>项目开展了绩效自评，2021年部门预算项目绩效目标自评表见附件（第四部分）。</w:t>
      </w:r>
    </w:p>
    <w:p w14:paraId="305DB84E">
      <w:pPr>
        <w:pStyle w:val="6"/>
        <w:spacing w:before="93"/>
      </w:pPr>
    </w:p>
    <w:p w14:paraId="03595FB8">
      <w:pPr>
        <w:numPr>
          <w:ilvl w:val="0"/>
          <w:numId w:val="3"/>
        </w:numPr>
        <w:spacing w:line="600" w:lineRule="exact"/>
        <w:ind w:firstLine="640"/>
        <w:outlineLvl w:val="1"/>
        <w:rPr>
          <w:rStyle w:val="26"/>
          <w:rFonts w:ascii="黑体" w:hAnsi="黑体" w:eastAsia="黑体"/>
          <w:b w:val="0"/>
        </w:rPr>
      </w:pPr>
      <w:bookmarkStart w:id="66" w:name="_Toc8084"/>
      <w:r>
        <w:rPr>
          <w:rStyle w:val="26"/>
          <w:rFonts w:hint="eastAsia" w:ascii="黑体" w:hAnsi="黑体" w:eastAsia="黑体"/>
          <w:b w:val="0"/>
        </w:rPr>
        <w:t>其他重要事项的情况说明</w:t>
      </w:r>
      <w:bookmarkEnd w:id="64"/>
      <w:bookmarkEnd w:id="65"/>
      <w:bookmarkEnd w:id="66"/>
    </w:p>
    <w:p w14:paraId="36BC8017">
      <w:pPr>
        <w:spacing w:line="600" w:lineRule="exact"/>
        <w:ind w:firstLine="643" w:firstLineChars="200"/>
        <w:outlineLvl w:val="2"/>
        <w:rPr>
          <w:rFonts w:ascii="仿宋" w:hAnsi="仿宋" w:eastAsia="仿宋"/>
          <w:sz w:val="32"/>
          <w:szCs w:val="32"/>
        </w:rPr>
      </w:pPr>
      <w:bookmarkStart w:id="67" w:name="_Toc15377222"/>
      <w:r>
        <w:rPr>
          <w:rFonts w:hint="eastAsia" w:ascii="仿宋" w:hAnsi="仿宋" w:eastAsia="仿宋"/>
          <w:b/>
          <w:sz w:val="32"/>
          <w:szCs w:val="32"/>
        </w:rPr>
        <w:t>（一）机关运行经费支出情况</w:t>
      </w:r>
      <w:bookmarkEnd w:id="67"/>
    </w:p>
    <w:p w14:paraId="4D009C49">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21年，区法院机关运行经费支出</w:t>
      </w:r>
      <w:r>
        <w:rPr>
          <w:rFonts w:hint="eastAsia" w:ascii="仿宋" w:hAnsi="仿宋" w:eastAsia="仿宋"/>
          <w:sz w:val="32"/>
          <w:szCs w:val="32"/>
        </w:rPr>
        <w:t>285.37</w:t>
      </w:r>
      <w:r>
        <w:rPr>
          <w:rFonts w:hint="eastAsia" w:ascii="仿宋_GB2312" w:eastAsia="仿宋_GB2312"/>
          <w:sz w:val="32"/>
          <w:szCs w:val="32"/>
        </w:rPr>
        <w:t>万元，与</w:t>
      </w:r>
      <w:r>
        <w:rPr>
          <w:rFonts w:ascii="仿宋_GB2312" w:eastAsia="仿宋_GB2312"/>
          <w:sz w:val="32"/>
          <w:szCs w:val="32"/>
        </w:rPr>
        <w:t>20</w:t>
      </w:r>
      <w:r>
        <w:rPr>
          <w:rFonts w:hint="eastAsia" w:ascii="仿宋_GB2312" w:eastAsia="仿宋_GB2312"/>
          <w:sz w:val="32"/>
          <w:szCs w:val="32"/>
        </w:rPr>
        <w:t>20年决算数基本持平。主要原因是</w:t>
      </w:r>
      <w:r>
        <w:rPr>
          <w:rFonts w:hint="eastAsia" w:ascii="仿宋_GB2312" w:eastAsia="仿宋_GB2312"/>
          <w:color w:val="000000"/>
          <w:sz w:val="32"/>
          <w:szCs w:val="32"/>
        </w:rPr>
        <w:t>厉行节约，响应中央政策，压减经费支出。</w:t>
      </w:r>
    </w:p>
    <w:p w14:paraId="773FEA2F">
      <w:pPr>
        <w:autoSpaceDE w:val="0"/>
        <w:autoSpaceDN w:val="0"/>
        <w:adjustRightInd w:val="0"/>
        <w:spacing w:line="600" w:lineRule="exact"/>
        <w:ind w:firstLine="643" w:firstLineChars="200"/>
        <w:jc w:val="left"/>
        <w:outlineLvl w:val="2"/>
        <w:rPr>
          <w:rFonts w:ascii="仿宋" w:hAnsi="仿宋" w:eastAsia="仿宋"/>
          <w:b/>
          <w:sz w:val="32"/>
          <w:szCs w:val="32"/>
        </w:rPr>
      </w:pPr>
      <w:bookmarkStart w:id="68" w:name="_Toc15377223"/>
      <w:r>
        <w:rPr>
          <w:rFonts w:hint="eastAsia" w:ascii="仿宋" w:hAnsi="仿宋" w:eastAsia="仿宋"/>
          <w:b/>
          <w:sz w:val="32"/>
          <w:szCs w:val="32"/>
        </w:rPr>
        <w:t>（二）政府采购支出情况</w:t>
      </w:r>
      <w:bookmarkEnd w:id="68"/>
    </w:p>
    <w:p w14:paraId="748EAD16">
      <w:pPr>
        <w:spacing w:line="600" w:lineRule="exact"/>
        <w:ind w:firstLine="640" w:firstLineChars="200"/>
        <w:rPr>
          <w:rFonts w:ascii="仿宋" w:hAnsi="仿宋" w:eastAsia="仿宋"/>
          <w:b/>
          <w:sz w:val="32"/>
          <w:szCs w:val="32"/>
        </w:rPr>
      </w:pPr>
      <w:r>
        <w:rPr>
          <w:rFonts w:ascii="仿宋_GB2312" w:eastAsia="仿宋_GB2312"/>
          <w:sz w:val="32"/>
          <w:szCs w:val="32"/>
        </w:rPr>
        <w:t>20</w:t>
      </w:r>
      <w:r>
        <w:rPr>
          <w:rFonts w:hint="eastAsia" w:ascii="仿宋_GB2312" w:eastAsia="仿宋_GB2312"/>
          <w:sz w:val="32"/>
          <w:szCs w:val="32"/>
        </w:rPr>
        <w:t>21年，区法院政府采购支出总额0万元，其中：政府采购货物支出0万元、政府采购工程支出0万元、政府采购服务支出0万元。授予中小企业合同金额0万元，占政府采购支出总额的0</w:t>
      </w:r>
      <w:r>
        <w:rPr>
          <w:rFonts w:ascii="仿宋_GB2312" w:eastAsia="仿宋_GB2312"/>
          <w:sz w:val="32"/>
          <w:szCs w:val="32"/>
        </w:rPr>
        <w:t>%</w:t>
      </w:r>
      <w:r>
        <w:rPr>
          <w:rFonts w:hint="eastAsia" w:ascii="仿宋_GB2312" w:eastAsia="仿宋_GB2312"/>
          <w:sz w:val="32"/>
          <w:szCs w:val="32"/>
        </w:rPr>
        <w:t>，其中：授予小微企业合同金额0万元，占政府采购支出总额的0</w:t>
      </w:r>
      <w:r>
        <w:rPr>
          <w:rFonts w:ascii="仿宋_GB2312" w:eastAsia="仿宋_GB2312"/>
          <w:sz w:val="32"/>
          <w:szCs w:val="32"/>
        </w:rPr>
        <w:t>%</w:t>
      </w:r>
      <w:r>
        <w:rPr>
          <w:rFonts w:hint="eastAsia" w:ascii="仿宋_GB2312" w:eastAsia="仿宋_GB2312"/>
          <w:sz w:val="32"/>
          <w:szCs w:val="32"/>
        </w:rPr>
        <w:t>。</w:t>
      </w:r>
    </w:p>
    <w:p w14:paraId="2B0D478A">
      <w:pPr>
        <w:autoSpaceDE w:val="0"/>
        <w:autoSpaceDN w:val="0"/>
        <w:adjustRightInd w:val="0"/>
        <w:spacing w:line="600" w:lineRule="exact"/>
        <w:ind w:firstLine="643" w:firstLineChars="200"/>
        <w:jc w:val="left"/>
        <w:outlineLvl w:val="2"/>
        <w:rPr>
          <w:rFonts w:ascii="仿宋" w:hAnsi="仿宋" w:eastAsia="仿宋"/>
          <w:b/>
          <w:sz w:val="32"/>
          <w:szCs w:val="32"/>
        </w:rPr>
      </w:pPr>
      <w:bookmarkStart w:id="69" w:name="_Toc15377224"/>
      <w:r>
        <w:rPr>
          <w:rFonts w:hint="eastAsia" w:ascii="仿宋" w:hAnsi="仿宋" w:eastAsia="仿宋"/>
          <w:b/>
          <w:sz w:val="32"/>
          <w:szCs w:val="32"/>
        </w:rPr>
        <w:t>（三）国有资产占有使用情况</w:t>
      </w:r>
      <w:bookmarkEnd w:id="69"/>
    </w:p>
    <w:p w14:paraId="4792DD9F">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日，区法院共有车辆12辆，其中：主要领导干部用车0辆、机要通信用车0辆、应急保障用车0辆、</w:t>
      </w:r>
      <w:r>
        <w:rPr>
          <w:rFonts w:hint="eastAsia" w:ascii="仿宋_GB2312" w:eastAsia="仿宋_GB2312"/>
          <w:color w:val="000000"/>
          <w:sz w:val="32"/>
          <w:szCs w:val="32"/>
        </w:rPr>
        <w:t>执法执勤用车10辆、特种技术用车2辆。</w:t>
      </w:r>
      <w:r>
        <w:rPr>
          <w:rFonts w:hint="eastAsia" w:ascii="仿宋_GB2312" w:eastAsia="仿宋_GB2312"/>
          <w:sz w:val="32"/>
          <w:szCs w:val="32"/>
        </w:rPr>
        <w:t>单价</w:t>
      </w:r>
      <w:r>
        <w:rPr>
          <w:rFonts w:ascii="仿宋_GB2312" w:eastAsia="仿宋_GB2312"/>
          <w:sz w:val="32"/>
          <w:szCs w:val="32"/>
        </w:rPr>
        <w:t>50</w:t>
      </w:r>
      <w:r>
        <w:rPr>
          <w:rFonts w:hint="eastAsia" w:ascii="仿宋_GB2312" w:eastAsia="仿宋_GB2312"/>
          <w:sz w:val="32"/>
          <w:szCs w:val="32"/>
        </w:rPr>
        <w:t>万元以上通用设备0台（套），单价</w:t>
      </w:r>
      <w:r>
        <w:rPr>
          <w:rFonts w:ascii="仿宋_GB2312" w:eastAsia="仿宋_GB2312"/>
          <w:sz w:val="32"/>
          <w:szCs w:val="32"/>
        </w:rPr>
        <w:t>100</w:t>
      </w:r>
      <w:r>
        <w:rPr>
          <w:rFonts w:hint="eastAsia" w:ascii="仿宋_GB2312" w:eastAsia="仿宋_GB2312"/>
          <w:sz w:val="32"/>
          <w:szCs w:val="32"/>
        </w:rPr>
        <w:t>万元以上专用设备0台（套）。</w:t>
      </w:r>
    </w:p>
    <w:p w14:paraId="673E719B">
      <w:pPr>
        <w:pStyle w:val="6"/>
        <w:spacing w:before="93"/>
        <w:rPr>
          <w:highlight w:val="yellow"/>
        </w:rPr>
      </w:pPr>
    </w:p>
    <w:p w14:paraId="49B15DF0">
      <w:pPr>
        <w:widowControl/>
        <w:jc w:val="left"/>
        <w:rPr>
          <w:rFonts w:ascii="仿宋_GB2312" w:eastAsia="仿宋_GB2312"/>
          <w:b/>
          <w:sz w:val="32"/>
          <w:szCs w:val="32"/>
        </w:rPr>
      </w:pPr>
      <w:r>
        <w:rPr>
          <w:rFonts w:ascii="仿宋_GB2312" w:eastAsia="仿宋_GB2312"/>
          <w:b/>
          <w:sz w:val="32"/>
          <w:szCs w:val="32"/>
        </w:rPr>
        <w:br w:type="page"/>
      </w:r>
    </w:p>
    <w:p w14:paraId="1A78786F">
      <w:pPr>
        <w:numPr>
          <w:ilvl w:val="0"/>
          <w:numId w:val="4"/>
        </w:numPr>
        <w:spacing w:line="600" w:lineRule="exact"/>
        <w:ind w:firstLine="660" w:firstLineChars="150"/>
        <w:jc w:val="center"/>
        <w:outlineLvl w:val="0"/>
        <w:rPr>
          <w:rStyle w:val="25"/>
          <w:rFonts w:ascii="黑体" w:hAnsi="黑体" w:eastAsia="黑体"/>
          <w:b w:val="0"/>
        </w:rPr>
      </w:pPr>
      <w:bookmarkStart w:id="70" w:name="_Toc8711"/>
      <w:bookmarkStart w:id="71" w:name="_Toc15377225"/>
      <w:bookmarkStart w:id="72" w:name="_Toc15396613"/>
      <w:r>
        <w:rPr>
          <w:rFonts w:hint="eastAsia" w:ascii="黑体" w:hAnsi="黑体" w:eastAsia="黑体"/>
          <w:sz w:val="44"/>
          <w:szCs w:val="44"/>
        </w:rPr>
        <w:t>名</w:t>
      </w:r>
      <w:r>
        <w:rPr>
          <w:rStyle w:val="25"/>
          <w:rFonts w:hint="eastAsia" w:ascii="黑体" w:hAnsi="黑体" w:eastAsia="黑体"/>
          <w:b w:val="0"/>
        </w:rPr>
        <w:t>词解释</w:t>
      </w:r>
      <w:bookmarkEnd w:id="70"/>
      <w:bookmarkEnd w:id="71"/>
      <w:bookmarkEnd w:id="72"/>
    </w:p>
    <w:p w14:paraId="02F518F2">
      <w:pPr>
        <w:spacing w:line="600" w:lineRule="exact"/>
        <w:jc w:val="left"/>
        <w:rPr>
          <w:rFonts w:ascii="宋体"/>
          <w:b/>
          <w:sz w:val="44"/>
          <w:szCs w:val="44"/>
        </w:rPr>
      </w:pPr>
    </w:p>
    <w:p w14:paraId="3F005C02">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14:paraId="2D581E86">
      <w:pPr>
        <w:ind w:firstLine="640" w:firstLineChars="200"/>
        <w:rPr>
          <w:rFonts w:ascii="仿宋_GB2312" w:eastAsia="仿宋_GB2312"/>
          <w:color w:val="000000"/>
          <w:sz w:val="32"/>
          <w:szCs w:val="32"/>
        </w:rPr>
      </w:pPr>
      <w:r>
        <w:rPr>
          <w:rFonts w:hint="eastAsia" w:ascii="仿宋_GB2312" w:eastAsia="仿宋_GB2312"/>
          <w:color w:val="000000"/>
          <w:sz w:val="32"/>
          <w:szCs w:val="32"/>
        </w:rPr>
        <w:t>2</w:t>
      </w:r>
      <w:r>
        <w:rPr>
          <w:rFonts w:ascii="仿宋_GB2312" w:eastAsia="仿宋_GB2312"/>
          <w:color w:val="000000"/>
          <w:sz w:val="32"/>
          <w:szCs w:val="32"/>
        </w:rPr>
        <w:t>.</w:t>
      </w:r>
      <w:r>
        <w:rPr>
          <w:rFonts w:hint="eastAsia" w:ascii="仿宋_GB2312" w:eastAsia="仿宋_GB2312"/>
          <w:color w:val="000000"/>
          <w:sz w:val="32"/>
          <w:szCs w:val="32"/>
        </w:rPr>
        <w:t>公共安全（类）法院（款）行政运行（项）：指法院机关的基本支出。</w:t>
      </w:r>
    </w:p>
    <w:p w14:paraId="2ADD3B84">
      <w:pPr>
        <w:ind w:firstLine="640" w:firstLineChars="200"/>
        <w:rPr>
          <w:rFonts w:ascii="仿宋_GB2312" w:eastAsia="仿宋_GB2312"/>
          <w:color w:val="000000"/>
          <w:sz w:val="32"/>
          <w:szCs w:val="32"/>
        </w:rPr>
      </w:pPr>
      <w:r>
        <w:rPr>
          <w:rFonts w:hint="eastAsia" w:ascii="仿宋_GB2312" w:eastAsia="仿宋_GB2312"/>
          <w:color w:val="000000"/>
          <w:sz w:val="32"/>
          <w:szCs w:val="32"/>
        </w:rPr>
        <w:t>3</w:t>
      </w:r>
      <w:r>
        <w:rPr>
          <w:rFonts w:ascii="仿宋_GB2312" w:eastAsia="仿宋_GB2312"/>
          <w:color w:val="000000"/>
          <w:sz w:val="32"/>
          <w:szCs w:val="32"/>
        </w:rPr>
        <w:t>.</w:t>
      </w:r>
      <w:r>
        <w:rPr>
          <w:rFonts w:hint="eastAsia" w:ascii="仿宋_GB2312" w:eastAsia="仿宋_GB2312"/>
          <w:color w:val="000000"/>
          <w:sz w:val="32"/>
          <w:szCs w:val="32"/>
        </w:rPr>
        <w:t>社会保障和就业（类）行政事业单位离退休（款）归口管理的单位离退休（项）：指实行归口管理管理的行政单位开支的离退休经费。</w:t>
      </w:r>
    </w:p>
    <w:p w14:paraId="29A9FAFC">
      <w:pPr>
        <w:ind w:firstLine="640" w:firstLineChars="200"/>
        <w:rPr>
          <w:rFonts w:ascii="仿宋_GB2312" w:eastAsia="仿宋_GB2312"/>
          <w:color w:val="000000"/>
          <w:sz w:val="32"/>
          <w:szCs w:val="32"/>
        </w:rPr>
      </w:pPr>
      <w:r>
        <w:rPr>
          <w:rFonts w:hint="eastAsia" w:ascii="仿宋_GB2312" w:eastAsia="仿宋_GB2312"/>
          <w:color w:val="000000"/>
          <w:sz w:val="32"/>
          <w:szCs w:val="32"/>
        </w:rPr>
        <w:t>4</w:t>
      </w:r>
      <w:r>
        <w:rPr>
          <w:rFonts w:ascii="仿宋_GB2312" w:eastAsia="仿宋_GB2312"/>
          <w:color w:val="000000"/>
          <w:sz w:val="32"/>
          <w:szCs w:val="32"/>
        </w:rPr>
        <w:t>.</w:t>
      </w:r>
      <w:r>
        <w:rPr>
          <w:rFonts w:hint="eastAsia" w:ascii="仿宋_GB2312" w:eastAsia="仿宋_GB2312"/>
          <w:color w:val="000000"/>
          <w:sz w:val="32"/>
          <w:szCs w:val="32"/>
        </w:rPr>
        <w:t>社会保障和就业（类）行政事业单位离退休（款）行政事业单位基本养老保险缴费（项）：指机关事业单位实施养老保险制度由单位缴纳的基本养老保险费支出。</w:t>
      </w:r>
    </w:p>
    <w:p w14:paraId="1C4086AA">
      <w:pPr>
        <w:ind w:firstLine="640" w:firstLineChars="200"/>
        <w:rPr>
          <w:rFonts w:ascii="仿宋_GB2312" w:eastAsia="仿宋_GB2312"/>
          <w:color w:val="000000"/>
          <w:sz w:val="32"/>
          <w:szCs w:val="32"/>
        </w:rPr>
      </w:pPr>
      <w:r>
        <w:rPr>
          <w:rFonts w:hint="eastAsia" w:ascii="仿宋_GB2312" w:eastAsia="仿宋_GB2312"/>
          <w:color w:val="000000"/>
          <w:sz w:val="32"/>
          <w:szCs w:val="32"/>
        </w:rPr>
        <w:t>5</w:t>
      </w:r>
      <w:r>
        <w:rPr>
          <w:rFonts w:ascii="仿宋_GB2312" w:eastAsia="仿宋_GB2312"/>
          <w:color w:val="000000"/>
          <w:sz w:val="32"/>
          <w:szCs w:val="32"/>
        </w:rPr>
        <w:t>.</w:t>
      </w:r>
      <w:r>
        <w:rPr>
          <w:rFonts w:hint="eastAsia" w:ascii="仿宋_GB2312" w:eastAsia="仿宋_GB2312"/>
          <w:color w:val="000000"/>
          <w:sz w:val="32"/>
          <w:szCs w:val="32"/>
        </w:rPr>
        <w:t>卫生健康（类）行政事业单位医疗（款）行政单位医疗（项）：指财政部门安排的行政单位基本医疗保险缴费经费，未参加医疗保险的行政单位的公费医疗经费，按国家规定享受离休人员、红军老战士待遇人员的医疗经费。</w:t>
      </w:r>
    </w:p>
    <w:p w14:paraId="4554AB77">
      <w:pPr>
        <w:ind w:firstLine="640" w:firstLineChars="200"/>
        <w:rPr>
          <w:rFonts w:ascii="仿宋_GB2312" w:eastAsia="仿宋_GB2312"/>
          <w:color w:val="000000"/>
          <w:sz w:val="32"/>
          <w:szCs w:val="32"/>
        </w:rPr>
      </w:pPr>
      <w:r>
        <w:rPr>
          <w:rFonts w:hint="eastAsia" w:ascii="仿宋_GB2312" w:eastAsia="仿宋_GB2312"/>
          <w:color w:val="000000"/>
          <w:sz w:val="32"/>
          <w:szCs w:val="32"/>
        </w:rPr>
        <w:t>6</w:t>
      </w:r>
      <w:r>
        <w:rPr>
          <w:rFonts w:ascii="仿宋_GB2312" w:eastAsia="仿宋_GB2312"/>
          <w:color w:val="000000"/>
          <w:sz w:val="32"/>
          <w:szCs w:val="32"/>
        </w:rPr>
        <w:t>.</w:t>
      </w:r>
      <w:r>
        <w:rPr>
          <w:rFonts w:hint="eastAsia" w:ascii="仿宋_GB2312" w:eastAsia="仿宋_GB2312"/>
          <w:color w:val="000000"/>
          <w:sz w:val="32"/>
          <w:szCs w:val="32"/>
        </w:rPr>
        <w:t>住房保障（类）住房改革支出（款）住房公积金（项）：指反映行政事业单位按人力资源和社会保障部、财政部规定的基本工资和津贴补贴以及规定比例为职工缴纳的住房公积金。</w:t>
      </w:r>
    </w:p>
    <w:p w14:paraId="68E37C46">
      <w:pPr>
        <w:ind w:firstLine="640" w:firstLineChars="200"/>
        <w:rPr>
          <w:rFonts w:ascii="仿宋_GB2312" w:eastAsia="仿宋_GB2312"/>
          <w:sz w:val="32"/>
          <w:szCs w:val="32"/>
        </w:rPr>
      </w:pPr>
      <w:r>
        <w:rPr>
          <w:rFonts w:hint="eastAsia" w:ascii="仿宋_GB2312" w:eastAsia="仿宋_GB2312"/>
          <w:sz w:val="32"/>
          <w:szCs w:val="32"/>
        </w:rPr>
        <w:t>7</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14:paraId="134CECE8">
      <w:pPr>
        <w:ind w:firstLine="640" w:firstLineChars="200"/>
        <w:rPr>
          <w:rFonts w:ascii="仿宋_GB2312" w:eastAsia="仿宋_GB2312"/>
          <w:sz w:val="32"/>
          <w:szCs w:val="32"/>
        </w:rPr>
      </w:pPr>
      <w:r>
        <w:rPr>
          <w:rFonts w:hint="eastAsia" w:ascii="仿宋_GB2312" w:eastAsia="仿宋_GB2312"/>
          <w:sz w:val="32"/>
          <w:szCs w:val="32"/>
        </w:rPr>
        <w:t>8</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14:paraId="3B8D401E">
      <w:pPr>
        <w:pStyle w:val="23"/>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9</w:t>
      </w:r>
      <w:r>
        <w:rPr>
          <w:rFonts w:ascii="仿宋_GB2312" w:eastAsia="仿宋_GB2312"/>
          <w:color w:val="auto"/>
          <w:sz w:val="32"/>
          <w:szCs w:val="32"/>
        </w:rPr>
        <w:t>.</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E283018">
      <w:pPr>
        <w:pStyle w:val="23"/>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10</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C19CBD4">
      <w:pPr>
        <w:pStyle w:val="23"/>
        <w:spacing w:line="560" w:lineRule="exact"/>
        <w:ind w:firstLine="640" w:firstLineChars="200"/>
        <w:rPr>
          <w:rFonts w:ascii="仿宋_GB2312" w:eastAsia="仿宋_GB2312" w:cs="黑体"/>
          <w:color w:val="auto"/>
          <w:sz w:val="32"/>
          <w:szCs w:val="32"/>
        </w:rPr>
      </w:pPr>
    </w:p>
    <w:p w14:paraId="375248EA">
      <w:pPr>
        <w:ind w:firstLine="643" w:firstLineChars="200"/>
        <w:rPr>
          <w:rFonts w:ascii="仿宋" w:hAnsi="仿宋" w:eastAsia="仿宋"/>
          <w:b/>
          <w:sz w:val="32"/>
          <w:szCs w:val="32"/>
        </w:rPr>
      </w:pPr>
    </w:p>
    <w:p w14:paraId="747997B4">
      <w:pPr>
        <w:spacing w:line="600" w:lineRule="exact"/>
        <w:jc w:val="center"/>
        <w:outlineLvl w:val="0"/>
        <w:rPr>
          <w:rStyle w:val="25"/>
          <w:rFonts w:ascii="黑体" w:hAnsi="黑体" w:eastAsia="黑体"/>
          <w:b w:val="0"/>
        </w:rPr>
      </w:pPr>
      <w:bookmarkStart w:id="73" w:name="_Toc15377226"/>
      <w:r>
        <w:rPr>
          <w:rFonts w:ascii="宋体"/>
          <w:b/>
          <w:sz w:val="44"/>
          <w:szCs w:val="44"/>
        </w:rPr>
        <w:br w:type="page"/>
      </w:r>
      <w:bookmarkStart w:id="74" w:name="_Toc15396614"/>
      <w:bookmarkStart w:id="75" w:name="_Toc585"/>
      <w:r>
        <w:rPr>
          <w:rFonts w:hint="eastAsia" w:ascii="黑体" w:hAnsi="黑体" w:eastAsia="黑体"/>
          <w:sz w:val="44"/>
          <w:szCs w:val="44"/>
        </w:rPr>
        <w:t>第</w:t>
      </w:r>
      <w:r>
        <w:rPr>
          <w:rStyle w:val="25"/>
          <w:rFonts w:hint="eastAsia" w:ascii="黑体" w:hAnsi="黑体" w:eastAsia="黑体"/>
          <w:b w:val="0"/>
        </w:rPr>
        <w:t>四部分 附件</w:t>
      </w:r>
      <w:bookmarkEnd w:id="74"/>
      <w:bookmarkEnd w:id="75"/>
    </w:p>
    <w:p w14:paraId="3C96E78A">
      <w:pPr>
        <w:spacing w:line="572" w:lineRule="exact"/>
        <w:jc w:val="left"/>
        <w:outlineLvl w:val="1"/>
        <w:rPr>
          <w:rFonts w:ascii="仿宋_GB2312" w:hAnsi="仿宋_GB2312" w:eastAsia="仿宋_GB2312" w:cs="仿宋_GB2312"/>
          <w:sz w:val="32"/>
          <w:szCs w:val="32"/>
        </w:rPr>
      </w:pPr>
      <w:bookmarkStart w:id="76" w:name="_Toc26209"/>
      <w:r>
        <w:rPr>
          <w:rFonts w:hint="eastAsia" w:ascii="黑体" w:hAnsi="黑体" w:eastAsia="黑体" w:cs="黑体"/>
          <w:sz w:val="32"/>
          <w:szCs w:val="32"/>
        </w:rPr>
        <w:t>附件</w:t>
      </w:r>
      <w:bookmarkEnd w:id="76"/>
    </w:p>
    <w:tbl>
      <w:tblPr>
        <w:tblStyle w:val="13"/>
        <w:tblpPr w:leftFromText="180" w:rightFromText="180" w:vertAnchor="text" w:horzAnchor="page" w:tblpX="1281" w:tblpY="660"/>
        <w:tblOverlap w:val="never"/>
        <w:tblW w:w="9811" w:type="dxa"/>
        <w:tblInd w:w="0" w:type="dxa"/>
        <w:tblLayout w:type="fixed"/>
        <w:tblCellMar>
          <w:top w:w="0" w:type="dxa"/>
          <w:left w:w="108" w:type="dxa"/>
          <w:bottom w:w="0" w:type="dxa"/>
          <w:right w:w="108" w:type="dxa"/>
        </w:tblCellMar>
      </w:tblPr>
      <w:tblGrid>
        <w:gridCol w:w="1976"/>
        <w:gridCol w:w="1142"/>
        <w:gridCol w:w="1635"/>
        <w:gridCol w:w="1189"/>
        <w:gridCol w:w="1224"/>
        <w:gridCol w:w="2409"/>
        <w:gridCol w:w="236"/>
      </w:tblGrid>
      <w:tr w14:paraId="1B944AFA">
        <w:tblPrEx>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14:paraId="7FF4F468">
            <w:pPr>
              <w:widowControl/>
              <w:jc w:val="center"/>
              <w:textAlignment w:val="center"/>
              <w:rPr>
                <w:rFonts w:ascii="宋体" w:hAnsi="宋体" w:cs="宋体"/>
                <w:b/>
                <w:sz w:val="32"/>
                <w:szCs w:val="32"/>
              </w:rPr>
            </w:pPr>
            <w:bookmarkStart w:id="77" w:name="_Toc15396618"/>
            <w:r>
              <w:rPr>
                <w:rFonts w:hint="eastAsia" w:ascii="宋体" w:hAnsi="宋体" w:cs="宋体"/>
                <w:b/>
                <w:sz w:val="32"/>
                <w:szCs w:val="32"/>
              </w:rPr>
              <w:t>2021年部门预算项目绩效目标自评</w:t>
            </w:r>
          </w:p>
        </w:tc>
        <w:tc>
          <w:tcPr>
            <w:tcW w:w="234" w:type="dxa"/>
            <w:tcBorders>
              <w:top w:val="nil"/>
              <w:left w:val="nil"/>
              <w:bottom w:val="nil"/>
              <w:right w:val="nil"/>
            </w:tcBorders>
            <w:shd w:val="clear" w:color="auto" w:fill="auto"/>
            <w:vAlign w:val="center"/>
          </w:tcPr>
          <w:p w14:paraId="6954F836">
            <w:pPr>
              <w:widowControl/>
              <w:jc w:val="center"/>
              <w:textAlignment w:val="center"/>
              <w:rPr>
                <w:rFonts w:ascii="宋体" w:hAnsi="宋体" w:cs="宋体"/>
                <w:b/>
                <w:kern w:val="0"/>
                <w:sz w:val="32"/>
                <w:szCs w:val="32"/>
              </w:rPr>
            </w:pPr>
          </w:p>
        </w:tc>
      </w:tr>
      <w:tr w14:paraId="6131CA77">
        <w:tblPrEx>
          <w:tblCellMar>
            <w:top w:w="0" w:type="dxa"/>
            <w:left w:w="108" w:type="dxa"/>
            <w:bottom w:w="0" w:type="dxa"/>
            <w:right w:w="108" w:type="dxa"/>
          </w:tblCellMar>
        </w:tblPrEx>
        <w:trPr>
          <w:gridAfter w:val="1"/>
          <w:wAfter w:w="234" w:type="dxa"/>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9CF578">
            <w:pPr>
              <w:widowControl/>
              <w:spacing w:line="320" w:lineRule="exact"/>
              <w:jc w:val="center"/>
              <w:textAlignment w:val="center"/>
              <w:rPr>
                <w:rFonts w:ascii="宋体" w:hAnsi="宋体" w:cs="宋体"/>
                <w:sz w:val="24"/>
              </w:rPr>
            </w:pPr>
            <w:r>
              <w:rPr>
                <w:rFonts w:hint="eastAsia" w:ascii="宋体" w:hAnsi="宋体" w:cs="宋体"/>
                <w:kern w:val="0"/>
                <w:sz w:val="24"/>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7648E4">
            <w:pPr>
              <w:widowControl/>
              <w:spacing w:line="320" w:lineRule="exact"/>
              <w:textAlignment w:val="center"/>
              <w:rPr>
                <w:rFonts w:ascii="宋体" w:hAnsi="宋体" w:cs="宋体"/>
                <w:sz w:val="24"/>
              </w:rPr>
            </w:pPr>
            <w:r>
              <w:rPr>
                <w:rFonts w:hint="eastAsia" w:ascii="宋体" w:hAnsi="宋体" w:cs="宋体"/>
                <w:sz w:val="24"/>
              </w:rPr>
              <w:t>161101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3F78B">
            <w:pPr>
              <w:widowControl/>
              <w:spacing w:line="320" w:lineRule="exact"/>
              <w:jc w:val="center"/>
              <w:textAlignment w:val="center"/>
              <w:rPr>
                <w:rFonts w:ascii="宋体" w:hAnsi="宋体" w:cs="宋体"/>
                <w:sz w:val="24"/>
              </w:rPr>
            </w:pPr>
            <w:r>
              <w:rPr>
                <w:rFonts w:hint="eastAsia" w:ascii="宋体" w:hAnsi="宋体" w:cs="宋体"/>
                <w:kern w:val="0"/>
                <w:sz w:val="24"/>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94EC9">
            <w:pPr>
              <w:widowControl/>
              <w:spacing w:line="320" w:lineRule="exact"/>
              <w:jc w:val="center"/>
              <w:textAlignment w:val="center"/>
              <w:rPr>
                <w:rFonts w:ascii="宋体" w:hAnsi="宋体" w:cs="宋体"/>
                <w:sz w:val="24"/>
              </w:rPr>
            </w:pPr>
            <w:r>
              <w:rPr>
                <w:rFonts w:hint="eastAsia" w:ascii="宋体" w:hAnsi="宋体" w:cs="宋体"/>
                <w:sz w:val="24"/>
              </w:rPr>
              <w:t>昭化区人民法院</w:t>
            </w:r>
          </w:p>
        </w:tc>
      </w:tr>
      <w:tr w14:paraId="0D2CD053">
        <w:tblPrEx>
          <w:tblCellMar>
            <w:top w:w="0" w:type="dxa"/>
            <w:left w:w="108" w:type="dxa"/>
            <w:bottom w:w="0" w:type="dxa"/>
            <w:right w:w="108" w:type="dxa"/>
          </w:tblCellMar>
        </w:tblPrEx>
        <w:trPr>
          <w:gridAfter w:val="1"/>
          <w:wAfter w:w="234" w:type="dxa"/>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5C248A">
            <w:pPr>
              <w:widowControl/>
              <w:spacing w:line="320" w:lineRule="exact"/>
              <w:jc w:val="center"/>
              <w:textAlignment w:val="center"/>
              <w:rPr>
                <w:rFonts w:ascii="宋体" w:hAnsi="宋体" w:cs="宋体"/>
                <w:kern w:val="0"/>
                <w:sz w:val="24"/>
              </w:rPr>
            </w:pPr>
            <w:r>
              <w:rPr>
                <w:rFonts w:hint="eastAsia" w:ascii="宋体" w:hAnsi="宋体" w:cs="宋体"/>
                <w:kern w:val="0"/>
                <w:sz w:val="24"/>
              </w:rPr>
              <w:t>项目预算</w:t>
            </w:r>
          </w:p>
          <w:p w14:paraId="7FDA06AA">
            <w:pPr>
              <w:widowControl/>
              <w:spacing w:line="320" w:lineRule="exact"/>
              <w:jc w:val="center"/>
              <w:textAlignment w:val="center"/>
              <w:rPr>
                <w:rFonts w:ascii="宋体" w:hAnsi="宋体" w:cs="宋体"/>
                <w:kern w:val="0"/>
                <w:sz w:val="24"/>
              </w:rPr>
            </w:pPr>
            <w:r>
              <w:rPr>
                <w:rFonts w:hint="eastAsia" w:ascii="宋体" w:hAnsi="宋体" w:cs="宋体"/>
                <w:kern w:val="0"/>
                <w:sz w:val="24"/>
              </w:rPr>
              <w:t>执行情况</w:t>
            </w:r>
          </w:p>
          <w:p w14:paraId="696D7E27">
            <w:pPr>
              <w:widowControl/>
              <w:spacing w:line="320" w:lineRule="exact"/>
              <w:jc w:val="center"/>
              <w:textAlignment w:val="center"/>
              <w:rPr>
                <w:rFonts w:ascii="宋体" w:hAnsi="宋体" w:cs="宋体"/>
                <w:sz w:val="24"/>
              </w:rPr>
            </w:pPr>
            <w:r>
              <w:rPr>
                <w:rFonts w:hint="eastAsia" w:ascii="宋体" w:hAnsi="宋体" w:cs="宋体"/>
                <w:kern w:val="0"/>
                <w:sz w:val="24"/>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098A7">
            <w:pPr>
              <w:widowControl/>
              <w:spacing w:line="320" w:lineRule="exact"/>
              <w:jc w:val="left"/>
              <w:textAlignment w:val="center"/>
              <w:rPr>
                <w:rFonts w:ascii="宋体" w:hAnsi="宋体" w:cs="宋体"/>
                <w:sz w:val="24"/>
              </w:rPr>
            </w:pPr>
            <w:r>
              <w:rPr>
                <w:rFonts w:hint="eastAsia" w:ascii="宋体" w:hAnsi="宋体" w:cs="宋体"/>
                <w:kern w:val="0"/>
                <w:sz w:val="24"/>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BB92C">
            <w:pPr>
              <w:widowControl/>
              <w:spacing w:line="320" w:lineRule="exact"/>
              <w:jc w:val="left"/>
              <w:textAlignment w:val="center"/>
            </w:pPr>
            <w:r>
              <w:rPr>
                <w:rFonts w:hint="eastAsia"/>
              </w:rPr>
              <w:t>271万</w:t>
            </w:r>
          </w:p>
          <w:p w14:paraId="2AE6B75A">
            <w:pPr>
              <w:pStyle w:val="2"/>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33CD0">
            <w:pPr>
              <w:widowControl/>
              <w:spacing w:line="320" w:lineRule="exact"/>
              <w:jc w:val="left"/>
              <w:textAlignment w:val="center"/>
              <w:rPr>
                <w:rFonts w:ascii="宋体" w:hAnsi="宋体" w:cs="宋体"/>
                <w:sz w:val="24"/>
              </w:rPr>
            </w:pPr>
            <w:r>
              <w:rPr>
                <w:rFonts w:hint="eastAsia" w:ascii="宋体" w:hAnsi="宋体" w:cs="宋体"/>
                <w:kern w:val="0"/>
                <w:sz w:val="24"/>
              </w:rPr>
              <w:t xml:space="preserve"> 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FEFC7">
            <w:pPr>
              <w:widowControl/>
              <w:spacing w:line="320" w:lineRule="exact"/>
              <w:jc w:val="right"/>
              <w:textAlignment w:val="center"/>
              <w:rPr>
                <w:rFonts w:ascii="宋体" w:hAnsi="宋体" w:cs="宋体"/>
                <w:sz w:val="24"/>
              </w:rPr>
            </w:pPr>
            <w:r>
              <w:rPr>
                <w:rFonts w:hint="eastAsia" w:ascii="宋体" w:hAnsi="宋体" w:cs="宋体"/>
                <w:sz w:val="24"/>
              </w:rPr>
              <w:t>271万</w:t>
            </w:r>
          </w:p>
        </w:tc>
      </w:tr>
      <w:tr w14:paraId="60C6442A">
        <w:tblPrEx>
          <w:tblCellMar>
            <w:top w:w="0" w:type="dxa"/>
            <w:left w:w="108" w:type="dxa"/>
            <w:bottom w:w="0" w:type="dxa"/>
            <w:right w:w="108" w:type="dxa"/>
          </w:tblCellMar>
        </w:tblPrEx>
        <w:trPr>
          <w:gridAfter w:val="1"/>
          <w:wAfter w:w="234" w:type="dxa"/>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C1702">
            <w:pPr>
              <w:spacing w:line="320" w:lineRule="exact"/>
              <w:jc w:val="center"/>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3B237">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14:paraId="6492D6AF">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C3F80">
            <w:pPr>
              <w:widowControl/>
              <w:spacing w:line="320" w:lineRule="exact"/>
              <w:jc w:val="left"/>
              <w:textAlignment w:val="center"/>
              <w:rPr>
                <w:rFonts w:ascii="宋体" w:hAnsi="宋体" w:cs="宋体"/>
                <w:sz w:val="24"/>
              </w:rPr>
            </w:pPr>
            <w:r>
              <w:rPr>
                <w:rFonts w:hint="eastAsia" w:ascii="宋体" w:hAnsi="宋体" w:cs="宋体"/>
                <w:sz w:val="24"/>
              </w:rPr>
              <w:t>271万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BB8D3">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14:paraId="2C9B006D">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31516">
            <w:pPr>
              <w:widowControl/>
              <w:spacing w:line="320" w:lineRule="exact"/>
              <w:textAlignment w:val="center"/>
              <w:rPr>
                <w:rFonts w:ascii="宋体" w:hAnsi="宋体" w:cs="宋体"/>
                <w:sz w:val="24"/>
              </w:rPr>
            </w:pPr>
            <w:r>
              <w:rPr>
                <w:rFonts w:hint="eastAsia" w:ascii="宋体" w:hAnsi="宋体" w:cs="宋体"/>
                <w:sz w:val="24"/>
              </w:rPr>
              <w:t>271万</w:t>
            </w:r>
          </w:p>
        </w:tc>
      </w:tr>
      <w:tr w14:paraId="09831BC0">
        <w:tblPrEx>
          <w:tblCellMar>
            <w:top w:w="0" w:type="dxa"/>
            <w:left w:w="108" w:type="dxa"/>
            <w:bottom w:w="0" w:type="dxa"/>
            <w:right w:w="108" w:type="dxa"/>
          </w:tblCellMar>
        </w:tblPrEx>
        <w:trPr>
          <w:gridAfter w:val="1"/>
          <w:wAfter w:w="234" w:type="dxa"/>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44A8D">
            <w:pPr>
              <w:spacing w:line="320" w:lineRule="exact"/>
              <w:jc w:val="center"/>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60ECE">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2743B">
            <w:pPr>
              <w:widowControl/>
              <w:spacing w:line="320" w:lineRule="exact"/>
              <w:jc w:val="left"/>
              <w:textAlignment w:val="center"/>
              <w:rPr>
                <w:rFonts w:ascii="宋体" w:hAnsi="宋体" w:cs="宋体"/>
                <w:sz w:val="24"/>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0BB7D">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FC4C5">
            <w:pPr>
              <w:widowControl/>
              <w:spacing w:line="320" w:lineRule="exact"/>
              <w:jc w:val="center"/>
              <w:textAlignment w:val="center"/>
              <w:rPr>
                <w:rFonts w:ascii="宋体" w:hAnsi="宋体" w:cs="宋体"/>
                <w:sz w:val="24"/>
              </w:rPr>
            </w:pPr>
          </w:p>
        </w:tc>
      </w:tr>
      <w:tr w14:paraId="25E0C739">
        <w:tblPrEx>
          <w:tblCellMar>
            <w:top w:w="0" w:type="dxa"/>
            <w:left w:w="108" w:type="dxa"/>
            <w:bottom w:w="0" w:type="dxa"/>
            <w:right w:w="108" w:type="dxa"/>
          </w:tblCellMar>
        </w:tblPrEx>
        <w:trPr>
          <w:gridAfter w:val="1"/>
          <w:wAfter w:w="234" w:type="dxa"/>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6AE477">
            <w:pPr>
              <w:widowControl/>
              <w:spacing w:line="320" w:lineRule="exact"/>
              <w:jc w:val="center"/>
              <w:textAlignment w:val="center"/>
              <w:rPr>
                <w:rFonts w:ascii="宋体" w:hAnsi="宋体" w:cs="宋体"/>
                <w:kern w:val="0"/>
                <w:sz w:val="24"/>
              </w:rPr>
            </w:pPr>
            <w:r>
              <w:rPr>
                <w:rFonts w:hint="eastAsia" w:ascii="宋体" w:hAnsi="宋体" w:cs="宋体"/>
                <w:kern w:val="0"/>
                <w:sz w:val="24"/>
              </w:rPr>
              <w:t>年度总体目标</w:t>
            </w:r>
          </w:p>
          <w:p w14:paraId="6033B0F3">
            <w:pPr>
              <w:widowControl/>
              <w:spacing w:line="320" w:lineRule="exact"/>
              <w:jc w:val="center"/>
              <w:textAlignment w:val="center"/>
              <w:rPr>
                <w:rFonts w:ascii="宋体" w:hAnsi="宋体" w:cs="宋体"/>
                <w:sz w:val="24"/>
              </w:rPr>
            </w:pPr>
            <w:r>
              <w:rPr>
                <w:rFonts w:hint="eastAsia" w:ascii="宋体" w:hAnsi="宋体" w:cs="宋体"/>
                <w:kern w:val="0"/>
                <w:sz w:val="24"/>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B98AF6">
            <w:pPr>
              <w:widowControl/>
              <w:spacing w:line="320" w:lineRule="exact"/>
              <w:jc w:val="center"/>
              <w:textAlignment w:val="center"/>
              <w:rPr>
                <w:rFonts w:ascii="宋体" w:hAnsi="宋体" w:cs="宋体"/>
                <w:sz w:val="24"/>
              </w:rPr>
            </w:pPr>
            <w:r>
              <w:rPr>
                <w:rFonts w:hint="eastAsia" w:ascii="宋体" w:hAnsi="宋体" w:cs="宋体"/>
                <w:kern w:val="0"/>
                <w:sz w:val="24"/>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FE7DBF">
            <w:pPr>
              <w:widowControl/>
              <w:spacing w:line="320" w:lineRule="exact"/>
              <w:jc w:val="center"/>
              <w:textAlignment w:val="center"/>
              <w:rPr>
                <w:rFonts w:ascii="宋体" w:hAnsi="宋体" w:cs="宋体"/>
                <w:sz w:val="24"/>
              </w:rPr>
            </w:pPr>
            <w:r>
              <w:rPr>
                <w:rFonts w:hint="eastAsia" w:ascii="宋体" w:hAnsi="宋体" w:cs="宋体"/>
                <w:kern w:val="0"/>
                <w:sz w:val="24"/>
              </w:rPr>
              <w:t>目标实际完成情况</w:t>
            </w:r>
          </w:p>
        </w:tc>
      </w:tr>
      <w:tr w14:paraId="7A7D4BA7">
        <w:tblPrEx>
          <w:tblCellMar>
            <w:top w:w="0" w:type="dxa"/>
            <w:left w:w="108" w:type="dxa"/>
            <w:bottom w:w="0" w:type="dxa"/>
            <w:right w:w="108" w:type="dxa"/>
          </w:tblCellMar>
        </w:tblPrEx>
        <w:trPr>
          <w:gridAfter w:val="1"/>
          <w:wAfter w:w="234" w:type="dxa"/>
          <w:trHeight w:val="1575"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BD8F7">
            <w:pPr>
              <w:spacing w:line="320" w:lineRule="exact"/>
              <w:jc w:val="center"/>
              <w:rPr>
                <w:rFonts w:ascii="宋体" w:hAnsi="宋体" w:cs="宋体"/>
                <w:sz w:val="24"/>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tcPr>
          <w:p w14:paraId="48DB67D2">
            <w:pPr>
              <w:widowControl/>
              <w:tabs>
                <w:tab w:val="left" w:pos="754"/>
              </w:tabs>
              <w:spacing w:line="320" w:lineRule="exact"/>
              <w:jc w:val="left"/>
              <w:textAlignment w:val="top"/>
              <w:rPr>
                <w:rFonts w:ascii="宋体" w:hAnsi="宋体" w:cs="宋体"/>
                <w:sz w:val="24"/>
              </w:rPr>
            </w:pPr>
            <w:r>
              <w:rPr>
                <w:rFonts w:hint="eastAsia" w:ascii="宋体" w:hAnsi="宋体" w:cs="宋体"/>
                <w:sz w:val="24"/>
              </w:rPr>
              <w:tab/>
            </w:r>
            <w:r>
              <w:rPr>
                <w:rFonts w:hint="eastAsia" w:ascii="宋体" w:hAnsi="宋体" w:cs="宋体"/>
                <w:sz w:val="24"/>
              </w:rPr>
              <w:t>1.办案数量3000件；2、办案业务用房维修；3、组织全院干警培训70人次；4、印刷</w:t>
            </w:r>
            <w:r>
              <w:rPr>
                <w:rFonts w:hint="eastAsia" w:ascii="宋体" w:hAnsi="宋体" w:cs="宋体"/>
                <w:sz w:val="24"/>
                <w:lang w:eastAsia="zh-CN"/>
              </w:rPr>
              <w:t>法治宣传</w:t>
            </w:r>
            <w:r>
              <w:rPr>
                <w:rFonts w:hint="eastAsia" w:ascii="宋体" w:hAnsi="宋体" w:cs="宋体"/>
                <w:sz w:val="24"/>
              </w:rPr>
              <w:t>资料40000份及法律文书；5、车辆运行维护费、差旅费、资料费。</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tcPr>
          <w:p w14:paraId="1C309E3F">
            <w:pPr>
              <w:widowControl/>
              <w:spacing w:line="320" w:lineRule="exact"/>
              <w:ind w:firstLine="480" w:firstLineChars="200"/>
              <w:jc w:val="left"/>
              <w:textAlignment w:val="top"/>
              <w:rPr>
                <w:rFonts w:ascii="宋体" w:hAnsi="宋体" w:cs="宋体"/>
                <w:sz w:val="24"/>
              </w:rPr>
            </w:pPr>
            <w:r>
              <w:rPr>
                <w:rFonts w:hint="eastAsia" w:ascii="宋体" w:hAnsi="宋体" w:cs="宋体"/>
                <w:sz w:val="24"/>
              </w:rPr>
              <w:t>办案数量大于3000件；全年干警培训人次大于70人次；办案及业务用房维修面积大于500平方米；办案业务费全部用于办案差旅补助、车辆运行维护等。</w:t>
            </w:r>
          </w:p>
        </w:tc>
      </w:tr>
      <w:tr w14:paraId="7FC6214E">
        <w:tblPrEx>
          <w:tblCellMar>
            <w:top w:w="0" w:type="dxa"/>
            <w:left w:w="108" w:type="dxa"/>
            <w:bottom w:w="0" w:type="dxa"/>
            <w:right w:w="108" w:type="dxa"/>
          </w:tblCellMar>
        </w:tblPrEx>
        <w:trPr>
          <w:gridAfter w:val="1"/>
          <w:wAfter w:w="234" w:type="dxa"/>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14:paraId="575883E2">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14:paraId="34A318F3">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一级</w:t>
            </w:r>
          </w:p>
          <w:p w14:paraId="2A31E5A7">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5B719">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二级</w:t>
            </w:r>
          </w:p>
          <w:p w14:paraId="6C073C57">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904C0">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三级</w:t>
            </w:r>
          </w:p>
          <w:p w14:paraId="7815C517">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BF537">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0D87C">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实际完成指标值</w:t>
            </w:r>
          </w:p>
        </w:tc>
      </w:tr>
      <w:tr w14:paraId="1EF87976">
        <w:tblPrEx>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14:paraId="6FED420A">
            <w:pPr>
              <w:spacing w:line="320" w:lineRule="exact"/>
              <w:jc w:val="center"/>
              <w:rPr>
                <w:rFonts w:ascii="仿宋_GB2312" w:hAnsi="仿宋_GB2312" w:eastAsia="仿宋_GB2312" w:cs="仿宋_GB2312"/>
                <w:sz w:val="28"/>
                <w:szCs w:val="28"/>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CF2A89">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完成</w:t>
            </w:r>
          </w:p>
          <w:p w14:paraId="7ACA8DEC">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0AD640">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188D80">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受理案件数</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706F45">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≥3000件</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48ECD6">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3152件</w:t>
            </w:r>
          </w:p>
        </w:tc>
      </w:tr>
      <w:tr w14:paraId="774073DF">
        <w:tblPrEx>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14:paraId="3CDCC354">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3CE55D7F">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F3009C">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5B929A">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案件办结率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EE0A3A">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≥94.79%</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A9D0E9">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98.73%</w:t>
            </w:r>
          </w:p>
        </w:tc>
      </w:tr>
      <w:tr w14:paraId="5F4B89E1">
        <w:tblPrEx>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14:paraId="22374432">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545BB74B">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7C673D">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430464">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案件审判时效</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75F8E2">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≤50天</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09A11D">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27.14天</w:t>
            </w:r>
          </w:p>
        </w:tc>
      </w:tr>
      <w:tr w14:paraId="4080ACBC">
        <w:tblPrEx>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14:paraId="2D74D3DF">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295C383E">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18CAA7">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077128">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降低办案平均时间</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C652C9">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≤35天</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F4B314">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27.14天</w:t>
            </w:r>
          </w:p>
        </w:tc>
      </w:tr>
      <w:tr w14:paraId="64013280">
        <w:tblPrEx>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14:paraId="23DB840C">
            <w:pPr>
              <w:spacing w:line="320" w:lineRule="exact"/>
              <w:jc w:val="center"/>
              <w:rPr>
                <w:rFonts w:ascii="仿宋_GB2312" w:hAnsi="仿宋_GB2312" w:eastAsia="仿宋_GB2312" w:cs="仿宋_GB2312"/>
                <w:sz w:val="28"/>
                <w:szCs w:val="28"/>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F4A0E7">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效益</w:t>
            </w:r>
          </w:p>
          <w:p w14:paraId="1F4A3415">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E3A6E0">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经济效益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D8092C">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无</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C579F9">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无</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B11ED2">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无</w:t>
            </w:r>
          </w:p>
        </w:tc>
      </w:tr>
      <w:tr w14:paraId="57D1D838">
        <w:tblPrEx>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14:paraId="297DD0C8">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75F12CE2">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4C2354">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4FF2B6">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提高群众满意度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0750C9">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≥100%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E439EC">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100%</w:t>
            </w:r>
          </w:p>
        </w:tc>
      </w:tr>
      <w:tr w14:paraId="6F837DF8">
        <w:tblPrEx>
          <w:tblCellMar>
            <w:top w:w="0" w:type="dxa"/>
            <w:left w:w="108" w:type="dxa"/>
            <w:bottom w:w="0" w:type="dxa"/>
            <w:right w:w="108" w:type="dxa"/>
          </w:tblCellMar>
        </w:tblPrEx>
        <w:trPr>
          <w:gridAfter w:val="1"/>
          <w:wAfter w:w="234" w:type="dxa"/>
          <w:trHeight w:val="577" w:hRule="atLeast"/>
        </w:trPr>
        <w:tc>
          <w:tcPr>
            <w:tcW w:w="1977" w:type="dxa"/>
            <w:vMerge w:val="continue"/>
            <w:tcBorders>
              <w:left w:val="single" w:color="000000" w:sz="4" w:space="0"/>
              <w:right w:val="single" w:color="000000" w:sz="4" w:space="0"/>
            </w:tcBorders>
            <w:shd w:val="clear" w:color="auto" w:fill="auto"/>
            <w:vAlign w:val="center"/>
          </w:tcPr>
          <w:p w14:paraId="5977B967">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7E42F88B">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C6ADB9">
            <w:pPr>
              <w:widowControl/>
              <w:spacing w:line="320" w:lineRule="exact"/>
              <w:ind w:left="463" w:leftChars="87" w:hanging="280" w:hangingChars="100"/>
              <w:jc w:val="left"/>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生态效益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8B914B">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提升司法公信力</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A6AC1C">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≥良</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01AECE">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优</w:t>
            </w:r>
          </w:p>
        </w:tc>
      </w:tr>
      <w:tr w14:paraId="71E50AB4">
        <w:tblPrEx>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14:paraId="455E38AA">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202322A1">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1781A7">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可持续影响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C83536">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促进社会和谐稳定</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D64487">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≥良</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00D7A3">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优</w:t>
            </w:r>
          </w:p>
        </w:tc>
      </w:tr>
      <w:tr w14:paraId="528B468E">
        <w:tblPrEx>
          <w:tblCellMar>
            <w:top w:w="0" w:type="dxa"/>
            <w:left w:w="108" w:type="dxa"/>
            <w:bottom w:w="0" w:type="dxa"/>
            <w:right w:w="108" w:type="dxa"/>
          </w:tblCellMar>
        </w:tblPrEx>
        <w:trPr>
          <w:gridAfter w:val="1"/>
          <w:wAfter w:w="234" w:type="dxa"/>
          <w:trHeight w:val="530" w:hRule="atLeast"/>
        </w:trPr>
        <w:tc>
          <w:tcPr>
            <w:tcW w:w="1977" w:type="dxa"/>
            <w:vMerge w:val="continue"/>
            <w:tcBorders>
              <w:left w:val="single" w:color="000000" w:sz="4" w:space="0"/>
              <w:bottom w:val="single" w:color="000000" w:sz="4" w:space="0"/>
              <w:right w:val="single" w:color="000000" w:sz="4" w:space="0"/>
            </w:tcBorders>
            <w:shd w:val="clear" w:color="auto" w:fill="auto"/>
            <w:vAlign w:val="center"/>
          </w:tcPr>
          <w:p w14:paraId="589CFE5C">
            <w:pPr>
              <w:spacing w:line="320" w:lineRule="exact"/>
              <w:jc w:val="center"/>
              <w:rPr>
                <w:rFonts w:ascii="仿宋_GB2312" w:hAnsi="仿宋_GB2312" w:eastAsia="仿宋_GB2312" w:cs="仿宋_GB2312"/>
                <w:sz w:val="28"/>
                <w:szCs w:val="28"/>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7506E3">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满意</w:t>
            </w:r>
          </w:p>
          <w:p w14:paraId="3692C940">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44CB3B">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满意度</w:t>
            </w:r>
          </w:p>
          <w:p w14:paraId="7815FF08">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A5D3C8">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服判息诉率（%）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839D5E">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≥85%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23B11C">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97.27%</w:t>
            </w:r>
          </w:p>
        </w:tc>
      </w:tr>
    </w:tbl>
    <w:p w14:paraId="02EA29EA">
      <w:pPr>
        <w:widowControl/>
        <w:adjustRightInd w:val="0"/>
        <w:snapToGrid w:val="0"/>
        <w:spacing w:line="580" w:lineRule="exact"/>
        <w:contextualSpacing/>
        <w:jc w:val="left"/>
        <w:rPr>
          <w:highlight w:val="yellow"/>
        </w:rPr>
      </w:pPr>
    </w:p>
    <w:p w14:paraId="4A4A6D39">
      <w:pPr>
        <w:spacing w:line="600" w:lineRule="exact"/>
        <w:jc w:val="center"/>
        <w:rPr>
          <w:rFonts w:ascii="黑体" w:hAnsi="黑体" w:eastAsia="黑体"/>
          <w:sz w:val="44"/>
          <w:szCs w:val="44"/>
        </w:rPr>
      </w:pPr>
    </w:p>
    <w:p w14:paraId="6947A116">
      <w:pPr>
        <w:spacing w:line="600" w:lineRule="exact"/>
        <w:jc w:val="center"/>
        <w:rPr>
          <w:rFonts w:ascii="黑体" w:hAnsi="黑体" w:eastAsia="黑体"/>
          <w:sz w:val="44"/>
          <w:szCs w:val="44"/>
        </w:rPr>
      </w:pPr>
    </w:p>
    <w:p w14:paraId="5B73C562">
      <w:pPr>
        <w:spacing w:line="600" w:lineRule="exact"/>
        <w:jc w:val="center"/>
        <w:outlineLvl w:val="0"/>
        <w:rPr>
          <w:rFonts w:ascii="仿宋" w:hAnsi="仿宋" w:eastAsia="仿宋"/>
        </w:rPr>
      </w:pPr>
      <w:bookmarkStart w:id="78" w:name="_Toc14447"/>
      <w:r>
        <w:rPr>
          <w:rFonts w:hint="eastAsia" w:ascii="黑体" w:hAnsi="黑体" w:eastAsia="黑体"/>
          <w:sz w:val="44"/>
          <w:szCs w:val="44"/>
        </w:rPr>
        <w:t>第</w:t>
      </w:r>
      <w:r>
        <w:rPr>
          <w:rStyle w:val="25"/>
          <w:rFonts w:hint="eastAsia" w:ascii="黑体" w:hAnsi="黑体" w:eastAsia="黑体"/>
          <w:b w:val="0"/>
        </w:rPr>
        <w:t>五部分 附表</w:t>
      </w:r>
      <w:bookmarkEnd w:id="73"/>
      <w:bookmarkEnd w:id="77"/>
      <w:bookmarkEnd w:id="78"/>
      <w:bookmarkStart w:id="79" w:name="_Toc15396619"/>
    </w:p>
    <w:p w14:paraId="76C51222">
      <w:pPr>
        <w:pStyle w:val="4"/>
        <w:rPr>
          <w:rFonts w:ascii="仿宋" w:hAnsi="仿宋" w:eastAsia="仿宋"/>
        </w:rPr>
      </w:pPr>
      <w:bookmarkStart w:id="80" w:name="_Toc24696"/>
      <w:r>
        <w:rPr>
          <w:rFonts w:hint="eastAsia" w:ascii="仿宋" w:hAnsi="仿宋" w:eastAsia="仿宋"/>
          <w:b w:val="0"/>
        </w:rPr>
        <w:t>一、收</w:t>
      </w:r>
      <w:r>
        <w:rPr>
          <w:rStyle w:val="26"/>
          <w:rFonts w:hint="eastAsia" w:ascii="仿宋" w:hAnsi="仿宋" w:eastAsia="仿宋"/>
          <w:b w:val="0"/>
          <w:bCs w:val="0"/>
        </w:rPr>
        <w:t>入支出决算总表</w:t>
      </w:r>
      <w:bookmarkEnd w:id="79"/>
      <w:bookmarkEnd w:id="80"/>
    </w:p>
    <w:p w14:paraId="3C84C887">
      <w:pPr>
        <w:pStyle w:val="4"/>
        <w:rPr>
          <w:rFonts w:ascii="仿宋" w:hAnsi="仿宋" w:eastAsia="仿宋"/>
        </w:rPr>
      </w:pPr>
      <w:bookmarkStart w:id="81" w:name="_Toc15396620"/>
      <w:bookmarkStart w:id="82" w:name="_Toc566"/>
      <w:r>
        <w:rPr>
          <w:rFonts w:hint="eastAsia" w:ascii="仿宋" w:hAnsi="仿宋" w:eastAsia="仿宋"/>
          <w:b w:val="0"/>
        </w:rPr>
        <w:t>二、收</w:t>
      </w:r>
      <w:r>
        <w:rPr>
          <w:rStyle w:val="26"/>
          <w:rFonts w:hint="eastAsia" w:ascii="仿宋" w:hAnsi="仿宋" w:eastAsia="仿宋"/>
          <w:b w:val="0"/>
          <w:bCs w:val="0"/>
        </w:rPr>
        <w:t>入决算表</w:t>
      </w:r>
      <w:bookmarkEnd w:id="81"/>
      <w:bookmarkEnd w:id="82"/>
    </w:p>
    <w:p w14:paraId="19F942E3">
      <w:pPr>
        <w:pStyle w:val="4"/>
        <w:rPr>
          <w:rFonts w:ascii="仿宋" w:hAnsi="仿宋" w:eastAsia="仿宋"/>
        </w:rPr>
      </w:pPr>
      <w:bookmarkStart w:id="83" w:name="_Toc12832"/>
      <w:bookmarkStart w:id="84" w:name="_Toc15396621"/>
      <w:r>
        <w:rPr>
          <w:rStyle w:val="26"/>
          <w:rFonts w:hint="eastAsia" w:ascii="仿宋" w:hAnsi="仿宋" w:eastAsia="仿宋"/>
          <w:b w:val="0"/>
          <w:bCs w:val="0"/>
        </w:rPr>
        <w:t>三、</w:t>
      </w:r>
      <w:r>
        <w:rPr>
          <w:rFonts w:hint="eastAsia" w:ascii="仿宋" w:hAnsi="仿宋" w:eastAsia="仿宋"/>
          <w:b w:val="0"/>
        </w:rPr>
        <w:t>支</w:t>
      </w:r>
      <w:r>
        <w:rPr>
          <w:rStyle w:val="26"/>
          <w:rFonts w:hint="eastAsia" w:ascii="仿宋" w:hAnsi="仿宋" w:eastAsia="仿宋"/>
          <w:b w:val="0"/>
          <w:bCs w:val="0"/>
        </w:rPr>
        <w:t>出决算表</w:t>
      </w:r>
      <w:bookmarkEnd w:id="83"/>
      <w:bookmarkEnd w:id="84"/>
    </w:p>
    <w:p w14:paraId="26554D48">
      <w:pPr>
        <w:pStyle w:val="4"/>
        <w:rPr>
          <w:rFonts w:ascii="仿宋" w:hAnsi="仿宋" w:eastAsia="仿宋"/>
          <w:b w:val="0"/>
        </w:rPr>
      </w:pPr>
      <w:bookmarkStart w:id="85" w:name="_Toc31457"/>
      <w:bookmarkStart w:id="86" w:name="_Toc15396622"/>
      <w:r>
        <w:rPr>
          <w:rStyle w:val="26"/>
          <w:rFonts w:hint="eastAsia" w:ascii="仿宋" w:hAnsi="仿宋" w:eastAsia="仿宋"/>
          <w:b w:val="0"/>
          <w:bCs w:val="0"/>
        </w:rPr>
        <w:t>四、</w:t>
      </w:r>
      <w:r>
        <w:rPr>
          <w:rFonts w:hint="eastAsia" w:ascii="仿宋" w:hAnsi="仿宋" w:eastAsia="仿宋"/>
          <w:b w:val="0"/>
        </w:rPr>
        <w:t>财</w:t>
      </w:r>
      <w:r>
        <w:rPr>
          <w:rStyle w:val="26"/>
          <w:rFonts w:hint="eastAsia" w:ascii="仿宋" w:hAnsi="仿宋" w:eastAsia="仿宋"/>
          <w:b w:val="0"/>
          <w:bCs w:val="0"/>
        </w:rPr>
        <w:t>政拨款收入支出决算总表</w:t>
      </w:r>
      <w:bookmarkEnd w:id="85"/>
      <w:bookmarkEnd w:id="86"/>
    </w:p>
    <w:p w14:paraId="1BC85F43">
      <w:pPr>
        <w:pStyle w:val="4"/>
        <w:rPr>
          <w:rStyle w:val="26"/>
          <w:rFonts w:ascii="仿宋" w:hAnsi="仿宋" w:eastAsia="仿宋"/>
          <w:b w:val="0"/>
          <w:bCs w:val="0"/>
        </w:rPr>
      </w:pPr>
      <w:bookmarkStart w:id="87" w:name="_Toc3919"/>
      <w:bookmarkStart w:id="88" w:name="_Toc15396623"/>
      <w:r>
        <w:rPr>
          <w:rStyle w:val="26"/>
          <w:rFonts w:hint="eastAsia" w:ascii="仿宋" w:hAnsi="仿宋" w:eastAsia="仿宋"/>
          <w:b w:val="0"/>
          <w:bCs w:val="0"/>
        </w:rPr>
        <w:t>五、</w:t>
      </w:r>
      <w:r>
        <w:rPr>
          <w:rFonts w:hint="eastAsia" w:ascii="仿宋" w:hAnsi="仿宋" w:eastAsia="仿宋"/>
          <w:b w:val="0"/>
        </w:rPr>
        <w:t>财</w:t>
      </w:r>
      <w:r>
        <w:rPr>
          <w:rStyle w:val="26"/>
          <w:rFonts w:hint="eastAsia" w:ascii="仿宋" w:hAnsi="仿宋" w:eastAsia="仿宋"/>
          <w:b w:val="0"/>
          <w:bCs w:val="0"/>
        </w:rPr>
        <w:t>政拨款支出决算明细表</w:t>
      </w:r>
      <w:bookmarkEnd w:id="87"/>
      <w:bookmarkEnd w:id="88"/>
      <w:bookmarkStart w:id="89" w:name="_Toc15396624"/>
    </w:p>
    <w:p w14:paraId="6FB52AF9">
      <w:pPr>
        <w:pStyle w:val="4"/>
        <w:rPr>
          <w:rFonts w:ascii="仿宋" w:hAnsi="仿宋" w:eastAsia="仿宋"/>
        </w:rPr>
      </w:pPr>
      <w:bookmarkStart w:id="90" w:name="_Toc23911"/>
      <w:r>
        <w:rPr>
          <w:rStyle w:val="26"/>
          <w:rFonts w:hint="eastAsia" w:ascii="仿宋" w:hAnsi="仿宋" w:eastAsia="仿宋"/>
          <w:b w:val="0"/>
          <w:bCs w:val="0"/>
        </w:rPr>
        <w:t>六、</w:t>
      </w:r>
      <w:r>
        <w:rPr>
          <w:rFonts w:hint="eastAsia" w:ascii="仿宋" w:hAnsi="仿宋" w:eastAsia="仿宋"/>
          <w:b w:val="0"/>
        </w:rPr>
        <w:t>一</w:t>
      </w:r>
      <w:r>
        <w:rPr>
          <w:rStyle w:val="26"/>
          <w:rFonts w:hint="eastAsia" w:ascii="仿宋" w:hAnsi="仿宋" w:eastAsia="仿宋"/>
          <w:b w:val="0"/>
          <w:bCs w:val="0"/>
        </w:rPr>
        <w:t>般公共预算财政拨款支出决算表</w:t>
      </w:r>
      <w:bookmarkEnd w:id="89"/>
      <w:bookmarkEnd w:id="90"/>
    </w:p>
    <w:p w14:paraId="57AB520B">
      <w:pPr>
        <w:pStyle w:val="4"/>
        <w:rPr>
          <w:rFonts w:ascii="仿宋" w:hAnsi="仿宋" w:eastAsia="仿宋"/>
        </w:rPr>
      </w:pPr>
      <w:bookmarkStart w:id="91" w:name="_Toc15396625"/>
      <w:bookmarkStart w:id="92" w:name="_Toc2727"/>
      <w:r>
        <w:rPr>
          <w:rStyle w:val="26"/>
          <w:rFonts w:hint="eastAsia" w:ascii="仿宋" w:hAnsi="仿宋" w:eastAsia="仿宋"/>
          <w:b w:val="0"/>
          <w:bCs w:val="0"/>
        </w:rPr>
        <w:t>七、</w:t>
      </w:r>
      <w:r>
        <w:rPr>
          <w:rFonts w:hint="eastAsia" w:ascii="仿宋" w:hAnsi="仿宋" w:eastAsia="仿宋"/>
          <w:b w:val="0"/>
        </w:rPr>
        <w:t>一</w:t>
      </w:r>
      <w:r>
        <w:rPr>
          <w:rStyle w:val="26"/>
          <w:rFonts w:hint="eastAsia" w:ascii="仿宋" w:hAnsi="仿宋" w:eastAsia="仿宋"/>
          <w:b w:val="0"/>
          <w:bCs w:val="0"/>
        </w:rPr>
        <w:t>般公共预算财政拨款支出决算明细表</w:t>
      </w:r>
      <w:bookmarkEnd w:id="91"/>
      <w:bookmarkEnd w:id="92"/>
    </w:p>
    <w:p w14:paraId="079D12C9">
      <w:pPr>
        <w:pStyle w:val="4"/>
        <w:rPr>
          <w:rFonts w:ascii="仿宋" w:hAnsi="仿宋" w:eastAsia="仿宋"/>
        </w:rPr>
      </w:pPr>
      <w:bookmarkStart w:id="93" w:name="_Toc20286"/>
      <w:bookmarkStart w:id="94" w:name="_Toc15396626"/>
      <w:r>
        <w:rPr>
          <w:rStyle w:val="26"/>
          <w:rFonts w:hint="eastAsia" w:ascii="仿宋" w:hAnsi="仿宋" w:eastAsia="仿宋"/>
          <w:b w:val="0"/>
          <w:bCs w:val="0"/>
        </w:rPr>
        <w:t>八、</w:t>
      </w:r>
      <w:r>
        <w:rPr>
          <w:rFonts w:hint="eastAsia" w:ascii="仿宋" w:hAnsi="仿宋" w:eastAsia="仿宋"/>
          <w:b w:val="0"/>
        </w:rPr>
        <w:t>一</w:t>
      </w:r>
      <w:r>
        <w:rPr>
          <w:rStyle w:val="26"/>
          <w:rFonts w:hint="eastAsia" w:ascii="仿宋" w:hAnsi="仿宋" w:eastAsia="仿宋"/>
          <w:b w:val="0"/>
          <w:bCs w:val="0"/>
        </w:rPr>
        <w:t>般公共预算财政拨款基本支出决算表</w:t>
      </w:r>
      <w:bookmarkEnd w:id="93"/>
      <w:bookmarkEnd w:id="94"/>
    </w:p>
    <w:p w14:paraId="7D3D0519">
      <w:pPr>
        <w:pStyle w:val="4"/>
        <w:rPr>
          <w:rFonts w:ascii="仿宋" w:hAnsi="仿宋" w:eastAsia="仿宋"/>
        </w:rPr>
      </w:pPr>
      <w:bookmarkStart w:id="95" w:name="_Toc15396627"/>
      <w:bookmarkStart w:id="96" w:name="_Toc9120"/>
      <w:r>
        <w:rPr>
          <w:rStyle w:val="26"/>
          <w:rFonts w:hint="eastAsia" w:ascii="仿宋" w:hAnsi="仿宋" w:eastAsia="仿宋"/>
          <w:b w:val="0"/>
          <w:bCs w:val="0"/>
        </w:rPr>
        <w:t>九、</w:t>
      </w:r>
      <w:r>
        <w:rPr>
          <w:rFonts w:hint="eastAsia" w:ascii="仿宋" w:hAnsi="仿宋" w:eastAsia="仿宋"/>
          <w:b w:val="0"/>
        </w:rPr>
        <w:t>一</w:t>
      </w:r>
      <w:r>
        <w:rPr>
          <w:rStyle w:val="26"/>
          <w:rFonts w:hint="eastAsia" w:ascii="仿宋" w:hAnsi="仿宋" w:eastAsia="仿宋"/>
          <w:b w:val="0"/>
          <w:bCs w:val="0"/>
        </w:rPr>
        <w:t>般公共预算财政拨款项目支出决算表</w:t>
      </w:r>
      <w:bookmarkEnd w:id="95"/>
      <w:bookmarkEnd w:id="96"/>
    </w:p>
    <w:p w14:paraId="55748F7C">
      <w:pPr>
        <w:pStyle w:val="4"/>
        <w:rPr>
          <w:rFonts w:ascii="仿宋" w:hAnsi="仿宋" w:eastAsia="仿宋"/>
        </w:rPr>
      </w:pPr>
      <w:bookmarkStart w:id="97" w:name="_Toc15396628"/>
      <w:bookmarkStart w:id="98" w:name="_Toc27251"/>
      <w:r>
        <w:rPr>
          <w:rStyle w:val="26"/>
          <w:rFonts w:hint="eastAsia" w:ascii="仿宋" w:hAnsi="仿宋" w:eastAsia="仿宋"/>
          <w:b w:val="0"/>
          <w:bCs w:val="0"/>
        </w:rPr>
        <w:t>十、</w:t>
      </w:r>
      <w:r>
        <w:rPr>
          <w:rFonts w:hint="eastAsia" w:ascii="仿宋" w:hAnsi="仿宋" w:eastAsia="仿宋"/>
          <w:b w:val="0"/>
        </w:rPr>
        <w:t>一</w:t>
      </w:r>
      <w:r>
        <w:rPr>
          <w:rStyle w:val="26"/>
          <w:rFonts w:hint="eastAsia" w:ascii="仿宋" w:hAnsi="仿宋" w:eastAsia="仿宋"/>
          <w:b w:val="0"/>
          <w:bCs w:val="0"/>
        </w:rPr>
        <w:t>般公共预算财政拨款“三公”经费支出决算表</w:t>
      </w:r>
      <w:bookmarkEnd w:id="97"/>
      <w:bookmarkEnd w:id="98"/>
    </w:p>
    <w:p w14:paraId="206BC1E1">
      <w:pPr>
        <w:pStyle w:val="4"/>
        <w:rPr>
          <w:rFonts w:ascii="仿宋" w:hAnsi="仿宋" w:eastAsia="仿宋"/>
        </w:rPr>
      </w:pPr>
      <w:bookmarkStart w:id="99" w:name="_Toc2754"/>
      <w:bookmarkStart w:id="100" w:name="_Toc15396629"/>
      <w:r>
        <w:rPr>
          <w:rStyle w:val="26"/>
          <w:rFonts w:hint="eastAsia" w:ascii="仿宋" w:hAnsi="仿宋" w:eastAsia="仿宋"/>
          <w:b w:val="0"/>
          <w:bCs w:val="0"/>
        </w:rPr>
        <w:t>十一、</w:t>
      </w:r>
      <w:r>
        <w:rPr>
          <w:rFonts w:hint="eastAsia" w:ascii="仿宋" w:hAnsi="仿宋" w:eastAsia="仿宋"/>
          <w:b w:val="0"/>
        </w:rPr>
        <w:t>政</w:t>
      </w:r>
      <w:r>
        <w:rPr>
          <w:rStyle w:val="26"/>
          <w:rFonts w:hint="eastAsia" w:ascii="仿宋" w:hAnsi="仿宋" w:eastAsia="仿宋"/>
          <w:b w:val="0"/>
          <w:bCs w:val="0"/>
        </w:rPr>
        <w:t>府性基金预算财政拨款收入支出决算表</w:t>
      </w:r>
      <w:bookmarkEnd w:id="99"/>
      <w:bookmarkEnd w:id="100"/>
    </w:p>
    <w:p w14:paraId="45DDB2A1">
      <w:pPr>
        <w:pStyle w:val="4"/>
        <w:rPr>
          <w:rFonts w:ascii="仿宋" w:hAnsi="仿宋" w:eastAsia="仿宋"/>
        </w:rPr>
      </w:pPr>
      <w:bookmarkStart w:id="101" w:name="_Toc15396630"/>
      <w:bookmarkStart w:id="102" w:name="_Toc18801"/>
      <w:r>
        <w:rPr>
          <w:rStyle w:val="26"/>
          <w:rFonts w:hint="eastAsia" w:ascii="仿宋" w:hAnsi="仿宋" w:eastAsia="仿宋"/>
          <w:b w:val="0"/>
          <w:bCs w:val="0"/>
        </w:rPr>
        <w:t>十二、</w:t>
      </w:r>
      <w:r>
        <w:rPr>
          <w:rFonts w:hint="eastAsia" w:ascii="仿宋" w:hAnsi="仿宋" w:eastAsia="仿宋"/>
          <w:b w:val="0"/>
        </w:rPr>
        <w:t>政</w:t>
      </w:r>
      <w:r>
        <w:rPr>
          <w:rStyle w:val="26"/>
          <w:rFonts w:hint="eastAsia" w:ascii="仿宋" w:hAnsi="仿宋" w:eastAsia="仿宋"/>
          <w:b w:val="0"/>
          <w:bCs w:val="0"/>
        </w:rPr>
        <w:t>府性基金预算财政拨款“三公”经费支出决算表</w:t>
      </w:r>
      <w:bookmarkEnd w:id="101"/>
      <w:bookmarkEnd w:id="102"/>
    </w:p>
    <w:p w14:paraId="1A2E654F">
      <w:pPr>
        <w:pStyle w:val="4"/>
        <w:rPr>
          <w:rStyle w:val="26"/>
          <w:rFonts w:ascii="仿宋" w:hAnsi="仿宋" w:eastAsia="仿宋"/>
          <w:b w:val="0"/>
          <w:bCs w:val="0"/>
        </w:rPr>
      </w:pPr>
      <w:bookmarkStart w:id="103" w:name="_Toc29887"/>
      <w:bookmarkStart w:id="104" w:name="_Toc15396631"/>
      <w:r>
        <w:rPr>
          <w:rStyle w:val="26"/>
          <w:rFonts w:hint="eastAsia" w:ascii="仿宋" w:hAnsi="仿宋" w:eastAsia="仿宋"/>
          <w:b w:val="0"/>
          <w:bCs w:val="0"/>
        </w:rPr>
        <w:t>十三、</w:t>
      </w:r>
      <w:r>
        <w:rPr>
          <w:rFonts w:hint="eastAsia" w:ascii="仿宋" w:hAnsi="仿宋" w:eastAsia="仿宋"/>
          <w:b w:val="0"/>
        </w:rPr>
        <w:t>国</w:t>
      </w:r>
      <w:r>
        <w:rPr>
          <w:rStyle w:val="26"/>
          <w:rFonts w:hint="eastAsia" w:ascii="仿宋" w:hAnsi="仿宋" w:eastAsia="仿宋"/>
          <w:b w:val="0"/>
          <w:bCs w:val="0"/>
        </w:rPr>
        <w:t>有资本经营预算财政拨款收入支出决算表</w:t>
      </w:r>
      <w:bookmarkEnd w:id="103"/>
      <w:bookmarkEnd w:id="104"/>
    </w:p>
    <w:p w14:paraId="7C87DE41">
      <w:pPr>
        <w:rPr>
          <w:rFonts w:eastAsia="仿宋"/>
        </w:rPr>
      </w:pPr>
      <w:bookmarkStart w:id="105" w:name="_Toc10800"/>
      <w:r>
        <w:rPr>
          <w:rStyle w:val="26"/>
          <w:rFonts w:hint="eastAsia" w:ascii="仿宋" w:hAnsi="仿宋" w:eastAsia="仿宋"/>
          <w:b w:val="0"/>
          <w:bCs w:val="0"/>
        </w:rPr>
        <w:t>十四、国有资本经营预算财政拨款支出决算表</w:t>
      </w:r>
      <w:bookmarkEnd w:id="105"/>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F8E668D-0EF5-47AD-9CDF-0B2D49F1825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2" w:fontKey="{7D3E93C7-772F-4267-A373-B79309DE04A7}"/>
  </w:font>
  <w:font w:name="仿宋_GB2312">
    <w:altName w:val="仿宋"/>
    <w:panose1 w:val="00000000000000000000"/>
    <w:charset w:val="86"/>
    <w:family w:val="modern"/>
    <w:pitch w:val="default"/>
    <w:sig w:usb0="00000000" w:usb1="00000000" w:usb2="00000000" w:usb3="00000000" w:csb0="00040000" w:csb1="00000000"/>
    <w:embedRegular r:id="rId3" w:fontKey="{D00DAF0C-9DFD-4D33-A85C-252ED32AE54D}"/>
  </w:font>
  <w:font w:name="仿宋">
    <w:panose1 w:val="02010609060101010101"/>
    <w:charset w:val="86"/>
    <w:family w:val="modern"/>
    <w:pitch w:val="default"/>
    <w:sig w:usb0="800002BF" w:usb1="38CF7CFA" w:usb2="00000016" w:usb3="00000000" w:csb0="00040001" w:csb1="00000000"/>
    <w:embedRegular r:id="rId4" w:fontKey="{BAB6C5C0-4612-41DB-9062-B947C9E9D3B5}"/>
  </w:font>
  <w:font w:name="方正小标宋简体">
    <w:panose1 w:val="02000000000000000000"/>
    <w:charset w:val="86"/>
    <w:family w:val="script"/>
    <w:pitch w:val="default"/>
    <w:sig w:usb0="00000001" w:usb1="08000000" w:usb2="00000000" w:usb3="00000000" w:csb0="00040000" w:csb1="00000000"/>
    <w:embedRegular r:id="rId5" w:fontKey="{6983A362-2872-42DE-A468-0D46DE27A7AF}"/>
  </w:font>
  <w:font w:name="方正舒体">
    <w:panose1 w:val="02010601030101010101"/>
    <w:charset w:val="86"/>
    <w:family w:val="auto"/>
    <w:pitch w:val="default"/>
    <w:sig w:usb0="00000003" w:usb1="080E0000" w:usb2="00000000" w:usb3="00000000" w:csb0="00040000" w:csb1="00000000"/>
    <w:embedRegular r:id="rId6" w:fontKey="{01A11A9C-D119-4A39-B64B-8EC1681516C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27E14C50">
        <w:pPr>
          <w:pStyle w:val="9"/>
          <w:jc w:val="center"/>
        </w:pPr>
        <w:r>
          <w:fldChar w:fldCharType="begin"/>
        </w:r>
        <w:r>
          <w:instrText xml:space="preserve">PAGE   \* MERGEFORMAT</w:instrText>
        </w:r>
        <w:r>
          <w:fldChar w:fldCharType="separate"/>
        </w:r>
        <w:r>
          <w:rPr>
            <w:lang w:val="zh-CN"/>
          </w:rPr>
          <w:t>3</w:t>
        </w:r>
        <w:r>
          <w:fldChar w:fldCharType="end"/>
        </w:r>
      </w:p>
    </w:sdtContent>
  </w:sdt>
  <w:p w14:paraId="00165865">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24053">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F95E0D"/>
    <w:multiLevelType w:val="singleLevel"/>
    <w:tmpl w:val="C9F95E0D"/>
    <w:lvl w:ilvl="0" w:tentative="0">
      <w:start w:val="1"/>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dmMDA1YjlkOTNjM2JkZWJjMTYxZWM5NGI4ODM1NTIifQ=="/>
  </w:docVars>
  <w:rsids>
    <w:rsidRoot w:val="00F1361C"/>
    <w:rsid w:val="00013DF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B7A"/>
    <w:rsid w:val="00114E9B"/>
    <w:rsid w:val="00132224"/>
    <w:rsid w:val="00142216"/>
    <w:rsid w:val="00144D6A"/>
    <w:rsid w:val="0014729F"/>
    <w:rsid w:val="00157BAB"/>
    <w:rsid w:val="001654D1"/>
    <w:rsid w:val="00174518"/>
    <w:rsid w:val="0018106D"/>
    <w:rsid w:val="00185A54"/>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E4ABE"/>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1C35"/>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355B8"/>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56295"/>
    <w:rsid w:val="0076182A"/>
    <w:rsid w:val="00767B7E"/>
    <w:rsid w:val="007770C3"/>
    <w:rsid w:val="00784D24"/>
    <w:rsid w:val="00785FBA"/>
    <w:rsid w:val="00786E4A"/>
    <w:rsid w:val="007875EB"/>
    <w:rsid w:val="00793CD1"/>
    <w:rsid w:val="0079426B"/>
    <w:rsid w:val="00795649"/>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525"/>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06"/>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D2124"/>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CF24E2"/>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E313B"/>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4D3B"/>
    <w:rsid w:val="00F36D8F"/>
    <w:rsid w:val="00F417B1"/>
    <w:rsid w:val="00F45853"/>
    <w:rsid w:val="00F602DF"/>
    <w:rsid w:val="00F754A1"/>
    <w:rsid w:val="00F81FD9"/>
    <w:rsid w:val="00F841AA"/>
    <w:rsid w:val="00F84A94"/>
    <w:rsid w:val="00F87E96"/>
    <w:rsid w:val="00FA23E8"/>
    <w:rsid w:val="00FD3CC1"/>
    <w:rsid w:val="00FF1E02"/>
    <w:rsid w:val="00FF2AAB"/>
    <w:rsid w:val="00FF30B4"/>
    <w:rsid w:val="01011D32"/>
    <w:rsid w:val="01543C57"/>
    <w:rsid w:val="01575B6A"/>
    <w:rsid w:val="019329D2"/>
    <w:rsid w:val="01E332B5"/>
    <w:rsid w:val="02215E20"/>
    <w:rsid w:val="02590402"/>
    <w:rsid w:val="03C274DB"/>
    <w:rsid w:val="046C21D0"/>
    <w:rsid w:val="04BA10D5"/>
    <w:rsid w:val="04F05A45"/>
    <w:rsid w:val="05B179FC"/>
    <w:rsid w:val="060818B0"/>
    <w:rsid w:val="067273BA"/>
    <w:rsid w:val="06E94E42"/>
    <w:rsid w:val="07046B81"/>
    <w:rsid w:val="074844BB"/>
    <w:rsid w:val="07AF458F"/>
    <w:rsid w:val="07B07E8C"/>
    <w:rsid w:val="080A4036"/>
    <w:rsid w:val="081B54CF"/>
    <w:rsid w:val="08D12F8B"/>
    <w:rsid w:val="08DD4D56"/>
    <w:rsid w:val="092510B2"/>
    <w:rsid w:val="09306D58"/>
    <w:rsid w:val="09645824"/>
    <w:rsid w:val="097143DB"/>
    <w:rsid w:val="09F204B1"/>
    <w:rsid w:val="0A2032A3"/>
    <w:rsid w:val="0AAB6D55"/>
    <w:rsid w:val="0ABC235D"/>
    <w:rsid w:val="0B48482D"/>
    <w:rsid w:val="0B687DEF"/>
    <w:rsid w:val="0B8A37D8"/>
    <w:rsid w:val="0C4F5747"/>
    <w:rsid w:val="0CB47CA0"/>
    <w:rsid w:val="0CDE6ACB"/>
    <w:rsid w:val="0D27282F"/>
    <w:rsid w:val="0D5A0848"/>
    <w:rsid w:val="0E77198B"/>
    <w:rsid w:val="0E7C2142"/>
    <w:rsid w:val="0F2905BF"/>
    <w:rsid w:val="0F3E3908"/>
    <w:rsid w:val="1032785A"/>
    <w:rsid w:val="10B60B86"/>
    <w:rsid w:val="10C055FF"/>
    <w:rsid w:val="113969C6"/>
    <w:rsid w:val="115A0E16"/>
    <w:rsid w:val="118107EC"/>
    <w:rsid w:val="11DD6519"/>
    <w:rsid w:val="11E63F9F"/>
    <w:rsid w:val="11F22843"/>
    <w:rsid w:val="126677F5"/>
    <w:rsid w:val="12CC7AF2"/>
    <w:rsid w:val="13113072"/>
    <w:rsid w:val="131A6D6F"/>
    <w:rsid w:val="135C2A18"/>
    <w:rsid w:val="13A10F7E"/>
    <w:rsid w:val="13AF1F58"/>
    <w:rsid w:val="13C44C6D"/>
    <w:rsid w:val="13F332BC"/>
    <w:rsid w:val="14A14FAE"/>
    <w:rsid w:val="150115A9"/>
    <w:rsid w:val="15107A3E"/>
    <w:rsid w:val="1517701E"/>
    <w:rsid w:val="1539572D"/>
    <w:rsid w:val="15C54E34"/>
    <w:rsid w:val="15D75C0D"/>
    <w:rsid w:val="16780CF9"/>
    <w:rsid w:val="169064F3"/>
    <w:rsid w:val="16A9014A"/>
    <w:rsid w:val="16BB723D"/>
    <w:rsid w:val="170B670F"/>
    <w:rsid w:val="17C43372"/>
    <w:rsid w:val="17CD1C16"/>
    <w:rsid w:val="18015F3F"/>
    <w:rsid w:val="184B447B"/>
    <w:rsid w:val="18CE7F52"/>
    <w:rsid w:val="19214221"/>
    <w:rsid w:val="19526877"/>
    <w:rsid w:val="19D454DE"/>
    <w:rsid w:val="1A143B2C"/>
    <w:rsid w:val="1A330456"/>
    <w:rsid w:val="1ADA4D76"/>
    <w:rsid w:val="1B642891"/>
    <w:rsid w:val="1BB2309B"/>
    <w:rsid w:val="1BE8440E"/>
    <w:rsid w:val="1C244B0B"/>
    <w:rsid w:val="1C623275"/>
    <w:rsid w:val="1CC82894"/>
    <w:rsid w:val="1CC932F4"/>
    <w:rsid w:val="1D155CEE"/>
    <w:rsid w:val="1D271DC8"/>
    <w:rsid w:val="1DEA1774"/>
    <w:rsid w:val="1E043F4D"/>
    <w:rsid w:val="1ED0096A"/>
    <w:rsid w:val="1ED21AC2"/>
    <w:rsid w:val="1F514EB1"/>
    <w:rsid w:val="1FC16504"/>
    <w:rsid w:val="20B61DE1"/>
    <w:rsid w:val="20F57F95"/>
    <w:rsid w:val="211E3A77"/>
    <w:rsid w:val="213D4EDE"/>
    <w:rsid w:val="214176A2"/>
    <w:rsid w:val="214C3CE7"/>
    <w:rsid w:val="21B31E7D"/>
    <w:rsid w:val="224D407F"/>
    <w:rsid w:val="226715E5"/>
    <w:rsid w:val="228C104B"/>
    <w:rsid w:val="231B417D"/>
    <w:rsid w:val="2329689A"/>
    <w:rsid w:val="2346744C"/>
    <w:rsid w:val="23846E58"/>
    <w:rsid w:val="23B73EA6"/>
    <w:rsid w:val="240371BF"/>
    <w:rsid w:val="24637B8A"/>
    <w:rsid w:val="258E1F65"/>
    <w:rsid w:val="25C741E6"/>
    <w:rsid w:val="25E90264"/>
    <w:rsid w:val="25FA2770"/>
    <w:rsid w:val="26415CA9"/>
    <w:rsid w:val="265A274E"/>
    <w:rsid w:val="269F1FF9"/>
    <w:rsid w:val="27842671"/>
    <w:rsid w:val="27893DAB"/>
    <w:rsid w:val="27A30F72"/>
    <w:rsid w:val="27EB1597"/>
    <w:rsid w:val="287E4F92"/>
    <w:rsid w:val="29C76AE9"/>
    <w:rsid w:val="29D11A3A"/>
    <w:rsid w:val="29FD04D3"/>
    <w:rsid w:val="2A17569E"/>
    <w:rsid w:val="2A6428AE"/>
    <w:rsid w:val="2ABB0720"/>
    <w:rsid w:val="2ABE7A3E"/>
    <w:rsid w:val="2B411251"/>
    <w:rsid w:val="2C1B3A9D"/>
    <w:rsid w:val="2C2921E0"/>
    <w:rsid w:val="2C7B06C4"/>
    <w:rsid w:val="2D99286E"/>
    <w:rsid w:val="2DA81198"/>
    <w:rsid w:val="2DDC5B0B"/>
    <w:rsid w:val="2DE7182C"/>
    <w:rsid w:val="2DF95C84"/>
    <w:rsid w:val="2E7D74D4"/>
    <w:rsid w:val="2EB72FAC"/>
    <w:rsid w:val="2EFA178C"/>
    <w:rsid w:val="2F3C7955"/>
    <w:rsid w:val="2FBF77CE"/>
    <w:rsid w:val="30B46D73"/>
    <w:rsid w:val="30E23395"/>
    <w:rsid w:val="3102072B"/>
    <w:rsid w:val="319F7F4E"/>
    <w:rsid w:val="31C224E3"/>
    <w:rsid w:val="3200110E"/>
    <w:rsid w:val="320A7897"/>
    <w:rsid w:val="322C0915"/>
    <w:rsid w:val="32F86363"/>
    <w:rsid w:val="33273FAE"/>
    <w:rsid w:val="33B51F64"/>
    <w:rsid w:val="346C2A8B"/>
    <w:rsid w:val="35C16E06"/>
    <w:rsid w:val="35F1076F"/>
    <w:rsid w:val="364721EF"/>
    <w:rsid w:val="368E4F3A"/>
    <w:rsid w:val="369B1405"/>
    <w:rsid w:val="37022309"/>
    <w:rsid w:val="37045867"/>
    <w:rsid w:val="37270EEB"/>
    <w:rsid w:val="37C4673A"/>
    <w:rsid w:val="37C65106"/>
    <w:rsid w:val="38526424"/>
    <w:rsid w:val="38A00F55"/>
    <w:rsid w:val="38C52A81"/>
    <w:rsid w:val="39AE70AB"/>
    <w:rsid w:val="39AF0542"/>
    <w:rsid w:val="3A614714"/>
    <w:rsid w:val="3A904EB2"/>
    <w:rsid w:val="3A974896"/>
    <w:rsid w:val="3B3720B6"/>
    <w:rsid w:val="3B934DA1"/>
    <w:rsid w:val="3C0C0783"/>
    <w:rsid w:val="3C65673D"/>
    <w:rsid w:val="3CB13731"/>
    <w:rsid w:val="3D59067D"/>
    <w:rsid w:val="3E4B3711"/>
    <w:rsid w:val="3E730D7F"/>
    <w:rsid w:val="3EA846BF"/>
    <w:rsid w:val="3EEB27FE"/>
    <w:rsid w:val="3F795B0E"/>
    <w:rsid w:val="3F9F3A96"/>
    <w:rsid w:val="40040E39"/>
    <w:rsid w:val="404448BC"/>
    <w:rsid w:val="41923004"/>
    <w:rsid w:val="42262E1E"/>
    <w:rsid w:val="42271252"/>
    <w:rsid w:val="424725F3"/>
    <w:rsid w:val="42B0448A"/>
    <w:rsid w:val="42D639E1"/>
    <w:rsid w:val="431247FD"/>
    <w:rsid w:val="439A26DB"/>
    <w:rsid w:val="43C636E0"/>
    <w:rsid w:val="44623562"/>
    <w:rsid w:val="446E7657"/>
    <w:rsid w:val="451A208F"/>
    <w:rsid w:val="451C4B49"/>
    <w:rsid w:val="45EE0BA3"/>
    <w:rsid w:val="468B3FD7"/>
    <w:rsid w:val="46B4027C"/>
    <w:rsid w:val="47154451"/>
    <w:rsid w:val="471C72EC"/>
    <w:rsid w:val="47A47B1C"/>
    <w:rsid w:val="48E00EFA"/>
    <w:rsid w:val="493C27E9"/>
    <w:rsid w:val="496F39ED"/>
    <w:rsid w:val="499F2B63"/>
    <w:rsid w:val="49CD2F3E"/>
    <w:rsid w:val="49CE06CD"/>
    <w:rsid w:val="49FF41D3"/>
    <w:rsid w:val="4A111CB3"/>
    <w:rsid w:val="4A185DC8"/>
    <w:rsid w:val="4A1B668D"/>
    <w:rsid w:val="4A442959"/>
    <w:rsid w:val="4AB529F6"/>
    <w:rsid w:val="4AC8289B"/>
    <w:rsid w:val="4B8C58E0"/>
    <w:rsid w:val="4BC66ACD"/>
    <w:rsid w:val="4BE068DB"/>
    <w:rsid w:val="4BF6002B"/>
    <w:rsid w:val="4C0307A5"/>
    <w:rsid w:val="4C856040"/>
    <w:rsid w:val="4D532CFB"/>
    <w:rsid w:val="4D7E726E"/>
    <w:rsid w:val="4D8B1FBB"/>
    <w:rsid w:val="4D940ECA"/>
    <w:rsid w:val="4E1A6C5C"/>
    <w:rsid w:val="4E1F7549"/>
    <w:rsid w:val="4E600B13"/>
    <w:rsid w:val="4E6A373F"/>
    <w:rsid w:val="4E952649"/>
    <w:rsid w:val="4EA40C13"/>
    <w:rsid w:val="4ECE2238"/>
    <w:rsid w:val="4F443F90"/>
    <w:rsid w:val="50086A80"/>
    <w:rsid w:val="50DC291C"/>
    <w:rsid w:val="510A114E"/>
    <w:rsid w:val="51DB4B86"/>
    <w:rsid w:val="52A01E26"/>
    <w:rsid w:val="52AC4215"/>
    <w:rsid w:val="52C96552"/>
    <w:rsid w:val="53221E1E"/>
    <w:rsid w:val="53884592"/>
    <w:rsid w:val="53CA73AC"/>
    <w:rsid w:val="53E75832"/>
    <w:rsid w:val="53EE720A"/>
    <w:rsid w:val="54464931"/>
    <w:rsid w:val="54612FF9"/>
    <w:rsid w:val="55333C3E"/>
    <w:rsid w:val="55D1679A"/>
    <w:rsid w:val="56462CE4"/>
    <w:rsid w:val="56A52E69"/>
    <w:rsid w:val="571148EB"/>
    <w:rsid w:val="581E2F41"/>
    <w:rsid w:val="589A217C"/>
    <w:rsid w:val="59084281"/>
    <w:rsid w:val="598F3A95"/>
    <w:rsid w:val="59EF11B0"/>
    <w:rsid w:val="5A690D4F"/>
    <w:rsid w:val="5AA84FF7"/>
    <w:rsid w:val="5AB83A84"/>
    <w:rsid w:val="5B3C2907"/>
    <w:rsid w:val="5B8C3E3B"/>
    <w:rsid w:val="5BB57FC4"/>
    <w:rsid w:val="5BC3635B"/>
    <w:rsid w:val="5C8348C3"/>
    <w:rsid w:val="5C912A9A"/>
    <w:rsid w:val="5CA40764"/>
    <w:rsid w:val="5D2B78B6"/>
    <w:rsid w:val="5D4B5084"/>
    <w:rsid w:val="5E9D34E8"/>
    <w:rsid w:val="5EFF3A78"/>
    <w:rsid w:val="5F35787B"/>
    <w:rsid w:val="5F420C0C"/>
    <w:rsid w:val="5F8A1EE4"/>
    <w:rsid w:val="5FCC3972"/>
    <w:rsid w:val="5FD44EBD"/>
    <w:rsid w:val="5FFE3A50"/>
    <w:rsid w:val="605A167C"/>
    <w:rsid w:val="60875A6C"/>
    <w:rsid w:val="60BD0047"/>
    <w:rsid w:val="60CF50CA"/>
    <w:rsid w:val="6166423A"/>
    <w:rsid w:val="61695AD8"/>
    <w:rsid w:val="630F22BB"/>
    <w:rsid w:val="63235B2A"/>
    <w:rsid w:val="637A5D7B"/>
    <w:rsid w:val="64CA39A1"/>
    <w:rsid w:val="64FB6A08"/>
    <w:rsid w:val="65864514"/>
    <w:rsid w:val="659A0956"/>
    <w:rsid w:val="65AC2438"/>
    <w:rsid w:val="665A00E6"/>
    <w:rsid w:val="66E14B8A"/>
    <w:rsid w:val="683B72E1"/>
    <w:rsid w:val="683E5044"/>
    <w:rsid w:val="68DD74D8"/>
    <w:rsid w:val="698B1F39"/>
    <w:rsid w:val="69D361E5"/>
    <w:rsid w:val="6A3273AF"/>
    <w:rsid w:val="6A5125D0"/>
    <w:rsid w:val="6A7C062B"/>
    <w:rsid w:val="6AB911D0"/>
    <w:rsid w:val="6C4A05C8"/>
    <w:rsid w:val="6C4C0AD1"/>
    <w:rsid w:val="6C7A6EA4"/>
    <w:rsid w:val="6CAE5ECE"/>
    <w:rsid w:val="6CEB1A97"/>
    <w:rsid w:val="6D5C2995"/>
    <w:rsid w:val="6E313E22"/>
    <w:rsid w:val="6ED42CC8"/>
    <w:rsid w:val="6F144536"/>
    <w:rsid w:val="6F3459CC"/>
    <w:rsid w:val="6F71097A"/>
    <w:rsid w:val="6FB70885"/>
    <w:rsid w:val="70007ECC"/>
    <w:rsid w:val="70B05C7B"/>
    <w:rsid w:val="70D94F32"/>
    <w:rsid w:val="71357785"/>
    <w:rsid w:val="7169742F"/>
    <w:rsid w:val="717604C9"/>
    <w:rsid w:val="71933BF5"/>
    <w:rsid w:val="71BB412E"/>
    <w:rsid w:val="723B035B"/>
    <w:rsid w:val="723B55F8"/>
    <w:rsid w:val="72734D90"/>
    <w:rsid w:val="728C58BB"/>
    <w:rsid w:val="73013DC3"/>
    <w:rsid w:val="73041B05"/>
    <w:rsid w:val="730F10D1"/>
    <w:rsid w:val="731E1680"/>
    <w:rsid w:val="73893DB8"/>
    <w:rsid w:val="73CC1D39"/>
    <w:rsid w:val="73E07E7C"/>
    <w:rsid w:val="741915E0"/>
    <w:rsid w:val="741D2E7E"/>
    <w:rsid w:val="74404415"/>
    <w:rsid w:val="74E366CA"/>
    <w:rsid w:val="75861F80"/>
    <w:rsid w:val="758D64AA"/>
    <w:rsid w:val="75E87713"/>
    <w:rsid w:val="760A0CED"/>
    <w:rsid w:val="76257DC8"/>
    <w:rsid w:val="76B33626"/>
    <w:rsid w:val="771C566F"/>
    <w:rsid w:val="78232A2D"/>
    <w:rsid w:val="782C2A35"/>
    <w:rsid w:val="79695127"/>
    <w:rsid w:val="799C2921"/>
    <w:rsid w:val="79A07E09"/>
    <w:rsid w:val="79E7B28D"/>
    <w:rsid w:val="7A107FD0"/>
    <w:rsid w:val="7A3C725B"/>
    <w:rsid w:val="7A66569D"/>
    <w:rsid w:val="7A7A445B"/>
    <w:rsid w:val="7AAF67FA"/>
    <w:rsid w:val="7B86755B"/>
    <w:rsid w:val="7B976F5C"/>
    <w:rsid w:val="7BC5229C"/>
    <w:rsid w:val="7BCB7664"/>
    <w:rsid w:val="7BF55892"/>
    <w:rsid w:val="7C431DAC"/>
    <w:rsid w:val="7C857813"/>
    <w:rsid w:val="7CCC6551"/>
    <w:rsid w:val="7CDC3317"/>
    <w:rsid w:val="7D511DEB"/>
    <w:rsid w:val="7DBD5EEA"/>
    <w:rsid w:val="7E772B0A"/>
    <w:rsid w:val="7F0F5AB9"/>
    <w:rsid w:val="7F215521"/>
    <w:rsid w:val="7F6A0F42"/>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qFormat/>
    <w:uiPriority w:val="99"/>
  </w:style>
  <w:style w:type="paragraph" w:styleId="6">
    <w:name w:val="Body Text"/>
    <w:basedOn w:val="1"/>
    <w:link w:val="22"/>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8"/>
    <w:semiHidden/>
    <w:unhideWhenUsed/>
    <w:qFormat/>
    <w:uiPriority w:val="99"/>
    <w:rPr>
      <w:sz w:val="18"/>
      <w:szCs w:val="18"/>
    </w:rPr>
  </w:style>
  <w:style w:type="paragraph" w:styleId="9">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10"/>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9"/>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6"/>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3"/>
    <w:qFormat/>
    <w:uiPriority w:val="9"/>
    <w:rPr>
      <w:rFonts w:ascii="Times New Roman" w:hAnsi="Times New Roman"/>
      <w:b/>
      <w:bCs/>
      <w:kern w:val="44"/>
      <w:sz w:val="44"/>
      <w:szCs w:val="44"/>
    </w:rPr>
  </w:style>
  <w:style w:type="character" w:customStyle="1" w:styleId="26">
    <w:name w:val="标题 2 Char"/>
    <w:basedOn w:val="14"/>
    <w:link w:val="4"/>
    <w:qFormat/>
    <w:uiPriority w:val="9"/>
    <w:rPr>
      <w:rFonts w:asciiTheme="majorHAnsi" w:hAnsiTheme="majorHAnsi" w:eastAsiaTheme="majorEastAsia" w:cstheme="majorBidi"/>
      <w:b/>
      <w:bCs/>
      <w:kern w:val="2"/>
      <w:sz w:val="32"/>
      <w:szCs w:val="32"/>
    </w:r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8">
    <w:name w:val="批注框文本 Char"/>
    <w:basedOn w:val="14"/>
    <w:link w:val="8"/>
    <w:semiHidden/>
    <w:qFormat/>
    <w:uiPriority w:val="99"/>
    <w:rPr>
      <w:rFonts w:ascii="Times New Roman" w:hAnsi="Times New Roman"/>
      <w:kern w:val="2"/>
      <w:sz w:val="18"/>
      <w:szCs w:val="18"/>
    </w:rPr>
  </w:style>
  <w:style w:type="character" w:customStyle="1" w:styleId="29">
    <w:name w:val="标题 3 Char"/>
    <w:basedOn w:val="14"/>
    <w:link w:val="5"/>
    <w:qFormat/>
    <w:uiPriority w:val="9"/>
    <w:rPr>
      <w:rFonts w:ascii="Times New Roman" w:hAnsi="Times New Roman"/>
      <w:b/>
      <w:bCs/>
      <w:kern w:val="2"/>
      <w:sz w:val="32"/>
      <w:szCs w:val="32"/>
    </w:rPr>
  </w:style>
  <w:style w:type="paragraph" w:customStyle="1" w:styleId="30">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1">
    <w:name w:val="WPSOffice手动目录 1"/>
    <w:qFormat/>
    <w:uiPriority w:val="0"/>
    <w:rPr>
      <w:rFonts w:ascii="Times New Roman" w:hAnsi="Times New Roman" w:eastAsia="宋体" w:cs="Times New Roman"/>
      <w:lang w:val="en-US" w:eastAsia="zh-CN" w:bidi="ar-SA"/>
    </w:rPr>
  </w:style>
  <w:style w:type="paragraph" w:customStyle="1" w:styleId="32">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image" Target="media/image2.emf"/><Relationship Id="rId11" Type="http://schemas.openxmlformats.org/officeDocument/2006/relationships/oleObject" Target="embeddings/oleObject3.bin"/><Relationship Id="rId10" Type="http://schemas.openxmlformats.org/officeDocument/2006/relationships/oleObject" Target="embeddings/oleObject2.bin"/><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10"/>
    </mc:Choice>
    <mc:Fallback>
      <c:style val="10"/>
    </mc:Fallback>
  </mc:AlternateContent>
  <c:chart>
    <c:title>
      <c:tx>
        <c:rich>
          <a:bodyPr rot="0" spcFirstLastPara="0" vertOverflow="ellipsis" vert="horz" wrap="square" anchor="ctr" anchorCtr="1"/>
          <a:lstStyle/>
          <a:p>
            <a:pPr>
              <a:defRPr lang="zh-CN" sz="1800" b="0" i="0" u="none" strike="noStrike" kern="1200" baseline="0">
                <a:solidFill>
                  <a:srgbClr val="000000"/>
                </a:solidFill>
                <a:latin typeface="+mn-lt"/>
                <a:ea typeface="+mn-ea"/>
                <a:cs typeface="+mn-cs"/>
              </a:defRPr>
            </a:pPr>
            <a:r>
              <a:rPr lang="zh-CN" b="0"/>
              <a:t>收入比重</a:t>
            </a:r>
            <a:endParaRPr lang="zh-CN" b="0"/>
          </a:p>
        </c:rich>
      </c:tx>
      <c:layout>
        <c:manualLayout>
          <c:xMode val="edge"/>
          <c:yMode val="edge"/>
          <c:x val="0.388500000000001"/>
          <c:y val="0.0231481481481481"/>
        </c:manualLayout>
      </c:layout>
      <c:overlay val="0"/>
    </c:title>
    <c:autoTitleDeleted val="0"/>
    <c:plotArea>
      <c:layout/>
      <c:pieChart>
        <c:varyColors val="1"/>
        <c:ser>
          <c:idx val="0"/>
          <c:order val="0"/>
          <c:explosion val="0"/>
          <c:dPt>
            <c:idx val="0"/>
            <c:bubble3D val="0"/>
          </c:dPt>
          <c:dPt>
            <c:idx val="1"/>
            <c:bubble3D val="0"/>
          </c:dPt>
          <c:dPt>
            <c:idx val="2"/>
            <c:bubble3D val="0"/>
          </c:dPt>
          <c:dPt>
            <c:idx val="3"/>
            <c:bubble3D val="0"/>
          </c:dPt>
          <c:dPt>
            <c:idx val="4"/>
            <c:bubble3D val="0"/>
          </c:dPt>
          <c:dPt>
            <c:idx val="5"/>
            <c:bubble3D val="0"/>
          </c:dPt>
          <c:dPt>
            <c:idx val="6"/>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Sheet1!$A$3:$A$9</c:f>
              <c:strCache>
                <c:ptCount val="7"/>
                <c:pt idx="0">
                  <c:v>一般公共预算财政拨款收入</c:v>
                </c:pt>
                <c:pt idx="1">
                  <c:v>政府性基金预算财政拨款收入</c:v>
                </c:pt>
                <c:pt idx="2">
                  <c:v>国有资本经营预算财政拨款收入</c:v>
                </c:pt>
                <c:pt idx="3">
                  <c:v>事业收入</c:v>
                </c:pt>
                <c:pt idx="4">
                  <c:v>经营收入</c:v>
                </c:pt>
                <c:pt idx="5">
                  <c:v>附属单位上缴收入</c:v>
                </c:pt>
                <c:pt idx="6">
                  <c:v>其他收入</c:v>
                </c:pt>
              </c:strCache>
            </c:strRef>
          </c:cat>
          <c:val>
            <c:numRef>
              <c:f>Sheet1!$B$3:$B$9</c:f>
              <c:numCache>
                <c:formatCode>General</c:formatCode>
                <c:ptCount val="7"/>
                <c:pt idx="0">
                  <c:v>1436.45</c:v>
                </c:pt>
              </c:numCache>
            </c:numRef>
          </c:val>
        </c:ser>
        <c:dLbls>
          <c:showLegendKey val="0"/>
          <c:showVal val="0"/>
          <c:showCatName val="0"/>
          <c:showSerName val="0"/>
          <c:showPercent val="1"/>
          <c:showBubbleSize val="0"/>
          <c:showLeaderLines val="1"/>
        </c:dLbls>
        <c:firstSliceAng val="0"/>
      </c:pieChart>
    </c:plotArea>
    <c:legend>
      <c:legendPos val="r"/>
      <c:legendEntry>
        <c:idx val="1"/>
        <c:delete val="1"/>
      </c:legendEntry>
      <c:legendEntry>
        <c:idx val="2"/>
        <c:delete val="1"/>
      </c:legendEntry>
      <c:legendEntry>
        <c:idx val="3"/>
        <c:delete val="1"/>
      </c:legendEntry>
      <c:legendEntry>
        <c:idx val="4"/>
        <c:delete val="1"/>
      </c:legendEntry>
      <c:legendEntry>
        <c:idx val="5"/>
        <c:delete val="1"/>
      </c:legendEntry>
      <c:legendEntry>
        <c:idx val="6"/>
        <c:delete val="1"/>
      </c:legendEntry>
      <c:layout/>
      <c:overlay val="0"/>
      <c:txPr>
        <a:bodyPr rot="0" spcFirstLastPara="0" vertOverflow="ellipsis" vert="horz" wrap="square" anchor="ctr" anchorCtr="1"/>
        <a:lstStyle/>
        <a:p>
          <a:pPr>
            <a:defRPr lang="zh-CN" sz="1000" b="0" i="0" u="none" strike="noStrike" kern="1200" baseline="0">
              <a:solidFill>
                <a:srgbClr val="000000"/>
              </a:solidFill>
              <a:latin typeface="+mn-lt"/>
              <a:ea typeface="+mn-ea"/>
              <a:cs typeface="+mn-cs"/>
            </a:defRPr>
          </a:pPr>
        </a:p>
      </c:txPr>
    </c:legend>
    <c:plotVisOnly val="1"/>
    <c:dispBlanksAs val="zero"/>
    <c:showDLblsOverMax val="0"/>
    <c:extLst>
      <c:ext uri="{0b15fc19-7d7d-44ad-8c2d-2c3a37ce22c3}">
        <chartProps xmlns="https://web.wps.cn/et/2018/main" chartId="{08913ea6-7441-458a-91b6-0cf37a6c707a}"/>
      </c:ext>
    </c:extLst>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10"/>
    </mc:Choice>
    <mc:Fallback>
      <c:style val="10"/>
    </mc:Fallback>
  </mc:AlternateContent>
  <c:chart>
    <c:title>
      <c:tx>
        <c:rich>
          <a:bodyPr rot="0" spcFirstLastPara="0" vertOverflow="ellipsis" vert="horz" wrap="square" anchor="ctr" anchorCtr="1"/>
          <a:lstStyle/>
          <a:p>
            <a:pPr>
              <a:defRPr lang="zh-CN" sz="1800" b="0" i="0" u="none" strike="noStrike" kern="1200" baseline="0">
                <a:solidFill>
                  <a:srgbClr val="000000"/>
                </a:solidFill>
                <a:latin typeface="+mn-lt"/>
                <a:ea typeface="+mn-ea"/>
                <a:cs typeface="+mn-cs"/>
              </a:defRPr>
            </a:pPr>
            <a:r>
              <a:rPr lang="zh-CN" altLang="en-US" b="0"/>
              <a:t>支出占比图</a:t>
            </a:r>
            <a:endParaRPr lang="zh-CN" altLang="en-US" b="0"/>
          </a:p>
        </c:rich>
      </c:tx>
      <c:layout/>
      <c:overlay val="0"/>
    </c:title>
    <c:autoTitleDeleted val="0"/>
    <c:plotArea>
      <c:layout/>
      <c:pieChart>
        <c:varyColors val="1"/>
        <c:ser>
          <c:idx val="0"/>
          <c:order val="0"/>
          <c:explosion val="0"/>
          <c:dPt>
            <c:idx val="0"/>
            <c:bubble3D val="0"/>
          </c:dPt>
          <c:dPt>
            <c:idx val="1"/>
            <c:bubble3D val="0"/>
          </c:dPt>
          <c:dPt>
            <c:idx val="2"/>
            <c:bubble3D val="0"/>
          </c:dPt>
          <c:dPt>
            <c:idx val="3"/>
            <c:bubble3D val="0"/>
          </c:dPt>
          <c:dPt>
            <c:idx val="4"/>
            <c:bubble3D val="0"/>
          </c:dPt>
          <c:dLbls>
            <c:dLbl>
              <c:idx val="0"/>
              <c:layout/>
              <c:tx>
                <c:rich>
                  <a:bodyPr rot="0" spcFirstLastPara="0" vertOverflow="ellipsis" vert="horz" wrap="square" lIns="38100" tIns="19050" rIns="38100" bIns="19050" anchor="ctr" anchorCtr="1"/>
                  <a:lstStyle/>
                  <a:p>
                    <a:pPr>
                      <a:defRPr lang="zh-CN" sz="1000" b="0" i="0" u="none" strike="noStrike" kern="1200" baseline="0">
                        <a:solidFill>
                          <a:srgbClr val="000000"/>
                        </a:solidFill>
                        <a:latin typeface="+mn-lt"/>
                        <a:ea typeface="+mn-ea"/>
                        <a:cs typeface="+mn-cs"/>
                      </a:defRPr>
                    </a:pPr>
                    <a:r>
                      <a:rPr lang="en-US" altLang="zh-CN"/>
                      <a:t>80</a:t>
                    </a:r>
                    <a:r>
                      <a:t>%</a:t>
                    </a:r>
                  </a:p>
                </c:rich>
              </c:tx>
              <c:dLblPos val="bestFit"/>
              <c:showLegendKey val="0"/>
              <c:showVal val="0"/>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1000" b="0" i="0" u="none" strike="noStrike" kern="1200" baseline="0">
                        <a:solidFill>
                          <a:srgbClr val="000000"/>
                        </a:solidFill>
                        <a:latin typeface="+mn-lt"/>
                        <a:ea typeface="+mn-ea"/>
                        <a:cs typeface="+mn-cs"/>
                      </a:defRPr>
                    </a:pPr>
                    <a:r>
                      <a:rPr lang="en-US" altLang="zh-CN"/>
                      <a:t>20</a:t>
                    </a:r>
                    <a:r>
                      <a:t>%</a:t>
                    </a:r>
                  </a:p>
                </c:rich>
              </c:tx>
              <c:dLblPos val="bestFit"/>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Sheet1!$A$16:$A$20</c:f>
              <c:strCache>
                <c:ptCount val="5"/>
                <c:pt idx="0">
                  <c:v>基本支出</c:v>
                </c:pt>
                <c:pt idx="1">
                  <c:v>项目支出</c:v>
                </c:pt>
                <c:pt idx="2">
                  <c:v>上缴上级支出</c:v>
                </c:pt>
                <c:pt idx="3">
                  <c:v>经营支出</c:v>
                </c:pt>
                <c:pt idx="4">
                  <c:v>对附属单位补助支出</c:v>
                </c:pt>
              </c:strCache>
            </c:strRef>
          </c:cat>
          <c:val>
            <c:numRef>
              <c:f>Sheet1!$B$16:$B$20</c:f>
              <c:numCache>
                <c:formatCode>General</c:formatCode>
                <c:ptCount val="5"/>
                <c:pt idx="0">
                  <c:v>1166.7</c:v>
                </c:pt>
                <c:pt idx="1">
                  <c:v>379.15</c:v>
                </c:pt>
                <c:pt idx="2">
                  <c:v>0</c:v>
                </c:pt>
                <c:pt idx="3">
                  <c:v>0</c:v>
                </c:pt>
                <c:pt idx="4">
                  <c:v>0</c:v>
                </c:pt>
              </c:numCache>
            </c:numRef>
          </c:val>
        </c:ser>
        <c:dLbls>
          <c:showLegendKey val="0"/>
          <c:showVal val="0"/>
          <c:showCatName val="0"/>
          <c:showSerName val="0"/>
          <c:showPercent val="1"/>
          <c:showBubbleSize val="0"/>
          <c:showLeaderLines val="1"/>
        </c:dLbls>
        <c:firstSliceAng val="0"/>
      </c:pieChart>
    </c:plotArea>
    <c:legend>
      <c:legendPos val="t"/>
      <c:legendEntry>
        <c:idx val="2"/>
        <c:delete val="1"/>
      </c:legendEntry>
      <c:legendEntry>
        <c:idx val="3"/>
        <c:delete val="1"/>
      </c:legendEntry>
      <c:legendEntry>
        <c:idx val="4"/>
        <c:delete val="1"/>
      </c:legendEntry>
      <c:layout>
        <c:manualLayout>
          <c:xMode val="edge"/>
          <c:yMode val="edge"/>
          <c:x val="0.0623611111111111"/>
          <c:y val="0.168518518518519"/>
        </c:manualLayout>
      </c:layout>
      <c:overlay val="0"/>
      <c:txPr>
        <a:bodyPr rot="0" spcFirstLastPara="0" vertOverflow="ellipsis" vert="horz" wrap="square" anchor="ctr" anchorCtr="1"/>
        <a:lstStyle/>
        <a:p>
          <a:pPr>
            <a:defRPr lang="zh-CN" sz="1000" b="0" i="0" u="none" strike="noStrike" kern="1200" baseline="0">
              <a:solidFill>
                <a:srgbClr val="000000"/>
              </a:solidFill>
              <a:latin typeface="+mn-lt"/>
              <a:ea typeface="+mn-ea"/>
              <a:cs typeface="+mn-cs"/>
            </a:defRPr>
          </a:pPr>
        </a:p>
      </c:txPr>
    </c:legend>
    <c:plotVisOnly val="1"/>
    <c:dispBlanksAs val="zero"/>
    <c:showDLblsOverMax val="0"/>
    <c:extLst>
      <c:ext uri="{0b15fc19-7d7d-44ad-8c2d-2c3a37ce22c3}">
        <chartProps xmlns="https://web.wps.cn/et/2018/main" chartId="{f99b8ef3-004a-4ece-8f53-dc8ced8163f8}"/>
      </c:ext>
    </c:extLst>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t>一般公共预算财政拨款支出决算结构</a:t>
            </a:r>
          </a:p>
        </c:rich>
      </c:tx>
      <c:layout/>
      <c:overlay val="0"/>
      <c:spPr>
        <a:noFill/>
        <a:ln>
          <a:noFill/>
        </a:ln>
        <a:effectLst/>
      </c:spPr>
    </c:title>
    <c:autoTitleDeleted val="0"/>
    <c:plotArea>
      <c:layout/>
      <c:pieChart>
        <c:varyColors val="1"/>
        <c:ser>
          <c:idx val="0"/>
          <c:order val="0"/>
          <c:tx>
            <c:strRef>
              <c:f>Sheet1!$B$1</c:f>
              <c:strCache>
                <c:ptCount val="1"/>
                <c:pt idx="0">
                  <c:v>一般公共预算财政拨款支出决算结构</c:v>
                </c:pt>
              </c:strCache>
            </c:strRef>
          </c:tx>
          <c:explosion val="0"/>
          <c:dPt>
            <c:idx val="0"/>
            <c:bubble3D val="0"/>
            <c:explosion val="3"/>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Pt>
            <c:idx val="2"/>
            <c:bubble3D val="0"/>
            <c:spPr>
              <a:solidFill>
                <a:srgbClr val="9BBB59"/>
              </a:solidFill>
              <a:ln w="19050">
                <a:solidFill>
                  <a:srgbClr val="FFFFFF"/>
                </a:solidFill>
              </a:ln>
              <a:effectLst/>
            </c:spPr>
          </c:dPt>
          <c:dPt>
            <c:idx val="3"/>
            <c:bubble3D val="0"/>
            <c:spPr>
              <a:solidFill>
                <a:srgbClr val="8064A2"/>
              </a:solidFill>
              <a:ln w="19050">
                <a:solidFill>
                  <a:srgbClr val="FFFFFF"/>
                </a:solidFill>
              </a:ln>
              <a:effectLst/>
            </c:spPr>
          </c:dPt>
          <c:dPt>
            <c:idx val="4"/>
            <c:bubble3D val="0"/>
            <c:spPr>
              <a:solidFill>
                <a:srgbClr val="4BACC6"/>
              </a:solidFill>
              <a:ln w="19050">
                <a:solidFill>
                  <a:srgbClr val="FFFFFF"/>
                </a:solidFill>
              </a:ln>
              <a:effectLst/>
            </c:spPr>
          </c:dPt>
          <c:dPt>
            <c:idx val="5"/>
            <c:bubble3D val="0"/>
            <c:spPr>
              <a:solidFill>
                <a:srgbClr val="F79646"/>
              </a:solidFill>
              <a:ln w="19050">
                <a:solidFill>
                  <a:srgbClr val="FFFFFF"/>
                </a:solidFill>
              </a:ln>
              <a:effectLst/>
            </c:spPr>
          </c:dPt>
          <c:dPt>
            <c:idx val="6"/>
            <c:bubble3D val="0"/>
            <c:spPr>
              <a:solidFill>
                <a:srgbClr val="FDEADA">
                  <a:lumMod val="20000"/>
                  <a:lumOff val="80000"/>
                </a:srgbClr>
              </a:solidFill>
              <a:ln w="19050">
                <a:solidFill>
                  <a:srgbClr val="FFFFFF"/>
                </a:solidFill>
              </a:ln>
              <a:effectLst/>
            </c:spPr>
          </c:dPt>
          <c:dLbls>
            <c:dLbl>
              <c:idx val="0"/>
              <c:layout/>
              <c:tx>
                <c:rich>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r>
                      <a:t> 8</a:t>
                    </a:r>
                    <a:r>
                      <a:rPr lang="en-US" altLang="zh-CN"/>
                      <a:t>6.08</a:t>
                    </a:r>
                    <a:r>
                      <a:t>%</a:t>
                    </a:r>
                  </a:p>
                </c:rich>
              </c:tx>
              <c:dLblPos val="bestFit"/>
              <c:showLegendKey val="0"/>
              <c:showVal val="1"/>
              <c:showCatName val="0"/>
              <c:showSerName val="0"/>
              <c:showPercent val="1"/>
              <c:showBubbleSize val="0"/>
              <c:extLst>
                <c:ext xmlns:c15="http://schemas.microsoft.com/office/drawing/2012/chart" uri="{CE6537A1-D6FC-4f65-9D91-7224C49458BB}">
                  <c15:layout>
                    <c:manualLayout>
                      <c:w val="0.207875976009958"/>
                      <c:h val="0.0460578922117384"/>
                    </c:manualLayout>
                  </c15:layout>
                </c:ext>
              </c:extLst>
            </c:dLbl>
            <c:dLbl>
              <c:idx val="1"/>
              <c:delete val="1"/>
            </c:dLbl>
            <c:dLbl>
              <c:idx val="2"/>
              <c:delete val="1"/>
            </c:dLbl>
            <c:dLbl>
              <c:idx val="3"/>
              <c:delete val="1"/>
            </c:dLbl>
            <c:dLbl>
              <c:idx val="4"/>
              <c:layout>
                <c:manualLayout>
                  <c:x val="0.0343027786196856"/>
                  <c:y val="0.0675455995339889"/>
                </c:manualLayout>
              </c:layout>
              <c:tx>
                <c:rich>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r>
                      <a:t>5</a:t>
                    </a:r>
                    <a:r>
                      <a:rPr lang="en-US" altLang="zh-CN"/>
                      <a:t>.67</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5"/>
              <c:layout>
                <c:manualLayout>
                  <c:x val="0.0154761727431699"/>
                  <c:y val="0.0777015685435059"/>
                </c:manualLayout>
              </c:layout>
              <c:tx>
                <c:rich>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r>
                      <a:t>2</a:t>
                    </a:r>
                    <a:r>
                      <a:rPr lang="en-US" altLang="zh-CN"/>
                      <a:t>.74</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6"/>
              <c:layout>
                <c:manualLayout>
                  <c:x val="0.0135392656760546"/>
                  <c:y val="0.0874291718602595"/>
                </c:manualLayout>
              </c:layout>
              <c:tx>
                <c:rich>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r>
                      <a:rPr lang="en-US" altLang="zh-CN"/>
                      <a:t>5.51</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bestFit"/>
            <c:showLegendKey val="0"/>
            <c:showVal val="0"/>
            <c:showCatName val="0"/>
            <c:showSerName val="0"/>
            <c:showPercent val="1"/>
            <c:showBubbleSize val="0"/>
            <c:showLeaderLines val="0"/>
            <c:extLst>
              <c:ext xmlns:c15="http://schemas.microsoft.com/office/drawing/2012/chart" uri="{CE6537A1-D6FC-4f65-9D91-7224C49458BB}">
                <c15:layout/>
                <c15:showLeaderLines val="0"/>
                <c15:leaderLines>
                  <c:spPr>
                    <a:ln w="9525" cap="flat" cmpd="sng" algn="ctr">
                      <a:solidFill>
                        <a:srgbClr val="A6A6A6">
                          <a:lumMod val="35000"/>
                          <a:lumOff val="65000"/>
                        </a:srgbClr>
                      </a:solidFill>
                      <a:prstDash val="solid"/>
                      <a:round/>
                    </a:ln>
                    <a:effectLst/>
                  </c:spPr>
                </c15:leaderLines>
              </c:ext>
            </c:extLst>
          </c:dLbls>
          <c:cat>
            <c:strRef>
              <c:f>Sheet1!$A$2:$A$8</c:f>
              <c:strCache>
                <c:ptCount val="7"/>
                <c:pt idx="0">
                  <c:v>公共安全（类）支出</c:v>
                </c:pt>
                <c:pt idx="1">
                  <c:v>教育支出（类）</c:v>
                </c:pt>
                <c:pt idx="2">
                  <c:v>科学技术（类）支出</c:v>
                </c:pt>
                <c:pt idx="3">
                  <c:v>文化旅游体育与传媒（类）支出</c:v>
                </c:pt>
                <c:pt idx="4">
                  <c:v>社会保障和就业（类）支出</c:v>
                </c:pt>
                <c:pt idx="5">
                  <c:v>卫生健康支出</c:v>
                </c:pt>
                <c:pt idx="6">
                  <c:v>住房保障支出</c:v>
                </c:pt>
              </c:strCache>
            </c:strRef>
          </c:cat>
          <c:val>
            <c:numRef>
              <c:f>Sheet1!$B$2:$B$8</c:f>
              <c:numCache>
                <c:formatCode>General</c:formatCode>
                <c:ptCount val="7"/>
                <c:pt idx="0">
                  <c:v>1255.01</c:v>
                </c:pt>
                <c:pt idx="1">
                  <c:v>0</c:v>
                </c:pt>
                <c:pt idx="2">
                  <c:v>0</c:v>
                </c:pt>
                <c:pt idx="3">
                  <c:v>0</c:v>
                </c:pt>
                <c:pt idx="4">
                  <c:v>74.1</c:v>
                </c:pt>
                <c:pt idx="5">
                  <c:v>32.51</c:v>
                </c:pt>
                <c:pt idx="6">
                  <c:v>52.25</c:v>
                </c:pt>
              </c:numCache>
            </c:numRef>
          </c:val>
        </c:ser>
        <c:ser>
          <c:idx val="1"/>
          <c:order val="1"/>
          <c:tx>
            <c:strRef>
              <c:f>Sheet1!$C$1</c:f>
              <c:strCache>
                <c:ptCount val="1"/>
                <c:pt idx="0">
                  <c:v>列1</c:v>
                </c:pt>
              </c:strCache>
            </c:strRef>
          </c:tx>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Pt>
            <c:idx val="2"/>
            <c:bubble3D val="0"/>
            <c:spPr>
              <a:solidFill>
                <a:srgbClr val="9BBB59"/>
              </a:solidFill>
              <a:ln w="19050">
                <a:solidFill>
                  <a:srgbClr val="FFFFFF"/>
                </a:solidFill>
              </a:ln>
              <a:effectLst/>
            </c:spPr>
          </c:dPt>
          <c:dPt>
            <c:idx val="3"/>
            <c:bubble3D val="0"/>
            <c:spPr>
              <a:solidFill>
                <a:srgbClr val="8064A2"/>
              </a:solidFill>
              <a:ln w="19050">
                <a:solidFill>
                  <a:srgbClr val="FFFFFF"/>
                </a:solidFill>
              </a:ln>
              <a:effectLst/>
            </c:spPr>
          </c:dPt>
          <c:dPt>
            <c:idx val="4"/>
            <c:bubble3D val="0"/>
            <c:spPr>
              <a:solidFill>
                <a:srgbClr val="4BACC6"/>
              </a:solidFill>
              <a:ln w="19050">
                <a:solidFill>
                  <a:srgbClr val="FFFFFF"/>
                </a:solidFill>
              </a:ln>
              <a:effectLst/>
            </c:spPr>
          </c:dPt>
          <c:dPt>
            <c:idx val="5"/>
            <c:bubble3D val="0"/>
            <c:spPr>
              <a:solidFill>
                <a:srgbClr val="F79646"/>
              </a:solidFill>
              <a:ln w="19050">
                <a:solidFill>
                  <a:srgbClr val="FFFFFF"/>
                </a:solidFill>
              </a:ln>
              <a:effectLst/>
            </c:spPr>
          </c:dPt>
          <c:dPt>
            <c:idx val="6"/>
            <c:bubble3D val="0"/>
            <c:spPr>
              <a:solidFill>
                <a:srgbClr val="2C4D75">
                  <a:lumMod val="60000"/>
                </a:srgbClr>
              </a:solidFill>
              <a:ln w="19050">
                <a:solidFill>
                  <a:srgbClr val="FFFFFF"/>
                </a:solidFill>
              </a:ln>
              <a:effectLst/>
            </c:spPr>
          </c:dPt>
          <c:dLbls>
            <c:delete val="1"/>
          </c:dLbls>
          <c:cat>
            <c:strRef>
              <c:f>Sheet1!$A$2:$A$8</c:f>
              <c:strCache>
                <c:ptCount val="7"/>
                <c:pt idx="0">
                  <c:v>公共安全（类）支出</c:v>
                </c:pt>
                <c:pt idx="1">
                  <c:v>教育支出（类）</c:v>
                </c:pt>
                <c:pt idx="2">
                  <c:v>科学技术（类）支出</c:v>
                </c:pt>
                <c:pt idx="3">
                  <c:v>文化旅游体育与传媒（类）支出</c:v>
                </c:pt>
                <c:pt idx="4">
                  <c:v>社会保障和就业（类）支出</c:v>
                </c:pt>
                <c:pt idx="5">
                  <c:v>卫生健康支出</c:v>
                </c:pt>
                <c:pt idx="6">
                  <c:v>住房保障支出</c:v>
                </c:pt>
              </c:strCache>
            </c:strRef>
          </c:cat>
          <c:val>
            <c:numRef>
              <c:f>Sheet1!$C$2:$C$8</c:f>
              <c:numCache>
                <c:formatCode>General</c:formatCode>
                <c:ptCount val="7"/>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1"/>
        <c:delete val="1"/>
      </c:legendEntry>
      <c:legendEntry>
        <c:idx val="2"/>
        <c:delete val="1"/>
      </c:legendEntry>
      <c:legendEntry>
        <c:idx val="3"/>
        <c:delete val="1"/>
      </c:legendEntry>
      <c:layout>
        <c:manualLayout>
          <c:xMode val="edge"/>
          <c:yMode val="edge"/>
          <c:x val="0.081487043114179"/>
          <c:y val="0.823165823252756"/>
          <c:w val="0.84575"/>
          <c:h val="0.13125605424604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zero"/>
    <c:showDLblsOverMax val="0"/>
    <c:extLst>
      <c:ext uri="{0b15fc19-7d7d-44ad-8c2d-2c3a37ce22c3}">
        <chartProps xmlns="https://web.wps.cn/et/2018/main" chartId="{fddf79d8-8141-4346-88e4-98f105da512b}"/>
      </c:ext>
    </c:extLst>
  </c:chart>
  <c:spPr>
    <a:solidFill>
      <a:srgbClr val="FFFFFF"/>
    </a:solidFill>
    <a:ln w="9525" cap="flat" cmpd="sng" algn="ctr">
      <a:solidFill>
        <a:srgbClr val="D9D9D9">
          <a:lumMod val="15000"/>
          <a:lumOff val="85000"/>
        </a:srgb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rgbClr val="595959">
                  <a:lumMod val="65000"/>
                  <a:lumOff val="35000"/>
                </a:srgb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三公经费财政拨款支出结构</c:v>
                </c:pt>
              </c:strCache>
            </c:strRef>
          </c:tx>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Pt>
            <c:idx val="2"/>
            <c:bubble3D val="0"/>
            <c:spPr>
              <a:solidFill>
                <a:srgbClr val="9BBB59"/>
              </a:solidFill>
              <a:ln w="19050">
                <a:solidFill>
                  <a:srgbClr val="FFFFFF"/>
                </a:solidFill>
              </a:ln>
              <a:effectLst/>
            </c:spPr>
          </c:dPt>
          <c:dLbls>
            <c:dLbl>
              <c:idx val="0"/>
              <c:delete val="1"/>
            </c:dLbl>
            <c:dLbl>
              <c:idx val="1"/>
              <c:layout/>
              <c:tx>
                <c:rich>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r>
                      <a:rPr lang="en-US" altLang="zh-CN"/>
                      <a:t>86.21</a:t>
                    </a:r>
                    <a:r>
                      <a:t>%</a:t>
                    </a:r>
                  </a:p>
                </c:rich>
              </c:tx>
              <c:dLblPos val="bestFit"/>
              <c:showLegendKey val="0"/>
              <c:showVal val="0"/>
              <c:showCatName val="0"/>
              <c:showSerName val="0"/>
              <c:showPercent val="1"/>
              <c:showBubbleSize val="0"/>
              <c:extLst>
                <c:ext xmlns:c15="http://schemas.microsoft.com/office/drawing/2012/chart" uri="{CE6537A1-D6FC-4f65-9D91-7224C49458BB}"/>
              </c:extLst>
            </c:dLbl>
            <c:dLbl>
              <c:idx val="2"/>
              <c:layout/>
              <c:tx>
                <c:rich>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r>
                      <a:rPr lang="en-US" altLang="zh-CN"/>
                      <a:t>13.79</a:t>
                    </a:r>
                    <a:r>
                      <a:t>%</a:t>
                    </a:r>
                  </a:p>
                </c:rich>
              </c:tx>
              <c:dLblPos val="bestFit"/>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bestFit"/>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rgbClr val="A6A6A6">
                          <a:lumMod val="35000"/>
                          <a:lumOff val="65000"/>
                        </a:srgbClr>
                      </a:solidFill>
                      <a:prstDash val="solid"/>
                      <a:round/>
                    </a:ln>
                    <a:effectLst/>
                  </c:spPr>
                </c15:leaderLines>
              </c:ext>
            </c:extLst>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1">
                  <c:v>88.6</c:v>
                </c:pt>
                <c:pt idx="2">
                  <c:v>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zero"/>
    <c:showDLblsOverMax val="0"/>
    <c:extLst>
      <c:ext uri="{0b15fc19-7d7d-44ad-8c2d-2c3a37ce22c3}">
        <chartProps xmlns="https://web.wps.cn/et/2018/main" chartId="{aec19573-d2d4-4c0e-ad43-2fe682ab4a2e}"/>
      </c:ext>
    </c:extLst>
  </c:chart>
  <c:spPr>
    <a:solidFill>
      <a:srgbClr val="FFFFFF"/>
    </a:solidFill>
    <a:ln w="9525" cap="flat" cmpd="sng" algn="ctr">
      <a:solidFill>
        <a:srgbClr val="D9D9D9">
          <a:lumMod val="15000"/>
          <a:lumOff val="85000"/>
        </a:srgb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19</Pages>
  <Words>5442</Words>
  <Characters>5927</Characters>
  <Lines>57</Lines>
  <Paragraphs>16</Paragraphs>
  <TotalTime>20</TotalTime>
  <ScaleCrop>false</ScaleCrop>
  <LinksUpToDate>false</LinksUpToDate>
  <CharactersWithSpaces>6067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昭化融媒体</cp:lastModifiedBy>
  <cp:lastPrinted>2022-09-22T01:36:00Z</cp:lastPrinted>
  <dcterms:modified xsi:type="dcterms:W3CDTF">2024-12-23T03:10:46Z</dcterms:modified>
  <dc:title>四川省***</dc:title>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B174FAB66DA54904A6E34B77E050AE70</vt:lpwstr>
  </property>
  <property fmtid="{D5CDD505-2E9C-101B-9397-08002B2CF9AE}" pid="4" name="KSOTemplateDocerSaveRecord">
    <vt:lpwstr>eyJoZGlkIjoiMGVhYTg4NGNkZWJkODFjNzcyZDRjM2M4Y2UzNjI5ZmUiLCJ1c2VySWQiOiI2MTE2MzEwMDYifQ==</vt:lpwstr>
  </property>
</Properties>
</file>