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DCF4C">
      <w:pPr>
        <w:jc w:val="center"/>
        <w:rPr>
          <w:rFonts w:hint="eastAsia" w:ascii="方正小标宋简体" w:hAnsi="方正小标宋简体" w:eastAsia="方正小标宋简体" w:cs="方正小标宋简体"/>
          <w:i w:val="0"/>
          <w:caps w:val="0"/>
          <w:color w:val="000000" w:themeColor="text1"/>
          <w:spacing w:val="0"/>
          <w:kern w:val="0"/>
          <w:sz w:val="44"/>
          <w:szCs w:val="44"/>
          <w:highlight w:val="none"/>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i w:val="0"/>
          <w:caps w:val="0"/>
          <w:color w:val="000000" w:themeColor="text1"/>
          <w:spacing w:val="0"/>
          <w:kern w:val="0"/>
          <w:sz w:val="44"/>
          <w:szCs w:val="44"/>
          <w:highlight w:val="none"/>
          <w:shd w:val="clear" w:color="auto" w:fill="FFFFFF"/>
          <w:lang w:val="en-US" w:eastAsia="zh-CN"/>
          <w14:textFill>
            <w14:solidFill>
              <w14:schemeClr w14:val="tx1"/>
            </w14:solidFill>
          </w14:textFill>
        </w:rPr>
        <w:t>广元市昭化区信访局</w:t>
      </w:r>
    </w:p>
    <w:p w14:paraId="48D8AE5B">
      <w:pPr>
        <w:jc w:val="center"/>
        <w:rPr>
          <w:rFonts w:hint="eastAsia" w:ascii="方正小标宋简体" w:hAnsi="方正小标宋简体" w:eastAsia="方正小标宋简体" w:cs="方正小标宋简体"/>
          <w:i w:val="0"/>
          <w:caps w:val="0"/>
          <w:color w:val="000000" w:themeColor="text1"/>
          <w:spacing w:val="0"/>
          <w:kern w:val="0"/>
          <w:sz w:val="44"/>
          <w:szCs w:val="44"/>
          <w:highlight w:val="none"/>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i w:val="0"/>
          <w:caps w:val="0"/>
          <w:color w:val="000000" w:themeColor="text1"/>
          <w:spacing w:val="0"/>
          <w:kern w:val="0"/>
          <w:sz w:val="44"/>
          <w:szCs w:val="44"/>
          <w:highlight w:val="none"/>
          <w:shd w:val="clear" w:color="auto" w:fill="FFFFFF"/>
          <w:lang w:val="en-US" w:eastAsia="zh-CN"/>
          <w14:textFill>
            <w14:solidFill>
              <w14:schemeClr w14:val="tx1"/>
            </w14:solidFill>
          </w14:textFill>
        </w:rPr>
        <w:t>2025年部门预算编制说明</w:t>
      </w:r>
    </w:p>
    <w:p w14:paraId="63FA4A54">
      <w:pPr>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t>目   录</w:t>
      </w:r>
    </w:p>
    <w:sdt>
      <w:sdtPr>
        <w:rPr>
          <w:rFonts w:ascii="宋体" w:hAnsi="宋体" w:eastAsia="宋体" w:cs="Times New Roman"/>
          <w:color w:val="auto"/>
          <w:kern w:val="2"/>
          <w:sz w:val="21"/>
          <w:szCs w:val="24"/>
          <w:lang w:val="en-US" w:eastAsia="zh-CN" w:bidi="ar-SA"/>
        </w:rPr>
        <w:id w:val="147470958"/>
        <w15:color w:val="DBDBDB"/>
        <w:docPartObj>
          <w:docPartGallery w:val="Table of Contents"/>
          <w:docPartUnique/>
        </w:docPartObj>
      </w:sdtPr>
      <w:sdtEndP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SA"/>
          <w14:textFill>
            <w14:solidFill>
              <w14:schemeClr w14:val="tx1"/>
            </w14:solidFill>
          </w14:textFill>
        </w:rPr>
      </w:sdtEndPr>
      <w:sdtContent>
        <w:p w14:paraId="0918D568">
          <w:pPr>
            <w:spacing w:before="0" w:beforeLines="0" w:after="0" w:afterLines="0" w:line="240" w:lineRule="auto"/>
            <w:ind w:left="0" w:leftChars="0" w:right="0" w:rightChars="0" w:firstLine="0" w:firstLineChars="0"/>
            <w:jc w:val="center"/>
          </w:pPr>
        </w:p>
        <w:p w14:paraId="197E2939">
          <w:pPr>
            <w:pStyle w:val="18"/>
            <w:tabs>
              <w:tab w:val="right" w:leader="dot" w:pos="8845"/>
            </w:tabs>
            <w:rPr>
              <w:b w:val="0"/>
              <w:bCs w:val="0"/>
              <w:sz w:val="32"/>
              <w:szCs w:val="32"/>
            </w:rPr>
          </w:pPr>
          <w:r>
            <w:rPr>
              <w:rFonts w:hint="eastAsia" w:ascii="仿宋_GB2312" w:hAnsi="仿宋_GB2312" w:eastAsia="仿宋_GB2312" w:cs="仿宋_GB2312"/>
              <w:b w:val="0"/>
              <w:bCs w:val="0"/>
              <w:i w:val="0"/>
              <w:caps w:val="0"/>
              <w:color w:val="000000" w:themeColor="text1"/>
              <w:spacing w:val="0"/>
              <w:kern w:val="0"/>
              <w:sz w:val="32"/>
              <w:szCs w:val="32"/>
              <w:highlight w:val="none"/>
              <w:lang w:val="en-US" w:eastAsia="zh-CN"/>
              <w14:textFill>
                <w14:solidFill>
                  <w14:schemeClr w14:val="tx1"/>
                </w14:solidFill>
              </w14:textFill>
            </w:rPr>
            <w:fldChar w:fldCharType="begin"/>
          </w:r>
          <w:r>
            <w:rPr>
              <w:rFonts w:hint="eastAsia" w:ascii="仿宋_GB2312" w:hAnsi="仿宋_GB2312" w:eastAsia="仿宋_GB2312" w:cs="仿宋_GB2312"/>
              <w:b w:val="0"/>
              <w:bCs w:val="0"/>
              <w:i w:val="0"/>
              <w:caps w:val="0"/>
              <w:color w:val="000000" w:themeColor="text1"/>
              <w:spacing w:val="0"/>
              <w:kern w:val="0"/>
              <w:sz w:val="32"/>
              <w:szCs w:val="32"/>
              <w:highlight w:val="none"/>
              <w:lang w:val="en-US" w:eastAsia="zh-CN"/>
              <w14:textFill>
                <w14:solidFill>
                  <w14:schemeClr w14:val="tx1"/>
                </w14:solidFill>
              </w14:textFill>
            </w:rPr>
            <w:instrText xml:space="preserve">TOC \o "1-2" \h \u</w:instrText>
          </w: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fldChar w:fldCharType="separate"/>
          </w:r>
          <w:r>
            <w:fldChar w:fldCharType="begin"/>
          </w:r>
          <w:r>
            <w:instrText xml:space="preserve"> HYPERLINK \l "_Toc11938" </w:instrText>
          </w:r>
          <w:r>
            <w:fldChar w:fldCharType="separate"/>
          </w:r>
          <w:r>
            <w:rPr>
              <w:rFonts w:hint="eastAsia" w:ascii="黑体" w:hAnsi="黑体" w:eastAsia="黑体" w:cs="黑体"/>
              <w:b w:val="0"/>
              <w:bCs w:val="0"/>
              <w:sz w:val="32"/>
              <w:szCs w:val="32"/>
              <w:lang w:val="en-US" w:eastAsia="zh-CN"/>
            </w:rPr>
            <w:t>一、基本职能及主要工作</w:t>
          </w:r>
          <w:r>
            <w:rPr>
              <w:b w:val="0"/>
              <w:bCs w:val="0"/>
              <w:sz w:val="32"/>
              <w:szCs w:val="32"/>
            </w:rPr>
            <w:tab/>
          </w:r>
          <w:r>
            <w:rPr>
              <w:b w:val="0"/>
              <w:bCs w:val="0"/>
              <w:sz w:val="32"/>
              <w:szCs w:val="32"/>
            </w:rPr>
            <w:fldChar w:fldCharType="begin"/>
          </w:r>
          <w:r>
            <w:rPr>
              <w:b w:val="0"/>
              <w:bCs w:val="0"/>
              <w:sz w:val="32"/>
              <w:szCs w:val="32"/>
            </w:rPr>
            <w:instrText xml:space="preserve"> PAGEREF _Toc11938 \h </w:instrText>
          </w:r>
          <w:r>
            <w:rPr>
              <w:b w:val="0"/>
              <w:bCs w:val="0"/>
              <w:sz w:val="32"/>
              <w:szCs w:val="32"/>
            </w:rPr>
            <w:fldChar w:fldCharType="separate"/>
          </w:r>
          <w:r>
            <w:rPr>
              <w:b w:val="0"/>
              <w:bCs w:val="0"/>
              <w:sz w:val="32"/>
              <w:szCs w:val="32"/>
            </w:rPr>
            <w:t>1</w:t>
          </w:r>
          <w:r>
            <w:rPr>
              <w:b w:val="0"/>
              <w:bCs w:val="0"/>
              <w:sz w:val="32"/>
              <w:szCs w:val="32"/>
            </w:rPr>
            <w:fldChar w:fldCharType="end"/>
          </w:r>
          <w:r>
            <w:rPr>
              <w:b w:val="0"/>
              <w:bCs w:val="0"/>
              <w:sz w:val="32"/>
              <w:szCs w:val="32"/>
            </w:rPr>
            <w:fldChar w:fldCharType="end"/>
          </w:r>
        </w:p>
        <w:p w14:paraId="092F5578">
          <w:pPr>
            <w:pStyle w:val="19"/>
            <w:tabs>
              <w:tab w:val="right" w:leader="dot" w:pos="8845"/>
            </w:tabs>
            <w:rPr>
              <w:b w:val="0"/>
              <w:bCs w:val="0"/>
              <w:sz w:val="32"/>
              <w:szCs w:val="32"/>
            </w:rPr>
          </w:pPr>
          <w:r>
            <w:fldChar w:fldCharType="begin"/>
          </w:r>
          <w:r>
            <w:instrText xml:space="preserve"> HYPERLINK \l "_Toc14150" </w:instrText>
          </w:r>
          <w:r>
            <w:fldChar w:fldCharType="separate"/>
          </w:r>
          <w:r>
            <w:rPr>
              <w:rFonts w:hint="eastAsia" w:ascii="楷体" w:hAnsi="楷体" w:eastAsia="楷体" w:cs="楷体"/>
              <w:b w:val="0"/>
              <w:bCs w:val="0"/>
              <w:sz w:val="32"/>
              <w:szCs w:val="32"/>
              <w:lang w:val="en-US" w:eastAsia="zh-CN"/>
            </w:rPr>
            <w:t>（一）区信访局职能简介</w:t>
          </w:r>
          <w:r>
            <w:rPr>
              <w:b w:val="0"/>
              <w:bCs w:val="0"/>
              <w:sz w:val="32"/>
              <w:szCs w:val="32"/>
            </w:rPr>
            <w:tab/>
          </w:r>
          <w:r>
            <w:rPr>
              <w:b w:val="0"/>
              <w:bCs w:val="0"/>
              <w:sz w:val="32"/>
              <w:szCs w:val="32"/>
            </w:rPr>
            <w:fldChar w:fldCharType="begin"/>
          </w:r>
          <w:r>
            <w:rPr>
              <w:b w:val="0"/>
              <w:bCs w:val="0"/>
              <w:sz w:val="32"/>
              <w:szCs w:val="32"/>
            </w:rPr>
            <w:instrText xml:space="preserve"> PAGEREF _Toc14150 \h </w:instrText>
          </w:r>
          <w:r>
            <w:rPr>
              <w:b w:val="0"/>
              <w:bCs w:val="0"/>
              <w:sz w:val="32"/>
              <w:szCs w:val="32"/>
            </w:rPr>
            <w:fldChar w:fldCharType="separate"/>
          </w:r>
          <w:r>
            <w:rPr>
              <w:b w:val="0"/>
              <w:bCs w:val="0"/>
              <w:sz w:val="32"/>
              <w:szCs w:val="32"/>
            </w:rPr>
            <w:t>1</w:t>
          </w:r>
          <w:r>
            <w:rPr>
              <w:b w:val="0"/>
              <w:bCs w:val="0"/>
              <w:sz w:val="32"/>
              <w:szCs w:val="32"/>
            </w:rPr>
            <w:fldChar w:fldCharType="end"/>
          </w:r>
          <w:r>
            <w:rPr>
              <w:b w:val="0"/>
              <w:bCs w:val="0"/>
              <w:sz w:val="32"/>
              <w:szCs w:val="32"/>
            </w:rPr>
            <w:fldChar w:fldCharType="end"/>
          </w:r>
        </w:p>
        <w:p w14:paraId="269361F5">
          <w:pPr>
            <w:pStyle w:val="19"/>
            <w:tabs>
              <w:tab w:val="right" w:leader="dot" w:pos="8845"/>
            </w:tabs>
            <w:rPr>
              <w:b w:val="0"/>
              <w:bCs w:val="0"/>
              <w:sz w:val="32"/>
              <w:szCs w:val="32"/>
            </w:rPr>
          </w:pPr>
          <w:r>
            <w:fldChar w:fldCharType="begin"/>
          </w:r>
          <w:r>
            <w:instrText xml:space="preserve"> HYPERLINK \l "_Toc3667" </w:instrText>
          </w:r>
          <w:r>
            <w:fldChar w:fldCharType="separate"/>
          </w:r>
          <w:r>
            <w:rPr>
              <w:rFonts w:hint="eastAsia" w:ascii="楷体" w:hAnsi="楷体" w:eastAsia="楷体" w:cs="楷体"/>
              <w:b w:val="0"/>
              <w:bCs w:val="0"/>
              <w:sz w:val="32"/>
              <w:szCs w:val="32"/>
              <w:lang w:val="en-US" w:eastAsia="zh-CN"/>
            </w:rPr>
            <w:t>（二）区信访局2025年重点工作</w:t>
          </w:r>
          <w:r>
            <w:rPr>
              <w:b w:val="0"/>
              <w:bCs w:val="0"/>
              <w:sz w:val="32"/>
              <w:szCs w:val="32"/>
            </w:rPr>
            <w:tab/>
          </w:r>
          <w:r>
            <w:rPr>
              <w:b w:val="0"/>
              <w:bCs w:val="0"/>
              <w:sz w:val="32"/>
              <w:szCs w:val="32"/>
            </w:rPr>
            <w:fldChar w:fldCharType="begin"/>
          </w:r>
          <w:r>
            <w:rPr>
              <w:b w:val="0"/>
              <w:bCs w:val="0"/>
              <w:sz w:val="32"/>
              <w:szCs w:val="32"/>
            </w:rPr>
            <w:instrText xml:space="preserve"> PAGEREF _Toc3667 \h </w:instrText>
          </w:r>
          <w:r>
            <w:rPr>
              <w:b w:val="0"/>
              <w:bCs w:val="0"/>
              <w:sz w:val="32"/>
              <w:szCs w:val="32"/>
            </w:rPr>
            <w:fldChar w:fldCharType="separate"/>
          </w:r>
          <w:r>
            <w:rPr>
              <w:b w:val="0"/>
              <w:bCs w:val="0"/>
              <w:sz w:val="32"/>
              <w:szCs w:val="32"/>
            </w:rPr>
            <w:t>2</w:t>
          </w:r>
          <w:r>
            <w:rPr>
              <w:b w:val="0"/>
              <w:bCs w:val="0"/>
              <w:sz w:val="32"/>
              <w:szCs w:val="32"/>
            </w:rPr>
            <w:fldChar w:fldCharType="end"/>
          </w:r>
          <w:r>
            <w:rPr>
              <w:b w:val="0"/>
              <w:bCs w:val="0"/>
              <w:sz w:val="32"/>
              <w:szCs w:val="32"/>
            </w:rPr>
            <w:fldChar w:fldCharType="end"/>
          </w:r>
        </w:p>
        <w:p w14:paraId="183E8588">
          <w:pPr>
            <w:pStyle w:val="18"/>
            <w:tabs>
              <w:tab w:val="right" w:leader="dot" w:pos="8845"/>
            </w:tabs>
            <w:rPr>
              <w:b w:val="0"/>
              <w:bCs w:val="0"/>
              <w:sz w:val="32"/>
              <w:szCs w:val="32"/>
            </w:rPr>
          </w:pPr>
          <w:r>
            <w:fldChar w:fldCharType="begin"/>
          </w:r>
          <w:r>
            <w:instrText xml:space="preserve"> HYPERLINK \l "_Toc9715" </w:instrText>
          </w:r>
          <w:r>
            <w:fldChar w:fldCharType="separate"/>
          </w:r>
          <w:r>
            <w:rPr>
              <w:rFonts w:hint="eastAsia" w:ascii="黑体" w:hAnsi="黑体" w:eastAsia="黑体" w:cs="黑体"/>
              <w:b w:val="0"/>
              <w:bCs w:val="0"/>
              <w:sz w:val="32"/>
              <w:szCs w:val="32"/>
              <w:lang w:val="en-US" w:eastAsia="zh-CN"/>
            </w:rPr>
            <w:t>二、 部门预算单位构成</w:t>
          </w:r>
          <w:r>
            <w:rPr>
              <w:b w:val="0"/>
              <w:bCs w:val="0"/>
              <w:sz w:val="32"/>
              <w:szCs w:val="32"/>
            </w:rPr>
            <w:tab/>
          </w:r>
          <w:r>
            <w:rPr>
              <w:b w:val="0"/>
              <w:bCs w:val="0"/>
              <w:sz w:val="32"/>
              <w:szCs w:val="32"/>
            </w:rPr>
            <w:fldChar w:fldCharType="begin"/>
          </w:r>
          <w:r>
            <w:rPr>
              <w:b w:val="0"/>
              <w:bCs w:val="0"/>
              <w:sz w:val="32"/>
              <w:szCs w:val="32"/>
            </w:rPr>
            <w:instrText xml:space="preserve"> PAGEREF _Toc9715 \h </w:instrText>
          </w:r>
          <w:r>
            <w:rPr>
              <w:b w:val="0"/>
              <w:bCs w:val="0"/>
              <w:sz w:val="32"/>
              <w:szCs w:val="32"/>
            </w:rPr>
            <w:fldChar w:fldCharType="separate"/>
          </w:r>
          <w:r>
            <w:rPr>
              <w:b w:val="0"/>
              <w:bCs w:val="0"/>
              <w:sz w:val="32"/>
              <w:szCs w:val="32"/>
            </w:rPr>
            <w:t>2</w:t>
          </w:r>
          <w:r>
            <w:rPr>
              <w:b w:val="0"/>
              <w:bCs w:val="0"/>
              <w:sz w:val="32"/>
              <w:szCs w:val="32"/>
            </w:rPr>
            <w:fldChar w:fldCharType="end"/>
          </w:r>
          <w:r>
            <w:rPr>
              <w:b w:val="0"/>
              <w:bCs w:val="0"/>
              <w:sz w:val="32"/>
              <w:szCs w:val="32"/>
            </w:rPr>
            <w:fldChar w:fldCharType="end"/>
          </w:r>
        </w:p>
        <w:p w14:paraId="37D4D0DD">
          <w:pPr>
            <w:pStyle w:val="18"/>
            <w:tabs>
              <w:tab w:val="right" w:leader="dot" w:pos="8845"/>
            </w:tabs>
            <w:rPr>
              <w:b w:val="0"/>
              <w:bCs w:val="0"/>
              <w:sz w:val="32"/>
              <w:szCs w:val="32"/>
            </w:rPr>
          </w:pPr>
          <w:r>
            <w:fldChar w:fldCharType="begin"/>
          </w:r>
          <w:r>
            <w:instrText xml:space="preserve"> HYPERLINK \l "_Toc31149" </w:instrText>
          </w:r>
          <w:r>
            <w:fldChar w:fldCharType="separate"/>
          </w:r>
          <w:r>
            <w:rPr>
              <w:rFonts w:hint="eastAsia" w:ascii="黑体" w:hAnsi="黑体" w:eastAsia="黑体" w:cs="黑体"/>
              <w:b w:val="0"/>
              <w:bCs w:val="0"/>
              <w:sz w:val="32"/>
              <w:szCs w:val="32"/>
              <w:lang w:val="en-US" w:eastAsia="zh-CN"/>
            </w:rPr>
            <w:t>三、收支预算情况说明</w:t>
          </w:r>
          <w:r>
            <w:rPr>
              <w:b w:val="0"/>
              <w:bCs w:val="0"/>
              <w:sz w:val="32"/>
              <w:szCs w:val="32"/>
            </w:rPr>
            <w:tab/>
          </w:r>
          <w:r>
            <w:rPr>
              <w:b w:val="0"/>
              <w:bCs w:val="0"/>
              <w:sz w:val="32"/>
              <w:szCs w:val="32"/>
            </w:rPr>
            <w:fldChar w:fldCharType="begin"/>
          </w:r>
          <w:r>
            <w:rPr>
              <w:b w:val="0"/>
              <w:bCs w:val="0"/>
              <w:sz w:val="32"/>
              <w:szCs w:val="32"/>
            </w:rPr>
            <w:instrText xml:space="preserve"> PAGEREF _Toc31149 \h </w:instrText>
          </w:r>
          <w:r>
            <w:rPr>
              <w:b w:val="0"/>
              <w:bCs w:val="0"/>
              <w:sz w:val="32"/>
              <w:szCs w:val="32"/>
            </w:rPr>
            <w:fldChar w:fldCharType="separate"/>
          </w:r>
          <w:r>
            <w:rPr>
              <w:b w:val="0"/>
              <w:bCs w:val="0"/>
              <w:sz w:val="32"/>
              <w:szCs w:val="32"/>
            </w:rPr>
            <w:t>3</w:t>
          </w:r>
          <w:r>
            <w:rPr>
              <w:b w:val="0"/>
              <w:bCs w:val="0"/>
              <w:sz w:val="32"/>
              <w:szCs w:val="32"/>
            </w:rPr>
            <w:fldChar w:fldCharType="end"/>
          </w:r>
          <w:r>
            <w:rPr>
              <w:b w:val="0"/>
              <w:bCs w:val="0"/>
              <w:sz w:val="32"/>
              <w:szCs w:val="32"/>
            </w:rPr>
            <w:fldChar w:fldCharType="end"/>
          </w:r>
        </w:p>
        <w:p w14:paraId="280B0C2C">
          <w:pPr>
            <w:pStyle w:val="19"/>
            <w:tabs>
              <w:tab w:val="right" w:leader="dot" w:pos="8845"/>
            </w:tabs>
            <w:rPr>
              <w:b w:val="0"/>
              <w:bCs w:val="0"/>
              <w:sz w:val="32"/>
              <w:szCs w:val="32"/>
            </w:rPr>
          </w:pPr>
          <w:r>
            <w:fldChar w:fldCharType="begin"/>
          </w:r>
          <w:r>
            <w:instrText xml:space="preserve"> HYPERLINK \l "_Toc7138" </w:instrText>
          </w:r>
          <w:r>
            <w:fldChar w:fldCharType="separate"/>
          </w:r>
          <w:r>
            <w:rPr>
              <w:rFonts w:hint="eastAsia" w:ascii="楷体" w:hAnsi="楷体" w:eastAsia="楷体" w:cs="楷体"/>
              <w:b w:val="0"/>
              <w:bCs w:val="0"/>
              <w:sz w:val="32"/>
              <w:szCs w:val="32"/>
              <w:lang w:val="en-US" w:eastAsia="zh-CN"/>
            </w:rPr>
            <w:t>（一）收入预算情况</w:t>
          </w:r>
          <w:r>
            <w:rPr>
              <w:b w:val="0"/>
              <w:bCs w:val="0"/>
              <w:sz w:val="32"/>
              <w:szCs w:val="32"/>
            </w:rPr>
            <w:tab/>
          </w:r>
          <w:r>
            <w:rPr>
              <w:b w:val="0"/>
              <w:bCs w:val="0"/>
              <w:sz w:val="32"/>
              <w:szCs w:val="32"/>
            </w:rPr>
            <w:fldChar w:fldCharType="begin"/>
          </w:r>
          <w:r>
            <w:rPr>
              <w:b w:val="0"/>
              <w:bCs w:val="0"/>
              <w:sz w:val="32"/>
              <w:szCs w:val="32"/>
            </w:rPr>
            <w:instrText xml:space="preserve"> PAGEREF _Toc7138 \h </w:instrText>
          </w:r>
          <w:r>
            <w:rPr>
              <w:b w:val="0"/>
              <w:bCs w:val="0"/>
              <w:sz w:val="32"/>
              <w:szCs w:val="32"/>
            </w:rPr>
            <w:fldChar w:fldCharType="separate"/>
          </w:r>
          <w:r>
            <w:rPr>
              <w:b w:val="0"/>
              <w:bCs w:val="0"/>
              <w:sz w:val="32"/>
              <w:szCs w:val="32"/>
            </w:rPr>
            <w:t>3</w:t>
          </w:r>
          <w:r>
            <w:rPr>
              <w:b w:val="0"/>
              <w:bCs w:val="0"/>
              <w:sz w:val="32"/>
              <w:szCs w:val="32"/>
            </w:rPr>
            <w:fldChar w:fldCharType="end"/>
          </w:r>
          <w:r>
            <w:rPr>
              <w:b w:val="0"/>
              <w:bCs w:val="0"/>
              <w:sz w:val="32"/>
              <w:szCs w:val="32"/>
            </w:rPr>
            <w:fldChar w:fldCharType="end"/>
          </w:r>
        </w:p>
        <w:p w14:paraId="5E8135CC">
          <w:pPr>
            <w:pStyle w:val="19"/>
            <w:tabs>
              <w:tab w:val="right" w:leader="dot" w:pos="8845"/>
            </w:tabs>
            <w:rPr>
              <w:b w:val="0"/>
              <w:bCs w:val="0"/>
              <w:sz w:val="32"/>
              <w:szCs w:val="32"/>
            </w:rPr>
          </w:pPr>
          <w:r>
            <w:fldChar w:fldCharType="begin"/>
          </w:r>
          <w:r>
            <w:instrText xml:space="preserve"> HYPERLINK \l "_Toc21895" </w:instrText>
          </w:r>
          <w:r>
            <w:fldChar w:fldCharType="separate"/>
          </w:r>
          <w:r>
            <w:rPr>
              <w:rFonts w:hint="eastAsia" w:ascii="楷体" w:hAnsi="楷体" w:eastAsia="楷体" w:cs="楷体"/>
              <w:b w:val="0"/>
              <w:bCs w:val="0"/>
              <w:sz w:val="32"/>
              <w:szCs w:val="32"/>
              <w:lang w:val="en-US" w:eastAsia="zh-CN"/>
            </w:rPr>
            <w:t>（二）支出预算情况</w:t>
          </w:r>
          <w:r>
            <w:rPr>
              <w:b w:val="0"/>
              <w:bCs w:val="0"/>
              <w:sz w:val="32"/>
              <w:szCs w:val="32"/>
            </w:rPr>
            <w:tab/>
          </w:r>
          <w:r>
            <w:rPr>
              <w:b w:val="0"/>
              <w:bCs w:val="0"/>
              <w:sz w:val="32"/>
              <w:szCs w:val="32"/>
            </w:rPr>
            <w:fldChar w:fldCharType="begin"/>
          </w:r>
          <w:r>
            <w:rPr>
              <w:b w:val="0"/>
              <w:bCs w:val="0"/>
              <w:sz w:val="32"/>
              <w:szCs w:val="32"/>
            </w:rPr>
            <w:instrText xml:space="preserve"> PAGEREF _Toc21895 \h </w:instrText>
          </w:r>
          <w:r>
            <w:rPr>
              <w:b w:val="0"/>
              <w:bCs w:val="0"/>
              <w:sz w:val="32"/>
              <w:szCs w:val="32"/>
            </w:rPr>
            <w:fldChar w:fldCharType="separate"/>
          </w:r>
          <w:r>
            <w:rPr>
              <w:b w:val="0"/>
              <w:bCs w:val="0"/>
              <w:sz w:val="32"/>
              <w:szCs w:val="32"/>
            </w:rPr>
            <w:t>3</w:t>
          </w:r>
          <w:r>
            <w:rPr>
              <w:b w:val="0"/>
              <w:bCs w:val="0"/>
              <w:sz w:val="32"/>
              <w:szCs w:val="32"/>
            </w:rPr>
            <w:fldChar w:fldCharType="end"/>
          </w:r>
          <w:r>
            <w:rPr>
              <w:b w:val="0"/>
              <w:bCs w:val="0"/>
              <w:sz w:val="32"/>
              <w:szCs w:val="32"/>
            </w:rPr>
            <w:fldChar w:fldCharType="end"/>
          </w:r>
        </w:p>
        <w:p w14:paraId="0B79F14E">
          <w:pPr>
            <w:pStyle w:val="18"/>
            <w:tabs>
              <w:tab w:val="right" w:leader="dot" w:pos="8845"/>
            </w:tabs>
            <w:rPr>
              <w:b w:val="0"/>
              <w:bCs w:val="0"/>
              <w:sz w:val="32"/>
              <w:szCs w:val="32"/>
            </w:rPr>
          </w:pPr>
          <w:r>
            <w:fldChar w:fldCharType="begin"/>
          </w:r>
          <w:r>
            <w:instrText xml:space="preserve"> HYPERLINK \l "_Toc7798" </w:instrText>
          </w:r>
          <w:r>
            <w:fldChar w:fldCharType="separate"/>
          </w:r>
          <w:r>
            <w:rPr>
              <w:rFonts w:hint="eastAsia" w:ascii="黑体" w:hAnsi="黑体" w:eastAsia="黑体" w:cs="黑体"/>
              <w:b w:val="0"/>
              <w:bCs w:val="0"/>
              <w:sz w:val="32"/>
              <w:szCs w:val="32"/>
              <w:lang w:val="en-US" w:eastAsia="zh-CN"/>
            </w:rPr>
            <w:t>四、财政拨款收支预算情况说明</w:t>
          </w:r>
          <w:r>
            <w:rPr>
              <w:b w:val="0"/>
              <w:bCs w:val="0"/>
              <w:sz w:val="32"/>
              <w:szCs w:val="32"/>
            </w:rPr>
            <w:tab/>
          </w:r>
          <w:r>
            <w:rPr>
              <w:b w:val="0"/>
              <w:bCs w:val="0"/>
              <w:sz w:val="32"/>
              <w:szCs w:val="32"/>
            </w:rPr>
            <w:fldChar w:fldCharType="begin"/>
          </w:r>
          <w:r>
            <w:rPr>
              <w:b w:val="0"/>
              <w:bCs w:val="0"/>
              <w:sz w:val="32"/>
              <w:szCs w:val="32"/>
            </w:rPr>
            <w:instrText xml:space="preserve"> PAGEREF _Toc7798 \h </w:instrText>
          </w:r>
          <w:r>
            <w:rPr>
              <w:b w:val="0"/>
              <w:bCs w:val="0"/>
              <w:sz w:val="32"/>
              <w:szCs w:val="32"/>
            </w:rPr>
            <w:fldChar w:fldCharType="separate"/>
          </w:r>
          <w:r>
            <w:rPr>
              <w:b w:val="0"/>
              <w:bCs w:val="0"/>
              <w:sz w:val="32"/>
              <w:szCs w:val="32"/>
            </w:rPr>
            <w:t>3</w:t>
          </w:r>
          <w:r>
            <w:rPr>
              <w:b w:val="0"/>
              <w:bCs w:val="0"/>
              <w:sz w:val="32"/>
              <w:szCs w:val="32"/>
            </w:rPr>
            <w:fldChar w:fldCharType="end"/>
          </w:r>
          <w:r>
            <w:rPr>
              <w:b w:val="0"/>
              <w:bCs w:val="0"/>
              <w:sz w:val="32"/>
              <w:szCs w:val="32"/>
            </w:rPr>
            <w:fldChar w:fldCharType="end"/>
          </w:r>
        </w:p>
        <w:p w14:paraId="47AB672C">
          <w:pPr>
            <w:pStyle w:val="18"/>
            <w:tabs>
              <w:tab w:val="right" w:leader="dot" w:pos="8845"/>
            </w:tabs>
            <w:rPr>
              <w:b w:val="0"/>
              <w:bCs w:val="0"/>
              <w:sz w:val="32"/>
              <w:szCs w:val="32"/>
            </w:rPr>
          </w:pPr>
          <w:r>
            <w:fldChar w:fldCharType="begin"/>
          </w:r>
          <w:r>
            <w:instrText xml:space="preserve"> HYPERLINK \l "_Toc7678" </w:instrText>
          </w:r>
          <w:r>
            <w:fldChar w:fldCharType="separate"/>
          </w:r>
          <w:r>
            <w:rPr>
              <w:rFonts w:hint="eastAsia" w:ascii="黑体" w:hAnsi="黑体" w:eastAsia="黑体" w:cs="黑体"/>
              <w:b w:val="0"/>
              <w:bCs w:val="0"/>
              <w:sz w:val="32"/>
              <w:szCs w:val="32"/>
              <w:lang w:val="en-US" w:eastAsia="zh-CN"/>
            </w:rPr>
            <w:t>五、一般公共预算当年拨款情况说明</w:t>
          </w:r>
          <w:r>
            <w:rPr>
              <w:b w:val="0"/>
              <w:bCs w:val="0"/>
              <w:sz w:val="32"/>
              <w:szCs w:val="32"/>
            </w:rPr>
            <w:tab/>
          </w:r>
          <w:r>
            <w:rPr>
              <w:b w:val="0"/>
              <w:bCs w:val="0"/>
              <w:sz w:val="32"/>
              <w:szCs w:val="32"/>
            </w:rPr>
            <w:fldChar w:fldCharType="begin"/>
          </w:r>
          <w:r>
            <w:rPr>
              <w:b w:val="0"/>
              <w:bCs w:val="0"/>
              <w:sz w:val="32"/>
              <w:szCs w:val="32"/>
            </w:rPr>
            <w:instrText xml:space="preserve"> PAGEREF _Toc7678 \h </w:instrText>
          </w:r>
          <w:r>
            <w:rPr>
              <w:b w:val="0"/>
              <w:bCs w:val="0"/>
              <w:sz w:val="32"/>
              <w:szCs w:val="32"/>
            </w:rPr>
            <w:fldChar w:fldCharType="separate"/>
          </w:r>
          <w:r>
            <w:rPr>
              <w:b w:val="0"/>
              <w:bCs w:val="0"/>
              <w:sz w:val="32"/>
              <w:szCs w:val="32"/>
            </w:rPr>
            <w:t>4</w:t>
          </w:r>
          <w:r>
            <w:rPr>
              <w:b w:val="0"/>
              <w:bCs w:val="0"/>
              <w:sz w:val="32"/>
              <w:szCs w:val="32"/>
            </w:rPr>
            <w:fldChar w:fldCharType="end"/>
          </w:r>
          <w:r>
            <w:rPr>
              <w:b w:val="0"/>
              <w:bCs w:val="0"/>
              <w:sz w:val="32"/>
              <w:szCs w:val="32"/>
            </w:rPr>
            <w:fldChar w:fldCharType="end"/>
          </w:r>
        </w:p>
        <w:p w14:paraId="56C991B8">
          <w:pPr>
            <w:pStyle w:val="19"/>
            <w:tabs>
              <w:tab w:val="right" w:leader="dot" w:pos="8845"/>
            </w:tabs>
            <w:rPr>
              <w:b w:val="0"/>
              <w:bCs w:val="0"/>
              <w:sz w:val="32"/>
              <w:szCs w:val="32"/>
            </w:rPr>
          </w:pPr>
          <w:r>
            <w:fldChar w:fldCharType="begin"/>
          </w:r>
          <w:r>
            <w:instrText xml:space="preserve"> HYPERLINK \l "_Toc7319" </w:instrText>
          </w:r>
          <w:r>
            <w:fldChar w:fldCharType="separate"/>
          </w:r>
          <w:r>
            <w:rPr>
              <w:rFonts w:hint="eastAsia" w:ascii="楷体" w:hAnsi="楷体" w:eastAsia="楷体" w:cs="楷体"/>
              <w:b w:val="0"/>
              <w:bCs w:val="0"/>
              <w:sz w:val="32"/>
              <w:szCs w:val="32"/>
              <w:lang w:val="en-US" w:eastAsia="zh-CN"/>
            </w:rPr>
            <w:t>（一）一般公共预算当年拨款规模变化情况</w:t>
          </w:r>
          <w:r>
            <w:rPr>
              <w:b w:val="0"/>
              <w:bCs w:val="0"/>
              <w:sz w:val="32"/>
              <w:szCs w:val="32"/>
            </w:rPr>
            <w:tab/>
          </w:r>
          <w:r>
            <w:rPr>
              <w:b w:val="0"/>
              <w:bCs w:val="0"/>
              <w:sz w:val="32"/>
              <w:szCs w:val="32"/>
            </w:rPr>
            <w:fldChar w:fldCharType="begin"/>
          </w:r>
          <w:r>
            <w:rPr>
              <w:b w:val="0"/>
              <w:bCs w:val="0"/>
              <w:sz w:val="32"/>
              <w:szCs w:val="32"/>
            </w:rPr>
            <w:instrText xml:space="preserve"> PAGEREF _Toc7319 \h </w:instrText>
          </w:r>
          <w:r>
            <w:rPr>
              <w:b w:val="0"/>
              <w:bCs w:val="0"/>
              <w:sz w:val="32"/>
              <w:szCs w:val="32"/>
            </w:rPr>
            <w:fldChar w:fldCharType="separate"/>
          </w:r>
          <w:r>
            <w:rPr>
              <w:b w:val="0"/>
              <w:bCs w:val="0"/>
              <w:sz w:val="32"/>
              <w:szCs w:val="32"/>
            </w:rPr>
            <w:t>4</w:t>
          </w:r>
          <w:r>
            <w:rPr>
              <w:b w:val="0"/>
              <w:bCs w:val="0"/>
              <w:sz w:val="32"/>
              <w:szCs w:val="32"/>
            </w:rPr>
            <w:fldChar w:fldCharType="end"/>
          </w:r>
          <w:r>
            <w:rPr>
              <w:b w:val="0"/>
              <w:bCs w:val="0"/>
              <w:sz w:val="32"/>
              <w:szCs w:val="32"/>
            </w:rPr>
            <w:fldChar w:fldCharType="end"/>
          </w:r>
        </w:p>
        <w:p w14:paraId="1F92F0E2">
          <w:pPr>
            <w:pStyle w:val="19"/>
            <w:tabs>
              <w:tab w:val="right" w:leader="dot" w:pos="8845"/>
            </w:tabs>
            <w:rPr>
              <w:b w:val="0"/>
              <w:bCs w:val="0"/>
              <w:sz w:val="32"/>
              <w:szCs w:val="32"/>
            </w:rPr>
          </w:pPr>
          <w:r>
            <w:fldChar w:fldCharType="begin"/>
          </w:r>
          <w:r>
            <w:instrText xml:space="preserve"> HYPERLINK \l "_Toc17582" </w:instrText>
          </w:r>
          <w:r>
            <w:fldChar w:fldCharType="separate"/>
          </w:r>
          <w:r>
            <w:rPr>
              <w:rFonts w:hint="eastAsia" w:ascii="楷体" w:hAnsi="楷体" w:eastAsia="楷体" w:cs="楷体"/>
              <w:b w:val="0"/>
              <w:bCs w:val="0"/>
              <w:sz w:val="32"/>
              <w:szCs w:val="32"/>
              <w:lang w:val="en-US" w:eastAsia="zh-CN"/>
            </w:rPr>
            <w:t>（二）一般公共预算当年拨款结构情况</w:t>
          </w:r>
          <w:r>
            <w:rPr>
              <w:b w:val="0"/>
              <w:bCs w:val="0"/>
              <w:sz w:val="32"/>
              <w:szCs w:val="32"/>
            </w:rPr>
            <w:tab/>
          </w:r>
          <w:r>
            <w:rPr>
              <w:b w:val="0"/>
              <w:bCs w:val="0"/>
              <w:sz w:val="32"/>
              <w:szCs w:val="32"/>
            </w:rPr>
            <w:fldChar w:fldCharType="begin"/>
          </w:r>
          <w:r>
            <w:rPr>
              <w:b w:val="0"/>
              <w:bCs w:val="0"/>
              <w:sz w:val="32"/>
              <w:szCs w:val="32"/>
            </w:rPr>
            <w:instrText xml:space="preserve"> PAGEREF _Toc17582 \h </w:instrText>
          </w:r>
          <w:r>
            <w:rPr>
              <w:b w:val="0"/>
              <w:bCs w:val="0"/>
              <w:sz w:val="32"/>
              <w:szCs w:val="32"/>
            </w:rPr>
            <w:fldChar w:fldCharType="separate"/>
          </w:r>
          <w:r>
            <w:rPr>
              <w:b w:val="0"/>
              <w:bCs w:val="0"/>
              <w:sz w:val="32"/>
              <w:szCs w:val="32"/>
            </w:rPr>
            <w:t>4</w:t>
          </w:r>
          <w:r>
            <w:rPr>
              <w:b w:val="0"/>
              <w:bCs w:val="0"/>
              <w:sz w:val="32"/>
              <w:szCs w:val="32"/>
            </w:rPr>
            <w:fldChar w:fldCharType="end"/>
          </w:r>
          <w:r>
            <w:rPr>
              <w:b w:val="0"/>
              <w:bCs w:val="0"/>
              <w:sz w:val="32"/>
              <w:szCs w:val="32"/>
            </w:rPr>
            <w:fldChar w:fldCharType="end"/>
          </w:r>
        </w:p>
        <w:p w14:paraId="1F6E361A">
          <w:pPr>
            <w:pStyle w:val="19"/>
            <w:tabs>
              <w:tab w:val="right" w:leader="dot" w:pos="8845"/>
            </w:tabs>
            <w:rPr>
              <w:b w:val="0"/>
              <w:bCs w:val="0"/>
              <w:sz w:val="32"/>
              <w:szCs w:val="32"/>
            </w:rPr>
          </w:pPr>
          <w:r>
            <w:fldChar w:fldCharType="begin"/>
          </w:r>
          <w:r>
            <w:instrText xml:space="preserve"> HYPERLINK \l "_Toc20090" </w:instrText>
          </w:r>
          <w:r>
            <w:fldChar w:fldCharType="separate"/>
          </w:r>
          <w:r>
            <w:rPr>
              <w:rFonts w:hint="eastAsia" w:ascii="楷体" w:hAnsi="楷体" w:eastAsia="楷体" w:cs="楷体"/>
              <w:b w:val="0"/>
              <w:bCs w:val="0"/>
              <w:sz w:val="32"/>
              <w:szCs w:val="32"/>
              <w:lang w:val="en-US" w:eastAsia="zh-CN"/>
            </w:rPr>
            <w:t>（三）一般公共预算当年拨款具体使用情况</w:t>
          </w:r>
          <w:r>
            <w:rPr>
              <w:b w:val="0"/>
              <w:bCs w:val="0"/>
              <w:sz w:val="32"/>
              <w:szCs w:val="32"/>
            </w:rPr>
            <w:tab/>
          </w:r>
          <w:r>
            <w:rPr>
              <w:b w:val="0"/>
              <w:bCs w:val="0"/>
              <w:sz w:val="32"/>
              <w:szCs w:val="32"/>
            </w:rPr>
            <w:fldChar w:fldCharType="begin"/>
          </w:r>
          <w:r>
            <w:rPr>
              <w:b w:val="0"/>
              <w:bCs w:val="0"/>
              <w:sz w:val="32"/>
              <w:szCs w:val="32"/>
            </w:rPr>
            <w:instrText xml:space="preserve"> PAGEREF _Toc20090 \h </w:instrText>
          </w:r>
          <w:r>
            <w:rPr>
              <w:b w:val="0"/>
              <w:bCs w:val="0"/>
              <w:sz w:val="32"/>
              <w:szCs w:val="32"/>
            </w:rPr>
            <w:fldChar w:fldCharType="separate"/>
          </w:r>
          <w:r>
            <w:rPr>
              <w:b w:val="0"/>
              <w:bCs w:val="0"/>
              <w:sz w:val="32"/>
              <w:szCs w:val="32"/>
            </w:rPr>
            <w:t>4</w:t>
          </w:r>
          <w:r>
            <w:rPr>
              <w:b w:val="0"/>
              <w:bCs w:val="0"/>
              <w:sz w:val="32"/>
              <w:szCs w:val="32"/>
            </w:rPr>
            <w:fldChar w:fldCharType="end"/>
          </w:r>
          <w:r>
            <w:rPr>
              <w:b w:val="0"/>
              <w:bCs w:val="0"/>
              <w:sz w:val="32"/>
              <w:szCs w:val="32"/>
            </w:rPr>
            <w:fldChar w:fldCharType="end"/>
          </w:r>
        </w:p>
        <w:p w14:paraId="27734313">
          <w:pPr>
            <w:pStyle w:val="18"/>
            <w:tabs>
              <w:tab w:val="right" w:leader="dot" w:pos="8845"/>
            </w:tabs>
            <w:rPr>
              <w:b w:val="0"/>
              <w:bCs w:val="0"/>
              <w:sz w:val="32"/>
              <w:szCs w:val="32"/>
            </w:rPr>
          </w:pPr>
          <w:r>
            <w:fldChar w:fldCharType="begin"/>
          </w:r>
          <w:r>
            <w:instrText xml:space="preserve"> HYPERLINK \l "_Toc8659" </w:instrText>
          </w:r>
          <w:r>
            <w:fldChar w:fldCharType="separate"/>
          </w:r>
          <w:r>
            <w:rPr>
              <w:rFonts w:hint="eastAsia" w:ascii="黑体" w:hAnsi="黑体" w:eastAsia="黑体" w:cs="黑体"/>
              <w:b w:val="0"/>
              <w:bCs w:val="0"/>
              <w:sz w:val="32"/>
              <w:szCs w:val="32"/>
              <w:lang w:val="en-US" w:eastAsia="zh-CN"/>
            </w:rPr>
            <w:t>六、一般公共预算基本支出情况说明</w:t>
          </w:r>
          <w:r>
            <w:rPr>
              <w:b w:val="0"/>
              <w:bCs w:val="0"/>
              <w:sz w:val="32"/>
              <w:szCs w:val="32"/>
            </w:rPr>
            <w:tab/>
          </w:r>
          <w:r>
            <w:rPr>
              <w:b w:val="0"/>
              <w:bCs w:val="0"/>
              <w:sz w:val="32"/>
              <w:szCs w:val="32"/>
            </w:rPr>
            <w:fldChar w:fldCharType="begin"/>
          </w:r>
          <w:r>
            <w:rPr>
              <w:b w:val="0"/>
              <w:bCs w:val="0"/>
              <w:sz w:val="32"/>
              <w:szCs w:val="32"/>
            </w:rPr>
            <w:instrText xml:space="preserve"> PAGEREF _Toc8659 \h </w:instrText>
          </w:r>
          <w:r>
            <w:rPr>
              <w:b w:val="0"/>
              <w:bCs w:val="0"/>
              <w:sz w:val="32"/>
              <w:szCs w:val="32"/>
            </w:rPr>
            <w:fldChar w:fldCharType="separate"/>
          </w:r>
          <w:r>
            <w:rPr>
              <w:b w:val="0"/>
              <w:bCs w:val="0"/>
              <w:sz w:val="32"/>
              <w:szCs w:val="32"/>
            </w:rPr>
            <w:t>5</w:t>
          </w:r>
          <w:r>
            <w:rPr>
              <w:b w:val="0"/>
              <w:bCs w:val="0"/>
              <w:sz w:val="32"/>
              <w:szCs w:val="32"/>
            </w:rPr>
            <w:fldChar w:fldCharType="end"/>
          </w:r>
          <w:r>
            <w:rPr>
              <w:b w:val="0"/>
              <w:bCs w:val="0"/>
              <w:sz w:val="32"/>
              <w:szCs w:val="32"/>
            </w:rPr>
            <w:fldChar w:fldCharType="end"/>
          </w:r>
        </w:p>
        <w:p w14:paraId="53AB3047">
          <w:pPr>
            <w:pStyle w:val="18"/>
            <w:tabs>
              <w:tab w:val="right" w:leader="dot" w:pos="8845"/>
            </w:tabs>
            <w:rPr>
              <w:b w:val="0"/>
              <w:bCs w:val="0"/>
              <w:sz w:val="32"/>
              <w:szCs w:val="32"/>
            </w:rPr>
          </w:pPr>
          <w:r>
            <w:fldChar w:fldCharType="begin"/>
          </w:r>
          <w:r>
            <w:instrText xml:space="preserve"> HYPERLINK \l "_Toc12481" </w:instrText>
          </w:r>
          <w:r>
            <w:fldChar w:fldCharType="separate"/>
          </w:r>
          <w:r>
            <w:rPr>
              <w:rFonts w:hint="eastAsia" w:ascii="黑体" w:hAnsi="黑体" w:eastAsia="黑体" w:cs="黑体"/>
              <w:b w:val="0"/>
              <w:bCs w:val="0"/>
              <w:sz w:val="32"/>
              <w:szCs w:val="32"/>
              <w:lang w:val="en-US" w:eastAsia="zh-CN"/>
            </w:rPr>
            <w:t>七、“三公”经费财政拨款预算安排情况说明</w:t>
          </w:r>
          <w:r>
            <w:rPr>
              <w:b w:val="0"/>
              <w:bCs w:val="0"/>
              <w:sz w:val="32"/>
              <w:szCs w:val="32"/>
            </w:rPr>
            <w:tab/>
          </w:r>
          <w:r>
            <w:rPr>
              <w:b w:val="0"/>
              <w:bCs w:val="0"/>
              <w:sz w:val="32"/>
              <w:szCs w:val="32"/>
            </w:rPr>
            <w:fldChar w:fldCharType="begin"/>
          </w:r>
          <w:r>
            <w:rPr>
              <w:b w:val="0"/>
              <w:bCs w:val="0"/>
              <w:sz w:val="32"/>
              <w:szCs w:val="32"/>
            </w:rPr>
            <w:instrText xml:space="preserve"> PAGEREF _Toc12481 \h </w:instrText>
          </w:r>
          <w:r>
            <w:rPr>
              <w:b w:val="0"/>
              <w:bCs w:val="0"/>
              <w:sz w:val="32"/>
              <w:szCs w:val="32"/>
            </w:rPr>
            <w:fldChar w:fldCharType="separate"/>
          </w:r>
          <w:r>
            <w:rPr>
              <w:b w:val="0"/>
              <w:bCs w:val="0"/>
              <w:sz w:val="32"/>
              <w:szCs w:val="32"/>
            </w:rPr>
            <w:t>5</w:t>
          </w:r>
          <w:r>
            <w:rPr>
              <w:b w:val="0"/>
              <w:bCs w:val="0"/>
              <w:sz w:val="32"/>
              <w:szCs w:val="32"/>
            </w:rPr>
            <w:fldChar w:fldCharType="end"/>
          </w:r>
          <w:r>
            <w:rPr>
              <w:b w:val="0"/>
              <w:bCs w:val="0"/>
              <w:sz w:val="32"/>
              <w:szCs w:val="32"/>
            </w:rPr>
            <w:fldChar w:fldCharType="end"/>
          </w:r>
        </w:p>
        <w:p w14:paraId="6C7164CB">
          <w:pPr>
            <w:pStyle w:val="19"/>
            <w:tabs>
              <w:tab w:val="right" w:leader="dot" w:pos="8845"/>
            </w:tabs>
            <w:rPr>
              <w:b w:val="0"/>
              <w:bCs w:val="0"/>
              <w:sz w:val="32"/>
              <w:szCs w:val="32"/>
            </w:rPr>
          </w:pPr>
          <w:r>
            <w:fldChar w:fldCharType="begin"/>
          </w:r>
          <w:r>
            <w:instrText xml:space="preserve"> HYPERLINK \l "_Toc6011" </w:instrText>
          </w:r>
          <w:r>
            <w:fldChar w:fldCharType="separate"/>
          </w:r>
          <w:r>
            <w:rPr>
              <w:rFonts w:hint="eastAsia" w:ascii="楷体" w:hAnsi="楷体" w:eastAsia="楷体" w:cs="楷体"/>
              <w:b w:val="0"/>
              <w:bCs w:val="0"/>
              <w:sz w:val="32"/>
              <w:szCs w:val="32"/>
              <w:lang w:val="en-US" w:eastAsia="zh-CN"/>
            </w:rPr>
            <w:t>（一）公务接待费</w:t>
          </w:r>
          <w:r>
            <w:rPr>
              <w:b w:val="0"/>
              <w:bCs w:val="0"/>
              <w:sz w:val="32"/>
              <w:szCs w:val="32"/>
            </w:rPr>
            <w:tab/>
          </w:r>
          <w:r>
            <w:rPr>
              <w:b w:val="0"/>
              <w:bCs w:val="0"/>
              <w:sz w:val="32"/>
              <w:szCs w:val="32"/>
            </w:rPr>
            <w:fldChar w:fldCharType="begin"/>
          </w:r>
          <w:r>
            <w:rPr>
              <w:b w:val="0"/>
              <w:bCs w:val="0"/>
              <w:sz w:val="32"/>
              <w:szCs w:val="32"/>
            </w:rPr>
            <w:instrText xml:space="preserve"> PAGEREF _Toc6011 \h </w:instrText>
          </w:r>
          <w:r>
            <w:rPr>
              <w:b w:val="0"/>
              <w:bCs w:val="0"/>
              <w:sz w:val="32"/>
              <w:szCs w:val="32"/>
            </w:rPr>
            <w:fldChar w:fldCharType="separate"/>
          </w:r>
          <w:r>
            <w:rPr>
              <w:b w:val="0"/>
              <w:bCs w:val="0"/>
              <w:sz w:val="32"/>
              <w:szCs w:val="32"/>
            </w:rPr>
            <w:t>6</w:t>
          </w:r>
          <w:r>
            <w:rPr>
              <w:b w:val="0"/>
              <w:bCs w:val="0"/>
              <w:sz w:val="32"/>
              <w:szCs w:val="32"/>
            </w:rPr>
            <w:fldChar w:fldCharType="end"/>
          </w:r>
          <w:r>
            <w:rPr>
              <w:b w:val="0"/>
              <w:bCs w:val="0"/>
              <w:sz w:val="32"/>
              <w:szCs w:val="32"/>
            </w:rPr>
            <w:fldChar w:fldCharType="end"/>
          </w:r>
        </w:p>
        <w:p w14:paraId="61BAEF49">
          <w:pPr>
            <w:pStyle w:val="19"/>
            <w:tabs>
              <w:tab w:val="right" w:leader="dot" w:pos="8845"/>
            </w:tabs>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sectPr>
              <w:pgSz w:w="11906" w:h="16838"/>
              <w:pgMar w:top="2098" w:right="1474" w:bottom="1984" w:left="1587" w:header="720" w:footer="1559" w:gutter="0"/>
              <w:pgNumType w:fmt="decimal" w:start="1"/>
              <w:cols w:space="720" w:num="1"/>
              <w:docGrid w:type="lines" w:linePitch="312" w:charSpace="0"/>
            </w:sectPr>
          </w:pPr>
          <w:r>
            <w:fldChar w:fldCharType="begin"/>
          </w:r>
          <w:r>
            <w:instrText xml:space="preserve"> HYPERLINK \l "_Toc23916" </w:instrText>
          </w:r>
          <w:r>
            <w:fldChar w:fldCharType="separate"/>
          </w:r>
          <w:r>
            <w:rPr>
              <w:rFonts w:hint="eastAsia" w:ascii="楷体" w:hAnsi="楷体" w:eastAsia="楷体" w:cs="楷体"/>
              <w:b w:val="0"/>
              <w:bCs w:val="0"/>
              <w:sz w:val="32"/>
              <w:szCs w:val="32"/>
              <w:lang w:val="en-US" w:eastAsia="zh-CN"/>
            </w:rPr>
            <w:t>（二） 公务用车购置及运行维护费</w:t>
          </w:r>
          <w:r>
            <w:rPr>
              <w:b w:val="0"/>
              <w:bCs w:val="0"/>
              <w:sz w:val="32"/>
              <w:szCs w:val="32"/>
            </w:rPr>
            <w:tab/>
          </w:r>
          <w:r>
            <w:rPr>
              <w:b w:val="0"/>
              <w:bCs w:val="0"/>
              <w:sz w:val="32"/>
              <w:szCs w:val="32"/>
            </w:rPr>
            <w:fldChar w:fldCharType="begin"/>
          </w:r>
          <w:r>
            <w:rPr>
              <w:b w:val="0"/>
              <w:bCs w:val="0"/>
              <w:sz w:val="32"/>
              <w:szCs w:val="32"/>
            </w:rPr>
            <w:instrText xml:space="preserve"> PAGEREF _Toc23916 \h </w:instrText>
          </w:r>
          <w:r>
            <w:rPr>
              <w:b w:val="0"/>
              <w:bCs w:val="0"/>
              <w:sz w:val="32"/>
              <w:szCs w:val="32"/>
            </w:rPr>
            <w:fldChar w:fldCharType="separate"/>
          </w:r>
          <w:r>
            <w:rPr>
              <w:b w:val="0"/>
              <w:bCs w:val="0"/>
              <w:sz w:val="32"/>
              <w:szCs w:val="32"/>
            </w:rPr>
            <w:t>6</w:t>
          </w:r>
          <w:r>
            <w:rPr>
              <w:b w:val="0"/>
              <w:bCs w:val="0"/>
              <w:sz w:val="32"/>
              <w:szCs w:val="32"/>
            </w:rPr>
            <w:fldChar w:fldCharType="end"/>
          </w:r>
          <w:r>
            <w:rPr>
              <w:b w:val="0"/>
              <w:bCs w:val="0"/>
              <w:sz w:val="32"/>
              <w:szCs w:val="32"/>
            </w:rPr>
            <w:fldChar w:fldCharType="end"/>
          </w:r>
        </w:p>
      </w:sdtContent>
    </w:sdt>
    <w:p w14:paraId="162571F5">
      <w:pPr>
        <w:pStyle w:val="19"/>
        <w:tabs>
          <w:tab w:val="right" w:leader="dot" w:pos="8845"/>
        </w:tabs>
        <w:rPr>
          <w:b w:val="0"/>
          <w:bCs w:val="0"/>
          <w:sz w:val="32"/>
          <w:szCs w:val="32"/>
        </w:rPr>
      </w:pPr>
      <w:r>
        <w:fldChar w:fldCharType="begin"/>
      </w:r>
      <w:r>
        <w:instrText xml:space="preserve"> HYPERLINK \l "_Toc16169" </w:instrText>
      </w:r>
      <w:r>
        <w:fldChar w:fldCharType="separate"/>
      </w:r>
      <w:r>
        <w:rPr>
          <w:rFonts w:hint="eastAsia" w:ascii="楷体" w:hAnsi="楷体" w:eastAsia="楷体" w:cs="楷体"/>
          <w:b w:val="0"/>
          <w:bCs w:val="0"/>
          <w:sz w:val="32"/>
          <w:szCs w:val="32"/>
          <w:lang w:val="en-US" w:eastAsia="zh-CN"/>
        </w:rPr>
        <w:t>（三）因公出国（境）经费</w:t>
      </w:r>
      <w:r>
        <w:rPr>
          <w:b w:val="0"/>
          <w:bCs w:val="0"/>
          <w:sz w:val="32"/>
          <w:szCs w:val="32"/>
        </w:rPr>
        <w:tab/>
      </w:r>
      <w:r>
        <w:rPr>
          <w:b w:val="0"/>
          <w:bCs w:val="0"/>
          <w:sz w:val="32"/>
          <w:szCs w:val="32"/>
        </w:rPr>
        <w:fldChar w:fldCharType="begin"/>
      </w:r>
      <w:r>
        <w:rPr>
          <w:b w:val="0"/>
          <w:bCs w:val="0"/>
          <w:sz w:val="32"/>
          <w:szCs w:val="32"/>
        </w:rPr>
        <w:instrText xml:space="preserve"> PAGEREF _Toc16169 \h </w:instrText>
      </w:r>
      <w:r>
        <w:rPr>
          <w:b w:val="0"/>
          <w:bCs w:val="0"/>
          <w:sz w:val="32"/>
          <w:szCs w:val="32"/>
        </w:rPr>
        <w:fldChar w:fldCharType="separate"/>
      </w:r>
      <w:r>
        <w:rPr>
          <w:b w:val="0"/>
          <w:bCs w:val="0"/>
          <w:sz w:val="32"/>
          <w:szCs w:val="32"/>
        </w:rPr>
        <w:t>6</w:t>
      </w:r>
      <w:r>
        <w:rPr>
          <w:b w:val="0"/>
          <w:bCs w:val="0"/>
          <w:sz w:val="32"/>
          <w:szCs w:val="32"/>
        </w:rPr>
        <w:fldChar w:fldCharType="end"/>
      </w:r>
      <w:r>
        <w:rPr>
          <w:b w:val="0"/>
          <w:bCs w:val="0"/>
          <w:sz w:val="32"/>
          <w:szCs w:val="32"/>
        </w:rPr>
        <w:fldChar w:fldCharType="end"/>
      </w:r>
    </w:p>
    <w:p w14:paraId="66693E63">
      <w:pPr>
        <w:pStyle w:val="18"/>
        <w:tabs>
          <w:tab w:val="right" w:leader="dot" w:pos="8845"/>
        </w:tabs>
        <w:rPr>
          <w:b w:val="0"/>
          <w:bCs w:val="0"/>
          <w:sz w:val="32"/>
          <w:szCs w:val="32"/>
        </w:rPr>
      </w:pPr>
      <w:r>
        <w:fldChar w:fldCharType="begin"/>
      </w:r>
      <w:r>
        <w:instrText xml:space="preserve"> HYPERLINK \l "_Toc22896" </w:instrText>
      </w:r>
      <w:r>
        <w:fldChar w:fldCharType="separate"/>
      </w:r>
      <w:r>
        <w:rPr>
          <w:rFonts w:hint="eastAsia" w:ascii="黑体" w:hAnsi="黑体" w:eastAsia="黑体" w:cs="黑体"/>
          <w:b w:val="0"/>
          <w:bCs w:val="0"/>
          <w:sz w:val="32"/>
          <w:szCs w:val="32"/>
          <w:lang w:val="en-US" w:eastAsia="zh-CN"/>
        </w:rPr>
        <w:t>八、政府性基金预算支出情况说明</w:t>
      </w:r>
      <w:r>
        <w:rPr>
          <w:b w:val="0"/>
          <w:bCs w:val="0"/>
          <w:sz w:val="32"/>
          <w:szCs w:val="32"/>
        </w:rPr>
        <w:tab/>
      </w:r>
      <w:r>
        <w:rPr>
          <w:b w:val="0"/>
          <w:bCs w:val="0"/>
          <w:sz w:val="32"/>
          <w:szCs w:val="32"/>
        </w:rPr>
        <w:fldChar w:fldCharType="begin"/>
      </w:r>
      <w:r>
        <w:rPr>
          <w:b w:val="0"/>
          <w:bCs w:val="0"/>
          <w:sz w:val="32"/>
          <w:szCs w:val="32"/>
        </w:rPr>
        <w:instrText xml:space="preserve"> PAGEREF _Toc22896 \h </w:instrText>
      </w:r>
      <w:r>
        <w:rPr>
          <w:b w:val="0"/>
          <w:bCs w:val="0"/>
          <w:sz w:val="32"/>
          <w:szCs w:val="32"/>
        </w:rPr>
        <w:fldChar w:fldCharType="separate"/>
      </w:r>
      <w:r>
        <w:rPr>
          <w:b w:val="0"/>
          <w:bCs w:val="0"/>
          <w:sz w:val="32"/>
          <w:szCs w:val="32"/>
        </w:rPr>
        <w:t>6</w:t>
      </w:r>
      <w:r>
        <w:rPr>
          <w:b w:val="0"/>
          <w:bCs w:val="0"/>
          <w:sz w:val="32"/>
          <w:szCs w:val="32"/>
        </w:rPr>
        <w:fldChar w:fldCharType="end"/>
      </w:r>
      <w:r>
        <w:rPr>
          <w:b w:val="0"/>
          <w:bCs w:val="0"/>
          <w:sz w:val="32"/>
          <w:szCs w:val="32"/>
        </w:rPr>
        <w:fldChar w:fldCharType="end"/>
      </w:r>
    </w:p>
    <w:p w14:paraId="609FE62E">
      <w:pPr>
        <w:pStyle w:val="18"/>
        <w:tabs>
          <w:tab w:val="right" w:leader="dot" w:pos="8845"/>
        </w:tabs>
        <w:rPr>
          <w:b w:val="0"/>
          <w:bCs w:val="0"/>
          <w:sz w:val="32"/>
          <w:szCs w:val="32"/>
        </w:rPr>
      </w:pPr>
      <w:r>
        <w:fldChar w:fldCharType="begin"/>
      </w:r>
      <w:r>
        <w:instrText xml:space="preserve"> HYPERLINK \l "_Toc32148" </w:instrText>
      </w:r>
      <w:r>
        <w:fldChar w:fldCharType="separate"/>
      </w:r>
      <w:r>
        <w:rPr>
          <w:rFonts w:hint="eastAsia" w:ascii="黑体" w:hAnsi="黑体" w:eastAsia="黑体" w:cs="黑体"/>
          <w:b w:val="0"/>
          <w:bCs w:val="0"/>
          <w:sz w:val="32"/>
          <w:szCs w:val="32"/>
          <w:lang w:val="en-US" w:eastAsia="zh-CN"/>
        </w:rPr>
        <w:t>九、国有资本经营预算支出情况说明</w:t>
      </w:r>
      <w:r>
        <w:rPr>
          <w:b w:val="0"/>
          <w:bCs w:val="0"/>
          <w:sz w:val="32"/>
          <w:szCs w:val="32"/>
        </w:rPr>
        <w:tab/>
      </w:r>
      <w:r>
        <w:rPr>
          <w:b w:val="0"/>
          <w:bCs w:val="0"/>
          <w:sz w:val="32"/>
          <w:szCs w:val="32"/>
        </w:rPr>
        <w:fldChar w:fldCharType="begin"/>
      </w:r>
      <w:r>
        <w:rPr>
          <w:b w:val="0"/>
          <w:bCs w:val="0"/>
          <w:sz w:val="32"/>
          <w:szCs w:val="32"/>
        </w:rPr>
        <w:instrText xml:space="preserve"> PAGEREF _Toc32148 \h </w:instrText>
      </w:r>
      <w:r>
        <w:rPr>
          <w:b w:val="0"/>
          <w:bCs w:val="0"/>
          <w:sz w:val="32"/>
          <w:szCs w:val="32"/>
        </w:rPr>
        <w:fldChar w:fldCharType="separate"/>
      </w:r>
      <w:r>
        <w:rPr>
          <w:b w:val="0"/>
          <w:bCs w:val="0"/>
          <w:sz w:val="32"/>
          <w:szCs w:val="32"/>
        </w:rPr>
        <w:t>6</w:t>
      </w:r>
      <w:r>
        <w:rPr>
          <w:b w:val="0"/>
          <w:bCs w:val="0"/>
          <w:sz w:val="32"/>
          <w:szCs w:val="32"/>
        </w:rPr>
        <w:fldChar w:fldCharType="end"/>
      </w:r>
      <w:r>
        <w:rPr>
          <w:b w:val="0"/>
          <w:bCs w:val="0"/>
          <w:sz w:val="32"/>
          <w:szCs w:val="32"/>
        </w:rPr>
        <w:fldChar w:fldCharType="end"/>
      </w:r>
    </w:p>
    <w:p w14:paraId="170FAA3C">
      <w:pPr>
        <w:pStyle w:val="18"/>
        <w:tabs>
          <w:tab w:val="right" w:leader="dot" w:pos="8845"/>
        </w:tabs>
        <w:rPr>
          <w:b w:val="0"/>
          <w:bCs w:val="0"/>
          <w:sz w:val="32"/>
          <w:szCs w:val="32"/>
        </w:rPr>
      </w:pPr>
      <w:r>
        <w:fldChar w:fldCharType="begin"/>
      </w:r>
      <w:r>
        <w:instrText xml:space="preserve"> HYPERLINK \l "_Toc25584" </w:instrText>
      </w:r>
      <w:r>
        <w:fldChar w:fldCharType="separate"/>
      </w:r>
      <w:r>
        <w:rPr>
          <w:rFonts w:hint="eastAsia" w:ascii="黑体" w:hAnsi="黑体" w:eastAsia="黑体" w:cs="黑体"/>
          <w:b w:val="0"/>
          <w:bCs w:val="0"/>
          <w:sz w:val="32"/>
          <w:szCs w:val="32"/>
          <w:lang w:val="en-US" w:eastAsia="zh-CN"/>
        </w:rPr>
        <w:t>十、其他重要事项的情况说明</w:t>
      </w:r>
      <w:r>
        <w:rPr>
          <w:b w:val="0"/>
          <w:bCs w:val="0"/>
          <w:sz w:val="32"/>
          <w:szCs w:val="32"/>
        </w:rPr>
        <w:tab/>
      </w:r>
      <w:r>
        <w:rPr>
          <w:b w:val="0"/>
          <w:bCs w:val="0"/>
          <w:sz w:val="32"/>
          <w:szCs w:val="32"/>
        </w:rPr>
        <w:fldChar w:fldCharType="begin"/>
      </w:r>
      <w:r>
        <w:rPr>
          <w:b w:val="0"/>
          <w:bCs w:val="0"/>
          <w:sz w:val="32"/>
          <w:szCs w:val="32"/>
        </w:rPr>
        <w:instrText xml:space="preserve"> PAGEREF _Toc25584 \h </w:instrText>
      </w:r>
      <w:r>
        <w:rPr>
          <w:b w:val="0"/>
          <w:bCs w:val="0"/>
          <w:sz w:val="32"/>
          <w:szCs w:val="32"/>
        </w:rPr>
        <w:fldChar w:fldCharType="separate"/>
      </w:r>
      <w:r>
        <w:rPr>
          <w:b w:val="0"/>
          <w:bCs w:val="0"/>
          <w:sz w:val="32"/>
          <w:szCs w:val="32"/>
        </w:rPr>
        <w:t>6</w:t>
      </w:r>
      <w:r>
        <w:rPr>
          <w:b w:val="0"/>
          <w:bCs w:val="0"/>
          <w:sz w:val="32"/>
          <w:szCs w:val="32"/>
        </w:rPr>
        <w:fldChar w:fldCharType="end"/>
      </w:r>
      <w:r>
        <w:rPr>
          <w:b w:val="0"/>
          <w:bCs w:val="0"/>
          <w:sz w:val="32"/>
          <w:szCs w:val="32"/>
        </w:rPr>
        <w:fldChar w:fldCharType="end"/>
      </w:r>
    </w:p>
    <w:p w14:paraId="7EA477C7">
      <w:pPr>
        <w:pStyle w:val="19"/>
        <w:tabs>
          <w:tab w:val="right" w:leader="dot" w:pos="8845"/>
        </w:tabs>
        <w:rPr>
          <w:b w:val="0"/>
          <w:bCs w:val="0"/>
          <w:sz w:val="32"/>
          <w:szCs w:val="32"/>
        </w:rPr>
      </w:pPr>
      <w:r>
        <w:fldChar w:fldCharType="begin"/>
      </w:r>
      <w:r>
        <w:instrText xml:space="preserve"> HYPERLINK \l "_Toc30061" </w:instrText>
      </w:r>
      <w:r>
        <w:fldChar w:fldCharType="separate"/>
      </w:r>
      <w:r>
        <w:rPr>
          <w:rFonts w:hint="eastAsia" w:ascii="楷体" w:hAnsi="楷体" w:eastAsia="楷体" w:cs="楷体"/>
          <w:b w:val="0"/>
          <w:bCs w:val="0"/>
          <w:sz w:val="32"/>
          <w:szCs w:val="32"/>
          <w:lang w:val="en-US" w:eastAsia="zh-CN"/>
        </w:rPr>
        <w:t>（一）机关运行经费</w:t>
      </w:r>
      <w:r>
        <w:rPr>
          <w:b w:val="0"/>
          <w:bCs w:val="0"/>
          <w:sz w:val="32"/>
          <w:szCs w:val="32"/>
        </w:rPr>
        <w:tab/>
      </w:r>
      <w:r>
        <w:rPr>
          <w:b w:val="0"/>
          <w:bCs w:val="0"/>
          <w:sz w:val="32"/>
          <w:szCs w:val="32"/>
        </w:rPr>
        <w:fldChar w:fldCharType="begin"/>
      </w:r>
      <w:r>
        <w:rPr>
          <w:b w:val="0"/>
          <w:bCs w:val="0"/>
          <w:sz w:val="32"/>
          <w:szCs w:val="32"/>
        </w:rPr>
        <w:instrText xml:space="preserve"> PAGEREF _Toc30061 \h </w:instrText>
      </w:r>
      <w:r>
        <w:rPr>
          <w:b w:val="0"/>
          <w:bCs w:val="0"/>
          <w:sz w:val="32"/>
          <w:szCs w:val="32"/>
        </w:rPr>
        <w:fldChar w:fldCharType="separate"/>
      </w:r>
      <w:r>
        <w:rPr>
          <w:b w:val="0"/>
          <w:bCs w:val="0"/>
          <w:sz w:val="32"/>
          <w:szCs w:val="32"/>
        </w:rPr>
        <w:t>6</w:t>
      </w:r>
      <w:r>
        <w:rPr>
          <w:b w:val="0"/>
          <w:bCs w:val="0"/>
          <w:sz w:val="32"/>
          <w:szCs w:val="32"/>
        </w:rPr>
        <w:fldChar w:fldCharType="end"/>
      </w:r>
      <w:r>
        <w:rPr>
          <w:b w:val="0"/>
          <w:bCs w:val="0"/>
          <w:sz w:val="32"/>
          <w:szCs w:val="32"/>
        </w:rPr>
        <w:fldChar w:fldCharType="end"/>
      </w:r>
    </w:p>
    <w:p w14:paraId="3677D91C">
      <w:pPr>
        <w:pStyle w:val="19"/>
        <w:tabs>
          <w:tab w:val="right" w:leader="dot" w:pos="8845"/>
        </w:tabs>
        <w:rPr>
          <w:b w:val="0"/>
          <w:bCs w:val="0"/>
          <w:sz w:val="32"/>
          <w:szCs w:val="32"/>
        </w:rPr>
      </w:pPr>
      <w:r>
        <w:fldChar w:fldCharType="begin"/>
      </w:r>
      <w:r>
        <w:instrText xml:space="preserve"> HYPERLINK \l "_Toc31861" </w:instrText>
      </w:r>
      <w:r>
        <w:fldChar w:fldCharType="separate"/>
      </w:r>
      <w:r>
        <w:rPr>
          <w:rFonts w:hint="eastAsia" w:ascii="楷体" w:hAnsi="楷体" w:eastAsia="楷体" w:cs="楷体"/>
          <w:b w:val="0"/>
          <w:bCs w:val="0"/>
          <w:sz w:val="32"/>
          <w:szCs w:val="32"/>
          <w:lang w:val="en-US" w:eastAsia="zh-CN"/>
        </w:rPr>
        <w:t>（二）政府采购情况</w:t>
      </w:r>
      <w:r>
        <w:rPr>
          <w:b w:val="0"/>
          <w:bCs w:val="0"/>
          <w:sz w:val="32"/>
          <w:szCs w:val="32"/>
        </w:rPr>
        <w:tab/>
      </w:r>
      <w:r>
        <w:rPr>
          <w:b w:val="0"/>
          <w:bCs w:val="0"/>
          <w:sz w:val="32"/>
          <w:szCs w:val="32"/>
        </w:rPr>
        <w:fldChar w:fldCharType="begin"/>
      </w:r>
      <w:r>
        <w:rPr>
          <w:b w:val="0"/>
          <w:bCs w:val="0"/>
          <w:sz w:val="32"/>
          <w:szCs w:val="32"/>
        </w:rPr>
        <w:instrText xml:space="preserve"> PAGEREF _Toc31861 \h </w:instrText>
      </w:r>
      <w:r>
        <w:rPr>
          <w:b w:val="0"/>
          <w:bCs w:val="0"/>
          <w:sz w:val="32"/>
          <w:szCs w:val="32"/>
        </w:rPr>
        <w:fldChar w:fldCharType="separate"/>
      </w:r>
      <w:r>
        <w:rPr>
          <w:b w:val="0"/>
          <w:bCs w:val="0"/>
          <w:sz w:val="32"/>
          <w:szCs w:val="32"/>
        </w:rPr>
        <w:t>6</w:t>
      </w:r>
      <w:r>
        <w:rPr>
          <w:b w:val="0"/>
          <w:bCs w:val="0"/>
          <w:sz w:val="32"/>
          <w:szCs w:val="32"/>
        </w:rPr>
        <w:fldChar w:fldCharType="end"/>
      </w:r>
      <w:r>
        <w:rPr>
          <w:b w:val="0"/>
          <w:bCs w:val="0"/>
          <w:sz w:val="32"/>
          <w:szCs w:val="32"/>
        </w:rPr>
        <w:fldChar w:fldCharType="end"/>
      </w:r>
    </w:p>
    <w:p w14:paraId="79640E2D">
      <w:pPr>
        <w:pStyle w:val="19"/>
        <w:tabs>
          <w:tab w:val="right" w:leader="dot" w:pos="8845"/>
        </w:tabs>
        <w:rPr>
          <w:b w:val="0"/>
          <w:bCs w:val="0"/>
          <w:sz w:val="32"/>
          <w:szCs w:val="32"/>
        </w:rPr>
      </w:pPr>
      <w:r>
        <w:fldChar w:fldCharType="begin"/>
      </w:r>
      <w:r>
        <w:instrText xml:space="preserve"> HYPERLINK \l "_Toc22866" </w:instrText>
      </w:r>
      <w:r>
        <w:fldChar w:fldCharType="separate"/>
      </w:r>
      <w:r>
        <w:rPr>
          <w:rFonts w:hint="eastAsia" w:ascii="楷体" w:hAnsi="楷体" w:eastAsia="楷体" w:cs="楷体"/>
          <w:b w:val="0"/>
          <w:bCs w:val="0"/>
          <w:sz w:val="32"/>
          <w:szCs w:val="32"/>
          <w:lang w:val="en-US" w:eastAsia="zh-CN"/>
        </w:rPr>
        <w:t>（三）国有资产占有使用情况</w:t>
      </w:r>
      <w:r>
        <w:rPr>
          <w:b w:val="0"/>
          <w:bCs w:val="0"/>
          <w:sz w:val="32"/>
          <w:szCs w:val="32"/>
        </w:rPr>
        <w:tab/>
      </w:r>
      <w:r>
        <w:rPr>
          <w:b w:val="0"/>
          <w:bCs w:val="0"/>
          <w:sz w:val="32"/>
          <w:szCs w:val="32"/>
        </w:rPr>
        <w:fldChar w:fldCharType="begin"/>
      </w:r>
      <w:r>
        <w:rPr>
          <w:b w:val="0"/>
          <w:bCs w:val="0"/>
          <w:sz w:val="32"/>
          <w:szCs w:val="32"/>
        </w:rPr>
        <w:instrText xml:space="preserve"> PAGEREF _Toc22866 \h </w:instrText>
      </w:r>
      <w:r>
        <w:rPr>
          <w:b w:val="0"/>
          <w:bCs w:val="0"/>
          <w:sz w:val="32"/>
          <w:szCs w:val="32"/>
        </w:rPr>
        <w:fldChar w:fldCharType="separate"/>
      </w:r>
      <w:r>
        <w:rPr>
          <w:b w:val="0"/>
          <w:bCs w:val="0"/>
          <w:sz w:val="32"/>
          <w:szCs w:val="32"/>
        </w:rPr>
        <w:t>7</w:t>
      </w:r>
      <w:r>
        <w:rPr>
          <w:b w:val="0"/>
          <w:bCs w:val="0"/>
          <w:sz w:val="32"/>
          <w:szCs w:val="32"/>
        </w:rPr>
        <w:fldChar w:fldCharType="end"/>
      </w:r>
      <w:r>
        <w:rPr>
          <w:b w:val="0"/>
          <w:bCs w:val="0"/>
          <w:sz w:val="32"/>
          <w:szCs w:val="32"/>
        </w:rPr>
        <w:fldChar w:fldCharType="end"/>
      </w:r>
    </w:p>
    <w:p w14:paraId="5AA310B8">
      <w:pPr>
        <w:pStyle w:val="19"/>
        <w:tabs>
          <w:tab w:val="right" w:leader="dot" w:pos="8845"/>
        </w:tabs>
        <w:rPr>
          <w:b w:val="0"/>
          <w:bCs w:val="0"/>
          <w:sz w:val="32"/>
          <w:szCs w:val="32"/>
        </w:rPr>
      </w:pPr>
      <w:r>
        <w:fldChar w:fldCharType="begin"/>
      </w:r>
      <w:r>
        <w:instrText xml:space="preserve"> HYPERLINK \l "_Toc16270" </w:instrText>
      </w:r>
      <w:r>
        <w:fldChar w:fldCharType="separate"/>
      </w:r>
      <w:r>
        <w:rPr>
          <w:rFonts w:hint="eastAsia" w:ascii="楷体" w:hAnsi="楷体" w:eastAsia="楷体" w:cs="楷体"/>
          <w:b w:val="0"/>
          <w:bCs w:val="0"/>
          <w:sz w:val="32"/>
          <w:szCs w:val="32"/>
          <w:lang w:val="en-US" w:eastAsia="zh-CN"/>
        </w:rPr>
        <w:t>（四）绩效目标设置情况</w:t>
      </w:r>
      <w:r>
        <w:rPr>
          <w:b w:val="0"/>
          <w:bCs w:val="0"/>
          <w:sz w:val="32"/>
          <w:szCs w:val="32"/>
        </w:rPr>
        <w:tab/>
      </w:r>
      <w:r>
        <w:rPr>
          <w:b w:val="0"/>
          <w:bCs w:val="0"/>
          <w:sz w:val="32"/>
          <w:szCs w:val="32"/>
        </w:rPr>
        <w:fldChar w:fldCharType="begin"/>
      </w:r>
      <w:r>
        <w:rPr>
          <w:b w:val="0"/>
          <w:bCs w:val="0"/>
          <w:sz w:val="32"/>
          <w:szCs w:val="32"/>
        </w:rPr>
        <w:instrText xml:space="preserve"> PAGEREF _Toc16270 \h </w:instrText>
      </w:r>
      <w:r>
        <w:rPr>
          <w:b w:val="0"/>
          <w:bCs w:val="0"/>
          <w:sz w:val="32"/>
          <w:szCs w:val="32"/>
        </w:rPr>
        <w:fldChar w:fldCharType="separate"/>
      </w:r>
      <w:r>
        <w:rPr>
          <w:b w:val="0"/>
          <w:bCs w:val="0"/>
          <w:sz w:val="32"/>
          <w:szCs w:val="32"/>
        </w:rPr>
        <w:t>7</w:t>
      </w:r>
      <w:r>
        <w:rPr>
          <w:b w:val="0"/>
          <w:bCs w:val="0"/>
          <w:sz w:val="32"/>
          <w:szCs w:val="32"/>
        </w:rPr>
        <w:fldChar w:fldCharType="end"/>
      </w:r>
      <w:r>
        <w:rPr>
          <w:b w:val="0"/>
          <w:bCs w:val="0"/>
          <w:sz w:val="32"/>
          <w:szCs w:val="32"/>
        </w:rPr>
        <w:fldChar w:fldCharType="end"/>
      </w:r>
    </w:p>
    <w:p w14:paraId="27AD4262">
      <w:pPr>
        <w:pStyle w:val="18"/>
        <w:tabs>
          <w:tab w:val="right" w:leader="dot" w:pos="8845"/>
        </w:tabs>
        <w:rPr>
          <w:b w:val="0"/>
          <w:bCs w:val="0"/>
          <w:sz w:val="32"/>
          <w:szCs w:val="32"/>
        </w:rPr>
      </w:pPr>
      <w:r>
        <w:fldChar w:fldCharType="begin"/>
      </w:r>
      <w:r>
        <w:instrText xml:space="preserve"> HYPERLINK \l "_Toc24148" </w:instrText>
      </w:r>
      <w:r>
        <w:fldChar w:fldCharType="separate"/>
      </w:r>
      <w:r>
        <w:rPr>
          <w:rFonts w:hint="eastAsia" w:ascii="黑体" w:hAnsi="黑体" w:eastAsia="黑体" w:cs="黑体"/>
          <w:b w:val="0"/>
          <w:bCs w:val="0"/>
          <w:sz w:val="32"/>
          <w:szCs w:val="32"/>
          <w:lang w:val="en-US" w:eastAsia="zh-CN"/>
        </w:rPr>
        <w:t>十一、名词解释</w:t>
      </w:r>
      <w:r>
        <w:rPr>
          <w:b w:val="0"/>
          <w:bCs w:val="0"/>
          <w:sz w:val="32"/>
          <w:szCs w:val="32"/>
        </w:rPr>
        <w:tab/>
      </w:r>
      <w:r>
        <w:rPr>
          <w:b w:val="0"/>
          <w:bCs w:val="0"/>
          <w:sz w:val="32"/>
          <w:szCs w:val="32"/>
        </w:rPr>
        <w:fldChar w:fldCharType="begin"/>
      </w:r>
      <w:r>
        <w:rPr>
          <w:b w:val="0"/>
          <w:bCs w:val="0"/>
          <w:sz w:val="32"/>
          <w:szCs w:val="32"/>
        </w:rPr>
        <w:instrText xml:space="preserve"> PAGEREF _Toc24148 \h </w:instrText>
      </w:r>
      <w:r>
        <w:rPr>
          <w:b w:val="0"/>
          <w:bCs w:val="0"/>
          <w:sz w:val="32"/>
          <w:szCs w:val="32"/>
        </w:rPr>
        <w:fldChar w:fldCharType="separate"/>
      </w:r>
      <w:r>
        <w:rPr>
          <w:b w:val="0"/>
          <w:bCs w:val="0"/>
          <w:sz w:val="32"/>
          <w:szCs w:val="32"/>
        </w:rPr>
        <w:t>7</w:t>
      </w:r>
      <w:r>
        <w:rPr>
          <w:b w:val="0"/>
          <w:bCs w:val="0"/>
          <w:sz w:val="32"/>
          <w:szCs w:val="32"/>
        </w:rPr>
        <w:fldChar w:fldCharType="end"/>
      </w:r>
      <w:r>
        <w:rPr>
          <w:b w:val="0"/>
          <w:bCs w:val="0"/>
          <w:sz w:val="32"/>
          <w:szCs w:val="32"/>
        </w:rPr>
        <w:fldChar w:fldCharType="end"/>
      </w:r>
    </w:p>
    <w:p w14:paraId="639EC9AA">
      <w:pPr>
        <w:jc w:val="both"/>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fldChar w:fldCharType="end"/>
      </w:r>
    </w:p>
    <w:p w14:paraId="2B59ABFD">
      <w:pPr>
        <w:jc w:val="both"/>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pPr>
    </w:p>
    <w:p w14:paraId="496D565B">
      <w:pPr>
        <w:jc w:val="both"/>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pPr>
    </w:p>
    <w:p w14:paraId="1A5D6630">
      <w:pPr>
        <w:jc w:val="both"/>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pPr>
    </w:p>
    <w:p w14:paraId="18E6E7C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0"/>
        <w:rPr>
          <w:rFonts w:hint="eastAsia" w:ascii="黑体" w:hAnsi="黑体" w:eastAsia="黑体" w:cs="黑体"/>
          <w:b w:val="0"/>
          <w:bCs w:val="0"/>
          <w:sz w:val="32"/>
          <w:szCs w:val="32"/>
          <w:lang w:val="en-US" w:eastAsia="zh-CN"/>
        </w:rPr>
        <w:sectPr>
          <w:footerReference r:id="rId3" w:type="default"/>
          <w:pgSz w:w="11906" w:h="16838"/>
          <w:pgMar w:top="2098" w:right="1474" w:bottom="1984" w:left="1587" w:header="720" w:footer="1559" w:gutter="0"/>
          <w:pgNumType w:fmt="decimal" w:start="1"/>
          <w:cols w:space="720" w:num="1"/>
          <w:docGrid w:type="lines" w:linePitch="312" w:charSpace="0"/>
        </w:sectPr>
      </w:pPr>
      <w:bookmarkStart w:id="0" w:name="_Toc11938"/>
    </w:p>
    <w:p w14:paraId="5DFF33A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一、基本职能及主要工作</w:t>
      </w:r>
      <w:bookmarkEnd w:id="0"/>
    </w:p>
    <w:p w14:paraId="25316F5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1"/>
        <w:rPr>
          <w:rFonts w:hint="eastAsia" w:ascii="楷体" w:hAnsi="楷体" w:eastAsia="楷体" w:cs="楷体"/>
          <w:b w:val="0"/>
          <w:bCs w:val="0"/>
          <w:sz w:val="32"/>
          <w:szCs w:val="32"/>
          <w:lang w:val="en-US" w:eastAsia="zh-CN"/>
        </w:rPr>
      </w:pPr>
      <w:bookmarkStart w:id="1" w:name="_Toc14150"/>
      <w:r>
        <w:rPr>
          <w:rFonts w:hint="eastAsia" w:ascii="楷体" w:hAnsi="楷体" w:eastAsia="楷体" w:cs="楷体"/>
          <w:b w:val="0"/>
          <w:bCs w:val="0"/>
          <w:sz w:val="32"/>
          <w:szCs w:val="32"/>
          <w:lang w:val="en-US" w:eastAsia="zh-CN"/>
        </w:rPr>
        <w:t>（一）区信访局职能简介</w:t>
      </w:r>
      <w:bookmarkEnd w:id="1"/>
    </w:p>
    <w:p w14:paraId="14D83647">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1.负责处理区内给省、市、区领导的来信，接待群众来访，接听区长热线电话，并处理反映的有关问题；及时准确地向区委、区政府领导反映来信来访中提出的重要建议、意见和问题；综合分析信访信息，调查研究，提出制定有关政策的建议。</w:t>
      </w:r>
    </w:p>
    <w:p w14:paraId="1C900D51">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2.承办党中央、国务院，省委、省政府，市委、市政府领导同志交办的群众工作和信访事项，督促检查领导同志对有关群众工作和信访批示的落实情况；向各乡镇和部门交办群众工作和信访事项，督促检查重要的群众信访事项的处理和落实；负责群众工作和信访案件的复查复核工作。</w:t>
      </w:r>
    </w:p>
    <w:p w14:paraId="78562770">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3.协调处理跨县区和部门的重要群众工作和信访问题，协调处理群众集体到省委、省政府、市委、市政府上访和突发性群体事件。</w:t>
      </w:r>
    </w:p>
    <w:p w14:paraId="3ED6E8FD">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4.检查、指导、协调全区群众和信访工作，负责全区信访信息系统的建设；研究起草全区群众信访工作规范性文件，总结推广各地各部门群众信访工作的经验，提出加强和改进群众信访工作的意见和建议，通报重大群众信访问题及事件。</w:t>
      </w:r>
    </w:p>
    <w:p w14:paraId="502AD8C4">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5.保证信访渠道畅通，负责协调区领导接待群众来访和包案处理信访案件，负责联系区党代表、区人大代表和区政协委员定期参与接待群众来访工作。</w:t>
      </w:r>
    </w:p>
    <w:p w14:paraId="691067D9">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6.协调处理赴京、到省、到市非正常上访工作。</w:t>
      </w:r>
    </w:p>
    <w:p w14:paraId="35B78754">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8.负责处理全区信访工作联席会议综合协调和日常性工作。</w:t>
      </w:r>
    </w:p>
    <w:p w14:paraId="3E60A8CF">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9.负责区群众来访接待中心建设和日常管理工作。</w:t>
      </w:r>
    </w:p>
    <w:p w14:paraId="1371798E">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10.承办区委、区政府交办的其他事项。</w:t>
      </w:r>
    </w:p>
    <w:p w14:paraId="66F2185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1"/>
        <w:rPr>
          <w:rFonts w:hint="eastAsia" w:ascii="楷体" w:hAnsi="楷体" w:eastAsia="楷体" w:cs="楷体"/>
          <w:sz w:val="32"/>
          <w:szCs w:val="32"/>
          <w:lang w:val="en-US" w:eastAsia="zh-CN"/>
        </w:rPr>
      </w:pPr>
      <w:bookmarkStart w:id="2" w:name="_Toc3667"/>
      <w:r>
        <w:rPr>
          <w:rFonts w:hint="eastAsia" w:ascii="楷体" w:hAnsi="楷体" w:eastAsia="楷体" w:cs="楷体"/>
          <w:sz w:val="32"/>
          <w:szCs w:val="32"/>
          <w:lang w:val="en-US" w:eastAsia="zh-CN"/>
        </w:rPr>
        <w:t>（二）区信访局2025年重点工作</w:t>
      </w:r>
      <w:bookmarkEnd w:id="2"/>
    </w:p>
    <w:p w14:paraId="66B2B9CB">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2025年，全区信访系统将继续坚持“为民解难、为党分忧”的工作理念，为全区经济社会发展营造良好的社会环境。重点做好以下几方面工作：一是进一步强化理论学习。持续深入学习习近平新时代中国特色社会主义思想、党的二十大精神以及习近平总书记关于加强和改进人民信访工作的重要思想，用科学理论武装头脑、指导实践、推动工作，确保中央和省、市决策部署落到实处。二是进一步抓好作风建设。坚决贯彻落实党中央关于全面从严治党的部署要求，把全面从严治党的主体责任担负起来，严格执行中央八项规定精神，自觉接受派驻纪检组的监督和指导，支持派驻纪检组履行监督职责。三是进一步推动信访法治化。学习好、宣传好、贯彻好《信访工作条例》，运用好信访工作法治化“路线图”和工作指南，做到群众的每一项诉求都有人办理，群众的每一项诉求都依法推进，实现权责明、底数清、依法办、秩序好、群众满意。四是进一步紧抓重点工作。狠抓信访基层基础，切实提高信访办理质效；持续开展矛盾纠纷排查，源头预防化解；充分发挥调解在矛盾纠纷预防化解中的基础性作用，做好做实各类调解协调联动机制。</w:t>
      </w:r>
    </w:p>
    <w:p w14:paraId="5FD2DD53">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640" w:firstLineChars="200"/>
        <w:textAlignment w:val="auto"/>
        <w:outlineLvl w:val="0"/>
        <w:rPr>
          <w:rFonts w:hint="eastAsia" w:ascii="黑体" w:hAnsi="黑体" w:eastAsia="黑体" w:cs="黑体"/>
          <w:sz w:val="32"/>
          <w:szCs w:val="32"/>
          <w:lang w:val="en-US" w:eastAsia="zh-CN"/>
        </w:rPr>
      </w:pPr>
      <w:bookmarkStart w:id="3" w:name="_Toc9715"/>
      <w:r>
        <w:rPr>
          <w:rFonts w:hint="eastAsia" w:ascii="黑体" w:hAnsi="黑体" w:eastAsia="黑体" w:cs="黑体"/>
          <w:sz w:val="32"/>
          <w:szCs w:val="32"/>
          <w:lang w:val="en-US" w:eastAsia="zh-CN"/>
        </w:rPr>
        <w:t>部门预算单位构成</w:t>
      </w:r>
      <w:bookmarkEnd w:id="3"/>
    </w:p>
    <w:p w14:paraId="2AA856BD">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区信访局为一级预算单位，无二级预算单位，设有内设机构1个。</w:t>
      </w:r>
    </w:p>
    <w:p w14:paraId="010E14D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0"/>
        <w:rPr>
          <w:rFonts w:hint="eastAsia" w:ascii="黑体" w:hAnsi="黑体" w:eastAsia="黑体" w:cs="黑体"/>
          <w:sz w:val="32"/>
          <w:szCs w:val="32"/>
        </w:rPr>
      </w:pPr>
      <w:bookmarkStart w:id="4" w:name="_Toc31149"/>
      <w:r>
        <w:rPr>
          <w:rFonts w:hint="eastAsia" w:ascii="黑体" w:hAnsi="黑体" w:eastAsia="黑体" w:cs="黑体"/>
          <w:sz w:val="32"/>
          <w:szCs w:val="32"/>
          <w:lang w:val="en-US" w:eastAsia="zh-CN"/>
        </w:rPr>
        <w:t>三、收支预算情况说明</w:t>
      </w:r>
      <w:bookmarkEnd w:id="4"/>
    </w:p>
    <w:p w14:paraId="47FFE7C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按照综合预算的原则，区信访局所有收入和支出均纳入部门预算管理。收入包括：一般公共预算拨款收入；支出包括：一般公共服务支出、教育支出、社会保障和就业支出、卫生健康支出、住房保障支出。区信访局2025年收支预算总数192.01万元,比2024年收支预算总数增加12.78万元，主要原因是人员正常工资调标和项目支出增加。</w:t>
      </w:r>
    </w:p>
    <w:p w14:paraId="26F92EB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1"/>
        <w:rPr>
          <w:rFonts w:hint="eastAsia" w:ascii="楷体" w:hAnsi="楷体" w:eastAsia="楷体" w:cs="楷体"/>
          <w:sz w:val="32"/>
          <w:szCs w:val="32"/>
          <w:lang w:val="en-US" w:eastAsia="zh-CN"/>
        </w:rPr>
      </w:pPr>
      <w:bookmarkStart w:id="5" w:name="_Toc7138"/>
      <w:r>
        <w:rPr>
          <w:rFonts w:hint="eastAsia" w:ascii="楷体" w:hAnsi="楷体" w:eastAsia="楷体" w:cs="楷体"/>
          <w:sz w:val="32"/>
          <w:szCs w:val="32"/>
          <w:lang w:val="en-US" w:eastAsia="zh-CN"/>
        </w:rPr>
        <w:t>（一）收入预算情况</w:t>
      </w:r>
      <w:bookmarkEnd w:id="5"/>
    </w:p>
    <w:p w14:paraId="1D462F3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区信访局2025年收入预算192.01万元，其中：一般公共预算拨款收入192.01万元，占100%；</w:t>
      </w:r>
    </w:p>
    <w:p w14:paraId="239C135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1"/>
        <w:rPr>
          <w:rFonts w:hint="eastAsia" w:ascii="楷体" w:hAnsi="楷体" w:eastAsia="楷体" w:cs="楷体"/>
          <w:sz w:val="32"/>
          <w:szCs w:val="32"/>
          <w:lang w:val="en-US" w:eastAsia="zh-CN"/>
        </w:rPr>
      </w:pPr>
      <w:bookmarkStart w:id="6" w:name="_Toc21895"/>
      <w:r>
        <w:rPr>
          <w:rFonts w:hint="eastAsia" w:ascii="楷体" w:hAnsi="楷体" w:eastAsia="楷体" w:cs="楷体"/>
          <w:sz w:val="32"/>
          <w:szCs w:val="32"/>
          <w:lang w:val="en-US" w:eastAsia="zh-CN"/>
        </w:rPr>
        <w:t>（二）支出预算情况</w:t>
      </w:r>
      <w:bookmarkEnd w:id="6"/>
    </w:p>
    <w:p w14:paraId="1B66B02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区信访局2025年支出预算192.01万元，其中：基本支出134.37万元，占69.98%；项目支出57.64万元，占30.02%</w:t>
      </w:r>
      <w:r>
        <w:rPr>
          <w:rFonts w:hint="eastAsia" w:ascii="仿宋_GB2312" w:hAnsi="仿宋_GB2312" w:eastAsia="仿宋_GB2312" w:cs="仿宋_GB2312"/>
          <w:b w:val="0"/>
          <w:bCs w:val="0"/>
          <w:sz w:val="32"/>
          <w:szCs w:val="32"/>
          <w:lang w:val="en-US" w:eastAsia="zh-CN"/>
        </w:rPr>
        <w:t>。</w:t>
      </w:r>
    </w:p>
    <w:p w14:paraId="78918E2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0"/>
        <w:rPr>
          <w:rFonts w:hint="eastAsia" w:ascii="黑体" w:hAnsi="黑体" w:eastAsia="黑体" w:cs="黑体"/>
          <w:sz w:val="32"/>
          <w:szCs w:val="32"/>
        </w:rPr>
      </w:pPr>
      <w:bookmarkStart w:id="7" w:name="_Toc7798"/>
      <w:r>
        <w:rPr>
          <w:rFonts w:hint="eastAsia" w:ascii="黑体" w:hAnsi="黑体" w:eastAsia="黑体" w:cs="黑体"/>
          <w:sz w:val="32"/>
          <w:szCs w:val="32"/>
          <w:lang w:val="en-US" w:eastAsia="zh-CN"/>
        </w:rPr>
        <w:t>四、财政拨款收支预算情况说明</w:t>
      </w:r>
      <w:bookmarkEnd w:id="7"/>
    </w:p>
    <w:p w14:paraId="1DA963D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区信访局2025年财政拨款收支预算总数192.01万元,比2024年财政拨款收支预算总数增加12.78万元，主要原因是人员正常工资调标和项目支出增加。</w:t>
      </w:r>
    </w:p>
    <w:p w14:paraId="67485B2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收入包括：本年一般公共预算拨款收入192.01万元；支出包括：一般公共服务支出157.89万元、社会保障和就业支出19.51万元、卫生健康支出4.66万元、住房保障支出9.95万元。</w:t>
      </w:r>
    </w:p>
    <w:p w14:paraId="0CA2C85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0"/>
        <w:rPr>
          <w:rFonts w:hint="eastAsia" w:ascii="黑体" w:hAnsi="黑体" w:eastAsia="黑体" w:cs="黑体"/>
          <w:sz w:val="32"/>
          <w:szCs w:val="32"/>
          <w:lang w:val="en-US" w:eastAsia="zh-CN"/>
        </w:rPr>
      </w:pPr>
      <w:bookmarkStart w:id="8" w:name="_Toc7678"/>
      <w:r>
        <w:rPr>
          <w:rFonts w:hint="eastAsia" w:ascii="黑体" w:hAnsi="黑体" w:eastAsia="黑体" w:cs="黑体"/>
          <w:sz w:val="32"/>
          <w:szCs w:val="32"/>
          <w:lang w:val="en-US" w:eastAsia="zh-CN"/>
        </w:rPr>
        <w:t>五、一般公共预算当年拨款情况说明</w:t>
      </w:r>
      <w:bookmarkEnd w:id="8"/>
    </w:p>
    <w:p w14:paraId="746AD02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1"/>
        <w:rPr>
          <w:rFonts w:hint="eastAsia" w:ascii="楷体" w:hAnsi="楷体" w:eastAsia="楷体" w:cs="楷体"/>
          <w:sz w:val="32"/>
          <w:szCs w:val="32"/>
          <w:lang w:val="en-US" w:eastAsia="zh-CN"/>
        </w:rPr>
      </w:pPr>
      <w:bookmarkStart w:id="9" w:name="_Toc7319"/>
      <w:r>
        <w:rPr>
          <w:rFonts w:hint="eastAsia" w:ascii="楷体" w:hAnsi="楷体" w:eastAsia="楷体" w:cs="楷体"/>
          <w:sz w:val="32"/>
          <w:szCs w:val="32"/>
          <w:lang w:val="en-US" w:eastAsia="zh-CN"/>
        </w:rPr>
        <w:t>（一）一般公共预算当年拨款规模变化情况</w:t>
      </w:r>
      <w:bookmarkEnd w:id="9"/>
    </w:p>
    <w:p w14:paraId="0D6FB81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区信访局2025年一般公共预算当年拨款192.01万元，比2024年预算数增加12.78万元，主要原因是人员正常工资调标和项目支出增加。</w:t>
      </w:r>
    </w:p>
    <w:p w14:paraId="56B63DD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1"/>
        <w:rPr>
          <w:rFonts w:hint="eastAsia" w:ascii="楷体" w:hAnsi="楷体" w:eastAsia="楷体" w:cs="楷体"/>
          <w:sz w:val="32"/>
          <w:szCs w:val="32"/>
          <w:lang w:val="en-US" w:eastAsia="zh-CN"/>
        </w:rPr>
      </w:pPr>
      <w:bookmarkStart w:id="10" w:name="_Toc17582"/>
      <w:r>
        <w:rPr>
          <w:rFonts w:hint="eastAsia" w:ascii="楷体" w:hAnsi="楷体" w:eastAsia="楷体" w:cs="楷体"/>
          <w:sz w:val="32"/>
          <w:szCs w:val="32"/>
          <w:lang w:val="en-US" w:eastAsia="zh-CN"/>
        </w:rPr>
        <w:t>（二）一般公共预算当年拨款结构情况</w:t>
      </w:r>
      <w:bookmarkEnd w:id="10"/>
    </w:p>
    <w:p w14:paraId="0943DEF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一般公共服务支出157.89万元，占82.23%；社会保障和就业支出19.51万元，占10.16%；卫生健康支出4.66万元，占2.42%；住房保障支出9.95万元，占5.18%。</w:t>
      </w:r>
    </w:p>
    <w:p w14:paraId="4151250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1"/>
        <w:rPr>
          <w:rFonts w:hint="eastAsia" w:ascii="楷体" w:hAnsi="楷体" w:eastAsia="楷体" w:cs="楷体"/>
          <w:sz w:val="32"/>
          <w:szCs w:val="32"/>
          <w:lang w:val="en-US" w:eastAsia="zh-CN"/>
        </w:rPr>
      </w:pPr>
      <w:bookmarkStart w:id="11" w:name="_Toc20090"/>
      <w:r>
        <w:rPr>
          <w:rFonts w:hint="eastAsia" w:ascii="楷体" w:hAnsi="楷体" w:eastAsia="楷体" w:cs="楷体"/>
          <w:sz w:val="32"/>
          <w:szCs w:val="32"/>
          <w:lang w:val="en-US" w:eastAsia="zh-CN"/>
        </w:rPr>
        <w:t>（三）一般公共预算当年拨款具体使用情况</w:t>
      </w:r>
      <w:bookmarkEnd w:id="11"/>
    </w:p>
    <w:p w14:paraId="085D3B0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i w:val="0"/>
          <w:caps w:val="0"/>
          <w:color w:val="333333"/>
          <w:spacing w:val="0"/>
          <w:kern w:val="0"/>
          <w:sz w:val="32"/>
          <w:szCs w:val="32"/>
          <w:highlight w:val="none"/>
          <w:shd w:val="clear" w:color="auto" w:fill="FFFFFF"/>
          <w:lang w:val="en-US" w:eastAsia="zh-CN"/>
        </w:rPr>
      </w:pPr>
      <w:r>
        <w:rPr>
          <w:rFonts w:hint="eastAsia" w:ascii="仿宋_GB2312" w:hAnsi="仿宋_GB2312" w:eastAsia="仿宋_GB2312" w:cs="仿宋_GB2312"/>
          <w:sz w:val="32"/>
          <w:szCs w:val="32"/>
          <w:lang w:val="en-US" w:eastAsia="zh-CN"/>
        </w:rPr>
        <w:t>1.</w:t>
      </w:r>
      <w:r>
        <w:rPr>
          <w:rStyle w:val="14"/>
          <w:rFonts w:hint="eastAsia" w:ascii="仿宋_GB2312" w:hAnsi="仿宋_GB2312" w:eastAsia="仿宋_GB2312" w:cs="仿宋_GB2312"/>
          <w:b w:val="0"/>
          <w:bCs w:val="0"/>
          <w:color w:val="000000"/>
          <w:sz w:val="32"/>
          <w:szCs w:val="32"/>
          <w:highlight w:val="none"/>
          <w:lang w:val="en-US" w:eastAsia="zh-CN"/>
        </w:rPr>
        <w:t>一</w:t>
      </w:r>
      <w:r>
        <w:rPr>
          <w:rStyle w:val="14"/>
          <w:rFonts w:hint="eastAsia" w:ascii="仿宋_GB2312" w:hAnsi="仿宋_GB2312" w:eastAsia="仿宋_GB2312" w:cs="仿宋_GB2312"/>
          <w:b w:val="0"/>
          <w:bCs w:val="0"/>
          <w:color w:val="000000"/>
          <w:sz w:val="32"/>
          <w:szCs w:val="32"/>
          <w:highlight w:val="none"/>
        </w:rPr>
        <w:t>般公共服务（类）</w:t>
      </w:r>
      <w:r>
        <w:rPr>
          <w:rStyle w:val="14"/>
          <w:rFonts w:hint="eastAsia" w:ascii="仿宋_GB2312" w:hAnsi="仿宋_GB2312" w:eastAsia="仿宋_GB2312" w:cs="仿宋_GB2312"/>
          <w:b w:val="0"/>
          <w:bCs w:val="0"/>
          <w:color w:val="000000"/>
          <w:sz w:val="32"/>
          <w:szCs w:val="32"/>
          <w:highlight w:val="none"/>
          <w:lang w:val="en-US" w:eastAsia="zh-CN"/>
        </w:rPr>
        <w:t>政府</w:t>
      </w:r>
      <w:r>
        <w:rPr>
          <w:rStyle w:val="14"/>
          <w:rFonts w:hint="eastAsia" w:ascii="仿宋_GB2312" w:hAnsi="仿宋_GB2312" w:eastAsia="仿宋_GB2312" w:cs="仿宋_GB2312"/>
          <w:b w:val="0"/>
          <w:bCs w:val="0"/>
          <w:color w:val="000000"/>
          <w:sz w:val="32"/>
          <w:szCs w:val="32"/>
          <w:highlight w:val="none"/>
        </w:rPr>
        <w:t>办公厅（室）及相关机构事务（款）行政运行（项）</w:t>
      </w:r>
      <w:r>
        <w:rPr>
          <w:rFonts w:hint="eastAsia" w:ascii="仿宋_GB2312" w:hAnsi="仿宋_GB2312" w:eastAsia="仿宋_GB2312" w:cs="仿宋_GB2312"/>
          <w:sz w:val="32"/>
          <w:szCs w:val="32"/>
          <w:lang w:val="en-US" w:eastAsia="zh-CN"/>
        </w:rPr>
        <w:t>2025年预算数为124.02万元，</w:t>
      </w:r>
      <w:r>
        <w:rPr>
          <w:rFonts w:hint="eastAsia" w:ascii="仿宋_GB2312" w:hAnsi="仿宋_GB2312" w:eastAsia="仿宋_GB2312" w:cs="仿宋_GB2312"/>
          <w:sz w:val="32"/>
          <w:szCs w:val="32"/>
          <w:highlight w:val="none"/>
          <w:lang w:val="en-US" w:eastAsia="zh-CN"/>
        </w:rPr>
        <w:t>主要用于</w:t>
      </w:r>
      <w:r>
        <w:rPr>
          <w:rFonts w:hint="eastAsia" w:ascii="仿宋_GB2312" w:hAnsi="仿宋_GB2312" w:eastAsia="仿宋_GB2312" w:cs="仿宋_GB2312"/>
          <w:i w:val="0"/>
          <w:caps w:val="0"/>
          <w:color w:val="333333"/>
          <w:spacing w:val="0"/>
          <w:kern w:val="0"/>
          <w:sz w:val="32"/>
          <w:szCs w:val="32"/>
          <w:highlight w:val="none"/>
          <w:shd w:val="clear" w:color="auto" w:fill="FFFFFF"/>
          <w:lang w:val="en-US" w:eastAsia="zh-CN"/>
        </w:rPr>
        <w:t>预算的人员经费和保单位基本运转相关经费。</w:t>
      </w:r>
    </w:p>
    <w:p w14:paraId="69D57EA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i w:val="0"/>
          <w:caps w:val="0"/>
          <w:color w:val="333333"/>
          <w:spacing w:val="0"/>
          <w:kern w:val="0"/>
          <w:sz w:val="32"/>
          <w:szCs w:val="32"/>
          <w:highlight w:val="none"/>
          <w:shd w:val="clear" w:color="auto" w:fill="FFFFFF"/>
          <w:lang w:val="en-US" w:eastAsia="zh-CN"/>
        </w:rPr>
      </w:pPr>
      <w:r>
        <w:rPr>
          <w:rFonts w:hint="eastAsia" w:ascii="仿宋_GB2312" w:hAnsi="仿宋_GB2312" w:eastAsia="仿宋_GB2312" w:cs="仿宋_GB2312"/>
          <w:sz w:val="32"/>
          <w:szCs w:val="32"/>
          <w:lang w:val="en-US" w:eastAsia="zh-CN"/>
        </w:rPr>
        <w:t>2.</w:t>
      </w:r>
      <w:r>
        <w:rPr>
          <w:rStyle w:val="14"/>
          <w:rFonts w:hint="eastAsia" w:ascii="仿宋_GB2312" w:hAnsi="仿宋_GB2312" w:eastAsia="仿宋_GB2312" w:cs="仿宋_GB2312"/>
          <w:b w:val="0"/>
          <w:bCs w:val="0"/>
          <w:color w:val="000000"/>
          <w:sz w:val="32"/>
          <w:szCs w:val="32"/>
          <w:highlight w:val="none"/>
          <w:lang w:val="en-US" w:eastAsia="zh-CN"/>
        </w:rPr>
        <w:t>一</w:t>
      </w:r>
      <w:r>
        <w:rPr>
          <w:rStyle w:val="14"/>
          <w:rFonts w:hint="eastAsia" w:ascii="仿宋_GB2312" w:hAnsi="仿宋_GB2312" w:eastAsia="仿宋_GB2312" w:cs="仿宋_GB2312"/>
          <w:b w:val="0"/>
          <w:bCs w:val="0"/>
          <w:color w:val="000000"/>
          <w:sz w:val="32"/>
          <w:szCs w:val="32"/>
          <w:highlight w:val="none"/>
        </w:rPr>
        <w:t>般公共服务（类）</w:t>
      </w:r>
      <w:r>
        <w:rPr>
          <w:rStyle w:val="14"/>
          <w:rFonts w:hint="eastAsia" w:ascii="仿宋_GB2312" w:hAnsi="仿宋_GB2312" w:eastAsia="仿宋_GB2312" w:cs="仿宋_GB2312"/>
          <w:b w:val="0"/>
          <w:bCs w:val="0"/>
          <w:color w:val="000000"/>
          <w:sz w:val="32"/>
          <w:szCs w:val="32"/>
          <w:highlight w:val="none"/>
          <w:lang w:val="en-US" w:eastAsia="zh-CN"/>
        </w:rPr>
        <w:t>政府</w:t>
      </w:r>
      <w:r>
        <w:rPr>
          <w:rStyle w:val="14"/>
          <w:rFonts w:hint="eastAsia" w:ascii="仿宋_GB2312" w:hAnsi="仿宋_GB2312" w:eastAsia="仿宋_GB2312" w:cs="仿宋_GB2312"/>
          <w:b w:val="0"/>
          <w:bCs w:val="0"/>
          <w:color w:val="000000"/>
          <w:sz w:val="32"/>
          <w:szCs w:val="32"/>
          <w:highlight w:val="none"/>
        </w:rPr>
        <w:t>办公厅（室）及相关机构事务（款）</w:t>
      </w:r>
      <w:r>
        <w:rPr>
          <w:rStyle w:val="14"/>
          <w:rFonts w:hint="eastAsia" w:ascii="仿宋_GB2312" w:hAnsi="仿宋_GB2312" w:eastAsia="仿宋_GB2312" w:cs="仿宋_GB2312"/>
          <w:b w:val="0"/>
          <w:bCs w:val="0"/>
          <w:color w:val="000000"/>
          <w:sz w:val="32"/>
          <w:szCs w:val="32"/>
          <w:highlight w:val="none"/>
          <w:lang w:eastAsia="zh-CN"/>
        </w:rPr>
        <w:t>事业</w:t>
      </w:r>
      <w:r>
        <w:rPr>
          <w:rStyle w:val="14"/>
          <w:rFonts w:hint="eastAsia" w:ascii="仿宋_GB2312" w:hAnsi="仿宋_GB2312" w:eastAsia="仿宋_GB2312" w:cs="仿宋_GB2312"/>
          <w:b w:val="0"/>
          <w:bCs w:val="0"/>
          <w:color w:val="000000"/>
          <w:sz w:val="32"/>
          <w:szCs w:val="32"/>
          <w:highlight w:val="none"/>
        </w:rPr>
        <w:t>运行（项）</w:t>
      </w:r>
      <w:r>
        <w:rPr>
          <w:rFonts w:hint="eastAsia" w:ascii="仿宋_GB2312" w:hAnsi="仿宋_GB2312" w:eastAsia="仿宋_GB2312" w:cs="仿宋_GB2312"/>
          <w:b w:val="0"/>
          <w:bCs w:val="0"/>
          <w:sz w:val="32"/>
          <w:szCs w:val="32"/>
          <w:highlight w:val="none"/>
          <w:lang w:val="en-US" w:eastAsia="zh-CN"/>
        </w:rPr>
        <w:t>2</w:t>
      </w:r>
      <w:r>
        <w:rPr>
          <w:rFonts w:hint="eastAsia" w:ascii="仿宋_GB2312" w:hAnsi="仿宋_GB2312" w:eastAsia="仿宋_GB2312" w:cs="仿宋_GB2312"/>
          <w:sz w:val="32"/>
          <w:szCs w:val="32"/>
          <w:highlight w:val="none"/>
          <w:lang w:val="en-US" w:eastAsia="zh-CN"/>
        </w:rPr>
        <w:t>025年预算数为33.87万元，主要用于</w:t>
      </w:r>
      <w:r>
        <w:rPr>
          <w:rFonts w:hint="eastAsia" w:ascii="仿宋_GB2312" w:hAnsi="仿宋_GB2312" w:eastAsia="仿宋_GB2312" w:cs="仿宋_GB2312"/>
          <w:i w:val="0"/>
          <w:caps w:val="0"/>
          <w:color w:val="333333"/>
          <w:spacing w:val="0"/>
          <w:kern w:val="0"/>
          <w:sz w:val="32"/>
          <w:szCs w:val="32"/>
          <w:highlight w:val="none"/>
          <w:shd w:val="clear" w:color="auto" w:fill="FFFFFF"/>
          <w:lang w:val="en-US" w:eastAsia="zh-CN"/>
        </w:rPr>
        <w:t>人员经费和保单位基本运转相关经费。</w:t>
      </w:r>
    </w:p>
    <w:p w14:paraId="3F2ABC3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Style w:val="14"/>
          <w:rFonts w:hint="eastAsia" w:ascii="仿宋_GB2312" w:hAnsi="仿宋_GB2312" w:eastAsia="仿宋_GB2312" w:cs="仿宋_GB2312"/>
          <w:b w:val="0"/>
          <w:bCs w:val="0"/>
          <w:color w:val="000000"/>
          <w:sz w:val="32"/>
          <w:szCs w:val="32"/>
          <w:highlight w:val="none"/>
          <w:lang w:val="en-US" w:eastAsia="zh-CN"/>
        </w:rPr>
      </w:pPr>
      <w:r>
        <w:rPr>
          <w:rStyle w:val="14"/>
          <w:rFonts w:hint="eastAsia" w:ascii="仿宋_GB2312" w:hAnsi="仿宋_GB2312" w:eastAsia="仿宋_GB2312" w:cs="仿宋_GB2312"/>
          <w:b w:val="0"/>
          <w:bCs w:val="0"/>
          <w:color w:val="000000"/>
          <w:sz w:val="32"/>
          <w:szCs w:val="32"/>
          <w:highlight w:val="none"/>
          <w:lang w:val="en-US" w:eastAsia="zh-CN"/>
        </w:rPr>
        <w:t>3.社会保障和就业（类）行政事业单位养老支出（款）行政单位离退休（项）2025年预算数为6万元，机关及参公管理事业单位离退休人员经费支出。</w:t>
      </w:r>
    </w:p>
    <w:p w14:paraId="2EE881B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Style w:val="14"/>
          <w:rFonts w:hint="eastAsia" w:ascii="仿宋_GB2312" w:hAnsi="仿宋_GB2312" w:eastAsia="仿宋_GB2312" w:cs="仿宋_GB2312"/>
          <w:b w:val="0"/>
          <w:bCs w:val="0"/>
          <w:color w:val="000000"/>
          <w:sz w:val="32"/>
          <w:szCs w:val="32"/>
          <w:highlight w:val="none"/>
          <w:lang w:val="en-US" w:eastAsia="zh-CN"/>
        </w:rPr>
      </w:pPr>
      <w:r>
        <w:rPr>
          <w:rStyle w:val="14"/>
          <w:rFonts w:hint="eastAsia" w:ascii="仿宋_GB2312" w:hAnsi="仿宋_GB2312" w:eastAsia="仿宋_GB2312" w:cs="仿宋_GB2312"/>
          <w:b w:val="0"/>
          <w:bCs w:val="0"/>
          <w:color w:val="000000"/>
          <w:sz w:val="32"/>
          <w:szCs w:val="32"/>
          <w:highlight w:val="none"/>
          <w:lang w:val="en-US" w:eastAsia="zh-CN"/>
        </w:rPr>
        <w:t>4.社会保障和就业（类）行政事业单位养老支出（款）行政单位离退休（项）2025年预算数为13.26万元，主要用于：实施养老保险制度由单位缴纳的基本养老保险支出。</w:t>
      </w:r>
    </w:p>
    <w:p w14:paraId="58D2FFE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Style w:val="14"/>
          <w:rFonts w:hint="eastAsia" w:ascii="仿宋_GB2312" w:hAnsi="仿宋_GB2312" w:eastAsia="仿宋_GB2312" w:cs="仿宋_GB2312"/>
          <w:b w:val="0"/>
          <w:bCs w:val="0"/>
          <w:color w:val="000000"/>
          <w:sz w:val="32"/>
          <w:szCs w:val="32"/>
          <w:highlight w:val="none"/>
          <w:lang w:val="en-US" w:eastAsia="zh-CN"/>
        </w:rPr>
      </w:pPr>
      <w:r>
        <w:rPr>
          <w:rStyle w:val="14"/>
          <w:rFonts w:hint="eastAsia" w:ascii="仿宋_GB2312" w:hAnsi="仿宋_GB2312" w:eastAsia="仿宋_GB2312" w:cs="仿宋_GB2312"/>
          <w:b w:val="0"/>
          <w:bCs w:val="0"/>
          <w:color w:val="000000"/>
          <w:sz w:val="32"/>
          <w:szCs w:val="32"/>
          <w:highlight w:val="none"/>
          <w:lang w:val="en-US" w:eastAsia="zh-CN"/>
        </w:rPr>
        <w:t>5.社会保障和就业（类）行政事业单位养老支出（款）社会保障和就业支出（项）2025年预算数为0.24万元，主要用于：由单位缴纳的社会保障和就业支出。</w:t>
      </w:r>
    </w:p>
    <w:p w14:paraId="700BFCC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Style w:val="14"/>
          <w:rFonts w:hint="eastAsia" w:ascii="仿宋_GB2312" w:hAnsi="仿宋_GB2312" w:eastAsia="仿宋_GB2312" w:cs="仿宋_GB2312"/>
          <w:b w:val="0"/>
          <w:bCs w:val="0"/>
          <w:color w:val="000000"/>
          <w:sz w:val="32"/>
          <w:szCs w:val="32"/>
          <w:highlight w:val="none"/>
          <w:lang w:val="en-US" w:eastAsia="zh-CN"/>
        </w:rPr>
      </w:pPr>
      <w:r>
        <w:rPr>
          <w:rStyle w:val="14"/>
          <w:rFonts w:hint="eastAsia" w:ascii="仿宋_GB2312" w:hAnsi="仿宋_GB2312" w:eastAsia="仿宋_GB2312" w:cs="仿宋_GB2312"/>
          <w:b w:val="0"/>
          <w:bCs w:val="0"/>
          <w:color w:val="000000"/>
          <w:sz w:val="32"/>
          <w:szCs w:val="32"/>
          <w:highlight w:val="none"/>
          <w:lang w:val="en-US" w:eastAsia="zh-CN"/>
        </w:rPr>
        <w:t>6.卫生健康（类）行政事业单位医疗（款）行政单位医疗（项）2025年预算数为2.97万元，主要用于：机关及参公管理事业单位按规定由单位缴纳的基本医疗保险支出。</w:t>
      </w:r>
    </w:p>
    <w:p w14:paraId="363C8CC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Style w:val="14"/>
          <w:rFonts w:hint="eastAsia" w:ascii="仿宋_GB2312" w:hAnsi="仿宋_GB2312" w:eastAsia="仿宋_GB2312" w:cs="仿宋_GB2312"/>
          <w:b w:val="0"/>
          <w:bCs w:val="0"/>
          <w:color w:val="000000"/>
          <w:sz w:val="32"/>
          <w:szCs w:val="32"/>
          <w:highlight w:val="none"/>
          <w:lang w:val="en-US" w:eastAsia="zh-CN"/>
        </w:rPr>
      </w:pPr>
      <w:r>
        <w:rPr>
          <w:rStyle w:val="14"/>
          <w:rFonts w:hint="eastAsia" w:ascii="仿宋_GB2312" w:hAnsi="仿宋_GB2312" w:eastAsia="仿宋_GB2312" w:cs="仿宋_GB2312"/>
          <w:b w:val="0"/>
          <w:bCs w:val="0"/>
          <w:color w:val="000000"/>
          <w:sz w:val="32"/>
          <w:szCs w:val="32"/>
          <w:highlight w:val="none"/>
          <w:lang w:val="en-US" w:eastAsia="zh-CN"/>
        </w:rPr>
        <w:t>7.卫生健康（类）行政事业单位医疗（款）事业单位医疗（项）2025年预算数为1.69万元，主要用于：部门下属事业单位按规定由单位缴纳的基本医疗保险支出。</w:t>
      </w:r>
    </w:p>
    <w:p w14:paraId="4529E15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i w:val="0"/>
          <w:caps w:val="0"/>
          <w:color w:val="333333"/>
          <w:spacing w:val="0"/>
          <w:kern w:val="0"/>
          <w:sz w:val="32"/>
          <w:szCs w:val="32"/>
          <w:highlight w:val="none"/>
          <w:shd w:val="clear" w:color="auto" w:fill="FFFFFF"/>
          <w:lang w:val="en-US" w:eastAsia="zh-CN"/>
        </w:rPr>
      </w:pPr>
      <w:r>
        <w:rPr>
          <w:rStyle w:val="14"/>
          <w:rFonts w:hint="eastAsia" w:ascii="仿宋_GB2312" w:hAnsi="仿宋_GB2312" w:eastAsia="仿宋_GB2312" w:cs="仿宋_GB2312"/>
          <w:b w:val="0"/>
          <w:bCs w:val="0"/>
          <w:color w:val="000000"/>
          <w:sz w:val="32"/>
          <w:szCs w:val="32"/>
          <w:highlight w:val="none"/>
          <w:lang w:val="en-US" w:eastAsia="zh-CN"/>
        </w:rPr>
        <w:t>8.住房保障（类）住房改革支出（款）住房公积金（项）2025年预算数为9.95万元，主要用于：部门按规定为职工缴纳的住房公积金支出。</w:t>
      </w:r>
    </w:p>
    <w:p w14:paraId="31AF914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0"/>
        <w:rPr>
          <w:rFonts w:hint="eastAsia" w:ascii="黑体" w:hAnsi="黑体" w:eastAsia="黑体" w:cs="黑体"/>
          <w:sz w:val="32"/>
          <w:szCs w:val="32"/>
        </w:rPr>
      </w:pPr>
      <w:bookmarkStart w:id="12" w:name="_Toc8659"/>
      <w:r>
        <w:rPr>
          <w:rFonts w:hint="eastAsia" w:ascii="黑体" w:hAnsi="黑体" w:eastAsia="黑体" w:cs="黑体"/>
          <w:sz w:val="32"/>
          <w:szCs w:val="32"/>
          <w:lang w:val="en-US" w:eastAsia="zh-CN"/>
        </w:rPr>
        <w:t>六、一般公共预算基本支出情况说明</w:t>
      </w:r>
      <w:bookmarkEnd w:id="12"/>
    </w:p>
    <w:p w14:paraId="60B98D3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Style w:val="14"/>
          <w:rFonts w:hint="eastAsia" w:ascii="仿宋_GB2312" w:hAnsi="仿宋_GB2312" w:eastAsia="仿宋_GB2312" w:cs="仿宋_GB2312"/>
          <w:b w:val="0"/>
          <w:bCs w:val="0"/>
          <w:color w:val="000000"/>
          <w:sz w:val="32"/>
          <w:szCs w:val="32"/>
          <w:highlight w:val="none"/>
          <w:lang w:val="en-US" w:eastAsia="zh-CN"/>
        </w:rPr>
      </w:pPr>
      <w:r>
        <w:rPr>
          <w:rStyle w:val="14"/>
          <w:rFonts w:hint="eastAsia" w:ascii="仿宋_GB2312" w:hAnsi="仿宋_GB2312" w:eastAsia="仿宋_GB2312" w:cs="仿宋_GB2312"/>
          <w:b w:val="0"/>
          <w:bCs w:val="0"/>
          <w:color w:val="000000"/>
          <w:sz w:val="32"/>
          <w:szCs w:val="32"/>
          <w:highlight w:val="none"/>
          <w:lang w:val="en-US" w:eastAsia="zh-CN"/>
        </w:rPr>
        <w:t>区信访局2025年一般公共预算基本支出134.37万元，其中：</w:t>
      </w:r>
    </w:p>
    <w:p w14:paraId="307E7F3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Style w:val="14"/>
          <w:rFonts w:hint="eastAsia" w:ascii="仿宋_GB2312" w:hAnsi="仿宋_GB2312" w:eastAsia="仿宋_GB2312" w:cs="仿宋_GB2312"/>
          <w:b w:val="0"/>
          <w:bCs w:val="0"/>
          <w:color w:val="000000"/>
          <w:sz w:val="32"/>
          <w:szCs w:val="32"/>
          <w:highlight w:val="none"/>
          <w:lang w:val="en-US" w:eastAsia="zh-CN"/>
        </w:rPr>
      </w:pPr>
      <w:r>
        <w:rPr>
          <w:rStyle w:val="14"/>
          <w:rFonts w:hint="eastAsia" w:ascii="仿宋_GB2312" w:hAnsi="仿宋_GB2312" w:eastAsia="仿宋_GB2312" w:cs="仿宋_GB2312"/>
          <w:b w:val="0"/>
          <w:bCs w:val="0"/>
          <w:color w:val="000000"/>
          <w:sz w:val="32"/>
          <w:szCs w:val="32"/>
          <w:highlight w:val="none"/>
          <w:lang w:val="en-US" w:eastAsia="zh-CN"/>
        </w:rPr>
        <w:t>人员经费119.27万元，主要包括：基本工资、津贴补贴、绩效工资、基础绩效奖，其他社会保障缴费、住房公积金等支出。</w:t>
      </w:r>
    </w:p>
    <w:p w14:paraId="7D36F80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Style w:val="14"/>
          <w:rFonts w:hint="eastAsia" w:ascii="仿宋_GB2312" w:hAnsi="仿宋_GB2312" w:eastAsia="仿宋_GB2312" w:cs="仿宋_GB2312"/>
          <w:b w:val="0"/>
          <w:bCs w:val="0"/>
          <w:color w:val="000000"/>
          <w:sz w:val="32"/>
          <w:szCs w:val="32"/>
          <w:highlight w:val="none"/>
          <w:lang w:val="en-US" w:eastAsia="zh-CN"/>
        </w:rPr>
      </w:pPr>
      <w:r>
        <w:rPr>
          <w:rStyle w:val="14"/>
          <w:rFonts w:hint="eastAsia" w:ascii="仿宋_GB2312" w:hAnsi="仿宋_GB2312" w:eastAsia="仿宋_GB2312" w:cs="仿宋_GB2312"/>
          <w:b w:val="0"/>
          <w:bCs w:val="0"/>
          <w:color w:val="000000"/>
          <w:sz w:val="32"/>
          <w:szCs w:val="32"/>
          <w:highlight w:val="none"/>
          <w:lang w:val="en-US" w:eastAsia="zh-CN"/>
        </w:rPr>
        <w:t>公用经费15.1万元，主要包括：办公费、印刷费、电费、邮电费、差旅费、公务接待费、工会经费、公务交通补贴、对个人和家庭的补助等支出。</w:t>
      </w:r>
    </w:p>
    <w:p w14:paraId="4CC598C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0"/>
        <w:rPr>
          <w:rFonts w:hint="eastAsia" w:ascii="黑体" w:hAnsi="黑体" w:eastAsia="黑体" w:cs="黑体"/>
          <w:sz w:val="32"/>
          <w:szCs w:val="32"/>
        </w:rPr>
      </w:pPr>
      <w:bookmarkStart w:id="13" w:name="_Toc12481"/>
      <w:r>
        <w:rPr>
          <w:rFonts w:hint="eastAsia" w:ascii="黑体" w:hAnsi="黑体" w:eastAsia="黑体" w:cs="黑体"/>
          <w:sz w:val="32"/>
          <w:szCs w:val="32"/>
          <w:lang w:val="en-US" w:eastAsia="zh-CN"/>
        </w:rPr>
        <w:t>七、“三公”经费财政拨款预算安排情况说明</w:t>
      </w:r>
      <w:bookmarkEnd w:id="13"/>
    </w:p>
    <w:p w14:paraId="61EE244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区信访局2025年“三公”经费财政拨款预算数2.85万元，其中：公务接待费2.85万元，公务用车购置及运行维护费0万元，因公出国（境）经费0万元。</w:t>
      </w:r>
    </w:p>
    <w:p w14:paraId="041437A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1"/>
        <w:rPr>
          <w:rFonts w:hint="eastAsia" w:ascii="楷体" w:hAnsi="楷体" w:eastAsia="楷体" w:cs="楷体"/>
          <w:sz w:val="32"/>
          <w:szCs w:val="32"/>
          <w:lang w:val="en-US" w:eastAsia="zh-CN"/>
        </w:rPr>
      </w:pPr>
      <w:bookmarkStart w:id="14" w:name="_Toc6011"/>
      <w:r>
        <w:rPr>
          <w:rFonts w:hint="eastAsia" w:ascii="楷体" w:hAnsi="楷体" w:eastAsia="楷体" w:cs="楷体"/>
          <w:sz w:val="32"/>
          <w:szCs w:val="32"/>
          <w:lang w:val="en-US" w:eastAsia="zh-CN"/>
        </w:rPr>
        <w:t>（一）公务接待费</w:t>
      </w:r>
      <w:bookmarkEnd w:id="14"/>
    </w:p>
    <w:p w14:paraId="7714531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公务接待费与2024年预算相比下降0.05万元，主要原因是节约开支。</w:t>
      </w:r>
    </w:p>
    <w:p w14:paraId="248649B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2025年公务接待费计划用于执行接待考察调研、检查指导等公务活动开支的交通费、住宿费、用餐费等。</w:t>
      </w:r>
    </w:p>
    <w:p w14:paraId="751108CF">
      <w:pPr>
        <w:keepNext w:val="0"/>
        <w:keepLines w:val="0"/>
        <w:pageBreakBefore w:val="0"/>
        <w:widowControl w:val="0"/>
        <w:numPr>
          <w:ilvl w:val="0"/>
          <w:numId w:val="2"/>
        </w:numPr>
        <w:kinsoku/>
        <w:wordWrap/>
        <w:overflowPunct/>
        <w:topLinePunct w:val="0"/>
        <w:autoSpaceDE/>
        <w:autoSpaceDN/>
        <w:bidi w:val="0"/>
        <w:adjustRightInd/>
        <w:snapToGrid/>
        <w:spacing w:line="570" w:lineRule="exact"/>
        <w:ind w:firstLine="640" w:firstLineChars="200"/>
        <w:textAlignment w:val="auto"/>
        <w:outlineLvl w:val="1"/>
        <w:rPr>
          <w:rFonts w:hint="eastAsia" w:ascii="楷体" w:hAnsi="楷体" w:eastAsia="楷体" w:cs="楷体"/>
          <w:sz w:val="32"/>
          <w:szCs w:val="32"/>
          <w:lang w:val="en-US" w:eastAsia="zh-CN"/>
        </w:rPr>
      </w:pPr>
      <w:bookmarkStart w:id="15" w:name="_Toc23916"/>
      <w:r>
        <w:rPr>
          <w:rFonts w:hint="eastAsia" w:ascii="楷体" w:hAnsi="楷体" w:eastAsia="楷体" w:cs="楷体"/>
          <w:sz w:val="32"/>
          <w:szCs w:val="32"/>
          <w:lang w:val="en-US" w:eastAsia="zh-CN"/>
        </w:rPr>
        <w:t>公务用车购置及运行维护费</w:t>
      </w:r>
      <w:bookmarkEnd w:id="15"/>
    </w:p>
    <w:p w14:paraId="392C1520">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公务用车购置及运行维护费与2024年预算持平。</w:t>
      </w:r>
    </w:p>
    <w:p w14:paraId="3FDA193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单位现有公务用车0辆。</w:t>
      </w:r>
    </w:p>
    <w:p w14:paraId="4CFB946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2025年安排公务用车运行维护费0万元。</w:t>
      </w:r>
    </w:p>
    <w:p w14:paraId="321A82CE">
      <w:pPr>
        <w:keepNext w:val="0"/>
        <w:keepLines w:val="0"/>
        <w:pageBreakBefore w:val="0"/>
        <w:widowControl w:val="0"/>
        <w:kinsoku/>
        <w:wordWrap/>
        <w:overflowPunct/>
        <w:topLinePunct w:val="0"/>
        <w:autoSpaceDE/>
        <w:autoSpaceDN/>
        <w:bidi w:val="0"/>
        <w:adjustRightInd/>
        <w:snapToGrid/>
        <w:spacing w:line="570" w:lineRule="exact"/>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bookmarkStart w:id="16" w:name="_Toc16169"/>
      <w:r>
        <w:rPr>
          <w:rFonts w:hint="eastAsia" w:ascii="楷体" w:hAnsi="楷体" w:eastAsia="楷体" w:cs="楷体"/>
          <w:sz w:val="32"/>
          <w:szCs w:val="32"/>
          <w:lang w:val="en-US" w:eastAsia="zh-CN"/>
        </w:rPr>
        <w:t>（三）因公出国（境）经费</w:t>
      </w:r>
      <w:bookmarkEnd w:id="16"/>
    </w:p>
    <w:p w14:paraId="4A8C398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因公出国（境）经费与2024年预算相比持平，未预算。</w:t>
      </w:r>
    </w:p>
    <w:p w14:paraId="7FD26F0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0"/>
        <w:rPr>
          <w:rFonts w:hint="eastAsia" w:ascii="黑体" w:hAnsi="黑体" w:eastAsia="黑体" w:cs="黑体"/>
          <w:sz w:val="32"/>
          <w:szCs w:val="32"/>
          <w:lang w:val="en-US" w:eastAsia="zh-CN"/>
        </w:rPr>
      </w:pPr>
      <w:bookmarkStart w:id="17" w:name="_Toc22896"/>
      <w:r>
        <w:rPr>
          <w:rFonts w:hint="eastAsia" w:ascii="黑体" w:hAnsi="黑体" w:eastAsia="黑体" w:cs="黑体"/>
          <w:sz w:val="32"/>
          <w:szCs w:val="32"/>
          <w:lang w:val="en-US" w:eastAsia="zh-CN"/>
        </w:rPr>
        <w:t>八、政府性基金预算支出情况说明</w:t>
      </w:r>
      <w:bookmarkEnd w:id="17"/>
    </w:p>
    <w:p w14:paraId="5C07F53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区信访局2025年无政府性基金预算拨款安排的支出。</w:t>
      </w:r>
    </w:p>
    <w:p w14:paraId="1546F5B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0"/>
        <w:rPr>
          <w:rFonts w:hint="eastAsia" w:ascii="黑体" w:hAnsi="黑体" w:eastAsia="黑体" w:cs="黑体"/>
          <w:sz w:val="32"/>
          <w:szCs w:val="32"/>
          <w:lang w:val="en-US" w:eastAsia="zh-CN"/>
        </w:rPr>
      </w:pPr>
      <w:bookmarkStart w:id="18" w:name="_Toc32148"/>
      <w:r>
        <w:rPr>
          <w:rFonts w:hint="eastAsia" w:ascii="黑体" w:hAnsi="黑体" w:eastAsia="黑体" w:cs="黑体"/>
          <w:sz w:val="32"/>
          <w:szCs w:val="32"/>
          <w:lang w:val="en-US" w:eastAsia="zh-CN"/>
        </w:rPr>
        <w:t>九、国有资本经营预算支出情况说明</w:t>
      </w:r>
      <w:bookmarkEnd w:id="18"/>
    </w:p>
    <w:p w14:paraId="688DE4B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区信访局2025年无国有资本经营预算拨款安排的支出。</w:t>
      </w:r>
    </w:p>
    <w:p w14:paraId="36CC647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0"/>
        <w:rPr>
          <w:rFonts w:hint="eastAsia" w:ascii="黑体" w:hAnsi="黑体" w:eastAsia="黑体" w:cs="黑体"/>
          <w:sz w:val="32"/>
          <w:szCs w:val="32"/>
        </w:rPr>
      </w:pPr>
      <w:bookmarkStart w:id="19" w:name="_Toc25584"/>
      <w:r>
        <w:rPr>
          <w:rFonts w:hint="eastAsia" w:ascii="黑体" w:hAnsi="黑体" w:eastAsia="黑体" w:cs="黑体"/>
          <w:sz w:val="32"/>
          <w:szCs w:val="32"/>
          <w:lang w:val="en-US" w:eastAsia="zh-CN"/>
        </w:rPr>
        <w:t>十、其他重要事项的情况说明</w:t>
      </w:r>
      <w:bookmarkEnd w:id="19"/>
    </w:p>
    <w:p w14:paraId="060CBBD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1"/>
        <w:rPr>
          <w:rFonts w:hint="eastAsia" w:ascii="楷体" w:hAnsi="楷体" w:eastAsia="楷体" w:cs="楷体"/>
          <w:sz w:val="32"/>
          <w:szCs w:val="32"/>
          <w:lang w:val="en-US" w:eastAsia="zh-CN"/>
        </w:rPr>
      </w:pPr>
      <w:bookmarkStart w:id="20" w:name="_Toc30061"/>
      <w:r>
        <w:rPr>
          <w:rFonts w:hint="eastAsia" w:ascii="楷体" w:hAnsi="楷体" w:eastAsia="楷体" w:cs="楷体"/>
          <w:sz w:val="32"/>
          <w:szCs w:val="32"/>
          <w:lang w:val="en-US" w:eastAsia="zh-CN"/>
        </w:rPr>
        <w:t>（一）机关运行经费</w:t>
      </w:r>
      <w:bookmarkEnd w:id="20"/>
    </w:p>
    <w:p w14:paraId="6888527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2025年，区信访局机关运行经费财政拨款预算为15.1万元，与2024年预算持平。</w:t>
      </w:r>
    </w:p>
    <w:p w14:paraId="70F505B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1"/>
        <w:rPr>
          <w:rFonts w:hint="eastAsia" w:ascii="楷体" w:hAnsi="楷体" w:eastAsia="楷体" w:cs="楷体"/>
          <w:sz w:val="32"/>
          <w:szCs w:val="32"/>
          <w:lang w:val="en-US" w:eastAsia="zh-CN"/>
        </w:rPr>
      </w:pPr>
      <w:bookmarkStart w:id="21" w:name="_Toc31861"/>
      <w:r>
        <w:rPr>
          <w:rFonts w:hint="eastAsia" w:ascii="楷体" w:hAnsi="楷体" w:eastAsia="楷体" w:cs="楷体"/>
          <w:sz w:val="32"/>
          <w:szCs w:val="32"/>
          <w:lang w:val="en-US" w:eastAsia="zh-CN"/>
        </w:rPr>
        <w:t>（二）政府采购情况</w:t>
      </w:r>
      <w:bookmarkEnd w:id="21"/>
    </w:p>
    <w:p w14:paraId="5BEA91F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本单位本年度无政府采购预算。</w:t>
      </w:r>
    </w:p>
    <w:p w14:paraId="03C1C74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1"/>
        <w:rPr>
          <w:rFonts w:hint="eastAsia" w:ascii="楷体" w:hAnsi="楷体" w:eastAsia="楷体" w:cs="楷体"/>
          <w:sz w:val="32"/>
          <w:szCs w:val="32"/>
          <w:lang w:val="en-US" w:eastAsia="zh-CN"/>
        </w:rPr>
      </w:pPr>
      <w:bookmarkStart w:id="22" w:name="_Toc22866"/>
      <w:r>
        <w:rPr>
          <w:rFonts w:hint="eastAsia" w:ascii="楷体" w:hAnsi="楷体" w:eastAsia="楷体" w:cs="楷体"/>
          <w:sz w:val="32"/>
          <w:szCs w:val="32"/>
          <w:lang w:val="en-US" w:eastAsia="zh-CN"/>
        </w:rPr>
        <w:t>（三）国有资产占有使用情况</w:t>
      </w:r>
      <w:bookmarkEnd w:id="22"/>
    </w:p>
    <w:p w14:paraId="6069F75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截至2024年底，区信访局共有车辆0辆，其中，领导干部用车0辆、定向保障用车0辆、执法执勤用车0辆。单位价值200万元以上大型设备0台（套）（或单位无价值200万元以上的大型设备）。</w:t>
      </w:r>
    </w:p>
    <w:p w14:paraId="47F416F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2025年部门预算安排车辆购置经费0万元。</w:t>
      </w:r>
    </w:p>
    <w:p w14:paraId="12040DA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1"/>
        <w:rPr>
          <w:rFonts w:hint="eastAsia" w:ascii="楷体" w:hAnsi="楷体" w:eastAsia="楷体" w:cs="楷体"/>
          <w:sz w:val="32"/>
          <w:szCs w:val="32"/>
        </w:rPr>
      </w:pPr>
      <w:bookmarkStart w:id="23" w:name="_Toc16270"/>
      <w:r>
        <w:rPr>
          <w:rFonts w:hint="eastAsia" w:ascii="楷体" w:hAnsi="楷体" w:eastAsia="楷体" w:cs="楷体"/>
          <w:sz w:val="32"/>
          <w:szCs w:val="32"/>
          <w:lang w:val="en-US" w:eastAsia="zh-CN"/>
        </w:rPr>
        <w:t>（四）绩效目标设置情况</w:t>
      </w:r>
      <w:bookmarkEnd w:id="23"/>
    </w:p>
    <w:p w14:paraId="29B4112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2025年区信访局开展绩效目标管理的项目7个，涉及预算72.74万元。其中：人员类项目2个，涉及预算15.1万元；运转类项目5个，涉及预算57.64万元。</w:t>
      </w:r>
    </w:p>
    <w:p w14:paraId="308FADF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0"/>
        <w:rPr>
          <w:rFonts w:hint="eastAsia" w:ascii="黑体" w:hAnsi="黑体" w:eastAsia="黑体" w:cs="黑体"/>
          <w:sz w:val="32"/>
          <w:szCs w:val="32"/>
        </w:rPr>
      </w:pPr>
      <w:bookmarkStart w:id="24" w:name="_Toc24148"/>
      <w:r>
        <w:rPr>
          <w:rFonts w:hint="eastAsia" w:ascii="黑体" w:hAnsi="黑体" w:eastAsia="黑体" w:cs="黑体"/>
          <w:sz w:val="32"/>
          <w:szCs w:val="32"/>
          <w:lang w:val="en-US" w:eastAsia="zh-CN"/>
        </w:rPr>
        <w:t>十一、名词解释</w:t>
      </w:r>
      <w:bookmarkEnd w:id="24"/>
    </w:p>
    <w:p w14:paraId="7C8CE166">
      <w:pPr>
        <w:keepNext w:val="0"/>
        <w:keepLines w:val="0"/>
        <w:pageBreakBefore w:val="0"/>
        <w:widowControl/>
        <w:numPr>
          <w:ilvl w:val="0"/>
          <w:numId w:val="3"/>
        </w:numPr>
        <w:suppressLineNumbers w:val="0"/>
        <w:pBdr>
          <w:top w:val="none" w:color="auto" w:sz="0" w:space="0"/>
          <w:left w:val="none" w:color="auto" w:sz="0" w:space="0"/>
          <w:bottom w:val="single" w:color="FFFFFF" w:sz="8" w:space="31"/>
          <w:right w:val="none" w:color="auto" w:sz="0" w:space="0"/>
        </w:pBdr>
        <w:shd w:val="clear" w:color="auto" w:fill="auto"/>
        <w:kinsoku/>
        <w:wordWrap/>
        <w:topLinePunct w:val="0"/>
        <w:autoSpaceDE/>
        <w:autoSpaceDN/>
        <w:bidi w:val="0"/>
        <w:adjustRightInd/>
        <w:snapToGrid/>
        <w:spacing w:before="0" w:beforeAutospacing="0" w:after="0" w:afterAutospacing="0" w:line="570" w:lineRule="exact"/>
        <w:ind w:left="630" w:leftChars="0" w:right="0" w:rightChars="0" w:firstLine="420" w:firstLineChars="0"/>
        <w:jc w:val="both"/>
        <w:textAlignment w:val="auto"/>
        <w:rPr>
          <w:rFonts w:hint="eastAsia" w:ascii="仿宋_GB2312" w:hAnsi="仿宋_GB2312" w:eastAsia="仿宋_GB2312" w:cs="仿宋_GB2312"/>
          <w:b w:val="0"/>
          <w:bCs w:val="0"/>
          <w:i w:val="0"/>
          <w:caps w:val="0"/>
          <w:color w:val="333333"/>
          <w:spacing w:val="0"/>
          <w:kern w:val="0"/>
          <w:sz w:val="32"/>
          <w:szCs w:val="32"/>
          <w:highlight w:val="none"/>
          <w:shd w:val="clear" w:color="auto" w:fill="FFFFFF"/>
          <w:lang w:val="en-US" w:eastAsia="zh-CN"/>
        </w:rPr>
      </w:pPr>
      <w:r>
        <w:rPr>
          <w:rFonts w:hint="eastAsia" w:ascii="仿宋_GB2312" w:hAnsi="仿宋_GB2312" w:eastAsia="仿宋_GB2312" w:cs="仿宋_GB2312"/>
          <w:b w:val="0"/>
          <w:bCs w:val="0"/>
          <w:i w:val="0"/>
          <w:caps w:val="0"/>
          <w:color w:val="333333"/>
          <w:spacing w:val="0"/>
          <w:kern w:val="0"/>
          <w:sz w:val="32"/>
          <w:szCs w:val="32"/>
          <w:highlight w:val="none"/>
          <w:shd w:val="clear" w:color="auto" w:fill="FFFFFF"/>
          <w:lang w:val="en-US" w:eastAsia="zh-CN"/>
        </w:rPr>
        <w:t>财政拨款收入：指区财政当年安排的财政预算收入。按现行管理制度，部门预算中反映的财政拨款包括一般公共预算拨款和政府性基金预算拨款。</w:t>
      </w:r>
    </w:p>
    <w:p w14:paraId="07FC7EDC">
      <w:pPr>
        <w:keepNext w:val="0"/>
        <w:keepLines w:val="0"/>
        <w:pageBreakBefore w:val="0"/>
        <w:widowControl/>
        <w:numPr>
          <w:ilvl w:val="0"/>
          <w:numId w:val="3"/>
        </w:numPr>
        <w:suppressLineNumbers w:val="0"/>
        <w:pBdr>
          <w:top w:val="none" w:color="auto" w:sz="0" w:space="0"/>
          <w:left w:val="none" w:color="auto" w:sz="0" w:space="0"/>
          <w:bottom w:val="single" w:color="FFFFFF" w:sz="8" w:space="31"/>
          <w:right w:val="none" w:color="auto" w:sz="0" w:space="0"/>
        </w:pBdr>
        <w:shd w:val="clear" w:color="auto" w:fill="auto"/>
        <w:kinsoku/>
        <w:wordWrap/>
        <w:topLinePunct w:val="0"/>
        <w:autoSpaceDE/>
        <w:autoSpaceDN/>
        <w:bidi w:val="0"/>
        <w:adjustRightInd/>
        <w:snapToGrid/>
        <w:spacing w:before="0" w:beforeAutospacing="0" w:after="0" w:afterAutospacing="0" w:line="570" w:lineRule="exact"/>
        <w:ind w:left="630" w:leftChars="0" w:right="0" w:rightChars="0" w:firstLine="420" w:firstLineChars="0"/>
        <w:jc w:val="both"/>
        <w:textAlignment w:val="auto"/>
        <w:rPr>
          <w:rFonts w:hint="eastAsia" w:ascii="仿宋_GB2312" w:hAnsi="仿宋_GB2312" w:eastAsia="仿宋_GB2312" w:cs="仿宋_GB2312"/>
          <w:b w:val="0"/>
          <w:bCs w:val="0"/>
          <w:i w:val="0"/>
          <w:caps w:val="0"/>
          <w:color w:val="333333"/>
          <w:spacing w:val="0"/>
          <w:kern w:val="0"/>
          <w:sz w:val="32"/>
          <w:szCs w:val="32"/>
          <w:highlight w:val="none"/>
          <w:shd w:val="clear" w:color="auto" w:fill="FFFFFF"/>
          <w:lang w:val="en-US" w:eastAsia="zh-CN"/>
        </w:rPr>
      </w:pPr>
      <w:r>
        <w:rPr>
          <w:rFonts w:hint="eastAsia" w:ascii="仿宋_GB2312" w:hAnsi="仿宋_GB2312" w:eastAsia="仿宋_GB2312" w:cs="仿宋_GB2312"/>
          <w:b w:val="0"/>
          <w:bCs w:val="0"/>
          <w:i w:val="0"/>
          <w:caps w:val="0"/>
          <w:color w:val="333333"/>
          <w:spacing w:val="0"/>
          <w:kern w:val="0"/>
          <w:sz w:val="32"/>
          <w:szCs w:val="32"/>
          <w:highlight w:val="none"/>
          <w:shd w:val="clear" w:color="auto" w:fill="FFFFFF"/>
          <w:lang w:val="en-US" w:eastAsia="zh-CN"/>
        </w:rPr>
        <w:t>一般公共服务（类）政府办公厅（室）及相关机构事务（款）行政运行（项）：指机关单位用于保障机构正常运行、开展日常工作的基本支出。</w:t>
      </w:r>
    </w:p>
    <w:p w14:paraId="0E5A1EEE">
      <w:pPr>
        <w:keepNext w:val="0"/>
        <w:keepLines w:val="0"/>
        <w:pageBreakBefore w:val="0"/>
        <w:widowControl/>
        <w:numPr>
          <w:ilvl w:val="0"/>
          <w:numId w:val="3"/>
        </w:numPr>
        <w:suppressLineNumbers w:val="0"/>
        <w:pBdr>
          <w:top w:val="none" w:color="auto" w:sz="0" w:space="0"/>
          <w:left w:val="none" w:color="auto" w:sz="0" w:space="0"/>
          <w:bottom w:val="single" w:color="FFFFFF" w:sz="8" w:space="31"/>
          <w:right w:val="none" w:color="auto" w:sz="0" w:space="0"/>
        </w:pBdr>
        <w:shd w:val="clear" w:color="auto" w:fill="auto"/>
        <w:kinsoku/>
        <w:wordWrap/>
        <w:topLinePunct w:val="0"/>
        <w:autoSpaceDE/>
        <w:autoSpaceDN/>
        <w:bidi w:val="0"/>
        <w:adjustRightInd/>
        <w:snapToGrid/>
        <w:spacing w:before="0" w:beforeAutospacing="0" w:after="0" w:afterAutospacing="0" w:line="570" w:lineRule="exact"/>
        <w:ind w:left="630" w:leftChars="0" w:right="0" w:rightChars="0" w:firstLine="420" w:firstLineChars="0"/>
        <w:jc w:val="both"/>
        <w:textAlignment w:val="auto"/>
        <w:rPr>
          <w:rFonts w:hint="eastAsia" w:ascii="仿宋_GB2312" w:hAnsi="仿宋_GB2312" w:eastAsia="仿宋_GB2312" w:cs="仿宋_GB2312"/>
          <w:b w:val="0"/>
          <w:bCs w:val="0"/>
          <w:i w:val="0"/>
          <w:caps w:val="0"/>
          <w:color w:val="333333"/>
          <w:spacing w:val="0"/>
          <w:kern w:val="0"/>
          <w:sz w:val="32"/>
          <w:szCs w:val="32"/>
          <w:highlight w:val="none"/>
          <w:shd w:val="clear" w:color="auto" w:fill="FFFFFF"/>
          <w:lang w:val="en-US" w:eastAsia="zh-CN"/>
        </w:rPr>
      </w:pPr>
      <w:r>
        <w:rPr>
          <w:rFonts w:hint="eastAsia" w:ascii="仿宋_GB2312" w:hAnsi="仿宋_GB2312" w:eastAsia="仿宋_GB2312" w:cs="仿宋_GB2312"/>
          <w:b w:val="0"/>
          <w:bCs w:val="0"/>
          <w:i w:val="0"/>
          <w:caps w:val="0"/>
          <w:color w:val="333333"/>
          <w:spacing w:val="0"/>
          <w:kern w:val="0"/>
          <w:sz w:val="32"/>
          <w:szCs w:val="32"/>
          <w:highlight w:val="none"/>
          <w:shd w:val="clear" w:color="auto" w:fill="FFFFFF"/>
          <w:lang w:val="en-US" w:eastAsia="zh-CN"/>
        </w:rPr>
        <w:t>一般公共服务（类）政府办公厅（室）及相关机构事务（款）一般行政管理事务（项）：指机关单位用于保障机构正常运行、开展日常工作的基本支出。</w:t>
      </w:r>
    </w:p>
    <w:p w14:paraId="1A183575">
      <w:pPr>
        <w:keepNext w:val="0"/>
        <w:keepLines w:val="0"/>
        <w:pageBreakBefore w:val="0"/>
        <w:widowControl/>
        <w:numPr>
          <w:ilvl w:val="0"/>
          <w:numId w:val="3"/>
        </w:numPr>
        <w:suppressLineNumbers w:val="0"/>
        <w:pBdr>
          <w:top w:val="none" w:color="auto" w:sz="0" w:space="0"/>
          <w:left w:val="none" w:color="auto" w:sz="0" w:space="0"/>
          <w:bottom w:val="single" w:color="FFFFFF" w:sz="8" w:space="31"/>
          <w:right w:val="none" w:color="auto" w:sz="0" w:space="0"/>
        </w:pBdr>
        <w:shd w:val="clear" w:color="auto" w:fill="auto"/>
        <w:kinsoku/>
        <w:wordWrap/>
        <w:topLinePunct w:val="0"/>
        <w:autoSpaceDE/>
        <w:autoSpaceDN/>
        <w:bidi w:val="0"/>
        <w:adjustRightInd/>
        <w:snapToGrid/>
        <w:spacing w:before="0" w:beforeAutospacing="0" w:after="0" w:afterAutospacing="0" w:line="570" w:lineRule="exact"/>
        <w:ind w:left="630" w:leftChars="0" w:right="0" w:rightChars="0" w:firstLine="420" w:firstLineChars="0"/>
        <w:jc w:val="both"/>
        <w:textAlignment w:val="auto"/>
        <w:rPr>
          <w:rFonts w:hint="eastAsia" w:ascii="仿宋_GB2312" w:hAnsi="仿宋_GB2312" w:eastAsia="仿宋_GB2312" w:cs="仿宋_GB2312"/>
          <w:b w:val="0"/>
          <w:bCs w:val="0"/>
          <w:i w:val="0"/>
          <w:caps w:val="0"/>
          <w:color w:val="333333"/>
          <w:spacing w:val="0"/>
          <w:kern w:val="0"/>
          <w:sz w:val="32"/>
          <w:szCs w:val="32"/>
          <w:highlight w:val="none"/>
          <w:shd w:val="clear" w:color="auto" w:fill="FFFFFF"/>
          <w:lang w:val="en-US" w:eastAsia="zh-CN"/>
        </w:rPr>
      </w:pPr>
      <w:r>
        <w:rPr>
          <w:rFonts w:hint="eastAsia" w:ascii="仿宋_GB2312" w:hAnsi="仿宋_GB2312" w:eastAsia="仿宋_GB2312" w:cs="仿宋_GB2312"/>
          <w:b w:val="0"/>
          <w:bCs w:val="0"/>
          <w:i w:val="0"/>
          <w:caps w:val="0"/>
          <w:color w:val="333333"/>
          <w:spacing w:val="0"/>
          <w:kern w:val="0"/>
          <w:sz w:val="32"/>
          <w:szCs w:val="32"/>
          <w:highlight w:val="none"/>
          <w:shd w:val="clear" w:color="auto" w:fill="FFFFFF"/>
          <w:lang w:val="en-US" w:eastAsia="zh-CN"/>
        </w:rPr>
        <w:t>社会保障和就业（类）行政事业单位养老支出（款）行政单位离退休（项）：指行政及参公管理事业单位离退休人员的支出。</w:t>
      </w:r>
    </w:p>
    <w:p w14:paraId="35F75717">
      <w:pPr>
        <w:keepNext w:val="0"/>
        <w:keepLines w:val="0"/>
        <w:pageBreakBefore w:val="0"/>
        <w:widowControl/>
        <w:numPr>
          <w:ilvl w:val="0"/>
          <w:numId w:val="3"/>
        </w:numPr>
        <w:suppressLineNumbers w:val="0"/>
        <w:pBdr>
          <w:top w:val="none" w:color="auto" w:sz="0" w:space="0"/>
          <w:left w:val="none" w:color="auto" w:sz="0" w:space="0"/>
          <w:bottom w:val="single" w:color="FFFFFF" w:sz="8" w:space="31"/>
          <w:right w:val="none" w:color="auto" w:sz="0" w:space="0"/>
        </w:pBdr>
        <w:shd w:val="clear" w:color="auto" w:fill="auto"/>
        <w:kinsoku/>
        <w:wordWrap/>
        <w:topLinePunct w:val="0"/>
        <w:autoSpaceDE/>
        <w:autoSpaceDN/>
        <w:bidi w:val="0"/>
        <w:adjustRightInd/>
        <w:snapToGrid/>
        <w:spacing w:before="0" w:beforeAutospacing="0" w:after="0" w:afterAutospacing="0" w:line="570" w:lineRule="exact"/>
        <w:ind w:left="630" w:leftChars="0" w:right="0" w:rightChars="0" w:firstLine="420" w:firstLineChars="0"/>
        <w:jc w:val="both"/>
        <w:textAlignment w:val="auto"/>
        <w:rPr>
          <w:rFonts w:hint="eastAsia" w:ascii="仿宋_GB2312" w:hAnsi="仿宋_GB2312" w:eastAsia="仿宋_GB2312" w:cs="仿宋_GB2312"/>
          <w:b w:val="0"/>
          <w:bCs w:val="0"/>
          <w:i w:val="0"/>
          <w:caps w:val="0"/>
          <w:color w:val="333333"/>
          <w:spacing w:val="0"/>
          <w:kern w:val="0"/>
          <w:sz w:val="32"/>
          <w:szCs w:val="32"/>
          <w:highlight w:val="none"/>
          <w:shd w:val="clear" w:color="auto" w:fill="FFFFFF"/>
          <w:lang w:val="en-US" w:eastAsia="zh-CN"/>
        </w:rPr>
      </w:pPr>
      <w:r>
        <w:rPr>
          <w:rFonts w:hint="eastAsia" w:ascii="仿宋_GB2312" w:hAnsi="仿宋_GB2312" w:eastAsia="仿宋_GB2312" w:cs="仿宋_GB2312"/>
          <w:b w:val="0"/>
          <w:bCs w:val="0"/>
          <w:i w:val="0"/>
          <w:caps w:val="0"/>
          <w:color w:val="333333"/>
          <w:spacing w:val="0"/>
          <w:kern w:val="0"/>
          <w:sz w:val="32"/>
          <w:szCs w:val="32"/>
          <w:highlight w:val="none"/>
          <w:shd w:val="clear" w:color="auto" w:fill="FFFFFF"/>
          <w:lang w:val="en-US" w:eastAsia="zh-CN"/>
        </w:rPr>
        <w:t>社会保障和就业（类）行政事业单位养老支出（款）机关事业单位基本养老保险缴费支出（项）：指部门实施养老保险制度由单位缴纳的养老保险的支出。</w:t>
      </w:r>
    </w:p>
    <w:p w14:paraId="546F1AE8">
      <w:pPr>
        <w:keepNext w:val="0"/>
        <w:keepLines w:val="0"/>
        <w:pageBreakBefore w:val="0"/>
        <w:widowControl/>
        <w:numPr>
          <w:ilvl w:val="0"/>
          <w:numId w:val="3"/>
        </w:numPr>
        <w:suppressLineNumbers w:val="0"/>
        <w:pBdr>
          <w:top w:val="none" w:color="auto" w:sz="0" w:space="0"/>
          <w:left w:val="none" w:color="auto" w:sz="0" w:space="0"/>
          <w:bottom w:val="single" w:color="FFFFFF" w:sz="8" w:space="31"/>
          <w:right w:val="none" w:color="auto" w:sz="0" w:space="0"/>
        </w:pBdr>
        <w:shd w:val="clear" w:color="auto" w:fill="auto"/>
        <w:kinsoku/>
        <w:wordWrap/>
        <w:topLinePunct w:val="0"/>
        <w:autoSpaceDE/>
        <w:autoSpaceDN/>
        <w:bidi w:val="0"/>
        <w:adjustRightInd/>
        <w:snapToGrid/>
        <w:spacing w:before="0" w:beforeAutospacing="0" w:after="0" w:afterAutospacing="0" w:line="570" w:lineRule="exact"/>
        <w:ind w:left="630" w:leftChars="0" w:right="0" w:rightChars="0" w:firstLine="420" w:firstLineChars="0"/>
        <w:jc w:val="both"/>
        <w:textAlignment w:val="auto"/>
        <w:rPr>
          <w:rFonts w:hint="eastAsia" w:ascii="仿宋_GB2312" w:hAnsi="仿宋_GB2312" w:eastAsia="仿宋_GB2312" w:cs="仿宋_GB2312"/>
          <w:b w:val="0"/>
          <w:bCs w:val="0"/>
          <w:i w:val="0"/>
          <w:caps w:val="0"/>
          <w:color w:val="333333"/>
          <w:spacing w:val="0"/>
          <w:kern w:val="0"/>
          <w:sz w:val="32"/>
          <w:szCs w:val="32"/>
          <w:highlight w:val="none"/>
          <w:shd w:val="clear" w:color="auto" w:fill="FFFFFF"/>
          <w:lang w:val="en-US" w:eastAsia="zh-CN"/>
        </w:rPr>
      </w:pPr>
      <w:r>
        <w:rPr>
          <w:rFonts w:hint="eastAsia" w:ascii="仿宋_GB2312" w:hAnsi="仿宋_GB2312" w:eastAsia="仿宋_GB2312" w:cs="仿宋_GB2312"/>
          <w:b w:val="0"/>
          <w:bCs w:val="0"/>
          <w:i w:val="0"/>
          <w:caps w:val="0"/>
          <w:color w:val="333333"/>
          <w:spacing w:val="0"/>
          <w:kern w:val="0"/>
          <w:sz w:val="32"/>
          <w:szCs w:val="32"/>
          <w:highlight w:val="none"/>
          <w:shd w:val="clear" w:color="auto" w:fill="FFFFFF"/>
          <w:lang w:val="en-US" w:eastAsia="zh-CN"/>
        </w:rPr>
        <w:t>卫生健康（类）行政事业单位医疗（款）行政单位医疗（项）：指机关及参公管理事业单位用于单位应缴纳基本医疗保险支出。</w:t>
      </w:r>
    </w:p>
    <w:p w14:paraId="49325599">
      <w:pPr>
        <w:keepNext w:val="0"/>
        <w:keepLines w:val="0"/>
        <w:pageBreakBefore w:val="0"/>
        <w:widowControl/>
        <w:numPr>
          <w:ilvl w:val="0"/>
          <w:numId w:val="3"/>
        </w:numPr>
        <w:suppressLineNumbers w:val="0"/>
        <w:pBdr>
          <w:top w:val="none" w:color="auto" w:sz="0" w:space="0"/>
          <w:left w:val="none" w:color="auto" w:sz="0" w:space="0"/>
          <w:bottom w:val="single" w:color="FFFFFF" w:sz="8" w:space="31"/>
          <w:right w:val="none" w:color="auto" w:sz="0" w:space="0"/>
        </w:pBdr>
        <w:shd w:val="clear" w:color="auto" w:fill="auto"/>
        <w:kinsoku/>
        <w:wordWrap/>
        <w:topLinePunct w:val="0"/>
        <w:autoSpaceDE/>
        <w:autoSpaceDN/>
        <w:bidi w:val="0"/>
        <w:adjustRightInd/>
        <w:snapToGrid/>
        <w:spacing w:before="0" w:beforeAutospacing="0" w:after="0" w:afterAutospacing="0" w:line="570" w:lineRule="exact"/>
        <w:ind w:left="630" w:leftChars="0" w:right="0" w:rightChars="0" w:firstLine="420" w:firstLineChars="0"/>
        <w:jc w:val="both"/>
        <w:textAlignment w:val="auto"/>
        <w:rPr>
          <w:rFonts w:hint="eastAsia" w:ascii="仿宋_GB2312" w:hAnsi="仿宋_GB2312" w:eastAsia="仿宋_GB2312" w:cs="仿宋_GB2312"/>
          <w:b w:val="0"/>
          <w:bCs w:val="0"/>
          <w:i w:val="0"/>
          <w:caps w:val="0"/>
          <w:color w:val="333333"/>
          <w:spacing w:val="0"/>
          <w:kern w:val="0"/>
          <w:sz w:val="32"/>
          <w:szCs w:val="32"/>
          <w:highlight w:val="none"/>
          <w:shd w:val="clear" w:color="auto" w:fill="FFFFFF"/>
          <w:lang w:val="en-US" w:eastAsia="zh-CN"/>
        </w:rPr>
      </w:pPr>
      <w:r>
        <w:rPr>
          <w:rFonts w:hint="eastAsia" w:ascii="仿宋_GB2312" w:hAnsi="仿宋_GB2312" w:eastAsia="仿宋_GB2312" w:cs="仿宋_GB2312"/>
          <w:b w:val="0"/>
          <w:bCs w:val="0"/>
          <w:i w:val="0"/>
          <w:caps w:val="0"/>
          <w:color w:val="333333"/>
          <w:spacing w:val="0"/>
          <w:kern w:val="0"/>
          <w:sz w:val="32"/>
          <w:szCs w:val="32"/>
          <w:highlight w:val="none"/>
          <w:shd w:val="clear" w:color="auto" w:fill="FFFFFF"/>
          <w:lang w:val="en-US" w:eastAsia="zh-CN"/>
        </w:rPr>
        <w:t>卫生健康（类）行政事业单位医疗（款）事业单位医疗（项）：指事业单位用于单位应缴纳基本医疗保险支出。</w:t>
      </w:r>
    </w:p>
    <w:p w14:paraId="55F34AFF">
      <w:pPr>
        <w:keepNext w:val="0"/>
        <w:keepLines w:val="0"/>
        <w:pageBreakBefore w:val="0"/>
        <w:widowControl/>
        <w:numPr>
          <w:ilvl w:val="0"/>
          <w:numId w:val="3"/>
        </w:numPr>
        <w:suppressLineNumbers w:val="0"/>
        <w:pBdr>
          <w:top w:val="none" w:color="auto" w:sz="0" w:space="0"/>
          <w:left w:val="none" w:color="auto" w:sz="0" w:space="0"/>
          <w:bottom w:val="single" w:color="FFFFFF" w:sz="8" w:space="31"/>
          <w:right w:val="none" w:color="auto" w:sz="0" w:space="0"/>
        </w:pBdr>
        <w:shd w:val="clear" w:color="auto" w:fill="auto"/>
        <w:kinsoku/>
        <w:wordWrap/>
        <w:topLinePunct w:val="0"/>
        <w:autoSpaceDE/>
        <w:autoSpaceDN/>
        <w:bidi w:val="0"/>
        <w:adjustRightInd/>
        <w:snapToGrid/>
        <w:spacing w:before="0" w:beforeAutospacing="0" w:after="0" w:afterAutospacing="0" w:line="570" w:lineRule="exact"/>
        <w:ind w:left="630" w:leftChars="0" w:right="0" w:rightChars="0" w:firstLine="420" w:firstLineChars="0"/>
        <w:jc w:val="both"/>
        <w:textAlignment w:val="auto"/>
        <w:rPr>
          <w:rFonts w:hint="eastAsia" w:ascii="仿宋_GB2312" w:hAnsi="仿宋_GB2312" w:eastAsia="仿宋_GB2312" w:cs="仿宋_GB2312"/>
          <w:b w:val="0"/>
          <w:bCs w:val="0"/>
          <w:i w:val="0"/>
          <w:caps w:val="0"/>
          <w:color w:val="333333"/>
          <w:spacing w:val="0"/>
          <w:kern w:val="0"/>
          <w:sz w:val="32"/>
          <w:szCs w:val="32"/>
          <w:highlight w:val="none"/>
          <w:shd w:val="clear" w:color="auto" w:fill="FFFFFF"/>
          <w:lang w:val="en-US" w:eastAsia="zh-CN"/>
        </w:rPr>
      </w:pPr>
      <w:r>
        <w:rPr>
          <w:rFonts w:hint="eastAsia" w:ascii="仿宋_GB2312" w:hAnsi="仿宋_GB2312" w:eastAsia="仿宋_GB2312" w:cs="仿宋_GB2312"/>
          <w:b w:val="0"/>
          <w:bCs w:val="0"/>
          <w:i w:val="0"/>
          <w:caps w:val="0"/>
          <w:color w:val="333333"/>
          <w:spacing w:val="0"/>
          <w:kern w:val="0"/>
          <w:sz w:val="32"/>
          <w:szCs w:val="32"/>
          <w:highlight w:val="none"/>
          <w:shd w:val="clear" w:color="auto" w:fill="FFFFFF"/>
          <w:lang w:val="en-US" w:eastAsia="zh-CN"/>
        </w:rPr>
        <w:t>住房保障（类）住房改革支出（款）住房公积金（项）：指按照《住房公积金管理条例》的规定，由单位及其在职职工缴存的长期住房储金。</w:t>
      </w:r>
    </w:p>
    <w:p w14:paraId="58C1A840">
      <w:pPr>
        <w:keepNext w:val="0"/>
        <w:keepLines w:val="0"/>
        <w:pageBreakBefore w:val="0"/>
        <w:widowControl/>
        <w:numPr>
          <w:ilvl w:val="0"/>
          <w:numId w:val="3"/>
        </w:numPr>
        <w:suppressLineNumbers w:val="0"/>
        <w:pBdr>
          <w:top w:val="none" w:color="auto" w:sz="0" w:space="0"/>
          <w:left w:val="none" w:color="auto" w:sz="0" w:space="0"/>
          <w:bottom w:val="single" w:color="FFFFFF" w:sz="8" w:space="31"/>
          <w:right w:val="none" w:color="auto" w:sz="0" w:space="0"/>
        </w:pBdr>
        <w:shd w:val="clear" w:color="auto" w:fill="auto"/>
        <w:kinsoku/>
        <w:wordWrap/>
        <w:topLinePunct w:val="0"/>
        <w:autoSpaceDE/>
        <w:autoSpaceDN/>
        <w:bidi w:val="0"/>
        <w:adjustRightInd/>
        <w:snapToGrid/>
        <w:spacing w:before="0" w:beforeAutospacing="0" w:after="0" w:afterAutospacing="0" w:line="570" w:lineRule="exact"/>
        <w:ind w:left="630" w:leftChars="0" w:right="0" w:rightChars="0" w:firstLine="420" w:firstLineChars="0"/>
        <w:jc w:val="both"/>
        <w:textAlignment w:val="auto"/>
        <w:rPr>
          <w:rFonts w:hint="eastAsia" w:ascii="仿宋_GB2312" w:hAnsi="仿宋_GB2312" w:eastAsia="仿宋_GB2312" w:cs="仿宋_GB2312"/>
          <w:b w:val="0"/>
          <w:bCs w:val="0"/>
          <w:i w:val="0"/>
          <w:caps w:val="0"/>
          <w:color w:val="333333"/>
          <w:spacing w:val="0"/>
          <w:kern w:val="0"/>
          <w:sz w:val="32"/>
          <w:szCs w:val="32"/>
          <w:highlight w:val="none"/>
          <w:shd w:val="clear" w:color="auto" w:fill="FFFFFF"/>
          <w:lang w:val="en-US" w:eastAsia="zh-CN"/>
        </w:rPr>
      </w:pPr>
      <w:r>
        <w:rPr>
          <w:rFonts w:hint="eastAsia" w:ascii="仿宋_GB2312" w:hAnsi="仿宋_GB2312" w:eastAsia="仿宋_GB2312" w:cs="仿宋_GB2312"/>
          <w:b w:val="0"/>
          <w:bCs w:val="0"/>
          <w:i w:val="0"/>
          <w:caps w:val="0"/>
          <w:color w:val="333333"/>
          <w:spacing w:val="0"/>
          <w:kern w:val="0"/>
          <w:sz w:val="32"/>
          <w:szCs w:val="32"/>
          <w:highlight w:val="none"/>
          <w:shd w:val="clear" w:color="auto" w:fill="FFFFFF"/>
          <w:lang w:val="en-US" w:eastAsia="zh-CN"/>
        </w:rPr>
        <w:t>一般公共服务（类）政府办公厅（室）及相关机构事务（款）事业运行（项）：指机关单位用于保障机构正常运行、开展日常工作的基本支出。</w:t>
      </w:r>
    </w:p>
    <w:p w14:paraId="08BDCFC8">
      <w:pPr>
        <w:keepNext w:val="0"/>
        <w:keepLines w:val="0"/>
        <w:pageBreakBefore w:val="0"/>
        <w:widowControl/>
        <w:numPr>
          <w:ilvl w:val="0"/>
          <w:numId w:val="3"/>
        </w:numPr>
        <w:suppressLineNumbers w:val="0"/>
        <w:pBdr>
          <w:top w:val="none" w:color="auto" w:sz="0" w:space="0"/>
          <w:left w:val="none" w:color="auto" w:sz="0" w:space="0"/>
          <w:bottom w:val="single" w:color="FFFFFF" w:sz="8" w:space="31"/>
          <w:right w:val="none" w:color="auto" w:sz="0" w:space="0"/>
        </w:pBdr>
        <w:shd w:val="clear" w:color="auto" w:fill="auto"/>
        <w:kinsoku/>
        <w:wordWrap/>
        <w:topLinePunct w:val="0"/>
        <w:autoSpaceDE/>
        <w:autoSpaceDN/>
        <w:bidi w:val="0"/>
        <w:adjustRightInd/>
        <w:snapToGrid/>
        <w:spacing w:before="0" w:beforeAutospacing="0" w:after="0" w:afterAutospacing="0" w:line="570" w:lineRule="exact"/>
        <w:ind w:left="630" w:leftChars="0" w:right="0" w:rightChars="0" w:firstLine="420" w:firstLineChars="0"/>
        <w:jc w:val="both"/>
        <w:textAlignment w:val="auto"/>
        <w:rPr>
          <w:rFonts w:hint="eastAsia" w:ascii="仿宋_GB2312" w:hAnsi="仿宋_GB2312" w:eastAsia="仿宋_GB2312" w:cs="仿宋_GB2312"/>
          <w:b w:val="0"/>
          <w:bCs w:val="0"/>
          <w:i w:val="0"/>
          <w:caps w:val="0"/>
          <w:color w:val="333333"/>
          <w:spacing w:val="0"/>
          <w:kern w:val="0"/>
          <w:sz w:val="32"/>
          <w:szCs w:val="32"/>
          <w:highlight w:val="none"/>
          <w:shd w:val="clear" w:color="auto" w:fill="FFFFFF"/>
          <w:lang w:val="en-US" w:eastAsia="zh-CN"/>
        </w:rPr>
      </w:pPr>
      <w:r>
        <w:rPr>
          <w:rFonts w:hint="eastAsia" w:ascii="仿宋_GB2312" w:hAnsi="仿宋_GB2312" w:eastAsia="仿宋_GB2312" w:cs="仿宋_GB2312"/>
          <w:b w:val="0"/>
          <w:bCs w:val="0"/>
          <w:i w:val="0"/>
          <w:caps w:val="0"/>
          <w:color w:val="333333"/>
          <w:spacing w:val="0"/>
          <w:kern w:val="0"/>
          <w:sz w:val="32"/>
          <w:szCs w:val="32"/>
          <w:highlight w:val="none"/>
          <w:shd w:val="clear" w:color="auto" w:fill="FFFFFF"/>
          <w:lang w:val="en-US" w:eastAsia="zh-CN"/>
        </w:rPr>
        <w:t>一般公共服务（类）政府办公厅（室）及相关机构事务（款）一般行政管理事务（项）：指机关单位开展信访处置工作的项目支出。</w:t>
      </w:r>
    </w:p>
    <w:p w14:paraId="32DEDAF8">
      <w:pPr>
        <w:keepNext w:val="0"/>
        <w:keepLines w:val="0"/>
        <w:pageBreakBefore w:val="0"/>
        <w:widowControl/>
        <w:numPr>
          <w:ilvl w:val="0"/>
          <w:numId w:val="3"/>
        </w:numPr>
        <w:suppressLineNumbers w:val="0"/>
        <w:pBdr>
          <w:top w:val="none" w:color="auto" w:sz="0" w:space="0"/>
          <w:left w:val="none" w:color="auto" w:sz="0" w:space="0"/>
          <w:bottom w:val="single" w:color="FFFFFF" w:sz="8" w:space="31"/>
          <w:right w:val="none" w:color="auto" w:sz="0" w:space="0"/>
        </w:pBdr>
        <w:shd w:val="clear" w:color="auto" w:fill="auto"/>
        <w:kinsoku/>
        <w:wordWrap/>
        <w:topLinePunct w:val="0"/>
        <w:autoSpaceDE/>
        <w:autoSpaceDN/>
        <w:bidi w:val="0"/>
        <w:adjustRightInd/>
        <w:snapToGrid/>
        <w:spacing w:before="0" w:beforeAutospacing="0" w:after="0" w:afterAutospacing="0" w:line="570" w:lineRule="exact"/>
        <w:ind w:left="630" w:leftChars="0" w:right="0" w:rightChars="0" w:firstLine="420" w:firstLineChars="0"/>
        <w:jc w:val="both"/>
        <w:textAlignment w:val="auto"/>
        <w:rPr>
          <w:rFonts w:hint="eastAsia" w:ascii="仿宋_GB2312" w:hAnsi="仿宋_GB2312" w:eastAsia="仿宋_GB2312" w:cs="仿宋_GB2312"/>
          <w:b w:val="0"/>
          <w:bCs w:val="0"/>
          <w:i w:val="0"/>
          <w:caps w:val="0"/>
          <w:color w:val="333333"/>
          <w:spacing w:val="0"/>
          <w:kern w:val="0"/>
          <w:sz w:val="32"/>
          <w:szCs w:val="32"/>
          <w:highlight w:val="none"/>
          <w:shd w:val="clear" w:color="auto" w:fill="FFFFFF"/>
          <w:lang w:val="en-US" w:eastAsia="zh-CN"/>
        </w:rPr>
      </w:pPr>
      <w:r>
        <w:rPr>
          <w:rFonts w:hint="eastAsia" w:ascii="仿宋_GB2312" w:hAnsi="仿宋_GB2312" w:eastAsia="仿宋_GB2312" w:cs="仿宋_GB2312"/>
          <w:b w:val="0"/>
          <w:bCs w:val="0"/>
          <w:i w:val="0"/>
          <w:caps w:val="0"/>
          <w:color w:val="333333"/>
          <w:spacing w:val="0"/>
          <w:kern w:val="0"/>
          <w:sz w:val="32"/>
          <w:szCs w:val="32"/>
          <w:highlight w:val="none"/>
          <w:shd w:val="clear" w:color="auto" w:fill="FFFFFF"/>
          <w:lang w:val="en-US" w:eastAsia="zh-CN"/>
        </w:rPr>
        <w:t>“三公”经费：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101EF87">
      <w:pPr>
        <w:keepNext w:val="0"/>
        <w:keepLines w:val="0"/>
        <w:pageBreakBefore w:val="0"/>
        <w:widowControl/>
        <w:numPr>
          <w:ilvl w:val="0"/>
          <w:numId w:val="3"/>
        </w:numPr>
        <w:suppressLineNumbers w:val="0"/>
        <w:pBdr>
          <w:top w:val="none" w:color="auto" w:sz="0" w:space="0"/>
          <w:left w:val="none" w:color="auto" w:sz="0" w:space="0"/>
          <w:bottom w:val="single" w:color="FFFFFF" w:sz="8" w:space="31"/>
          <w:right w:val="none" w:color="auto" w:sz="0" w:space="0"/>
        </w:pBdr>
        <w:shd w:val="clear" w:color="auto" w:fill="auto"/>
        <w:kinsoku/>
        <w:wordWrap/>
        <w:topLinePunct w:val="0"/>
        <w:autoSpaceDE/>
        <w:autoSpaceDN/>
        <w:bidi w:val="0"/>
        <w:adjustRightInd/>
        <w:snapToGrid/>
        <w:spacing w:before="0" w:beforeAutospacing="0" w:after="0" w:afterAutospacing="0" w:line="570" w:lineRule="exact"/>
        <w:ind w:left="630" w:leftChars="0" w:right="0" w:rightChars="0" w:firstLine="420" w:firstLineChars="0"/>
        <w:jc w:val="both"/>
        <w:textAlignment w:val="auto"/>
        <w:rPr>
          <w:rFonts w:hint="eastAsia" w:ascii="仿宋_GB2312" w:hAnsi="仿宋_GB2312" w:eastAsia="仿宋_GB2312" w:cs="仿宋_GB2312"/>
          <w:b w:val="0"/>
          <w:bCs w:val="0"/>
          <w:i w:val="0"/>
          <w:caps w:val="0"/>
          <w:color w:val="333333"/>
          <w:spacing w:val="0"/>
          <w:kern w:val="0"/>
          <w:sz w:val="32"/>
          <w:szCs w:val="32"/>
          <w:highlight w:val="none"/>
          <w:shd w:val="clear" w:color="auto" w:fill="FFFFFF"/>
          <w:lang w:val="en-US" w:eastAsia="zh-CN"/>
        </w:rPr>
      </w:pPr>
      <w:r>
        <w:rPr>
          <w:rFonts w:hint="eastAsia" w:ascii="仿宋_GB2312" w:hAnsi="仿宋_GB2312" w:eastAsia="仿宋_GB2312" w:cs="仿宋_GB2312"/>
          <w:b w:val="0"/>
          <w:bCs w:val="0"/>
          <w:i w:val="0"/>
          <w:caps w:val="0"/>
          <w:color w:val="333333"/>
          <w:spacing w:val="0"/>
          <w:kern w:val="0"/>
          <w:sz w:val="32"/>
          <w:szCs w:val="32"/>
          <w:highlight w:val="none"/>
          <w:shd w:val="clear" w:color="auto" w:fill="FFFFFF"/>
          <w:lang w:val="en-US" w:eastAsia="zh-CN"/>
        </w:rPr>
        <w:t>机关运行经费：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14:paraId="0637AA07">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autoSpaceDE/>
        <w:autoSpaceDN/>
        <w:bidi w:val="0"/>
        <w:adjustRightInd/>
        <w:snapToGrid/>
        <w:spacing w:before="0" w:beforeAutospacing="0" w:after="0" w:afterAutospacing="0" w:line="570" w:lineRule="exact"/>
        <w:ind w:right="0" w:rightChars="0" w:firstLine="1280" w:firstLineChars="400"/>
        <w:jc w:val="both"/>
        <w:textAlignment w:val="auto"/>
        <w:rPr>
          <w:rFonts w:hint="eastAsia" w:ascii="仿宋_GB2312" w:hAnsi="仿宋_GB2312" w:eastAsia="仿宋_GB2312" w:cs="仿宋_GB2312"/>
          <w:b w:val="0"/>
          <w:bCs w:val="0"/>
          <w:i w:val="0"/>
          <w:caps w:val="0"/>
          <w:color w:val="333333"/>
          <w:spacing w:val="0"/>
          <w:kern w:val="0"/>
          <w:sz w:val="32"/>
          <w:szCs w:val="32"/>
          <w:highlight w:val="none"/>
          <w:shd w:val="clear" w:color="auto" w:fill="FFFFFF"/>
          <w:lang w:val="en-US" w:eastAsia="zh-CN"/>
        </w:rPr>
      </w:pPr>
      <w:r>
        <w:rPr>
          <w:rFonts w:hint="eastAsia" w:ascii="仿宋_GB2312" w:hAnsi="仿宋_GB2312" w:eastAsia="仿宋_GB2312" w:cs="仿宋_GB2312"/>
          <w:b w:val="0"/>
          <w:bCs w:val="0"/>
          <w:i w:val="0"/>
          <w:caps w:val="0"/>
          <w:color w:val="333333"/>
          <w:spacing w:val="0"/>
          <w:kern w:val="0"/>
          <w:sz w:val="32"/>
          <w:szCs w:val="32"/>
          <w:highlight w:val="none"/>
          <w:shd w:val="clear" w:color="auto" w:fill="FFFFFF"/>
          <w:lang w:val="en-US" w:eastAsia="zh-CN"/>
        </w:rPr>
        <w:t>附件：1.2025年部门预算公开说明</w:t>
      </w:r>
    </w:p>
    <w:p w14:paraId="41A5D038">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autoSpaceDE/>
        <w:autoSpaceDN/>
        <w:bidi w:val="0"/>
        <w:adjustRightInd/>
        <w:snapToGrid/>
        <w:spacing w:before="0" w:beforeAutospacing="0" w:after="0" w:afterAutospacing="0" w:line="570" w:lineRule="exact"/>
        <w:ind w:right="0" w:rightChars="0" w:firstLine="2240" w:firstLineChars="700"/>
        <w:jc w:val="both"/>
        <w:textAlignment w:val="auto"/>
        <w:rPr>
          <w:rFonts w:hint="eastAsia" w:ascii="仿宋_GB2312" w:hAnsi="仿宋_GB2312" w:eastAsia="仿宋_GB2312" w:cs="仿宋_GB2312"/>
          <w:b w:val="0"/>
          <w:bCs w:val="0"/>
          <w:i w:val="0"/>
          <w:caps w:val="0"/>
          <w:color w:val="333333"/>
          <w:spacing w:val="0"/>
          <w:kern w:val="0"/>
          <w:sz w:val="32"/>
          <w:szCs w:val="32"/>
          <w:highlight w:val="none"/>
          <w:shd w:val="clear" w:color="auto" w:fill="FFFFFF"/>
          <w:lang w:val="en-US" w:eastAsia="zh-CN"/>
        </w:rPr>
      </w:pPr>
      <w:r>
        <w:rPr>
          <w:rFonts w:hint="eastAsia" w:ascii="仿宋_GB2312" w:hAnsi="仿宋_GB2312" w:eastAsia="仿宋_GB2312" w:cs="仿宋_GB2312"/>
          <w:b w:val="0"/>
          <w:bCs w:val="0"/>
          <w:i w:val="0"/>
          <w:caps w:val="0"/>
          <w:color w:val="333333"/>
          <w:spacing w:val="0"/>
          <w:kern w:val="0"/>
          <w:sz w:val="32"/>
          <w:szCs w:val="32"/>
          <w:highlight w:val="none"/>
          <w:shd w:val="clear" w:color="auto" w:fill="FFFFFF"/>
          <w:lang w:val="en-US" w:eastAsia="zh-CN"/>
        </w:rPr>
        <w:t>2.部门预算</w:t>
      </w:r>
      <w:bookmarkStart w:id="25" w:name="_GoBack"/>
      <w:bookmarkEnd w:id="25"/>
      <w:r>
        <w:rPr>
          <w:rFonts w:hint="eastAsia" w:ascii="仿宋_GB2312" w:hAnsi="仿宋_GB2312" w:eastAsia="仿宋_GB2312" w:cs="仿宋_GB2312"/>
          <w:b w:val="0"/>
          <w:bCs w:val="0"/>
          <w:i w:val="0"/>
          <w:caps w:val="0"/>
          <w:color w:val="333333"/>
          <w:spacing w:val="0"/>
          <w:kern w:val="0"/>
          <w:sz w:val="32"/>
          <w:szCs w:val="32"/>
          <w:highlight w:val="none"/>
          <w:shd w:val="clear" w:color="auto" w:fill="FFFFFF"/>
          <w:lang w:val="en-US" w:eastAsia="zh-CN"/>
        </w:rPr>
        <w:t>公开表</w:t>
      </w:r>
    </w:p>
    <w:p w14:paraId="3AE33263">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autoSpaceDE/>
        <w:autoSpaceDN/>
        <w:bidi w:val="0"/>
        <w:adjustRightInd/>
        <w:snapToGrid/>
        <w:spacing w:before="0" w:beforeAutospacing="0" w:after="0" w:afterAutospacing="0" w:line="570" w:lineRule="exact"/>
        <w:ind w:right="0" w:rightChars="0" w:firstLine="2240" w:firstLineChars="700"/>
        <w:jc w:val="both"/>
        <w:textAlignment w:val="auto"/>
        <w:rPr>
          <w:rFonts w:hint="eastAsia" w:ascii="仿宋_GB2312" w:hAnsi="仿宋_GB2312" w:eastAsia="仿宋_GB2312" w:cs="仿宋_GB2312"/>
          <w:b w:val="0"/>
          <w:bCs w:val="0"/>
          <w:i w:val="0"/>
          <w:caps w:val="0"/>
          <w:color w:val="333333"/>
          <w:spacing w:val="0"/>
          <w:kern w:val="0"/>
          <w:sz w:val="32"/>
          <w:szCs w:val="32"/>
          <w:highlight w:val="none"/>
          <w:shd w:val="clear" w:color="auto" w:fill="FFFFFF"/>
          <w:lang w:val="en-US" w:eastAsia="zh-CN"/>
        </w:rPr>
      </w:pPr>
      <w:r>
        <w:rPr>
          <w:rFonts w:hint="eastAsia" w:ascii="仿宋_GB2312" w:hAnsi="仿宋_GB2312" w:eastAsia="仿宋_GB2312" w:cs="仿宋_GB2312"/>
          <w:b w:val="0"/>
          <w:bCs w:val="0"/>
          <w:i w:val="0"/>
          <w:caps w:val="0"/>
          <w:color w:val="333333"/>
          <w:spacing w:val="0"/>
          <w:kern w:val="0"/>
          <w:sz w:val="32"/>
          <w:szCs w:val="32"/>
          <w:highlight w:val="none"/>
          <w:shd w:val="clear" w:color="auto" w:fill="FFFFFF"/>
          <w:lang w:val="en-US" w:eastAsia="zh-CN"/>
        </w:rPr>
        <w:t>3.部门预算项目支出绩效表</w:t>
      </w:r>
    </w:p>
    <w:p w14:paraId="6E622720">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autoSpaceDE/>
        <w:autoSpaceDN/>
        <w:bidi w:val="0"/>
        <w:adjustRightInd/>
        <w:snapToGrid/>
        <w:spacing w:before="0" w:beforeAutospacing="0" w:after="0" w:afterAutospacing="0" w:line="570" w:lineRule="exact"/>
        <w:ind w:right="0" w:rightChars="0" w:firstLine="2240" w:firstLineChars="7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i w:val="0"/>
          <w:caps w:val="0"/>
          <w:color w:val="333333"/>
          <w:spacing w:val="0"/>
          <w:kern w:val="0"/>
          <w:sz w:val="32"/>
          <w:szCs w:val="32"/>
          <w:highlight w:val="none"/>
          <w:shd w:val="clear" w:color="auto" w:fill="FFFFFF"/>
          <w:lang w:val="en-US" w:eastAsia="zh-CN"/>
        </w:rPr>
        <w:t>4.部门预算整体支出绩效目标表</w:t>
      </w:r>
    </w:p>
    <w:sectPr>
      <w:footerReference r:id="rId4" w:type="default"/>
      <w:pgSz w:w="11906" w:h="16838"/>
      <w:pgMar w:top="2098" w:right="1474" w:bottom="1984" w:left="1587" w:header="720" w:footer="1559"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Segoe Print"/>
    <w:panose1 w:val="020B0604020202020204"/>
    <w:charset w:val="00"/>
    <w:family w:val="auto"/>
    <w:pitch w:val="default"/>
    <w:sig w:usb0="00000000" w:usb1="00000000" w:usb2="00000000" w:usb3="00000000" w:csb0="6000009F" w:csb1="DFD70000"/>
  </w:font>
  <w:font w:name="Segoe Print">
    <w:panose1 w:val="02000600000000000000"/>
    <w:charset w:val="00"/>
    <w:family w:val="auto"/>
    <w:pitch w:val="default"/>
    <w:sig w:usb0="0000028F" w:usb1="00000000" w:usb2="00000000" w:usb3="00000000" w:csb0="2000009F" w:csb1="4701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ECBF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32D7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7996E12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l1uVLQAAAABQEAAA8AAAAAAAAAAQAgAAAAIgAAAGRycy9kb3ducmV2Lnht&#10;bFBLAQIUABQAAAAIAIdO4kA6WiZHAQIAAAoEAAAOAAAAAAAAAAEAIAAAAB8BAABkcnMvZTJvRG9j&#10;LnhtbFBLBQYAAAAABgAGAFkBAACSBQAAAAA=&#10;">
              <v:fill on="f" focussize="0,0"/>
              <v:stroke on="f"/>
              <v:imagedata o:title=""/>
              <o:lock v:ext="edit" aspectratio="f"/>
              <v:textbox inset="0mm,0mm,0mm,0mm" style="mso-fit-shape-to-text:t;">
                <w:txbxContent>
                  <w:p w14:paraId="7996E124">
                    <w:pPr>
                      <w:pStyle w:val="6"/>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0BD68"/>
    <w:multiLevelType w:val="singleLevel"/>
    <w:tmpl w:val="9C00BD68"/>
    <w:lvl w:ilvl="0" w:tentative="0">
      <w:start w:val="1"/>
      <w:numFmt w:val="chineseCounting"/>
      <w:suff w:val="nothing"/>
      <w:lvlText w:val="（%1）"/>
      <w:lvlJc w:val="left"/>
      <w:pPr>
        <w:ind w:left="1470" w:firstLine="420"/>
      </w:pPr>
      <w:rPr>
        <w:rFonts w:hint="eastAsia"/>
        <w:b/>
        <w:bCs/>
      </w:rPr>
    </w:lvl>
  </w:abstractNum>
  <w:abstractNum w:abstractNumId="1">
    <w:nsid w:val="E990A351"/>
    <w:multiLevelType w:val="singleLevel"/>
    <w:tmpl w:val="E990A351"/>
    <w:lvl w:ilvl="0" w:tentative="0">
      <w:start w:val="2"/>
      <w:numFmt w:val="chineseCounting"/>
      <w:suff w:val="nothing"/>
      <w:lvlText w:val="（%1）"/>
      <w:lvlJc w:val="left"/>
      <w:rPr>
        <w:rFonts w:hint="eastAsia"/>
      </w:rPr>
    </w:lvl>
  </w:abstractNum>
  <w:abstractNum w:abstractNumId="2">
    <w:nsid w:val="1CA89F87"/>
    <w:multiLevelType w:val="singleLevel"/>
    <w:tmpl w:val="1CA89F87"/>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YmQ3N2FhZmE1Yjg0OGFkNTU5NTg3M2QzNjJlMDgifQ=="/>
  </w:docVars>
  <w:rsids>
    <w:rsidRoot w:val="00000000"/>
    <w:rsid w:val="06ED4500"/>
    <w:rsid w:val="351C2E04"/>
    <w:rsid w:val="5059658D"/>
    <w:rsid w:val="68E87B3E"/>
  </w:rsids>
  <m:mathPr>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3">
    <w:name w:val="Default Paragraph Font"/>
    <w:autoRedefine/>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caption"/>
    <w:basedOn w:val="1"/>
    <w:autoRedefine/>
    <w:qFormat/>
    <w:uiPriority w:val="0"/>
    <w:pPr>
      <w:widowControl w:val="0"/>
      <w:suppressLineNumbers/>
      <w:suppressAutoHyphens/>
      <w:spacing w:before="120" w:after="120"/>
    </w:pPr>
    <w:rPr>
      <w:i/>
      <w:iCs/>
      <w:sz w:val="24"/>
      <w:szCs w:val="24"/>
    </w:rPr>
  </w:style>
  <w:style w:type="paragraph" w:styleId="3">
    <w:name w:val="Body Text"/>
    <w:basedOn w:val="1"/>
    <w:autoRedefine/>
    <w:qFormat/>
    <w:uiPriority w:val="0"/>
    <w:pPr>
      <w:spacing w:before="0" w:after="140" w:line="276" w:lineRule="auto"/>
    </w:pPr>
  </w:style>
  <w:style w:type="paragraph" w:styleId="4">
    <w:name w:val="Body Text Indent"/>
    <w:basedOn w:val="1"/>
    <w:next w:val="5"/>
    <w:qFormat/>
    <w:uiPriority w:val="99"/>
    <w:pPr>
      <w:ind w:firstLine="630"/>
      <w:jc w:val="left"/>
    </w:pPr>
    <w:rPr>
      <w:rFonts w:eastAsia="黑体"/>
      <w:sz w:val="32"/>
      <w:szCs w:val="32"/>
    </w:rPr>
  </w:style>
  <w:style w:type="paragraph" w:styleId="5">
    <w:name w:val="Body Text First Indent 2"/>
    <w:basedOn w:val="4"/>
    <w:next w:val="1"/>
    <w:qFormat/>
    <w:uiPriority w:val="99"/>
    <w:pPr>
      <w:spacing w:after="120"/>
      <w:ind w:left="420" w:leftChars="200" w:firstLine="42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w:basedOn w:val="3"/>
    <w:autoRedefine/>
    <w:qFormat/>
    <w:uiPriority w:val="0"/>
  </w:style>
  <w:style w:type="paragraph" w:styleId="9">
    <w:name w:val="table of figures"/>
    <w:basedOn w:val="1"/>
    <w:next w:val="1"/>
    <w:qFormat/>
    <w:uiPriority w:val="0"/>
    <w:pPr>
      <w:ind w:left="400" w:leftChars="200" w:hanging="200" w:hangingChars="200"/>
    </w:pPr>
  </w:style>
  <w:style w:type="paragraph" w:styleId="10">
    <w:name w:val="Normal (Web)"/>
    <w:basedOn w:val="1"/>
    <w:autoRedefine/>
    <w:qFormat/>
    <w:uiPriority w:val="0"/>
    <w:rPr>
      <w:sz w:val="24"/>
    </w:rPr>
  </w:style>
  <w:style w:type="table" w:styleId="12">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Strong"/>
    <w:basedOn w:val="13"/>
    <w:qFormat/>
    <w:uiPriority w:val="99"/>
    <w:rPr>
      <w:b/>
    </w:rPr>
  </w:style>
  <w:style w:type="character" w:customStyle="1" w:styleId="15">
    <w:name w:val="默认段落字体1"/>
    <w:autoRedefine/>
    <w:qFormat/>
    <w:uiPriority w:val="0"/>
  </w:style>
  <w:style w:type="paragraph" w:customStyle="1" w:styleId="16">
    <w:name w:val="Heading"/>
    <w:basedOn w:val="1"/>
    <w:next w:val="3"/>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7">
    <w:name w:val="Index"/>
    <w:basedOn w:val="1"/>
    <w:autoRedefine/>
    <w:qFormat/>
    <w:uiPriority w:val="0"/>
    <w:pPr>
      <w:widowControl w:val="0"/>
      <w:suppressLineNumbers/>
      <w:suppressAutoHyphens/>
    </w:pPr>
  </w:style>
  <w:style w:type="paragraph" w:customStyle="1" w:styleId="18">
    <w:name w:val="WPSOffice手动目录 1"/>
    <w:qFormat/>
    <w:uiPriority w:val="0"/>
    <w:pPr>
      <w:ind w:leftChars="0"/>
    </w:pPr>
    <w:rPr>
      <w:rFonts w:ascii="Times New Roman" w:hAnsi="Times New Roman" w:eastAsia="宋体" w:cs="Times New Roman"/>
      <w:sz w:val="20"/>
      <w:szCs w:val="20"/>
    </w:rPr>
  </w:style>
  <w:style w:type="paragraph" w:customStyle="1" w:styleId="1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4305</Words>
  <Characters>4614</Characters>
  <TotalTime>7</TotalTime>
  <ScaleCrop>false</ScaleCrop>
  <LinksUpToDate>false</LinksUpToDate>
  <CharactersWithSpaces>4698</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华华^_^</cp:lastModifiedBy>
  <dcterms:modified xsi:type="dcterms:W3CDTF">2025-02-12T01:28:48Z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737163D6584440A08CCA4AE60EEF0DCF_13</vt:lpwstr>
  </property>
  <property fmtid="{D5CDD505-2E9C-101B-9397-08002B2CF9AE}" pid="4" name="KSOTemplateDocerSaveRecord">
    <vt:lpwstr>eyJoZGlkIjoiZmUzYzQ5NTBkZTIyYzFkODE2YzAyNjYwODY0ODc4MmIiLCJ1c2VySWQiOiI2NzI3Njk4MzUifQ==</vt:lpwstr>
  </property>
</Properties>
</file>