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0" w:firstLineChars="30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中共广元市昭化区委群众工作局</w:t>
      </w:r>
    </w:p>
    <w:p>
      <w:pPr>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w:t>
      </w:r>
      <w:r>
        <w:rPr>
          <w:rFonts w:hint="eastAsia" w:ascii="黑体" w:hAnsi="黑体" w:eastAsia="黑体" w:cs="黑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基本职能及主要工作</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（二）单位2024年重点工作...........................(4</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w:t>
      </w:r>
      <w:r>
        <w:rPr>
          <w:rFonts w:hint="eastAsia" w:ascii="黑体" w:hAnsi="黑体" w:eastAsia="黑体" w:cs="黑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部门预算单位构成</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................................(5</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................................(5</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....................(8)</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............(8</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bookmarkStart w:id="0" w:name="_GoBack"/>
      <w:r>
        <w:rPr>
          <w:rFonts w:hint="eastAsia" w:ascii="黑体" w:hAnsi="黑体" w:eastAsia="黑体" w:cs="黑体"/>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w:t>
      </w:r>
      <w:bookmarkEnd w:id="0"/>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楷体_GB2312" w:eastAsia="楷体_GB2312" w:cs="楷体_GB2312"/>
          <w:b/>
          <w:i w:val="0"/>
          <w:caps w:val="0"/>
          <w:color w:val="333333"/>
          <w:spacing w:val="0"/>
          <w:sz w:val="32"/>
          <w:szCs w:val="32"/>
          <w:highlight w:val="none"/>
          <w:shd w:val="clear" w:color="auto" w:fill="FFFFFF"/>
        </w:rPr>
      </w:pPr>
      <w:r>
        <w:rPr>
          <w:rFonts w:ascii="楷体_GB2312" w:eastAsia="楷体_GB2312" w:cs="楷体_GB2312"/>
          <w:b/>
          <w:i w:val="0"/>
          <w:caps w:val="0"/>
          <w:color w:val="333333"/>
          <w:spacing w:val="0"/>
          <w:sz w:val="32"/>
          <w:szCs w:val="32"/>
          <w:highlight w:val="none"/>
          <w:shd w:val="clear" w:color="auto" w:fill="FFFFFF"/>
        </w:rPr>
        <w:t>（一）</w:t>
      </w:r>
      <w:r>
        <w:rPr>
          <w:rFonts w:hint="eastAsia" w:ascii="楷体_GB2312" w:eastAsia="楷体_GB2312" w:cs="楷体_GB2312"/>
          <w:b/>
          <w:i w:val="0"/>
          <w:caps w:val="0"/>
          <w:color w:val="333333"/>
          <w:spacing w:val="0"/>
          <w:sz w:val="32"/>
          <w:szCs w:val="32"/>
          <w:highlight w:val="none"/>
          <w:shd w:val="clear" w:color="auto" w:fill="FFFFFF"/>
          <w:lang w:val="en-US" w:eastAsia="zh-CN"/>
        </w:rPr>
        <w:t>区委群工局</w:t>
      </w:r>
      <w:r>
        <w:rPr>
          <w:rFonts w:hint="eastAsia" w:ascii="楷体_GB2312" w:eastAsia="楷体_GB2312" w:cs="楷体_GB2312"/>
          <w:b/>
          <w:i w:val="0"/>
          <w:caps w:val="0"/>
          <w:color w:val="333333"/>
          <w:spacing w:val="0"/>
          <w:sz w:val="32"/>
          <w:szCs w:val="32"/>
          <w:highlight w:val="none"/>
          <w:shd w:val="clear" w:color="auto" w:fill="FFFFFF"/>
        </w:rPr>
        <w:t>职能简介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区委群工局是一级预算单位，单位共有编制8名，其中：行政编制5名，事业编制3名。2024年预算实有在职编制内人员8人，其中：行政人员5人、事业人员3人，均为财政全额供养人员。退休人员3人，均为行政人员。固定资产总额6.5万元。主要职能职责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负责处理区内给省、市、区领导的来信，接待群众来访，接听区长热线电话，并处理反映的有关问题；及时准确地向区委、区政府领导反映来信来访中提出的重要建议、意见和问题；综合分析信访信息，调查研究，提出制定有关政策的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承办党中央、国务院，省委、省政府，市委、市政府领导同志交办的群众工作和信访事项，督促检查领导同志对有关群众工作和信访批示的落实情况；向各乡镇和部门交办群众工作和信访事项，督促检查重要的群众信访事项的处理和落实；负责群众工作和信访案件的复查复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3.协调处理跨县区和部门的重要群众工作和信访问题，协调处理群众集体到省委、省政府、市委、市政府上访和突发性群体事件。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检查、指导、协调全区群众和信访工作，负责全区信访信息系统的建设；研究起草全区群众信访工作规范性文件，总结推广各地各部门群众信访工作的经验，提出加强和改进群众信访工作的意见和建议，通报重大群众信访问题及事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5.保证信访渠道畅通，负责协调区领导接待群众来访和包案处理信访案件，负责联系区党代表、区人大代表和区政协委员定期参与接待群众来访工作。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6.协调处理赴京、到省、到市非正常上访工作。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8.负责处理全区信访工作联席会议综合协调和日常性工作。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9.负责区群众来访接待中心建设和日常管理工作。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10.承办区委、区政府交办的其他事项。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firstLine="320" w:firstLineChars="100"/>
        <w:jc w:val="both"/>
        <w:rPr>
          <w:rFonts w:hint="eastAsia" w:ascii="楷体_GB2312" w:eastAsia="楷体_GB2312" w:cs="楷体_GB2312"/>
          <w:b/>
          <w:i w:val="0"/>
          <w:caps w:val="0"/>
          <w:color w:val="333333"/>
          <w:spacing w:val="0"/>
          <w:sz w:val="32"/>
          <w:szCs w:val="32"/>
          <w:highlight w:val="none"/>
          <w:shd w:val="clear" w:color="auto" w:fill="FFFFFF"/>
        </w:rPr>
      </w:pPr>
      <w:r>
        <w:rPr>
          <w:rFonts w:hint="eastAsia" w:ascii="楷体_GB2312" w:hAnsi="楷体_GB2312" w:eastAsia="楷体_GB2312" w:cs="楷体_GB2312"/>
          <w:sz w:val="32"/>
          <w:szCs w:val="32"/>
        </w:rPr>
        <w:t>（二）</w:t>
      </w:r>
      <w:r>
        <w:rPr>
          <w:rFonts w:hint="eastAsia" w:ascii="楷体_GB2312" w:eastAsia="楷体_GB2312" w:cs="楷体_GB2312"/>
          <w:b/>
          <w:i w:val="0"/>
          <w:caps w:val="0"/>
          <w:color w:val="333333"/>
          <w:spacing w:val="0"/>
          <w:sz w:val="32"/>
          <w:szCs w:val="32"/>
          <w:highlight w:val="none"/>
          <w:shd w:val="clear" w:color="auto" w:fill="FFFFFF"/>
          <w:lang w:val="en-US" w:eastAsia="zh-CN"/>
        </w:rPr>
        <w:t>区委群工局</w:t>
      </w:r>
      <w:r>
        <w:rPr>
          <w:rFonts w:hint="eastAsia" w:ascii="楷体_GB2312" w:eastAsia="楷体_GB2312" w:cs="楷体_GB2312"/>
          <w:b/>
          <w:i w:val="0"/>
          <w:caps w:val="0"/>
          <w:color w:val="333333"/>
          <w:spacing w:val="0"/>
          <w:sz w:val="32"/>
          <w:szCs w:val="32"/>
          <w:highlight w:val="none"/>
          <w:shd w:val="clear" w:color="auto" w:fill="FFFFFF"/>
        </w:rPr>
        <w:t>202</w:t>
      </w:r>
      <w:r>
        <w:rPr>
          <w:rFonts w:hint="eastAsia" w:ascii="楷体_GB2312" w:eastAsia="楷体_GB2312" w:cs="楷体_GB2312"/>
          <w:b/>
          <w:i w:val="0"/>
          <w:caps w:val="0"/>
          <w:color w:val="333333"/>
          <w:spacing w:val="0"/>
          <w:sz w:val="32"/>
          <w:szCs w:val="32"/>
          <w:highlight w:val="none"/>
          <w:shd w:val="clear" w:color="auto" w:fill="FFFFFF"/>
          <w:lang w:val="en-US" w:eastAsia="zh-CN"/>
        </w:rPr>
        <w:t>4</w:t>
      </w:r>
      <w:r>
        <w:rPr>
          <w:rFonts w:hint="eastAsia" w:ascii="楷体_GB2312" w:eastAsia="楷体_GB2312" w:cs="楷体_GB2312"/>
          <w:b/>
          <w:i w:val="0"/>
          <w:caps w:val="0"/>
          <w:color w:val="333333"/>
          <w:spacing w:val="0"/>
          <w:sz w:val="32"/>
          <w:szCs w:val="32"/>
          <w:highlight w:val="none"/>
          <w:shd w:val="clear" w:color="auto" w:fill="FFFFFF"/>
        </w:rPr>
        <w:t>年重点工作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Autospacing="0" w:line="576"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color w:val="000000"/>
          <w:spacing w:val="0"/>
          <w:kern w:val="2"/>
          <w:sz w:val="32"/>
          <w:szCs w:val="32"/>
          <w:lang w:val="en-US" w:eastAsia="zh-CN" w:bidi="ar-SA"/>
        </w:rPr>
        <w:t>2024年，全区信访系统将继续坚持“为民解难、为党分忧”的工作理念，为加快建设社会主义现代化“四城新区”营造良好的社会环境。重点做好以下几方面工作：一是持续巩固学习贯彻习近平新时代中国特色社会主义思想主题教育成果，总结运用好“浦江经验”，推动信访积案化解和信访问题源头治理“三年攻坚”行动，切实解决好群众急难愁盼问题，维护群众合法权益。二是以推进信访工作法治化为重点，全面落实《信访工作条例》，</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紧紧围绕信访法治化总体“路线图”，做实强化实体督导，全面推进预防、受理、办理、监督追责、维护秩序等法治化在办信工作中落地落实，切实解决当前工作中存在的办信突出问题</w:t>
      </w:r>
      <w:r>
        <w:rPr>
          <w:rFonts w:hint="default" w:ascii="Times New Roman" w:hAnsi="Times New Roman" w:eastAsia="仿宋_GB2312" w:cs="Times New Roman"/>
          <w:color w:val="000000"/>
          <w:spacing w:val="0"/>
          <w:kern w:val="2"/>
          <w:sz w:val="32"/>
          <w:szCs w:val="32"/>
          <w:lang w:val="en-US" w:eastAsia="zh-CN" w:bidi="ar-SA"/>
        </w:rPr>
        <w:t>。三是结合机构改革，持续深入推进信访工作制度改革，充分发挥区、镇两级信访工作联席会议机制作用，</w:t>
      </w:r>
      <w:r>
        <w:rPr>
          <w:rFonts w:hint="default" w:ascii="Times New Roman" w:hAnsi="Times New Roman" w:eastAsia="仿宋_GB2312" w:cs="Times New Roman"/>
          <w:b w:val="0"/>
          <w:bCs w:val="0"/>
          <w:color w:val="000000"/>
          <w:kern w:val="2"/>
          <w:sz w:val="32"/>
          <w:szCs w:val="32"/>
          <w:lang w:val="en-US" w:eastAsia="zh-CN" w:bidi="ar-SA"/>
        </w:rPr>
        <w:t>切实推进矛盾纠纷“一地办”工作，</w:t>
      </w:r>
      <w:r>
        <w:rPr>
          <w:rFonts w:hint="default" w:ascii="Times New Roman" w:hAnsi="Times New Roman" w:eastAsia="仿宋_GB2312" w:cs="Times New Roman"/>
          <w:color w:val="000000"/>
          <w:spacing w:val="0"/>
          <w:kern w:val="2"/>
          <w:sz w:val="32"/>
          <w:szCs w:val="32"/>
          <w:lang w:val="en-US" w:eastAsia="zh-CN" w:bidi="ar-SA"/>
        </w:rPr>
        <w:t>进一步优化信访工作制度流程，不断拓宽群众反映信访诉求渠道，提高信访事项办理质效。四是持续加强信访队伍建设，</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深入贯彻落</w:t>
      </w:r>
      <w:r>
        <w:rPr>
          <w:rFonts w:hint="default" w:ascii="Times New Roman" w:hAnsi="Times New Roman" w:eastAsia="仿宋_GB2312" w:cs="Times New Roman"/>
          <w:b w:val="0"/>
          <w:bCs w:val="0"/>
          <w:color w:val="000000"/>
          <w:kern w:val="2"/>
          <w:sz w:val="32"/>
          <w:szCs w:val="32"/>
          <w:lang w:val="en-US" w:eastAsia="zh-CN" w:bidi="ar-SA"/>
        </w:rPr>
        <w:t>实《广元市昭化区开展干部争先提能行动工作方案》，认真践行“提能补短”工程，积极配合组织部门选派优秀干部到接访办信一线岗位磨砺成长，锻炼干部群众工作能力，</w:t>
      </w:r>
      <w:r>
        <w:rPr>
          <w:rFonts w:hint="default" w:ascii="Times New Roman" w:hAnsi="Times New Roman" w:eastAsia="仿宋_GB2312" w:cs="Times New Roman"/>
          <w:color w:val="000000"/>
          <w:spacing w:val="0"/>
          <w:kern w:val="2"/>
          <w:sz w:val="32"/>
          <w:szCs w:val="32"/>
          <w:lang w:val="en-US" w:eastAsia="zh-CN" w:bidi="ar-SA"/>
        </w:rPr>
        <w:t>积极打造一支对党忠诚可靠、恪尽为民之责、善做群众工作的高素质信访工作队伍。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我单位为一级预算单位，无二级预算单位，设有内设机构1个。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区委群工局所有收入和支出均纳入部门预算管理。收入包括：一般公共预算拨款收入；支出包括：一般公共服务支出、社会保障和就业支出、卫生健康支出、住房保障支出。区委群工局2024年收支预算总数179.23万元,比2023年收支预算总数增加0.06万元，主要原因是人员正常工资调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区委群工局2024年收入预算179.23万元，其中：一般公共预算拨款收入179.23万元，占100%。</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区委群工局2024年支出预算179.23万元，其中：基本支出133.59万元，占74.53%；项目支出45.64万元，占25.46%</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区委群工局2024年财政拨款收支预算总数179.23万元,比2023年财政拨款收支预算总数增加0.06万元，主要原因是人员正常工资调资。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收入包括：本年一般公共预算拨款收入179.23万元.支出包括：一般公共服务支出145.34万元、社会保障和就业支出19.41万元、卫生健康支出4.59万元、住房保障支出9.88万元。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区委群工局2024年一般公共预算当年拨款179.23万元，比2023年预算数增加0.06万元，主要原因是人员正常工资调资。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一般公共服务支出145.34万元，占81.09%；社会保障和就业支出19.41万元，占10.82%；卫生健康支出4.59万元，占2.56%；住房保障支出9.88万元，占5.51%。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default" w:ascii="仿宋_GB2312" w:hAnsi="仿宋_GB2312" w:eastAsia="仿宋_GB2312" w:cs="仿宋_GB2312"/>
          <w:sz w:val="32"/>
          <w:szCs w:val="32"/>
          <w:lang w:val="en-US" w:eastAsia="zh-CN"/>
        </w:rPr>
        <w:t>1.</w:t>
      </w:r>
      <w:r>
        <w:rPr>
          <w:rStyle w:val="14"/>
          <w:rFonts w:hint="eastAsia" w:ascii="仿宋" w:hAnsi="仿宋" w:eastAsia="仿宋"/>
          <w:b w:val="0"/>
          <w:bCs w:val="0"/>
          <w:color w:val="000000"/>
          <w:sz w:val="32"/>
          <w:szCs w:val="32"/>
          <w:highlight w:val="none"/>
          <w:lang w:val="en-US" w:eastAsia="zh-CN"/>
        </w:rPr>
        <w:t>一</w:t>
      </w:r>
      <w:r>
        <w:rPr>
          <w:rStyle w:val="14"/>
          <w:rFonts w:hint="eastAsia" w:ascii="仿宋_GB2312" w:eastAsia="仿宋_GB2312"/>
          <w:b w:val="0"/>
          <w:bCs w:val="0"/>
          <w:color w:val="000000"/>
          <w:sz w:val="32"/>
          <w:szCs w:val="32"/>
          <w:highlight w:val="none"/>
        </w:rPr>
        <w:t>般公共服务（类）</w:t>
      </w:r>
      <w:r>
        <w:rPr>
          <w:rStyle w:val="14"/>
          <w:rFonts w:hint="eastAsia" w:ascii="仿宋_GB2312" w:eastAsia="仿宋_GB2312"/>
          <w:b w:val="0"/>
          <w:bCs w:val="0"/>
          <w:color w:val="000000"/>
          <w:sz w:val="32"/>
          <w:szCs w:val="32"/>
          <w:highlight w:val="none"/>
          <w:lang w:val="en-US" w:eastAsia="zh-CN"/>
        </w:rPr>
        <w:t>党委</w:t>
      </w:r>
      <w:r>
        <w:rPr>
          <w:rStyle w:val="14"/>
          <w:rFonts w:hint="eastAsia" w:ascii="仿宋_GB2312" w:eastAsia="仿宋_GB2312"/>
          <w:b w:val="0"/>
          <w:bCs w:val="0"/>
          <w:color w:val="000000"/>
          <w:sz w:val="32"/>
          <w:szCs w:val="32"/>
          <w:highlight w:val="none"/>
        </w:rPr>
        <w:t>办公厅（室）及相关机构事务（款）行政运行（项）</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sz w:val="32"/>
          <w:szCs w:val="32"/>
          <w:highlight w:val="none"/>
          <w:lang w:val="en-US" w:eastAsia="zh-CN"/>
        </w:rPr>
        <w:t>024年预算数为99.7万元，主要用于</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预算的人员经费和保单位基本运转相关经费。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w:t>
      </w:r>
      <w:r>
        <w:rPr>
          <w:rStyle w:val="14"/>
          <w:rFonts w:hint="eastAsia" w:ascii="仿宋" w:hAnsi="仿宋" w:eastAsia="仿宋"/>
          <w:b w:val="0"/>
          <w:bCs w:val="0"/>
          <w:color w:val="000000"/>
          <w:sz w:val="32"/>
          <w:szCs w:val="32"/>
          <w:highlight w:val="none"/>
          <w:lang w:val="en-US" w:eastAsia="zh-CN"/>
        </w:rPr>
        <w:t>一</w:t>
      </w:r>
      <w:r>
        <w:rPr>
          <w:rStyle w:val="14"/>
          <w:rFonts w:hint="eastAsia" w:ascii="仿宋_GB2312" w:eastAsia="仿宋_GB2312"/>
          <w:b w:val="0"/>
          <w:bCs w:val="0"/>
          <w:color w:val="000000"/>
          <w:sz w:val="32"/>
          <w:szCs w:val="32"/>
          <w:highlight w:val="none"/>
        </w:rPr>
        <w:t>般公共服务（类）</w:t>
      </w:r>
      <w:r>
        <w:rPr>
          <w:rStyle w:val="14"/>
          <w:rFonts w:hint="eastAsia" w:ascii="仿宋_GB2312" w:eastAsia="仿宋_GB2312"/>
          <w:b w:val="0"/>
          <w:bCs w:val="0"/>
          <w:color w:val="000000"/>
          <w:sz w:val="32"/>
          <w:szCs w:val="32"/>
          <w:highlight w:val="none"/>
          <w:lang w:val="en-US" w:eastAsia="zh-CN"/>
        </w:rPr>
        <w:t>党委</w:t>
      </w:r>
      <w:r>
        <w:rPr>
          <w:rStyle w:val="14"/>
          <w:rFonts w:hint="eastAsia" w:ascii="仿宋_GB2312" w:eastAsia="仿宋_GB2312"/>
          <w:b w:val="0"/>
          <w:bCs w:val="0"/>
          <w:color w:val="000000"/>
          <w:sz w:val="32"/>
          <w:szCs w:val="32"/>
          <w:highlight w:val="none"/>
        </w:rPr>
        <w:t>办公厅（室）及相关机构事务（款）</w:t>
      </w:r>
      <w:r>
        <w:rPr>
          <w:rStyle w:val="14"/>
          <w:rFonts w:hint="eastAsia" w:ascii="仿宋_GB2312" w:eastAsia="仿宋_GB2312"/>
          <w:b w:val="0"/>
          <w:bCs w:val="0"/>
          <w:color w:val="000000"/>
          <w:sz w:val="32"/>
          <w:szCs w:val="32"/>
          <w:highlight w:val="none"/>
          <w:lang w:val="en-US" w:eastAsia="zh-CN"/>
        </w:rPr>
        <w:t>一般行政管理事务</w:t>
      </w:r>
      <w:r>
        <w:rPr>
          <w:rStyle w:val="14"/>
          <w:rFonts w:hint="eastAsia" w:ascii="仿宋_GB2312" w:eastAsia="仿宋_GB2312"/>
          <w:b w:val="0"/>
          <w:bCs w:val="0"/>
          <w:color w:val="000000"/>
          <w:sz w:val="32"/>
          <w:szCs w:val="32"/>
          <w:highlight w:val="none"/>
        </w:rPr>
        <w:t>（项）</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sz w:val="32"/>
          <w:szCs w:val="32"/>
          <w:highlight w:val="none"/>
          <w:lang w:val="en-US" w:eastAsia="zh-CN"/>
        </w:rPr>
        <w:t>024年预算数为45.64万元，主要用于</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保单位基本运转相关经费。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社会保障和就业（类）行政事业单位养老支出（款）行政单位离退休（项）2024年预算数为6万元，机关及参公管理事业单位离退休人员经费支出。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4.社会保障和就业（类）行政事业单位养老支出（款）机关事业单位基本养老保险缴费支出（项）2024年预算数为13.17万元，主要用于：实施养老保险制度由单位缴纳的基本养老保险支出。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5.社会保障和就业（类）行政事业单位养老支出（款）社会保障和就业支出（项）2024年预算数为0.24万元，主要用于：由单位缴纳的社会保障和就业支出。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6.卫生健康（类）行政事业单位医疗（款）行政单位医疗（项）2023年预算数为2.95万元，主要用于：机关及参公管理事业单位按规定由单位缴纳的基本医疗保险支出。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卫生健康（类）行政事业单位医疗（款）事业单位医疗（项）2023年预算数为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1.64</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，主要用于：部门下属事业单位按规定由单位缴纳的基本医疗保险支出。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8.住房保障（类）住房改革支出（款）住房公积金（项）2024年预算数为9.88万元，主要用于：部门按规定为职工缴纳的住房公积金支出。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区委群工局2024年一般公共预算基本支出133.59万元，其中：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仿宋_GB2312" w:eastAsia="仿宋_GB2312" w:cs="仿宋_GB2312"/>
          <w:sz w:val="32"/>
          <w:szCs w:val="32"/>
          <w:lang w:val="en-US" w:eastAsia="zh-CN"/>
        </w:rPr>
        <w:t>人员经费118.4万元，主要包括：基本工资、津贴补贴、</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其他社会保障缴费、绩效工资、基础绩效奖，住房公积金等支出。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公用经费15.1万元，主要包括：办公费、印刷费、电费、邮电费、差旅费、公务接待费、工会经费、其他交通费用等支出。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区委群工局2024年“三公”经费财政拨款预算数2.9万元，其中：公务接待费2.9万元，公务用车购置及运行维护费0万元，因公出国（境）经费0万元。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公务接待费与2023年预算相比下降0.05万元，主要原因是节约开支。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68"/>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单位现有公务用车0辆，</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公务用车购置及运行维护费年初未安排预算，与上年持平。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区委群工局2024年无政府性基金预算拨款安排的支出。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区委群工局2024年无国有资本经营预算拨款安排的支出。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2024年，区委群工局机关运行经费财政拨款预算为15.1万元，比2023年预算增加3.9万元，增长25.8%。主要原因是增加了公务交通补贴。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本单位本年度无政府采购预算。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截至2023年底，区委群工局共有车辆0辆，其中，领导干部用车0辆、定向保障用车0辆、执法执勤用车0辆。单位价值200万元以上大型设备0台（套）。</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年部门预算安排车辆购置经费及大型设备购置经费0万元。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2024年区委群工局开展绩效目标管理的项目8个，涉及预算60.74万元。其中：人员类项目2个，涉及预算15.1万元；运转类项目6个，涉及预算45.64万元。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lang w:val="en-US" w:eastAsia="zh-CN"/>
        </w:rPr>
        <w:t>十一、</w:t>
      </w:r>
      <w:r>
        <w:rPr>
          <w:rFonts w:hint="eastAsia" w:ascii="黑体" w:hAnsi="黑体" w:eastAsia="黑体" w:cs="黑体"/>
          <w:sz w:val="32"/>
          <w:szCs w:val="32"/>
          <w:highlight w:val="none"/>
          <w:lang w:val="en-US" w:eastAsia="zh-CN"/>
        </w:rPr>
        <w:t>名词解释</w:t>
      </w:r>
    </w:p>
    <w:p>
      <w:pPr>
        <w:keepNext w:val="0"/>
        <w:keepLines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auto"/>
        <w:spacing w:before="0" w:beforeAutospacing="0" w:after="0" w:afterAutospacing="0" w:line="580" w:lineRule="atLeast"/>
        <w:ind w:left="630" w:leftChars="0" w:right="0" w:rightChars="0" w:firstLine="420" w:firstLineChars="0"/>
        <w:jc w:val="both"/>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pPr>
      <w:r>
        <w:rPr>
          <w:rFonts w:hint="eastAsia" w:ascii="楷体_GB2312" w:hAnsi="楷体_GB2312" w:eastAsia="楷体_GB2312" w:cs="楷体_GB2312"/>
          <w:sz w:val="32"/>
          <w:szCs w:val="32"/>
          <w:lang w:val="en-US" w:eastAsia="zh-CN"/>
        </w:rPr>
        <w:t>财政拨款收入：</w:t>
      </w:r>
      <w:r>
        <w:rPr>
          <w:rFonts w:hint="eastAsia" w:ascii="仿宋_GB2312" w:hAnsi="仿宋_GB2312" w:eastAsia="仿宋_GB2312" w:cs="仿宋_GB2312"/>
          <w:sz w:val="32"/>
          <w:szCs w:val="32"/>
          <w:lang w:val="en-US" w:eastAsia="zh-CN"/>
        </w:rPr>
        <w:t>指区财政当年安排的财政预算收入。按现行管理制度，部门预算中反映的财政拨款包括一般公共预算拨款和政府性基金预算拨款。</w:t>
      </w:r>
    </w:p>
    <w:p>
      <w:pPr>
        <w:keepNext w:val="0"/>
        <w:keepLines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auto"/>
        <w:spacing w:before="0" w:beforeAutospacing="0" w:after="0" w:afterAutospacing="0" w:line="580" w:lineRule="atLeast"/>
        <w:ind w:left="630" w:leftChars="0" w:right="0" w:rightChars="0" w:firstLine="420" w:firstLineChars="0"/>
        <w:jc w:val="both"/>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pPr>
      <w:r>
        <w:rPr>
          <w:rStyle w:val="14"/>
          <w:rFonts w:hint="eastAsia" w:ascii="仿宋" w:hAnsi="仿宋" w:eastAsia="仿宋"/>
          <w:b w:val="0"/>
          <w:bCs w:val="0"/>
          <w:color w:val="000000"/>
          <w:sz w:val="32"/>
          <w:szCs w:val="32"/>
          <w:highlight w:val="none"/>
          <w:lang w:val="en-US" w:eastAsia="zh-CN"/>
        </w:rPr>
        <w:t>一</w:t>
      </w:r>
      <w:r>
        <w:rPr>
          <w:rStyle w:val="14"/>
          <w:rFonts w:hint="eastAsia" w:ascii="仿宋_GB2312" w:eastAsia="仿宋_GB2312"/>
          <w:b w:val="0"/>
          <w:bCs w:val="0"/>
          <w:color w:val="000000"/>
          <w:sz w:val="32"/>
          <w:szCs w:val="32"/>
          <w:highlight w:val="none"/>
        </w:rPr>
        <w:t>般公共服务（类）</w:t>
      </w:r>
      <w:r>
        <w:rPr>
          <w:rStyle w:val="14"/>
          <w:rFonts w:hint="eastAsia" w:ascii="仿宋_GB2312" w:eastAsia="仿宋_GB2312"/>
          <w:b w:val="0"/>
          <w:bCs w:val="0"/>
          <w:color w:val="000000"/>
          <w:sz w:val="32"/>
          <w:szCs w:val="32"/>
          <w:highlight w:val="none"/>
          <w:lang w:val="en-US" w:eastAsia="zh-CN"/>
        </w:rPr>
        <w:t>党委</w:t>
      </w:r>
      <w:r>
        <w:rPr>
          <w:rStyle w:val="14"/>
          <w:rFonts w:hint="eastAsia" w:ascii="仿宋_GB2312" w:eastAsia="仿宋_GB2312"/>
          <w:b w:val="0"/>
          <w:bCs w:val="0"/>
          <w:color w:val="000000"/>
          <w:sz w:val="32"/>
          <w:szCs w:val="32"/>
          <w:highlight w:val="none"/>
        </w:rPr>
        <w:t>办公厅（室）及相关机构事务（款）行政运行（项）</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：指机关单位用于保障机构正常运行、开展日常工作的基本支出。</w:t>
      </w:r>
    </w:p>
    <w:p>
      <w:pPr>
        <w:keepNext w:val="0"/>
        <w:keepLines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auto"/>
        <w:spacing w:before="0" w:beforeAutospacing="0" w:after="0" w:afterAutospacing="0" w:line="580" w:lineRule="atLeast"/>
        <w:ind w:left="630" w:leftChars="0" w:right="0" w:rightChars="0" w:firstLine="420" w:firstLineChars="0"/>
        <w:jc w:val="both"/>
        <w:rPr>
          <w:rFonts w:hint="eastAsia" w:ascii="仿宋_GB2312" w:hAnsi="仿宋_GB2312" w:eastAsia="仿宋_GB2312" w:cs="仿宋_GB2312"/>
          <w:sz w:val="32"/>
          <w:szCs w:val="32"/>
        </w:rPr>
      </w:pPr>
      <w:r>
        <w:rPr>
          <w:rStyle w:val="14"/>
          <w:rFonts w:hint="eastAsia" w:ascii="仿宋" w:hAnsi="仿宋" w:eastAsia="仿宋"/>
          <w:b w:val="0"/>
          <w:bCs w:val="0"/>
          <w:color w:val="000000"/>
          <w:sz w:val="32"/>
          <w:szCs w:val="32"/>
          <w:highlight w:val="none"/>
          <w:lang w:val="en-US" w:eastAsia="zh-CN"/>
        </w:rPr>
        <w:t>一</w:t>
      </w:r>
      <w:r>
        <w:rPr>
          <w:rStyle w:val="14"/>
          <w:rFonts w:hint="eastAsia" w:ascii="仿宋_GB2312" w:eastAsia="仿宋_GB2312"/>
          <w:b w:val="0"/>
          <w:bCs w:val="0"/>
          <w:color w:val="000000"/>
          <w:sz w:val="32"/>
          <w:szCs w:val="32"/>
          <w:highlight w:val="none"/>
        </w:rPr>
        <w:t>般公共服务（类）</w:t>
      </w:r>
      <w:r>
        <w:rPr>
          <w:rStyle w:val="14"/>
          <w:rFonts w:hint="eastAsia" w:ascii="仿宋_GB2312" w:eastAsia="仿宋_GB2312"/>
          <w:b w:val="0"/>
          <w:bCs w:val="0"/>
          <w:color w:val="000000"/>
          <w:sz w:val="32"/>
          <w:szCs w:val="32"/>
          <w:highlight w:val="none"/>
          <w:lang w:val="en-US" w:eastAsia="zh-CN"/>
        </w:rPr>
        <w:t>党委</w:t>
      </w:r>
      <w:r>
        <w:rPr>
          <w:rStyle w:val="14"/>
          <w:rFonts w:hint="eastAsia" w:ascii="仿宋_GB2312" w:eastAsia="仿宋_GB2312"/>
          <w:b w:val="0"/>
          <w:bCs w:val="0"/>
          <w:color w:val="000000"/>
          <w:sz w:val="32"/>
          <w:szCs w:val="32"/>
          <w:highlight w:val="none"/>
        </w:rPr>
        <w:t>办公厅（室）及相关机构事务（款）</w:t>
      </w:r>
      <w:r>
        <w:rPr>
          <w:rStyle w:val="14"/>
          <w:rFonts w:hint="eastAsia" w:ascii="仿宋_GB2312" w:eastAsia="仿宋_GB2312"/>
          <w:b w:val="0"/>
          <w:bCs w:val="0"/>
          <w:color w:val="000000"/>
          <w:sz w:val="32"/>
          <w:szCs w:val="32"/>
          <w:highlight w:val="none"/>
          <w:lang w:val="en-US" w:eastAsia="zh-CN"/>
        </w:rPr>
        <w:t>一般行政管理事务</w:t>
      </w:r>
      <w:r>
        <w:rPr>
          <w:rStyle w:val="14"/>
          <w:rFonts w:hint="eastAsia" w:ascii="仿宋_GB2312" w:eastAsia="仿宋_GB2312"/>
          <w:b w:val="0"/>
          <w:bCs w:val="0"/>
          <w:color w:val="000000"/>
          <w:sz w:val="32"/>
          <w:szCs w:val="32"/>
          <w:highlight w:val="none"/>
        </w:rPr>
        <w:t>（项）</w:t>
      </w:r>
      <w:r>
        <w:rPr>
          <w:rFonts w:hint="eastAsia" w:ascii="仿宋_GB2312" w:hAnsi="Times New Roman" w:eastAsia="仿宋_GB2312" w:cs="仿宋_GB2312"/>
          <w:b w:val="0"/>
          <w:bCs w:val="0"/>
          <w:i w:val="0"/>
          <w:caps w:val="0"/>
          <w:color w:val="333333"/>
          <w:spacing w:val="0"/>
          <w:kern w:val="0"/>
          <w:sz w:val="32"/>
          <w:szCs w:val="32"/>
          <w:highlight w:val="none"/>
          <w:shd w:val="clear" w:color="auto" w:fill="FFFFFF"/>
          <w:lang w:val="en-US" w:eastAsia="zh-CN" w:bidi="ar"/>
        </w:rPr>
        <w:t>：指机关单位用于保障机构正常运行、开展日常工作的基本支出。</w:t>
      </w:r>
    </w:p>
    <w:p>
      <w:pPr>
        <w:keepNext w:val="0"/>
        <w:keepLines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auto"/>
        <w:spacing w:before="0" w:beforeAutospacing="0" w:after="0" w:afterAutospacing="0" w:line="580" w:lineRule="atLeast"/>
        <w:ind w:left="630" w:leftChars="0" w:right="0" w:rightChars="0" w:firstLine="420" w:firstLineChars="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spacing w:before="0" w:beforeAutospacing="0" w:after="0" w:afterAutospacing="0" w:line="580" w:lineRule="atLeast"/>
        <w:ind w:right="0" w:rightChars="0" w:firstLine="960" w:firstLineChars="3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spacing w:before="0" w:beforeAutospacing="0" w:after="0" w:afterAutospacing="0" w:line="580" w:lineRule="atLeast"/>
        <w:ind w:right="0" w:rightChars="0" w:firstLine="64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（九）一般公共服务（类）政府办公厅（室）及相关机构事务（款）事业运行（项）：</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（十）一般公共服务（类）政府办公厅（室）及相关机构事务（款）一般行政管理事务（项）：</w:t>
      </w:r>
      <w:r>
        <w:rPr>
          <w:rFonts w:hint="eastAsia" w:ascii="仿宋_GB2312" w:hAnsi="仿宋_GB2312" w:eastAsia="仿宋_GB2312" w:cs="仿宋_GB2312"/>
          <w:sz w:val="32"/>
          <w:szCs w:val="32"/>
          <w:lang w:val="en-US" w:eastAsia="zh-CN"/>
        </w:rPr>
        <w:t>指机关单位开展信访处置工作的项目支出。</w:t>
      </w:r>
    </w:p>
    <w:p>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auto"/>
        <w:spacing w:before="0" w:beforeAutospacing="0" w:after="0" w:afterAutospacing="0" w:line="580" w:lineRule="atLeast"/>
        <w:ind w:right="0" w:rightChars="0" w:firstLine="64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（十一）“三公”经费：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（十二）机关运行经费：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E5BD8"/>
    <w:multiLevelType w:val="singleLevel"/>
    <w:tmpl w:val="06DE5BD8"/>
    <w:lvl w:ilvl="0" w:tentative="0">
      <w:start w:val="1"/>
      <w:numFmt w:val="chineseCounting"/>
      <w:suff w:val="nothing"/>
      <w:lvlText w:val="（%1）"/>
      <w:lvlJc w:val="left"/>
      <w:pPr>
        <w:ind w:left="1470" w:firstLine="420"/>
      </w:pPr>
      <w:rPr>
        <w:rFonts w:hint="eastAsia"/>
        <w:b/>
        <w:bCs/>
      </w:rPr>
    </w:lvl>
  </w:abstractNum>
  <w:abstractNum w:abstractNumId="1">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2">
    <w:nsid w:val="5BFCE1D6"/>
    <w:multiLevelType w:val="singleLevel"/>
    <w:tmpl w:val="5BFCE1D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YzQ5NTBkZTIyYzFkODE2YzAyNjYwODY0ODc4MmIifQ=="/>
  </w:docVars>
  <w:rsids>
    <w:rsidRoot w:val="00000000"/>
    <w:rsid w:val="012352D1"/>
    <w:rsid w:val="01D55B8D"/>
    <w:rsid w:val="05091CDD"/>
    <w:rsid w:val="148F1CFC"/>
    <w:rsid w:val="19B958AB"/>
    <w:rsid w:val="1ABE6E4D"/>
    <w:rsid w:val="1F7BF06F"/>
    <w:rsid w:val="1FEE4B73"/>
    <w:rsid w:val="23CE9849"/>
    <w:rsid w:val="24756DA0"/>
    <w:rsid w:val="2ED40002"/>
    <w:rsid w:val="3266497F"/>
    <w:rsid w:val="34E45A6B"/>
    <w:rsid w:val="37DB01EC"/>
    <w:rsid w:val="39F304DD"/>
    <w:rsid w:val="44C24573"/>
    <w:rsid w:val="4586012C"/>
    <w:rsid w:val="4A40247B"/>
    <w:rsid w:val="4BE5371D"/>
    <w:rsid w:val="4EA51DD4"/>
    <w:rsid w:val="54244390"/>
    <w:rsid w:val="54662A63"/>
    <w:rsid w:val="58064E12"/>
    <w:rsid w:val="586A3A26"/>
    <w:rsid w:val="5BFEE015"/>
    <w:rsid w:val="5F2B040C"/>
    <w:rsid w:val="63EDCF55"/>
    <w:rsid w:val="63FBFBCF"/>
    <w:rsid w:val="669360FD"/>
    <w:rsid w:val="68FF6A83"/>
    <w:rsid w:val="6FA46E28"/>
    <w:rsid w:val="6FBBC9CF"/>
    <w:rsid w:val="6FDF68DE"/>
    <w:rsid w:val="72BDE561"/>
    <w:rsid w:val="78462278"/>
    <w:rsid w:val="7997EA6C"/>
    <w:rsid w:val="7A10552B"/>
    <w:rsid w:val="7AEAE675"/>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3">
    <w:name w:val="Default Paragraph Font"/>
    <w:autoRedefine/>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before="0" w:after="140" w:line="276" w:lineRule="auto"/>
    </w:pPr>
  </w:style>
  <w:style w:type="paragraph" w:styleId="5">
    <w:name w:val="Body Text Indent"/>
    <w:basedOn w:val="1"/>
    <w:next w:val="6"/>
    <w:autoRedefine/>
    <w:qFormat/>
    <w:uiPriority w:val="99"/>
    <w:pPr>
      <w:ind w:firstLine="630"/>
      <w:jc w:val="left"/>
    </w:pPr>
    <w:rPr>
      <w:rFonts w:eastAsia="黑体"/>
      <w:sz w:val="32"/>
      <w:szCs w:val="32"/>
    </w:rPr>
  </w:style>
  <w:style w:type="paragraph" w:styleId="6">
    <w:name w:val="Body Text First Indent 2"/>
    <w:basedOn w:val="5"/>
    <w:next w:val="1"/>
    <w:autoRedefine/>
    <w:qFormat/>
    <w:uiPriority w:val="99"/>
    <w:pPr>
      <w:spacing w:after="120"/>
      <w:ind w:left="420" w:leftChars="200" w:firstLine="42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4"/>
    <w:autoRedefine/>
    <w:qFormat/>
    <w:uiPriority w:val="0"/>
  </w:style>
  <w:style w:type="paragraph" w:styleId="10">
    <w:name w:val="table of figures"/>
    <w:basedOn w:val="1"/>
    <w:next w:val="1"/>
    <w:autoRedefine/>
    <w:qFormat/>
    <w:uiPriority w:val="0"/>
    <w:pPr>
      <w:ind w:left="200" w:leftChars="200" w:hanging="200" w:hangingChars="200"/>
    </w:pPr>
  </w:style>
  <w:style w:type="paragraph" w:styleId="11">
    <w:name w:val="Normal (Web)"/>
    <w:basedOn w:val="1"/>
    <w:autoRedefine/>
    <w:qFormat/>
    <w:uiPriority w:val="0"/>
    <w:rPr>
      <w:sz w:val="24"/>
    </w:rPr>
  </w:style>
  <w:style w:type="character" w:styleId="14">
    <w:name w:val="Strong"/>
    <w:basedOn w:val="13"/>
    <w:autoRedefine/>
    <w:qFormat/>
    <w:uiPriority w:val="99"/>
    <w:rPr>
      <w:b/>
    </w:rPr>
  </w:style>
  <w:style w:type="character" w:customStyle="1" w:styleId="15">
    <w:name w:val="默认段落字体1"/>
    <w:autoRedefine/>
    <w:qFormat/>
    <w:uiPriority w:val="0"/>
  </w:style>
  <w:style w:type="paragraph" w:customStyle="1" w:styleId="16">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302</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华华^_^</cp:lastModifiedBy>
  <dcterms:modified xsi:type="dcterms:W3CDTF">2024-03-27T07:02:35Z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5AD1D2D2025F4C2680B7BB631C2329C2_13</vt:lpwstr>
  </property>
</Properties>
</file>