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舒体" w:hAnsi="方正舒体" w:eastAsia="方正舒体" w:cs="方正舒体"/>
          <w:color w:val="auto"/>
          <w:sz w:val="72"/>
          <w:szCs w:val="72"/>
          <w:highlight w:val="none"/>
        </w:rPr>
      </w:pPr>
      <w:bookmarkStart w:id="1" w:name="_Toc15377193"/>
      <w:bookmarkStart w:id="2" w:name="_Toc15396597"/>
      <w:bookmarkStart w:id="3" w:name="_Toc15377425"/>
      <w:bookmarkStart w:id="4" w:name="_Toc20934"/>
      <w:bookmarkStart w:id="5" w:name="_Toc15378441"/>
      <w:bookmarkStart w:id="6" w:name="_Toc15396475"/>
      <w:r>
        <w:rPr>
          <w:rFonts w:hint="eastAsia" w:ascii="方正舒体" w:hAnsi="方正舒体" w:eastAsia="方正舒体" w:cs="方正舒体"/>
          <w:color w:val="auto"/>
          <w:sz w:val="72"/>
          <w:szCs w:val="72"/>
          <w:highlight w:val="none"/>
        </w:rPr>
        <w:t>20</w:t>
      </w:r>
      <w:r>
        <w:rPr>
          <w:rFonts w:hint="eastAsia" w:ascii="方正舒体" w:hAnsi="方正舒体" w:eastAsia="方正舒体" w:cs="方正舒体"/>
          <w:color w:val="auto"/>
          <w:sz w:val="72"/>
          <w:szCs w:val="72"/>
          <w:highlight w:val="none"/>
          <w:lang w:val="en-US" w:eastAsia="zh-CN"/>
        </w:rPr>
        <w:t>21</w:t>
      </w:r>
      <w:r>
        <w:rPr>
          <w:rFonts w:hint="eastAsia" w:ascii="方正舒体" w:hAnsi="方正舒体" w:eastAsia="方正舒体" w:cs="方正舒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舒体" w:hAnsi="方正舒体" w:eastAsia="方正舒体" w:cs="方正舒体"/>
          <w:color w:val="000000"/>
          <w:sz w:val="72"/>
          <w:szCs w:val="72"/>
        </w:rPr>
      </w:pPr>
      <w:bookmarkStart w:id="7" w:name="_Toc15378442"/>
      <w:bookmarkStart w:id="8" w:name="_Toc15396476"/>
      <w:bookmarkStart w:id="9" w:name="_Toc25818"/>
      <w:bookmarkStart w:id="10" w:name="_Toc15396598"/>
      <w:bookmarkStart w:id="11" w:name="_Toc15377426"/>
      <w:bookmarkStart w:id="12" w:name="_Toc15377194"/>
      <w:r>
        <w:rPr>
          <w:rFonts w:hint="eastAsia" w:ascii="方正舒体" w:hAnsi="方正舒体" w:eastAsia="方正舒体" w:cs="方正舒体"/>
          <w:color w:val="000000"/>
          <w:sz w:val="72"/>
          <w:szCs w:val="72"/>
          <w:lang w:val="en-US" w:eastAsia="zh-CN"/>
        </w:rPr>
        <w:t>中共</w:t>
      </w:r>
      <w:bookmarkStart w:id="13" w:name="_Toc15306268"/>
      <w:r>
        <w:rPr>
          <w:rFonts w:hint="eastAsia" w:ascii="方正舒体" w:hAnsi="方正舒体" w:eastAsia="方正舒体" w:cs="方正舒体"/>
          <w:color w:val="000000"/>
          <w:sz w:val="72"/>
          <w:szCs w:val="72"/>
          <w:lang w:val="en-US" w:eastAsia="zh-CN"/>
        </w:rPr>
        <w:t>广元市昭化区委群众工作局</w:t>
      </w:r>
      <w:r>
        <w:rPr>
          <w:rFonts w:hint="eastAsia" w:ascii="方正舒体" w:hAnsi="方正舒体" w:eastAsia="方正舒体" w:cs="方正舒体"/>
          <w:color w:val="000000"/>
          <w:sz w:val="72"/>
          <w:szCs w:val="72"/>
        </w:rPr>
        <w:t>部门决算</w:t>
      </w:r>
      <w:bookmarkEnd w:id="7"/>
      <w:bookmarkEnd w:id="8"/>
      <w:bookmarkEnd w:id="9"/>
      <w:bookmarkEnd w:id="10"/>
      <w:bookmarkEnd w:id="11"/>
      <w:bookmarkEnd w:id="12"/>
      <w:bookmarkEnd w:id="13"/>
    </w:p>
    <w:p>
      <w:pPr>
        <w:widowControl/>
        <w:jc w:val="center"/>
        <w:rPr>
          <w:color w:val="auto"/>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sdt>
      <w:sdtPr>
        <w:rPr>
          <w:rFonts w:ascii="宋体" w:hAnsi="宋体" w:eastAsia="宋体" w:cs="Times New Roman"/>
          <w:kern w:val="2"/>
          <w:sz w:val="21"/>
          <w:szCs w:val="24"/>
          <w:lang w:val="en-US" w:eastAsia="zh-CN" w:bidi="ar-SA"/>
        </w:rPr>
        <w:id w:val="147474162"/>
        <w15:color w:val="DBDBDB"/>
        <w:docPartObj>
          <w:docPartGallery w:val="Table of Contents"/>
          <w:docPartUnique/>
        </w:docPartObj>
      </w:sdtPr>
      <w:sdtEndPr>
        <w:rPr>
          <w:rFonts w:hint="eastAsia" w:ascii="仿宋_GB2312" w:hAnsi="仿宋_GB2312" w:eastAsia="仿宋_GB2312" w:cs="仿宋_GB2312"/>
          <w:b/>
          <w:color w:val="auto"/>
          <w:kern w:val="2"/>
          <w:sz w:val="21"/>
          <w:szCs w:val="28"/>
          <w:highlight w:val="none"/>
          <w:lang w:val="en-US" w:eastAsia="zh-CN" w:bidi="ar-SA"/>
        </w:rPr>
      </w:sdtEndPr>
      <w:sdtContent>
        <w:p>
          <w:pPr>
            <w:pStyle w:val="36"/>
            <w:tabs>
              <w:tab w:val="right" w:leader="dot" w:pos="8845"/>
            </w:tabs>
            <w:rPr>
              <w:b/>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TOC \o "1-2" \h \u </w:instrText>
          </w:r>
          <w:r>
            <w:rPr>
              <w:rFonts w:hint="eastAsia" w:ascii="仿宋_GB2312" w:hAnsi="仿宋_GB2312" w:eastAsia="仿宋_GB2312" w:cs="仿宋_GB2312"/>
              <w:color w:val="auto"/>
              <w:sz w:val="28"/>
              <w:szCs w:val="28"/>
              <w:highlight w:val="none"/>
            </w:rPr>
            <w:fldChar w:fldCharType="separate"/>
          </w:r>
        </w:p>
        <w:p>
          <w:pPr>
            <w:pStyle w:val="36"/>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_Toc27790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rPr>
            <w:t xml:space="preserve">第一部分 </w:t>
          </w:r>
          <w:r>
            <w:rPr>
              <w:rFonts w:hint="eastAsia" w:ascii="宋体" w:hAnsi="宋体" w:eastAsia="宋体" w:cs="宋体"/>
              <w:b w:val="0"/>
              <w:bCs/>
              <w:sz w:val="28"/>
              <w:szCs w:val="28"/>
              <w:highlight w:val="none"/>
              <w:lang w:eastAsia="zh-CN"/>
            </w:rPr>
            <w:t>单位</w:t>
          </w:r>
          <w:r>
            <w:rPr>
              <w:rFonts w:hint="eastAsia" w:ascii="宋体" w:hAnsi="宋体" w:eastAsia="宋体" w:cs="宋体"/>
              <w:b w:val="0"/>
              <w:bCs/>
              <w:sz w:val="28"/>
              <w:szCs w:val="28"/>
              <w:highlight w:val="none"/>
            </w:rPr>
            <w:t>概况</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_Toc27790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36"/>
            <w:keepNext w:val="0"/>
            <w:keepLines w:val="0"/>
            <w:pageBreakBefore w:val="0"/>
            <w:widowControl/>
            <w:tabs>
              <w:tab w:val="right" w:leader="dot" w:pos="8845"/>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_Toc3557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rPr>
            <w:t>一、 基本职能</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_Toc3557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ind w:left="0" w:leftChars="0"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_Toc23447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lang w:val="en-US" w:eastAsia="zh-CN"/>
            </w:rPr>
            <w:t>二、2021年重点</w:t>
          </w:r>
          <w:r>
            <w:rPr>
              <w:rFonts w:hint="eastAsia" w:ascii="宋体" w:hAnsi="宋体" w:eastAsia="宋体" w:cs="宋体"/>
              <w:b w:val="0"/>
              <w:bCs/>
              <w:sz w:val="28"/>
              <w:szCs w:val="28"/>
              <w:highlight w:val="none"/>
            </w:rPr>
            <w:t>工作</w:t>
          </w:r>
          <w:r>
            <w:rPr>
              <w:rFonts w:hint="eastAsia" w:ascii="宋体" w:hAnsi="宋体" w:eastAsia="宋体" w:cs="宋体"/>
              <w:b w:val="0"/>
              <w:bCs/>
              <w:sz w:val="28"/>
              <w:szCs w:val="28"/>
              <w:highlight w:val="none"/>
              <w:lang w:eastAsia="zh-CN"/>
            </w:rPr>
            <w:t>完成情况</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_Toc23447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36"/>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_Toc5451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rPr>
            <w:t>第二部分</w:t>
          </w:r>
          <w:r>
            <w:rPr>
              <w:rFonts w:hint="eastAsia" w:ascii="宋体" w:hAnsi="宋体" w:eastAsia="宋体" w:cs="宋体"/>
              <w:b w:val="0"/>
              <w:bCs/>
              <w:sz w:val="28"/>
              <w:szCs w:val="28"/>
              <w:highlight w:val="none"/>
              <w:lang w:val="en-US" w:eastAsia="zh-CN"/>
            </w:rPr>
            <w:t>2021年度</w:t>
          </w:r>
          <w:r>
            <w:rPr>
              <w:rFonts w:hint="eastAsia" w:ascii="宋体" w:hAnsi="宋体" w:eastAsia="宋体" w:cs="宋体"/>
              <w:b w:val="0"/>
              <w:bCs/>
              <w:sz w:val="28"/>
              <w:szCs w:val="28"/>
              <w:highlight w:val="none"/>
              <w:lang w:eastAsia="zh-CN"/>
            </w:rPr>
            <w:t>单位</w:t>
          </w:r>
          <w:r>
            <w:rPr>
              <w:rFonts w:hint="eastAsia" w:ascii="宋体" w:hAnsi="宋体" w:eastAsia="宋体" w:cs="宋体"/>
              <w:b w:val="0"/>
              <w:bCs/>
              <w:sz w:val="28"/>
              <w:szCs w:val="28"/>
              <w:highlight w:val="none"/>
            </w:rPr>
            <w:t>决算情况说明</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_Toc5451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8</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36"/>
            <w:keepNext w:val="0"/>
            <w:keepLines w:val="0"/>
            <w:pageBreakBefore w:val="0"/>
            <w:widowControl/>
            <w:tabs>
              <w:tab w:val="right" w:leader="dot" w:pos="8845"/>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_Toc7221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lang w:val="en-US" w:eastAsia="zh-CN"/>
            </w:rPr>
            <w:t>一、</w:t>
          </w:r>
          <w:r>
            <w:rPr>
              <w:rFonts w:hint="eastAsia" w:ascii="宋体" w:hAnsi="宋体" w:eastAsia="宋体" w:cs="宋体"/>
              <w:b w:val="0"/>
              <w:bCs/>
              <w:sz w:val="28"/>
              <w:szCs w:val="28"/>
              <w:highlight w:val="none"/>
            </w:rPr>
            <w:t>收入支出决算总体情况说明</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_Toc7221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8</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_Toc156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lang w:eastAsia="zh-CN"/>
            </w:rPr>
            <w:t>二、</w:t>
          </w:r>
          <w:r>
            <w:rPr>
              <w:rFonts w:hint="eastAsia" w:ascii="宋体" w:hAnsi="宋体" w:eastAsia="宋体" w:cs="宋体"/>
              <w:b w:val="0"/>
              <w:bCs/>
              <w:sz w:val="28"/>
              <w:szCs w:val="28"/>
              <w:highlight w:val="none"/>
            </w:rPr>
            <w:t>收入决算情况说明</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_Toc156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8</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_Toc12474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lang w:val="en-US" w:eastAsia="zh-CN"/>
            </w:rPr>
            <w:t>三、</w:t>
          </w:r>
          <w:r>
            <w:rPr>
              <w:rFonts w:hint="eastAsia" w:ascii="宋体" w:hAnsi="宋体" w:eastAsia="宋体" w:cs="宋体"/>
              <w:b w:val="0"/>
              <w:bCs/>
              <w:sz w:val="28"/>
              <w:szCs w:val="28"/>
              <w:highlight w:val="none"/>
            </w:rPr>
            <w:t>支出决算情况说明</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_Toc12474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9</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_Toc32390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四、财政拨款收入支出决算总体情况说明</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9</w:t>
          </w:r>
          <w:r>
            <w:rPr>
              <w:rFonts w:hint="eastAsia" w:ascii="宋体" w:hAnsi="宋体" w:eastAsia="宋体" w:cs="宋体"/>
              <w:b w:val="0"/>
              <w:bCs/>
              <w:color w:val="auto"/>
              <w:sz w:val="28"/>
              <w:szCs w:val="28"/>
              <w:highlight w:val="none"/>
            </w:rP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_Toc19330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五、一般公共预算财政拨款支出决算情况说明</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_Toc19330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10</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_Toc8723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六、一般公共预算财政拨款基本支出决算情况说明</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_Toc8723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12</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_Toc9414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七、“三公”经费财政拨款支出决算情况说明</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2</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_Toc3241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八、政府性基金预算支出决算情况说明</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_Toc3241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14</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_Toc15231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rPr>
            <w:t xml:space="preserve">九、 </w:t>
          </w:r>
          <w:r>
            <w:rPr>
              <w:rFonts w:hint="eastAsia" w:ascii="宋体" w:hAnsi="宋体" w:eastAsia="宋体" w:cs="宋体"/>
              <w:b w:val="0"/>
              <w:bCs/>
              <w:sz w:val="28"/>
              <w:szCs w:val="28"/>
              <w:highlight w:val="none"/>
            </w:rPr>
            <w:t>国有资本经营预算支出决算情况说明</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_Toc15231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14</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_Toc6189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rPr>
            <w:t xml:space="preserve">十、 </w:t>
          </w:r>
          <w:r>
            <w:rPr>
              <w:rFonts w:hint="eastAsia" w:ascii="宋体" w:hAnsi="宋体" w:eastAsia="宋体" w:cs="宋体"/>
              <w:b w:val="0"/>
              <w:bCs/>
              <w:sz w:val="28"/>
              <w:szCs w:val="28"/>
              <w:highlight w:val="none"/>
              <w:lang w:val="en-US" w:eastAsia="zh-CN"/>
            </w:rPr>
            <w:t>预算绩效管理情况</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_Toc6189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14</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_Toc12415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rPr>
            <w:t xml:space="preserve">十一、 </w:t>
          </w:r>
          <w:r>
            <w:rPr>
              <w:rFonts w:hint="eastAsia" w:ascii="宋体" w:hAnsi="宋体" w:eastAsia="宋体" w:cs="宋体"/>
              <w:b w:val="0"/>
              <w:bCs/>
              <w:sz w:val="28"/>
              <w:szCs w:val="28"/>
              <w:highlight w:val="none"/>
            </w:rPr>
            <w:t>其他重要事项的情况说明</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4</w:t>
          </w:r>
        </w:p>
        <w:p>
          <w:pPr>
            <w:pStyle w:val="36"/>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_Toc24231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rPr>
            <w:t xml:space="preserve">第三部分 </w:t>
          </w:r>
          <w:r>
            <w:rPr>
              <w:rFonts w:hint="eastAsia" w:ascii="宋体" w:hAnsi="宋体" w:eastAsia="宋体" w:cs="宋体"/>
              <w:b w:val="0"/>
              <w:bCs/>
              <w:sz w:val="28"/>
              <w:szCs w:val="28"/>
              <w:highlight w:val="none"/>
            </w:rPr>
            <w:t>名词解释</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_Toc24231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16</w:t>
          </w:r>
          <w:r>
            <w:rPr>
              <w:rFonts w:hint="eastAsia" w:ascii="宋体" w:hAnsi="宋体" w:eastAsia="宋体" w:cs="宋体"/>
              <w:b w:val="0"/>
              <w:bCs/>
              <w:sz w:val="28"/>
              <w:szCs w:val="28"/>
            </w:rPr>
            <w:fldChar w:fldCharType="end"/>
          </w:r>
          <w:r>
            <w:rPr>
              <w:rFonts w:hint="eastAsia" w:ascii="宋体" w:hAnsi="宋体" w:eastAsia="宋体" w:cs="宋体"/>
              <w:b w:val="0"/>
              <w:bCs/>
              <w:color w:val="auto"/>
              <w:sz w:val="28"/>
              <w:szCs w:val="28"/>
              <w:highlight w:val="none"/>
            </w:rPr>
            <w:fldChar w:fldCharType="end"/>
          </w:r>
        </w:p>
        <w:p>
          <w:pPr>
            <w:pStyle w:val="36"/>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_Toc10305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第四部分 附件</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8</w:t>
          </w:r>
        </w:p>
        <w:p>
          <w:pPr>
            <w:pStyle w:val="36"/>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_Toc25327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第五部分 附表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_Toc29025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一、收入支出决算总表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_Toc15306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二、收入决算表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_Toc10174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三、支出决算表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_Toc15624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四、财政拨款收入支出决算总表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_Toc432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五、财政拨款支出决算明细表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_Toc13908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六、一般公共预算财政拨款支出决算表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_Toc8193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七、一般公共预算财政拨款支出决算明细表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_Toc24031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八、一般公共预算财政拨款基本支出决算表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_Toc16002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九、一般公共预算财政拨款项目支出决算表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_Toc27920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十、一般公共预算财政拨款“三公”经费支出决算表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_Toc21108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十一、政府性基金预算财政拨款收入支出决算表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_Toc26573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十二、政府性基金预算财政拨款“三公”经费支出决算表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8"/>
              <w:szCs w:val="28"/>
              <w:lang w:val="en-US" w:eastAsia="zh-CN"/>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_Toc19747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t>十三、国有资本经营预算</w:t>
          </w:r>
          <w:r>
            <w:rPr>
              <w:rFonts w:hint="eastAsia" w:ascii="宋体" w:hAnsi="宋体" w:eastAsia="宋体" w:cs="宋体"/>
              <w:b w:val="0"/>
              <w:bCs/>
              <w:sz w:val="28"/>
              <w:szCs w:val="28"/>
              <w:highlight w:val="none"/>
              <w:lang w:eastAsia="zh-CN"/>
            </w:rPr>
            <w:t>财政拨款收入</w:t>
          </w:r>
          <w:r>
            <w:rPr>
              <w:rFonts w:hint="eastAsia" w:ascii="宋体" w:hAnsi="宋体" w:eastAsia="宋体" w:cs="宋体"/>
              <w:b w:val="0"/>
              <w:bCs/>
              <w:sz w:val="28"/>
              <w:szCs w:val="28"/>
              <w:highlight w:val="none"/>
            </w:rPr>
            <w:t>支出决算表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宋体" w:hAnsi="宋体" w:eastAsia="宋体" w:cs="宋体"/>
              <w:b w:val="0"/>
              <w:bCs/>
              <w:color w:val="auto"/>
              <w:sz w:val="28"/>
              <w:szCs w:val="28"/>
              <w:highlight w:val="none"/>
              <w:lang w:val="en-US" w:eastAsia="zh-CN"/>
            </w:rPr>
            <w:t>9</w:t>
          </w:r>
        </w:p>
        <w:p>
          <w:pPr>
            <w:pStyle w:val="37"/>
            <w:keepNext w:val="0"/>
            <w:keepLines w:val="0"/>
            <w:pageBreakBefore w:val="0"/>
            <w:widowControl/>
            <w:tabs>
              <w:tab w:val="right" w:leader="dot" w:pos="8845"/>
            </w:tabs>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8"/>
              <w:szCs w:val="28"/>
              <w:highlight w:val="none"/>
            </w:rPr>
          </w:pPr>
          <w:r>
            <w:rPr>
              <w:rFonts w:hint="eastAsia" w:ascii="宋体" w:hAnsi="宋体" w:eastAsia="宋体" w:cs="宋体"/>
              <w:b w:val="0"/>
              <w:bCs/>
              <w:color w:val="auto"/>
              <w:sz w:val="28"/>
              <w:szCs w:val="28"/>
              <w:highlight w:val="none"/>
            </w:rPr>
            <w:fldChar w:fldCharType="begin"/>
          </w:r>
          <w:r>
            <w:rPr>
              <w:rFonts w:hint="eastAsia" w:ascii="宋体" w:hAnsi="宋体" w:eastAsia="宋体" w:cs="宋体"/>
              <w:b w:val="0"/>
              <w:bCs/>
              <w:sz w:val="28"/>
              <w:szCs w:val="28"/>
              <w:highlight w:val="none"/>
            </w:rPr>
            <w:instrText xml:space="preserve"> HYPERLINK \l _Toc2861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lang w:eastAsia="zh-CN"/>
            </w:rPr>
            <w:t>十四、国有资本经营预算财政拨款支出决算表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1</w:t>
          </w:r>
          <w:r>
            <w:rPr>
              <w:rFonts w:hint="eastAsia" w:ascii="宋体" w:hAnsi="宋体" w:eastAsia="宋体" w:cs="宋体"/>
              <w:b w:val="0"/>
              <w:bCs/>
              <w:color w:val="auto"/>
              <w:sz w:val="28"/>
              <w:szCs w:val="28"/>
              <w:highlight w:val="none"/>
            </w:rPr>
            <w:fldChar w:fldCharType="end"/>
          </w:r>
          <w:r>
            <w:rPr>
              <w:rFonts w:hint="eastAsia" w:ascii="仿宋_GB2312" w:hAnsi="仿宋_GB2312" w:eastAsia="仿宋_GB2312" w:cs="仿宋_GB2312"/>
              <w:b/>
              <w:color w:val="auto"/>
              <w:szCs w:val="28"/>
              <w:highlight w:val="none"/>
            </w:rPr>
            <w:fldChar w:fldCharType="end"/>
          </w:r>
          <w:r>
            <w:rPr>
              <w:rFonts w:hint="eastAsia" w:ascii="宋体" w:hAnsi="宋体" w:eastAsia="宋体" w:cs="宋体"/>
              <w:b w:val="0"/>
              <w:bCs/>
              <w:color w:val="auto"/>
              <w:sz w:val="28"/>
              <w:szCs w:val="28"/>
              <w:highlight w:val="none"/>
              <w:lang w:val="en-US" w:eastAsia="zh-CN"/>
            </w:rPr>
            <w:t>9</w:t>
          </w:r>
        </w:p>
      </w:sdtContent>
    </w:sdt>
    <w:p>
      <w:pPr>
        <w:pStyle w:val="3"/>
        <w:numPr>
          <w:ilvl w:val="0"/>
          <w:numId w:val="1"/>
        </w:numPr>
        <w:jc w:val="center"/>
        <w:rPr>
          <w:rStyle w:val="28"/>
          <w:rFonts w:hint="eastAsia" w:ascii="黑体" w:hAnsi="黑体" w:eastAsia="黑体"/>
          <w:b w:val="0"/>
          <w:bCs w:val="0"/>
          <w:color w:val="auto"/>
          <w:highlight w:val="none"/>
        </w:rPr>
        <w:sectPr>
          <w:headerReference r:id="rId3" w:type="default"/>
          <w:footerReference r:id="rId4" w:type="default"/>
          <w:pgSz w:w="11906" w:h="16838"/>
          <w:pgMar w:top="2098" w:right="1474" w:bottom="1984" w:left="1587" w:header="851" w:footer="1559" w:gutter="0"/>
          <w:pgNumType w:fmt="decimal" w:start="1"/>
          <w:cols w:space="0" w:num="1"/>
          <w:rtlGutter w:val="0"/>
          <w:docGrid w:type="lines" w:linePitch="312" w:charSpace="0"/>
        </w:sectPr>
      </w:pPr>
      <w:bookmarkStart w:id="14" w:name="_Toc15377196"/>
      <w:bookmarkStart w:id="15" w:name="_Toc15396599"/>
    </w:p>
    <w:p>
      <w:pPr>
        <w:pStyle w:val="3"/>
        <w:numPr>
          <w:ilvl w:val="0"/>
          <w:numId w:val="1"/>
        </w:numPr>
        <w:jc w:val="center"/>
        <w:rPr>
          <w:rStyle w:val="28"/>
          <w:rFonts w:hint="eastAsia" w:ascii="黑体" w:hAnsi="黑体" w:eastAsia="黑体"/>
          <w:b w:val="0"/>
          <w:bCs w:val="0"/>
          <w:color w:val="auto"/>
          <w:highlight w:val="none"/>
        </w:rPr>
      </w:pPr>
      <w:bookmarkStart w:id="16" w:name="_Toc27790"/>
      <w:r>
        <w:rPr>
          <w:rFonts w:hint="eastAsia" w:ascii="黑体" w:hAnsi="黑体" w:eastAsia="黑体"/>
          <w:b w:val="0"/>
          <w:color w:val="auto"/>
          <w:highlight w:val="none"/>
          <w:lang w:eastAsia="zh-CN"/>
        </w:rPr>
        <w:t>单位</w:t>
      </w:r>
      <w:r>
        <w:rPr>
          <w:rStyle w:val="28"/>
          <w:rFonts w:hint="eastAsia" w:ascii="黑体" w:hAnsi="黑体" w:eastAsia="黑体"/>
          <w:b w:val="0"/>
          <w:bCs w:val="0"/>
          <w:color w:val="auto"/>
          <w:highlight w:val="none"/>
        </w:rPr>
        <w:t>概况</w:t>
      </w:r>
      <w:bookmarkEnd w:id="14"/>
      <w:bookmarkEnd w:id="15"/>
      <w:bookmarkEnd w:id="16"/>
      <w:bookmarkStart w:id="17" w:name="_Toc15396600"/>
      <w:bookmarkStart w:id="18" w:name="_Toc15377197"/>
    </w:p>
    <w:p>
      <w:pPr>
        <w:pStyle w:val="3"/>
        <w:pageBreakBefore w:val="0"/>
        <w:numPr>
          <w:ilvl w:val="0"/>
          <w:numId w:val="2"/>
        </w:numPr>
        <w:kinsoku/>
        <w:wordWrap/>
        <w:overflowPunct/>
        <w:topLinePunct w:val="0"/>
        <w:autoSpaceDE/>
        <w:autoSpaceDN/>
        <w:bidi w:val="0"/>
        <w:adjustRightInd/>
        <w:snapToGrid/>
        <w:spacing w:line="576" w:lineRule="exact"/>
        <w:jc w:val="both"/>
        <w:textAlignment w:val="auto"/>
        <w:rPr>
          <w:rStyle w:val="34"/>
          <w:rFonts w:hint="eastAsia" w:ascii="黑体" w:hAnsi="黑体" w:eastAsia="黑体" w:cs="黑体"/>
          <w:b w:val="0"/>
          <w:bCs w:val="0"/>
          <w:sz w:val="32"/>
          <w:szCs w:val="32"/>
        </w:rPr>
      </w:pPr>
      <w:bookmarkStart w:id="19" w:name="_Toc3557"/>
      <w:r>
        <w:rPr>
          <w:rFonts w:hint="eastAsia" w:ascii="黑体" w:hAnsi="黑体" w:eastAsia="黑体" w:cs="黑体"/>
          <w:b w:val="0"/>
          <w:color w:val="000000"/>
          <w:sz w:val="32"/>
          <w:szCs w:val="32"/>
        </w:rPr>
        <w:t>基</w:t>
      </w:r>
      <w:r>
        <w:rPr>
          <w:rStyle w:val="34"/>
          <w:rFonts w:hint="eastAsia" w:ascii="黑体" w:hAnsi="黑体" w:eastAsia="黑体" w:cs="黑体"/>
          <w:b w:val="0"/>
          <w:bCs w:val="0"/>
          <w:sz w:val="32"/>
          <w:szCs w:val="32"/>
        </w:rPr>
        <w:t>本职能</w:t>
      </w:r>
      <w:bookmarkEnd w:id="19"/>
    </w:p>
    <w:p>
      <w:pPr>
        <w:pStyle w:val="3"/>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Style w:val="35"/>
          <w:rFonts w:hint="eastAsia" w:ascii="仿宋_GB2312" w:hAnsi="仿宋_GB2312" w:eastAsia="仿宋_GB2312" w:cs="仿宋_GB2312"/>
          <w:b w:val="0"/>
          <w:bCs w:val="0"/>
          <w:color w:val="auto"/>
          <w:sz w:val="32"/>
          <w:szCs w:val="32"/>
          <w:lang w:eastAsia="zh-CN"/>
        </w:rPr>
      </w:pPr>
      <w:bookmarkStart w:id="20" w:name="_Toc20949"/>
      <w:r>
        <w:rPr>
          <w:rStyle w:val="35"/>
          <w:rFonts w:hint="eastAsia" w:ascii="仿宋_GB2312" w:hAnsi="仿宋_GB2312" w:eastAsia="仿宋_GB2312" w:cs="仿宋_GB2312"/>
          <w:b w:val="0"/>
          <w:bCs w:val="0"/>
          <w:color w:val="auto"/>
          <w:sz w:val="32"/>
          <w:szCs w:val="32"/>
          <w:lang w:val="en-US" w:eastAsia="zh-CN"/>
        </w:rPr>
        <w:t>(一)负责处理区内给省、市、区领导的来信，</w:t>
      </w:r>
      <w:r>
        <w:rPr>
          <w:rStyle w:val="35"/>
          <w:rFonts w:hint="eastAsia" w:ascii="仿宋_GB2312" w:hAnsi="仿宋_GB2312" w:eastAsia="仿宋_GB2312" w:cs="仿宋_GB2312"/>
          <w:b w:val="0"/>
          <w:bCs w:val="0"/>
          <w:color w:val="auto"/>
          <w:sz w:val="32"/>
          <w:szCs w:val="32"/>
        </w:rPr>
        <w:t>接待群众来访，</w:t>
      </w:r>
      <w:r>
        <w:rPr>
          <w:rStyle w:val="35"/>
          <w:rFonts w:hint="eastAsia" w:ascii="仿宋_GB2312" w:hAnsi="仿宋_GB2312" w:eastAsia="仿宋_GB2312" w:cs="仿宋_GB2312"/>
          <w:b w:val="0"/>
          <w:bCs w:val="0"/>
          <w:color w:val="auto"/>
          <w:sz w:val="32"/>
          <w:szCs w:val="32"/>
          <w:lang w:eastAsia="zh-CN"/>
        </w:rPr>
        <w:t>接听区长热线电话，并处理反映的有关问题；及时准确地向区委、区政府领导反映来信来访中提出的重要建议、意见和问题；综合分析信访信息，调查研究，提出制定有关政策的建议。</w:t>
      </w:r>
      <w:bookmarkEnd w:id="20"/>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Style w:val="35"/>
          <w:rFonts w:hint="eastAsia" w:ascii="仿宋_GB2312" w:hAnsi="仿宋_GB2312" w:eastAsia="仿宋_GB2312" w:cs="仿宋_GB2312"/>
          <w:color w:val="auto"/>
          <w:sz w:val="32"/>
          <w:szCs w:val="32"/>
          <w:lang w:eastAsia="zh-CN"/>
        </w:rPr>
      </w:pPr>
      <w:r>
        <w:rPr>
          <w:rStyle w:val="35"/>
          <w:rFonts w:hint="eastAsia" w:ascii="仿宋_GB2312" w:hAnsi="仿宋_GB2312" w:eastAsia="仿宋_GB2312" w:cs="仿宋_GB2312"/>
          <w:b w:val="0"/>
          <w:bCs w:val="0"/>
          <w:color w:val="auto"/>
          <w:sz w:val="32"/>
          <w:szCs w:val="32"/>
          <w:lang w:val="en-US" w:eastAsia="zh-CN"/>
        </w:rPr>
        <w:t>(二)</w:t>
      </w:r>
      <w:r>
        <w:rPr>
          <w:rStyle w:val="35"/>
          <w:rFonts w:hint="eastAsia" w:ascii="仿宋_GB2312" w:hAnsi="仿宋_GB2312" w:eastAsia="仿宋_GB2312" w:cs="仿宋_GB2312"/>
          <w:color w:val="auto"/>
          <w:sz w:val="32"/>
          <w:szCs w:val="32"/>
          <w:lang w:eastAsia="zh-CN"/>
        </w:rPr>
        <w:t>承办党中央、国务院，省委、省政府，市委、市政府领导同志交办的群众工作和信访事项，督促检查领导同志对有关群众工作和信访批示的落实情况；向各乡镇和部门交办群众工作和信访事项，督促检查重要的群众信访事项的处理和落实；负责群众工作和信访案件的复查复核工作。</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Style w:val="35"/>
          <w:rFonts w:hint="eastAsia" w:ascii="仿宋_GB2312" w:hAnsi="仿宋_GB2312" w:eastAsia="仿宋_GB2312" w:cs="仿宋_GB2312"/>
          <w:color w:val="auto"/>
          <w:sz w:val="32"/>
          <w:szCs w:val="32"/>
          <w:lang w:eastAsia="zh-CN"/>
        </w:rPr>
      </w:pPr>
      <w:r>
        <w:rPr>
          <w:rStyle w:val="35"/>
          <w:rFonts w:hint="eastAsia" w:ascii="仿宋_GB2312" w:hAnsi="仿宋_GB2312" w:eastAsia="仿宋_GB2312" w:cs="仿宋_GB2312"/>
          <w:b w:val="0"/>
          <w:bCs w:val="0"/>
          <w:color w:val="auto"/>
          <w:sz w:val="32"/>
          <w:szCs w:val="32"/>
          <w:lang w:val="en-US" w:eastAsia="zh-CN"/>
        </w:rPr>
        <w:t>(三)</w:t>
      </w:r>
      <w:r>
        <w:rPr>
          <w:rStyle w:val="35"/>
          <w:rFonts w:hint="eastAsia" w:ascii="仿宋_GB2312" w:hAnsi="仿宋_GB2312" w:eastAsia="仿宋_GB2312" w:cs="仿宋_GB2312"/>
          <w:color w:val="auto"/>
          <w:sz w:val="32"/>
          <w:szCs w:val="32"/>
          <w:lang w:eastAsia="zh-CN"/>
        </w:rPr>
        <w:t>协调处理跨县区和部门的重要群众工作和信访问题，协调处理群众集体到省委、省政府、市委、市政府上访和突发性群体事件。</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Style w:val="35"/>
          <w:rFonts w:hint="eastAsia" w:ascii="仿宋_GB2312" w:hAnsi="仿宋_GB2312" w:eastAsia="仿宋_GB2312" w:cs="仿宋_GB2312"/>
          <w:color w:val="auto"/>
          <w:sz w:val="32"/>
          <w:szCs w:val="32"/>
          <w:lang w:eastAsia="zh-CN"/>
        </w:rPr>
      </w:pPr>
      <w:r>
        <w:rPr>
          <w:rStyle w:val="35"/>
          <w:rFonts w:hint="eastAsia" w:ascii="仿宋_GB2312" w:hAnsi="仿宋_GB2312" w:eastAsia="仿宋_GB2312" w:cs="仿宋_GB2312"/>
          <w:b w:val="0"/>
          <w:bCs w:val="0"/>
          <w:color w:val="auto"/>
          <w:sz w:val="32"/>
          <w:szCs w:val="32"/>
          <w:lang w:val="en-US" w:eastAsia="zh-CN"/>
        </w:rPr>
        <w:t>(四)</w:t>
      </w:r>
      <w:r>
        <w:rPr>
          <w:rStyle w:val="35"/>
          <w:rFonts w:hint="eastAsia" w:ascii="仿宋_GB2312" w:hAnsi="仿宋_GB2312" w:eastAsia="仿宋_GB2312" w:cs="仿宋_GB2312"/>
          <w:color w:val="auto"/>
          <w:sz w:val="32"/>
          <w:szCs w:val="32"/>
          <w:lang w:eastAsia="zh-CN"/>
        </w:rPr>
        <w:t>检查、指导、协调全区群众和信访工作，负责全区信访信息系统的建设；研究起草全区群众信访工作规范性文件，总结推广各地各部门群众信访工作的经验，提出加强和改进群众信访工作的意见和建议，通报重大群众信访问题及事件。</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Style w:val="35"/>
          <w:rFonts w:hint="eastAsia" w:ascii="仿宋_GB2312" w:hAnsi="仿宋_GB2312" w:eastAsia="仿宋_GB2312" w:cs="仿宋_GB2312"/>
          <w:color w:val="auto"/>
          <w:sz w:val="32"/>
          <w:szCs w:val="32"/>
          <w:lang w:eastAsia="zh-CN"/>
        </w:rPr>
      </w:pPr>
      <w:r>
        <w:rPr>
          <w:rStyle w:val="35"/>
          <w:rFonts w:hint="eastAsia" w:ascii="仿宋_GB2312" w:hAnsi="仿宋_GB2312" w:eastAsia="仿宋_GB2312" w:cs="仿宋_GB2312"/>
          <w:b w:val="0"/>
          <w:bCs w:val="0"/>
          <w:color w:val="auto"/>
          <w:sz w:val="32"/>
          <w:szCs w:val="32"/>
          <w:lang w:val="en-US" w:eastAsia="zh-CN"/>
        </w:rPr>
        <w:t>(五)</w:t>
      </w:r>
      <w:r>
        <w:rPr>
          <w:rStyle w:val="35"/>
          <w:rFonts w:hint="eastAsia" w:ascii="仿宋_GB2312" w:hAnsi="仿宋_GB2312" w:eastAsia="仿宋_GB2312" w:cs="仿宋_GB2312"/>
          <w:color w:val="auto"/>
          <w:sz w:val="32"/>
          <w:szCs w:val="32"/>
          <w:lang w:eastAsia="zh-CN"/>
        </w:rPr>
        <w:t>保证信访渠道畅通，负责协调区领导接待群众来访和包案处理信访案件，负责联系区党代表、区人大代表和区政协委员定期参与接待群众来访工作。</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Style w:val="35"/>
          <w:rFonts w:hint="eastAsia" w:ascii="仿宋_GB2312" w:hAnsi="仿宋_GB2312" w:eastAsia="仿宋_GB2312" w:cs="仿宋_GB2312"/>
          <w:color w:val="auto"/>
          <w:sz w:val="32"/>
          <w:szCs w:val="32"/>
          <w:lang w:eastAsia="zh-CN"/>
        </w:rPr>
      </w:pPr>
      <w:r>
        <w:rPr>
          <w:rStyle w:val="35"/>
          <w:rFonts w:hint="eastAsia" w:ascii="仿宋_GB2312" w:hAnsi="仿宋_GB2312" w:eastAsia="仿宋_GB2312" w:cs="仿宋_GB2312"/>
          <w:b w:val="0"/>
          <w:bCs w:val="0"/>
          <w:color w:val="auto"/>
          <w:sz w:val="32"/>
          <w:szCs w:val="32"/>
          <w:lang w:val="en-US" w:eastAsia="zh-CN"/>
        </w:rPr>
        <w:t>(六)</w:t>
      </w:r>
      <w:r>
        <w:rPr>
          <w:rStyle w:val="35"/>
          <w:rFonts w:hint="eastAsia" w:ascii="仿宋_GB2312" w:hAnsi="仿宋_GB2312" w:eastAsia="仿宋_GB2312" w:cs="仿宋_GB2312"/>
          <w:color w:val="auto"/>
          <w:sz w:val="32"/>
          <w:szCs w:val="32"/>
          <w:lang w:eastAsia="zh-CN"/>
        </w:rPr>
        <w:t>协调处理赴京、到省、到市非正常上访工作。</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Style w:val="35"/>
          <w:rFonts w:hint="eastAsia" w:ascii="仿宋_GB2312" w:hAnsi="仿宋_GB2312" w:eastAsia="仿宋_GB2312" w:cs="仿宋_GB2312"/>
          <w:color w:val="auto"/>
          <w:sz w:val="32"/>
          <w:szCs w:val="32"/>
          <w:lang w:eastAsia="zh-CN"/>
        </w:rPr>
      </w:pPr>
      <w:r>
        <w:rPr>
          <w:rStyle w:val="35"/>
          <w:rFonts w:hint="eastAsia" w:ascii="仿宋_GB2312" w:hAnsi="仿宋_GB2312" w:eastAsia="仿宋_GB2312" w:cs="仿宋_GB2312"/>
          <w:b w:val="0"/>
          <w:bCs w:val="0"/>
          <w:color w:val="auto"/>
          <w:sz w:val="32"/>
          <w:szCs w:val="32"/>
          <w:lang w:val="en-US" w:eastAsia="zh-CN"/>
        </w:rPr>
        <w:t>(七)</w:t>
      </w:r>
      <w:r>
        <w:rPr>
          <w:rStyle w:val="35"/>
          <w:rFonts w:hint="eastAsia" w:ascii="仿宋_GB2312" w:hAnsi="仿宋_GB2312" w:eastAsia="仿宋_GB2312" w:cs="仿宋_GB2312"/>
          <w:color w:val="auto"/>
          <w:sz w:val="32"/>
          <w:szCs w:val="32"/>
          <w:lang w:eastAsia="zh-CN"/>
        </w:rPr>
        <w:t>负责处理全区信访工作联席会议综合协调和日常性工作。</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Style w:val="35"/>
          <w:rFonts w:hint="eastAsia" w:ascii="仿宋_GB2312" w:hAnsi="仿宋_GB2312" w:eastAsia="仿宋_GB2312" w:cs="仿宋_GB2312"/>
          <w:color w:val="auto"/>
          <w:sz w:val="32"/>
          <w:szCs w:val="32"/>
          <w:lang w:eastAsia="zh-CN"/>
        </w:rPr>
      </w:pPr>
      <w:r>
        <w:rPr>
          <w:rStyle w:val="35"/>
          <w:rFonts w:hint="eastAsia" w:ascii="仿宋_GB2312" w:hAnsi="仿宋_GB2312" w:eastAsia="仿宋_GB2312" w:cs="仿宋_GB2312"/>
          <w:b w:val="0"/>
          <w:bCs w:val="0"/>
          <w:color w:val="auto"/>
          <w:sz w:val="32"/>
          <w:szCs w:val="32"/>
          <w:lang w:val="en-US" w:eastAsia="zh-CN"/>
        </w:rPr>
        <w:t>(八)</w:t>
      </w:r>
      <w:r>
        <w:rPr>
          <w:rStyle w:val="35"/>
          <w:rFonts w:hint="eastAsia" w:ascii="仿宋_GB2312" w:hAnsi="仿宋_GB2312" w:eastAsia="仿宋_GB2312" w:cs="仿宋_GB2312"/>
          <w:color w:val="auto"/>
          <w:sz w:val="32"/>
          <w:szCs w:val="32"/>
          <w:lang w:eastAsia="zh-CN"/>
        </w:rPr>
        <w:t>负责区群众来访接待中心建设和日常管理工作。</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Style w:val="35"/>
          <w:rFonts w:hint="eastAsia" w:ascii="仿宋_GB2312" w:hAnsi="仿宋_GB2312" w:eastAsia="仿宋_GB2312" w:cs="仿宋_GB2312"/>
          <w:color w:val="auto"/>
          <w:sz w:val="32"/>
          <w:szCs w:val="32"/>
          <w:lang w:eastAsia="zh-CN"/>
        </w:rPr>
      </w:pPr>
      <w:r>
        <w:rPr>
          <w:rStyle w:val="35"/>
          <w:rFonts w:hint="eastAsia" w:ascii="仿宋_GB2312" w:hAnsi="仿宋_GB2312" w:eastAsia="仿宋_GB2312" w:cs="仿宋_GB2312"/>
          <w:b w:val="0"/>
          <w:bCs w:val="0"/>
          <w:color w:val="auto"/>
          <w:sz w:val="32"/>
          <w:szCs w:val="32"/>
          <w:lang w:val="en-US" w:eastAsia="zh-CN"/>
        </w:rPr>
        <w:t>(九)</w:t>
      </w:r>
      <w:r>
        <w:rPr>
          <w:rStyle w:val="35"/>
          <w:rFonts w:hint="eastAsia" w:ascii="仿宋_GB2312" w:hAnsi="仿宋_GB2312" w:eastAsia="仿宋_GB2312" w:cs="仿宋_GB2312"/>
          <w:color w:val="auto"/>
          <w:sz w:val="32"/>
          <w:szCs w:val="32"/>
          <w:lang w:eastAsia="zh-CN"/>
        </w:rPr>
        <w:t>承办区委、区政府交办的其他事项。</w:t>
      </w:r>
    </w:p>
    <w:p>
      <w:pPr>
        <w:pStyle w:val="14"/>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576" w:lineRule="exact"/>
        <w:ind w:left="0" w:right="0" w:firstLine="645"/>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委</w:t>
      </w:r>
      <w:r>
        <w:rPr>
          <w:rFonts w:hint="default" w:ascii="Times New Roman" w:hAnsi="Times New Roman" w:eastAsia="仿宋_GB2312" w:cs="Times New Roman"/>
          <w:color w:val="auto"/>
          <w:sz w:val="32"/>
          <w:szCs w:val="32"/>
        </w:rPr>
        <w:t>群工局是一级预算单位，下设</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个股室</w:t>
      </w:r>
      <w:r>
        <w:rPr>
          <w:rFonts w:hint="default" w:ascii="Times New Roman" w:hAnsi="Times New Roman" w:eastAsia="仿宋_GB2312" w:cs="Times New Roman"/>
          <w:color w:val="auto"/>
          <w:sz w:val="32"/>
          <w:szCs w:val="32"/>
          <w:lang w:eastAsia="zh-CN"/>
        </w:rPr>
        <w:t>，分别是办公室、群众来访接待中心、督查督办</w:t>
      </w:r>
      <w:r>
        <w:rPr>
          <w:rFonts w:hint="eastAsia" w:ascii="Times New Roman" w:hAnsi="Times New Roman" w:eastAsia="仿宋_GB2312" w:cs="Times New Roman"/>
          <w:color w:val="auto"/>
          <w:sz w:val="32"/>
          <w:szCs w:val="32"/>
          <w:lang w:val="en-US" w:eastAsia="zh-CN"/>
        </w:rPr>
        <w:t>复核</w:t>
      </w:r>
      <w:r>
        <w:rPr>
          <w:rFonts w:hint="default" w:ascii="Times New Roman" w:hAnsi="Times New Roman" w:eastAsia="仿宋_GB2312" w:cs="Times New Roman"/>
          <w:color w:val="auto"/>
          <w:sz w:val="32"/>
          <w:szCs w:val="32"/>
          <w:lang w:eastAsia="zh-CN"/>
        </w:rPr>
        <w:t>股。</w:t>
      </w:r>
    </w:p>
    <w:p>
      <w:pPr>
        <w:pStyle w:val="4"/>
        <w:pageBreakBefore w:val="0"/>
        <w:numPr>
          <w:ilvl w:val="0"/>
          <w:numId w:val="0"/>
        </w:numPr>
        <w:kinsoku/>
        <w:wordWrap/>
        <w:overflowPunct/>
        <w:topLinePunct w:val="0"/>
        <w:autoSpaceDE/>
        <w:autoSpaceDN/>
        <w:bidi w:val="0"/>
        <w:adjustRightInd/>
        <w:snapToGrid/>
        <w:spacing w:line="576" w:lineRule="exact"/>
        <w:ind w:firstLine="960" w:firstLineChars="300"/>
        <w:textAlignment w:val="auto"/>
        <w:rPr>
          <w:rFonts w:hint="eastAsia" w:ascii="黑体" w:hAnsi="黑体" w:eastAsia="黑体"/>
          <w:b w:val="0"/>
          <w:color w:val="auto"/>
          <w:highlight w:val="none"/>
        </w:rPr>
      </w:pPr>
      <w:bookmarkStart w:id="21" w:name="_Toc23447"/>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7"/>
      <w:bookmarkEnd w:id="18"/>
      <w:r>
        <w:rPr>
          <w:rFonts w:hint="eastAsia" w:ascii="黑体" w:hAnsi="黑体" w:eastAsia="黑体"/>
          <w:b w:val="0"/>
          <w:color w:val="auto"/>
          <w:highlight w:val="none"/>
          <w:lang w:eastAsia="zh-CN"/>
        </w:rPr>
        <w:t>完成情况</w:t>
      </w:r>
      <w:bookmarkEnd w:id="21"/>
    </w:p>
    <w:p>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default" w:ascii="Times New Roman" w:hAnsi="仿宋" w:eastAsia="仿宋_GB2312" w:cs="Times New Roman"/>
          <w:color w:val="auto"/>
          <w:position w:val="0"/>
          <w:sz w:val="32"/>
          <w:szCs w:val="32"/>
        </w:rPr>
      </w:pPr>
      <w:r>
        <w:rPr>
          <w:rFonts w:hint="default" w:ascii="Times New Roman" w:hAnsi="Times New Roman" w:eastAsia="仿宋_GB2312" w:cs="Times New Roman"/>
          <w:color w:val="auto"/>
          <w:position w:val="0"/>
          <w:sz w:val="32"/>
          <w:szCs w:val="32"/>
        </w:rPr>
        <w:t>20</w:t>
      </w:r>
      <w:r>
        <w:rPr>
          <w:rFonts w:hint="eastAsia" w:ascii="Times New Roman" w:hAnsi="Times New Roman" w:eastAsia="仿宋_GB2312" w:cs="Times New Roman"/>
          <w:color w:val="auto"/>
          <w:position w:val="0"/>
          <w:sz w:val="32"/>
          <w:szCs w:val="32"/>
          <w:lang w:val="en-US" w:eastAsia="zh-CN"/>
        </w:rPr>
        <w:t>21</w:t>
      </w:r>
      <w:r>
        <w:rPr>
          <w:rFonts w:hint="default" w:ascii="Times New Roman" w:hAnsi="仿宋" w:eastAsia="仿宋_GB2312" w:cs="Times New Roman"/>
          <w:color w:val="auto"/>
          <w:position w:val="0"/>
          <w:sz w:val="32"/>
          <w:szCs w:val="32"/>
        </w:rPr>
        <w:t>年，</w:t>
      </w:r>
      <w:r>
        <w:rPr>
          <w:rFonts w:hint="default" w:ascii="Times New Roman" w:hAnsi="仿宋" w:eastAsia="仿宋_GB2312" w:cs="Times New Roman"/>
          <w:color w:val="auto"/>
          <w:kern w:val="0"/>
          <w:position w:val="0"/>
          <w:sz w:val="32"/>
          <w:szCs w:val="32"/>
          <w:lang w:bidi="ar"/>
        </w:rPr>
        <w:t>到区及以上信访</w:t>
      </w:r>
      <w:r>
        <w:rPr>
          <w:rFonts w:hint="eastAsia" w:ascii="Times New Roman" w:hAnsi="Times New Roman" w:eastAsia="仿宋_GB2312" w:cs="Times New Roman"/>
          <w:color w:val="auto"/>
          <w:kern w:val="0"/>
          <w:position w:val="0"/>
          <w:sz w:val="32"/>
          <w:szCs w:val="32"/>
          <w:lang w:val="en-US" w:eastAsia="zh-CN" w:bidi="ar"/>
        </w:rPr>
        <w:t>719</w:t>
      </w:r>
      <w:r>
        <w:rPr>
          <w:rFonts w:hint="default" w:ascii="Times New Roman" w:hAnsi="仿宋" w:eastAsia="仿宋_GB2312" w:cs="Times New Roman"/>
          <w:color w:val="auto"/>
          <w:kern w:val="0"/>
          <w:position w:val="0"/>
          <w:sz w:val="32"/>
          <w:szCs w:val="32"/>
          <w:lang w:bidi="ar"/>
        </w:rPr>
        <w:t>件次</w:t>
      </w:r>
      <w:r>
        <w:rPr>
          <w:rFonts w:hint="eastAsia" w:ascii="Times New Roman" w:hAnsi="Times New Roman" w:eastAsia="仿宋_GB2312" w:cs="Times New Roman"/>
          <w:color w:val="auto"/>
          <w:kern w:val="0"/>
          <w:position w:val="0"/>
          <w:sz w:val="32"/>
          <w:szCs w:val="32"/>
          <w:lang w:val="en-US" w:eastAsia="zh-CN" w:bidi="ar"/>
        </w:rPr>
        <w:t>1093</w:t>
      </w:r>
      <w:r>
        <w:rPr>
          <w:rFonts w:hint="default" w:ascii="Times New Roman" w:hAnsi="仿宋" w:eastAsia="仿宋_GB2312" w:cs="Times New Roman"/>
          <w:color w:val="auto"/>
          <w:kern w:val="0"/>
          <w:position w:val="0"/>
          <w:sz w:val="32"/>
          <w:szCs w:val="32"/>
          <w:lang w:bidi="ar"/>
        </w:rPr>
        <w:t>人次，同比分别下降</w:t>
      </w:r>
      <w:r>
        <w:rPr>
          <w:rFonts w:hint="eastAsia" w:ascii="Times New Roman" w:hAnsi="Times New Roman" w:eastAsia="仿宋_GB2312" w:cs="仿宋_GB2312"/>
          <w:color w:val="auto"/>
          <w:sz w:val="30"/>
          <w:szCs w:val="30"/>
          <w:lang w:val="en-US" w:eastAsia="zh-CN"/>
        </w:rPr>
        <w:t>19.5</w:t>
      </w:r>
      <w:r>
        <w:rPr>
          <w:rFonts w:hint="default" w:ascii="Times New Roman" w:hAnsi="Times New Roman" w:eastAsia="仿宋_GB2312" w:cs="Times New Roman"/>
          <w:color w:val="auto"/>
          <w:kern w:val="0"/>
          <w:position w:val="0"/>
          <w:sz w:val="32"/>
          <w:szCs w:val="32"/>
          <w:lang w:bidi="ar"/>
        </w:rPr>
        <w:t>%</w:t>
      </w:r>
      <w:r>
        <w:rPr>
          <w:rFonts w:hint="default" w:ascii="Times New Roman" w:hAnsi="仿宋" w:eastAsia="仿宋_GB2312" w:cs="Times New Roman"/>
          <w:color w:val="auto"/>
          <w:kern w:val="0"/>
          <w:position w:val="0"/>
          <w:sz w:val="32"/>
          <w:szCs w:val="32"/>
          <w:lang w:bidi="ar"/>
        </w:rPr>
        <w:t>和</w:t>
      </w:r>
      <w:r>
        <w:rPr>
          <w:rFonts w:hint="eastAsia" w:ascii="Times New Roman" w:hAnsi="Times New Roman" w:eastAsia="仿宋_GB2312" w:cs="仿宋_GB2312"/>
          <w:color w:val="auto"/>
          <w:sz w:val="30"/>
          <w:szCs w:val="30"/>
          <w:lang w:val="en-US" w:eastAsia="zh-CN"/>
        </w:rPr>
        <w:t>20.4</w:t>
      </w:r>
      <w:r>
        <w:rPr>
          <w:rFonts w:hint="default" w:ascii="Times New Roman" w:hAnsi="Times New Roman" w:eastAsia="仿宋_GB2312" w:cs="Times New Roman"/>
          <w:color w:val="auto"/>
          <w:kern w:val="0"/>
          <w:position w:val="0"/>
          <w:sz w:val="32"/>
          <w:szCs w:val="32"/>
          <w:lang w:bidi="ar"/>
        </w:rPr>
        <w:t>%</w:t>
      </w:r>
      <w:r>
        <w:rPr>
          <w:rFonts w:hint="default" w:ascii="Times New Roman" w:hAnsi="仿宋" w:eastAsia="仿宋_GB2312" w:cs="Times New Roman"/>
          <w:color w:val="auto"/>
          <w:kern w:val="0"/>
          <w:position w:val="0"/>
          <w:sz w:val="32"/>
          <w:szCs w:val="32"/>
          <w:lang w:bidi="ar"/>
        </w:rPr>
        <w:t>。</w:t>
      </w:r>
      <w:r>
        <w:rPr>
          <w:rFonts w:hint="eastAsia" w:ascii="Times New Roman" w:hAnsi="仿宋" w:eastAsia="仿宋_GB2312" w:cs="Times New Roman"/>
          <w:color w:val="auto"/>
          <w:kern w:val="0"/>
          <w:position w:val="0"/>
          <w:sz w:val="32"/>
          <w:szCs w:val="32"/>
          <w:lang w:val="en-US" w:eastAsia="zh-CN" w:bidi="ar"/>
        </w:rPr>
        <w:t>走访</w:t>
      </w:r>
      <w:r>
        <w:rPr>
          <w:rFonts w:hint="eastAsia" w:ascii="Times New Roman" w:hAnsi="Times New Roman" w:eastAsia="仿宋_GB2312" w:cs="仿宋_GB2312"/>
          <w:color w:val="auto"/>
          <w:sz w:val="30"/>
          <w:szCs w:val="30"/>
          <w:lang w:val="en-US" w:eastAsia="zh-CN"/>
        </w:rPr>
        <w:t>358件次732</w:t>
      </w:r>
      <w:r>
        <w:rPr>
          <w:rFonts w:hint="eastAsia" w:ascii="Times New Roman" w:hAnsi="Times New Roman" w:eastAsia="仿宋_GB2312" w:cs="仿宋_GB2312"/>
          <w:color w:val="auto"/>
          <w:sz w:val="30"/>
          <w:szCs w:val="30"/>
        </w:rPr>
        <w:t>人次</w:t>
      </w:r>
      <w:r>
        <w:rPr>
          <w:rFonts w:hint="eastAsia" w:ascii="Times New Roman" w:hAnsi="Times New Roman" w:eastAsia="仿宋_GB2312" w:cs="仿宋_GB2312"/>
          <w:b/>
          <w:bCs/>
          <w:color w:val="auto"/>
          <w:sz w:val="30"/>
          <w:szCs w:val="30"/>
          <w:lang w:eastAsia="zh-CN"/>
        </w:rPr>
        <w:t>，</w:t>
      </w:r>
      <w:r>
        <w:rPr>
          <w:rFonts w:hint="eastAsia" w:ascii="Times New Roman" w:hAnsi="Times New Roman" w:eastAsia="仿宋_GB2312" w:cs="仿宋_GB2312"/>
          <w:color w:val="auto"/>
          <w:sz w:val="30"/>
          <w:szCs w:val="30"/>
          <w:lang w:val="en-US" w:eastAsia="zh-CN"/>
        </w:rPr>
        <w:t>同比分别减少2%和12%；</w:t>
      </w:r>
      <w:r>
        <w:rPr>
          <w:rFonts w:hint="default" w:ascii="Times New Roman" w:hAnsi="仿宋" w:eastAsia="仿宋_GB2312" w:cs="Times New Roman"/>
          <w:color w:val="auto"/>
          <w:position w:val="0"/>
          <w:sz w:val="32"/>
          <w:szCs w:val="32"/>
        </w:rPr>
        <w:t>其中：群众到区走访</w:t>
      </w:r>
      <w:r>
        <w:rPr>
          <w:rFonts w:hint="eastAsia" w:ascii="Times New Roman" w:hAnsi="仿宋" w:eastAsia="仿宋_GB2312" w:cs="Times New Roman"/>
          <w:color w:val="auto"/>
          <w:position w:val="0"/>
          <w:sz w:val="32"/>
          <w:szCs w:val="32"/>
          <w:lang w:val="en-US" w:eastAsia="zh-CN"/>
        </w:rPr>
        <w:t>295</w:t>
      </w:r>
      <w:r>
        <w:rPr>
          <w:rFonts w:hint="default" w:ascii="Times New Roman" w:hAnsi="仿宋" w:eastAsia="仿宋_GB2312" w:cs="Times New Roman"/>
          <w:color w:val="auto"/>
          <w:position w:val="0"/>
          <w:sz w:val="32"/>
          <w:szCs w:val="32"/>
        </w:rPr>
        <w:t>批次</w:t>
      </w:r>
      <w:r>
        <w:rPr>
          <w:rFonts w:hint="eastAsia" w:ascii="Times New Roman" w:hAnsi="仿宋" w:eastAsia="仿宋_GB2312" w:cs="Times New Roman"/>
          <w:color w:val="auto"/>
          <w:position w:val="0"/>
          <w:sz w:val="32"/>
          <w:szCs w:val="32"/>
          <w:lang w:val="en-US" w:eastAsia="zh-CN"/>
        </w:rPr>
        <w:t>632</w:t>
      </w:r>
      <w:r>
        <w:rPr>
          <w:rFonts w:hint="default" w:ascii="Times New Roman" w:hAnsi="仿宋" w:eastAsia="仿宋_GB2312" w:cs="Times New Roman"/>
          <w:color w:val="auto"/>
          <w:position w:val="0"/>
          <w:sz w:val="32"/>
          <w:szCs w:val="32"/>
        </w:rPr>
        <w:t>人次，到市走访</w:t>
      </w:r>
      <w:r>
        <w:rPr>
          <w:rFonts w:hint="eastAsia" w:ascii="Times New Roman" w:hAnsi="仿宋" w:eastAsia="仿宋_GB2312" w:cs="Times New Roman"/>
          <w:color w:val="auto"/>
          <w:position w:val="0"/>
          <w:sz w:val="32"/>
          <w:szCs w:val="32"/>
          <w:lang w:val="en-US" w:eastAsia="zh-CN"/>
        </w:rPr>
        <w:t>50</w:t>
      </w:r>
      <w:r>
        <w:rPr>
          <w:rFonts w:hint="default" w:ascii="Times New Roman" w:hAnsi="仿宋" w:eastAsia="仿宋_GB2312" w:cs="Times New Roman"/>
          <w:color w:val="auto"/>
          <w:position w:val="0"/>
          <w:sz w:val="32"/>
          <w:szCs w:val="32"/>
        </w:rPr>
        <w:t>批次</w:t>
      </w:r>
      <w:r>
        <w:rPr>
          <w:rFonts w:hint="eastAsia" w:ascii="Times New Roman" w:hAnsi="仿宋" w:eastAsia="仿宋_GB2312" w:cs="Times New Roman"/>
          <w:color w:val="auto"/>
          <w:position w:val="0"/>
          <w:sz w:val="32"/>
          <w:szCs w:val="32"/>
          <w:lang w:val="en-US" w:eastAsia="zh-CN"/>
        </w:rPr>
        <w:t>85</w:t>
      </w:r>
      <w:r>
        <w:rPr>
          <w:rFonts w:hint="default" w:ascii="Times New Roman" w:hAnsi="仿宋" w:eastAsia="仿宋_GB2312" w:cs="Times New Roman"/>
          <w:color w:val="auto"/>
          <w:position w:val="0"/>
          <w:sz w:val="32"/>
          <w:szCs w:val="32"/>
        </w:rPr>
        <w:t>人次</w:t>
      </w:r>
      <w:r>
        <w:rPr>
          <w:rFonts w:hint="eastAsia" w:ascii="Times New Roman" w:hAnsi="仿宋" w:eastAsia="仿宋_GB2312" w:cs="Times New Roman"/>
          <w:color w:val="auto"/>
          <w:position w:val="0"/>
          <w:sz w:val="32"/>
          <w:szCs w:val="32"/>
          <w:lang w:eastAsia="zh-CN"/>
        </w:rPr>
        <w:t>，</w:t>
      </w:r>
      <w:r>
        <w:rPr>
          <w:rFonts w:hint="eastAsia" w:ascii="Times New Roman" w:hAnsi="仿宋" w:eastAsia="仿宋_GB2312" w:cs="Times New Roman"/>
          <w:color w:val="auto"/>
          <w:position w:val="0"/>
          <w:sz w:val="32"/>
          <w:szCs w:val="32"/>
          <w:lang w:val="en-US" w:eastAsia="zh-CN"/>
        </w:rPr>
        <w:t>到省走访6件6人次，到京走访7批9人次</w:t>
      </w:r>
      <w:r>
        <w:rPr>
          <w:rFonts w:hint="default" w:ascii="Times New Roman" w:hAnsi="仿宋" w:eastAsia="仿宋_GB2312" w:cs="Times New Roman"/>
          <w:color w:val="auto"/>
          <w:position w:val="0"/>
          <w:sz w:val="32"/>
          <w:szCs w:val="32"/>
        </w:rPr>
        <w:t>。个访</w:t>
      </w:r>
      <w:r>
        <w:rPr>
          <w:rFonts w:hint="eastAsia" w:ascii="Times New Roman" w:hAnsi="仿宋" w:eastAsia="仿宋_GB2312" w:cs="Times New Roman"/>
          <w:color w:val="auto"/>
          <w:position w:val="0"/>
          <w:sz w:val="32"/>
          <w:szCs w:val="32"/>
          <w:lang w:val="en-US" w:eastAsia="zh-CN"/>
        </w:rPr>
        <w:t>326</w:t>
      </w:r>
      <w:r>
        <w:rPr>
          <w:rFonts w:hint="default" w:ascii="Times New Roman" w:hAnsi="仿宋" w:eastAsia="仿宋_GB2312" w:cs="Times New Roman"/>
          <w:color w:val="auto"/>
          <w:position w:val="0"/>
          <w:sz w:val="32"/>
          <w:szCs w:val="32"/>
        </w:rPr>
        <w:t>批次</w:t>
      </w:r>
      <w:r>
        <w:rPr>
          <w:rFonts w:hint="eastAsia" w:ascii="Times New Roman" w:hAnsi="仿宋" w:eastAsia="仿宋_GB2312" w:cs="Times New Roman"/>
          <w:color w:val="auto"/>
          <w:position w:val="0"/>
          <w:sz w:val="32"/>
          <w:szCs w:val="32"/>
          <w:lang w:val="en-US" w:eastAsia="zh-CN"/>
        </w:rPr>
        <w:t>434</w:t>
      </w:r>
      <w:r>
        <w:rPr>
          <w:rFonts w:hint="default" w:ascii="Times New Roman" w:hAnsi="仿宋" w:eastAsia="仿宋_GB2312" w:cs="Times New Roman"/>
          <w:color w:val="auto"/>
          <w:position w:val="0"/>
          <w:sz w:val="32"/>
          <w:szCs w:val="32"/>
        </w:rPr>
        <w:t>人次，集访</w:t>
      </w:r>
      <w:r>
        <w:rPr>
          <w:rFonts w:hint="eastAsia" w:ascii="Times New Roman" w:hAnsi="Times New Roman" w:eastAsia="仿宋_GB2312" w:cs="Times New Roman"/>
          <w:color w:val="auto"/>
          <w:position w:val="0"/>
          <w:sz w:val="32"/>
          <w:szCs w:val="32"/>
          <w:lang w:val="en-US" w:eastAsia="zh-CN"/>
        </w:rPr>
        <w:t>36</w:t>
      </w:r>
      <w:r>
        <w:rPr>
          <w:rFonts w:hint="default" w:ascii="Times New Roman" w:hAnsi="仿宋" w:eastAsia="仿宋_GB2312" w:cs="Times New Roman"/>
          <w:color w:val="auto"/>
          <w:position w:val="0"/>
          <w:sz w:val="32"/>
          <w:szCs w:val="32"/>
        </w:rPr>
        <w:t>批次</w:t>
      </w:r>
      <w:r>
        <w:rPr>
          <w:rFonts w:hint="eastAsia" w:ascii="Times New Roman" w:hAnsi="Times New Roman" w:eastAsia="仿宋_GB2312" w:cs="Times New Roman"/>
          <w:color w:val="auto"/>
          <w:position w:val="0"/>
          <w:sz w:val="32"/>
          <w:szCs w:val="32"/>
          <w:lang w:val="en-US" w:eastAsia="zh-CN"/>
        </w:rPr>
        <w:t>302</w:t>
      </w:r>
      <w:r>
        <w:rPr>
          <w:rFonts w:hint="default" w:ascii="Times New Roman" w:hAnsi="仿宋" w:eastAsia="仿宋_GB2312" w:cs="Times New Roman"/>
          <w:color w:val="auto"/>
          <w:position w:val="0"/>
          <w:sz w:val="32"/>
          <w:szCs w:val="32"/>
        </w:rPr>
        <w:t>人次；网上信访</w:t>
      </w:r>
      <w:r>
        <w:rPr>
          <w:rFonts w:hint="eastAsia" w:ascii="Times New Roman" w:hAnsi="仿宋" w:eastAsia="仿宋_GB2312" w:cs="Times New Roman"/>
          <w:color w:val="auto"/>
          <w:position w:val="0"/>
          <w:sz w:val="32"/>
          <w:szCs w:val="32"/>
          <w:lang w:val="en-US" w:eastAsia="zh-CN"/>
        </w:rPr>
        <w:t>331</w:t>
      </w:r>
      <w:r>
        <w:rPr>
          <w:rFonts w:hint="default" w:ascii="Times New Roman" w:hAnsi="仿宋" w:eastAsia="仿宋_GB2312" w:cs="Times New Roman"/>
          <w:color w:val="auto"/>
          <w:position w:val="0"/>
          <w:sz w:val="32"/>
          <w:szCs w:val="32"/>
        </w:rPr>
        <w:t>件次，同比减少</w:t>
      </w:r>
      <w:r>
        <w:rPr>
          <w:rFonts w:hint="eastAsia" w:ascii="Times New Roman" w:hAnsi="仿宋" w:eastAsia="仿宋_GB2312" w:cs="Times New Roman"/>
          <w:color w:val="auto"/>
          <w:position w:val="0"/>
          <w:sz w:val="32"/>
          <w:szCs w:val="32"/>
          <w:lang w:val="en-US" w:eastAsia="zh-CN"/>
        </w:rPr>
        <w:t>36.8</w:t>
      </w:r>
      <w:r>
        <w:rPr>
          <w:rFonts w:hint="default" w:ascii="Times New Roman" w:hAnsi="仿宋" w:eastAsia="仿宋_GB2312" w:cs="Times New Roman"/>
          <w:color w:val="auto"/>
          <w:position w:val="0"/>
          <w:sz w:val="32"/>
          <w:szCs w:val="32"/>
        </w:rPr>
        <w:t>%。其中：</w:t>
      </w:r>
      <w:r>
        <w:rPr>
          <w:rFonts w:hint="eastAsia" w:ascii="Times New Roman" w:hAnsi="仿宋" w:eastAsia="仿宋_GB2312" w:cs="Times New Roman"/>
          <w:color w:val="auto"/>
          <w:position w:val="0"/>
          <w:sz w:val="32"/>
          <w:szCs w:val="32"/>
          <w:lang w:val="en-US" w:eastAsia="zh-CN"/>
        </w:rPr>
        <w:t>国家信访局</w:t>
      </w:r>
      <w:r>
        <w:rPr>
          <w:rFonts w:hint="eastAsia" w:ascii="Times New Roman" w:hAnsi="仿宋" w:eastAsia="仿宋_GB2312" w:cs="Times New Roman"/>
          <w:color w:val="auto"/>
          <w:position w:val="0"/>
          <w:sz w:val="32"/>
          <w:szCs w:val="32"/>
          <w:lang w:eastAsia="zh-CN"/>
        </w:rPr>
        <w:t>网上投诉</w:t>
      </w:r>
      <w:r>
        <w:rPr>
          <w:rFonts w:hint="eastAsia" w:ascii="Times New Roman" w:hAnsi="仿宋" w:eastAsia="仿宋_GB2312" w:cs="Times New Roman"/>
          <w:color w:val="auto"/>
          <w:position w:val="0"/>
          <w:sz w:val="32"/>
          <w:szCs w:val="32"/>
          <w:lang w:val="en-US" w:eastAsia="zh-CN"/>
        </w:rPr>
        <w:t>21件次，</w:t>
      </w:r>
      <w:r>
        <w:rPr>
          <w:rFonts w:hint="default" w:ascii="Times New Roman" w:hAnsi="仿宋" w:eastAsia="仿宋_GB2312" w:cs="Times New Roman"/>
          <w:color w:val="auto"/>
          <w:position w:val="0"/>
          <w:sz w:val="32"/>
          <w:szCs w:val="32"/>
        </w:rPr>
        <w:t>省</w:t>
      </w:r>
      <w:r>
        <w:rPr>
          <w:rFonts w:hint="eastAsia" w:ascii="Times New Roman" w:hAnsi="仿宋" w:eastAsia="仿宋_GB2312" w:cs="Times New Roman"/>
          <w:color w:val="auto"/>
          <w:position w:val="0"/>
          <w:sz w:val="32"/>
          <w:szCs w:val="32"/>
          <w:lang w:eastAsia="zh-CN"/>
        </w:rPr>
        <w:t>领导信箱</w:t>
      </w:r>
      <w:r>
        <w:rPr>
          <w:rFonts w:hint="eastAsia" w:ascii="Times New Roman" w:hAnsi="仿宋" w:eastAsia="仿宋_GB2312" w:cs="Times New Roman"/>
          <w:color w:val="auto"/>
          <w:position w:val="0"/>
          <w:sz w:val="32"/>
          <w:szCs w:val="32"/>
          <w:lang w:val="en-US" w:eastAsia="zh-CN"/>
        </w:rPr>
        <w:t>8</w:t>
      </w:r>
      <w:r>
        <w:rPr>
          <w:rFonts w:hint="default" w:ascii="Times New Roman" w:hAnsi="仿宋" w:eastAsia="仿宋_GB2312" w:cs="Times New Roman"/>
          <w:color w:val="auto"/>
          <w:position w:val="0"/>
          <w:sz w:val="32"/>
          <w:szCs w:val="32"/>
        </w:rPr>
        <w:t>件次</w:t>
      </w:r>
      <w:r>
        <w:rPr>
          <w:rFonts w:hint="eastAsia" w:ascii="Times New Roman" w:hAnsi="仿宋" w:eastAsia="仿宋_GB2312" w:cs="Times New Roman"/>
          <w:color w:val="auto"/>
          <w:position w:val="0"/>
          <w:sz w:val="32"/>
          <w:szCs w:val="32"/>
          <w:lang w:eastAsia="zh-CN"/>
        </w:rPr>
        <w:t>，</w:t>
      </w:r>
      <w:r>
        <w:rPr>
          <w:rFonts w:hint="default" w:ascii="Times New Roman" w:hAnsi="仿宋" w:eastAsia="仿宋_GB2312" w:cs="Times New Roman"/>
          <w:color w:val="auto"/>
          <w:position w:val="0"/>
          <w:sz w:val="32"/>
          <w:szCs w:val="32"/>
        </w:rPr>
        <w:t>市</w:t>
      </w:r>
      <w:r>
        <w:rPr>
          <w:rFonts w:hint="eastAsia" w:ascii="Times New Roman" w:hAnsi="仿宋" w:eastAsia="仿宋_GB2312" w:cs="Times New Roman"/>
          <w:color w:val="auto"/>
          <w:position w:val="0"/>
          <w:sz w:val="32"/>
          <w:szCs w:val="32"/>
          <w:lang w:eastAsia="zh-CN"/>
        </w:rPr>
        <w:t>领导</w:t>
      </w:r>
      <w:r>
        <w:rPr>
          <w:rFonts w:hint="default" w:ascii="Times New Roman" w:hAnsi="仿宋" w:eastAsia="仿宋_GB2312" w:cs="Times New Roman"/>
          <w:color w:val="auto"/>
          <w:position w:val="0"/>
          <w:sz w:val="32"/>
          <w:szCs w:val="32"/>
        </w:rPr>
        <w:t>信箱</w:t>
      </w:r>
      <w:r>
        <w:rPr>
          <w:rFonts w:hint="eastAsia" w:ascii="Times New Roman" w:hAnsi="仿宋" w:eastAsia="仿宋_GB2312" w:cs="Times New Roman"/>
          <w:color w:val="auto"/>
          <w:position w:val="0"/>
          <w:sz w:val="32"/>
          <w:szCs w:val="32"/>
          <w:lang w:val="en-US" w:eastAsia="zh-CN"/>
        </w:rPr>
        <w:t>102</w:t>
      </w:r>
      <w:r>
        <w:rPr>
          <w:rFonts w:hint="default" w:ascii="Times New Roman" w:hAnsi="仿宋" w:eastAsia="仿宋_GB2312" w:cs="Times New Roman"/>
          <w:color w:val="auto"/>
          <w:position w:val="0"/>
          <w:sz w:val="32"/>
          <w:szCs w:val="32"/>
        </w:rPr>
        <w:t>件次，区</w:t>
      </w:r>
      <w:r>
        <w:rPr>
          <w:rFonts w:hint="eastAsia" w:ascii="Times New Roman" w:hAnsi="仿宋" w:eastAsia="仿宋_GB2312" w:cs="Times New Roman"/>
          <w:color w:val="auto"/>
          <w:position w:val="0"/>
          <w:sz w:val="32"/>
          <w:szCs w:val="32"/>
          <w:lang w:eastAsia="zh-CN"/>
        </w:rPr>
        <w:t>领导</w:t>
      </w:r>
      <w:r>
        <w:rPr>
          <w:rFonts w:hint="default" w:ascii="Times New Roman" w:hAnsi="仿宋" w:eastAsia="仿宋_GB2312" w:cs="Times New Roman"/>
          <w:color w:val="auto"/>
          <w:position w:val="0"/>
          <w:sz w:val="32"/>
          <w:szCs w:val="32"/>
        </w:rPr>
        <w:t>信箱</w:t>
      </w:r>
      <w:r>
        <w:rPr>
          <w:rFonts w:hint="eastAsia" w:ascii="Times New Roman" w:hAnsi="仿宋" w:eastAsia="仿宋_GB2312" w:cs="Times New Roman"/>
          <w:color w:val="auto"/>
          <w:position w:val="0"/>
          <w:sz w:val="32"/>
          <w:szCs w:val="32"/>
          <w:lang w:val="en-US" w:eastAsia="zh-CN"/>
        </w:rPr>
        <w:t>200</w:t>
      </w:r>
      <w:r>
        <w:rPr>
          <w:rFonts w:hint="default" w:ascii="Times New Roman" w:hAnsi="仿宋" w:eastAsia="仿宋_GB2312" w:cs="Times New Roman"/>
          <w:color w:val="auto"/>
          <w:position w:val="0"/>
          <w:sz w:val="32"/>
          <w:szCs w:val="32"/>
        </w:rPr>
        <w:t>件次；来信</w:t>
      </w:r>
      <w:r>
        <w:rPr>
          <w:rFonts w:hint="eastAsia" w:ascii="Times New Roman" w:hAnsi="Times New Roman" w:eastAsia="仿宋_GB2312" w:cs="仿宋_GB2312"/>
          <w:color w:val="auto"/>
          <w:sz w:val="30"/>
          <w:szCs w:val="30"/>
          <w:lang w:val="en-US" w:eastAsia="zh-CN"/>
        </w:rPr>
        <w:t>30</w:t>
      </w:r>
      <w:r>
        <w:rPr>
          <w:rFonts w:hint="default" w:ascii="Times New Roman" w:hAnsi="仿宋" w:eastAsia="仿宋_GB2312" w:cs="Times New Roman"/>
          <w:color w:val="auto"/>
          <w:position w:val="0"/>
          <w:sz w:val="32"/>
          <w:szCs w:val="32"/>
        </w:rPr>
        <w:t>件次，同比</w:t>
      </w:r>
      <w:r>
        <w:rPr>
          <w:rFonts w:hint="eastAsia" w:ascii="Times New Roman" w:hAnsi="仿宋" w:eastAsia="仿宋_GB2312" w:cs="Times New Roman"/>
          <w:color w:val="auto"/>
          <w:position w:val="0"/>
          <w:sz w:val="32"/>
          <w:szCs w:val="32"/>
          <w:lang w:eastAsia="zh-CN"/>
        </w:rPr>
        <w:t>减少</w:t>
      </w:r>
      <w:r>
        <w:rPr>
          <w:rFonts w:hint="eastAsia" w:ascii="Times New Roman" w:hAnsi="Times New Roman" w:eastAsia="仿宋_GB2312" w:cs="仿宋_GB2312"/>
          <w:color w:val="auto"/>
          <w:sz w:val="30"/>
          <w:szCs w:val="30"/>
          <w:lang w:val="en-US" w:eastAsia="zh-CN"/>
        </w:rPr>
        <w:t>1.4</w:t>
      </w:r>
      <w:r>
        <w:rPr>
          <w:rFonts w:hint="eastAsia" w:ascii="Times New Roman" w:hAnsi="仿宋" w:eastAsia="仿宋_GB2312" w:cs="Times New Roman"/>
          <w:color w:val="auto"/>
          <w:position w:val="0"/>
          <w:sz w:val="32"/>
          <w:szCs w:val="32"/>
          <w:lang w:val="en-US" w:eastAsia="zh-CN"/>
        </w:rPr>
        <w:t xml:space="preserve"> </w:t>
      </w:r>
      <w:r>
        <w:rPr>
          <w:rFonts w:hint="default" w:ascii="Times New Roman" w:hAnsi="仿宋" w:eastAsia="仿宋_GB2312" w:cs="Times New Roman"/>
          <w:color w:val="auto"/>
          <w:position w:val="0"/>
          <w:sz w:val="32"/>
          <w:szCs w:val="32"/>
        </w:rPr>
        <w:t>%。办理满意度测评信访事项</w:t>
      </w:r>
      <w:r>
        <w:rPr>
          <w:rFonts w:hint="eastAsia" w:ascii="Times New Roman" w:hAnsi="仿宋" w:eastAsia="仿宋_GB2312" w:cs="Times New Roman"/>
          <w:color w:val="auto"/>
          <w:position w:val="0"/>
          <w:sz w:val="32"/>
          <w:szCs w:val="32"/>
          <w:lang w:val="en-US" w:eastAsia="zh-CN"/>
        </w:rPr>
        <w:t>33</w:t>
      </w:r>
      <w:r>
        <w:rPr>
          <w:rFonts w:hint="default" w:ascii="Times New Roman" w:hAnsi="仿宋" w:eastAsia="仿宋_GB2312" w:cs="Times New Roman"/>
          <w:color w:val="auto"/>
          <w:position w:val="0"/>
          <w:sz w:val="32"/>
          <w:szCs w:val="32"/>
        </w:rPr>
        <w:t>件</w:t>
      </w:r>
      <w:r>
        <w:rPr>
          <w:rFonts w:hint="eastAsia" w:ascii="Times New Roman" w:hAnsi="仿宋" w:eastAsia="仿宋_GB2312" w:cs="Times New Roman"/>
          <w:color w:val="auto"/>
          <w:position w:val="0"/>
          <w:sz w:val="32"/>
          <w:szCs w:val="32"/>
          <w:lang w:eastAsia="zh-CN"/>
        </w:rPr>
        <w:t>次</w:t>
      </w:r>
      <w:r>
        <w:rPr>
          <w:rFonts w:hint="default" w:ascii="Times New Roman" w:hAnsi="仿宋" w:eastAsia="仿宋_GB2312" w:cs="Times New Roman"/>
          <w:color w:val="auto"/>
          <w:position w:val="0"/>
          <w:sz w:val="32"/>
          <w:szCs w:val="32"/>
        </w:rPr>
        <w:t>。</w:t>
      </w:r>
      <w:r>
        <w:rPr>
          <w:rFonts w:hint="eastAsia" w:ascii="Times New Roman" w:hAnsi="仿宋" w:eastAsia="仿宋_GB2312" w:cs="Times New Roman"/>
          <w:color w:val="auto"/>
          <w:position w:val="0"/>
          <w:sz w:val="32"/>
          <w:szCs w:val="32"/>
          <w:lang w:eastAsia="zh-CN"/>
        </w:rPr>
        <w:t>收到信访复查申请</w:t>
      </w:r>
      <w:r>
        <w:rPr>
          <w:rFonts w:hint="eastAsia" w:ascii="Times New Roman" w:hAnsi="仿宋" w:eastAsia="仿宋_GB2312" w:cs="Times New Roman"/>
          <w:color w:val="auto"/>
          <w:position w:val="0"/>
          <w:sz w:val="32"/>
          <w:szCs w:val="32"/>
          <w:lang w:val="en-US" w:eastAsia="zh-CN"/>
        </w:rPr>
        <w:t>5件，受理并办结1件</w:t>
      </w:r>
      <w:r>
        <w:rPr>
          <w:rFonts w:hint="default" w:ascii="Times New Roman" w:hAnsi="仿宋" w:eastAsia="仿宋_GB2312" w:cs="Times New Roman"/>
          <w:color w:val="auto"/>
          <w:position w:val="0"/>
          <w:sz w:val="32"/>
          <w:szCs w:val="32"/>
        </w:rPr>
        <w:t>。</w:t>
      </w:r>
      <w:r>
        <w:rPr>
          <w:rFonts w:hint="eastAsia" w:ascii="Times New Roman" w:hAnsi="仿宋" w:eastAsia="仿宋_GB2312" w:cs="Times New Roman"/>
          <w:color w:val="auto"/>
          <w:position w:val="0"/>
          <w:sz w:val="32"/>
          <w:szCs w:val="32"/>
          <w:lang w:val="en-US" w:eastAsia="zh-CN"/>
        </w:rPr>
        <w:t>全年办理“治重化积”案件42件，其中：中联办交办25件，省级交办6 件，市级交办11件。</w:t>
      </w:r>
      <w:r>
        <w:rPr>
          <w:rFonts w:hint="default" w:ascii="Times New Roman" w:hAnsi="仿宋" w:eastAsia="仿宋_GB2312" w:cs="Times New Roman"/>
          <w:color w:val="auto"/>
          <w:position w:val="0"/>
          <w:sz w:val="32"/>
          <w:szCs w:val="32"/>
        </w:rPr>
        <w:t>敏感节点均实现了“三零”目标，全</w:t>
      </w:r>
      <w:r>
        <w:rPr>
          <w:rFonts w:hint="eastAsia" w:ascii="Times New Roman" w:hAnsi="仿宋" w:eastAsia="仿宋_GB2312" w:cs="Times New Roman"/>
          <w:color w:val="auto"/>
          <w:position w:val="0"/>
          <w:sz w:val="32"/>
          <w:szCs w:val="32"/>
          <w:lang w:val="en-US" w:eastAsia="zh-CN"/>
        </w:rPr>
        <w:t>年</w:t>
      </w:r>
      <w:r>
        <w:rPr>
          <w:rFonts w:hint="default" w:ascii="Times New Roman" w:hAnsi="仿宋" w:eastAsia="仿宋_GB2312" w:cs="Times New Roman"/>
          <w:color w:val="auto"/>
          <w:position w:val="0"/>
          <w:sz w:val="32"/>
          <w:szCs w:val="32"/>
        </w:rPr>
        <w:t>无信访恶性事件，无重大群体性事件。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（一）持续开展“治源强基”专项行动，信访业务专业化、规范化进一步提升。今年以</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来，我区</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坚持和发展新时代“枫桥经验”，把着力点放在源头预防和前</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端</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化解上，进一步筑牢信访工作的根基。</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一是开展常态排查化解。</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按照“应排尽排、台账管理，上下互动、联席研判，分级管控、集中攻坚”的统一要求，督促和指导各镇各部门定期开展信访问题排查工作，对信访问题突出的项目、领域、区域开展重点排查，重要敏感时段开展专项排查</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全年开展排查15次，排查出信访突出问题和不稳定因素151件次，纳入县级领导包案化解60余件次。二是高度重视初信初访。全年围绕“群众只访一次、信访只办一次”、“马上办、限时办”、“走好网上群众路线”和扎实开展“上一线、下访点、化积案”等活动要求，高度</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重视初信初访，严格落实首问、首接、首办责任，第一时间、第一地点将群众反映的问题化解在初始，化解在萌芽，化解在基层</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全年信访事项及时受理率、按期办结率、群众满意率均达到100%，初访初信转重率下降至10%以下。三是强化领导接访下访。全年持续加强领导接访协调，确保每个工作日均有县级领导接待群众来访，</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区委区政府主要领导</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带头到区群众来访接待中心接待来访群众</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25名县级领导轮流到区群众来访接待中心接待来访群众263批次487人次。四是强化干部队伍建设。在今年的换届期间，积极与各镇各部门协调，把责任心强、有经验、懂业务、会做群众工作的干部选配到群众工作岗位，指导和督促做好手续交接工作，加强业务培训和指导，确保了群工干部队伍的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扎实开展“</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治重化积</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专项行动</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，信访积案存量</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增量</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实现双下降</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一是重复信访治理</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初见成效</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。全年聚焦中央、省、市交办的第一批23件重复信访事项，</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坚持一月一汇报、一月一研判，每周一督办</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要求</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落实</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全覆盖</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包案</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“面对面”汇报</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“点对点”督办</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制度，实行</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区镇协</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同</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、部门联动，</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突出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转化、</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整合资源</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，盯准节点、精准发力。</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开展</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有针</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对性地回访</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，有效督促责任</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单</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位认真执行处理意见、兑现承诺，持续做好已化解案件的巩固</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工作</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，防止反弹。</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今年6月，第一批重复信访事项交办件已全面彻底化解并报结。第二批中央交办8件重复信访事项目前正按程序有力推进。二是全力开展重点领域治理。</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今年我局</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认真贯彻落实中央、省、市信访工作联席会议精神，结合“问题楼盘”治理，着力推进了辖区内山水盛景、栖凤小区、葭萌王府井、金桂御府、柏林详瑞阁等房地产领域反映的合同备案、办证等问题解决；全力推动了“大光明公司非法集资”等集资融资领域信访问题化解；深入开展了农村土地流转、农业园区建设领域问题的专项调研；有效化解了绿色家居产业城失地农民保险问题；高度关注涉疫矛盾纠纷，加强政策分析研究，完善快处快办机制，确保全年涉疫信访的有效办理。三是全力推进信访积案化解。全年紧紧围绕</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高质量化解中央、省、市交办“四重”案件。坚持以“事要解决”为核心，以“清仓见底”为目标，合理分类分级明确化解任务。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有效化解了国家信访局督办余天平信访问题、区内信访老户李鸿浩等疑难老案。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着力</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开展</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治机增效</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专项行动</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，长效机制</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持续完善、</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作用有效</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发挥</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今年以来，在我区已形成的“三大模式”的总框架下，进一步完善和细化工作机制。一是</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持续巩固“三大模式”。</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强化“1+1”的运行模式。</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努力发挥</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信访联</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席</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会议统筹、督促、协调作用，促进疑难信访问题依法化解；</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落实“3+1”的责任模式</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完善“信访工作责任清单”“信访突出问题清单”“领导包案清单”和化解的“线路图”，倒排工期，责任到人，限时化解；深化“4+1”的服务模式。依托信访信息系统，整合“走访、书信、网信、视频”四个渠道，确保上下一致、信息对称，让群众少跑腿，让数据多跑路。二是持续压紧压实责任。进一步加强了中央、省、市关于群众信访工作责任制实施办法、细则的学习贯彻，进一步完善了群众信访工作责任清单，进一步明确了信访工作首问、首接、首办责任。制定和出台了《广元市昭化区严防进京到省到市集访工作方案》、《“书记区长信箱”来信办理规则</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》、《领导签批信件办理规则》</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出台了</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关于在全区各镇建立信访工作联席会议机制的通知》等，</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探索推进将群众信访工作纳入区委巡察的重要内容，对3个区级部门进行了信访专项巡察。</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联合区法院在我区成功建立诉访对接和诉非衔接机制，引进法官入驻区群众来访大厅约访。</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领导接访下访机制、领导包案机制、信访工作定期通报机制等得到不断强化。</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“全国信访工作示范县（区）”创建工作正有序推进。</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三是建立健全风险防控机制。严格落实社情民意收集分析报告，建立情报信息台账，强化信息预警和分析研判作用，准确掌握信访动态。加大矛盾纠纷排查力度，做到滚动排查矛盾纠纷，及时发现新矛盾和新问题，做到异常情况百分之百掌握。四是整合基层治理资源</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建立镇信访工作联席会议制度，把解决群众诉求的力量资源向基层倾斜，整合村级网格、调解、综治、信访等资源，形成“乡镇吹哨、部门报到、多元化解”的工作</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格局</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（四）纵深推进“治乱护序</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专项行动</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重点时期信访稳定环境有效保障。一是“业务乱象”有效治理。全年坚持</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从</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信访业务办理的重点环节</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入手，</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对</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信访事项办理调查闭门造车，见面时信口开河、敷衍应付、避重就轻，文稿粗制滥造、张冠李戴、答非所问等</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问题进行了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重点整治。</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对信访系统办理的信件实行全面自查，</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定期回访、每</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季</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通报、“错情”点评</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对初</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转重、信转访开展</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专项督查</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信访业务办理质量得到有效提升。二是</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行为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乱象”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有效规范</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创新信访法治宣传教育形式，充分利用接访中心大屏幕，先后开展了《信访条例》《民法典》主题宣传教育活动，</w:t>
      </w:r>
      <w:r>
        <w:rPr>
          <w:rFonts w:hint="eastAsia" w:ascii="Times New Roman" w:hAnsi="Times New Roman" w:eastAsia="仿宋_GB2312" w:cs="Times New Roman"/>
          <w:b w:val="0"/>
          <w:bCs w:val="0"/>
          <w:color w:val="000000" w:themeColor="text1"/>
          <w:sz w:val="32"/>
          <w:szCs w:val="32"/>
          <w:u w:val="none"/>
          <w14:textFill>
            <w14:solidFill>
              <w14:schemeClr w14:val="tx1"/>
            </w14:solidFill>
          </w14:textFill>
        </w:rPr>
        <w:t>发放宣传资料</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00</w:t>
      </w:r>
      <w:r>
        <w:rPr>
          <w:rFonts w:hint="eastAsia" w:ascii="Times New Roman" w:hAnsi="Times New Roman" w:eastAsia="仿宋_GB2312" w:cs="Times New Roman"/>
          <w:b w:val="0"/>
          <w:bCs w:val="0"/>
          <w:color w:val="000000" w:themeColor="text1"/>
          <w:sz w:val="32"/>
          <w:szCs w:val="32"/>
          <w:u w:val="none"/>
          <w14:textFill>
            <w14:solidFill>
              <w14:schemeClr w14:val="tx1"/>
            </w14:solidFill>
          </w14:textFill>
        </w:rPr>
        <w:t>余份，现场咨询群众</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100</w:t>
      </w:r>
      <w:r>
        <w:rPr>
          <w:rFonts w:hint="eastAsia" w:ascii="Times New Roman" w:hAnsi="Times New Roman" w:eastAsia="仿宋_GB2312" w:cs="Times New Roman"/>
          <w:b w:val="0"/>
          <w:bCs w:val="0"/>
          <w:color w:val="000000" w:themeColor="text1"/>
          <w:sz w:val="32"/>
          <w:szCs w:val="32"/>
          <w:u w:val="none"/>
          <w14:textFill>
            <w14:solidFill>
              <w14:schemeClr w14:val="tx1"/>
            </w14:solidFill>
          </w14:textFill>
        </w:rPr>
        <w:t>余人次，现场解答群众问题</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30</w:t>
      </w:r>
      <w:r>
        <w:rPr>
          <w:rFonts w:hint="eastAsia" w:ascii="Times New Roman" w:hAnsi="Times New Roman" w:eastAsia="仿宋_GB2312" w:cs="Times New Roman"/>
          <w:b w:val="0"/>
          <w:bCs w:val="0"/>
          <w:color w:val="000000" w:themeColor="text1"/>
          <w:sz w:val="32"/>
          <w:szCs w:val="32"/>
          <w:u w:val="none"/>
          <w14:textFill>
            <w14:solidFill>
              <w14:schemeClr w14:val="tx1"/>
            </w14:solidFill>
          </w14:textFill>
        </w:rPr>
        <w:t>余个</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引导群众依法理性表达诉求。</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健全完善群众到接访场所集访、缠访闹访、过激上访等处置工作预案，推动信访秩序进一步好转。</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先后对</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重要会议“报到”、敏感时期“宣言”、重大活动“露脸”</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问题的夏某才、王某平、邓某孝进行警示谈话</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促进信访秩序持续好转。</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三是重点人员有效稳控。在全国、省、市、区“两会”以及庆祝建党100周年期间，</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制定</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工作</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方案，建立工作专班，落实稳控责任，24小时掌控动态，实行一日三见面、采取多盯一、一盯一的方式，</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全力</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做好疏导、化解、接访、劝返和稳控工作，千方百计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把重点人员</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稳控在当地。</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联合</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政法、</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公安实行每日会商、每日研判，确保信息灵通。今年在重大活动、重要时段、重要节点，均实现了“三零目标”。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（五）积极开展党史学习教育，实现与各项工作有机结合。一是</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党史学习教育</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与</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信访工作</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年度目标任务</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结合起来</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全局干部</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利用业余时间完成指定材料和重要参考材料学习并撰写学习笔记</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和心得体会200余篇，理论学习中心组集体学习研讨14余次，开展</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党史学习教育专题读书班</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10余</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次</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开展主题党日活动</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10余</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次</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。结合“走好网上群众路线为民服务办实事”活动，回访各级领导信箱来信200余件，群众满意率达到96%以上。</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局班子成员坚持每月至少2天到各镇巡回接访，经常性深入分管领域、联系镇带案下访、约访</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30余次</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，帮助群众解决急难</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愁</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问题40余件次</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将</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党史学习教育同</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推进干部纪律作风整顿</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结合起来，</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全局干部查找纪律作风整顿问题63项，制定针对性整改措施87条，截止11月底已经全部整改完毕并销号。三是扎实</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开展巩固脱贫攻坚“回头看”，</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局内</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全体帮扶责任人走访慰问结对帮扶脱贫户54户，</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领导班子深入</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种植养殖</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大户了解情况，驻村工作队</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常态</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性入户调查，确</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保</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能够及时解决村民所需所求。</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四是结合工作实际，全面加强综治维稳、依法治区、扫黑除恶、禁毒防邪、防范电信诈骗、网格等建设，开展信访领域涉“黑恶邪毒”排查3次。进一步增强了干部群众的法治素养和安全防范意识，为推动新时期信访工作提供有力法治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pPr>
    </w:p>
    <w:p>
      <w:pPr>
        <w:pStyle w:val="3"/>
        <w:pageBreakBefore w:val="0"/>
        <w:numPr>
          <w:ilvl w:val="0"/>
          <w:numId w:val="1"/>
        </w:numPr>
        <w:kinsoku/>
        <w:wordWrap/>
        <w:overflowPunct/>
        <w:topLinePunct w:val="0"/>
        <w:bidi w:val="0"/>
        <w:snapToGrid/>
        <w:spacing w:line="576" w:lineRule="exact"/>
        <w:ind w:left="0" w:leftChars="0" w:right="440" w:firstLine="0" w:firstLineChars="0"/>
        <w:jc w:val="center"/>
        <w:textAlignment w:val="auto"/>
        <w:rPr>
          <w:rStyle w:val="28"/>
          <w:rFonts w:hint="eastAsia" w:ascii="黑体" w:hAnsi="黑体" w:eastAsia="黑体"/>
          <w:b w:val="0"/>
          <w:bCs/>
          <w:color w:val="auto"/>
          <w:highlight w:val="none"/>
        </w:rPr>
      </w:pPr>
      <w:bookmarkStart w:id="22" w:name="_Toc15396602"/>
      <w:bookmarkStart w:id="23" w:name="_Toc15377204"/>
      <w:bookmarkStart w:id="24" w:name="_Toc5451"/>
      <w:r>
        <w:rPr>
          <w:rFonts w:hint="eastAsia" w:ascii="黑体" w:hAnsi="黑体" w:eastAsia="黑体"/>
          <w:b w:val="0"/>
          <w:bCs/>
          <w:color w:val="auto"/>
          <w:highlight w:val="none"/>
          <w:lang w:val="en-US" w:eastAsia="zh-CN"/>
        </w:rPr>
        <w:t>2021年度</w:t>
      </w:r>
      <w:r>
        <w:rPr>
          <w:rStyle w:val="28"/>
          <w:rFonts w:hint="eastAsia" w:ascii="黑体" w:hAnsi="黑体" w:eastAsia="黑体"/>
          <w:b w:val="0"/>
          <w:bCs/>
          <w:color w:val="auto"/>
          <w:highlight w:val="none"/>
          <w:lang w:eastAsia="zh-CN"/>
        </w:rPr>
        <w:t>单位</w:t>
      </w:r>
      <w:r>
        <w:rPr>
          <w:rStyle w:val="28"/>
          <w:rFonts w:hint="eastAsia" w:ascii="黑体" w:hAnsi="黑体" w:eastAsia="黑体"/>
          <w:b w:val="0"/>
          <w:bCs/>
          <w:color w:val="auto"/>
          <w:highlight w:val="none"/>
        </w:rPr>
        <w:t>决算情况说明</w:t>
      </w:r>
      <w:bookmarkEnd w:id="22"/>
      <w:bookmarkEnd w:id="23"/>
      <w:bookmarkEnd w:id="24"/>
      <w:bookmarkStart w:id="25" w:name="_Toc15396603"/>
      <w:bookmarkStart w:id="26" w:name="_Toc15377205"/>
    </w:p>
    <w:p>
      <w:pPr>
        <w:pStyle w:val="3"/>
        <w:pageBreakBefore w:val="0"/>
        <w:numPr>
          <w:ilvl w:val="0"/>
          <w:numId w:val="0"/>
        </w:numPr>
        <w:kinsoku/>
        <w:wordWrap/>
        <w:overflowPunct/>
        <w:topLinePunct w:val="0"/>
        <w:bidi w:val="0"/>
        <w:snapToGrid/>
        <w:spacing w:line="576" w:lineRule="exact"/>
        <w:ind w:leftChars="0" w:right="440" w:rightChars="0" w:firstLine="643" w:firstLineChars="200"/>
        <w:jc w:val="both"/>
        <w:textAlignment w:val="auto"/>
        <w:outlineLvl w:val="1"/>
        <w:rPr>
          <w:rStyle w:val="29"/>
          <w:rFonts w:ascii="黑体" w:hAnsi="黑体" w:eastAsia="黑体"/>
          <w:b w:val="0"/>
          <w:bCs/>
          <w:color w:val="auto"/>
          <w:highlight w:val="none"/>
        </w:rPr>
      </w:pPr>
      <w:bookmarkStart w:id="27" w:name="_Toc7221"/>
      <w:r>
        <w:rPr>
          <w:rFonts w:hint="eastAsia" w:ascii="黑体" w:hAnsi="黑体" w:eastAsia="黑体"/>
          <w:color w:val="auto"/>
          <w:sz w:val="32"/>
          <w:szCs w:val="32"/>
          <w:highlight w:val="none"/>
          <w:lang w:val="en-US" w:eastAsia="zh-CN"/>
        </w:rPr>
        <w:t>一、</w:t>
      </w:r>
      <w:r>
        <w:rPr>
          <w:rFonts w:hint="eastAsia" w:ascii="黑体" w:hAnsi="黑体" w:eastAsia="黑体"/>
          <w:color w:val="auto"/>
          <w:sz w:val="32"/>
          <w:szCs w:val="32"/>
          <w:highlight w:val="none"/>
        </w:rPr>
        <w:t>收</w:t>
      </w:r>
      <w:r>
        <w:rPr>
          <w:rStyle w:val="29"/>
          <w:rFonts w:hint="eastAsia" w:ascii="黑体" w:hAnsi="黑体" w:eastAsia="黑体"/>
          <w:b w:val="0"/>
          <w:bCs/>
          <w:color w:val="auto"/>
          <w:highlight w:val="none"/>
        </w:rPr>
        <w:t>入支出决算总体情况说明</w:t>
      </w:r>
      <w:bookmarkEnd w:id="25"/>
      <w:bookmarkEnd w:id="26"/>
      <w:bookmarkEnd w:id="27"/>
    </w:p>
    <w:p>
      <w:pPr>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183.66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1.02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0.05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人员调资变动。</w:t>
      </w:r>
    </w:p>
    <w:p>
      <w:pPr>
        <w:pStyle w:val="15"/>
      </w:pPr>
      <w:r>
        <w:drawing>
          <wp:inline distT="0" distB="0" distL="114300" distR="114300">
            <wp:extent cx="4183380" cy="2227580"/>
            <wp:effectExtent l="4445" t="5080" r="22225" b="15240"/>
            <wp:docPr id="104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pageBreakBefore w:val="0"/>
        <w:numPr>
          <w:ilvl w:val="0"/>
          <w:numId w:val="0"/>
        </w:numPr>
        <w:kinsoku/>
        <w:wordWrap/>
        <w:overflowPunct/>
        <w:topLinePunct w:val="0"/>
        <w:bidi w:val="0"/>
        <w:snapToGrid/>
        <w:spacing w:line="576" w:lineRule="exact"/>
        <w:ind w:left="640" w:leftChars="0"/>
        <w:textAlignment w:val="auto"/>
        <w:outlineLvl w:val="1"/>
        <w:rPr>
          <w:rStyle w:val="29"/>
          <w:rFonts w:ascii="黑体" w:hAnsi="黑体" w:eastAsia="黑体"/>
          <w:b w:val="0"/>
          <w:color w:val="auto"/>
          <w:highlight w:val="none"/>
        </w:rPr>
      </w:pPr>
      <w:bookmarkStart w:id="28" w:name="_Toc15396604"/>
      <w:bookmarkStart w:id="29" w:name="_Toc15377206"/>
      <w:bookmarkStart w:id="30" w:name="_Toc156"/>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8"/>
      <w:bookmarkEnd w:id="29"/>
      <w:bookmarkEnd w:id="30"/>
    </w:p>
    <w:p>
      <w:pPr>
        <w:pageBreakBefore w:val="0"/>
        <w:kinsoku/>
        <w:wordWrap/>
        <w:overflowPunct/>
        <w:topLinePunct w:val="0"/>
        <w:bidi w:val="0"/>
        <w:snapToGrid/>
        <w:spacing w:line="576" w:lineRule="exact"/>
        <w:ind w:firstLine="640" w:firstLineChars="200"/>
        <w:textAlignment w:val="auto"/>
        <w:outlineLvl w:val="1"/>
        <w:rPr>
          <w:rFonts w:hint="eastAsia" w:ascii="仿宋" w:hAnsi="仿宋" w:eastAsia="仿宋"/>
          <w:color w:val="auto"/>
          <w:sz w:val="32"/>
          <w:szCs w:val="32"/>
          <w:highlight w:val="none"/>
          <w:lang w:eastAsia="zh-CN"/>
        </w:rPr>
      </w:pPr>
      <w:bookmarkStart w:id="31" w:name="_Toc2672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183.66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183.66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bookmarkEnd w:id="31"/>
      <w:r>
        <w:rPr>
          <w:rFonts w:hint="eastAsia" w:ascii="仿宋" w:hAnsi="仿宋" w:eastAsia="仿宋"/>
          <w:color w:val="auto"/>
          <w:sz w:val="32"/>
          <w:szCs w:val="32"/>
          <w:highlight w:val="none"/>
          <w:lang w:eastAsia="zh-CN"/>
        </w:rPr>
        <w:t>。</w:t>
      </w:r>
    </w:p>
    <w:p>
      <w:pPr>
        <w:pStyle w:val="2"/>
        <w:jc w:val="center"/>
      </w:pPr>
      <w:r>
        <w:drawing>
          <wp:inline distT="0" distB="0" distL="114300" distR="114300">
            <wp:extent cx="4365625" cy="2172335"/>
            <wp:effectExtent l="5080" t="4445" r="10795" b="13970"/>
            <wp:docPr id="105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7"/>
        <w:pageBreakBefore w:val="0"/>
        <w:numPr>
          <w:ilvl w:val="0"/>
          <w:numId w:val="0"/>
        </w:numPr>
        <w:kinsoku/>
        <w:wordWrap/>
        <w:overflowPunct/>
        <w:topLinePunct w:val="0"/>
        <w:bidi w:val="0"/>
        <w:snapToGrid/>
        <w:spacing w:line="576" w:lineRule="exact"/>
        <w:ind w:firstLine="640" w:firstLineChars="200"/>
        <w:textAlignment w:val="auto"/>
        <w:outlineLvl w:val="1"/>
        <w:rPr>
          <w:rStyle w:val="29"/>
          <w:rFonts w:ascii="黑体" w:hAnsi="黑体" w:eastAsia="黑体"/>
          <w:b w:val="0"/>
          <w:color w:val="auto"/>
          <w:highlight w:val="none"/>
        </w:rPr>
      </w:pPr>
      <w:bookmarkStart w:id="32" w:name="_Toc15377207"/>
      <w:bookmarkStart w:id="33" w:name="_Toc15396605"/>
      <w:bookmarkStart w:id="34" w:name="_Toc12474"/>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32"/>
      <w:bookmarkEnd w:id="33"/>
      <w:bookmarkEnd w:id="34"/>
    </w:p>
    <w:p>
      <w:pPr>
        <w:pageBreakBefore w:val="0"/>
        <w:kinsoku/>
        <w:wordWrap/>
        <w:overflowPunct/>
        <w:topLinePunct w:val="0"/>
        <w:bidi w:val="0"/>
        <w:snapToGrid/>
        <w:spacing w:line="576" w:lineRule="exact"/>
        <w:ind w:firstLine="640" w:firstLineChars="200"/>
        <w:textAlignment w:val="auto"/>
        <w:outlineLvl w:val="1"/>
        <w:rPr>
          <w:rFonts w:hint="eastAsia" w:ascii="仿宋" w:hAnsi="仿宋" w:eastAsia="仿宋"/>
          <w:color w:val="auto"/>
          <w:sz w:val="32"/>
          <w:szCs w:val="32"/>
          <w:highlight w:val="none"/>
          <w:lang w:eastAsia="zh-CN"/>
        </w:rPr>
      </w:pPr>
      <w:bookmarkStart w:id="35" w:name="_Toc2370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183.66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169.02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14.64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7.9</w:t>
      </w:r>
      <w:r>
        <w:rPr>
          <w:rFonts w:ascii="仿宋" w:hAnsi="仿宋" w:eastAsia="仿宋"/>
          <w:color w:val="auto"/>
          <w:sz w:val="32"/>
          <w:szCs w:val="32"/>
          <w:highlight w:val="none"/>
        </w:rPr>
        <w:t>%</w:t>
      </w:r>
      <w:bookmarkEnd w:id="35"/>
      <w:r>
        <w:rPr>
          <w:rFonts w:hint="eastAsia" w:ascii="仿宋" w:hAnsi="仿宋" w:eastAsia="仿宋"/>
          <w:color w:val="auto"/>
          <w:sz w:val="32"/>
          <w:szCs w:val="32"/>
          <w:highlight w:val="none"/>
          <w:lang w:eastAsia="zh-CN"/>
        </w:rPr>
        <w:t>。</w:t>
      </w:r>
    </w:p>
    <w:p>
      <w:pPr>
        <w:pStyle w:val="2"/>
        <w:jc w:val="center"/>
        <w:rPr>
          <w:rFonts w:hint="eastAsia" w:ascii="仿宋" w:hAnsi="仿宋" w:eastAsia="仿宋"/>
          <w:color w:val="auto"/>
          <w:sz w:val="32"/>
          <w:szCs w:val="32"/>
          <w:highlight w:val="none"/>
        </w:rPr>
      </w:pPr>
      <w:r>
        <w:drawing>
          <wp:inline distT="0" distB="0" distL="114300" distR="114300">
            <wp:extent cx="3918585" cy="2100580"/>
            <wp:effectExtent l="5080" t="4445" r="19685" b="9525"/>
            <wp:docPr id="1046"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napToGrid/>
        <w:spacing w:line="576" w:lineRule="exact"/>
        <w:ind w:firstLine="640" w:firstLineChars="200"/>
        <w:textAlignment w:val="auto"/>
        <w:outlineLvl w:val="1"/>
        <w:rPr>
          <w:rFonts w:hint="eastAsia" w:ascii="黑体" w:hAnsi="黑体" w:eastAsia="黑体"/>
          <w:color w:val="auto"/>
          <w:sz w:val="32"/>
          <w:szCs w:val="32"/>
          <w:highlight w:val="none"/>
        </w:rPr>
      </w:pPr>
      <w:bookmarkStart w:id="36" w:name="_Toc32390"/>
      <w:bookmarkStart w:id="37" w:name="_Toc15396606"/>
      <w:bookmarkStart w:id="38" w:name="_Toc15377208"/>
    </w:p>
    <w:p>
      <w:pPr>
        <w:pageBreakBefore w:val="0"/>
        <w:kinsoku/>
        <w:wordWrap/>
        <w:overflowPunct/>
        <w:topLinePunct w:val="0"/>
        <w:bidi w:val="0"/>
        <w:snapToGrid/>
        <w:spacing w:line="576" w:lineRule="exact"/>
        <w:ind w:firstLine="640" w:firstLineChars="200"/>
        <w:textAlignment w:val="auto"/>
        <w:outlineLvl w:val="1"/>
        <w:rPr>
          <w:rStyle w:val="29"/>
          <w:rFonts w:ascii="黑体" w:hAnsi="黑体" w:eastAsia="黑体"/>
          <w:b w:val="0"/>
          <w:color w:val="auto"/>
          <w:highlight w:val="none"/>
        </w:rPr>
      </w:pPr>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36"/>
      <w:bookmarkEnd w:id="37"/>
      <w:bookmarkEnd w:id="38"/>
    </w:p>
    <w:p>
      <w:pPr>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183.66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1.02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0.05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bookmarkStart w:id="104" w:name="_GoBack"/>
      <w:bookmarkEnd w:id="104"/>
      <w:r>
        <w:rPr>
          <w:rFonts w:hint="eastAsia" w:ascii="仿宋" w:hAnsi="仿宋" w:eastAsia="仿宋"/>
          <w:color w:val="auto"/>
          <w:sz w:val="32"/>
          <w:szCs w:val="32"/>
          <w:highlight w:val="none"/>
          <w:lang w:val="en-US" w:eastAsia="zh-CN"/>
        </w:rPr>
        <w:t>人员调资变动。</w:t>
      </w:r>
    </w:p>
    <w:p>
      <w:pPr>
        <w:pStyle w:val="2"/>
        <w:jc w:val="center"/>
      </w:pPr>
      <w:r>
        <w:drawing>
          <wp:inline distT="0" distB="0" distL="114300" distR="114300">
            <wp:extent cx="4253230" cy="1933575"/>
            <wp:effectExtent l="4445" t="4445" r="9525" b="5080"/>
            <wp:docPr id="1047"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napToGrid/>
        <w:spacing w:line="576" w:lineRule="exact"/>
        <w:ind w:firstLine="640" w:firstLineChars="200"/>
        <w:textAlignment w:val="auto"/>
        <w:outlineLvl w:val="1"/>
        <w:rPr>
          <w:rStyle w:val="29"/>
          <w:rFonts w:ascii="黑体" w:hAnsi="黑体" w:eastAsia="黑体"/>
          <w:b w:val="0"/>
          <w:color w:val="auto"/>
          <w:highlight w:val="none"/>
        </w:rPr>
      </w:pPr>
      <w:bookmarkStart w:id="39" w:name="_Toc15396607"/>
      <w:bookmarkStart w:id="40" w:name="_Toc15377209"/>
      <w:bookmarkStart w:id="41" w:name="_Toc19330"/>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9"/>
      <w:bookmarkEnd w:id="40"/>
      <w:bookmarkEnd w:id="41"/>
    </w:p>
    <w:p>
      <w:pPr>
        <w:pageBreakBefore w:val="0"/>
        <w:kinsoku/>
        <w:wordWrap/>
        <w:overflowPunct/>
        <w:topLinePunct w:val="0"/>
        <w:bidi w:val="0"/>
        <w:snapToGrid/>
        <w:spacing w:line="576" w:lineRule="exact"/>
        <w:ind w:firstLine="643" w:firstLineChars="200"/>
        <w:textAlignment w:val="auto"/>
        <w:outlineLvl w:val="2"/>
        <w:rPr>
          <w:rFonts w:ascii="仿宋" w:hAnsi="仿宋" w:eastAsia="仿宋"/>
          <w:b/>
          <w:color w:val="auto"/>
          <w:sz w:val="32"/>
          <w:szCs w:val="32"/>
          <w:highlight w:val="none"/>
        </w:rPr>
      </w:pPr>
      <w:bookmarkStart w:id="42" w:name="_Toc15377210"/>
      <w:r>
        <w:rPr>
          <w:rFonts w:hint="eastAsia" w:ascii="仿宋" w:hAnsi="仿宋" w:eastAsia="仿宋"/>
          <w:b/>
          <w:color w:val="auto"/>
          <w:sz w:val="32"/>
          <w:szCs w:val="32"/>
          <w:highlight w:val="none"/>
        </w:rPr>
        <w:t>（一）一般公共预算财政拨款支出决算总体情况</w:t>
      </w:r>
      <w:bookmarkEnd w:id="42"/>
    </w:p>
    <w:p>
      <w:pPr>
        <w:pageBreakBefore w:val="0"/>
        <w:kinsoku/>
        <w:wordWrap/>
        <w:overflowPunct/>
        <w:topLinePunct w:val="0"/>
        <w:bidi w:val="0"/>
        <w:snapToGrid/>
        <w:spacing w:line="576" w:lineRule="exact"/>
        <w:ind w:firstLine="640" w:firstLineChars="200"/>
        <w:textAlignment w:val="auto"/>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183.66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1.02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0.05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人员调资变动。</w:t>
      </w:r>
    </w:p>
    <w:p>
      <w:pPr>
        <w:pStyle w:val="2"/>
        <w:rPr>
          <w:rFonts w:hint="eastAsia" w:ascii="仿宋" w:hAnsi="仿宋" w:eastAsia="仿宋"/>
          <w:color w:val="auto"/>
          <w:sz w:val="32"/>
          <w:szCs w:val="32"/>
          <w:highlight w:val="none"/>
        </w:rPr>
      </w:pPr>
    </w:p>
    <w:p>
      <w:pPr>
        <w:pStyle w:val="2"/>
        <w:jc w:val="center"/>
        <w:rPr>
          <w:rFonts w:hint="eastAsia" w:ascii="仿宋" w:hAnsi="仿宋" w:eastAsia="仿宋"/>
          <w:color w:val="auto"/>
          <w:sz w:val="32"/>
          <w:szCs w:val="32"/>
          <w:highlight w:val="none"/>
        </w:rPr>
      </w:pPr>
      <w:r>
        <w:drawing>
          <wp:inline distT="0" distB="0" distL="114300" distR="114300">
            <wp:extent cx="3968750" cy="1663700"/>
            <wp:effectExtent l="4445" t="4445" r="8255" b="8255"/>
            <wp:docPr id="1048"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napToGrid/>
        <w:spacing w:line="576" w:lineRule="exact"/>
        <w:ind w:firstLine="643" w:firstLineChars="200"/>
        <w:textAlignment w:val="auto"/>
        <w:outlineLvl w:val="2"/>
        <w:rPr>
          <w:rFonts w:ascii="仿宋" w:hAnsi="仿宋" w:eastAsia="仿宋"/>
          <w:b/>
          <w:color w:val="auto"/>
          <w:sz w:val="32"/>
          <w:szCs w:val="32"/>
          <w:highlight w:val="none"/>
        </w:rPr>
      </w:pPr>
      <w:bookmarkStart w:id="43" w:name="_Toc15377211"/>
      <w:r>
        <w:rPr>
          <w:rFonts w:hint="eastAsia" w:ascii="仿宋" w:hAnsi="仿宋" w:eastAsia="仿宋"/>
          <w:b/>
          <w:color w:val="auto"/>
          <w:sz w:val="32"/>
          <w:szCs w:val="32"/>
          <w:highlight w:val="none"/>
        </w:rPr>
        <w:t>（二）一般公共预算财政拨款支出决算结构情况</w:t>
      </w:r>
      <w:bookmarkEnd w:id="43"/>
    </w:p>
    <w:p>
      <w:pPr>
        <w:pageBreakBefore w:val="0"/>
        <w:kinsoku/>
        <w:wordWrap/>
        <w:overflowPunct/>
        <w:topLinePunct w:val="0"/>
        <w:bidi w:val="0"/>
        <w:snapToGrid/>
        <w:spacing w:line="576" w:lineRule="exact"/>
        <w:ind w:firstLine="64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183.66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157.46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10.78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color w:val="auto"/>
          <w:sz w:val="32"/>
          <w:szCs w:val="32"/>
          <w:highlight w:val="none"/>
        </w:rPr>
        <w:t>（类）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5.68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9.74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hint="eastAsia" w:ascii="仿宋" w:hAnsi="仿宋" w:eastAsia="仿宋"/>
          <w:color w:val="auto"/>
          <w:sz w:val="32"/>
          <w:szCs w:val="32"/>
          <w:highlight w:val="none"/>
        </w:rPr>
      </w:pPr>
    </w:p>
    <w:p>
      <w:pPr>
        <w:pStyle w:val="2"/>
        <w:jc w:val="center"/>
        <w:rPr>
          <w:rFonts w:hint="eastAsia" w:ascii="仿宋" w:hAnsi="仿宋" w:eastAsia="仿宋"/>
          <w:color w:val="auto"/>
          <w:sz w:val="32"/>
          <w:szCs w:val="32"/>
          <w:highlight w:val="none"/>
        </w:rPr>
      </w:pPr>
      <w:r>
        <w:drawing>
          <wp:inline distT="0" distB="0" distL="114300" distR="114300">
            <wp:extent cx="4573270" cy="2743200"/>
            <wp:effectExtent l="4445" t="4445" r="13335" b="14605"/>
            <wp:docPr id="1049"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napToGrid/>
        <w:spacing w:line="576" w:lineRule="exact"/>
        <w:ind w:firstLine="643" w:firstLineChars="200"/>
        <w:textAlignment w:val="auto"/>
        <w:outlineLvl w:val="2"/>
        <w:rPr>
          <w:rFonts w:ascii="仿宋" w:hAnsi="仿宋" w:eastAsia="仿宋"/>
          <w:b/>
          <w:color w:val="auto"/>
          <w:sz w:val="32"/>
          <w:szCs w:val="32"/>
          <w:highlight w:val="none"/>
        </w:rPr>
      </w:pPr>
      <w:bookmarkStart w:id="44" w:name="_Toc15377212"/>
      <w:r>
        <w:rPr>
          <w:rFonts w:hint="eastAsia" w:ascii="仿宋" w:hAnsi="仿宋" w:eastAsia="仿宋"/>
          <w:b/>
          <w:color w:val="auto"/>
          <w:sz w:val="32"/>
          <w:szCs w:val="32"/>
          <w:highlight w:val="none"/>
        </w:rPr>
        <w:t>（三）一般公共预算财政拨款支出决算具体情况</w:t>
      </w:r>
      <w:bookmarkEnd w:id="44"/>
    </w:p>
    <w:p>
      <w:pPr>
        <w:pageBreakBefore w:val="0"/>
        <w:kinsoku/>
        <w:wordWrap/>
        <w:overflowPunct/>
        <w:topLinePunct w:val="0"/>
        <w:bidi w:val="0"/>
        <w:snapToGrid/>
        <w:spacing w:line="576" w:lineRule="exact"/>
        <w:ind w:firstLine="643" w:firstLineChars="200"/>
        <w:textAlignment w:val="auto"/>
        <w:outlineLvl w:val="2"/>
        <w:rPr>
          <w:rFonts w:ascii="仿宋" w:hAnsi="仿宋" w:eastAsia="仿宋"/>
          <w:color w:val="auto"/>
          <w:sz w:val="32"/>
          <w:szCs w:val="32"/>
          <w:highlight w:val="none"/>
        </w:rPr>
      </w:pPr>
      <w:bookmarkStart w:id="45" w:name="_Toc15378460"/>
      <w:bookmarkStart w:id="46" w:name="_Toc15377213"/>
      <w:bookmarkStart w:id="47"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183.66</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5"/>
      <w:bookmarkEnd w:id="46"/>
      <w:bookmarkEnd w:id="47"/>
    </w:p>
    <w:p>
      <w:pPr>
        <w:pageBreakBefore w:val="0"/>
        <w:kinsoku/>
        <w:wordWrap/>
        <w:overflowPunct/>
        <w:topLinePunct w:val="0"/>
        <w:bidi w:val="0"/>
        <w:snapToGrid/>
        <w:spacing w:line="576" w:lineRule="exact"/>
        <w:ind w:firstLine="643" w:firstLineChars="200"/>
        <w:textAlignment w:val="auto"/>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000000"/>
          <w:sz w:val="32"/>
          <w:szCs w:val="32"/>
          <w:lang w:val="en-US" w:eastAsia="zh-CN"/>
        </w:rPr>
        <w:t>一</w:t>
      </w:r>
      <w:r>
        <w:rPr>
          <w:rStyle w:val="18"/>
          <w:rFonts w:hint="eastAsia" w:ascii="仿宋_GB2312" w:eastAsia="仿宋_GB2312"/>
          <w:color w:val="000000"/>
          <w:sz w:val="32"/>
          <w:szCs w:val="32"/>
        </w:rPr>
        <w:t>般公共服务</w:t>
      </w:r>
      <w:r>
        <w:rPr>
          <w:rStyle w:val="18"/>
          <w:rFonts w:hint="eastAsia" w:ascii="仿宋_GB2312" w:eastAsia="仿宋_GB2312"/>
          <w:bCs/>
          <w:color w:val="000000"/>
          <w:sz w:val="32"/>
          <w:szCs w:val="32"/>
        </w:rPr>
        <w:t>（类）政府办公厅（室）及相关机构事务（款）行政运行（项）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169.02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pageBreakBefore w:val="0"/>
        <w:kinsoku/>
        <w:wordWrap/>
        <w:overflowPunct/>
        <w:topLinePunct w:val="0"/>
        <w:bidi w:val="0"/>
        <w:snapToGrid/>
        <w:spacing w:line="576" w:lineRule="exact"/>
        <w:ind w:firstLine="643" w:firstLineChars="200"/>
        <w:textAlignment w:val="auto"/>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_GB2312" w:eastAsia="仿宋_GB2312"/>
          <w:color w:val="000000"/>
          <w:sz w:val="32"/>
          <w:szCs w:val="32"/>
        </w:rPr>
        <w:t>社会保障和就业（类）社会保障和就业支出（款）行政事业单位离退休（项）机关事业单位基本养老保险缴费支出:</w:t>
      </w:r>
      <w:r>
        <w:rPr>
          <w:rStyle w:val="18"/>
          <w:rFonts w:hint="eastAsia" w:ascii="仿宋_GB2312" w:eastAsia="仿宋_GB2312"/>
          <w:b w:val="0"/>
          <w:color w:val="000000"/>
          <w:sz w:val="32"/>
          <w:szCs w:val="32"/>
        </w:rPr>
        <w:t xml:space="preserve"> </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10.78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pageBreakBefore w:val="0"/>
        <w:kinsoku/>
        <w:wordWrap/>
        <w:overflowPunct/>
        <w:topLinePunct w:val="0"/>
        <w:bidi w:val="0"/>
        <w:snapToGrid/>
        <w:spacing w:line="576" w:lineRule="exact"/>
        <w:ind w:firstLine="643" w:firstLineChars="200"/>
        <w:textAlignment w:val="auto"/>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_GB2312" w:eastAsia="仿宋_GB2312"/>
          <w:color w:val="000000"/>
          <w:sz w:val="32"/>
          <w:szCs w:val="32"/>
        </w:rPr>
        <w:t>医疗卫生与计划生育（类）医疗卫生与计划生育支出（款）行政事业单位医疗（项）行政单位医疗</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5.68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pPr>
        <w:pStyle w:val="15"/>
        <w:pageBreakBefore w:val="0"/>
        <w:kinsoku/>
        <w:wordWrap/>
        <w:overflowPunct/>
        <w:topLinePunct w:val="0"/>
        <w:bidi w:val="0"/>
        <w:snapToGrid/>
        <w:spacing w:line="576" w:lineRule="exact"/>
        <w:textAlignment w:val="auto"/>
        <w:rPr>
          <w:rFonts w:ascii="仿宋" w:hAnsi="仿宋" w:eastAsia="仿宋"/>
          <w:b/>
          <w:color w:val="auto"/>
          <w:sz w:val="32"/>
          <w:szCs w:val="32"/>
          <w:highlight w:val="none"/>
        </w:rPr>
      </w:pPr>
      <w:r>
        <w:rPr>
          <w:rStyle w:val="18"/>
          <w:rFonts w:hint="eastAsia" w:ascii="仿宋_GB2312" w:eastAsia="仿宋_GB2312"/>
          <w:bCs/>
          <w:color w:val="000000"/>
          <w:sz w:val="32"/>
          <w:szCs w:val="32"/>
          <w:lang w:val="en-US" w:eastAsia="zh-CN"/>
        </w:rPr>
        <w:t>4.</w:t>
      </w:r>
      <w:r>
        <w:rPr>
          <w:rStyle w:val="18"/>
          <w:rFonts w:hint="eastAsia" w:ascii="仿宋_GB2312" w:eastAsia="仿宋_GB2312"/>
          <w:bCs/>
          <w:color w:val="000000"/>
          <w:sz w:val="32"/>
          <w:szCs w:val="32"/>
        </w:rPr>
        <w:t>住房保障支出（类）住房改革支出（款）住房公积金（项）:</w:t>
      </w:r>
      <w:r>
        <w:rPr>
          <w:rFonts w:hint="eastAsia" w:ascii="仿宋_GB2312" w:eastAsia="仿宋_GB2312"/>
          <w:color w:val="000000"/>
          <w:sz w:val="32"/>
          <w:szCs w:val="32"/>
        </w:rPr>
        <w:t>支出决算数为</w:t>
      </w:r>
      <w:r>
        <w:rPr>
          <w:rFonts w:hint="eastAsia" w:ascii="仿宋" w:hAnsi="仿宋" w:eastAsia="仿宋"/>
          <w:color w:val="000000"/>
          <w:sz w:val="32"/>
          <w:szCs w:val="32"/>
          <w:lang w:val="en-US" w:eastAsia="zh-CN"/>
        </w:rPr>
        <w:t>9.74</w:t>
      </w:r>
      <w:r>
        <w:rPr>
          <w:rFonts w:hint="eastAsia" w:ascii="仿宋" w:hAnsi="仿宋" w:eastAsia="仿宋"/>
          <w:color w:val="000000"/>
          <w:sz w:val="32"/>
          <w:szCs w:val="32"/>
        </w:rPr>
        <w:t>万元，</w:t>
      </w:r>
      <w:r>
        <w:rPr>
          <w:rFonts w:hint="eastAsia" w:ascii="仿宋_GB2312" w:eastAsia="仿宋_GB2312"/>
          <w:color w:val="000000"/>
          <w:sz w:val="32"/>
          <w:szCs w:val="32"/>
        </w:rPr>
        <w:t>完成预算100%。</w:t>
      </w:r>
    </w:p>
    <w:p>
      <w:pPr>
        <w:pageBreakBefore w:val="0"/>
        <w:tabs>
          <w:tab w:val="right" w:pos="8306"/>
        </w:tabs>
        <w:kinsoku/>
        <w:wordWrap/>
        <w:overflowPunct/>
        <w:topLinePunct w:val="0"/>
        <w:bidi w:val="0"/>
        <w:snapToGrid/>
        <w:spacing w:line="576" w:lineRule="exact"/>
        <w:ind w:firstLine="640"/>
        <w:textAlignment w:val="auto"/>
        <w:outlineLvl w:val="1"/>
        <w:rPr>
          <w:rStyle w:val="29"/>
          <w:color w:val="auto"/>
          <w:highlight w:val="none"/>
        </w:rPr>
      </w:pPr>
      <w:bookmarkStart w:id="48" w:name="_Toc15396608"/>
      <w:bookmarkStart w:id="49" w:name="_Toc8723"/>
      <w:bookmarkStart w:id="50"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48"/>
      <w:bookmarkEnd w:id="49"/>
      <w:bookmarkEnd w:id="50"/>
      <w:r>
        <w:rPr>
          <w:rStyle w:val="29"/>
          <w:rFonts w:ascii="黑体" w:hAnsi="黑体" w:eastAsia="黑体"/>
          <w:b w:val="0"/>
          <w:color w:val="auto"/>
          <w:highlight w:val="none"/>
        </w:rPr>
        <w:tab/>
      </w:r>
    </w:p>
    <w:p>
      <w:pPr>
        <w:pageBreakBefore w:val="0"/>
        <w:kinsoku/>
        <w:wordWrap/>
        <w:overflowPunct/>
        <w:topLinePunct w:val="0"/>
        <w:bidi w:val="0"/>
        <w:snapToGrid/>
        <w:spacing w:line="576" w:lineRule="exact"/>
        <w:ind w:firstLine="645"/>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169.02</w:t>
      </w:r>
      <w:r>
        <w:rPr>
          <w:rFonts w:hint="eastAsia" w:ascii="仿宋" w:hAnsi="仿宋" w:eastAsia="仿宋"/>
          <w:color w:val="auto"/>
          <w:sz w:val="32"/>
          <w:szCs w:val="32"/>
          <w:highlight w:val="none"/>
        </w:rPr>
        <w:t>万元，其中：</w:t>
      </w:r>
    </w:p>
    <w:p>
      <w:pPr>
        <w:pageBreakBefore w:val="0"/>
        <w:kinsoku/>
        <w:wordWrap/>
        <w:overflowPunct/>
        <w:topLinePunct w:val="0"/>
        <w:bidi w:val="0"/>
        <w:snapToGrid/>
        <w:spacing w:line="576" w:lineRule="exact"/>
        <w:ind w:firstLine="645"/>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115.79</w:t>
      </w:r>
      <w:r>
        <w:rPr>
          <w:rFonts w:hint="eastAsia" w:ascii="仿宋" w:hAnsi="仿宋" w:eastAsia="仿宋"/>
          <w:color w:val="auto"/>
          <w:sz w:val="32"/>
          <w:szCs w:val="32"/>
          <w:highlight w:val="none"/>
        </w:rPr>
        <w:t>万元，主要包括：基本工资、津贴补贴、奖金、绩效工资、机关事业单位基本养老保险缴费、职工基本医疗保险缴费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其他社会保障缴费、住房公积金、生活补助、奖励金支出等。</w:t>
      </w:r>
    </w:p>
    <w:p>
      <w:pPr>
        <w:pageBreakBefore w:val="0"/>
        <w:kinsoku/>
        <w:wordWrap/>
        <w:overflowPunct/>
        <w:topLinePunct w:val="0"/>
        <w:bidi w:val="0"/>
        <w:snapToGrid/>
        <w:spacing w:line="576" w:lineRule="exact"/>
        <w:ind w:firstLine="645"/>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53.23</w:t>
      </w:r>
      <w:r>
        <w:rPr>
          <w:rFonts w:hint="eastAsia" w:ascii="仿宋" w:hAnsi="仿宋" w:eastAsia="仿宋"/>
          <w:color w:val="auto"/>
          <w:sz w:val="32"/>
          <w:szCs w:val="32"/>
          <w:highlight w:val="none"/>
        </w:rPr>
        <w:t>万元，主要包括：办公费、印刷费、邮电费、差旅费、租赁费、公务接待费、工会经费、其他交通费、其他商品和服务支出等。</w:t>
      </w:r>
    </w:p>
    <w:p>
      <w:pPr>
        <w:pageBreakBefore w:val="0"/>
        <w:kinsoku/>
        <w:wordWrap/>
        <w:overflowPunct/>
        <w:topLinePunct w:val="0"/>
        <w:bidi w:val="0"/>
        <w:snapToGrid/>
        <w:spacing w:line="576" w:lineRule="exact"/>
        <w:ind w:firstLine="640"/>
        <w:textAlignment w:val="auto"/>
        <w:outlineLvl w:val="1"/>
        <w:rPr>
          <w:rStyle w:val="29"/>
          <w:rFonts w:ascii="黑体" w:hAnsi="黑体" w:eastAsia="黑体"/>
          <w:b w:val="0"/>
          <w:color w:val="auto"/>
          <w:highlight w:val="none"/>
        </w:rPr>
      </w:pPr>
      <w:bookmarkStart w:id="51" w:name="_Toc15377215"/>
      <w:bookmarkStart w:id="52" w:name="_Toc9414"/>
      <w:bookmarkStart w:id="53" w:name="_Toc15396609"/>
      <w:r>
        <w:rPr>
          <w:rFonts w:hint="eastAsia" w:ascii="黑体" w:eastAsia="黑体"/>
          <w:color w:val="auto"/>
          <w:sz w:val="32"/>
          <w:szCs w:val="32"/>
          <w:highlight w:val="none"/>
        </w:rPr>
        <w:t>七、</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三公”经费财政拨款支出决算情况说明</w:t>
      </w:r>
      <w:bookmarkEnd w:id="51"/>
      <w:bookmarkEnd w:id="52"/>
      <w:bookmarkEnd w:id="53"/>
    </w:p>
    <w:p>
      <w:pPr>
        <w:pageBreakBefore w:val="0"/>
        <w:kinsoku/>
        <w:wordWrap/>
        <w:overflowPunct/>
        <w:topLinePunct w:val="0"/>
        <w:bidi w:val="0"/>
        <w:snapToGrid/>
        <w:spacing w:line="576" w:lineRule="exact"/>
        <w:ind w:firstLine="640"/>
        <w:textAlignment w:val="auto"/>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pageBreakBefore w:val="0"/>
        <w:kinsoku/>
        <w:wordWrap/>
        <w:overflowPunct/>
        <w:topLinePunct w:val="0"/>
        <w:bidi w:val="0"/>
        <w:snapToGrid/>
        <w:spacing w:line="576" w:lineRule="exact"/>
        <w:ind w:firstLine="64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1.84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61.7</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val="en-US" w:eastAsia="zh-CN"/>
        </w:rPr>
        <w:t>严格控制公务接待，减少公务接待</w:t>
      </w:r>
      <w:r>
        <w:rPr>
          <w:rFonts w:hint="eastAsia" w:ascii="仿宋" w:hAnsi="仿宋" w:eastAsia="仿宋"/>
          <w:color w:val="auto"/>
          <w:sz w:val="32"/>
          <w:szCs w:val="32"/>
          <w:highlight w:val="none"/>
        </w:rPr>
        <w:t>。</w:t>
      </w:r>
    </w:p>
    <w:p>
      <w:pPr>
        <w:pageBreakBefore w:val="0"/>
        <w:kinsoku/>
        <w:wordWrap/>
        <w:overflowPunct/>
        <w:topLinePunct w:val="0"/>
        <w:bidi w:val="0"/>
        <w:snapToGrid/>
        <w:spacing w:line="576" w:lineRule="exact"/>
        <w:ind w:firstLine="640"/>
        <w:textAlignment w:val="auto"/>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pageBreakBefore w:val="0"/>
        <w:kinsoku/>
        <w:wordWrap/>
        <w:overflowPunct/>
        <w:topLinePunct w:val="0"/>
        <w:bidi w:val="0"/>
        <w:snapToGrid/>
        <w:spacing w:line="576" w:lineRule="exact"/>
        <w:ind w:firstLine="64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61.7</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ascii="仿宋" w:hAnsi="仿宋" w:eastAsia="仿宋"/>
          <w:color w:val="auto"/>
          <w:sz w:val="32"/>
          <w:szCs w:val="32"/>
          <w:highlight w:val="none"/>
        </w:rPr>
      </w:pPr>
    </w:p>
    <w:p>
      <w:pPr>
        <w:pStyle w:val="2"/>
        <w:jc w:val="center"/>
      </w:pPr>
      <w:r>
        <w:drawing>
          <wp:inline distT="0" distB="0" distL="114300" distR="114300">
            <wp:extent cx="4286250" cy="2172335"/>
            <wp:effectExtent l="5080" t="4445" r="13970" b="13970"/>
            <wp:docPr id="1050"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bidi w:val="0"/>
        <w:snapToGrid/>
        <w:spacing w:line="576" w:lineRule="exact"/>
        <w:ind w:firstLine="645"/>
        <w:textAlignment w:val="auto"/>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b w:val="0"/>
          <w:bCs/>
          <w:color w:val="auto"/>
          <w:sz w:val="32"/>
          <w:szCs w:val="32"/>
          <w:highlight w:val="none"/>
          <w:lang w:val="en-US" w:eastAsia="zh-CN"/>
        </w:rPr>
        <w:t>年初未安排预算</w:t>
      </w:r>
      <w:r>
        <w:rPr>
          <w:rStyle w:val="18"/>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textAlignment w:val="auto"/>
        <w:rPr>
          <w:rFonts w:hint="eastAsia" w:ascii="仿宋_GB2312" w:eastAsia="仿宋_GB2312"/>
          <w:b/>
          <w:color w:val="auto"/>
          <w:sz w:val="32"/>
          <w:szCs w:val="32"/>
          <w:highlight w:val="none"/>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b w:val="0"/>
          <w:bCs/>
          <w:color w:val="auto"/>
          <w:sz w:val="32"/>
          <w:szCs w:val="32"/>
          <w:highlight w:val="none"/>
          <w:lang w:val="en-US" w:eastAsia="zh-CN"/>
        </w:rPr>
        <w:t>年初未安排预算</w:t>
      </w:r>
      <w:r>
        <w:rPr>
          <w:rStyle w:val="18"/>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在公务用车制度改革后，不允许单位购买公务用车。因公出差向机关事务局申请公务用车，公务用车有保障。</w:t>
      </w:r>
    </w:p>
    <w:p>
      <w:pPr>
        <w:pageBreakBefore w:val="0"/>
        <w:kinsoku/>
        <w:wordWrap/>
        <w:overflowPunct/>
        <w:topLinePunct w:val="0"/>
        <w:bidi w:val="0"/>
        <w:snapToGrid/>
        <w:spacing w:line="576" w:lineRule="exact"/>
        <w:ind w:firstLine="640"/>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1.84</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61.7</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0.48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20.6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严格控制公务接待，减少公务接待</w:t>
      </w:r>
      <w:r>
        <w:rPr>
          <w:rFonts w:hint="eastAsia" w:ascii="仿宋" w:hAnsi="仿宋" w:eastAsia="仿宋"/>
          <w:color w:val="auto"/>
          <w:sz w:val="32"/>
          <w:szCs w:val="32"/>
          <w:highlight w:val="none"/>
        </w:rPr>
        <w:t>。</w:t>
      </w:r>
      <w:r>
        <w:rPr>
          <w:rFonts w:hint="eastAsia" w:ascii="仿宋_GB2312" w:eastAsia="仿宋_GB2312"/>
          <w:color w:val="auto"/>
          <w:sz w:val="32"/>
          <w:szCs w:val="32"/>
          <w:highlight w:val="none"/>
        </w:rPr>
        <w:t>其中：</w:t>
      </w:r>
    </w:p>
    <w:p>
      <w:pPr>
        <w:pageBreakBefore w:val="0"/>
        <w:numPr>
          <w:ilvl w:val="0"/>
          <w:numId w:val="0"/>
        </w:numPr>
        <w:kinsoku/>
        <w:wordWrap/>
        <w:overflowPunct/>
        <w:topLinePunct w:val="0"/>
        <w:bidi w:val="0"/>
        <w:snapToGrid/>
        <w:spacing w:line="576" w:lineRule="exact"/>
        <w:ind w:firstLine="643" w:firstLineChars="200"/>
        <w:textAlignment w:val="auto"/>
        <w:rPr>
          <w:rFonts w:ascii="仿宋_GB2312" w:eastAsia="仿宋_GB2312"/>
          <w:color w:val="000000"/>
          <w:sz w:val="32"/>
          <w:szCs w:val="32"/>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1.84</w:t>
      </w:r>
      <w:r>
        <w:rPr>
          <w:rFonts w:hint="eastAsia" w:ascii="仿宋_GB2312" w:eastAsia="仿宋_GB2312"/>
          <w:color w:val="auto"/>
          <w:sz w:val="32"/>
          <w:szCs w:val="32"/>
          <w:highlight w:val="none"/>
        </w:rPr>
        <w:t>万元，主要用于执行公务</w:t>
      </w:r>
      <w:r>
        <w:rPr>
          <w:rFonts w:hint="eastAsia" w:ascii="仿宋_GB2312" w:eastAsia="仿宋_GB2312"/>
          <w:color w:val="auto"/>
          <w:sz w:val="32"/>
          <w:szCs w:val="32"/>
          <w:highlight w:val="none"/>
          <w:lang w:val="en-US" w:eastAsia="zh-CN"/>
        </w:rPr>
        <w:t>开支</w:t>
      </w:r>
      <w:r>
        <w:rPr>
          <w:rFonts w:hint="eastAsia" w:ascii="仿宋_GB2312" w:eastAsia="仿宋_GB2312"/>
          <w:color w:val="auto"/>
          <w:sz w:val="32"/>
          <w:szCs w:val="32"/>
          <w:highlight w:val="none"/>
        </w:rPr>
        <w:t>用餐费。国内公务接待</w:t>
      </w:r>
      <w:r>
        <w:rPr>
          <w:rFonts w:hint="eastAsia" w:ascii="仿宋_GB2312" w:eastAsia="仿宋_GB2312"/>
          <w:color w:val="auto"/>
          <w:sz w:val="32"/>
          <w:szCs w:val="32"/>
          <w:highlight w:val="none"/>
          <w:lang w:val="en-US" w:eastAsia="zh-CN"/>
        </w:rPr>
        <w:t>52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260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1.84</w:t>
      </w:r>
      <w:r>
        <w:rPr>
          <w:rFonts w:hint="eastAsia" w:ascii="仿宋_GB2312" w:eastAsia="仿宋_GB2312"/>
          <w:color w:val="auto"/>
          <w:sz w:val="32"/>
          <w:szCs w:val="32"/>
          <w:highlight w:val="none"/>
        </w:rPr>
        <w:t>万元，</w:t>
      </w:r>
      <w:r>
        <w:rPr>
          <w:rFonts w:hint="eastAsia" w:ascii="仿宋_GB2312" w:eastAsia="仿宋_GB2312"/>
          <w:color w:val="333333"/>
          <w:sz w:val="32"/>
          <w:szCs w:val="32"/>
        </w:rPr>
        <w:t>主要是</w:t>
      </w:r>
      <w:r>
        <w:rPr>
          <w:rFonts w:hint="eastAsia" w:ascii="仿宋_GB2312" w:eastAsia="仿宋_GB2312"/>
          <w:color w:val="000000"/>
          <w:sz w:val="32"/>
          <w:szCs w:val="32"/>
        </w:rPr>
        <w:t>用于执行公务、开展业务活动等公务用餐开支</w:t>
      </w:r>
      <w:r>
        <w:rPr>
          <w:rFonts w:hint="eastAsia" w:ascii="仿宋_GB2312" w:eastAsia="仿宋_GB2312"/>
          <w:color w:val="000000"/>
          <w:sz w:val="32"/>
          <w:szCs w:val="32"/>
          <w:lang w:val="en-US" w:eastAsia="zh-CN"/>
        </w:rPr>
        <w:t>1.84万元</w:t>
      </w:r>
      <w:r>
        <w:rPr>
          <w:rFonts w:hint="eastAsia" w:ascii="仿宋_GB2312" w:eastAsia="仿宋_GB2312"/>
          <w:color w:val="000000"/>
          <w:sz w:val="32"/>
          <w:szCs w:val="32"/>
        </w:rPr>
        <w:t>。</w:t>
      </w:r>
    </w:p>
    <w:p>
      <w:pPr>
        <w:pageBreakBefore w:val="0"/>
        <w:kinsoku/>
        <w:wordWrap/>
        <w:overflowPunct/>
        <w:topLinePunct w:val="0"/>
        <w:bidi w:val="0"/>
        <w:snapToGrid/>
        <w:spacing w:line="576" w:lineRule="exact"/>
        <w:ind w:firstLine="645"/>
        <w:textAlignment w:val="auto"/>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6" w:name="_Toc15377218"/>
      <w:bookmarkStart w:id="57" w:name="_Toc15396610"/>
    </w:p>
    <w:p>
      <w:pPr>
        <w:pageBreakBefore w:val="0"/>
        <w:kinsoku/>
        <w:wordWrap/>
        <w:overflowPunct/>
        <w:topLinePunct w:val="0"/>
        <w:bidi w:val="0"/>
        <w:snapToGrid/>
        <w:spacing w:line="576" w:lineRule="exact"/>
        <w:ind w:firstLine="640"/>
        <w:textAlignment w:val="auto"/>
        <w:outlineLvl w:val="1"/>
        <w:rPr>
          <w:rStyle w:val="29"/>
          <w:rFonts w:ascii="黑体" w:hAnsi="黑体" w:eastAsia="黑体"/>
          <w:color w:val="auto"/>
          <w:highlight w:val="none"/>
        </w:rPr>
      </w:pPr>
      <w:bookmarkStart w:id="58" w:name="_Toc3241"/>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56"/>
      <w:bookmarkEnd w:id="57"/>
      <w:bookmarkEnd w:id="58"/>
    </w:p>
    <w:p>
      <w:pPr>
        <w:pageBreakBefore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3"/>
        </w:numPr>
        <w:kinsoku/>
        <w:wordWrap/>
        <w:overflowPunct/>
        <w:topLinePunct w:val="0"/>
        <w:bidi w:val="0"/>
        <w:snapToGrid/>
        <w:spacing w:line="576" w:lineRule="exact"/>
        <w:ind w:firstLine="640"/>
        <w:textAlignment w:val="auto"/>
        <w:outlineLvl w:val="1"/>
        <w:rPr>
          <w:rStyle w:val="29"/>
          <w:rFonts w:ascii="黑体" w:hAnsi="黑体" w:eastAsia="黑体"/>
          <w:b w:val="0"/>
          <w:color w:val="auto"/>
          <w:highlight w:val="none"/>
        </w:rPr>
      </w:pPr>
      <w:bookmarkStart w:id="59" w:name="_Toc15396611"/>
      <w:bookmarkStart w:id="60" w:name="_Toc15377219"/>
      <w:bookmarkStart w:id="61" w:name="_Toc15231"/>
      <w:r>
        <w:rPr>
          <w:rStyle w:val="29"/>
          <w:rFonts w:hint="eastAsia" w:ascii="黑体" w:hAnsi="黑体" w:eastAsia="黑体"/>
          <w:b w:val="0"/>
          <w:color w:val="auto"/>
          <w:highlight w:val="none"/>
        </w:rPr>
        <w:t>国有资本经营预算支出决算情况说明</w:t>
      </w:r>
      <w:bookmarkEnd w:id="59"/>
      <w:bookmarkEnd w:id="60"/>
      <w:bookmarkEnd w:id="61"/>
    </w:p>
    <w:p>
      <w:pPr>
        <w:pageBreakBefore w:val="0"/>
        <w:kinsoku/>
        <w:wordWrap/>
        <w:overflowPunct/>
        <w:topLinePunct w:val="0"/>
        <w:bidi w:val="0"/>
        <w:snapToGrid/>
        <w:spacing w:line="576" w:lineRule="exact"/>
        <w:ind w:firstLine="640"/>
        <w:textAlignment w:val="auto"/>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numPr>
          <w:ilvl w:val="0"/>
          <w:numId w:val="3"/>
        </w:numPr>
        <w:kinsoku/>
        <w:wordWrap/>
        <w:overflowPunct/>
        <w:topLinePunct w:val="0"/>
        <w:bidi w:val="0"/>
        <w:snapToGrid/>
        <w:spacing w:line="576" w:lineRule="exact"/>
        <w:ind w:firstLine="640"/>
        <w:textAlignment w:val="auto"/>
        <w:outlineLvl w:val="1"/>
        <w:rPr>
          <w:rStyle w:val="29"/>
          <w:rFonts w:hint="eastAsia" w:ascii="黑体" w:hAnsi="黑体" w:eastAsia="黑体"/>
          <w:b w:val="0"/>
          <w:color w:val="auto"/>
          <w:highlight w:val="none"/>
        </w:rPr>
      </w:pPr>
      <w:bookmarkStart w:id="62" w:name="_Toc6189"/>
      <w:bookmarkStart w:id="63" w:name="_Toc15396612"/>
      <w:bookmarkStart w:id="64" w:name="_Toc15377221"/>
      <w:r>
        <w:rPr>
          <w:rStyle w:val="29"/>
          <w:rFonts w:hint="eastAsia" w:ascii="黑体" w:hAnsi="黑体" w:eastAsia="黑体"/>
          <w:b w:val="0"/>
          <w:color w:val="auto"/>
          <w:highlight w:val="none"/>
          <w:lang w:val="en-US" w:eastAsia="zh-CN"/>
        </w:rPr>
        <w:t>预算绩效管理情况</w:t>
      </w:r>
      <w:bookmarkEnd w:id="62"/>
    </w:p>
    <w:p>
      <w:pPr>
        <w:pageBreakBefore w:val="0"/>
        <w:kinsoku/>
        <w:wordWrap/>
        <w:overflowPunct/>
        <w:topLinePunct w:val="0"/>
        <w:bidi w:val="0"/>
        <w:snapToGrid/>
        <w:spacing w:line="576" w:lineRule="exact"/>
        <w:ind w:firstLine="640" w:firstLineChars="200"/>
        <w:textAlignment w:val="auto"/>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远程视频接访系统</w:t>
      </w:r>
      <w:r>
        <w:rPr>
          <w:rFonts w:hint="eastAsia" w:ascii="仿宋_GB2312" w:hAnsi="仿宋_GB2312" w:eastAsia="仿宋_GB2312" w:cs="仿宋_GB2312"/>
          <w:color w:val="auto"/>
          <w:sz w:val="32"/>
          <w:szCs w:val="32"/>
          <w:highlight w:val="none"/>
        </w:rPr>
        <w:t>项目开展了预算事前绩效评估，对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pageBreakBefore w:val="0"/>
        <w:numPr>
          <w:ilvl w:val="0"/>
          <w:numId w:val="3"/>
        </w:numPr>
        <w:kinsoku/>
        <w:wordWrap/>
        <w:overflowPunct/>
        <w:topLinePunct w:val="0"/>
        <w:bidi w:val="0"/>
        <w:snapToGrid/>
        <w:spacing w:line="576" w:lineRule="exact"/>
        <w:ind w:firstLine="640"/>
        <w:textAlignment w:val="auto"/>
        <w:outlineLvl w:val="1"/>
        <w:rPr>
          <w:rStyle w:val="29"/>
          <w:rFonts w:hint="eastAsia" w:ascii="黑体" w:hAnsi="黑体" w:eastAsia="黑体"/>
          <w:b w:val="0"/>
          <w:color w:val="auto"/>
          <w:highlight w:val="none"/>
        </w:rPr>
      </w:pPr>
      <w:bookmarkStart w:id="65" w:name="_Toc12415"/>
      <w:r>
        <w:rPr>
          <w:rStyle w:val="29"/>
          <w:rFonts w:hint="eastAsia" w:ascii="黑体" w:hAnsi="黑体" w:eastAsia="黑体"/>
          <w:b w:val="0"/>
          <w:color w:val="auto"/>
          <w:highlight w:val="none"/>
        </w:rPr>
        <w:t>其他重要事项的情况说明</w:t>
      </w:r>
      <w:bookmarkEnd w:id="63"/>
      <w:bookmarkEnd w:id="64"/>
      <w:bookmarkEnd w:id="65"/>
    </w:p>
    <w:p>
      <w:pPr>
        <w:pageBreakBefore w:val="0"/>
        <w:kinsoku/>
        <w:wordWrap/>
        <w:overflowPunct/>
        <w:topLinePunct w:val="0"/>
        <w:bidi w:val="0"/>
        <w:snapToGrid/>
        <w:spacing w:line="576" w:lineRule="exact"/>
        <w:ind w:firstLine="643" w:firstLineChars="200"/>
        <w:textAlignment w:val="auto"/>
        <w:outlineLvl w:val="2"/>
        <w:rPr>
          <w:rFonts w:ascii="仿宋" w:hAnsi="仿宋" w:eastAsia="仿宋"/>
          <w:color w:val="auto"/>
          <w:sz w:val="32"/>
          <w:szCs w:val="32"/>
          <w:highlight w:val="none"/>
        </w:rPr>
      </w:pPr>
      <w:bookmarkStart w:id="66" w:name="_Toc15377222"/>
      <w:r>
        <w:rPr>
          <w:rFonts w:hint="eastAsia" w:ascii="仿宋" w:hAnsi="仿宋" w:eastAsia="仿宋"/>
          <w:b/>
          <w:color w:val="auto"/>
          <w:sz w:val="32"/>
          <w:szCs w:val="32"/>
          <w:highlight w:val="none"/>
        </w:rPr>
        <w:t>（一）机关运行经费支出情况</w:t>
      </w:r>
      <w:bookmarkEnd w:id="66"/>
    </w:p>
    <w:p>
      <w:pPr>
        <w:pageBreakBefore w:val="0"/>
        <w:kinsoku/>
        <w:wordWrap/>
        <w:overflowPunct/>
        <w:topLinePunct w:val="0"/>
        <w:bidi w:val="0"/>
        <w:snapToGrid/>
        <w:spacing w:line="576" w:lineRule="exact"/>
        <w:ind w:firstLine="640" w:firstLineChars="200"/>
        <w:textAlignment w:val="auto"/>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区群工局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53.23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9.91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18.6</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严格控制预算，节约开支。</w:t>
      </w:r>
    </w:p>
    <w:p>
      <w:pPr>
        <w:pageBreakBefore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ascii="仿宋" w:hAnsi="仿宋" w:eastAsia="仿宋"/>
          <w:b/>
          <w:color w:val="auto"/>
          <w:sz w:val="32"/>
          <w:szCs w:val="32"/>
          <w:highlight w:val="none"/>
        </w:rPr>
      </w:pPr>
      <w:bookmarkStart w:id="67" w:name="_Toc15377223"/>
      <w:r>
        <w:rPr>
          <w:rFonts w:hint="eastAsia" w:ascii="仿宋" w:hAnsi="仿宋" w:eastAsia="仿宋"/>
          <w:b/>
          <w:color w:val="auto"/>
          <w:sz w:val="32"/>
          <w:szCs w:val="32"/>
          <w:highlight w:val="none"/>
        </w:rPr>
        <w:t>（二）政府采购支出情况</w:t>
      </w:r>
      <w:bookmarkEnd w:id="67"/>
    </w:p>
    <w:p>
      <w:pPr>
        <w:pageBreakBefore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区群工局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pageBreakBefore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hint="eastAsia" w:ascii="仿宋" w:hAnsi="仿宋" w:eastAsia="仿宋"/>
          <w:b/>
          <w:color w:val="auto"/>
          <w:sz w:val="32"/>
          <w:szCs w:val="32"/>
          <w:highlight w:val="none"/>
        </w:rPr>
      </w:pPr>
      <w:bookmarkStart w:id="68" w:name="_Toc15377224"/>
    </w:p>
    <w:p>
      <w:pPr>
        <w:pageBreakBefore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68"/>
    </w:p>
    <w:p>
      <w:pPr>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区群工局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辆其他用车主要是用于单价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6"/>
        <w:pageBreakBefore w:val="0"/>
        <w:kinsoku/>
        <w:wordWrap/>
        <w:overflowPunct/>
        <w:topLinePunct w:val="0"/>
        <w:bidi w:val="0"/>
        <w:snapToGrid/>
        <w:spacing w:line="576" w:lineRule="exact"/>
        <w:textAlignment w:val="auto"/>
        <w:rPr>
          <w:highlight w:val="yellow"/>
        </w:rPr>
      </w:pPr>
    </w:p>
    <w:p>
      <w:pPr>
        <w:pageBreakBefore w:val="0"/>
        <w:widowControl/>
        <w:kinsoku/>
        <w:wordWrap/>
        <w:overflowPunct/>
        <w:topLinePunct w:val="0"/>
        <w:bidi w:val="0"/>
        <w:snapToGrid/>
        <w:spacing w:line="576" w:lineRule="exact"/>
        <w:jc w:val="left"/>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ageBreakBefore w:val="0"/>
        <w:numPr>
          <w:ilvl w:val="0"/>
          <w:numId w:val="4"/>
        </w:numPr>
        <w:kinsoku/>
        <w:wordWrap/>
        <w:overflowPunct/>
        <w:topLinePunct w:val="0"/>
        <w:bidi w:val="0"/>
        <w:snapToGrid/>
        <w:spacing w:line="576" w:lineRule="exact"/>
        <w:ind w:firstLine="660" w:firstLineChars="150"/>
        <w:jc w:val="center"/>
        <w:textAlignment w:val="auto"/>
        <w:outlineLvl w:val="0"/>
        <w:rPr>
          <w:rStyle w:val="28"/>
          <w:rFonts w:ascii="黑体" w:hAnsi="黑体" w:eastAsia="黑体"/>
          <w:b w:val="0"/>
          <w:color w:val="auto"/>
          <w:highlight w:val="none"/>
        </w:rPr>
      </w:pPr>
      <w:bookmarkStart w:id="69" w:name="_Toc15396613"/>
      <w:bookmarkStart w:id="70" w:name="_Toc15377225"/>
      <w:bookmarkStart w:id="71" w:name="_Toc24231"/>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69"/>
      <w:bookmarkEnd w:id="70"/>
      <w:bookmarkEnd w:id="71"/>
    </w:p>
    <w:p>
      <w:pPr>
        <w:keepNext w:val="0"/>
        <w:keepLines w:val="0"/>
        <w:pageBreakBefore w:val="0"/>
        <w:widowControl w:val="0"/>
        <w:kinsoku/>
        <w:wordWrap/>
        <w:overflowPunct/>
        <w:topLinePunct w:val="0"/>
        <w:bidi w:val="0"/>
        <w:snapToGrid/>
        <w:spacing w:line="576" w:lineRule="exact"/>
        <w:jc w:val="both"/>
        <w:textAlignment w:val="auto"/>
        <w:rPr>
          <w:rFonts w:ascii="宋体"/>
          <w:b/>
          <w:color w:val="auto"/>
          <w:sz w:val="44"/>
          <w:szCs w:val="44"/>
          <w:highlight w:val="none"/>
        </w:rPr>
      </w:pPr>
    </w:p>
    <w:p>
      <w:pPr>
        <w:pStyle w:val="26"/>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outlineLvl w:val="2"/>
        <w:rPr>
          <w:rStyle w:val="18"/>
          <w:rFonts w:ascii="仿宋_GB2312" w:hAnsi="仿宋_GB2312" w:eastAsia="仿宋" w:cs="仿宋_GB2312"/>
          <w:b w:val="0"/>
          <w:bCs/>
          <w:sz w:val="32"/>
          <w:szCs w:val="32"/>
          <w:highlight w:val="yellow"/>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Style w:val="18"/>
          <w:rFonts w:hint="eastAsia" w:ascii="仿宋_GB2312" w:eastAsia="仿宋_GB2312"/>
          <w:b w:val="0"/>
          <w:bCs/>
          <w:color w:val="000000"/>
          <w:sz w:val="32"/>
          <w:szCs w:val="32"/>
        </w:rPr>
        <w:t>一般公共服务（类）政府办公厅（室）及相关机构事务（款）行政运行（项）</w:t>
      </w:r>
      <w:r>
        <w:rPr>
          <w:rStyle w:val="18"/>
          <w:rFonts w:ascii="仿宋" w:hAnsi="仿宋" w:eastAsia="仿宋"/>
          <w:b w:val="0"/>
          <w:bCs/>
          <w:color w:val="000000"/>
          <w:sz w:val="32"/>
          <w:szCs w:val="32"/>
        </w:rPr>
        <w:t xml:space="preserve">: </w:t>
      </w:r>
      <w:r>
        <w:rPr>
          <w:rStyle w:val="18"/>
          <w:rFonts w:hint="eastAsia" w:ascii="仿宋_GB2312" w:hAnsi="仿宋_GB2312" w:eastAsia="仿宋_GB2312" w:cs="仿宋_GB2312"/>
          <w:b w:val="0"/>
          <w:bCs/>
          <w:color w:val="000000"/>
          <w:sz w:val="32"/>
          <w:szCs w:val="32"/>
        </w:rPr>
        <w:t>指区委</w:t>
      </w:r>
      <w:r>
        <w:rPr>
          <w:rStyle w:val="18"/>
          <w:rFonts w:hint="eastAsia" w:ascii="仿宋_GB2312" w:hAnsi="仿宋_GB2312" w:eastAsia="仿宋_GB2312" w:cs="仿宋_GB2312"/>
          <w:b w:val="0"/>
          <w:bCs/>
          <w:color w:val="000000"/>
          <w:sz w:val="32"/>
          <w:szCs w:val="32"/>
          <w:lang w:val="en-US" w:eastAsia="zh-CN"/>
        </w:rPr>
        <w:t>群工局</w:t>
      </w:r>
      <w:r>
        <w:rPr>
          <w:rStyle w:val="18"/>
          <w:rFonts w:hint="eastAsia" w:ascii="仿宋_GB2312" w:hAnsi="仿宋_GB2312" w:eastAsia="仿宋_GB2312" w:cs="仿宋_GB2312"/>
          <w:b w:val="0"/>
          <w:bCs/>
          <w:color w:val="000000"/>
          <w:sz w:val="32"/>
          <w:szCs w:val="32"/>
        </w:rPr>
        <w:t>的基本支出。</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hAnsi="仿宋_GB2312" w:eastAsia="仿宋_GB2312" w:cs="仿宋_GB2312"/>
          <w:bCs/>
          <w:color w:val="000000"/>
          <w:sz w:val="32"/>
          <w:szCs w:val="32"/>
        </w:rPr>
      </w:pPr>
      <w:r>
        <w:rPr>
          <w:rStyle w:val="18"/>
          <w:rFonts w:hint="eastAsia" w:ascii="仿宋" w:hAnsi="仿宋" w:eastAsia="仿宋"/>
          <w:b w:val="0"/>
          <w:bCs/>
          <w:color w:val="000000"/>
          <w:sz w:val="32"/>
          <w:szCs w:val="32"/>
          <w:lang w:val="en-US" w:eastAsia="zh-CN"/>
        </w:rPr>
        <w:t>3</w:t>
      </w:r>
      <w:r>
        <w:rPr>
          <w:rStyle w:val="18"/>
          <w:rFonts w:ascii="仿宋" w:hAnsi="仿宋" w:eastAsia="仿宋"/>
          <w:b w:val="0"/>
          <w:bCs/>
          <w:color w:val="000000"/>
          <w:sz w:val="32"/>
          <w:szCs w:val="32"/>
        </w:rPr>
        <w:t>.</w:t>
      </w:r>
      <w:r>
        <w:rPr>
          <w:rStyle w:val="18"/>
          <w:rFonts w:hint="eastAsia" w:ascii="仿宋_GB2312" w:eastAsia="仿宋_GB2312"/>
          <w:b w:val="0"/>
          <w:bCs/>
          <w:color w:val="000000"/>
          <w:sz w:val="32"/>
          <w:szCs w:val="32"/>
        </w:rPr>
        <w:t>社会保障和就业（类）行政事业单位养老支出（款） 行政事业单位养老支出（项）：指区委编办为单位职工缴纳基本养老保险缴费支出。</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Style w:val="18"/>
          <w:rFonts w:ascii="仿宋_GB2312" w:hAnsi="仿宋_GB2312" w:eastAsia="仿宋_GB2312" w:cs="仿宋_GB2312"/>
          <w:b w:val="0"/>
          <w:bCs/>
          <w:color w:val="000000"/>
          <w:sz w:val="32"/>
          <w:szCs w:val="32"/>
          <w:highlight w:val="yellow"/>
        </w:rPr>
      </w:pPr>
      <w:r>
        <w:rPr>
          <w:rStyle w:val="18"/>
          <w:rFonts w:hint="eastAsia" w:ascii="仿宋" w:hAnsi="仿宋" w:eastAsia="仿宋"/>
          <w:b w:val="0"/>
          <w:bCs/>
          <w:color w:val="000000"/>
          <w:sz w:val="32"/>
          <w:szCs w:val="32"/>
          <w:lang w:val="en-US" w:eastAsia="zh-CN"/>
        </w:rPr>
        <w:t>4</w:t>
      </w:r>
      <w:r>
        <w:rPr>
          <w:rStyle w:val="18"/>
          <w:rFonts w:ascii="仿宋" w:hAnsi="仿宋" w:eastAsia="仿宋"/>
          <w:b w:val="0"/>
          <w:bCs/>
          <w:color w:val="000000"/>
          <w:sz w:val="32"/>
          <w:szCs w:val="32"/>
        </w:rPr>
        <w:t>.</w:t>
      </w:r>
      <w:r>
        <w:rPr>
          <w:rStyle w:val="18"/>
          <w:rFonts w:hint="eastAsia" w:ascii="仿宋_GB2312" w:eastAsia="仿宋_GB2312"/>
          <w:b w:val="0"/>
          <w:bCs/>
          <w:color w:val="000000"/>
          <w:sz w:val="32"/>
          <w:szCs w:val="32"/>
        </w:rPr>
        <w:t>医疗卫生与计划生育（类）医疗卫生与计划生育支出（款）行政事业单位医疗（项）行政单位医疗：指区委编办为单位职工缴纳的医疗保险支出</w:t>
      </w:r>
      <w:r>
        <w:rPr>
          <w:rStyle w:val="18"/>
          <w:rFonts w:hint="eastAsia" w:ascii="仿宋" w:hAnsi="仿宋" w:eastAsia="仿宋"/>
          <w:b w:val="0"/>
          <w:bCs/>
          <w:color w:val="000000"/>
          <w:sz w:val="32"/>
          <w:szCs w:val="32"/>
        </w:rPr>
        <w:t>。</w:t>
      </w:r>
    </w:p>
    <w:p>
      <w:pPr>
        <w:keepNext w:val="0"/>
        <w:keepLines w:val="0"/>
        <w:pageBreakBefore w:val="0"/>
        <w:widowControl w:val="0"/>
        <w:kinsoku/>
        <w:wordWrap/>
        <w:overflowPunct/>
        <w:topLinePunct w:val="0"/>
        <w:bidi w:val="0"/>
        <w:snapToGrid/>
        <w:spacing w:line="576" w:lineRule="exact"/>
        <w:ind w:firstLine="640"/>
        <w:jc w:val="both"/>
        <w:textAlignment w:val="auto"/>
        <w:rPr>
          <w:rFonts w:ascii="仿宋" w:hAnsi="仿宋" w:eastAsia="仿宋"/>
          <w:b/>
          <w:color w:val="000000"/>
          <w:sz w:val="32"/>
          <w:szCs w:val="32"/>
        </w:rPr>
      </w:pPr>
      <w:r>
        <w:rPr>
          <w:rStyle w:val="18"/>
          <w:rFonts w:hint="eastAsia" w:ascii="仿宋_GB2312" w:eastAsia="仿宋_GB2312"/>
          <w:b w:val="0"/>
          <w:bCs/>
          <w:color w:val="000000"/>
          <w:sz w:val="32"/>
          <w:szCs w:val="32"/>
          <w:lang w:val="en-US" w:eastAsia="zh-CN"/>
        </w:rPr>
        <w:t>5</w:t>
      </w:r>
      <w:r>
        <w:rPr>
          <w:rStyle w:val="18"/>
          <w:rFonts w:hint="eastAsia" w:ascii="仿宋_GB2312" w:eastAsia="仿宋_GB2312"/>
          <w:b w:val="0"/>
          <w:bCs/>
          <w:color w:val="000000"/>
          <w:sz w:val="32"/>
          <w:szCs w:val="32"/>
        </w:rPr>
        <w:t>.住房保障支出（类）住房改革支出（款）住房公积金（项）:指区委编办为单位职工缴纳的住房公积金支出</w:t>
      </w:r>
      <w:r>
        <w:rPr>
          <w:rFonts w:hint="eastAsia" w:ascii="仿宋_GB2312" w:eastAsia="仿宋_GB2312"/>
          <w:bCs/>
          <w:color w:val="000000"/>
          <w:sz w:val="32"/>
          <w:szCs w:val="32"/>
        </w:rPr>
        <w:t>。</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6"/>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auto"/>
          <w:sz w:val="32"/>
          <w:szCs w:val="32"/>
          <w:highlight w:val="none"/>
        </w:rPr>
      </w:pPr>
    </w:p>
    <w:p>
      <w:pPr>
        <w:keepNext w:val="0"/>
        <w:keepLines w:val="0"/>
        <w:pageBreakBefore w:val="0"/>
        <w:widowControl w:val="0"/>
        <w:kinsoku/>
        <w:wordWrap/>
        <w:overflowPunct/>
        <w:topLinePunct w:val="0"/>
        <w:bidi w:val="0"/>
        <w:snapToGrid/>
        <w:spacing w:line="540" w:lineRule="exact"/>
        <w:jc w:val="center"/>
        <w:textAlignment w:val="auto"/>
        <w:outlineLvl w:val="0"/>
        <w:rPr>
          <w:rFonts w:ascii="仿宋_GB2312" w:hAnsi="仿宋_GB2312" w:eastAsia="仿宋_GB2312" w:cs="仿宋_GB2312"/>
          <w:color w:val="auto"/>
          <w:sz w:val="32"/>
          <w:szCs w:val="32"/>
          <w:highlight w:val="none"/>
        </w:rPr>
      </w:pPr>
      <w:bookmarkStart w:id="72" w:name="_Toc15377226"/>
      <w:r>
        <w:rPr>
          <w:rFonts w:ascii="宋体"/>
          <w:b/>
          <w:color w:val="auto"/>
          <w:sz w:val="44"/>
          <w:szCs w:val="44"/>
          <w:highlight w:val="none"/>
        </w:rPr>
        <w:br w:type="page"/>
      </w:r>
      <w:bookmarkStart w:id="73" w:name="_Toc10305"/>
      <w:bookmarkStart w:id="74" w:name="_Toc15396614"/>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73"/>
      <w:bookmarkEnd w:id="74"/>
    </w:p>
    <w:tbl>
      <w:tblPr>
        <w:tblStyle w:val="16"/>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401"/>
        <w:gridCol w:w="1185"/>
        <w:gridCol w:w="2237"/>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75" w:name="_Toc15396618"/>
            <w:r>
              <w:rPr>
                <w:rFonts w:hint="eastAsia" w:ascii="宋体" w:hAnsi="宋体" w:eastAsia="宋体" w:cs="宋体"/>
                <w:b/>
                <w:i w:val="0"/>
                <w:color w:val="auto"/>
                <w:sz w:val="44"/>
                <w:szCs w:val="44"/>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85"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主管部门及代码</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433401001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实施单位</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区委群工局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96"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预算数：</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2.64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执行数：</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财政拨款</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2.64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财政拨款</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其他资金</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其他资金</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完成情况</w:t>
            </w:r>
          </w:p>
        </w:tc>
        <w:tc>
          <w:tcPr>
            <w:tcW w:w="4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预期目标</w:t>
            </w:r>
          </w:p>
        </w:tc>
        <w:tc>
          <w:tcPr>
            <w:tcW w:w="3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417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该项经费是用于远程视频接访和投诉的平台使用费，是教育群众，让群众少跑路，数据多跑路，上下对称接访，及时处理来访和投诉，让本级政府及时就地解决问题。</w:t>
            </w:r>
          </w:p>
        </w:tc>
        <w:tc>
          <w:tcPr>
            <w:tcW w:w="342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全年全面完成项目目标任务，上下对称接访，及时就地解决问题。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预期指标值</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95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连接省、市接访和网上投诉</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1个</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84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系统接通率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96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视频接访率和及时接通率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3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严格控制预算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2.64</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2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经济效益  指标</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设备利用率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98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社会效益  指标</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减少群众办事成本率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5"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公众满意度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bl>
    <w:p>
      <w:pPr>
        <w:keepNext w:val="0"/>
        <w:keepLines w:val="0"/>
        <w:pageBreakBefore w:val="0"/>
        <w:kinsoku/>
        <w:wordWrap/>
        <w:overflowPunct/>
        <w:topLinePunct w:val="0"/>
        <w:autoSpaceDE/>
        <w:autoSpaceDN/>
        <w:bidi w:val="0"/>
        <w:adjustRightInd/>
        <w:snapToGrid/>
        <w:spacing w:line="280" w:lineRule="exact"/>
        <w:jc w:val="both"/>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6" w:name="_Toc25327"/>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72"/>
      <w:bookmarkEnd w:id="75"/>
      <w:bookmarkEnd w:id="76"/>
      <w:bookmarkStart w:id="77" w:name="_Toc15396619"/>
    </w:p>
    <w:p>
      <w:pPr>
        <w:pStyle w:val="4"/>
        <w:pageBreakBefore w:val="0"/>
        <w:widowControl w:val="0"/>
        <w:kinsoku/>
        <w:wordWrap/>
        <w:overflowPunct/>
        <w:topLinePunct w:val="0"/>
        <w:autoSpaceDE/>
        <w:autoSpaceDN/>
        <w:bidi w:val="0"/>
        <w:adjustRightInd/>
        <w:snapToGrid/>
        <w:spacing w:before="0" w:after="0" w:line="576" w:lineRule="exact"/>
        <w:textAlignment w:val="auto"/>
        <w:outlineLvl w:val="9"/>
        <w:rPr>
          <w:rFonts w:hint="eastAsia" w:ascii="仿宋" w:hAnsi="仿宋" w:eastAsia="仿宋"/>
          <w:b w:val="0"/>
          <w:color w:val="auto"/>
          <w:highlight w:val="none"/>
        </w:rPr>
      </w:pPr>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78" w:name="_Toc29025"/>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77"/>
      <w:bookmarkEnd w:id="78"/>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79" w:name="_Toc15306"/>
      <w:bookmarkStart w:id="80"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79"/>
      <w:bookmarkEnd w:id="80"/>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81" w:name="_Toc10174"/>
      <w:bookmarkStart w:id="82"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81"/>
      <w:bookmarkEnd w:id="82"/>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color w:val="auto"/>
          <w:highlight w:val="none"/>
        </w:rPr>
      </w:pPr>
      <w:bookmarkStart w:id="83" w:name="_Toc15624"/>
      <w:bookmarkStart w:id="84"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83"/>
      <w:bookmarkEnd w:id="84"/>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ascii="仿宋" w:hAnsi="仿宋" w:eastAsia="仿宋"/>
          <w:b w:val="0"/>
          <w:bCs w:val="0"/>
          <w:color w:val="auto"/>
          <w:highlight w:val="none"/>
        </w:rPr>
      </w:pPr>
      <w:bookmarkStart w:id="85" w:name="_Toc15396623"/>
      <w:bookmarkStart w:id="86" w:name="_Toc432"/>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85"/>
      <w:bookmarkEnd w:id="86"/>
      <w:bookmarkStart w:id="87" w:name="_Toc1539662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88" w:name="_Toc13908"/>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87"/>
      <w:bookmarkEnd w:id="88"/>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89" w:name="_Toc15396625"/>
      <w:bookmarkStart w:id="90" w:name="_Toc8193"/>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89"/>
      <w:bookmarkEnd w:id="90"/>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91" w:name="_Toc24031"/>
      <w:bookmarkStart w:id="92"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91"/>
      <w:bookmarkEnd w:id="92"/>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93" w:name="_Toc15396627"/>
      <w:bookmarkStart w:id="94" w:name="_Toc16002"/>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93"/>
      <w:bookmarkEnd w:id="9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95" w:name="_Toc15396628"/>
      <w:bookmarkStart w:id="96" w:name="_Toc27920"/>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般公共预算财政拨款“三公”经费支出决算表</w:t>
      </w:r>
      <w:bookmarkEnd w:id="95"/>
      <w:bookmarkEnd w:id="96"/>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97" w:name="_Toc21108"/>
      <w:bookmarkStart w:id="98" w:name="_Toc15396629"/>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97"/>
      <w:bookmarkEnd w:id="98"/>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99" w:name="_Toc15396630"/>
      <w:bookmarkStart w:id="100" w:name="_Toc26573"/>
      <w:r>
        <w:rPr>
          <w:rStyle w:val="29"/>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府性基金预算财政拨款“三公”经费支出决算表</w:t>
      </w:r>
      <w:bookmarkEnd w:id="99"/>
      <w:bookmarkEnd w:id="100"/>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hint="eastAsia" w:ascii="仿宋" w:hAnsi="仿宋" w:eastAsia="仿宋"/>
          <w:b w:val="0"/>
          <w:bCs w:val="0"/>
          <w:color w:val="auto"/>
          <w:highlight w:val="none"/>
        </w:rPr>
      </w:pPr>
      <w:bookmarkStart w:id="101" w:name="_Toc15396631"/>
      <w:bookmarkStart w:id="102" w:name="_Toc19747"/>
      <w:r>
        <w:rPr>
          <w:rStyle w:val="29"/>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101"/>
      <w:bookmarkEnd w:id="102"/>
    </w:p>
    <w:p>
      <w:pPr>
        <w:pageBreakBefore w:val="0"/>
        <w:widowControl w:val="0"/>
        <w:kinsoku/>
        <w:wordWrap/>
        <w:overflowPunct/>
        <w:topLinePunct w:val="0"/>
        <w:autoSpaceDE/>
        <w:autoSpaceDN/>
        <w:bidi w:val="0"/>
        <w:adjustRightInd/>
        <w:snapToGrid/>
        <w:spacing w:line="576" w:lineRule="exact"/>
        <w:textAlignment w:val="auto"/>
        <w:rPr>
          <w:rFonts w:hint="eastAsia" w:eastAsia="仿宋"/>
          <w:color w:val="auto"/>
          <w:highlight w:val="none"/>
          <w:lang w:eastAsia="zh-CN"/>
        </w:rPr>
      </w:pPr>
      <w:bookmarkStart w:id="103" w:name="_Toc2861"/>
      <w:r>
        <w:rPr>
          <w:rStyle w:val="29"/>
          <w:rFonts w:hint="eastAsia" w:ascii="仿宋" w:hAnsi="仿宋" w:eastAsia="仿宋"/>
          <w:b w:val="0"/>
          <w:bCs w:val="0"/>
          <w:color w:val="auto"/>
          <w:highlight w:val="none"/>
          <w:lang w:eastAsia="zh-CN"/>
        </w:rPr>
        <w:t>十四、国有资本经营预算财政拨款支出决算表</w:t>
      </w:r>
      <w:bookmarkEnd w:id="103"/>
    </w:p>
    <w:sectPr>
      <w:footerReference r:id="rId5" w:type="default"/>
      <w:pgSz w:w="11906" w:h="16838"/>
      <w:pgMar w:top="2098" w:right="1474" w:bottom="1984" w:left="1587" w:header="851" w:footer="155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10830"/>
    <w:multiLevelType w:val="singleLevel"/>
    <w:tmpl w:val="84010830"/>
    <w:lvl w:ilvl="0" w:tentative="0">
      <w:start w:val="1"/>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6F36BED8"/>
    <w:multiLevelType w:val="singleLevel"/>
    <w:tmpl w:val="6F36BED8"/>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E0632"/>
    <w:rsid w:val="02607B71"/>
    <w:rsid w:val="074402CA"/>
    <w:rsid w:val="08167B2C"/>
    <w:rsid w:val="0A2032A3"/>
    <w:rsid w:val="0A875B21"/>
    <w:rsid w:val="0B8A37D8"/>
    <w:rsid w:val="101E6A7D"/>
    <w:rsid w:val="10C055FF"/>
    <w:rsid w:val="118107EC"/>
    <w:rsid w:val="11DD6519"/>
    <w:rsid w:val="13C8762E"/>
    <w:rsid w:val="14206604"/>
    <w:rsid w:val="14AD1E7B"/>
    <w:rsid w:val="15584512"/>
    <w:rsid w:val="15C106BE"/>
    <w:rsid w:val="16BB723D"/>
    <w:rsid w:val="18015F3F"/>
    <w:rsid w:val="181D051D"/>
    <w:rsid w:val="1A4426AA"/>
    <w:rsid w:val="1BB138FD"/>
    <w:rsid w:val="1BCB3874"/>
    <w:rsid w:val="1BE8440E"/>
    <w:rsid w:val="1D155CEE"/>
    <w:rsid w:val="20D81C1C"/>
    <w:rsid w:val="20F57F95"/>
    <w:rsid w:val="210E1B4B"/>
    <w:rsid w:val="221E19EC"/>
    <w:rsid w:val="240371BF"/>
    <w:rsid w:val="25C741E6"/>
    <w:rsid w:val="26872EDC"/>
    <w:rsid w:val="27842671"/>
    <w:rsid w:val="29D76730"/>
    <w:rsid w:val="29FD04D3"/>
    <w:rsid w:val="2ABE7A3E"/>
    <w:rsid w:val="2AFF5299"/>
    <w:rsid w:val="2EFA178C"/>
    <w:rsid w:val="30B46D73"/>
    <w:rsid w:val="3117141F"/>
    <w:rsid w:val="319F7F4E"/>
    <w:rsid w:val="32330F46"/>
    <w:rsid w:val="39A20CFD"/>
    <w:rsid w:val="39AE70AB"/>
    <w:rsid w:val="3C0C0783"/>
    <w:rsid w:val="3F795B0E"/>
    <w:rsid w:val="3F9F3A96"/>
    <w:rsid w:val="45165CE7"/>
    <w:rsid w:val="45950036"/>
    <w:rsid w:val="493C27E9"/>
    <w:rsid w:val="496F39ED"/>
    <w:rsid w:val="49FF41D3"/>
    <w:rsid w:val="4A185DC8"/>
    <w:rsid w:val="4BE068DB"/>
    <w:rsid w:val="4BF6002B"/>
    <w:rsid w:val="4ECE2238"/>
    <w:rsid w:val="500D2764"/>
    <w:rsid w:val="506143EC"/>
    <w:rsid w:val="51DB4B86"/>
    <w:rsid w:val="5516356E"/>
    <w:rsid w:val="55333C3E"/>
    <w:rsid w:val="574C0B47"/>
    <w:rsid w:val="574D1E50"/>
    <w:rsid w:val="59AA3EAA"/>
    <w:rsid w:val="5E803118"/>
    <w:rsid w:val="60BA02C4"/>
    <w:rsid w:val="61492417"/>
    <w:rsid w:val="631D7D05"/>
    <w:rsid w:val="64CA39A1"/>
    <w:rsid w:val="692F1EC3"/>
    <w:rsid w:val="6B400C03"/>
    <w:rsid w:val="6C4A05C8"/>
    <w:rsid w:val="71286A35"/>
    <w:rsid w:val="7169749E"/>
    <w:rsid w:val="72734D90"/>
    <w:rsid w:val="74D31D5F"/>
    <w:rsid w:val="74E366CA"/>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99"/>
    <w:pPr>
      <w:ind w:firstLine="630"/>
      <w:jc w:val="left"/>
    </w:pPr>
    <w:rPr>
      <w:rFonts w:eastAsia="黑体"/>
      <w:sz w:val="3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2"/>
    <w:basedOn w:val="7"/>
    <w:qFormat/>
    <w:uiPriority w:val="99"/>
    <w:pPr>
      <w:spacing w:after="120"/>
      <w:ind w:left="420" w:leftChars="200" w:firstLine="42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 Char Char5"/>
    <w:basedOn w:val="17"/>
    <w:link w:val="4"/>
    <w:qFormat/>
    <w:locked/>
    <w:uiPriority w:val="9"/>
    <w:rPr>
      <w:rFonts w:ascii="Cambria" w:hAnsi="Cambria" w:eastAsia="宋体" w:cs="Times New Roman"/>
      <w:b/>
      <w:bCs/>
      <w:kern w:val="2"/>
      <w:sz w:val="32"/>
      <w:szCs w:val="32"/>
    </w:rPr>
  </w:style>
  <w:style w:type="character" w:customStyle="1" w:styleId="35">
    <w:name w:val="font71"/>
    <w:basedOn w:val="17"/>
    <w:qFormat/>
    <w:uiPriority w:val="0"/>
    <w:rPr>
      <w:rFonts w:hint="default" w:ascii="Times New Roman" w:hAnsi="Times New Roman" w:eastAsia="楷体_GB2312" w:cs="Times New Roman"/>
      <w:sz w:val="28"/>
      <w:szCs w:val="24"/>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26700;&#38754;\&#32676;&#24037;2021&#24180;&#24230;&#20915;&#31639;&#20844;&#24320;&#35828;&#26126;&#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26700;&#38754;\&#32676;&#24037;2021&#24180;&#24230;&#20915;&#31639;&#20844;&#24320;&#35828;&#26126;&#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or\&#26700;&#38754;\&#32676;&#24037;2021&#24180;&#24230;&#20915;&#31639;&#20844;&#24320;&#35828;&#26126;&#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or\&#26700;&#38754;\&#32676;&#24037;2021&#24180;&#24230;&#20915;&#31639;&#20844;&#24320;&#35828;&#26126;&#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istrator\&#26700;&#38754;\&#32676;&#24037;2021&#24180;&#24230;&#20915;&#31639;&#20844;&#24320;&#35828;&#26126;&#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dministrator\&#26700;&#38754;\&#32676;&#24037;2021&#24180;&#24230;&#20915;&#31639;&#20844;&#24320;&#35828;&#26126;&#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Administrator\&#26700;&#38754;\&#32676;&#24037;2021&#24180;&#24230;&#20915;&#31639;&#20844;&#24320;&#35828;&#26126;&#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图1：收、支决算总计变动情况图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[群工2021年度决算公开说明图表.xls]Sheet1!$A$5</c:f>
              <c:strCache>
                <c:ptCount val="1"/>
                <c:pt idx="0">
                  <c:v>收入</c:v>
                </c:pt>
              </c:strCache>
            </c:strRef>
          </c:tx>
          <c:spPr>
            <a:solidFill>
              <a:schemeClr val="accent1"/>
            </a:solidFill>
            <a:ln>
              <a:noFill/>
            </a:ln>
            <a:effectLst/>
          </c:spPr>
          <c:invertIfNegative val="0"/>
          <c:dLbls>
            <c:delete val="1"/>
          </c:dLbls>
          <c:cat>
            <c:strRef>
              <c:f>[群工2021年度决算公开说明图表.xls]Sheet1!$B$4:$C$4</c:f>
              <c:strCache>
                <c:ptCount val="2"/>
                <c:pt idx="0">
                  <c:v>2020年（万元）</c:v>
                </c:pt>
                <c:pt idx="1">
                  <c:v>2021年（万元）</c:v>
                </c:pt>
              </c:strCache>
            </c:strRef>
          </c:cat>
          <c:val>
            <c:numRef>
              <c:f>[群工2021年度决算公开说明图表.xls]Sheet1!$B$5:$C$5</c:f>
              <c:numCache>
                <c:formatCode>General</c:formatCode>
                <c:ptCount val="2"/>
                <c:pt idx="0">
                  <c:v>182.64</c:v>
                </c:pt>
                <c:pt idx="1">
                  <c:v>183.66</c:v>
                </c:pt>
              </c:numCache>
            </c:numRef>
          </c:val>
        </c:ser>
        <c:ser>
          <c:idx val="1"/>
          <c:order val="1"/>
          <c:tx>
            <c:strRef>
              <c:f>[群工2021年度决算公开说明图表.xls]Sheet1!$A$6</c:f>
              <c:strCache>
                <c:ptCount val="1"/>
                <c:pt idx="0">
                  <c:v>支出</c:v>
                </c:pt>
              </c:strCache>
            </c:strRef>
          </c:tx>
          <c:spPr>
            <a:solidFill>
              <a:schemeClr val="accent2"/>
            </a:solidFill>
            <a:ln>
              <a:noFill/>
            </a:ln>
            <a:effectLst/>
          </c:spPr>
          <c:invertIfNegative val="0"/>
          <c:dLbls>
            <c:delete val="1"/>
          </c:dLbls>
          <c:cat>
            <c:strRef>
              <c:f>[群工2021年度决算公开说明图表.xls]Sheet1!$B$4:$C$4</c:f>
              <c:strCache>
                <c:ptCount val="2"/>
                <c:pt idx="0">
                  <c:v>2020年（万元）</c:v>
                </c:pt>
                <c:pt idx="1">
                  <c:v>2021年（万元）</c:v>
                </c:pt>
              </c:strCache>
            </c:strRef>
          </c:cat>
          <c:val>
            <c:numRef>
              <c:f>[群工2021年度决算公开说明图表.xls]Sheet1!$B$6:$C$6</c:f>
              <c:numCache>
                <c:formatCode>General</c:formatCode>
                <c:ptCount val="2"/>
                <c:pt idx="0">
                  <c:v>182.64</c:v>
                </c:pt>
                <c:pt idx="1">
                  <c:v>183.66</c:v>
                </c:pt>
              </c:numCache>
            </c:numRef>
          </c:val>
        </c:ser>
        <c:dLbls>
          <c:showLegendKey val="0"/>
          <c:showVal val="0"/>
          <c:showCatName val="0"/>
          <c:showSerName val="0"/>
          <c:showPercent val="0"/>
          <c:showBubbleSize val="0"/>
        </c:dLbls>
        <c:gapWidth val="219"/>
        <c:overlap val="-27"/>
        <c:axId val="504466453"/>
        <c:axId val="984783337"/>
      </c:barChart>
      <c:catAx>
        <c:axId val="50446645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4783337"/>
        <c:crosses val="autoZero"/>
        <c:auto val="1"/>
        <c:lblAlgn val="ctr"/>
        <c:lblOffset val="100"/>
        <c:noMultiLvlLbl val="0"/>
      </c:catAx>
      <c:valAx>
        <c:axId val="98478333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446645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[群工2021年度决算公开说明图表.xls]Sheet1!$A$15:$A$22</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[群工2021年度决算公开说明图表.xls]Sheet1!$B$15:$B$22</c:f>
              <c:numCache>
                <c:formatCode>0%</c:formatCode>
                <c:ptCount val="8"/>
                <c:pt idx="0">
                  <c:v>1</c:v>
                </c:pt>
                <c:pt idx="1" c:formatCode="0.00%">
                  <c:v>0</c:v>
                </c:pt>
                <c:pt idx="2" c:formatCode="0.00%">
                  <c:v>0</c:v>
                </c:pt>
                <c:pt idx="3" c:formatCode="0.00%">
                  <c:v>0</c:v>
                </c:pt>
                <c:pt idx="4" c:formatCode="0.00%">
                  <c:v>0</c:v>
                </c:pt>
                <c:pt idx="5" c:formatCode="0.00%">
                  <c:v>0</c:v>
                </c:pt>
                <c:pt idx="6" c:formatCode="0.00%">
                  <c:v>0</c:v>
                </c:pt>
                <c:pt idx="7" c:formatCode="0.0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ayout>
        <c:manualLayout>
          <c:xMode val="edge"/>
          <c:yMode val="edge"/>
          <c:x val="0.653527272727273"/>
          <c:y val="0.40090616778719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[群工2021年度决算公开说明图表.xls]Sheet1!$A$26:$A$27</c:f>
              <c:strCache>
                <c:ptCount val="2"/>
                <c:pt idx="0">
                  <c:v>基本支出</c:v>
                </c:pt>
                <c:pt idx="1">
                  <c:v>项目支出</c:v>
                </c:pt>
              </c:strCache>
            </c:strRef>
          </c:cat>
          <c:val>
            <c:numRef>
              <c:f>[群工2021年度决算公开说明图表.xls]Sheet1!$B$26:$B$27</c:f>
              <c:numCache>
                <c:formatCode>0.00%</c:formatCode>
                <c:ptCount val="2"/>
                <c:pt idx="0">
                  <c:v>0.92</c:v>
                </c:pt>
                <c:pt idx="1">
                  <c:v>0.079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[群工2021年度决算公开说明图表.xls]Sheet1!$A$38</c:f>
              <c:strCache>
                <c:ptCount val="1"/>
                <c:pt idx="0">
                  <c:v>收入</c:v>
                </c:pt>
              </c:strCache>
            </c:strRef>
          </c:tx>
          <c:spPr>
            <a:solidFill>
              <a:schemeClr val="accent1"/>
            </a:solidFill>
            <a:ln>
              <a:noFill/>
            </a:ln>
            <a:effectLst/>
          </c:spPr>
          <c:invertIfNegative val="0"/>
          <c:dLbls>
            <c:delete val="1"/>
          </c:dLbls>
          <c:cat>
            <c:strRef>
              <c:f>[群工2021年度决算公开说明图表.xls]Sheet1!$B$37:$C$37</c:f>
              <c:strCache>
                <c:ptCount val="2"/>
                <c:pt idx="0">
                  <c:v>2020年（万元）</c:v>
                </c:pt>
                <c:pt idx="1">
                  <c:v>2021年（万元）</c:v>
                </c:pt>
              </c:strCache>
            </c:strRef>
          </c:cat>
          <c:val>
            <c:numRef>
              <c:f>[群工2021年度决算公开说明图表.xls]Sheet1!$B$38:$C$38</c:f>
              <c:numCache>
                <c:formatCode>General</c:formatCode>
                <c:ptCount val="2"/>
                <c:pt idx="0">
                  <c:v>182.64</c:v>
                </c:pt>
                <c:pt idx="1">
                  <c:v>183.66</c:v>
                </c:pt>
              </c:numCache>
            </c:numRef>
          </c:val>
        </c:ser>
        <c:ser>
          <c:idx val="1"/>
          <c:order val="1"/>
          <c:tx>
            <c:strRef>
              <c:f>[群工2021年度决算公开说明图表.xls]Sheet1!$A$39</c:f>
              <c:strCache>
                <c:ptCount val="1"/>
                <c:pt idx="0">
                  <c:v>支出</c:v>
                </c:pt>
              </c:strCache>
            </c:strRef>
          </c:tx>
          <c:spPr>
            <a:solidFill>
              <a:schemeClr val="accent2"/>
            </a:solidFill>
            <a:ln>
              <a:noFill/>
            </a:ln>
            <a:effectLst/>
          </c:spPr>
          <c:invertIfNegative val="0"/>
          <c:dLbls>
            <c:delete val="1"/>
          </c:dLbls>
          <c:cat>
            <c:strRef>
              <c:f>[群工2021年度决算公开说明图表.xls]Sheet1!$B$37:$C$37</c:f>
              <c:strCache>
                <c:ptCount val="2"/>
                <c:pt idx="0">
                  <c:v>2020年（万元）</c:v>
                </c:pt>
                <c:pt idx="1">
                  <c:v>2021年（万元）</c:v>
                </c:pt>
              </c:strCache>
            </c:strRef>
          </c:cat>
          <c:val>
            <c:numRef>
              <c:f>[群工2021年度决算公开说明图表.xls]Sheet1!$B$39:$C$39</c:f>
              <c:numCache>
                <c:formatCode>General</c:formatCode>
                <c:ptCount val="2"/>
                <c:pt idx="0">
                  <c:v>182.64</c:v>
                </c:pt>
                <c:pt idx="1">
                  <c:v>183.66</c:v>
                </c:pt>
              </c:numCache>
            </c:numRef>
          </c:val>
        </c:ser>
        <c:dLbls>
          <c:showLegendKey val="0"/>
          <c:showVal val="0"/>
          <c:showCatName val="0"/>
          <c:showSerName val="0"/>
          <c:showPercent val="0"/>
          <c:showBubbleSize val="0"/>
        </c:dLbls>
        <c:gapWidth val="219"/>
        <c:overlap val="-27"/>
        <c:axId val="619199803"/>
        <c:axId val="635476496"/>
      </c:barChart>
      <c:catAx>
        <c:axId val="61919980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476496"/>
        <c:crosses val="autoZero"/>
        <c:auto val="1"/>
        <c:lblAlgn val="ctr"/>
        <c:lblOffset val="100"/>
        <c:noMultiLvlLbl val="0"/>
      </c:catAx>
      <c:valAx>
        <c:axId val="6354764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919980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[群工2021年度决算公开说明图表.xls]Sheet1!$A$47</c:f>
              <c:strCache>
                <c:ptCount val="1"/>
                <c:pt idx="0">
                  <c:v>支出</c:v>
                </c:pt>
              </c:strCache>
            </c:strRef>
          </c:tx>
          <c:spPr>
            <a:solidFill>
              <a:schemeClr val="accent1"/>
            </a:solidFill>
            <a:ln>
              <a:noFill/>
            </a:ln>
            <a:effectLst/>
          </c:spPr>
          <c:invertIfNegative val="0"/>
          <c:dLbls>
            <c:delete val="1"/>
          </c:dLbls>
          <c:cat>
            <c:strRef>
              <c:f>[群工2021年度决算公开说明图表.xls]Sheet1!$B$46:$C$46</c:f>
              <c:strCache>
                <c:ptCount val="2"/>
                <c:pt idx="0">
                  <c:v>2020年（万元）</c:v>
                </c:pt>
                <c:pt idx="1">
                  <c:v>2021年（万元）</c:v>
                </c:pt>
              </c:strCache>
            </c:strRef>
          </c:cat>
          <c:val>
            <c:numRef>
              <c:f>[群工2021年度决算公开说明图表.xls]Sheet1!$B$47:$C$47</c:f>
              <c:numCache>
                <c:formatCode>General</c:formatCode>
                <c:ptCount val="2"/>
                <c:pt idx="0">
                  <c:v>182.64</c:v>
                </c:pt>
                <c:pt idx="1">
                  <c:v>183.66</c:v>
                </c:pt>
              </c:numCache>
            </c:numRef>
          </c:val>
        </c:ser>
        <c:dLbls>
          <c:showLegendKey val="0"/>
          <c:showVal val="0"/>
          <c:showCatName val="0"/>
          <c:showSerName val="0"/>
          <c:showPercent val="0"/>
          <c:showBubbleSize val="0"/>
        </c:dLbls>
        <c:gapWidth val="219"/>
        <c:overlap val="-27"/>
        <c:axId val="47032643"/>
        <c:axId val="638546364"/>
      </c:barChart>
      <c:catAx>
        <c:axId val="4703264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8546364"/>
        <c:crosses val="autoZero"/>
        <c:auto val="1"/>
        <c:lblAlgn val="ctr"/>
        <c:lblOffset val="100"/>
        <c:noMultiLvlLbl val="0"/>
      </c:catAx>
      <c:valAx>
        <c:axId val="6385463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0326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dPt>
          <c:dPt>
            <c:idx val="5"/>
            <c:bubble3D val="0"/>
          </c:dPt>
          <c:dPt>
            <c:idx val="6"/>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[群工2021年度决算公开说明图表.xls]Sheet1!$A$60:$A$66</c:f>
              <c:strCache>
                <c:ptCount val="7"/>
                <c:pt idx="0">
                  <c:v>一般公共服务（类）支出</c:v>
                </c:pt>
                <c:pt idx="1">
                  <c:v>教育支出（类）</c:v>
                </c:pt>
                <c:pt idx="2">
                  <c:v>科学技术（类）支出</c:v>
                </c:pt>
                <c:pt idx="3">
                  <c:v>文化旅游体育与传媒（类）支出</c:v>
                </c:pt>
                <c:pt idx="4">
                  <c:v>社会保障和就业（类）支出</c:v>
                </c:pt>
                <c:pt idx="5">
                  <c:v>卫生健康支出</c:v>
                </c:pt>
                <c:pt idx="6">
                  <c:v>住房保障支出</c:v>
                </c:pt>
              </c:strCache>
            </c:strRef>
          </c:cat>
          <c:val>
            <c:numRef>
              <c:f>[群工2021年度决算公开说明图表.xls]Sheet1!$B$60:$B$66</c:f>
              <c:numCache>
                <c:formatCode>0.00%</c:formatCode>
                <c:ptCount val="7"/>
                <c:pt idx="0">
                  <c:v>0.857</c:v>
                </c:pt>
                <c:pt idx="1">
                  <c:v>0</c:v>
                </c:pt>
                <c:pt idx="2">
                  <c:v>0</c:v>
                </c:pt>
                <c:pt idx="3">
                  <c:v>0</c:v>
                </c:pt>
                <c:pt idx="4">
                  <c:v>0.058</c:v>
                </c:pt>
                <c:pt idx="5">
                  <c:v>0.03</c:v>
                </c:pt>
                <c:pt idx="6">
                  <c:v>0.053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1"/>
        <c:delete val="1"/>
      </c:legendEntry>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[群工2021年度决算公开说明图表.xls]Sheet1!$A$75:$A$77</c:f>
              <c:strCache>
                <c:ptCount val="3"/>
                <c:pt idx="0">
                  <c:v>公务接待费支出决算</c:v>
                </c:pt>
                <c:pt idx="1">
                  <c:v>因公出国（境）费支出决算</c:v>
                </c:pt>
                <c:pt idx="2">
                  <c:v>公务用车购置及运行维护费支出决算</c:v>
                </c:pt>
              </c:strCache>
            </c:strRef>
          </c:cat>
          <c:val>
            <c:numRef>
              <c:f>[群工2021年度决算公开说明图表.xls]Sheet1!$B$75:$B$77</c:f>
              <c:numCache>
                <c:formatCode>0%</c:formatCode>
                <c:ptCount val="3"/>
                <c:pt idx="0">
                  <c:v>0.617</c:v>
                </c:pt>
                <c:pt idx="1" c:formatCode="General">
                  <c:v>0</c:v>
                </c:pt>
                <c:pt idx="2"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7799</Words>
  <Characters>8299</Characters>
  <Lines>61</Lines>
  <Paragraphs>17</Paragraphs>
  <TotalTime>3</TotalTime>
  <ScaleCrop>false</ScaleCrop>
  <LinksUpToDate>false</LinksUpToDate>
  <CharactersWithSpaces>8424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DELL</cp:lastModifiedBy>
  <cp:lastPrinted>2022-08-06T02:23:00Z</cp:lastPrinted>
  <dcterms:modified xsi:type="dcterms:W3CDTF">2023-07-19T07:21:26Z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D33E813765DE4A2CA41663B9D150C383</vt:lpwstr>
  </property>
</Properties>
</file>