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广元市昭化区总工会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年部门预算编制说明</w:t>
      </w: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spacing w:before="0" w:beforeLines="0" w:after="0" w:afterLines="0" w:line="240" w:lineRule="auto"/>
        <w:ind w:left="0" w:leftChars="0" w:right="0" w:rightChars="0" w:firstLine="0" w:firstLineChars="0"/>
        <w:jc w:val="center"/>
        <w:rPr>
          <w:rFonts w:hint="eastAsia" w:ascii="黑体" w:hAnsi="黑体" w:eastAsia="黑体" w:cs="黑体"/>
          <w:color w:val="auto"/>
          <w:kern w:val="2"/>
          <w:sz w:val="44"/>
          <w:szCs w:val="44"/>
          <w:lang w:val="en-US" w:eastAsia="zh-CN" w:bidi="ar-SA"/>
        </w:rPr>
        <w:sectPr>
          <w:pgSz w:w="11906" w:h="16838"/>
          <w:pgMar w:top="2098" w:right="1474" w:bottom="1984" w:left="1587" w:header="720" w:footer="1559" w:gutter="0"/>
          <w:pgNumType w:fmt="decimal"/>
          <w:cols w:space="720" w:num="1"/>
          <w:docGrid w:type="lines" w:linePitch="312" w:charSpace="0"/>
        </w:sectPr>
      </w:pPr>
    </w:p>
    <w:sdt>
      <w:sdtPr>
        <w:rPr>
          <w:rFonts w:hint="eastAsia" w:ascii="黑体" w:hAnsi="黑体" w:eastAsia="黑体" w:cs="黑体"/>
          <w:color w:val="auto"/>
          <w:kern w:val="2"/>
          <w:sz w:val="44"/>
          <w:szCs w:val="44"/>
          <w:lang w:val="en-US" w:eastAsia="zh-CN" w:bidi="ar-SA"/>
        </w:rPr>
        <w:id w:val="147475216"/>
        <w15:color w:val="DBDBDB"/>
        <w:docPartObj>
          <w:docPartGallery w:val="Table of Contents"/>
          <w:docPartUnique/>
        </w:docPartObj>
      </w:sdtPr>
      <w:sdtEndPr>
        <w:rPr>
          <w:rFonts w:hint="eastAsia" w:ascii="黑体" w:hAnsi="黑体" w:eastAsia="黑体" w:cs="黑体"/>
          <w:b/>
          <w:bCs w:val="0"/>
          <w:i w:val="0"/>
          <w:caps w:val="0"/>
          <w:color w:val="000000" w:themeColor="text1"/>
          <w:spacing w:val="0"/>
          <w:kern w:val="0"/>
          <w:sz w:val="21"/>
          <w:szCs w:val="32"/>
          <w:highlight w:val="none"/>
          <w:shd w:val="clear" w:color="auto"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bookmarkStart w:id="25" w:name="_GoBack"/>
          <w:bookmarkEnd w:id="25"/>
        </w:p>
        <w:p>
          <w:pPr>
            <w:pStyle w:val="14"/>
            <w:tabs>
              <w:tab w:val="right" w:leader="dot" w:pos="8845"/>
            </w:tabs>
            <w:rPr>
              <w:rFonts w:hint="eastAsia" w:ascii="仿宋_GB2312" w:hAnsi="仿宋_GB2312" w:eastAsia="仿宋_GB2312" w:cs="仿宋_GB2312"/>
              <w:b w:val="0"/>
              <w:bCs/>
              <w:sz w:val="32"/>
              <w:szCs w:val="32"/>
            </w:rPr>
          </w:pPr>
          <w:r>
            <w:rPr>
              <w:rFonts w:hint="eastAsia" w:ascii="仿宋" w:hAnsi="仿宋" w:eastAsia="仿宋" w:cs="仿宋"/>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 w:hAnsi="仿宋" w:eastAsia="仿宋" w:cs="仿宋"/>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TOC \o "1-2" \h \u </w:instrText>
          </w:r>
          <w:r>
            <w:rPr>
              <w:rFonts w:hint="eastAsia" w:ascii="仿宋" w:hAnsi="仿宋" w:eastAsia="仿宋" w:cs="仿宋"/>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_Toc27954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一、基本职能及主要工作</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2</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_Toc3492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lang w:val="en-US" w:eastAsia="zh-CN"/>
            </w:rPr>
            <w:t>昭化区总工会</w:t>
          </w:r>
          <w:r>
            <w:rPr>
              <w:rFonts w:hint="eastAsia" w:ascii="仿宋_GB2312" w:hAnsi="仿宋_GB2312" w:eastAsia="仿宋_GB2312" w:cs="仿宋_GB2312"/>
              <w:b w:val="0"/>
              <w:bCs/>
              <w:sz w:val="32"/>
              <w:szCs w:val="32"/>
            </w:rPr>
            <w:t>职能简介</w:t>
          </w:r>
          <w:r>
            <w:rPr>
              <w:rFonts w:hint="eastAsia" w:ascii="仿宋_GB2312" w:hAnsi="仿宋_GB2312" w:eastAsia="仿宋_GB2312" w:cs="仿宋_GB2312"/>
              <w:b w:val="0"/>
              <w:bCs/>
              <w:sz w:val="32"/>
              <w:szCs w:val="32"/>
            </w:rPr>
            <w:tab/>
          </w:r>
          <w:r>
            <w:rPr>
              <w:rFonts w:hint="eastAsia" w:ascii="Times New Roman" w:hAnsi="Times New Roman" w:eastAsia="仿宋_GB2312" w:cs="Times New Roman"/>
              <w:b w:val="0"/>
              <w:bCs/>
              <w:sz w:val="32"/>
              <w:szCs w:val="32"/>
            </w:rPr>
            <w:fldChar w:fldCharType="begin"/>
          </w:r>
          <w:r>
            <w:rPr>
              <w:rFonts w:hint="eastAsia" w:ascii="Times New Roman" w:hAnsi="Times New Roman" w:eastAsia="仿宋_GB2312" w:cs="Times New Roman"/>
              <w:b w:val="0"/>
              <w:bCs/>
              <w:sz w:val="32"/>
              <w:szCs w:val="32"/>
            </w:rPr>
            <w:instrText xml:space="preserve"> PAGEREF _Toc3492 \h </w:instrText>
          </w:r>
          <w:r>
            <w:rPr>
              <w:rFonts w:hint="eastAsia" w:ascii="Times New Roman" w:hAnsi="Times New Roman" w:eastAsia="仿宋_GB2312" w:cs="Times New Roman"/>
              <w:b w:val="0"/>
              <w:bCs/>
              <w:sz w:val="32"/>
              <w:szCs w:val="32"/>
            </w:rPr>
            <w:fldChar w:fldCharType="separate"/>
          </w:r>
          <w:r>
            <w:rPr>
              <w:rFonts w:hint="eastAsia" w:ascii="Times New Roman" w:hAnsi="Times New Roman" w:eastAsia="仿宋_GB2312" w:cs="Times New Roman"/>
              <w:b w:val="0"/>
              <w:bCs/>
              <w:sz w:val="32"/>
              <w:szCs w:val="32"/>
            </w:rPr>
            <w:t>3</w:t>
          </w:r>
          <w:r>
            <w:rPr>
              <w:rFonts w:hint="eastAsia" w:ascii="Times New Roman" w:hAnsi="Times New Roman" w:eastAsia="仿宋_GB2312" w:cs="Times New Roman"/>
              <w:b w:val="0"/>
              <w:bCs/>
              <w:sz w:val="32"/>
              <w:szCs w:val="32"/>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fldChar w:fldCharType="begin"/>
          </w:r>
          <w:r>
            <w:rPr>
              <w:rFonts w:hint="eastAsia" w:ascii="Times New Roman" w:hAnsi="Times New Roman" w:eastAsia="仿宋_GB2312" w:cs="Times New Roman"/>
              <w:b w:val="0"/>
              <w:bCs/>
              <w:sz w:val="32"/>
              <w:szCs w:val="32"/>
              <w:lang w:val="en-US" w:eastAsia="zh-CN"/>
            </w:rPr>
            <w:instrText xml:space="preserve"> HYPERLINK \l _Toc22733 </w:instrText>
          </w:r>
          <w:r>
            <w:rPr>
              <w:rFonts w:hint="eastAsia" w:ascii="Times New Roman" w:hAnsi="Times New Roman" w:eastAsia="仿宋_GB2312" w:cs="Times New Roman"/>
              <w:b w:val="0"/>
              <w:bCs/>
              <w:sz w:val="32"/>
              <w:szCs w:val="32"/>
              <w:lang w:val="en-US" w:eastAsia="zh-CN"/>
            </w:rPr>
            <w:fldChar w:fldCharType="separate"/>
          </w:r>
          <w:r>
            <w:rPr>
              <w:rFonts w:hint="eastAsia" w:ascii="Times New Roman" w:hAnsi="Times New Roman" w:eastAsia="仿宋_GB2312" w:cs="Times New Roman"/>
              <w:b w:val="0"/>
              <w:bCs/>
              <w:sz w:val="32"/>
              <w:szCs w:val="32"/>
            </w:rPr>
            <w:t>（二）</w:t>
          </w:r>
          <w:r>
            <w:rPr>
              <w:rFonts w:hint="eastAsia" w:ascii="Times New Roman" w:hAnsi="Times New Roman" w:eastAsia="仿宋_GB2312" w:cs="Times New Roman"/>
              <w:b w:val="0"/>
              <w:bCs/>
              <w:sz w:val="32"/>
              <w:szCs w:val="32"/>
              <w:lang w:val="en-US" w:eastAsia="zh-CN"/>
            </w:rPr>
            <w:t>昭化区总工会</w:t>
          </w:r>
          <w:r>
            <w:rPr>
              <w:rFonts w:hint="eastAsia" w:ascii="Times New Roman" w:hAnsi="Times New Roman" w:eastAsia="仿宋_GB2312" w:cs="Times New Roman"/>
              <w:b w:val="0"/>
              <w:bCs/>
              <w:sz w:val="32"/>
              <w:szCs w:val="32"/>
              <w:lang w:val="en-US"/>
            </w:rPr>
            <w:t>2024</w:t>
          </w:r>
          <w:r>
            <w:rPr>
              <w:rFonts w:hint="eastAsia" w:ascii="Times New Roman" w:hAnsi="Times New Roman" w:eastAsia="仿宋_GB2312" w:cs="Times New Roman"/>
              <w:b w:val="0"/>
              <w:bCs/>
              <w:sz w:val="32"/>
              <w:szCs w:val="32"/>
            </w:rPr>
            <w:t>年重点工作</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3</w:t>
          </w:r>
          <w:r>
            <w:rPr>
              <w:rFonts w:hint="eastAsia" w:ascii="Times New Roman" w:hAnsi="Times New Roman" w:eastAsia="仿宋_GB2312" w:cs="Times New Roman"/>
              <w:b w:val="0"/>
              <w:bCs/>
              <w:sz w:val="32"/>
              <w:szCs w:val="32"/>
              <w:lang w:val="en-US" w:eastAsia="zh-CN"/>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_Toc21121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二、部门预算单位构成</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4</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_Toc29131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三、收支预算情况说明</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4</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_Toc21746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（一）收入预算情况</w:t>
          </w:r>
          <w:r>
            <w:rPr>
              <w:rFonts w:hint="eastAsia" w:ascii="仿宋_GB2312" w:hAnsi="仿宋_GB2312" w:eastAsia="仿宋_GB2312" w:cs="仿宋_GB2312"/>
              <w:b w:val="0"/>
              <w:bCs/>
              <w:sz w:val="32"/>
              <w:szCs w:val="32"/>
            </w:rPr>
            <w:tab/>
          </w:r>
          <w:r>
            <w:rPr>
              <w:rFonts w:hint="eastAsia" w:ascii="Times New Roman" w:hAnsi="Times New Roman" w:eastAsia="仿宋_GB2312" w:cs="Times New Roman"/>
              <w:b w:val="0"/>
              <w:bCs/>
              <w:sz w:val="32"/>
              <w:szCs w:val="32"/>
              <w:lang w:val="en-US" w:eastAsia="zh-CN"/>
            </w:rPr>
            <w:fldChar w:fldCharType="begin"/>
          </w:r>
          <w:r>
            <w:rPr>
              <w:rFonts w:hint="eastAsia" w:ascii="Times New Roman" w:hAnsi="Times New Roman" w:eastAsia="仿宋_GB2312" w:cs="Times New Roman"/>
              <w:b w:val="0"/>
              <w:bCs/>
              <w:sz w:val="32"/>
              <w:szCs w:val="32"/>
              <w:lang w:val="en-US" w:eastAsia="zh-CN"/>
            </w:rPr>
            <w:instrText xml:space="preserve"> PAGEREF _Toc21746 \h </w:instrText>
          </w:r>
          <w:r>
            <w:rPr>
              <w:rFonts w:hint="eastAsia" w:ascii="Times New Roman" w:hAnsi="Times New Roman" w:eastAsia="仿宋_GB2312" w:cs="Times New Roman"/>
              <w:b w:val="0"/>
              <w:bCs/>
              <w:sz w:val="32"/>
              <w:szCs w:val="32"/>
              <w:lang w:val="en-US" w:eastAsia="zh-CN"/>
            </w:rPr>
            <w:fldChar w:fldCharType="separate"/>
          </w:r>
          <w:r>
            <w:rPr>
              <w:rFonts w:hint="eastAsia" w:ascii="Times New Roman" w:hAnsi="Times New Roman" w:eastAsia="仿宋_GB2312" w:cs="Times New Roman"/>
              <w:b w:val="0"/>
              <w:bCs/>
              <w:sz w:val="32"/>
              <w:szCs w:val="32"/>
              <w:lang w:val="en-US" w:eastAsia="zh-CN"/>
            </w:rPr>
            <w:t>5</w:t>
          </w:r>
          <w:r>
            <w:rPr>
              <w:rFonts w:hint="eastAsia" w:ascii="Times New Roman" w:hAnsi="Times New Roman" w:eastAsia="仿宋_GB2312" w:cs="Times New Roman"/>
              <w:b w:val="0"/>
              <w:bCs/>
              <w:sz w:val="32"/>
              <w:szCs w:val="32"/>
              <w:lang w:val="en-US" w:eastAsia="zh-CN"/>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_Toc30175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（二）支出预算情况</w:t>
          </w:r>
          <w:r>
            <w:rPr>
              <w:rFonts w:hint="eastAsia" w:ascii="仿宋_GB2312" w:hAnsi="仿宋_GB2312" w:eastAsia="仿宋_GB2312" w:cs="仿宋_GB2312"/>
              <w:b w:val="0"/>
              <w:bCs/>
              <w:sz w:val="32"/>
              <w:szCs w:val="32"/>
            </w:rPr>
            <w:tab/>
          </w:r>
          <w:r>
            <w:rPr>
              <w:rFonts w:hint="eastAsia" w:ascii="Times New Roman" w:hAnsi="Times New Roman" w:eastAsia="仿宋_GB2312" w:cs="Times New Roman"/>
              <w:b w:val="0"/>
              <w:bCs/>
              <w:sz w:val="32"/>
              <w:szCs w:val="32"/>
              <w:lang w:val="en-US" w:eastAsia="zh-CN"/>
            </w:rPr>
            <w:fldChar w:fldCharType="begin"/>
          </w:r>
          <w:r>
            <w:rPr>
              <w:rFonts w:hint="eastAsia" w:ascii="Times New Roman" w:hAnsi="Times New Roman" w:eastAsia="仿宋_GB2312" w:cs="Times New Roman"/>
              <w:b w:val="0"/>
              <w:bCs/>
              <w:sz w:val="32"/>
              <w:szCs w:val="32"/>
              <w:lang w:val="en-US" w:eastAsia="zh-CN"/>
            </w:rPr>
            <w:instrText xml:space="preserve"> PAGEREF _Toc30175 \h </w:instrText>
          </w:r>
          <w:r>
            <w:rPr>
              <w:rFonts w:hint="eastAsia" w:ascii="Times New Roman" w:hAnsi="Times New Roman" w:eastAsia="仿宋_GB2312" w:cs="Times New Roman"/>
              <w:b w:val="0"/>
              <w:bCs/>
              <w:sz w:val="32"/>
              <w:szCs w:val="32"/>
              <w:lang w:val="en-US" w:eastAsia="zh-CN"/>
            </w:rPr>
            <w:fldChar w:fldCharType="separate"/>
          </w:r>
          <w:r>
            <w:rPr>
              <w:rFonts w:hint="eastAsia" w:ascii="Times New Roman" w:hAnsi="Times New Roman" w:eastAsia="仿宋_GB2312" w:cs="Times New Roman"/>
              <w:b w:val="0"/>
              <w:bCs/>
              <w:sz w:val="32"/>
              <w:szCs w:val="32"/>
              <w:lang w:val="en-US" w:eastAsia="zh-CN"/>
            </w:rPr>
            <w:t>5</w:t>
          </w:r>
          <w:r>
            <w:rPr>
              <w:rFonts w:hint="eastAsia" w:ascii="Times New Roman" w:hAnsi="Times New Roman" w:eastAsia="仿宋_GB2312" w:cs="Times New Roman"/>
              <w:b w:val="0"/>
              <w:bCs/>
              <w:sz w:val="32"/>
              <w:szCs w:val="32"/>
              <w:lang w:val="en-US" w:eastAsia="zh-CN"/>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_Toc19361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四、财政拨款收支预算情况说明</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5</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_Toc6575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五、一般公共预算当年拨款情况说明</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5</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_Toc5818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（一）一般公共预算当年拨款规模变化情况</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5</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_Toc10857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（二）一般公共预算当年拨款结构情况</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5</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_Toc19866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（三）一般公共预算当年拨款具体使用情况</w:t>
          </w:r>
          <w:r>
            <w:rPr>
              <w:rFonts w:hint="eastAsia" w:ascii="仿宋_GB2312" w:hAnsi="仿宋_GB2312" w:eastAsia="仿宋_GB2312" w:cs="仿宋_GB2312"/>
              <w:b w:val="0"/>
              <w:bCs/>
              <w:sz w:val="32"/>
              <w:szCs w:val="32"/>
            </w:rPr>
            <w:tab/>
          </w:r>
          <w:r>
            <w:rPr>
              <w:rFonts w:hint="eastAsia" w:ascii="Times New Roman" w:hAnsi="Times New Roman" w:eastAsia="仿宋_GB2312" w:cs="Times New Roman"/>
              <w:b w:val="0"/>
              <w:bCs/>
              <w:sz w:val="32"/>
              <w:szCs w:val="32"/>
              <w:lang w:val="en-US" w:eastAsia="zh-CN"/>
            </w:rPr>
            <w:fldChar w:fldCharType="begin"/>
          </w:r>
          <w:r>
            <w:rPr>
              <w:rFonts w:hint="eastAsia" w:ascii="Times New Roman" w:hAnsi="Times New Roman" w:eastAsia="仿宋_GB2312" w:cs="Times New Roman"/>
              <w:b w:val="0"/>
              <w:bCs/>
              <w:sz w:val="32"/>
              <w:szCs w:val="32"/>
              <w:lang w:val="en-US" w:eastAsia="zh-CN"/>
            </w:rPr>
            <w:instrText xml:space="preserve"> PAGEREF _Toc19866 \h </w:instrText>
          </w:r>
          <w:r>
            <w:rPr>
              <w:rFonts w:hint="eastAsia" w:ascii="Times New Roman" w:hAnsi="Times New Roman" w:eastAsia="仿宋_GB2312" w:cs="Times New Roman"/>
              <w:b w:val="0"/>
              <w:bCs/>
              <w:sz w:val="32"/>
              <w:szCs w:val="32"/>
              <w:lang w:val="en-US" w:eastAsia="zh-CN"/>
            </w:rPr>
            <w:fldChar w:fldCharType="separate"/>
          </w:r>
          <w:r>
            <w:rPr>
              <w:rFonts w:hint="eastAsia" w:ascii="Times New Roman" w:hAnsi="Times New Roman" w:eastAsia="仿宋_GB2312" w:cs="Times New Roman"/>
              <w:b w:val="0"/>
              <w:bCs/>
              <w:sz w:val="32"/>
              <w:szCs w:val="32"/>
              <w:lang w:val="en-US" w:eastAsia="zh-CN"/>
            </w:rPr>
            <w:t>6</w:t>
          </w:r>
          <w:r>
            <w:rPr>
              <w:rFonts w:hint="eastAsia" w:ascii="Times New Roman" w:hAnsi="Times New Roman" w:eastAsia="仿宋_GB2312" w:cs="Times New Roman"/>
              <w:b w:val="0"/>
              <w:bCs/>
              <w:sz w:val="32"/>
              <w:szCs w:val="32"/>
              <w:lang w:val="en-US" w:eastAsia="zh-CN"/>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_Toc3382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六、一般公共预算基本支出情况说明</w:t>
          </w:r>
          <w:r>
            <w:rPr>
              <w:rFonts w:hint="eastAsia" w:ascii="仿宋_GB2312" w:hAnsi="仿宋_GB2312" w:eastAsia="仿宋_GB2312" w:cs="仿宋_GB2312"/>
              <w:b w:val="0"/>
              <w:bCs/>
              <w:sz w:val="32"/>
              <w:szCs w:val="32"/>
            </w:rPr>
            <w:tab/>
          </w:r>
          <w:r>
            <w:rPr>
              <w:rFonts w:hint="eastAsia" w:ascii="Times New Roman" w:hAnsi="Times New Roman" w:eastAsia="仿宋_GB2312" w:cs="Times New Roman"/>
              <w:b w:val="0"/>
              <w:bCs/>
              <w:sz w:val="32"/>
              <w:szCs w:val="32"/>
              <w:lang w:val="en-US" w:eastAsia="zh-CN"/>
            </w:rPr>
            <w:fldChar w:fldCharType="begin"/>
          </w:r>
          <w:r>
            <w:rPr>
              <w:rFonts w:hint="eastAsia" w:ascii="Times New Roman" w:hAnsi="Times New Roman" w:eastAsia="仿宋_GB2312" w:cs="Times New Roman"/>
              <w:b w:val="0"/>
              <w:bCs/>
              <w:sz w:val="32"/>
              <w:szCs w:val="32"/>
              <w:lang w:val="en-US" w:eastAsia="zh-CN"/>
            </w:rPr>
            <w:instrText xml:space="preserve"> PAGEREF _Toc3382 \h </w:instrText>
          </w:r>
          <w:r>
            <w:rPr>
              <w:rFonts w:hint="eastAsia" w:ascii="Times New Roman" w:hAnsi="Times New Roman" w:eastAsia="仿宋_GB2312" w:cs="Times New Roman"/>
              <w:b w:val="0"/>
              <w:bCs/>
              <w:sz w:val="32"/>
              <w:szCs w:val="32"/>
              <w:lang w:val="en-US" w:eastAsia="zh-CN"/>
            </w:rPr>
            <w:fldChar w:fldCharType="separate"/>
          </w:r>
          <w:r>
            <w:rPr>
              <w:rFonts w:hint="eastAsia" w:ascii="Times New Roman" w:hAnsi="Times New Roman" w:eastAsia="仿宋_GB2312" w:cs="Times New Roman"/>
              <w:b w:val="0"/>
              <w:bCs/>
              <w:sz w:val="32"/>
              <w:szCs w:val="32"/>
              <w:lang w:val="en-US" w:eastAsia="zh-CN"/>
            </w:rPr>
            <w:t>7</w:t>
          </w:r>
          <w:r>
            <w:rPr>
              <w:rFonts w:hint="eastAsia" w:ascii="Times New Roman" w:hAnsi="Times New Roman" w:eastAsia="仿宋_GB2312" w:cs="Times New Roman"/>
              <w:b w:val="0"/>
              <w:bCs/>
              <w:sz w:val="32"/>
              <w:szCs w:val="32"/>
              <w:lang w:val="en-US" w:eastAsia="zh-CN"/>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_Toc18180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七、“三公”经费财政拨款预算安排情况说明</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7</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_Toc9365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八、政府性基金预算支出情况说明</w:t>
          </w:r>
          <w:r>
            <w:rPr>
              <w:rFonts w:hint="eastAsia" w:ascii="仿宋_GB2312" w:hAnsi="仿宋_GB2312" w:eastAsia="仿宋_GB2312" w:cs="仿宋_GB2312"/>
              <w:b w:val="0"/>
              <w:bCs/>
              <w:sz w:val="32"/>
              <w:szCs w:val="32"/>
            </w:rPr>
            <w:tab/>
          </w:r>
          <w:r>
            <w:rPr>
              <w:rFonts w:hint="eastAsia" w:ascii="Times New Roman" w:hAnsi="Times New Roman" w:eastAsia="仿宋_GB2312" w:cs="Times New Roman"/>
              <w:b w:val="0"/>
              <w:bCs/>
              <w:sz w:val="32"/>
              <w:szCs w:val="32"/>
              <w:lang w:val="en-US" w:eastAsia="zh-CN"/>
            </w:rPr>
            <w:fldChar w:fldCharType="begin"/>
          </w:r>
          <w:r>
            <w:rPr>
              <w:rFonts w:hint="eastAsia" w:ascii="Times New Roman" w:hAnsi="Times New Roman" w:eastAsia="仿宋_GB2312" w:cs="Times New Roman"/>
              <w:b w:val="0"/>
              <w:bCs/>
              <w:sz w:val="32"/>
              <w:szCs w:val="32"/>
              <w:lang w:val="en-US" w:eastAsia="zh-CN"/>
            </w:rPr>
            <w:instrText xml:space="preserve"> PAGEREF _Toc9365 \h </w:instrText>
          </w:r>
          <w:r>
            <w:rPr>
              <w:rFonts w:hint="eastAsia" w:ascii="Times New Roman" w:hAnsi="Times New Roman" w:eastAsia="仿宋_GB2312" w:cs="Times New Roman"/>
              <w:b w:val="0"/>
              <w:bCs/>
              <w:sz w:val="32"/>
              <w:szCs w:val="32"/>
              <w:lang w:val="en-US" w:eastAsia="zh-CN"/>
            </w:rPr>
            <w:fldChar w:fldCharType="separate"/>
          </w:r>
          <w:r>
            <w:rPr>
              <w:rFonts w:hint="eastAsia" w:ascii="Times New Roman" w:hAnsi="Times New Roman" w:eastAsia="仿宋_GB2312" w:cs="Times New Roman"/>
              <w:b w:val="0"/>
              <w:bCs/>
              <w:sz w:val="32"/>
              <w:szCs w:val="32"/>
              <w:lang w:val="en-US" w:eastAsia="zh-CN"/>
            </w:rPr>
            <w:t>8</w:t>
          </w:r>
          <w:r>
            <w:rPr>
              <w:rFonts w:hint="eastAsia" w:ascii="Times New Roman" w:hAnsi="Times New Roman" w:eastAsia="仿宋_GB2312" w:cs="Times New Roman"/>
              <w:b w:val="0"/>
              <w:bCs/>
              <w:sz w:val="32"/>
              <w:szCs w:val="32"/>
              <w:lang w:val="en-US" w:eastAsia="zh-CN"/>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_Toc11669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九、国有资本经营预算支出情况说明</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8</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_Toc1112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十、其他重要事项的情况说明</w:t>
          </w:r>
          <w:r>
            <w:rPr>
              <w:rFonts w:hint="eastAsia" w:ascii="仿宋_GB2312" w:hAnsi="仿宋_GB2312" w:eastAsia="仿宋_GB2312" w:cs="仿宋_GB2312"/>
              <w:b w:val="0"/>
              <w:bCs/>
              <w:sz w:val="32"/>
              <w:szCs w:val="32"/>
            </w:rPr>
            <w:tab/>
          </w:r>
          <w:r>
            <w:rPr>
              <w:rFonts w:hint="eastAsia" w:eastAsia="仿宋_GB2312" w:cs="Times New Roman"/>
              <w:b w:val="0"/>
              <w:bCs/>
              <w:sz w:val="32"/>
              <w:szCs w:val="32"/>
              <w:lang w:val="en-US" w:eastAsia="zh-CN"/>
            </w:rPr>
            <w:t>8</w:t>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rPr>
              <w:rFonts w:hint="eastAsia" w:ascii="仿宋" w:hAnsi="仿宋" w:eastAsia="仿宋" w:cs="仿宋"/>
              <w:b/>
            </w:rPr>
          </w:pP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instrText xml:space="preserve"> HYPERLINK \l _Toc22013 </w:instrText>
          </w:r>
          <w:r>
            <w:rPr>
              <w:rFonts w:hint="eastAsia" w:ascii="仿宋_GB2312" w:hAnsi="仿宋_GB2312" w:eastAsia="仿宋_GB2312" w:cs="仿宋_GB2312"/>
              <w:b w:val="0"/>
              <w:bCs/>
              <w:i w:val="0"/>
              <w:caps w:val="0"/>
              <w:spacing w:val="0"/>
              <w:kern w:val="0"/>
              <w:sz w:val="32"/>
              <w:szCs w:val="32"/>
              <w:highlight w:val="none"/>
              <w:shd w:val="clear" w:color="auto" w:fill="FFFFFF"/>
              <w:lang w:val="en-US" w:eastAsia="zh-CN" w:bidi="ar"/>
            </w:rPr>
            <w:fldChar w:fldCharType="separate"/>
          </w:r>
          <w:r>
            <w:rPr>
              <w:rFonts w:hint="eastAsia" w:ascii="仿宋_GB2312" w:hAnsi="仿宋_GB2312" w:eastAsia="仿宋_GB2312" w:cs="仿宋_GB2312"/>
              <w:b w:val="0"/>
              <w:bCs/>
              <w:sz w:val="32"/>
              <w:szCs w:val="32"/>
              <w:lang w:val="en-US" w:eastAsia="zh-CN"/>
            </w:rPr>
            <w:t>十一、名词解释</w:t>
          </w:r>
          <w:r>
            <w:rPr>
              <w:rFonts w:hint="eastAsia" w:ascii="仿宋_GB2312" w:hAnsi="仿宋_GB2312" w:eastAsia="仿宋_GB2312" w:cs="仿宋_GB2312"/>
              <w:b w:val="0"/>
              <w:bCs/>
              <w:sz w:val="32"/>
              <w:szCs w:val="32"/>
            </w:rPr>
            <w:tab/>
          </w:r>
          <w:r>
            <w:rPr>
              <w:rFonts w:hint="eastAsia" w:ascii="Times New Roman" w:hAnsi="Times New Roman" w:eastAsia="仿宋_GB2312" w:cs="Times New Roman"/>
              <w:b w:val="0"/>
              <w:bCs/>
              <w:sz w:val="32"/>
              <w:szCs w:val="32"/>
              <w:lang w:val="en-US" w:eastAsia="zh-CN"/>
            </w:rPr>
            <w:fldChar w:fldCharType="begin"/>
          </w:r>
          <w:r>
            <w:rPr>
              <w:rFonts w:hint="eastAsia" w:ascii="Times New Roman" w:hAnsi="Times New Roman" w:eastAsia="仿宋_GB2312" w:cs="Times New Roman"/>
              <w:b w:val="0"/>
              <w:bCs/>
              <w:sz w:val="32"/>
              <w:szCs w:val="32"/>
              <w:lang w:val="en-US" w:eastAsia="zh-CN"/>
            </w:rPr>
            <w:instrText xml:space="preserve"> PAGEREF _Toc22013 \h </w:instrText>
          </w:r>
          <w:r>
            <w:rPr>
              <w:rFonts w:hint="eastAsia" w:ascii="Times New Roman" w:hAnsi="Times New Roman" w:eastAsia="仿宋_GB2312" w:cs="Times New Roman"/>
              <w:b w:val="0"/>
              <w:bCs/>
              <w:sz w:val="32"/>
              <w:szCs w:val="32"/>
              <w:lang w:val="en-US" w:eastAsia="zh-CN"/>
            </w:rPr>
            <w:fldChar w:fldCharType="separate"/>
          </w:r>
          <w:r>
            <w:rPr>
              <w:rFonts w:hint="eastAsia" w:ascii="Times New Roman" w:hAnsi="Times New Roman" w:eastAsia="仿宋_GB2312" w:cs="Times New Roman"/>
              <w:b w:val="0"/>
              <w:bCs/>
              <w:sz w:val="32"/>
              <w:szCs w:val="32"/>
              <w:lang w:val="en-US" w:eastAsia="zh-CN"/>
            </w:rPr>
            <w:t>9</w:t>
          </w:r>
          <w:r>
            <w:rPr>
              <w:rFonts w:hint="eastAsia" w:ascii="Times New Roman" w:hAnsi="Times New Roman" w:eastAsia="仿宋_GB2312" w:cs="Times New Roman"/>
              <w:b w:val="0"/>
              <w:bCs/>
              <w:sz w:val="32"/>
              <w:szCs w:val="32"/>
              <w:lang w:val="en-US" w:eastAsia="zh-CN"/>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b/>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outlineLvl w:val="0"/>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bookmarkStart w:id="0" w:name="_Toc2795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rPr>
      </w:pPr>
      <w:bookmarkStart w:id="1" w:name="_Toc3492"/>
      <w:r>
        <w:rPr>
          <w:rFonts w:hint="eastAsia" w:ascii="楷体" w:hAnsi="楷体" w:eastAsia="楷体" w:cs="楷体"/>
          <w:sz w:val="32"/>
          <w:szCs w:val="32"/>
        </w:rPr>
        <w:t>（一）</w:t>
      </w:r>
      <w:r>
        <w:rPr>
          <w:rFonts w:hint="eastAsia" w:ascii="楷体" w:hAnsi="楷体" w:eastAsia="楷体" w:cs="楷体"/>
          <w:sz w:val="32"/>
          <w:szCs w:val="32"/>
          <w:lang w:val="en-US" w:eastAsia="zh-CN"/>
        </w:rPr>
        <w:t>昭化区总工会</w:t>
      </w:r>
      <w:r>
        <w:rPr>
          <w:rFonts w:hint="eastAsia" w:ascii="楷体" w:hAnsi="楷体" w:eastAsia="楷体" w:cs="楷体"/>
          <w:sz w:val="32"/>
          <w:szCs w:val="32"/>
        </w:rPr>
        <w:t>职能简介</w:t>
      </w:r>
      <w:bookmarkEnd w:id="1"/>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参与职能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表和组织职工参与国家和社会事务管理，参与企业、事业单位民主管理，实施民主监督，是工会代表职工权益，依法维护职工利益的重要渠道、途径和形式。特别是在社会主义市场经济的形成过程中，工会履行参与职能更具迫切性和必要性。市场经济是法</w:t>
      </w:r>
      <w:r>
        <w:rPr>
          <w:rFonts w:hint="eastAsia" w:ascii="Times New Roman" w:hAnsi="Times New Roman" w:eastAsia="仿宋_GB2312" w:cs="Times New Roman"/>
          <w:sz w:val="32"/>
          <w:szCs w:val="32"/>
          <w:lang w:val="en-US" w:eastAsia="zh-CN"/>
        </w:rPr>
        <w:t>治</w:t>
      </w:r>
      <w:r>
        <w:rPr>
          <w:rFonts w:hint="default" w:ascii="Times New Roman" w:hAnsi="Times New Roman" w:eastAsia="仿宋_GB2312" w:cs="Times New Roman"/>
          <w:sz w:val="32"/>
          <w:szCs w:val="32"/>
        </w:rPr>
        <w:t>经济，市场经济运行主体都是相应的法律规范。所以，工会要加大对法律法规执行情况开展群众性监督的力度，主动参与立法，从源头上依法维护职工的权益。</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维护职能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职工合法权益是工会的基本职责。由于劳动关系主体存在隶属性，劳动者隶属于用人单位，在劳动者和用人单位这对矛盾中很明显劳动者是弱者，是需要保护的对象。劳动者为了取得平衡，应该依法组建工会，加入工会，在工会的组织下为自己的合法权益而进行抗争，这是非常现实而有效的途径之一。工会维护了职工的合法权益，就是维护了党与群众的血肉联系，就是维护了稳定的大局，就是维护了执政党的执政地位和执政基础。</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建设职能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在我国，社会的主要矛盾是人民日益增长的</w:t>
      </w:r>
      <w:r>
        <w:rPr>
          <w:rFonts w:hint="eastAsia" w:ascii="Times New Roman" w:hAnsi="Times New Roman" w:eastAsia="仿宋_GB2312" w:cs="Times New Roman"/>
          <w:sz w:val="32"/>
          <w:szCs w:val="32"/>
          <w:lang w:val="en-US" w:eastAsia="zh-CN"/>
        </w:rPr>
        <w:t>美好生活</w:t>
      </w:r>
      <w:r>
        <w:rPr>
          <w:rFonts w:hint="default" w:ascii="Times New Roman" w:hAnsi="Times New Roman" w:eastAsia="仿宋_GB2312" w:cs="Times New Roman"/>
          <w:sz w:val="32"/>
          <w:szCs w:val="32"/>
        </w:rPr>
        <w:t>需要</w:t>
      </w:r>
      <w:r>
        <w:rPr>
          <w:rFonts w:hint="eastAsia" w:ascii="Times New Roman" w:hAnsi="Times New Roman" w:eastAsia="仿宋_GB2312" w:cs="Times New Roman"/>
          <w:sz w:val="32"/>
          <w:szCs w:val="32"/>
          <w:lang w:val="en-US" w:eastAsia="zh-CN"/>
        </w:rPr>
        <w:t>和不平等不充分的发展之间的矛盾</w:t>
      </w:r>
      <w:r>
        <w:rPr>
          <w:rFonts w:hint="default" w:ascii="Times New Roman" w:hAnsi="Times New Roman" w:eastAsia="仿宋_GB2312" w:cs="Times New Roman"/>
          <w:sz w:val="32"/>
          <w:szCs w:val="32"/>
        </w:rPr>
        <w:t>。工会代表和维护的职工具体利益的最终实现也在于促进经济的发展和生产力的提高。所以，工会必须从工人阶级的长远利益出发，引导广大职工群众参加建设和改革，努力完成经济和社会发展任务，积极推动社会经济效益和生产力的提高。</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eastAsia" w:ascii="Times New Roman" w:hAnsi="Times New Roman" w:eastAsia="楷体_GB2312" w:cs="楷体_GB2312"/>
          <w:b/>
          <w:i w:val="0"/>
          <w:caps w:val="0"/>
          <w:color w:val="333333"/>
          <w:spacing w:val="0"/>
          <w:sz w:val="32"/>
          <w:szCs w:val="32"/>
          <w:shd w:val="clear" w:color="auto" w:fill="FFFFFF"/>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教育职能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会教育职能包括思想政治教育和文化技术教育。在新时期，劳动者已成为独立、自主、自由的劳动者，他要自我决策、自我负责、自我发展；劳动力进入市场，在劳动力市场中，劳动者的地位、利益完全取决于个人的素质，要在激烈的市场竞争中取胜，要有效地维护自己的合法权益，就必须有较高的素质。这就需要学习，接受教育。因此，工会为了更好地维护职工合法权益，就必须履行好教育这一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rPr>
      </w:pPr>
      <w:bookmarkStart w:id="2" w:name="_Toc22733"/>
      <w:r>
        <w:rPr>
          <w:rFonts w:hint="eastAsia" w:ascii="楷体" w:hAnsi="楷体" w:eastAsia="楷体" w:cs="楷体"/>
          <w:sz w:val="32"/>
          <w:szCs w:val="32"/>
          <w:lang w:val="en-US" w:eastAsia="zh-CN"/>
        </w:rPr>
        <w:t>（二）昭化区总工会</w:t>
      </w:r>
      <w:r>
        <w:rPr>
          <w:rFonts w:hint="default" w:ascii="楷体" w:hAnsi="楷体" w:eastAsia="楷体" w:cs="楷体"/>
          <w:sz w:val="32"/>
          <w:szCs w:val="32"/>
          <w:lang w:val="en-US"/>
        </w:rPr>
        <w:t>2024</w:t>
      </w:r>
      <w:r>
        <w:rPr>
          <w:rFonts w:hint="eastAsia" w:ascii="楷体" w:hAnsi="楷体" w:eastAsia="楷体" w:cs="楷体"/>
          <w:sz w:val="32"/>
          <w:szCs w:val="32"/>
        </w:rPr>
        <w:t>年重点工作</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仿宋_GB2312" w:cs="Times New Roman"/>
          <w:sz w:val="32"/>
          <w:szCs w:val="32"/>
          <w:lang w:val="en-US" w:eastAsia="zh-CN"/>
        </w:rPr>
      </w:pPr>
      <w:bookmarkStart w:id="3" w:name="_Toc21121"/>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.以更高的站位加强职工思想引领。持续强化思想政治引领。全面学习贯彻党的二十大精神，巩固拓展学习贯彻习近平新时代中国特色社会主义思想主题教育成果。筹备“阅读经典好书 争当时代工匠－礼赞二十大·建功新时代”全国职工主题阅读活动。大力弘扬劳模工匠精神。多渠道开展“中国梦·劳动美”主题宣传教育，讲好劳动者故事、新时代工匠故事和工会故事。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.以更强的担当团结职工建功立业。提高职工技能竞赛覆盖面。坚持竞赛活动群众性根本特点，着力扩大覆盖面、提高参与度、增强带动性。围绕其他主题每月开展</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次劳动技能竞赛。持续深化产业工人队伍建设改革品牌。加快推动产业工人队伍建设改革落实落地步伐，召开全市产业工人队伍改革现场会，打造昭化产改品牌。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以更有力的手段维护职工合法权益。加大对户外一线职工、新就业群体、农民工等群体的权益维护，持续开展法治宣传活动。把准新就业形态劳动者收入保障、职业安全保障难等关键问题，研究出台《支持关爱新就业形态劳动者</w:t>
      </w: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条措施》。做好农民工维权服务，发挥法律援助站作用，为农民工劳动争议案件提供“绿色通道”。常态化抓好困难职工帮扶、就业创业服务、根治欠薪和平安返乡返岗等服务工作。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以更实的举措提升职工生活品质。把竭诚为职工服务作为工会一切工作的出发点和落脚点，加强服务阵地建设，力争在中国西部（广元）绿色家居产业城建成职工之家，丰富优质职工文化产品供给。健全困难职工家庭常态化帮扶机制，继续叫响做实送温暖、金秋助学、阳光就业、职工医疗互助、工会法律援助、关爱农民工子女等工会工作传统品牌，让职工群众有更多的获得感、幸福感和安全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以更高标准加强工会工作体系化建设。稳步推进“县级工会加强年”专项工作，持续开展“百名主席进企业”蹲点行动。强化巡察整改，完善内部控制制度，健全完善工会干部育选管用工作体系，强化考核结果运用，增强干部推动高质量发展本领、服务群众本领、防范化解风险本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bookmarkEnd w:id="3"/>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昭化区总工会下属事业单位</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个（昭化区工人文化宫）。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29131"/>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按照综合预算的原则，区总工会所有收入和支出均纳入部门预算管理。收入包括：一般公共预算拨款收入。支出包括：一般公共服务支出、社会保障和就业支出、卫生健康支出、住房保障支出。区总工会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年收支预算总数</w:t>
      </w:r>
      <w:r>
        <w:rPr>
          <w:rFonts w:hint="default" w:ascii="Times New Roman" w:hAnsi="Times New Roman" w:eastAsia="仿宋_GB2312" w:cs="Times New Roman"/>
          <w:sz w:val="32"/>
          <w:szCs w:val="32"/>
          <w:lang w:val="en-US" w:eastAsia="zh-CN"/>
        </w:rPr>
        <w:t>225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万元,比</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年收支预算总数减少</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84</w:t>
      </w:r>
      <w:r>
        <w:rPr>
          <w:rFonts w:hint="eastAsia" w:ascii="仿宋_GB2312" w:hAnsi="仿宋_GB2312" w:eastAsia="仿宋_GB2312" w:cs="仿宋_GB2312"/>
          <w:sz w:val="32"/>
          <w:szCs w:val="32"/>
          <w:lang w:val="en-US" w:eastAsia="zh-CN"/>
        </w:rPr>
        <w:t>万元，主要原因是</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年退休</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5" w:name="_Toc21746"/>
      <w:r>
        <w:rPr>
          <w:rFonts w:hint="eastAsia" w:ascii="楷体" w:hAnsi="楷体" w:eastAsia="楷体" w:cs="楷体"/>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年收入预算</w:t>
      </w:r>
      <w:r>
        <w:rPr>
          <w:rFonts w:hint="default" w:ascii="Times New Roman" w:hAnsi="Times New Roman" w:eastAsia="仿宋_GB2312" w:cs="Times New Roman"/>
          <w:sz w:val="32"/>
          <w:szCs w:val="32"/>
          <w:lang w:val="en-US" w:eastAsia="zh-CN"/>
        </w:rPr>
        <w:t>225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万元，其中：一般公共预算拨款收入</w:t>
      </w:r>
      <w:r>
        <w:rPr>
          <w:rFonts w:hint="default" w:ascii="Times New Roman" w:hAnsi="Times New Roman" w:eastAsia="仿宋_GB2312" w:cs="Times New Roman"/>
          <w:sz w:val="32"/>
          <w:szCs w:val="32"/>
          <w:lang w:val="en-US" w:eastAsia="zh-CN"/>
        </w:rPr>
        <w:t>225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6" w:name="_Toc30175"/>
      <w:r>
        <w:rPr>
          <w:rFonts w:hint="eastAsia" w:ascii="楷体" w:hAnsi="楷体" w:eastAsia="楷体" w:cs="楷体"/>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年支出预算</w:t>
      </w:r>
      <w:r>
        <w:rPr>
          <w:rFonts w:hint="default" w:ascii="Times New Roman" w:hAnsi="Times New Roman" w:eastAsia="仿宋_GB2312" w:cs="Times New Roman"/>
          <w:sz w:val="32"/>
          <w:szCs w:val="32"/>
          <w:lang w:val="en-US" w:eastAsia="zh-CN"/>
        </w:rPr>
        <w:t>225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万元，其中：基本支出</w:t>
      </w:r>
      <w:r>
        <w:rPr>
          <w:rFonts w:hint="default" w:ascii="Times New Roman" w:hAnsi="Times New Roman" w:eastAsia="仿宋_GB2312" w:cs="Times New Roman"/>
          <w:sz w:val="32"/>
          <w:szCs w:val="32"/>
          <w:lang w:val="en-US" w:eastAsia="zh-CN"/>
        </w:rPr>
        <w:t>87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38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62</w:t>
      </w:r>
      <w:r>
        <w:rPr>
          <w:rFonts w:hint="eastAsia" w:ascii="仿宋_GB2312" w:hAnsi="仿宋_GB2312" w:eastAsia="仿宋_GB2312" w:cs="仿宋_GB2312"/>
          <w:sz w:val="32"/>
          <w:szCs w:val="32"/>
          <w:lang w:val="en-US" w:eastAsia="zh-CN"/>
        </w:rPr>
        <w:t>%；项目支出</w:t>
      </w:r>
      <w:r>
        <w:rPr>
          <w:rFonts w:hint="default" w:ascii="Times New Roman" w:hAnsi="Times New Roman" w:eastAsia="仿宋_GB2312" w:cs="Times New Roman"/>
          <w:sz w:val="32"/>
          <w:szCs w:val="32"/>
          <w:lang w:val="en-US" w:eastAsia="zh-CN"/>
        </w:rPr>
        <w:t>138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19361"/>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年财政拨款收支预算总数</w:t>
      </w:r>
      <w:r>
        <w:rPr>
          <w:rFonts w:hint="default" w:ascii="Times New Roman" w:hAnsi="Times New Roman" w:eastAsia="仿宋_GB2312" w:cs="Times New Roman"/>
          <w:sz w:val="32"/>
          <w:szCs w:val="32"/>
          <w:lang w:val="en-US" w:eastAsia="zh-CN"/>
        </w:rPr>
        <w:t>225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万元,比</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年财政拨款收支预算总数减少</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84</w:t>
      </w:r>
      <w:r>
        <w:rPr>
          <w:rFonts w:hint="eastAsia" w:ascii="仿宋_GB2312" w:hAnsi="仿宋_GB2312" w:eastAsia="仿宋_GB2312" w:cs="仿宋_GB2312"/>
          <w:sz w:val="32"/>
          <w:szCs w:val="32"/>
          <w:lang w:val="en-US" w:eastAsia="zh-CN"/>
        </w:rPr>
        <w:t>万元，主要原因是</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年退休</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w:t>
      </w:r>
      <w:r>
        <w:rPr>
          <w:rFonts w:hint="default" w:ascii="Times New Roman" w:hAnsi="Times New Roman" w:eastAsia="仿宋_GB2312" w:cs="Times New Roman"/>
          <w:sz w:val="32"/>
          <w:szCs w:val="32"/>
          <w:lang w:val="en-US" w:eastAsia="zh-CN"/>
        </w:rPr>
        <w:t>225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万元；支出包括：一般公共服务支出</w:t>
      </w:r>
      <w:r>
        <w:rPr>
          <w:rFonts w:hint="default" w:ascii="Times New Roman" w:hAnsi="Times New Roman" w:eastAsia="仿宋_GB2312" w:cs="Times New Roman"/>
          <w:sz w:val="32"/>
          <w:szCs w:val="32"/>
          <w:lang w:val="en-US" w:eastAsia="zh-CN"/>
        </w:rPr>
        <w:t>199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万元、社会保障和就业支出</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48</w:t>
      </w:r>
      <w:r>
        <w:rPr>
          <w:rFonts w:hint="eastAsia" w:ascii="仿宋_GB2312" w:hAnsi="仿宋_GB2312" w:eastAsia="仿宋_GB2312" w:cs="仿宋_GB2312"/>
          <w:sz w:val="32"/>
          <w:szCs w:val="32"/>
          <w:lang w:val="en-US" w:eastAsia="zh-CN"/>
        </w:rPr>
        <w:t>万元、卫生健康支出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87</w:t>
      </w:r>
      <w:r>
        <w:rPr>
          <w:rFonts w:hint="eastAsia" w:ascii="仿宋_GB2312" w:hAnsi="仿宋_GB2312" w:eastAsia="仿宋_GB2312" w:cs="仿宋_GB2312"/>
          <w:sz w:val="32"/>
          <w:szCs w:val="32"/>
          <w:lang w:val="en-US" w:eastAsia="zh-CN"/>
        </w:rPr>
        <w:t>万元、住房保障支出</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6575"/>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9" w:name="_Toc5818"/>
      <w:r>
        <w:rPr>
          <w:rFonts w:hint="eastAsia" w:ascii="楷体" w:hAnsi="楷体" w:eastAsia="楷体" w:cs="楷体"/>
          <w:sz w:val="32"/>
          <w:szCs w:val="32"/>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年一般公共预算当年拨款</w:t>
      </w:r>
      <w:r>
        <w:rPr>
          <w:rFonts w:hint="default" w:ascii="Times New Roman" w:hAnsi="Times New Roman" w:eastAsia="仿宋_GB2312" w:cs="Times New Roman"/>
          <w:sz w:val="32"/>
          <w:szCs w:val="32"/>
          <w:lang w:val="en-US" w:eastAsia="zh-CN"/>
        </w:rPr>
        <w:t>225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万元，比</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年预算数减少</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84</w:t>
      </w:r>
      <w:r>
        <w:rPr>
          <w:rFonts w:hint="eastAsia" w:ascii="仿宋_GB2312" w:hAnsi="仿宋_GB2312" w:eastAsia="仿宋_GB2312" w:cs="仿宋_GB2312"/>
          <w:sz w:val="32"/>
          <w:szCs w:val="32"/>
          <w:lang w:val="en-US" w:eastAsia="zh-CN"/>
        </w:rPr>
        <w:t>万元，主要原因是</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年退休</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10" w:name="_Toc10857"/>
      <w:r>
        <w:rPr>
          <w:rFonts w:hint="eastAsia" w:ascii="楷体" w:hAnsi="楷体" w:eastAsia="楷体" w:cs="楷体"/>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w:t>
      </w:r>
      <w:r>
        <w:rPr>
          <w:rFonts w:hint="default" w:ascii="Times New Roman" w:hAnsi="Times New Roman" w:eastAsia="仿宋_GB2312" w:cs="Times New Roman"/>
          <w:sz w:val="32"/>
          <w:szCs w:val="32"/>
          <w:lang w:val="en-US" w:eastAsia="zh-CN"/>
        </w:rPr>
        <w:t>199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88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65</w:t>
      </w:r>
      <w:r>
        <w:rPr>
          <w:rFonts w:hint="eastAsia" w:ascii="仿宋_GB2312" w:hAnsi="仿宋_GB2312" w:eastAsia="仿宋_GB2312" w:cs="仿宋_GB2312"/>
          <w:sz w:val="32"/>
          <w:szCs w:val="32"/>
          <w:lang w:val="en-US" w:eastAsia="zh-CN"/>
        </w:rPr>
        <w:t>%；社会保障和就业支出</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48</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31</w:t>
      </w:r>
      <w:r>
        <w:rPr>
          <w:rFonts w:hint="eastAsia" w:ascii="仿宋_GB2312" w:hAnsi="仿宋_GB2312" w:eastAsia="仿宋_GB2312" w:cs="仿宋_GB2312"/>
          <w:sz w:val="32"/>
          <w:szCs w:val="32"/>
          <w:lang w:val="en-US" w:eastAsia="zh-CN"/>
        </w:rPr>
        <w:t>%；卫生健康支出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87</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lang w:val="en-US" w:eastAsia="zh-CN"/>
        </w:rPr>
        <w:t>%；住房保障支出</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77</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11" w:name="_Toc19866"/>
      <w:r>
        <w:rPr>
          <w:rFonts w:hint="eastAsia" w:ascii="楷体" w:hAnsi="楷体" w:eastAsia="楷体" w:cs="楷体"/>
          <w:sz w:val="32"/>
          <w:szCs w:val="32"/>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一般公共服务（类）群众团体支出（款）行政运行（项）</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199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万元，主要用于：基本支出，包括基本工资、津贴补贴等人员经费以及办公费、印刷费、水电费等日常公用经费，保障部门正常运转。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.社会保障和就业（类）行政事业单位养老支出（款）事业单位离退休（项）</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00</w:t>
      </w:r>
      <w:r>
        <w:rPr>
          <w:rFonts w:hint="eastAsia" w:ascii="仿宋_GB2312" w:hAnsi="仿宋_GB2312" w:eastAsia="仿宋_GB2312" w:cs="仿宋_GB2312"/>
          <w:sz w:val="32"/>
          <w:szCs w:val="32"/>
          <w:lang w:val="en-US" w:eastAsia="zh-CN"/>
        </w:rPr>
        <w:t>万元，主要用于：部门下属事业单位离退休人员经费支出。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33</w:t>
      </w:r>
      <w:r>
        <w:rPr>
          <w:rFonts w:hint="eastAsia" w:ascii="仿宋_GB2312" w:hAnsi="仿宋_GB2312" w:eastAsia="仿宋_GB2312" w:cs="仿宋_GB2312"/>
          <w:sz w:val="32"/>
          <w:szCs w:val="32"/>
          <w:lang w:val="en-US" w:eastAsia="zh-CN"/>
        </w:rPr>
        <w:t>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.社会保障和就业（类）其他社会保障和就业（款）其他社会保障和就业支出（项）</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万元，主要用于：事业单位其他社会保障和就业支出。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.卫生健康（类）行政事业单位医疗（款）行政单位医疗（项）</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万元，主要用于：机关事业单位按规定由单位缴纳的基本医疗保险支出。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.卫生健康（类）行政事业单位医疗（款）事业单位医疗（项）</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07</w:t>
      </w:r>
      <w:r>
        <w:rPr>
          <w:rFonts w:hint="eastAsia" w:ascii="仿宋_GB2312" w:hAnsi="仿宋_GB2312" w:eastAsia="仿宋_GB2312" w:cs="仿宋_GB2312"/>
          <w:sz w:val="32"/>
          <w:szCs w:val="32"/>
          <w:lang w:val="en-US" w:eastAsia="zh-CN"/>
        </w:rPr>
        <w:t>万元，主要用于：部门下属事业单位按规定由单位缴纳的基本医疗保险支出。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.住房保障（类）住房改革支出（款）住房公积金（项）</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3382"/>
      <w:r>
        <w:rPr>
          <w:rFonts w:hint="eastAsia" w:ascii="黑体" w:hAnsi="黑体" w:eastAsia="黑体" w:cs="黑体"/>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区总工会</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年一般公共预算基本支出</w:t>
      </w:r>
      <w:r>
        <w:rPr>
          <w:rFonts w:hint="default" w:ascii="Times New Roman" w:hAnsi="Times New Roman" w:eastAsia="仿宋_GB2312" w:cs="Times New Roman"/>
          <w:color w:val="auto"/>
          <w:sz w:val="32"/>
          <w:szCs w:val="32"/>
          <w:lang w:val="en-US" w:eastAsia="zh-CN"/>
        </w:rPr>
        <w:t>87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万元，其中：</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人员经费</w:t>
      </w:r>
      <w:r>
        <w:rPr>
          <w:rFonts w:hint="default" w:ascii="Times New Roman" w:hAnsi="Times New Roman" w:eastAsia="仿宋_GB2312" w:cs="Times New Roman"/>
          <w:color w:val="auto"/>
          <w:sz w:val="32"/>
          <w:szCs w:val="32"/>
          <w:lang w:val="en-US" w:eastAsia="zh-CN"/>
        </w:rPr>
        <w:t>77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76</w:t>
      </w:r>
      <w:r>
        <w:rPr>
          <w:rFonts w:hint="eastAsia" w:ascii="仿宋_GB2312" w:hAnsi="仿宋_GB2312" w:eastAsia="仿宋_GB2312" w:cs="仿宋_GB2312"/>
          <w:color w:val="auto"/>
          <w:sz w:val="32"/>
          <w:szCs w:val="32"/>
          <w:lang w:val="en-US" w:eastAsia="zh-CN"/>
        </w:rPr>
        <w:t>万元，主要包括：基本工资、津贴补贴、奖金、绩效工资、社会保险缴费、住房公积金、对个人和家庭补助。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公用经费</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lang w:val="en-US" w:eastAsia="zh-CN"/>
        </w:rPr>
        <w:t>万元，主要包括：办公费、印刷费、差旅费、公务接待费、其他交通费用。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8180"/>
      <w:r>
        <w:rPr>
          <w:rFonts w:hint="eastAsia" w:ascii="黑体" w:hAnsi="黑体" w:eastAsia="黑体" w:cs="黑体"/>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年“三公”经费财政拨款预算数</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万元，其中：公务接待费</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14" w:name="_Toc4901"/>
      <w:r>
        <w:rPr>
          <w:rFonts w:hint="eastAsia" w:ascii="楷体" w:hAnsi="楷体" w:eastAsia="楷体" w:cs="楷体"/>
          <w:sz w:val="32"/>
          <w:szCs w:val="32"/>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年公务接待费计划用于执行接待考察调研、检查指导等公务活动开支的交通费、住宿费、用餐费等。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15" w:name="_Toc22485"/>
      <w:r>
        <w:rPr>
          <w:rFonts w:hint="eastAsia" w:ascii="楷体" w:hAnsi="楷体" w:eastAsia="楷体" w:cs="楷体"/>
          <w:sz w:val="32"/>
          <w:szCs w:val="32"/>
          <w:lang w:val="en-US" w:eastAsia="zh-CN"/>
        </w:rPr>
        <w:t>（二）公务用车购置及运行维护费</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年预算相比无变化。</w:t>
      </w:r>
      <w:r>
        <w:rPr>
          <w:rFonts w:hint="eastAsia" w:ascii="Times New Roman" w:hAnsi="Times New Roman" w:eastAsia="仿宋_GB2312" w:cs="仿宋_GB2312"/>
          <w:sz w:val="32"/>
          <w:szCs w:val="32"/>
          <w:lang w:val="en-US" w:eastAsia="zh-CN"/>
        </w:rPr>
        <w:t>预算均为</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辆，其中：轿车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辆，旅行车（含商务车）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辆，越野车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年安排公务用车运行维护费</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6" w:name="_Toc3451"/>
      <w:r>
        <w:rPr>
          <w:rFonts w:hint="eastAsia" w:ascii="楷体" w:hAnsi="楷体" w:eastAsia="楷体" w:cs="楷体"/>
          <w:sz w:val="32"/>
          <w:szCs w:val="32"/>
          <w:lang w:val="en-US" w:eastAsia="zh-CN"/>
        </w:rPr>
        <w:t>（三）因公出国（境）经费</w:t>
      </w:r>
      <w:bookmarkEnd w:id="16"/>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76" w:lineRule="exact"/>
        <w:ind w:left="0" w:leftChars="0" w:right="0" w:firstLine="66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年预算相比无变化。</w:t>
      </w:r>
      <w:r>
        <w:rPr>
          <w:rFonts w:hint="eastAsia" w:ascii="Times New Roman" w:hAnsi="Times New Roman" w:eastAsia="仿宋_GB2312" w:cs="仿宋_GB2312"/>
          <w:sz w:val="32"/>
          <w:szCs w:val="32"/>
          <w:lang w:val="en-US" w:eastAsia="zh-CN"/>
        </w:rPr>
        <w:t>预算均为</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7" w:name="_Toc9365"/>
      <w:r>
        <w:rPr>
          <w:rFonts w:hint="eastAsia" w:ascii="黑体" w:hAnsi="黑体" w:eastAsia="黑体" w:cs="黑体"/>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11669"/>
      <w:r>
        <w:rPr>
          <w:rFonts w:hint="eastAsia" w:ascii="黑体" w:hAnsi="黑体" w:eastAsia="黑体" w:cs="黑体"/>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区总工会</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9" w:name="_Toc1112"/>
      <w:r>
        <w:rPr>
          <w:rFonts w:hint="eastAsia" w:ascii="黑体" w:hAnsi="黑体" w:eastAsia="黑体" w:cs="黑体"/>
          <w:sz w:val="32"/>
          <w:szCs w:val="32"/>
          <w:lang w:val="en-US" w:eastAsia="zh-CN"/>
        </w:rPr>
        <w:t>十、其他重要事项的情况说明</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0" w:name="_Toc21690"/>
      <w:r>
        <w:rPr>
          <w:rFonts w:hint="eastAsia" w:ascii="楷体" w:hAnsi="楷体" w:eastAsia="楷体" w:cs="楷体"/>
          <w:sz w:val="32"/>
          <w:szCs w:val="32"/>
          <w:lang w:val="en-US" w:eastAsia="zh-CN"/>
        </w:rPr>
        <w:t>（一）机关运行经费</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年，区总工会机关运行经费财政拨款预算为</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lang w:val="en-US" w:eastAsia="zh-CN"/>
        </w:rPr>
        <w:t>万元，比</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年预算减少</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86</w:t>
      </w:r>
      <w:r>
        <w:rPr>
          <w:rFonts w:hint="eastAsia" w:ascii="仿宋_GB2312" w:hAnsi="仿宋_GB2312" w:eastAsia="仿宋_GB2312" w:cs="仿宋_GB2312"/>
          <w:sz w:val="32"/>
          <w:szCs w:val="32"/>
          <w:lang w:val="en-US" w:eastAsia="zh-CN"/>
        </w:rPr>
        <w:t>万元，下降</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lang w:val="en-US" w:eastAsia="zh-CN"/>
        </w:rPr>
        <w:t>%。主要原因</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年退休</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1" w:name="_Toc10178"/>
      <w:r>
        <w:rPr>
          <w:rFonts w:hint="eastAsia" w:ascii="楷体" w:hAnsi="楷体" w:eastAsia="楷体" w:cs="楷体"/>
          <w:sz w:val="32"/>
          <w:szCs w:val="32"/>
          <w:lang w:val="en-US" w:eastAsia="zh-CN"/>
        </w:rPr>
        <w:t>（二）政府采购情况</w:t>
      </w:r>
      <w:bookmarkEnd w:id="21"/>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firstLine="64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我会无政府采购预算。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2" w:name="_Toc23437"/>
      <w:r>
        <w:rPr>
          <w:rFonts w:hint="eastAsia" w:ascii="楷体" w:hAnsi="楷体" w:eastAsia="楷体" w:cs="楷体"/>
          <w:sz w:val="32"/>
          <w:szCs w:val="32"/>
          <w:lang w:val="en-US" w:eastAsia="zh-CN"/>
        </w:rPr>
        <w:t>（三）国有资产占有使用情况</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年底，区总工会共有车辆</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辆，其中，领导干部用车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辆、定向保障用车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辆、执法执勤用车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万元。其中，财政拨款预算安排</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万元，非财政拨款安排</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万元。拟购置定向保障用车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辆、执法执勤用车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辆。安排大型设备购置经费</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3" w:name="_Toc3386"/>
      <w:r>
        <w:rPr>
          <w:rFonts w:hint="eastAsia" w:ascii="楷体" w:hAnsi="楷体" w:eastAsia="楷体" w:cs="楷体"/>
          <w:sz w:val="32"/>
          <w:szCs w:val="32"/>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年区总工会开展绩效目标管理的项目</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138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万元。其中：人员类项目</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万元；运转类项目</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136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万元；特定目标类项目</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4" w:name="_Toc22013"/>
      <w:r>
        <w:rPr>
          <w:rFonts w:hint="eastAsia" w:ascii="黑体" w:hAnsi="黑体" w:eastAsia="黑体" w:cs="黑体"/>
          <w:sz w:val="32"/>
          <w:szCs w:val="32"/>
          <w:lang w:val="en-US" w:eastAsia="zh-CN"/>
        </w:rPr>
        <w:t>十一、名词解释</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（一）财政拨款收入</w:t>
      </w:r>
      <w:r>
        <w:rPr>
          <w:rFonts w:hint="default" w:ascii="楷体" w:hAnsi="楷体" w:eastAsia="楷体" w:cs="楷体"/>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一般公共服务（类）</w:t>
      </w:r>
      <w:r>
        <w:rPr>
          <w:rFonts w:hint="eastAsia" w:ascii="楷体" w:hAnsi="楷体" w:eastAsia="楷体" w:cs="楷体"/>
          <w:sz w:val="32"/>
          <w:szCs w:val="32"/>
          <w:lang w:val="en-US" w:eastAsia="zh-CN"/>
        </w:rPr>
        <w:t>群众团体支出</w:t>
      </w:r>
      <w:r>
        <w:rPr>
          <w:rFonts w:hint="default" w:ascii="楷体" w:hAnsi="楷体" w:eastAsia="楷体" w:cs="楷体"/>
          <w:sz w:val="32"/>
          <w:szCs w:val="32"/>
          <w:lang w:val="en-US" w:eastAsia="zh-CN"/>
        </w:rPr>
        <w:t>（款）行政运行（项）</w:t>
      </w:r>
      <w:r>
        <w:rPr>
          <w:rFonts w:hint="eastAsia" w:ascii="楷体" w:hAnsi="楷体" w:eastAsia="楷体" w:cs="楷体"/>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lang w:val="en-US" w:eastAsia="zh-CN"/>
        </w:rPr>
        <w:t>（三）</w:t>
      </w:r>
      <w:r>
        <w:rPr>
          <w:rFonts w:hint="default" w:ascii="楷体" w:hAnsi="楷体" w:eastAsia="楷体" w:cs="楷体"/>
          <w:sz w:val="32"/>
          <w:szCs w:val="32"/>
          <w:lang w:val="en-US" w:eastAsia="zh-CN"/>
        </w:rPr>
        <w:t>一般公共服务（类）</w:t>
      </w:r>
      <w:r>
        <w:rPr>
          <w:rFonts w:hint="eastAsia" w:ascii="楷体" w:hAnsi="楷体" w:eastAsia="楷体" w:cs="楷体"/>
          <w:sz w:val="32"/>
          <w:szCs w:val="32"/>
          <w:lang w:val="en-US" w:eastAsia="zh-CN"/>
        </w:rPr>
        <w:t>群众团体支出</w:t>
      </w:r>
      <w:r>
        <w:rPr>
          <w:rFonts w:hint="default" w:ascii="楷体" w:hAnsi="楷体" w:eastAsia="楷体" w:cs="楷体"/>
          <w:sz w:val="32"/>
          <w:szCs w:val="32"/>
          <w:lang w:val="en-US" w:eastAsia="zh-CN"/>
        </w:rPr>
        <w:t>（款）事业运行（项）</w:t>
      </w:r>
      <w:r>
        <w:rPr>
          <w:rFonts w:hint="eastAsia" w:ascii="楷体" w:hAnsi="楷体" w:eastAsia="楷体" w:cs="楷体"/>
          <w:sz w:val="32"/>
          <w:szCs w:val="32"/>
          <w:lang w:val="en-US" w:eastAsia="zh-CN"/>
        </w:rPr>
        <w:t>：</w:t>
      </w:r>
      <w:r>
        <w:rPr>
          <w:rFonts w:hint="eastAsia" w:ascii="仿宋_GB2312" w:hAnsi="仿宋_GB2312" w:eastAsia="仿宋_GB2312" w:cs="仿宋_GB2312"/>
          <w:sz w:val="32"/>
          <w:szCs w:val="32"/>
          <w:lang w:val="en-US" w:eastAsia="zh-CN"/>
        </w:rPr>
        <w:t>指工人文化宫事业人员的基本支出。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（十）“三公”经费：</w:t>
      </w:r>
      <w:r>
        <w:rPr>
          <w:rFonts w:hint="eastAsia" w:ascii="仿宋_GB2312" w:hAnsi="仿宋_GB2312" w:eastAsia="仿宋_GB2312" w:cs="仿宋_GB2312"/>
          <w:sz w:val="32"/>
          <w:szCs w:val="32"/>
          <w:lang w:val="en-US" w:eastAsia="zh-CN"/>
        </w:rPr>
        <w:t>纳入区级财政预算管理的“三公”经费，是指部门用财政拨款安排的公务接待费。公务接待费反映单位按规定开支的各类公务接待（含外宾接待）支出。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为保障行政单位运行用于购买货物和服务的各项资金，包括办公及印刷费、差旅费及其他费用。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174D01-0E0B-4E76-8E84-54F9FB2464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embedRegular r:id="rId2" w:fontKey="{CD06D311-285D-4C33-B7AA-B5069FCFAF0F}"/>
  </w:font>
  <w:font w:name="仿宋_GB2312">
    <w:panose1 w:val="02010609030101010101"/>
    <w:charset w:val="86"/>
    <w:family w:val="auto"/>
    <w:pitch w:val="default"/>
    <w:sig w:usb0="00000001" w:usb1="080E0000" w:usb2="00000000" w:usb3="00000000" w:csb0="00040000" w:csb1="00000000"/>
    <w:embedRegular r:id="rId3" w:fontKey="{5B522E0A-0FA3-4F97-9A83-B7E4DE586495}"/>
  </w:font>
  <w:font w:name="仿宋">
    <w:panose1 w:val="02010609060101010101"/>
    <w:charset w:val="86"/>
    <w:family w:val="auto"/>
    <w:pitch w:val="default"/>
    <w:sig w:usb0="800002BF" w:usb1="38CF7CFA" w:usb2="00000016" w:usb3="00000000" w:csb0="00040001" w:csb1="00000000"/>
    <w:embedRegular r:id="rId4" w:fontKey="{11583F28-ED2A-46C3-AA76-10AD0C1C5A72}"/>
  </w:font>
  <w:font w:name="楷体">
    <w:panose1 w:val="02010609060101010101"/>
    <w:charset w:val="86"/>
    <w:family w:val="auto"/>
    <w:pitch w:val="default"/>
    <w:sig w:usb0="800002BF" w:usb1="38CF7CFA" w:usb2="00000016" w:usb3="00000000" w:csb0="00040001" w:csb1="00000000"/>
    <w:embedRegular r:id="rId5" w:fontKey="{9A422B38-9343-4A69-B343-35EF0C79FF30}"/>
  </w:font>
  <w:font w:name="楷体_GB2312">
    <w:panose1 w:val="02010609030101010101"/>
    <w:charset w:val="86"/>
    <w:family w:val="auto"/>
    <w:pitch w:val="default"/>
    <w:sig w:usb0="00000001" w:usb1="080E0000" w:usb2="00000000" w:usb3="00000000" w:csb0="00040000" w:csb1="00000000"/>
    <w:embedRegular r:id="rId6" w:fontKey="{3E732176-D56B-4DA3-BD95-FCA8A4EA767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NzJmYTVjODMyZmZiNjY3NTdkMDJkN2MwNWY1OTgifQ=="/>
  </w:docVars>
  <w:rsids>
    <w:rsidRoot w:val="00000000"/>
    <w:rsid w:val="012352D1"/>
    <w:rsid w:val="02ED026C"/>
    <w:rsid w:val="0E6F38BF"/>
    <w:rsid w:val="17606E66"/>
    <w:rsid w:val="1F7BF06F"/>
    <w:rsid w:val="1FEE4B73"/>
    <w:rsid w:val="23C04556"/>
    <w:rsid w:val="23CE9849"/>
    <w:rsid w:val="2A5C2013"/>
    <w:rsid w:val="2D090B71"/>
    <w:rsid w:val="38A8605B"/>
    <w:rsid w:val="39F304DD"/>
    <w:rsid w:val="3CD07361"/>
    <w:rsid w:val="3E160E69"/>
    <w:rsid w:val="51CA5C87"/>
    <w:rsid w:val="54244390"/>
    <w:rsid w:val="54662A63"/>
    <w:rsid w:val="58064E12"/>
    <w:rsid w:val="5A8A77AE"/>
    <w:rsid w:val="5BFEE015"/>
    <w:rsid w:val="5DE26258"/>
    <w:rsid w:val="63EDCF55"/>
    <w:rsid w:val="63FBFBCF"/>
    <w:rsid w:val="669360FD"/>
    <w:rsid w:val="68FF6A83"/>
    <w:rsid w:val="6FBBC9CF"/>
    <w:rsid w:val="72BDE561"/>
    <w:rsid w:val="78462278"/>
    <w:rsid w:val="7997EA6C"/>
    <w:rsid w:val="7AEAE675"/>
    <w:rsid w:val="7B365EB0"/>
    <w:rsid w:val="7BAFCE5D"/>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sz w:val="21"/>
      <w:szCs w:val="21"/>
    </w:r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TotalTime>23</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诸宝贝</cp:lastModifiedBy>
  <cp:lastPrinted>2024-04-19T08:25:00Z</cp:lastPrinted>
  <dcterms:modified xsi:type="dcterms:W3CDTF">2024-04-22T00:53:58Z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804C10D438DC4A499B1A831B1C914CFC_13</vt:lpwstr>
  </property>
</Properties>
</file>