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94FCE">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96597"/>
      <w:bookmarkStart w:id="2" w:name="_Toc15377425"/>
      <w:bookmarkStart w:id="3" w:name="_Toc15396475"/>
      <w:bookmarkStart w:id="4" w:name="_Toc15377193"/>
      <w:bookmarkStart w:id="5" w:name="_Toc15306267"/>
      <w:bookmarkStart w:id="114" w:name="_GoBack"/>
      <w:bookmarkEnd w:id="114"/>
    </w:p>
    <w:p w14:paraId="387D02B7">
      <w:pPr>
        <w:spacing w:line="600" w:lineRule="exact"/>
        <w:jc w:val="center"/>
        <w:outlineLvl w:val="0"/>
        <w:rPr>
          <w:rFonts w:ascii="方正小标宋简体" w:hAnsi="宋体" w:eastAsia="方正小标宋简体"/>
          <w:color w:val="auto"/>
          <w:sz w:val="72"/>
          <w:szCs w:val="72"/>
          <w:highlight w:val="none"/>
        </w:rPr>
      </w:pPr>
    </w:p>
    <w:p w14:paraId="588BE42D">
      <w:pPr>
        <w:spacing w:line="600" w:lineRule="exact"/>
        <w:jc w:val="center"/>
        <w:outlineLvl w:val="0"/>
        <w:rPr>
          <w:rFonts w:ascii="方正小标宋简体" w:hAnsi="宋体" w:eastAsia="方正小标宋简体"/>
          <w:color w:val="auto"/>
          <w:sz w:val="72"/>
          <w:szCs w:val="72"/>
          <w:highlight w:val="none"/>
        </w:rPr>
      </w:pPr>
    </w:p>
    <w:p w14:paraId="624DDC71">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96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14:paraId="5AB93781">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7" w:name="_Toc10501"/>
      <w:bookmarkStart w:id="8" w:name="_Toc15377194"/>
      <w:bookmarkStart w:id="9" w:name="_Toc15396476"/>
      <w:bookmarkStart w:id="10" w:name="_Toc15396598"/>
      <w:bookmarkStart w:id="11" w:name="_Toc15377426"/>
      <w:bookmarkStart w:id="12" w:name="_Toc15378442"/>
      <w:r>
        <w:rPr>
          <w:rFonts w:hint="eastAsia" w:ascii="方正小标宋简体" w:hAnsi="方正小标宋简体" w:eastAsia="方正小标宋简体" w:cs="方正小标宋简体"/>
          <w:color w:val="auto"/>
          <w:sz w:val="72"/>
          <w:szCs w:val="72"/>
          <w:highlight w:val="none"/>
        </w:rPr>
        <w:t>四川省</w:t>
      </w:r>
      <w:bookmarkEnd w:id="5"/>
      <w:bookmarkStart w:id="13" w:name="_Toc15306268"/>
      <w:r>
        <w:rPr>
          <w:rFonts w:hint="eastAsia" w:ascii="方正小标宋简体" w:hAnsi="方正小标宋简体" w:eastAsia="方正小标宋简体" w:cs="方正小标宋简体"/>
          <w:color w:val="auto"/>
          <w:sz w:val="72"/>
          <w:szCs w:val="72"/>
          <w:highlight w:val="none"/>
          <w:lang w:val="en-US" w:eastAsia="zh-CN"/>
        </w:rPr>
        <w:t>广元市昭化区</w:t>
      </w:r>
      <w:bookmarkEnd w:id="7"/>
    </w:p>
    <w:p w14:paraId="388F2817">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4" w:name="_Toc5508"/>
      <w:r>
        <w:rPr>
          <w:rFonts w:hint="eastAsia" w:ascii="方正小标宋简体" w:hAnsi="方正小标宋简体" w:eastAsia="方正小标宋简体" w:cs="方正小标宋简体"/>
          <w:color w:val="auto"/>
          <w:sz w:val="72"/>
          <w:szCs w:val="72"/>
          <w:highlight w:val="none"/>
          <w:lang w:val="en-US" w:eastAsia="zh-CN"/>
        </w:rPr>
        <w:t>总工会</w:t>
      </w:r>
      <w:r>
        <w:rPr>
          <w:rFonts w:hint="eastAsia" w:ascii="方正小标宋简体" w:hAnsi="方正小标宋简体" w:eastAsia="方正小标宋简体" w:cs="方正小标宋简体"/>
          <w:color w:val="auto"/>
          <w:sz w:val="72"/>
          <w:szCs w:val="72"/>
          <w:highlight w:val="none"/>
        </w:rPr>
        <w:t>部门决算</w:t>
      </w:r>
      <w:bookmarkEnd w:id="8"/>
      <w:bookmarkEnd w:id="9"/>
      <w:bookmarkEnd w:id="10"/>
      <w:bookmarkEnd w:id="11"/>
      <w:bookmarkEnd w:id="12"/>
      <w:bookmarkEnd w:id="13"/>
      <w:bookmarkEnd w:id="14"/>
    </w:p>
    <w:p w14:paraId="74822199"/>
    <w:p w14:paraId="126159A4">
      <w:pPr>
        <w:widowControl/>
        <w:jc w:val="center"/>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p>
    <w:sdt>
      <w:sdtPr>
        <w:rPr>
          <w:rFonts w:ascii="宋体" w:hAnsi="宋体" w:eastAsia="宋体" w:cs="Times New Roman"/>
          <w:b/>
          <w:bCs/>
          <w:kern w:val="2"/>
          <w:sz w:val="32"/>
          <w:szCs w:val="32"/>
          <w:lang w:val="en-US" w:eastAsia="zh-CN" w:bidi="ar-SA"/>
        </w:rPr>
        <w:id w:val="147480679"/>
        <w15:color w:val="DBDBDB"/>
        <w:docPartObj>
          <w:docPartGallery w:val="Table of Contents"/>
          <w:docPartUnique/>
        </w:docPartObj>
      </w:sdtPr>
      <w:sdtEndPr>
        <w:rPr>
          <w:rFonts w:ascii="宋体" w:hAnsi="宋体" w:eastAsia="宋体" w:cs="Times New Roman"/>
          <w:b/>
          <w:bCs/>
          <w:kern w:val="2"/>
          <w:sz w:val="32"/>
          <w:szCs w:val="32"/>
          <w:lang w:val="en-US" w:eastAsia="zh-CN" w:bidi="ar-SA"/>
        </w:rPr>
      </w:sdtEndPr>
      <w:sdtContent>
        <w:p w14:paraId="06747264">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2ED6BA51">
          <w:pPr>
            <w:pStyle w:val="13"/>
            <w:tabs>
              <w:tab w:val="right" w:leader="dot" w:pos="8306"/>
              <w:tab w:val="clear" w:pos="8296"/>
            </w:tabs>
            <w:rPr>
              <w:rFonts w:hint="default" w:eastAsia="仿宋"/>
              <w:color w:val="0000FF"/>
              <w:lang w:val="en-US" w:eastAsia="zh-CN"/>
            </w:rPr>
          </w:pPr>
          <w:r>
            <w:fldChar w:fldCharType="begin"/>
          </w:r>
          <w:r>
            <w:instrText xml:space="preserve">TOC \o "1-3" \h \u </w:instrText>
          </w:r>
          <w:r>
            <w:fldChar w:fldCharType="separate"/>
          </w:r>
          <w:r>
            <w:rPr>
              <w:rFonts w:hint="eastAsia"/>
              <w:color w:val="0000FF"/>
              <w:lang w:val="en-US" w:eastAsia="zh-CN"/>
            </w:rPr>
            <w:t>公开时间：2023年9月26日</w:t>
          </w:r>
        </w:p>
        <w:p w14:paraId="0F228D57">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sz w:val="24"/>
              <w:szCs w:val="24"/>
            </w:rPr>
          </w:pPr>
          <w:r>
            <w:rPr>
              <w:sz w:val="24"/>
              <w:szCs w:val="24"/>
            </w:rPr>
            <w:fldChar w:fldCharType="begin"/>
          </w:r>
          <w:r>
            <w:rPr>
              <w:sz w:val="24"/>
              <w:szCs w:val="24"/>
            </w:rPr>
            <w:instrText xml:space="preserve"> HYPERLINK \l _Toc15792 </w:instrText>
          </w:r>
          <w:r>
            <w:rPr>
              <w:sz w:val="24"/>
              <w:szCs w:val="24"/>
            </w:rPr>
            <w:fldChar w:fldCharType="separate"/>
          </w:r>
          <w:r>
            <w:rPr>
              <w:rFonts w:hint="eastAsia" w:ascii="黑体" w:hAnsi="黑体" w:eastAsia="黑体"/>
              <w:sz w:val="24"/>
              <w:szCs w:val="24"/>
              <w:highlight w:val="none"/>
            </w:rPr>
            <w:t xml:space="preserve">第一部分 </w:t>
          </w:r>
          <w:r>
            <w:rPr>
              <w:rFonts w:hint="eastAsia" w:ascii="黑体" w:hAnsi="黑体" w:eastAsia="黑体"/>
              <w:bCs w:val="0"/>
              <w:sz w:val="24"/>
              <w:szCs w:val="24"/>
              <w:highlight w:val="none"/>
            </w:rPr>
            <w:t>部门概况</w:t>
          </w:r>
          <w:r>
            <w:rPr>
              <w:sz w:val="24"/>
              <w:szCs w:val="24"/>
            </w:rPr>
            <w:tab/>
          </w:r>
          <w:r>
            <w:rPr>
              <w:sz w:val="24"/>
              <w:szCs w:val="24"/>
            </w:rPr>
            <w:fldChar w:fldCharType="begin"/>
          </w:r>
          <w:r>
            <w:rPr>
              <w:sz w:val="24"/>
              <w:szCs w:val="24"/>
            </w:rPr>
            <w:instrText xml:space="preserve"> PAGEREF _Toc15792 \h </w:instrText>
          </w:r>
          <w:r>
            <w:rPr>
              <w:sz w:val="24"/>
              <w:szCs w:val="24"/>
            </w:rPr>
            <w:fldChar w:fldCharType="separate"/>
          </w:r>
          <w:r>
            <w:rPr>
              <w:sz w:val="24"/>
              <w:szCs w:val="24"/>
            </w:rPr>
            <w:t>1</w:t>
          </w:r>
          <w:r>
            <w:rPr>
              <w:sz w:val="24"/>
              <w:szCs w:val="24"/>
            </w:rPr>
            <w:fldChar w:fldCharType="end"/>
          </w:r>
          <w:r>
            <w:rPr>
              <w:sz w:val="24"/>
              <w:szCs w:val="24"/>
            </w:rPr>
            <w:fldChar w:fldCharType="end"/>
          </w:r>
        </w:p>
        <w:p w14:paraId="17263D4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_Toc25254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部门职责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_Toc25254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170D82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_Toc10242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二、机</w:t>
          </w:r>
          <w:r>
            <w:rPr>
              <w:rFonts w:hint="eastAsia" w:ascii="宋体" w:hAnsi="宋体" w:eastAsia="宋体" w:cs="宋体"/>
              <w:bCs w:val="0"/>
              <w:sz w:val="24"/>
              <w:szCs w:val="24"/>
              <w:highlight w:val="none"/>
            </w:rPr>
            <w:t>构设置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_Toc10242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D2DD28">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sz w:val="24"/>
              <w:szCs w:val="24"/>
            </w:rPr>
          </w:pPr>
          <w:r>
            <w:rPr>
              <w:sz w:val="24"/>
              <w:szCs w:val="24"/>
            </w:rPr>
            <w:fldChar w:fldCharType="begin"/>
          </w:r>
          <w:r>
            <w:rPr>
              <w:sz w:val="24"/>
              <w:szCs w:val="24"/>
            </w:rPr>
            <w:instrText xml:space="preserve"> HYPERLINK \l _Toc21798 </w:instrText>
          </w:r>
          <w:r>
            <w:rPr>
              <w:sz w:val="24"/>
              <w:szCs w:val="24"/>
            </w:rPr>
            <w:fldChar w:fldCharType="separate"/>
          </w:r>
          <w:r>
            <w:rPr>
              <w:rFonts w:hint="eastAsia" w:ascii="黑体" w:hAnsi="黑体" w:eastAsia="黑体"/>
              <w:bCs/>
              <w:sz w:val="24"/>
              <w:szCs w:val="24"/>
              <w:highlight w:val="none"/>
            </w:rPr>
            <w:t xml:space="preserve">第二部分 </w:t>
          </w:r>
          <w:r>
            <w:rPr>
              <w:rFonts w:hint="eastAsia" w:ascii="黑体" w:hAnsi="黑体" w:eastAsia="黑体"/>
              <w:bCs/>
              <w:sz w:val="24"/>
              <w:szCs w:val="24"/>
              <w:highlight w:val="none"/>
              <w:lang w:val="en-US" w:eastAsia="zh-CN"/>
            </w:rPr>
            <w:t>2022年度</w:t>
          </w:r>
          <w:r>
            <w:rPr>
              <w:rFonts w:hint="eastAsia" w:ascii="黑体" w:hAnsi="黑体" w:eastAsia="黑体"/>
              <w:bCs/>
              <w:sz w:val="24"/>
              <w:szCs w:val="24"/>
              <w:highlight w:val="none"/>
            </w:rPr>
            <w:t>部门决算情况说明</w:t>
          </w:r>
          <w:r>
            <w:rPr>
              <w:sz w:val="24"/>
              <w:szCs w:val="24"/>
            </w:rPr>
            <w:tab/>
          </w:r>
          <w:r>
            <w:rPr>
              <w:sz w:val="24"/>
              <w:szCs w:val="24"/>
            </w:rPr>
            <w:fldChar w:fldCharType="begin"/>
          </w:r>
          <w:r>
            <w:rPr>
              <w:sz w:val="24"/>
              <w:szCs w:val="24"/>
            </w:rPr>
            <w:instrText xml:space="preserve"> PAGEREF _Toc21798 \h </w:instrText>
          </w:r>
          <w:r>
            <w:rPr>
              <w:sz w:val="24"/>
              <w:szCs w:val="24"/>
            </w:rPr>
            <w:fldChar w:fldCharType="separate"/>
          </w:r>
          <w:r>
            <w:rPr>
              <w:sz w:val="24"/>
              <w:szCs w:val="24"/>
            </w:rPr>
            <w:t>3</w:t>
          </w:r>
          <w:r>
            <w:rPr>
              <w:sz w:val="24"/>
              <w:szCs w:val="24"/>
            </w:rPr>
            <w:fldChar w:fldCharType="end"/>
          </w:r>
          <w:r>
            <w:rPr>
              <w:sz w:val="24"/>
              <w:szCs w:val="24"/>
            </w:rPr>
            <w:fldChar w:fldCharType="end"/>
          </w:r>
        </w:p>
        <w:p w14:paraId="280E2BF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_Toc18500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一、 </w:t>
          </w:r>
          <w:r>
            <w:rPr>
              <w:rFonts w:hint="eastAsia" w:ascii="宋体" w:hAnsi="宋体" w:eastAsia="宋体" w:cs="宋体"/>
              <w:sz w:val="24"/>
              <w:szCs w:val="24"/>
              <w:highlight w:val="none"/>
            </w:rPr>
            <w:t>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_Toc18500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BED89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_Toc26808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二、 </w:t>
          </w:r>
          <w:r>
            <w:rPr>
              <w:rFonts w:hint="eastAsia" w:ascii="宋体" w:hAnsi="宋体" w:eastAsia="宋体" w:cs="宋体"/>
              <w:sz w:val="24"/>
              <w:szCs w:val="24"/>
              <w:highlight w:val="none"/>
            </w:rPr>
            <w:t>收入决算情况说明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_Toc26808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1F699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_Toc28915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三、 </w:t>
          </w:r>
          <w:r>
            <w:rPr>
              <w:rFonts w:hint="eastAsia" w:ascii="宋体" w:hAnsi="宋体" w:eastAsia="宋体" w:cs="宋体"/>
              <w:sz w:val="24"/>
              <w:szCs w:val="24"/>
              <w:highlight w:val="none"/>
            </w:rPr>
            <w:t>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_Toc28915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7DBC41">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_Toc19095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_Toc19095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F9C50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_Toc26723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_Toc26723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E709A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_Toc13313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_Toc13313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56E07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_Toc14101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七、财政拨款“三公”经费支出决算情况说明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_Toc14101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5F98D5">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_Toc25547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_Toc25547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07F8B8">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_Toc2565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九、 </w:t>
          </w:r>
          <w:r>
            <w:rPr>
              <w:rFonts w:hint="eastAsia" w:ascii="宋体" w:hAnsi="宋体" w:eastAsia="宋体" w:cs="宋体"/>
              <w:sz w:val="24"/>
              <w:szCs w:val="24"/>
              <w:highlight w:val="none"/>
            </w:rPr>
            <w:t>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_Toc2565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6F0B72">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_Toc27493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十、 </w:t>
          </w:r>
          <w:r>
            <w:rPr>
              <w:rFonts w:hint="eastAsia" w:ascii="宋体" w:hAnsi="宋体" w:eastAsia="宋体" w:cs="宋体"/>
              <w:sz w:val="24"/>
              <w:szCs w:val="24"/>
              <w:highlight w:val="none"/>
            </w:rPr>
            <w:t>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_Toc27493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818BF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sz w:val="24"/>
              <w:szCs w:val="24"/>
            </w:rPr>
          </w:pPr>
          <w:r>
            <w:rPr>
              <w:sz w:val="24"/>
              <w:szCs w:val="24"/>
            </w:rPr>
            <w:fldChar w:fldCharType="begin"/>
          </w:r>
          <w:r>
            <w:rPr>
              <w:sz w:val="24"/>
              <w:szCs w:val="24"/>
            </w:rPr>
            <w:instrText xml:space="preserve"> HYPERLINK \l _Toc26758 </w:instrText>
          </w:r>
          <w:r>
            <w:rPr>
              <w:sz w:val="24"/>
              <w:szCs w:val="24"/>
            </w:rPr>
            <w:fldChar w:fldCharType="separate"/>
          </w:r>
          <w:r>
            <w:rPr>
              <w:rFonts w:hint="eastAsia" w:ascii="黑体" w:hAnsi="黑体" w:eastAsia="黑体"/>
              <w:sz w:val="24"/>
              <w:szCs w:val="24"/>
            </w:rPr>
            <w:t xml:space="preserve">第三部分 </w:t>
          </w:r>
          <w:r>
            <w:rPr>
              <w:rFonts w:hint="eastAsia" w:ascii="黑体" w:hAnsi="黑体" w:eastAsia="黑体"/>
              <w:sz w:val="24"/>
              <w:szCs w:val="24"/>
              <w:highlight w:val="none"/>
            </w:rPr>
            <w:t>名词解释</w:t>
          </w:r>
          <w:r>
            <w:rPr>
              <w:sz w:val="24"/>
              <w:szCs w:val="24"/>
            </w:rPr>
            <w:tab/>
          </w:r>
          <w:r>
            <w:rPr>
              <w:sz w:val="24"/>
              <w:szCs w:val="24"/>
            </w:rPr>
            <w:fldChar w:fldCharType="begin"/>
          </w:r>
          <w:r>
            <w:rPr>
              <w:sz w:val="24"/>
              <w:szCs w:val="24"/>
            </w:rPr>
            <w:instrText xml:space="preserve"> PAGEREF _Toc26758 \h </w:instrText>
          </w:r>
          <w:r>
            <w:rPr>
              <w:sz w:val="24"/>
              <w:szCs w:val="24"/>
            </w:rPr>
            <w:fldChar w:fldCharType="separate"/>
          </w:r>
          <w:r>
            <w:rPr>
              <w:sz w:val="24"/>
              <w:szCs w:val="24"/>
            </w:rPr>
            <w:t>10</w:t>
          </w:r>
          <w:r>
            <w:rPr>
              <w:sz w:val="24"/>
              <w:szCs w:val="24"/>
            </w:rPr>
            <w:fldChar w:fldCharType="end"/>
          </w:r>
          <w:r>
            <w:rPr>
              <w:sz w:val="24"/>
              <w:szCs w:val="24"/>
            </w:rPr>
            <w:fldChar w:fldCharType="end"/>
          </w:r>
        </w:p>
        <w:p w14:paraId="11016006">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sz w:val="24"/>
              <w:szCs w:val="24"/>
            </w:rPr>
          </w:pPr>
          <w:r>
            <w:rPr>
              <w:sz w:val="24"/>
              <w:szCs w:val="24"/>
            </w:rPr>
            <w:fldChar w:fldCharType="begin"/>
          </w:r>
          <w:r>
            <w:rPr>
              <w:sz w:val="24"/>
              <w:szCs w:val="24"/>
            </w:rPr>
            <w:instrText xml:space="preserve"> HYPERLINK \l _Toc30152 </w:instrText>
          </w:r>
          <w:r>
            <w:rPr>
              <w:sz w:val="24"/>
              <w:szCs w:val="24"/>
            </w:rPr>
            <w:fldChar w:fldCharType="separate"/>
          </w:r>
          <w:r>
            <w:rPr>
              <w:rFonts w:hint="eastAsia" w:ascii="黑体" w:hAnsi="黑体" w:eastAsia="黑体"/>
              <w:sz w:val="24"/>
              <w:szCs w:val="24"/>
              <w:highlight w:val="none"/>
            </w:rPr>
            <w:t>第四部分 附件</w:t>
          </w:r>
          <w:r>
            <w:rPr>
              <w:sz w:val="24"/>
              <w:szCs w:val="24"/>
            </w:rPr>
            <w:tab/>
          </w:r>
          <w:r>
            <w:rPr>
              <w:sz w:val="24"/>
              <w:szCs w:val="24"/>
            </w:rPr>
            <w:fldChar w:fldCharType="begin"/>
          </w:r>
          <w:r>
            <w:rPr>
              <w:sz w:val="24"/>
              <w:szCs w:val="24"/>
            </w:rPr>
            <w:instrText xml:space="preserve"> PAGEREF _Toc30152 \h </w:instrText>
          </w:r>
          <w:r>
            <w:rPr>
              <w:sz w:val="24"/>
              <w:szCs w:val="24"/>
            </w:rPr>
            <w:fldChar w:fldCharType="separate"/>
          </w:r>
          <w:r>
            <w:rPr>
              <w:sz w:val="24"/>
              <w:szCs w:val="24"/>
            </w:rPr>
            <w:t>12</w:t>
          </w:r>
          <w:r>
            <w:rPr>
              <w:sz w:val="24"/>
              <w:szCs w:val="24"/>
            </w:rPr>
            <w:fldChar w:fldCharType="end"/>
          </w:r>
          <w:r>
            <w:rPr>
              <w:sz w:val="24"/>
              <w:szCs w:val="24"/>
            </w:rPr>
            <w:fldChar w:fldCharType="end"/>
          </w:r>
        </w:p>
        <w:p w14:paraId="333F1C82">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sz w:val="24"/>
              <w:szCs w:val="24"/>
            </w:rPr>
          </w:pPr>
          <w:r>
            <w:rPr>
              <w:sz w:val="24"/>
              <w:szCs w:val="24"/>
            </w:rPr>
            <w:fldChar w:fldCharType="begin"/>
          </w:r>
          <w:r>
            <w:rPr>
              <w:sz w:val="24"/>
              <w:szCs w:val="24"/>
            </w:rPr>
            <w:instrText xml:space="preserve"> HYPERLINK \l _Toc10788 </w:instrText>
          </w:r>
          <w:r>
            <w:rPr>
              <w:sz w:val="24"/>
              <w:szCs w:val="24"/>
            </w:rPr>
            <w:fldChar w:fldCharType="separate"/>
          </w:r>
          <w:r>
            <w:rPr>
              <w:rFonts w:hint="eastAsia" w:ascii="黑体" w:hAnsi="黑体" w:eastAsia="黑体"/>
              <w:sz w:val="24"/>
              <w:szCs w:val="24"/>
              <w:highlight w:val="none"/>
            </w:rPr>
            <w:t>第五部分 附表</w:t>
          </w:r>
          <w:r>
            <w:rPr>
              <w:sz w:val="24"/>
              <w:szCs w:val="24"/>
            </w:rPr>
            <w:tab/>
          </w:r>
          <w:r>
            <w:rPr>
              <w:sz w:val="24"/>
              <w:szCs w:val="24"/>
            </w:rPr>
            <w:fldChar w:fldCharType="begin"/>
          </w:r>
          <w:r>
            <w:rPr>
              <w:sz w:val="24"/>
              <w:szCs w:val="24"/>
            </w:rPr>
            <w:instrText xml:space="preserve"> PAGEREF _Toc10788 \h </w:instrText>
          </w:r>
          <w:r>
            <w:rPr>
              <w:sz w:val="24"/>
              <w:szCs w:val="24"/>
            </w:rPr>
            <w:fldChar w:fldCharType="separate"/>
          </w:r>
          <w:r>
            <w:rPr>
              <w:sz w:val="24"/>
              <w:szCs w:val="24"/>
            </w:rPr>
            <w:t>24</w:t>
          </w:r>
          <w:r>
            <w:rPr>
              <w:sz w:val="24"/>
              <w:szCs w:val="24"/>
            </w:rPr>
            <w:fldChar w:fldCharType="end"/>
          </w:r>
          <w:r>
            <w:rPr>
              <w:sz w:val="24"/>
              <w:szCs w:val="24"/>
            </w:rPr>
            <w:fldChar w:fldCharType="end"/>
          </w:r>
        </w:p>
        <w:p w14:paraId="37E57774">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_Toc24842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一、收</w:t>
          </w:r>
          <w:r>
            <w:rPr>
              <w:rFonts w:hint="eastAsia" w:ascii="宋体" w:hAnsi="宋体" w:eastAsia="宋体" w:cs="宋体"/>
              <w:bCs w:val="0"/>
              <w:sz w:val="24"/>
              <w:szCs w:val="24"/>
              <w:highlight w:val="none"/>
            </w:rPr>
            <w:t>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_Toc24842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B6C94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_Toc11592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二、收</w:t>
          </w:r>
          <w:r>
            <w:rPr>
              <w:rFonts w:hint="eastAsia" w:ascii="宋体" w:hAnsi="宋体" w:eastAsia="宋体" w:cs="宋体"/>
              <w:bCs w:val="0"/>
              <w:sz w:val="24"/>
              <w:szCs w:val="24"/>
              <w:highlight w:val="none"/>
            </w:rPr>
            <w:t>入决算表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_Toc11592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504D3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_Toc8428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三、</w:t>
          </w:r>
          <w:r>
            <w:rPr>
              <w:rFonts w:hint="eastAsia" w:ascii="宋体" w:hAnsi="宋体" w:eastAsia="宋体" w:cs="宋体"/>
              <w:sz w:val="24"/>
              <w:szCs w:val="24"/>
              <w:highlight w:val="none"/>
            </w:rPr>
            <w:t>支</w:t>
          </w:r>
          <w:r>
            <w:rPr>
              <w:rFonts w:hint="eastAsia" w:ascii="宋体" w:hAnsi="宋体" w:eastAsia="宋体" w:cs="宋体"/>
              <w:bCs w:val="0"/>
              <w:sz w:val="24"/>
              <w:szCs w:val="24"/>
              <w:highlight w:val="none"/>
            </w:rPr>
            <w:t>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_Toc8428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54D86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_Toc31575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四、</w:t>
          </w:r>
          <w:r>
            <w:rPr>
              <w:rFonts w:hint="eastAsia" w:ascii="宋体" w:hAnsi="宋体" w:eastAsia="宋体" w:cs="宋体"/>
              <w:sz w:val="24"/>
              <w:szCs w:val="24"/>
              <w:highlight w:val="none"/>
            </w:rPr>
            <w:t>财</w:t>
          </w:r>
          <w:r>
            <w:rPr>
              <w:rFonts w:hint="eastAsia" w:ascii="宋体" w:hAnsi="宋体" w:eastAsia="宋体" w:cs="宋体"/>
              <w:bCs w:val="0"/>
              <w:sz w:val="24"/>
              <w:szCs w:val="24"/>
              <w:highlight w:val="none"/>
            </w:rPr>
            <w:t>政拨款收入支出决算总表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_Toc31575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99703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_Toc20666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五、</w:t>
          </w:r>
          <w:r>
            <w:rPr>
              <w:rFonts w:hint="eastAsia" w:ascii="宋体" w:hAnsi="宋体" w:eastAsia="宋体" w:cs="宋体"/>
              <w:sz w:val="24"/>
              <w:szCs w:val="24"/>
              <w:highlight w:val="none"/>
            </w:rPr>
            <w:t>财</w:t>
          </w:r>
          <w:r>
            <w:rPr>
              <w:rFonts w:hint="eastAsia" w:ascii="宋体" w:hAnsi="宋体" w:eastAsia="宋体" w:cs="宋体"/>
              <w:bCs w:val="0"/>
              <w:sz w:val="24"/>
              <w:szCs w:val="24"/>
              <w:highlight w:val="none"/>
            </w:rPr>
            <w:t>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_Toc20666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0F53A5">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_Toc21655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六、</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_Toc21655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3DDE3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_Toc26403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七、</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_Toc26403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2A1624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_Toc5770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八、</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_Toc5770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4731D5">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_Toc20195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九、</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_Toc20195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20365D">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_Toc7963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十、</w:t>
          </w:r>
          <w:r>
            <w:rPr>
              <w:rFonts w:hint="eastAsia" w:ascii="宋体" w:hAnsi="宋体" w:eastAsia="宋体" w:cs="宋体"/>
              <w:sz w:val="24"/>
              <w:szCs w:val="24"/>
              <w:highlight w:val="none"/>
            </w:rPr>
            <w:t>政</w:t>
          </w:r>
          <w:r>
            <w:rPr>
              <w:rFonts w:hint="eastAsia" w:ascii="宋体" w:hAnsi="宋体" w:eastAsia="宋体" w:cs="宋体"/>
              <w:bCs w:val="0"/>
              <w:sz w:val="24"/>
              <w:szCs w:val="24"/>
              <w:highlight w:val="none"/>
            </w:rPr>
            <w:t>府性基金预算财政拨款收入支出决算表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_Toc7963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7CDDF0">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_Toc7126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十一、</w:t>
          </w:r>
          <w:r>
            <w:rPr>
              <w:rFonts w:hint="eastAsia" w:ascii="宋体" w:hAnsi="宋体" w:eastAsia="宋体" w:cs="宋体"/>
              <w:sz w:val="24"/>
              <w:szCs w:val="24"/>
              <w:highlight w:val="none"/>
            </w:rPr>
            <w:t>国</w:t>
          </w:r>
          <w:r>
            <w:rPr>
              <w:rFonts w:hint="eastAsia" w:ascii="宋体" w:hAnsi="宋体" w:eastAsia="宋体" w:cs="宋体"/>
              <w:bCs w:val="0"/>
              <w:sz w:val="24"/>
              <w:szCs w:val="24"/>
              <w:highlight w:val="none"/>
            </w:rPr>
            <w:t>有资本经营预算</w:t>
          </w:r>
          <w:r>
            <w:rPr>
              <w:rFonts w:hint="eastAsia" w:ascii="宋体" w:hAnsi="宋体" w:eastAsia="宋体" w:cs="宋体"/>
              <w:bCs w:val="0"/>
              <w:sz w:val="24"/>
              <w:szCs w:val="24"/>
              <w:highlight w:val="none"/>
              <w:lang w:eastAsia="zh-CN"/>
            </w:rPr>
            <w:t>财政拨款收入</w:t>
          </w:r>
          <w:r>
            <w:rPr>
              <w:rFonts w:hint="eastAsia" w:ascii="宋体" w:hAnsi="宋体" w:eastAsia="宋体" w:cs="宋体"/>
              <w:bCs w:val="0"/>
              <w:sz w:val="24"/>
              <w:szCs w:val="24"/>
              <w:highlight w:val="none"/>
            </w:rPr>
            <w:t>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_Toc7126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FF326B">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_Toc4591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十二、</w:t>
          </w:r>
          <w:r>
            <w:rPr>
              <w:rFonts w:hint="eastAsia" w:ascii="宋体" w:hAnsi="宋体" w:eastAsia="宋体" w:cs="宋体"/>
              <w:bCs w:val="0"/>
              <w:sz w:val="24"/>
              <w:szCs w:val="24"/>
              <w:highlight w:val="none"/>
              <w:lang w:eastAsia="zh-CN"/>
            </w:rPr>
            <w:t>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_Toc4591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B3BCB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_Toc3450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十三、</w:t>
          </w:r>
          <w:r>
            <w:rPr>
              <w:rFonts w:hint="eastAsia" w:ascii="宋体" w:hAnsi="宋体" w:eastAsia="宋体" w:cs="宋体"/>
              <w:bCs w:val="0"/>
              <w:sz w:val="24"/>
              <w:szCs w:val="24"/>
              <w:highlight w:val="none"/>
              <w:lang w:eastAsia="zh-CN"/>
            </w:rPr>
            <w:t>财政拨款“三公”经费支出决算表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_Toc3450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D68E42">
          <w:p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fldChar w:fldCharType="end"/>
          </w:r>
        </w:p>
      </w:sdtContent>
    </w:sdt>
    <w:p w14:paraId="030BE7F9">
      <w:pPr>
        <w:pStyle w:val="3"/>
        <w:jc w:val="center"/>
        <w:rPr>
          <w:rStyle w:val="28"/>
          <w:rFonts w:ascii="黑体" w:hAnsi="黑体" w:eastAsia="黑体"/>
          <w:b/>
          <w:bCs w:val="0"/>
          <w:color w:val="auto"/>
          <w:highlight w:val="none"/>
        </w:rPr>
      </w:pPr>
      <w:bookmarkStart w:id="15" w:name="_Toc15396599"/>
      <w:bookmarkStart w:id="16" w:name="_Toc15377196"/>
      <w:bookmarkStart w:id="17" w:name="_Toc15792"/>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5"/>
      <w:bookmarkEnd w:id="16"/>
      <w:bookmarkEnd w:id="17"/>
    </w:p>
    <w:p w14:paraId="3D3C7E51">
      <w:pPr>
        <w:widowControl/>
        <w:jc w:val="left"/>
        <w:rPr>
          <w:rFonts w:ascii="黑体" w:eastAsia="黑体"/>
          <w:color w:val="auto"/>
          <w:sz w:val="32"/>
          <w:szCs w:val="32"/>
          <w:highlight w:val="none"/>
        </w:rPr>
      </w:pPr>
    </w:p>
    <w:p w14:paraId="269501B6">
      <w:pPr>
        <w:pStyle w:val="4"/>
        <w:pageBreakBefore w:val="0"/>
        <w:widowControl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hAnsi="黑体" w:eastAsia="黑体" w:cs="黑体"/>
          <w:bCs/>
          <w:color w:val="000000"/>
          <w:sz w:val="32"/>
          <w:szCs w:val="32"/>
        </w:rPr>
      </w:pPr>
      <w:bookmarkStart w:id="18" w:name="_Toc25254"/>
      <w:r>
        <w:rPr>
          <w:rFonts w:hint="eastAsia" w:ascii="黑体" w:hAnsi="黑体" w:eastAsia="黑体" w:cs="黑体"/>
          <w:b w:val="0"/>
          <w:color w:val="auto"/>
          <w:highlight w:val="none"/>
          <w:lang w:val="en-US" w:eastAsia="zh-CN"/>
        </w:rPr>
        <w:t>一、</w:t>
      </w:r>
      <w:r>
        <w:rPr>
          <w:rFonts w:hint="eastAsia" w:ascii="黑体" w:hAnsi="黑体" w:eastAsia="黑体" w:cs="黑体"/>
          <w:b w:val="0"/>
          <w:color w:val="auto"/>
          <w:highlight w:val="none"/>
          <w:lang w:eastAsia="zh-CN"/>
        </w:rPr>
        <w:t>部门职责</w:t>
      </w:r>
      <w:bookmarkEnd w:id="18"/>
    </w:p>
    <w:p w14:paraId="00ED698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参与职能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代表和组织职工参与国家和社会事务管理，参与企业、事业单位民主管理，实施民主监督，是工会代表职工权益，依法维护职工利益的重要渠道、途径和形式。特别是在社会主义市场经济的形成过程中，工会履行参与职能更具迫切性和必要性。市场经济是法制经济，市场经济运行主体都是相应的法律规范。所以，工会要加大对法律法规执行情况开展群众性监督的力度，主动参与立法，从源头上依法维护职工的权益。</w:t>
      </w:r>
      <w:r>
        <w:rPr>
          <w:rFonts w:hint="default" w:ascii="Times New Roman" w:hAnsi="Times New Roman" w:eastAsia="仿宋_GB2312" w:cs="Times New Roman"/>
          <w:sz w:val="32"/>
          <w:szCs w:val="32"/>
          <w:lang w:val="en-US" w:eastAsia="zh-CN"/>
        </w:rPr>
        <w:t xml:space="preserve"> </w:t>
      </w:r>
    </w:p>
    <w:p w14:paraId="45F8981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维护职能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护职工合法权益是工会的基本职责。由于劳动关系主体存在隶属性，劳动者隶属于用人单位，在劳动者和用人单位这对矛盾中很明显劳动者是弱者，是需要保护的对象。劳动者为了取得平衡，应该依法组建工会，加入工会，在工会的组织下为自己的合法权益而进行抗争，这是非常现实而有效的途径之一。工会维护了职工的合法权益，就是维护了党与群众的血肉联系，就是维护了稳定的大局，就是维护了执政党的执政地位和执政基础。</w:t>
      </w:r>
    </w:p>
    <w:p w14:paraId="5D17E4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建设职能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我国，社会的主要矛盾是人民群众日益增长的物质文化需要同落后的社会生产之间的矛盾。解决这个矛盾的根本出路在于通过改革开放，解放和发展社会生产。工会代表和维护的职工具体利益的最终实现也在于促进经济的发展和生产力的提高。所以，工会必须从工人阶级的长远利益出发，引导广大职工群众参加建设和改革，努力完成经济和社会发展任务，积极推动社会经济效益和生产力的提高。</w:t>
      </w:r>
    </w:p>
    <w:p w14:paraId="371383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教育职能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会教育职能包括思想政治教育和文化技术教育。在新时期，劳动者已成为独立、自主、自由的劳动者，他要自我决策、自我负责、自我发展；劳动力进入市场，在劳动力市场中，劳动者的地位、利益完全取决于个人的素质，要在激烈的市场竞争中取胜，要有效地维护自己的合法权益，就必须有较高的素质。这就需要学习，接受教育。因此，工会为了更好地维护职工合法权益，就必须履行好教育这一职能。</w:t>
      </w:r>
    </w:p>
    <w:p w14:paraId="0BF73096">
      <w:pPr>
        <w:pStyle w:val="4"/>
        <w:pageBreakBefore w:val="0"/>
        <w:widowControl w:val="0"/>
        <w:kinsoku/>
        <w:wordWrap/>
        <w:overflowPunct/>
        <w:topLinePunct w:val="0"/>
        <w:autoSpaceDE/>
        <w:autoSpaceDN/>
        <w:bidi w:val="0"/>
        <w:spacing w:before="0" w:after="0" w:line="576" w:lineRule="exact"/>
        <w:ind w:firstLine="640" w:firstLineChars="200"/>
        <w:textAlignment w:val="auto"/>
        <w:rPr>
          <w:rStyle w:val="29"/>
          <w:b w:val="0"/>
          <w:bCs w:val="0"/>
          <w:color w:val="auto"/>
          <w:highlight w:val="none"/>
        </w:rPr>
      </w:pPr>
      <w:bookmarkStart w:id="19" w:name="_Toc15396601"/>
      <w:bookmarkStart w:id="20" w:name="_Toc10242"/>
      <w:bookmarkStart w:id="21"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9"/>
          <w:rFonts w:hint="eastAsia" w:ascii="黑体" w:hAnsi="黑体" w:eastAsia="黑体"/>
          <w:b w:val="0"/>
          <w:bCs w:val="0"/>
          <w:color w:val="auto"/>
          <w:highlight w:val="none"/>
        </w:rPr>
        <w:t>构设置</w:t>
      </w:r>
      <w:bookmarkEnd w:id="19"/>
      <w:bookmarkEnd w:id="20"/>
      <w:bookmarkEnd w:id="21"/>
    </w:p>
    <w:p w14:paraId="65DE1921">
      <w:pPr>
        <w:pageBreakBefore w:val="0"/>
        <w:widowControl w:val="0"/>
        <w:kinsoku/>
        <w:wordWrap/>
        <w:overflowPunct/>
        <w:topLinePunct w:val="0"/>
        <w:autoSpaceDE/>
        <w:autoSpaceDN/>
        <w:bidi w:val="0"/>
        <w:spacing w:line="576" w:lineRule="exact"/>
        <w:ind w:firstLine="800" w:firstLineChars="25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昭化区总工会</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2143BE78">
      <w:pPr>
        <w:pStyle w:val="6"/>
        <w:pageBreakBefore w:val="0"/>
        <w:widowControl w:val="0"/>
        <w:kinsoku/>
        <w:wordWrap/>
        <w:overflowPunct/>
        <w:topLinePunct w:val="0"/>
        <w:autoSpaceDE/>
        <w:autoSpaceDN/>
        <w:bidi w:val="0"/>
        <w:adjustRightInd w:val="0"/>
        <w:snapToGrid w:val="0"/>
        <w:spacing w:beforeLines="0" w:line="576" w:lineRule="exact"/>
        <w:ind w:firstLine="672" w:firstLineChars="210"/>
        <w:textAlignment w:val="auto"/>
        <w:rPr>
          <w:rFonts w:ascii="仿宋" w:hAnsi="仿宋" w:eastAsia="仿宋"/>
          <w:color w:val="auto"/>
          <w:kern w:val="0"/>
          <w:sz w:val="32"/>
          <w:szCs w:val="32"/>
          <w:highlight w:val="none"/>
        </w:rPr>
      </w:pPr>
      <w:r>
        <w:rPr>
          <w:rFonts w:hint="eastAsia" w:ascii="仿宋" w:hAnsi="仿宋" w:eastAsia="仿宋"/>
          <w:color w:val="auto"/>
          <w:sz w:val="32"/>
          <w:szCs w:val="32"/>
          <w:highlight w:val="none"/>
          <w:lang w:val="en-US" w:eastAsia="zh-CN"/>
        </w:rPr>
        <w:t>无</w:t>
      </w: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昭化区总工会</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br w:type="page"/>
      </w:r>
    </w:p>
    <w:p w14:paraId="602B1AC0">
      <w:pPr>
        <w:pStyle w:val="3"/>
        <w:ind w:right="440"/>
        <w:jc w:val="center"/>
        <w:rPr>
          <w:rStyle w:val="28"/>
          <w:rFonts w:ascii="黑体" w:hAnsi="黑体" w:eastAsia="黑体"/>
          <w:b w:val="0"/>
          <w:bCs/>
          <w:color w:val="auto"/>
          <w:highlight w:val="none"/>
        </w:rPr>
      </w:pPr>
      <w:bookmarkStart w:id="22" w:name="_Toc21798"/>
      <w:bookmarkStart w:id="23" w:name="_Toc15377204"/>
      <w:bookmarkStart w:id="24"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8"/>
          <w:rFonts w:hint="eastAsia" w:ascii="黑体" w:hAnsi="黑体" w:eastAsia="黑体"/>
          <w:b w:val="0"/>
          <w:bCs/>
          <w:color w:val="auto"/>
          <w:highlight w:val="none"/>
        </w:rPr>
        <w:t>部门决算情况说明</w:t>
      </w:r>
      <w:bookmarkEnd w:id="22"/>
      <w:bookmarkEnd w:id="23"/>
      <w:bookmarkEnd w:id="24"/>
    </w:p>
    <w:p w14:paraId="72086F8C">
      <w:pPr>
        <w:rPr>
          <w:color w:val="auto"/>
          <w:highlight w:val="none"/>
        </w:rPr>
      </w:pPr>
    </w:p>
    <w:p w14:paraId="06C4A971">
      <w:pPr>
        <w:pStyle w:val="27"/>
        <w:numPr>
          <w:ilvl w:val="0"/>
          <w:numId w:val="1"/>
        </w:numPr>
        <w:spacing w:line="600" w:lineRule="exact"/>
        <w:ind w:firstLineChars="0"/>
        <w:outlineLvl w:val="1"/>
        <w:rPr>
          <w:rStyle w:val="29"/>
          <w:rFonts w:ascii="黑体" w:hAnsi="黑体" w:eastAsia="黑体"/>
          <w:b w:val="0"/>
          <w:color w:val="auto"/>
          <w:highlight w:val="none"/>
        </w:rPr>
      </w:pPr>
      <w:bookmarkStart w:id="25" w:name="_Toc15396603"/>
      <w:bookmarkStart w:id="26" w:name="_Toc15377205"/>
      <w:bookmarkStart w:id="27" w:name="_Toc18500"/>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5"/>
      <w:bookmarkEnd w:id="26"/>
      <w:bookmarkEnd w:id="27"/>
    </w:p>
    <w:p w14:paraId="1D1BFE2D">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288.3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7.5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2.67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Times New Roman"/>
          <w:sz w:val="32"/>
          <w:szCs w:val="32"/>
          <w:lang w:val="en-US" w:eastAsia="zh-CN"/>
        </w:rPr>
        <w:t>人员调资</w:t>
      </w:r>
      <w:r>
        <w:rPr>
          <w:rFonts w:hint="eastAsia" w:ascii="仿宋" w:hAnsi="仿宋" w:eastAsia="仿宋"/>
          <w:color w:val="auto"/>
          <w:sz w:val="32"/>
          <w:szCs w:val="32"/>
          <w:highlight w:val="none"/>
          <w:lang w:eastAsia="zh-CN"/>
        </w:rPr>
        <w:t>。</w:t>
      </w:r>
    </w:p>
    <w:p w14:paraId="792C7D20">
      <w:pPr>
        <w:spacing w:line="600" w:lineRule="exact"/>
        <w:jc w:val="left"/>
        <w:rPr>
          <w:rFonts w:ascii="仿宋_GB2312" w:eastAsia="仿宋_GB2312"/>
          <w:color w:val="auto"/>
          <w:sz w:val="32"/>
          <w:szCs w:val="32"/>
          <w:highlight w:val="none"/>
        </w:rPr>
      </w:pPr>
      <w:r>
        <w:rPr>
          <w:rFonts w:hint="eastAsia"/>
        </w:rPr>
        <w:pict>
          <v:shape id="_x0000_s1027" o:spid="_x0000_s1027" o:spt="75" type="#_x0000_t75" style="position:absolute;left:0pt;margin-left:15pt;margin-top:8.45pt;height:198.55pt;width:326.85pt;mso-wrap-distance-bottom:0pt;mso-wrap-distance-left:9pt;mso-wrap-distance-right:9pt;mso-wrap-distance-top:0pt;z-index:251659264;mso-width-relative:page;mso-height-relative:page;" o:ole="t" filled="f" o:preferrelative="t" stroked="f" coordsize="21600,21600">
            <v:path/>
            <v:fill on="f" focussize="0,0"/>
            <v:stroke on="f"/>
            <v:imagedata r:id="rId7" o:title=""/>
            <o:lock v:ext="edit" aspectratio="t"/>
            <w10:wrap type="square"/>
          </v:shape>
          <o:OLEObject Type="Embed" ProgID="Excel.Chart.8" ShapeID="_x0000_s1027" DrawAspect="Content" ObjectID="_1468075725" r:id="rId6">
            <o:LockedField>false</o:LockedField>
          </o:OLEObject>
        </w:pict>
      </w:r>
    </w:p>
    <w:p w14:paraId="41DADEA6">
      <w:pPr>
        <w:spacing w:line="600" w:lineRule="exact"/>
        <w:ind w:firstLine="640" w:firstLineChars="200"/>
        <w:jc w:val="left"/>
        <w:rPr>
          <w:rFonts w:ascii="仿宋_GB2312" w:eastAsia="仿宋_GB2312"/>
          <w:color w:val="auto"/>
          <w:sz w:val="32"/>
          <w:szCs w:val="32"/>
          <w:highlight w:val="none"/>
        </w:rPr>
      </w:pPr>
    </w:p>
    <w:p w14:paraId="04CAE017">
      <w:pPr>
        <w:spacing w:line="600" w:lineRule="exact"/>
        <w:ind w:firstLine="640" w:firstLineChars="200"/>
        <w:jc w:val="left"/>
        <w:rPr>
          <w:rFonts w:ascii="仿宋_GB2312" w:eastAsia="仿宋_GB2312"/>
          <w:color w:val="auto"/>
          <w:sz w:val="32"/>
          <w:szCs w:val="32"/>
          <w:highlight w:val="none"/>
        </w:rPr>
      </w:pPr>
    </w:p>
    <w:p w14:paraId="597F6CEF">
      <w:pPr>
        <w:spacing w:line="600" w:lineRule="exact"/>
        <w:ind w:firstLine="640" w:firstLineChars="200"/>
        <w:jc w:val="left"/>
        <w:rPr>
          <w:rFonts w:ascii="仿宋_GB2312" w:eastAsia="仿宋_GB2312"/>
          <w:color w:val="auto"/>
          <w:sz w:val="32"/>
          <w:szCs w:val="32"/>
          <w:highlight w:val="none"/>
        </w:rPr>
      </w:pPr>
    </w:p>
    <w:p w14:paraId="3DCFC2FF">
      <w:pPr>
        <w:spacing w:line="600" w:lineRule="exact"/>
        <w:ind w:firstLine="640" w:firstLineChars="200"/>
        <w:jc w:val="left"/>
        <w:rPr>
          <w:rFonts w:ascii="仿宋_GB2312" w:eastAsia="仿宋_GB2312"/>
          <w:color w:val="auto"/>
          <w:sz w:val="32"/>
          <w:szCs w:val="32"/>
          <w:highlight w:val="none"/>
        </w:rPr>
      </w:pPr>
    </w:p>
    <w:p w14:paraId="4594C1CD">
      <w:pPr>
        <w:spacing w:line="600" w:lineRule="exact"/>
        <w:ind w:firstLine="640" w:firstLineChars="200"/>
        <w:jc w:val="left"/>
        <w:rPr>
          <w:rFonts w:ascii="仿宋_GB2312" w:eastAsia="仿宋_GB2312"/>
          <w:color w:val="auto"/>
          <w:sz w:val="32"/>
          <w:szCs w:val="32"/>
          <w:highlight w:val="none"/>
        </w:rPr>
      </w:pPr>
    </w:p>
    <w:p w14:paraId="07B01F6D">
      <w:pPr>
        <w:spacing w:line="600" w:lineRule="exact"/>
        <w:jc w:val="left"/>
        <w:rPr>
          <w:rFonts w:ascii="仿宋_GB2312" w:eastAsia="仿宋_GB2312"/>
          <w:color w:val="auto"/>
          <w:sz w:val="32"/>
          <w:szCs w:val="32"/>
          <w:highlight w:val="none"/>
        </w:rPr>
      </w:pPr>
    </w:p>
    <w:p w14:paraId="474B50A5">
      <w:pPr>
        <w:pStyle w:val="27"/>
        <w:numPr>
          <w:ilvl w:val="0"/>
          <w:numId w:val="1"/>
        </w:numPr>
        <w:spacing w:line="600" w:lineRule="exact"/>
        <w:ind w:firstLineChars="0"/>
        <w:outlineLvl w:val="1"/>
        <w:rPr>
          <w:rStyle w:val="29"/>
          <w:rFonts w:ascii="黑体" w:hAnsi="黑体" w:eastAsia="黑体"/>
          <w:b w:val="0"/>
          <w:color w:val="auto"/>
          <w:highlight w:val="none"/>
        </w:rPr>
      </w:pPr>
      <w:bookmarkStart w:id="28" w:name="_Toc26808"/>
      <w:bookmarkStart w:id="29" w:name="_Toc15377206"/>
      <w:bookmarkStart w:id="30" w:name="_Toc15396604"/>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8"/>
      <w:bookmarkEnd w:id="29"/>
      <w:bookmarkEnd w:id="30"/>
    </w:p>
    <w:p w14:paraId="67000576">
      <w:pPr>
        <w:spacing w:line="600" w:lineRule="exact"/>
        <w:ind w:firstLine="640" w:firstLineChars="200"/>
        <w:outlineLvl w:val="1"/>
        <w:rPr>
          <w:rFonts w:ascii="仿宋" w:hAnsi="仿宋" w:eastAsia="仿宋"/>
          <w:color w:val="auto"/>
          <w:sz w:val="32"/>
          <w:szCs w:val="32"/>
          <w:highlight w:val="none"/>
        </w:rPr>
      </w:pPr>
      <w:bookmarkStart w:id="31" w:name="_Toc7589"/>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288.3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288.3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1"/>
    </w:p>
    <w:p w14:paraId="75454216">
      <w:pPr>
        <w:spacing w:line="600" w:lineRule="exact"/>
        <w:rPr>
          <w:rFonts w:ascii="仿宋_GB2312" w:eastAsia="仿宋_GB2312"/>
          <w:color w:val="auto"/>
          <w:sz w:val="32"/>
          <w:szCs w:val="32"/>
          <w:highlight w:val="none"/>
        </w:rPr>
      </w:pPr>
      <w:r>
        <w:rPr>
          <w:rFonts w:hint="eastAsia" w:ascii="仿宋" w:hAnsi="仿宋" w:eastAsia="仿宋"/>
          <w:color w:val="000000"/>
          <w:sz w:val="32"/>
          <w:szCs w:val="32"/>
        </w:rPr>
        <w:pict>
          <v:shape id="_x0000_s1028" o:spid="_x0000_s1028" o:spt="75" type="#_x0000_t75" style="position:absolute;left:0pt;margin-left:46.6pt;margin-top:9.6pt;height:184.8pt;width:348.9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v:imagedata r:id="rId9" o:title=""/>
            <o:lock v:ext="edit" aspectratio="t"/>
            <w10:wrap type="tight"/>
          </v:shape>
          <o:OLEObject Type="Embed" ProgID="Excel.Chart.8" ShapeID="_x0000_s1028" DrawAspect="Content" ObjectID="_1468075726" r:id="rId8">
            <o:LockedField>false</o:LockedField>
          </o:OLEObject>
        </w:pict>
      </w:r>
    </w:p>
    <w:p w14:paraId="38D90B56">
      <w:pPr>
        <w:pStyle w:val="6"/>
      </w:pPr>
    </w:p>
    <w:p w14:paraId="0E149A4A"/>
    <w:p w14:paraId="7A228496">
      <w:pPr>
        <w:pStyle w:val="6"/>
      </w:pPr>
    </w:p>
    <w:p w14:paraId="4438F6F8"/>
    <w:p w14:paraId="45A55D86">
      <w:pPr>
        <w:pStyle w:val="6"/>
      </w:pPr>
    </w:p>
    <w:p w14:paraId="17B5EEE8">
      <w:pPr>
        <w:pStyle w:val="27"/>
        <w:numPr>
          <w:ilvl w:val="0"/>
          <w:numId w:val="1"/>
        </w:numPr>
        <w:spacing w:line="600" w:lineRule="exact"/>
        <w:ind w:firstLineChars="0"/>
        <w:outlineLvl w:val="1"/>
        <w:rPr>
          <w:rStyle w:val="29"/>
          <w:rFonts w:ascii="黑体" w:hAnsi="黑体" w:eastAsia="黑体"/>
          <w:b w:val="0"/>
          <w:color w:val="auto"/>
          <w:highlight w:val="none"/>
        </w:rPr>
      </w:pPr>
      <w:bookmarkStart w:id="32" w:name="_Toc28915"/>
      <w:bookmarkStart w:id="33" w:name="_Toc15377207"/>
      <w:bookmarkStart w:id="34" w:name="_Toc15396605"/>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32"/>
      <w:bookmarkEnd w:id="33"/>
      <w:bookmarkEnd w:id="34"/>
    </w:p>
    <w:p w14:paraId="439B3CC2">
      <w:pPr>
        <w:spacing w:line="600" w:lineRule="exact"/>
        <w:ind w:firstLine="640" w:firstLineChars="200"/>
        <w:outlineLvl w:val="1"/>
      </w:pPr>
      <w:bookmarkStart w:id="35" w:name="_Toc1688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288.3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288.3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5"/>
    </w:p>
    <w:p w14:paraId="6F0D83E2">
      <w:r>
        <w:rPr>
          <w:rFonts w:hint="eastAsia" w:ascii="仿宋" w:hAnsi="仿宋" w:eastAsia="仿宋"/>
          <w:color w:val="000000"/>
          <w:sz w:val="32"/>
          <w:szCs w:val="32"/>
        </w:rPr>
        <w:object>
          <v:shape id="_x0000_i1025" o:spt="75" type="#_x0000_t75" style="height:197pt;width:336.1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7" r:id="rId10">
            <o:LockedField>false</o:LockedField>
          </o:OLEObject>
        </w:object>
      </w:r>
    </w:p>
    <w:p w14:paraId="7BE814AD">
      <w:pPr>
        <w:spacing w:line="600" w:lineRule="exact"/>
        <w:ind w:firstLine="640" w:firstLineChars="200"/>
        <w:outlineLvl w:val="1"/>
        <w:rPr>
          <w:rStyle w:val="29"/>
          <w:rFonts w:ascii="黑体" w:hAnsi="黑体" w:eastAsia="黑体"/>
          <w:b w:val="0"/>
          <w:color w:val="auto"/>
          <w:highlight w:val="none"/>
        </w:rPr>
      </w:pPr>
      <w:bookmarkStart w:id="36" w:name="_Toc15396606"/>
      <w:bookmarkStart w:id="37" w:name="_Toc15377208"/>
      <w:bookmarkStart w:id="38" w:name="_Toc19095"/>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6"/>
      <w:bookmarkEnd w:id="37"/>
      <w:bookmarkEnd w:id="38"/>
    </w:p>
    <w:p w14:paraId="27A959A8">
      <w:pPr>
        <w:spacing w:line="600" w:lineRule="exact"/>
        <w:ind w:firstLine="640"/>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288.3</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7.5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2.67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Times New Roman"/>
          <w:sz w:val="32"/>
          <w:szCs w:val="32"/>
          <w:lang w:val="en-US" w:eastAsia="zh-CN"/>
        </w:rPr>
        <w:t>人员调资。</w:t>
      </w:r>
    </w:p>
    <w:p w14:paraId="694B74FA"/>
    <w:p w14:paraId="5CAF9239">
      <w:pPr>
        <w:pStyle w:val="6"/>
        <w:ind w:left="0" w:leftChars="0" w:firstLine="639" w:firstLineChars="213"/>
        <w:rPr>
          <w:rFonts w:ascii="仿宋" w:hAnsi="仿宋" w:eastAsia="仿宋"/>
          <w:b/>
          <w:color w:val="auto"/>
          <w:sz w:val="32"/>
          <w:szCs w:val="32"/>
          <w:highlight w:val="none"/>
        </w:rPr>
      </w:pPr>
      <w:r>
        <w:rPr>
          <w:rFonts w:hint="eastAsia"/>
        </w:rPr>
        <w:object>
          <v:shape id="_x0000_i1026" o:spt="75" type="#_x0000_t75" style="height:191.5pt;width:338.4pt;" o:ole="t" filled="f" o:preferrelative="t" stroked="f" coordsize="21600,21600">
            <v:path/>
            <v:fill on="f" focussize="0,0"/>
            <v:stroke on="f"/>
            <v:imagedata r:id="rId13" o:title=""/>
            <o:lock v:ext="edit" aspectratio="t"/>
            <w10:wrap type="none"/>
            <w10:anchorlock/>
          </v:shape>
          <o:OLEObject Type="Embed" ProgID="Excel.Chart.8" ShapeID="_x0000_i1026" DrawAspect="Content" ObjectID="_1468075728" r:id="rId12">
            <o:LockedField>false</o:LockedField>
          </o:OLEObject>
        </w:object>
      </w:r>
    </w:p>
    <w:p w14:paraId="34412304">
      <w:pPr>
        <w:spacing w:line="600" w:lineRule="exact"/>
        <w:ind w:firstLine="640" w:firstLineChars="200"/>
        <w:outlineLvl w:val="1"/>
        <w:rPr>
          <w:rStyle w:val="29"/>
          <w:rFonts w:ascii="黑体" w:hAnsi="黑体" w:eastAsia="黑体"/>
          <w:b w:val="0"/>
          <w:color w:val="auto"/>
          <w:highlight w:val="none"/>
        </w:rPr>
      </w:pPr>
      <w:bookmarkStart w:id="39" w:name="_Toc15396607"/>
      <w:bookmarkStart w:id="40" w:name="_Toc15377209"/>
      <w:bookmarkStart w:id="41" w:name="_Toc2672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9"/>
      <w:bookmarkEnd w:id="40"/>
      <w:bookmarkEnd w:id="41"/>
    </w:p>
    <w:p w14:paraId="0F0922D5">
      <w:pPr>
        <w:spacing w:line="600" w:lineRule="exact"/>
        <w:ind w:firstLine="643" w:firstLineChars="200"/>
        <w:outlineLvl w:val="2"/>
        <w:rPr>
          <w:rFonts w:ascii="仿宋" w:hAnsi="仿宋" w:eastAsia="仿宋"/>
          <w:b/>
          <w:color w:val="auto"/>
          <w:sz w:val="32"/>
          <w:szCs w:val="32"/>
          <w:highlight w:val="none"/>
        </w:rPr>
      </w:pPr>
      <w:bookmarkStart w:id="42" w:name="_Toc10211"/>
      <w:bookmarkStart w:id="43" w:name="_Toc15377210"/>
      <w:r>
        <w:rPr>
          <w:rFonts w:hint="eastAsia" w:ascii="仿宋" w:hAnsi="仿宋" w:eastAsia="仿宋"/>
          <w:b/>
          <w:color w:val="auto"/>
          <w:sz w:val="32"/>
          <w:szCs w:val="32"/>
          <w:highlight w:val="none"/>
        </w:rPr>
        <w:t>（一）一般公共预算财政拨款支出决算总体情况</w:t>
      </w:r>
      <w:bookmarkEnd w:id="42"/>
      <w:bookmarkEnd w:id="43"/>
    </w:p>
    <w:p w14:paraId="5388F4A3">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288.3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7.5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2.67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人员调资。</w:t>
      </w:r>
    </w:p>
    <w:p w14:paraId="283D586D">
      <w:pPr>
        <w:spacing w:line="600" w:lineRule="exact"/>
        <w:ind w:firstLine="420" w:firstLineChars="200"/>
        <w:rPr>
          <w:rFonts w:ascii="仿宋" w:hAnsi="仿宋" w:eastAsia="仿宋"/>
          <w:color w:val="auto"/>
          <w:sz w:val="32"/>
          <w:szCs w:val="32"/>
          <w:highlight w:val="none"/>
        </w:rPr>
      </w:pPr>
      <w:r>
        <w:rPr>
          <w:rFonts w:hint="eastAsia"/>
        </w:rPr>
        <w:pict>
          <v:shape id="_x0000_s1031" o:spid="_x0000_s1031" o:spt="75" type="#_x0000_t75" style="position:absolute;left:0pt;margin-left:34.8pt;margin-top:17.35pt;height:231.65pt;width:315.05pt;mso-wrap-distance-left:9pt;mso-wrap-distance-right:9pt;z-index:-251655168;mso-width-relative:page;mso-height-relative:page;" o:ole="t" filled="f" o:preferrelative="t" stroked="f" coordsize="21600,21600" wrapcoords="21592 -2 0 0 0 21600 21592 21602 8 21602 21600 21600 21600 0 8 -2 21592 -2">
            <v:path/>
            <v:fill on="f" focussize="0,0"/>
            <v:stroke on="f"/>
            <v:imagedata r:id="rId15" o:title=""/>
            <o:lock v:ext="edit" aspectratio="t"/>
            <w10:wrap type="tight"/>
          </v:shape>
          <o:OLEObject Type="Embed" ProgID="Excel.Chart.8" ShapeID="_x0000_s1031" DrawAspect="Content" ObjectID="_1468075729" r:id="rId14">
            <o:LockedField>false</o:LockedField>
          </o:OLEObject>
        </w:pict>
      </w:r>
    </w:p>
    <w:p w14:paraId="211863CC">
      <w:pPr>
        <w:pStyle w:val="6"/>
        <w:rPr>
          <w:rFonts w:ascii="仿宋" w:hAnsi="仿宋" w:eastAsia="仿宋"/>
          <w:color w:val="auto"/>
          <w:sz w:val="32"/>
          <w:szCs w:val="32"/>
          <w:highlight w:val="none"/>
        </w:rPr>
      </w:pPr>
    </w:p>
    <w:p w14:paraId="44D224AB">
      <w:pPr>
        <w:rPr>
          <w:rFonts w:ascii="仿宋" w:hAnsi="仿宋" w:eastAsia="仿宋"/>
          <w:color w:val="auto"/>
          <w:sz w:val="32"/>
          <w:szCs w:val="32"/>
          <w:highlight w:val="none"/>
        </w:rPr>
      </w:pPr>
    </w:p>
    <w:p w14:paraId="57E262C3">
      <w:pPr>
        <w:pStyle w:val="6"/>
        <w:rPr>
          <w:rFonts w:ascii="仿宋" w:hAnsi="仿宋" w:eastAsia="仿宋"/>
          <w:color w:val="auto"/>
          <w:sz w:val="32"/>
          <w:szCs w:val="32"/>
          <w:highlight w:val="none"/>
        </w:rPr>
      </w:pPr>
    </w:p>
    <w:p w14:paraId="48BD98A8">
      <w:pPr>
        <w:rPr>
          <w:rFonts w:ascii="仿宋" w:hAnsi="仿宋" w:eastAsia="仿宋"/>
          <w:color w:val="auto"/>
          <w:sz w:val="32"/>
          <w:szCs w:val="32"/>
          <w:highlight w:val="none"/>
        </w:rPr>
      </w:pPr>
    </w:p>
    <w:p w14:paraId="61FB38CF">
      <w:pPr>
        <w:pStyle w:val="6"/>
      </w:pPr>
    </w:p>
    <w:p w14:paraId="1C00F1EC">
      <w:pPr>
        <w:spacing w:line="600" w:lineRule="exact"/>
        <w:ind w:firstLine="643" w:firstLineChars="200"/>
        <w:outlineLvl w:val="2"/>
        <w:rPr>
          <w:rFonts w:ascii="仿宋" w:hAnsi="仿宋" w:eastAsia="仿宋"/>
          <w:b/>
          <w:color w:val="auto"/>
          <w:sz w:val="32"/>
          <w:szCs w:val="32"/>
          <w:highlight w:val="none"/>
        </w:rPr>
      </w:pPr>
      <w:bookmarkStart w:id="44" w:name="_Toc7916"/>
      <w:bookmarkStart w:id="45" w:name="_Toc15377211"/>
      <w:r>
        <w:rPr>
          <w:rFonts w:hint="eastAsia" w:ascii="仿宋" w:hAnsi="仿宋" w:eastAsia="仿宋"/>
          <w:b/>
          <w:color w:val="auto"/>
          <w:sz w:val="32"/>
          <w:szCs w:val="32"/>
          <w:highlight w:val="none"/>
        </w:rPr>
        <w:t>（二）一般公共预算财政拨款支出决算结构情况</w:t>
      </w:r>
      <w:bookmarkEnd w:id="44"/>
      <w:bookmarkEnd w:id="45"/>
    </w:p>
    <w:p w14:paraId="3AB8B8AB">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288.3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256.13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88.84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15.44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5.08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11.65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86A86CB">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sz w:val="32"/>
          <w:szCs w:val="32"/>
        </w:rPr>
        <w:pict>
          <v:shape id="Object 8" o:spid="_x0000_s1032" o:spt="75" type="#_x0000_t75" style="position:absolute;left:0pt;margin-left:44.9pt;margin-top:13.55pt;height:211.7pt;width:303.1pt;mso-wrap-distance-bottom:0pt;mso-wrap-distance-left:9pt;mso-wrap-distance-right:9pt;mso-wrap-distance-top:0pt;z-index:251662336;mso-width-relative:page;mso-height-relative:page;" o:ole="t" filled="f" o:preferrelative="t" stroked="f" coordsize="21600,21600">
            <v:path/>
            <v:fill on="f" focussize="0,0"/>
            <v:stroke on="f"/>
            <v:imagedata r:id="rId17" o:title=""/>
            <o:lock v:ext="edit" aspectratio="t"/>
            <w10:wrap type="square"/>
          </v:shape>
          <o:OLEObject Type="Embed" ProgID="Excel.Chart.8" ShapeID="Object 8" DrawAspect="Content" ObjectID="_1468075730" r:id="rId16">
            <o:LockedField>false</o:LockedField>
          </o:OLEObject>
        </w:pict>
      </w:r>
    </w:p>
    <w:p w14:paraId="26E9C141">
      <w:pPr>
        <w:spacing w:line="600" w:lineRule="exact"/>
        <w:ind w:firstLine="640" w:firstLineChars="200"/>
        <w:rPr>
          <w:rFonts w:hint="eastAsia" w:ascii="仿宋" w:hAnsi="仿宋" w:eastAsia="仿宋"/>
          <w:color w:val="auto"/>
          <w:sz w:val="32"/>
          <w:szCs w:val="32"/>
          <w:highlight w:val="none"/>
        </w:rPr>
      </w:pPr>
    </w:p>
    <w:p w14:paraId="692D0BED">
      <w:pPr>
        <w:spacing w:line="600" w:lineRule="exact"/>
        <w:ind w:firstLine="640" w:firstLineChars="200"/>
        <w:rPr>
          <w:rFonts w:hint="eastAsia" w:ascii="仿宋" w:hAnsi="仿宋" w:eastAsia="仿宋"/>
          <w:color w:val="auto"/>
          <w:sz w:val="32"/>
          <w:szCs w:val="32"/>
          <w:highlight w:val="none"/>
        </w:rPr>
      </w:pPr>
    </w:p>
    <w:p w14:paraId="0D69149E">
      <w:pPr>
        <w:spacing w:line="600" w:lineRule="exact"/>
        <w:ind w:firstLine="640" w:firstLineChars="200"/>
        <w:rPr>
          <w:rFonts w:hint="eastAsia" w:ascii="仿宋" w:hAnsi="仿宋" w:eastAsia="仿宋"/>
          <w:color w:val="auto"/>
          <w:sz w:val="32"/>
          <w:szCs w:val="32"/>
          <w:highlight w:val="none"/>
        </w:rPr>
      </w:pPr>
    </w:p>
    <w:p w14:paraId="31B47854">
      <w:pPr>
        <w:spacing w:line="600" w:lineRule="exact"/>
        <w:rPr>
          <w:rFonts w:ascii="仿宋" w:hAnsi="仿宋" w:eastAsia="仿宋"/>
          <w:color w:val="auto"/>
          <w:sz w:val="32"/>
          <w:szCs w:val="32"/>
          <w:highlight w:val="none"/>
        </w:rPr>
      </w:pPr>
    </w:p>
    <w:p w14:paraId="7B690754">
      <w:pPr>
        <w:spacing w:line="600" w:lineRule="exact"/>
        <w:ind w:firstLine="643" w:firstLineChars="200"/>
        <w:outlineLvl w:val="2"/>
        <w:rPr>
          <w:rFonts w:ascii="仿宋" w:hAnsi="仿宋" w:eastAsia="仿宋"/>
          <w:b/>
          <w:color w:val="auto"/>
          <w:sz w:val="32"/>
          <w:szCs w:val="32"/>
          <w:highlight w:val="none"/>
        </w:rPr>
      </w:pPr>
      <w:bookmarkStart w:id="46" w:name="_Toc15377212"/>
      <w:bookmarkStart w:id="47" w:name="_Toc22695"/>
      <w:r>
        <w:rPr>
          <w:rFonts w:hint="eastAsia" w:ascii="仿宋" w:hAnsi="仿宋" w:eastAsia="仿宋"/>
          <w:b/>
          <w:color w:val="auto"/>
          <w:sz w:val="32"/>
          <w:szCs w:val="32"/>
          <w:highlight w:val="none"/>
        </w:rPr>
        <w:t>（三）一般公共预算财政拨款支出决算具体情况</w:t>
      </w:r>
      <w:bookmarkEnd w:id="46"/>
      <w:bookmarkEnd w:id="47"/>
    </w:p>
    <w:p w14:paraId="496B84D3">
      <w:pPr>
        <w:spacing w:line="600" w:lineRule="exact"/>
        <w:ind w:firstLine="643" w:firstLineChars="200"/>
        <w:outlineLvl w:val="2"/>
        <w:rPr>
          <w:rFonts w:ascii="仿宋" w:hAnsi="仿宋" w:eastAsia="仿宋"/>
          <w:color w:val="auto"/>
          <w:sz w:val="32"/>
          <w:szCs w:val="32"/>
          <w:highlight w:val="none"/>
        </w:rPr>
      </w:pPr>
      <w:bookmarkStart w:id="48" w:name="_Toc20647"/>
      <w:bookmarkStart w:id="49" w:name="_Toc15377213"/>
      <w:bookmarkStart w:id="50" w:name="_Toc15377444"/>
      <w:bookmarkStart w:id="51"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288.3万元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8"/>
      <w:bookmarkEnd w:id="49"/>
      <w:bookmarkEnd w:id="50"/>
      <w:bookmarkEnd w:id="51"/>
    </w:p>
    <w:p w14:paraId="1BD47C8E">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一般公共服务（类）</w:t>
      </w:r>
      <w:r>
        <w:rPr>
          <w:rStyle w:val="17"/>
          <w:rFonts w:hint="eastAsia" w:ascii="仿宋" w:hAnsi="仿宋" w:eastAsia="仿宋"/>
          <w:bCs/>
          <w:color w:val="000000"/>
          <w:sz w:val="32"/>
          <w:szCs w:val="32"/>
          <w:lang w:val="en-US" w:eastAsia="zh-CN"/>
        </w:rPr>
        <w:t>群众团体事务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行政运行</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256.13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5D5C50EE">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cs="Times New Roman"/>
          <w:b/>
          <w:bCs/>
          <w:color w:val="000000"/>
          <w:sz w:val="32"/>
          <w:szCs w:val="32"/>
          <w:lang w:val="en-US" w:eastAsia="zh-CN"/>
        </w:rPr>
        <w:t>行政事业单位养老支出</w:t>
      </w:r>
      <w:r>
        <w:rPr>
          <w:rStyle w:val="17"/>
          <w:rFonts w:hint="eastAsia" w:ascii="仿宋" w:hAnsi="仿宋" w:eastAsia="仿宋" w:cs="Times New Roman"/>
          <w:b/>
          <w:bCs/>
          <w:color w:val="000000"/>
          <w:sz w:val="32"/>
          <w:szCs w:val="32"/>
        </w:rPr>
        <w:t>（款）</w:t>
      </w:r>
      <w:r>
        <w:rPr>
          <w:rStyle w:val="17"/>
          <w:rFonts w:hint="eastAsia" w:ascii="仿宋" w:hAnsi="仿宋" w:eastAsia="仿宋" w:cs="Times New Roman"/>
          <w:b/>
          <w:bCs/>
          <w:color w:val="000000"/>
          <w:sz w:val="32"/>
          <w:szCs w:val="32"/>
          <w:lang w:val="en-US" w:eastAsia="zh-CN"/>
        </w:rPr>
        <w:t>机关事业单位基本养老保险缴费支出</w:t>
      </w:r>
      <w:r>
        <w:rPr>
          <w:rStyle w:val="17"/>
          <w:rFonts w:hint="eastAsia" w:ascii="仿宋" w:hAnsi="仿宋" w:eastAsia="仿宋" w:cs="Times New Roman"/>
          <w:b/>
          <w:bCs/>
          <w:color w:val="000000"/>
          <w:sz w:val="32"/>
          <w:szCs w:val="32"/>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15.44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550E8281">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Fonts w:hint="eastAsia" w:ascii="仿宋_GB2312" w:eastAsia="仿宋_GB2312"/>
          <w:b/>
          <w:bCs/>
          <w:color w:val="000000"/>
          <w:sz w:val="32"/>
          <w:szCs w:val="32"/>
          <w:highlight w:val="none"/>
          <w:shd w:val="clear" w:color="auto" w:fill="auto"/>
          <w:lang w:eastAsia="zh-CN"/>
        </w:rPr>
        <w:t>行政事业单位医疗</w:t>
      </w:r>
      <w:r>
        <w:rPr>
          <w:rFonts w:hint="eastAsia" w:ascii="仿宋_GB2312" w:eastAsia="仿宋_GB2312"/>
          <w:b/>
          <w:bCs/>
          <w:color w:val="000000"/>
          <w:sz w:val="32"/>
          <w:szCs w:val="32"/>
          <w:highlight w:val="none"/>
          <w:shd w:val="clear" w:color="auto" w:fill="auto"/>
        </w:rPr>
        <w:t>（款）</w:t>
      </w:r>
      <w:r>
        <w:rPr>
          <w:rFonts w:hint="eastAsia" w:ascii="仿宋_GB2312" w:eastAsia="仿宋_GB2312"/>
          <w:b/>
          <w:bCs/>
          <w:color w:val="000000"/>
          <w:sz w:val="32"/>
          <w:szCs w:val="32"/>
          <w:highlight w:val="none"/>
          <w:shd w:val="clear" w:color="auto" w:fill="auto"/>
          <w:lang w:eastAsia="zh-CN"/>
        </w:rPr>
        <w:t>行政单位医疗</w:t>
      </w:r>
      <w:r>
        <w:rPr>
          <w:rFonts w:hint="eastAsia" w:ascii="仿宋_GB2312" w:eastAsia="仿宋_GB2312"/>
          <w:b/>
          <w:bCs/>
          <w:color w:val="000000"/>
          <w:sz w:val="32"/>
          <w:szCs w:val="32"/>
          <w:highlight w:val="none"/>
          <w:shd w:val="clear" w:color="auto" w:fill="auto"/>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5.08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0236C6AF">
      <w:pPr>
        <w:pStyle w:val="6"/>
        <w:rPr>
          <w:rFonts w:hint="default" w:eastAsia="仿宋"/>
          <w:lang w:val="en-US" w:eastAsia="zh-CN"/>
        </w:rPr>
      </w:pPr>
      <w:r>
        <w:rPr>
          <w:rStyle w:val="17"/>
          <w:rFonts w:hint="eastAsia" w:ascii="仿宋" w:hAnsi="仿宋" w:eastAsia="仿宋"/>
          <w:b w:val="0"/>
          <w:bCs/>
          <w:color w:val="auto"/>
          <w:sz w:val="32"/>
          <w:szCs w:val="32"/>
          <w:highlight w:val="none"/>
          <w:lang w:val="en-US" w:eastAsia="zh-CN"/>
        </w:rPr>
        <w:t xml:space="preserve">    </w:t>
      </w:r>
      <w:r>
        <w:rPr>
          <w:rStyle w:val="17"/>
          <w:rFonts w:hint="eastAsia" w:ascii="仿宋" w:hAnsi="仿宋" w:eastAsia="仿宋" w:cstheme="minorBidi"/>
          <w:bCs/>
          <w:color w:val="auto"/>
          <w:kern w:val="2"/>
          <w:sz w:val="32"/>
          <w:szCs w:val="32"/>
          <w:highlight w:val="none"/>
          <w:lang w:val="en-US" w:eastAsia="zh-CN" w:bidi="ar-SA"/>
        </w:rPr>
        <w:t>4.</w:t>
      </w:r>
      <w:r>
        <w:rPr>
          <w:rFonts w:hint="eastAsia" w:ascii="仿宋" w:hAnsi="仿宋" w:eastAsia="仿宋"/>
          <w:b/>
          <w:color w:val="000000"/>
          <w:sz w:val="32"/>
          <w:szCs w:val="32"/>
          <w:lang w:val="en-US" w:eastAsia="zh-CN"/>
        </w:rPr>
        <w:t>住房保障（类）住房改革支出（款）住房公积金（项）：</w:t>
      </w:r>
      <w:r>
        <w:rPr>
          <w:rStyle w:val="17"/>
          <w:rFonts w:hint="eastAsia" w:ascii="仿宋" w:hAnsi="仿宋" w:eastAsia="仿宋"/>
          <w:b w:val="0"/>
          <w:bCs/>
          <w:color w:val="auto"/>
          <w:sz w:val="32"/>
          <w:szCs w:val="32"/>
          <w:highlight w:val="none"/>
        </w:rPr>
        <w:t>支出决算为</w:t>
      </w:r>
      <w:r>
        <w:rPr>
          <w:rFonts w:hint="eastAsia" w:ascii="Times New Roman" w:hAnsi="Times New Roman" w:cs="Times New Roman"/>
          <w:sz w:val="32"/>
          <w:szCs w:val="32"/>
          <w:lang w:val="en-US" w:eastAsia="zh-CN"/>
        </w:rPr>
        <w:t>11.65</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r>
        <w:rPr>
          <w:rStyle w:val="17"/>
          <w:rFonts w:hint="eastAsia" w:ascii="仿宋" w:hAnsi="仿宋" w:eastAsia="仿宋"/>
          <w:b w:val="0"/>
          <w:bCs/>
          <w:color w:val="auto"/>
          <w:sz w:val="32"/>
          <w:szCs w:val="32"/>
          <w:highlight w:val="none"/>
        </w:rPr>
        <w:t>，决算数等于预算数。</w:t>
      </w:r>
    </w:p>
    <w:p w14:paraId="78D6F197">
      <w:pPr>
        <w:tabs>
          <w:tab w:val="right" w:pos="8306"/>
        </w:tabs>
        <w:spacing w:line="600" w:lineRule="exact"/>
        <w:ind w:firstLine="640"/>
        <w:outlineLvl w:val="1"/>
        <w:rPr>
          <w:rStyle w:val="29"/>
          <w:color w:val="auto"/>
          <w:highlight w:val="none"/>
        </w:rPr>
      </w:pPr>
      <w:bookmarkStart w:id="52" w:name="_Toc15396608"/>
      <w:bookmarkStart w:id="53" w:name="_Toc13313"/>
      <w:bookmarkStart w:id="54"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52"/>
      <w:bookmarkEnd w:id="53"/>
      <w:bookmarkEnd w:id="54"/>
      <w:r>
        <w:rPr>
          <w:rStyle w:val="29"/>
          <w:rFonts w:ascii="黑体" w:hAnsi="黑体" w:eastAsia="黑体"/>
          <w:b w:val="0"/>
          <w:color w:val="auto"/>
          <w:highlight w:val="none"/>
        </w:rPr>
        <w:tab/>
      </w:r>
    </w:p>
    <w:p w14:paraId="6DEACED3">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288.3</w:t>
      </w:r>
      <w:r>
        <w:rPr>
          <w:rFonts w:hint="eastAsia" w:ascii="仿宋" w:hAnsi="仿宋" w:eastAsia="仿宋"/>
          <w:color w:val="auto"/>
          <w:sz w:val="32"/>
          <w:szCs w:val="32"/>
          <w:highlight w:val="none"/>
        </w:rPr>
        <w:t>万元，其中：</w:t>
      </w:r>
    </w:p>
    <w:p w14:paraId="3E4826AD">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118.99</w:t>
      </w:r>
      <w:r>
        <w:rPr>
          <w:rFonts w:hint="eastAsia" w:ascii="仿宋" w:hAnsi="仿宋" w:eastAsia="仿宋"/>
          <w:color w:val="auto"/>
          <w:sz w:val="32"/>
          <w:szCs w:val="32"/>
          <w:highlight w:val="none"/>
        </w:rPr>
        <w:t>万元，主要包括：</w:t>
      </w:r>
      <w:r>
        <w:rPr>
          <w:rFonts w:hint="eastAsia" w:ascii="Times New Roman" w:hAnsi="Times New Roman" w:eastAsia="仿宋_GB2312" w:cs="Times New Roman"/>
          <w:sz w:val="32"/>
          <w:szCs w:val="32"/>
        </w:rPr>
        <w:t>基本工资、津贴补贴、奖金、绩效工资、机关事业单位基本养老保险缴费、其他社会保障缴费、其他工资福利支出、生活补助、住房公积金、其他对个人和家庭的补助支出等</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169.31</w:t>
      </w:r>
      <w:r>
        <w:rPr>
          <w:rFonts w:hint="eastAsia" w:ascii="仿宋" w:hAnsi="仿宋" w:eastAsia="仿宋"/>
          <w:color w:val="auto"/>
          <w:sz w:val="32"/>
          <w:szCs w:val="32"/>
          <w:highlight w:val="none"/>
        </w:rPr>
        <w:t>万元，主要包括：</w:t>
      </w:r>
      <w:r>
        <w:rPr>
          <w:rFonts w:hint="eastAsia" w:ascii="Times New Roman" w:hAnsi="Times New Roman" w:eastAsia="仿宋_GB2312" w:cs="Times New Roman"/>
          <w:sz w:val="32"/>
          <w:szCs w:val="32"/>
        </w:rPr>
        <w:t>办公费、印刷费、</w:t>
      </w:r>
      <w:r>
        <w:rPr>
          <w:rFonts w:hint="eastAsia" w:ascii="Times New Roman" w:hAnsi="Times New Roman" w:eastAsia="仿宋_GB2312" w:cs="Times New Roman"/>
          <w:color w:val="auto"/>
          <w:sz w:val="32"/>
          <w:szCs w:val="32"/>
        </w:rPr>
        <w:t>差旅费、</w:t>
      </w:r>
      <w:r>
        <w:rPr>
          <w:rFonts w:hint="eastAsia" w:ascii="Times New Roman" w:hAnsi="Times New Roman" w:eastAsia="仿宋_GB2312" w:cs="Times New Roman"/>
          <w:sz w:val="32"/>
          <w:szCs w:val="32"/>
        </w:rPr>
        <w:t>公务接待费、工会经费、其他交通费、其他商品和服务支出等</w:t>
      </w:r>
      <w:r>
        <w:rPr>
          <w:rFonts w:hint="eastAsia" w:ascii="仿宋" w:hAnsi="仿宋" w:eastAsia="仿宋"/>
          <w:color w:val="auto"/>
          <w:sz w:val="32"/>
          <w:szCs w:val="32"/>
          <w:highlight w:val="none"/>
        </w:rPr>
        <w:t>。</w:t>
      </w:r>
    </w:p>
    <w:p w14:paraId="10F0A81B">
      <w:pPr>
        <w:spacing w:line="600" w:lineRule="exact"/>
        <w:ind w:firstLine="640"/>
        <w:outlineLvl w:val="1"/>
        <w:rPr>
          <w:rStyle w:val="29"/>
          <w:rFonts w:ascii="黑体" w:hAnsi="黑体" w:eastAsia="黑体"/>
          <w:b w:val="0"/>
          <w:color w:val="auto"/>
          <w:highlight w:val="none"/>
        </w:rPr>
      </w:pPr>
      <w:bookmarkStart w:id="55" w:name="_Toc15396609"/>
      <w:bookmarkStart w:id="56" w:name="_Toc14101"/>
      <w:bookmarkStart w:id="57" w:name="_Toc15377215"/>
      <w:r>
        <w:rPr>
          <w:rFonts w:hint="eastAsia" w:ascii="黑体" w:eastAsia="黑体"/>
          <w:color w:val="auto"/>
          <w:sz w:val="32"/>
          <w:szCs w:val="32"/>
          <w:highlight w:val="none"/>
        </w:rPr>
        <w:t>七、</w:t>
      </w:r>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bookmarkEnd w:id="55"/>
      <w:bookmarkEnd w:id="56"/>
      <w:bookmarkEnd w:id="57"/>
    </w:p>
    <w:p w14:paraId="4F6CC7F9">
      <w:pPr>
        <w:spacing w:line="600" w:lineRule="exact"/>
        <w:ind w:firstLine="640"/>
        <w:outlineLvl w:val="2"/>
        <w:rPr>
          <w:rFonts w:ascii="仿宋" w:hAnsi="仿宋" w:eastAsia="仿宋"/>
          <w:b/>
          <w:color w:val="auto"/>
          <w:sz w:val="32"/>
          <w:szCs w:val="32"/>
          <w:highlight w:val="none"/>
        </w:rPr>
      </w:pPr>
      <w:bookmarkStart w:id="58" w:name="_Toc15377216"/>
      <w:bookmarkStart w:id="59" w:name="_Toc14562"/>
      <w:r>
        <w:rPr>
          <w:rFonts w:hint="eastAsia" w:ascii="仿宋" w:hAnsi="仿宋" w:eastAsia="仿宋"/>
          <w:b/>
          <w:color w:val="auto"/>
          <w:sz w:val="32"/>
          <w:szCs w:val="32"/>
          <w:highlight w:val="none"/>
        </w:rPr>
        <w:t>（一）“三公”经费财政拨款支出决算总体情况说明</w:t>
      </w:r>
      <w:bookmarkEnd w:id="58"/>
      <w:bookmarkEnd w:id="59"/>
    </w:p>
    <w:p w14:paraId="752CD6CE">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持平。</w:t>
      </w:r>
      <w:r>
        <w:rPr>
          <w:rFonts w:hint="eastAsia" w:ascii="仿宋" w:hAnsi="仿宋" w:eastAsia="仿宋"/>
          <w:color w:val="auto"/>
          <w:sz w:val="32"/>
          <w:szCs w:val="32"/>
          <w:highlight w:val="none"/>
        </w:rPr>
        <w:t>决算数与预算数持平。</w:t>
      </w:r>
    </w:p>
    <w:p w14:paraId="68EFEBA3">
      <w:pPr>
        <w:spacing w:line="600" w:lineRule="exact"/>
        <w:ind w:firstLine="640"/>
        <w:outlineLvl w:val="2"/>
        <w:rPr>
          <w:rFonts w:ascii="仿宋" w:hAnsi="仿宋" w:eastAsia="仿宋"/>
          <w:b/>
          <w:color w:val="auto"/>
          <w:sz w:val="32"/>
          <w:szCs w:val="32"/>
          <w:highlight w:val="none"/>
        </w:rPr>
      </w:pPr>
      <w:bookmarkStart w:id="60" w:name="_Toc6924"/>
      <w:bookmarkStart w:id="61" w:name="_Toc15377217"/>
      <w:r>
        <w:rPr>
          <w:rFonts w:hint="eastAsia" w:ascii="仿宋" w:hAnsi="仿宋" w:eastAsia="仿宋"/>
          <w:b/>
          <w:color w:val="auto"/>
          <w:sz w:val="32"/>
          <w:szCs w:val="32"/>
          <w:highlight w:val="none"/>
        </w:rPr>
        <w:t>（二）“三公”经费财政拨款支出决算具体情况说明</w:t>
      </w:r>
      <w:bookmarkEnd w:id="60"/>
      <w:bookmarkEnd w:id="61"/>
    </w:p>
    <w:p w14:paraId="23745401">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73F98C2">
      <w:pPr>
        <w:pStyle w:val="6"/>
        <w:ind w:left="0" w:leftChars="0" w:firstLine="1059" w:firstLineChars="331"/>
        <w:rPr>
          <w:rFonts w:hint="eastAsia" w:ascii="仿宋" w:hAnsi="仿宋" w:eastAsia="仿宋"/>
          <w:color w:val="000000"/>
          <w:sz w:val="32"/>
          <w:szCs w:val="32"/>
        </w:rPr>
      </w:pPr>
      <w:r>
        <w:rPr>
          <w:rFonts w:hint="eastAsia" w:ascii="仿宋" w:hAnsi="仿宋" w:eastAsia="仿宋"/>
          <w:color w:val="000000"/>
          <w:sz w:val="32"/>
          <w:szCs w:val="32"/>
        </w:rPr>
        <w:object>
          <v:shape id="_x0000_i1027" o:spt="75" type="#_x0000_t75" style="height:174.1pt;width:278.9pt;" o:ole="t" filled="f" o:preferrelative="t" stroked="f" coordsize="21600,21600">
            <v:path/>
            <v:fill on="f" focussize="0,0"/>
            <v:stroke on="f"/>
            <v:imagedata r:id="rId19" o:title=""/>
            <o:lock v:ext="edit" aspectratio="t"/>
            <w10:wrap type="none"/>
            <w10:anchorlock/>
          </v:shape>
          <o:OLEObject Type="Embed" ProgID="Excel.Chart.8" ShapeID="_x0000_i1027" DrawAspect="Content" ObjectID="_1468075731" r:id="rId18">
            <o:LockedField>false</o:LockedField>
          </o:OLEObject>
        </w:object>
      </w:r>
    </w:p>
    <w:p w14:paraId="182509CF">
      <w:pPr>
        <w:spacing w:line="600" w:lineRule="exact"/>
        <w:ind w:firstLine="640"/>
        <w:jc w:val="center"/>
      </w:pPr>
      <w:r>
        <w:rPr>
          <w:rFonts w:hint="eastAsia" w:ascii="仿宋" w:hAnsi="仿宋" w:eastAsia="仿宋"/>
          <w:color w:val="auto"/>
          <w:sz w:val="32"/>
          <w:szCs w:val="32"/>
          <w:highlight w:val="none"/>
        </w:rPr>
        <w:t>（图7：“三公”经费财政拨款支出结构）</w:t>
      </w:r>
    </w:p>
    <w:p w14:paraId="1E9BA386">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Times New Roman" w:eastAsia="仿宋_GB2312" w:cs="Times New Roman"/>
          <w:color w:val="auto"/>
          <w:sz w:val="32"/>
          <w:szCs w:val="32"/>
          <w:highlight w:val="none"/>
          <w:lang w:val="en-US" w:eastAsia="zh-CN"/>
        </w:rPr>
        <w:t>年初未安排预算</w:t>
      </w:r>
      <w:r>
        <w:rPr>
          <w:rStyle w:val="17"/>
          <w:rFonts w:hint="eastAsia" w:ascii="仿宋" w:hAnsi="仿宋" w:eastAsia="仿宋"/>
          <w:b w:val="0"/>
          <w:bCs/>
          <w:color w:val="auto"/>
          <w:sz w:val="32"/>
          <w:szCs w:val="32"/>
          <w:highlight w:val="none"/>
          <w:lang w:eastAsia="zh-CN"/>
        </w:rPr>
        <w:t>，</w:t>
      </w:r>
      <w:r>
        <w:rPr>
          <w:rFonts w:hint="eastAsia" w:ascii="仿宋_GB2312" w:eastAsia="仿宋_GB2312"/>
          <w:color w:val="auto"/>
          <w:sz w:val="32"/>
          <w:szCs w:val="32"/>
          <w:highlight w:val="none"/>
          <w:lang w:val="en-US" w:eastAsia="zh-CN"/>
        </w:rPr>
        <w:t>与上年数无变化</w:t>
      </w:r>
      <w:r>
        <w:rPr>
          <w:rFonts w:hint="eastAsia" w:ascii="仿宋_GB2312" w:eastAsia="仿宋_GB2312"/>
          <w:color w:val="auto"/>
          <w:sz w:val="32"/>
          <w:szCs w:val="32"/>
          <w:highlight w:val="none"/>
        </w:rPr>
        <w:t>。</w:t>
      </w:r>
    </w:p>
    <w:p w14:paraId="4A041619">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Times New Roman" w:eastAsia="仿宋_GB2312" w:cs="Times New Roman"/>
          <w:color w:val="auto"/>
          <w:sz w:val="32"/>
          <w:szCs w:val="32"/>
          <w:highlight w:val="none"/>
          <w:lang w:val="en-US" w:eastAsia="zh-CN"/>
        </w:rPr>
        <w:t>年初未安排预算</w:t>
      </w:r>
      <w:r>
        <w:rPr>
          <w:rStyle w:val="17"/>
          <w:rFonts w:hint="eastAsia" w:ascii="仿宋" w:hAnsi="仿宋" w:eastAsia="仿宋"/>
          <w:b w:val="0"/>
          <w:bCs/>
          <w:color w:val="auto"/>
          <w:sz w:val="32"/>
          <w:szCs w:val="32"/>
          <w:highlight w:val="none"/>
          <w:lang w:eastAsia="zh-CN"/>
        </w:rPr>
        <w:t>，</w:t>
      </w:r>
      <w:r>
        <w:rPr>
          <w:rFonts w:hint="eastAsia" w:ascii="仿宋_GB2312" w:eastAsia="仿宋_GB2312"/>
          <w:color w:val="auto"/>
          <w:sz w:val="32"/>
          <w:szCs w:val="32"/>
          <w:highlight w:val="none"/>
          <w:lang w:val="en-US" w:eastAsia="zh-CN"/>
        </w:rPr>
        <w:t>与上年数无变化</w:t>
      </w:r>
      <w:r>
        <w:rPr>
          <w:rFonts w:hint="eastAsia" w:ascii="仿宋_GB2312" w:eastAsia="仿宋_GB2312"/>
          <w:color w:val="auto"/>
          <w:sz w:val="32"/>
          <w:szCs w:val="32"/>
          <w:highlight w:val="none"/>
        </w:rPr>
        <w:t>。</w:t>
      </w:r>
    </w:p>
    <w:p w14:paraId="3869F89E">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2F2C574">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。其中：</w:t>
      </w:r>
    </w:p>
    <w:p w14:paraId="6AE3CD16">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1.8</w:t>
      </w:r>
      <w:r>
        <w:rPr>
          <w:rFonts w:hint="eastAsia" w:ascii="仿宋_GB2312" w:eastAsia="仿宋_GB2312"/>
          <w:color w:val="auto"/>
          <w:sz w:val="32"/>
          <w:szCs w:val="32"/>
          <w:highlight w:val="none"/>
        </w:rPr>
        <w:t>万元，主要用于执行公务、开展业务活动开支的交通费、住宿费、用餐费等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332</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市总工会到我区调研工作、审计账务；招商引资接待工作等</w:t>
      </w:r>
      <w:r>
        <w:rPr>
          <w:rFonts w:hint="eastAsia" w:ascii="仿宋_GB2312" w:eastAsia="仿宋_GB2312"/>
          <w:color w:val="auto"/>
          <w:sz w:val="32"/>
          <w:szCs w:val="32"/>
          <w:highlight w:val="none"/>
        </w:rPr>
        <w:t>。</w:t>
      </w:r>
    </w:p>
    <w:p w14:paraId="3F5357C1">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62" w:name="_Toc15396610"/>
      <w:bookmarkStart w:id="63" w:name="_Toc15377218"/>
    </w:p>
    <w:p w14:paraId="19035E10">
      <w:pPr>
        <w:spacing w:line="600" w:lineRule="exact"/>
        <w:ind w:firstLine="640"/>
        <w:outlineLvl w:val="1"/>
        <w:rPr>
          <w:rStyle w:val="29"/>
          <w:rFonts w:ascii="黑体" w:hAnsi="黑体" w:eastAsia="黑体"/>
          <w:color w:val="auto"/>
          <w:highlight w:val="none"/>
        </w:rPr>
      </w:pPr>
      <w:bookmarkStart w:id="64" w:name="_Toc25547"/>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62"/>
      <w:bookmarkEnd w:id="63"/>
      <w:bookmarkEnd w:id="64"/>
    </w:p>
    <w:p w14:paraId="108E9370">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F91DAE3">
      <w:pPr>
        <w:numPr>
          <w:ilvl w:val="0"/>
          <w:numId w:val="2"/>
        </w:numPr>
        <w:spacing w:line="600" w:lineRule="exact"/>
        <w:ind w:firstLine="640"/>
        <w:outlineLvl w:val="1"/>
        <w:rPr>
          <w:rStyle w:val="29"/>
          <w:rFonts w:ascii="黑体" w:hAnsi="黑体" w:eastAsia="黑体"/>
          <w:b w:val="0"/>
          <w:color w:val="auto"/>
          <w:highlight w:val="none"/>
        </w:rPr>
      </w:pPr>
      <w:bookmarkStart w:id="65" w:name="_Toc2565"/>
      <w:bookmarkStart w:id="66" w:name="_Toc15377219"/>
      <w:bookmarkStart w:id="67" w:name="_Toc15396611"/>
      <w:r>
        <w:rPr>
          <w:rStyle w:val="29"/>
          <w:rFonts w:hint="eastAsia" w:ascii="黑体" w:hAnsi="黑体" w:eastAsia="黑体"/>
          <w:b w:val="0"/>
          <w:color w:val="auto"/>
          <w:highlight w:val="none"/>
        </w:rPr>
        <w:t>国有资本经营预算支出决算情况说明</w:t>
      </w:r>
      <w:bookmarkEnd w:id="65"/>
      <w:bookmarkEnd w:id="66"/>
      <w:bookmarkEnd w:id="67"/>
    </w:p>
    <w:p w14:paraId="52CF5047">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DC16484">
      <w:pPr>
        <w:numPr>
          <w:ilvl w:val="0"/>
          <w:numId w:val="2"/>
        </w:numPr>
        <w:spacing w:line="600" w:lineRule="exact"/>
        <w:ind w:firstLine="640"/>
        <w:outlineLvl w:val="1"/>
        <w:rPr>
          <w:rStyle w:val="29"/>
          <w:rFonts w:hint="eastAsia" w:ascii="黑体" w:hAnsi="黑体" w:eastAsia="黑体"/>
          <w:b w:val="0"/>
          <w:color w:val="auto"/>
          <w:highlight w:val="none"/>
        </w:rPr>
      </w:pPr>
      <w:bookmarkStart w:id="68" w:name="_Toc15377221"/>
      <w:bookmarkStart w:id="69" w:name="_Toc27493"/>
      <w:bookmarkStart w:id="70" w:name="_Toc15396612"/>
      <w:r>
        <w:rPr>
          <w:rStyle w:val="29"/>
          <w:rFonts w:hint="eastAsia" w:ascii="黑体" w:hAnsi="黑体" w:eastAsia="黑体"/>
          <w:b w:val="0"/>
          <w:color w:val="auto"/>
          <w:highlight w:val="none"/>
        </w:rPr>
        <w:t>其他重要事项的情况说明</w:t>
      </w:r>
      <w:bookmarkEnd w:id="68"/>
      <w:bookmarkEnd w:id="69"/>
      <w:bookmarkEnd w:id="70"/>
    </w:p>
    <w:p w14:paraId="04353D1B">
      <w:pPr>
        <w:spacing w:line="600" w:lineRule="exact"/>
        <w:ind w:firstLine="643" w:firstLineChars="200"/>
        <w:outlineLvl w:val="2"/>
        <w:rPr>
          <w:rFonts w:ascii="仿宋" w:hAnsi="仿宋" w:eastAsia="仿宋"/>
          <w:color w:val="auto"/>
          <w:sz w:val="32"/>
          <w:szCs w:val="32"/>
          <w:highlight w:val="none"/>
        </w:rPr>
      </w:pPr>
      <w:bookmarkStart w:id="71" w:name="_Toc15377222"/>
      <w:bookmarkStart w:id="72" w:name="_Toc2768"/>
      <w:r>
        <w:rPr>
          <w:rFonts w:hint="eastAsia" w:ascii="仿宋" w:hAnsi="仿宋" w:eastAsia="仿宋"/>
          <w:b/>
          <w:color w:val="auto"/>
          <w:sz w:val="32"/>
          <w:szCs w:val="32"/>
          <w:highlight w:val="none"/>
        </w:rPr>
        <w:t>（一）机关运行经费支出情况</w:t>
      </w:r>
      <w:bookmarkEnd w:id="71"/>
      <w:bookmarkEnd w:id="72"/>
    </w:p>
    <w:p w14:paraId="31A20D07">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lang w:val="en-US" w:eastAsia="zh-CN"/>
        </w:rPr>
        <w:t>昭化区总工会</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169.31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3.41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2.06</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AB28454">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3" w:name="_Toc15377223"/>
      <w:bookmarkStart w:id="74" w:name="_Toc25308"/>
      <w:r>
        <w:rPr>
          <w:rFonts w:hint="eastAsia" w:ascii="仿宋" w:hAnsi="仿宋" w:eastAsia="仿宋"/>
          <w:b/>
          <w:color w:val="auto"/>
          <w:sz w:val="32"/>
          <w:szCs w:val="32"/>
          <w:highlight w:val="none"/>
        </w:rPr>
        <w:t>（二）政府采购支出情况</w:t>
      </w:r>
      <w:bookmarkEnd w:id="73"/>
      <w:bookmarkEnd w:id="74"/>
    </w:p>
    <w:p w14:paraId="62520AC0">
      <w:pPr>
        <w:spacing w:line="600" w:lineRule="exact"/>
        <w:ind w:firstLine="640" w:firstLineChars="200"/>
        <w:rPr>
          <w:rFonts w:hint="eastAsia" w:ascii="仿宋_GB2312" w:eastAsia="仿宋_GB2312"/>
          <w:color w:val="0000FF"/>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昭化区总工会</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E1B2F11">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5" w:name="_Toc15377224"/>
      <w:bookmarkStart w:id="76" w:name="_Toc29952"/>
      <w:r>
        <w:rPr>
          <w:rFonts w:hint="eastAsia" w:ascii="仿宋" w:hAnsi="仿宋" w:eastAsia="仿宋"/>
          <w:b/>
          <w:color w:val="auto"/>
          <w:sz w:val="32"/>
          <w:szCs w:val="32"/>
          <w:highlight w:val="none"/>
        </w:rPr>
        <w:t>（三）国有资产占有使用情况</w:t>
      </w:r>
      <w:bookmarkEnd w:id="75"/>
      <w:bookmarkEnd w:id="76"/>
    </w:p>
    <w:p w14:paraId="608FD303">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val="en-US" w:eastAsia="zh-CN"/>
        </w:rPr>
        <w:t>昭化区总工会</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7DA9F60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7" w:name="_Toc30766"/>
      <w:r>
        <w:rPr>
          <w:rFonts w:hint="eastAsia" w:ascii="仿宋" w:hAnsi="仿宋" w:eastAsia="仿宋"/>
          <w:b/>
          <w:color w:val="auto"/>
          <w:sz w:val="32"/>
          <w:szCs w:val="32"/>
          <w:highlight w:val="none"/>
        </w:rPr>
        <w:t>（四）预算绩效管理情况</w:t>
      </w:r>
      <w:bookmarkEnd w:id="77"/>
    </w:p>
    <w:p w14:paraId="561A69D9">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w:t>
      </w:r>
      <w:r>
        <w:rPr>
          <w:rFonts w:hint="eastAsia" w:ascii="仿宋_GB2312" w:hAnsi="仿宋_GB2312" w:eastAsia="仿宋_GB2312" w:cs="仿宋_GB2312"/>
          <w:color w:val="auto"/>
          <w:sz w:val="32"/>
          <w:szCs w:val="32"/>
          <w:highlight w:val="none"/>
          <w:lang w:val="en-US" w:eastAsia="zh-CN"/>
        </w:rPr>
        <w:t>无预算项目，无</w:t>
      </w:r>
      <w:r>
        <w:rPr>
          <w:rFonts w:hint="eastAsia" w:ascii="仿宋_GB2312" w:hAnsi="仿宋_GB2312" w:eastAsia="仿宋_GB2312" w:cs="仿宋_GB2312"/>
          <w:color w:val="auto"/>
          <w:sz w:val="32"/>
          <w:szCs w:val="32"/>
          <w:highlight w:val="none"/>
        </w:rPr>
        <w:t>开展预算事前绩效评估。</w:t>
      </w:r>
    </w:p>
    <w:p w14:paraId="26C96985">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val="en-US" w:eastAsia="zh-CN"/>
        </w:rPr>
        <w:t>昭化区总工会</w:t>
      </w:r>
      <w:r>
        <w:rPr>
          <w:rFonts w:hint="eastAsia" w:ascii="仿宋_GB2312" w:hAnsi="仿宋_GB2312" w:eastAsia="仿宋_GB2312" w:cs="仿宋_GB2312"/>
          <w:color w:val="auto"/>
          <w:sz w:val="32"/>
          <w:szCs w:val="32"/>
          <w:highlight w:val="none"/>
        </w:rPr>
        <w:t>部门整体绩效自评报告，其中，</w:t>
      </w:r>
      <w:r>
        <w:rPr>
          <w:rFonts w:hint="eastAsia" w:ascii="仿宋_GB2312" w:hAnsi="仿宋_GB2312" w:eastAsia="仿宋_GB2312" w:cs="仿宋_GB2312"/>
          <w:color w:val="auto"/>
          <w:sz w:val="32"/>
          <w:szCs w:val="32"/>
          <w:highlight w:val="none"/>
          <w:lang w:val="en-US" w:eastAsia="zh-CN"/>
        </w:rPr>
        <w:t>昭化区总工会</w:t>
      </w:r>
      <w:r>
        <w:rPr>
          <w:rFonts w:hint="eastAsia" w:ascii="仿宋_GB2312" w:hAnsi="仿宋_GB2312" w:eastAsia="仿宋_GB2312" w:cs="仿宋_GB2312"/>
          <w:color w:val="auto"/>
          <w:sz w:val="32"/>
          <w:szCs w:val="32"/>
          <w:highlight w:val="none"/>
        </w:rPr>
        <w:t>部门整体绩效自评得分为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zh-CN"/>
        </w:rPr>
        <w:t>通过加强预算收支管理，不断建立健全内部管理制度，梳理内部管理流程，部门整体支出管理情况得到提升。</w:t>
      </w:r>
      <w:r>
        <w:rPr>
          <w:rFonts w:hint="eastAsia" w:ascii="仿宋_GB2312" w:hAnsi="仿宋_GB2312" w:eastAsia="仿宋_GB2312" w:cs="仿宋_GB2312"/>
          <w:color w:val="auto"/>
          <w:sz w:val="32"/>
          <w:szCs w:val="32"/>
          <w:highlight w:val="none"/>
          <w:lang w:val="en-US" w:eastAsia="zh-CN"/>
        </w:rPr>
        <w:t>严格把关项目预算及资金来源，无虚支、超支、乱支等现象；严格按照财经制度刚性约束，实施绩效目标管理，实行专款专用，支出科学合理</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none"/>
        </w:rPr>
        <w:br w:type="page"/>
      </w:r>
    </w:p>
    <w:p w14:paraId="2705B304">
      <w:pPr>
        <w:numPr>
          <w:ilvl w:val="0"/>
          <w:numId w:val="3"/>
        </w:numPr>
        <w:spacing w:line="600" w:lineRule="exact"/>
        <w:ind w:firstLine="660" w:firstLineChars="150"/>
        <w:jc w:val="center"/>
        <w:outlineLvl w:val="0"/>
        <w:rPr>
          <w:rStyle w:val="28"/>
          <w:rFonts w:ascii="黑体" w:hAnsi="黑体" w:eastAsia="黑体"/>
          <w:b w:val="0"/>
          <w:color w:val="auto"/>
          <w:highlight w:val="none"/>
        </w:rPr>
      </w:pPr>
      <w:bookmarkStart w:id="78" w:name="_Toc15396613"/>
      <w:bookmarkStart w:id="79" w:name="_Toc26758"/>
      <w:bookmarkStart w:id="80" w:name="_Toc15377225"/>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78"/>
      <w:bookmarkEnd w:id="79"/>
      <w:bookmarkEnd w:id="80"/>
    </w:p>
    <w:p w14:paraId="542907FA">
      <w:pPr>
        <w:spacing w:line="600" w:lineRule="exact"/>
        <w:jc w:val="left"/>
        <w:rPr>
          <w:rFonts w:ascii="宋体"/>
          <w:b/>
          <w:color w:val="auto"/>
          <w:sz w:val="44"/>
          <w:szCs w:val="44"/>
          <w:highlight w:val="none"/>
        </w:rPr>
      </w:pPr>
    </w:p>
    <w:p w14:paraId="7DC23E31">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16993AAC">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3E7ED71">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14:paraId="08D54CA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hint="eastAsia" w:ascii="仿宋_GB2312" w:hAnsi="Calibri" w:eastAsia="仿宋_GB2312" w:cs="仿宋"/>
          <w:color w:val="000000"/>
          <w:kern w:val="0"/>
          <w:sz w:val="32"/>
          <w:szCs w:val="32"/>
          <w:lang w:val="en-US" w:eastAsia="zh-CN" w:bidi="ar-SA"/>
        </w:rPr>
        <w:t>般公共服务（类）群众团体事务（款）行政运行（项）</w:t>
      </w:r>
      <w:r>
        <w:rPr>
          <w:rFonts w:hint="eastAsia" w:ascii="仿宋_GB2312" w:eastAsia="仿宋_GB2312"/>
          <w:color w:val="000000"/>
          <w:sz w:val="32"/>
          <w:szCs w:val="32"/>
        </w:rPr>
        <w:t>：</w:t>
      </w:r>
      <w:r>
        <w:rPr>
          <w:rFonts w:hint="eastAsia" w:ascii="仿宋_GB2312" w:hAnsi="Calibri" w:eastAsia="仿宋_GB2312" w:cs="仿宋"/>
          <w:color w:val="000000"/>
          <w:kern w:val="0"/>
          <w:sz w:val="32"/>
          <w:szCs w:val="32"/>
          <w:lang w:val="en-US" w:eastAsia="zh-CN" w:bidi="ar-SA"/>
        </w:rPr>
        <w:t>指反映行政单位的基本支出</w:t>
      </w:r>
      <w:r>
        <w:rPr>
          <w:rFonts w:hint="eastAsia" w:ascii="仿宋_GB2312" w:eastAsia="仿宋_GB2312"/>
          <w:color w:val="auto"/>
          <w:sz w:val="32"/>
          <w:szCs w:val="32"/>
          <w:highlight w:val="none"/>
        </w:rPr>
        <w:t>。</w:t>
      </w:r>
    </w:p>
    <w:p w14:paraId="4E0869C1">
      <w:pPr>
        <w:ind w:firstLine="640" w:firstLineChars="200"/>
        <w:rPr>
          <w:rFonts w:ascii="仿宋_GB2312" w:eastAsia="仿宋_GB2312"/>
          <w:color w:val="auto"/>
          <w:sz w:val="32"/>
          <w:szCs w:val="32"/>
          <w:highlight w:val="none"/>
        </w:rPr>
      </w:pPr>
      <w:r>
        <w:rPr>
          <w:rFonts w:hint="eastAsia" w:ascii="仿宋_GB2312" w:eastAsia="仿宋_GB2312"/>
          <w:color w:val="000000"/>
          <w:sz w:val="32"/>
          <w:szCs w:val="32"/>
          <w:highlight w:val="none"/>
          <w:shd w:val="clear" w:color="auto" w:fill="auto"/>
          <w:lang w:val="en-US" w:eastAsia="zh-CN"/>
        </w:rPr>
        <w:t>5.</w:t>
      </w:r>
      <w:r>
        <w:rPr>
          <w:rFonts w:hint="eastAsia" w:ascii="仿宋_GB2312" w:eastAsia="仿宋_GB2312"/>
          <w:color w:val="000000"/>
          <w:sz w:val="32"/>
          <w:szCs w:val="32"/>
          <w:highlight w:val="none"/>
          <w:shd w:val="clear" w:color="auto" w:fill="auto"/>
        </w:rPr>
        <w:t>社会保障和就业（类）</w:t>
      </w:r>
      <w:r>
        <w:rPr>
          <w:rFonts w:hint="eastAsia" w:ascii="仿宋_GB2312" w:eastAsia="仿宋_GB2312"/>
          <w:color w:val="000000"/>
          <w:sz w:val="32"/>
          <w:szCs w:val="32"/>
          <w:highlight w:val="none"/>
          <w:shd w:val="clear" w:color="auto" w:fill="auto"/>
          <w:lang w:eastAsia="zh-CN"/>
        </w:rPr>
        <w:t>行政事业单位离退休</w:t>
      </w:r>
      <w:r>
        <w:rPr>
          <w:rFonts w:hint="eastAsia" w:ascii="仿宋_GB2312" w:eastAsia="仿宋_GB2312"/>
          <w:color w:val="000000"/>
          <w:sz w:val="32"/>
          <w:szCs w:val="32"/>
          <w:highlight w:val="none"/>
          <w:shd w:val="clear" w:color="auto" w:fill="auto"/>
        </w:rPr>
        <w:t>（款）</w:t>
      </w:r>
      <w:r>
        <w:rPr>
          <w:rFonts w:hint="eastAsia" w:ascii="仿宋_GB2312" w:eastAsia="仿宋_GB2312"/>
          <w:color w:val="000000"/>
          <w:sz w:val="32"/>
          <w:szCs w:val="32"/>
          <w:highlight w:val="none"/>
          <w:shd w:val="clear" w:color="auto" w:fill="auto"/>
          <w:lang w:eastAsia="zh-CN"/>
        </w:rPr>
        <w:t>行政事业单位基本养老保险缴费</w:t>
      </w:r>
      <w:r>
        <w:rPr>
          <w:rFonts w:hint="eastAsia" w:ascii="仿宋_GB2312" w:eastAsia="仿宋_GB2312"/>
          <w:color w:val="000000"/>
          <w:sz w:val="32"/>
          <w:szCs w:val="32"/>
          <w:highlight w:val="none"/>
          <w:shd w:val="clear" w:color="auto" w:fill="auto"/>
        </w:rPr>
        <w:t>（项）：指</w:t>
      </w:r>
      <w:r>
        <w:rPr>
          <w:rFonts w:hint="eastAsia" w:ascii="仿宋_GB2312" w:eastAsia="仿宋_GB2312"/>
          <w:color w:val="000000"/>
          <w:sz w:val="32"/>
          <w:szCs w:val="32"/>
          <w:highlight w:val="none"/>
          <w:shd w:val="clear" w:color="auto" w:fill="auto"/>
          <w:lang w:eastAsia="zh-CN"/>
        </w:rPr>
        <w:t>机关事业单位实施养老保险制度由单位缴纳的基本养老保险费支出</w:t>
      </w:r>
      <w:r>
        <w:rPr>
          <w:rFonts w:hint="eastAsia" w:ascii="仿宋_GB2312" w:eastAsia="仿宋_GB2312"/>
          <w:color w:val="auto"/>
          <w:sz w:val="32"/>
          <w:szCs w:val="32"/>
          <w:highlight w:val="none"/>
        </w:rPr>
        <w:t>。</w:t>
      </w:r>
    </w:p>
    <w:p w14:paraId="19C9A6EB">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000000"/>
          <w:sz w:val="32"/>
          <w:szCs w:val="32"/>
          <w:highlight w:val="none"/>
          <w:shd w:val="clear" w:color="auto" w:fill="auto"/>
          <w:lang w:eastAsia="zh-CN"/>
        </w:rPr>
        <w:t>行政事业单位医疗</w:t>
      </w:r>
      <w:r>
        <w:rPr>
          <w:rFonts w:hint="eastAsia" w:ascii="仿宋_GB2312" w:eastAsia="仿宋_GB2312"/>
          <w:color w:val="000000"/>
          <w:sz w:val="32"/>
          <w:szCs w:val="32"/>
          <w:highlight w:val="none"/>
          <w:shd w:val="clear" w:color="auto" w:fill="auto"/>
        </w:rPr>
        <w:t>（款）</w:t>
      </w:r>
      <w:r>
        <w:rPr>
          <w:rFonts w:hint="eastAsia" w:ascii="仿宋_GB2312" w:eastAsia="仿宋_GB2312"/>
          <w:color w:val="000000"/>
          <w:sz w:val="32"/>
          <w:szCs w:val="32"/>
          <w:highlight w:val="none"/>
          <w:shd w:val="clear" w:color="auto" w:fill="auto"/>
          <w:lang w:eastAsia="zh-CN"/>
        </w:rPr>
        <w:t>行政单位医疗</w:t>
      </w:r>
      <w:r>
        <w:rPr>
          <w:rFonts w:hint="eastAsia" w:ascii="仿宋_GB2312" w:eastAsia="仿宋_GB2312"/>
          <w:color w:val="000000"/>
          <w:sz w:val="32"/>
          <w:szCs w:val="32"/>
          <w:highlight w:val="none"/>
          <w:shd w:val="clear" w:color="auto" w:fill="auto"/>
        </w:rPr>
        <w:t>（项）：指</w:t>
      </w:r>
      <w:r>
        <w:rPr>
          <w:rFonts w:hint="eastAsia" w:ascii="仿宋_GB2312" w:eastAsia="仿宋_GB2312"/>
          <w:color w:val="000000"/>
          <w:sz w:val="32"/>
          <w:szCs w:val="32"/>
          <w:highlight w:val="none"/>
          <w:shd w:val="clear" w:color="auto" w:fill="auto"/>
          <w:lang w:eastAsia="zh-CN"/>
        </w:rPr>
        <w:t>财政部门安排的行政单位基本医疗保险缴费经费，未参加医疗保险的行政单位的公费医疗经费，按国家规定享受离休人员的医疗经费</w:t>
      </w:r>
      <w:r>
        <w:rPr>
          <w:rFonts w:hint="eastAsia" w:ascii="仿宋_GB2312" w:eastAsia="仿宋_GB2312"/>
          <w:color w:val="auto"/>
          <w:sz w:val="32"/>
          <w:szCs w:val="32"/>
          <w:highlight w:val="none"/>
        </w:rPr>
        <w:t>。</w:t>
      </w:r>
    </w:p>
    <w:p w14:paraId="7967AAE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w:t>
      </w:r>
      <w:r>
        <w:rPr>
          <w:rFonts w:hint="eastAsia" w:ascii="仿宋_GB2312" w:eastAsia="仿宋_GB2312"/>
          <w:color w:val="000000"/>
          <w:sz w:val="32"/>
          <w:szCs w:val="32"/>
          <w:highlight w:val="none"/>
          <w:shd w:val="clear" w:color="auto" w:fill="auto"/>
          <w:lang w:eastAsia="zh-CN"/>
        </w:rPr>
        <w:t>住房改革支出</w:t>
      </w:r>
      <w:r>
        <w:rPr>
          <w:rFonts w:hint="eastAsia" w:ascii="仿宋_GB2312" w:eastAsia="仿宋_GB2312"/>
          <w:color w:val="000000"/>
          <w:sz w:val="32"/>
          <w:szCs w:val="32"/>
          <w:highlight w:val="none"/>
          <w:shd w:val="clear" w:color="auto" w:fill="auto"/>
        </w:rPr>
        <w:t>（款）</w:t>
      </w:r>
      <w:r>
        <w:rPr>
          <w:rFonts w:hint="eastAsia" w:ascii="仿宋_GB2312" w:eastAsia="仿宋_GB2312"/>
          <w:color w:val="000000"/>
          <w:sz w:val="32"/>
          <w:szCs w:val="32"/>
          <w:highlight w:val="none"/>
          <w:shd w:val="clear" w:color="auto" w:fill="auto"/>
          <w:lang w:eastAsia="zh-CN"/>
        </w:rPr>
        <w:t>住房公积金</w:t>
      </w:r>
      <w:r>
        <w:rPr>
          <w:rFonts w:hint="eastAsia" w:ascii="仿宋_GB2312" w:eastAsia="仿宋_GB2312"/>
          <w:color w:val="000000"/>
          <w:sz w:val="32"/>
          <w:szCs w:val="32"/>
          <w:highlight w:val="none"/>
          <w:shd w:val="clear" w:color="auto" w:fill="auto"/>
        </w:rPr>
        <w:t>（项）：指</w:t>
      </w:r>
      <w:r>
        <w:rPr>
          <w:rFonts w:hint="eastAsia" w:ascii="仿宋_GB2312" w:eastAsia="仿宋_GB2312"/>
          <w:color w:val="000000"/>
          <w:sz w:val="32"/>
          <w:szCs w:val="32"/>
          <w:highlight w:val="none"/>
          <w:shd w:val="clear" w:color="auto" w:fill="auto"/>
          <w:lang w:eastAsia="zh-CN"/>
        </w:rPr>
        <w:t>反映行政事业单位按人力资源和社会保障部、财政部规定的基本工资和津贴补贴以及规定比例为职工缴纳的住房公积金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14:paraId="6376DAB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184BB1C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0BB8B93C">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“三公”经费：</w:t>
      </w:r>
      <w:r>
        <w:rPr>
          <w:rFonts w:hint="eastAsia" w:ascii="仿宋_GB2312" w:eastAsia="仿宋_GB2312"/>
          <w:sz w:val="32"/>
          <w:szCs w:val="32"/>
        </w:rPr>
        <w:t>指部门用财政拨款安排的因公出国（境）费、公务用车购置及运行费和公务接待费。公务接待费反映单位按规定开支的各类公务接待（含外宾接待）支出</w:t>
      </w:r>
      <w:r>
        <w:rPr>
          <w:rFonts w:hint="eastAsia" w:ascii="仿宋_GB2312" w:eastAsia="仿宋_GB2312"/>
          <w:color w:val="auto"/>
          <w:sz w:val="32"/>
          <w:szCs w:val="32"/>
          <w:highlight w:val="none"/>
        </w:rPr>
        <w:t>。</w:t>
      </w:r>
    </w:p>
    <w:p w14:paraId="3CFEC67D">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1.</w:t>
      </w:r>
      <w:r>
        <w:rPr>
          <w:rFonts w:hint="eastAsia" w:ascii="仿宋_GB2312" w:eastAsia="仿宋_GB2312"/>
          <w:color w:val="auto"/>
          <w:sz w:val="32"/>
          <w:szCs w:val="32"/>
          <w:highlight w:val="none"/>
        </w:rPr>
        <w:t>机关运行经费：</w:t>
      </w:r>
      <w:r>
        <w:rPr>
          <w:rFonts w:hint="eastAsia" w:ascii="仿宋_GB2312" w:eastAsia="仿宋_GB2312"/>
          <w:sz w:val="32"/>
          <w:szCs w:val="32"/>
        </w:rPr>
        <w:t>为保障行政单位运行用于购买货物和服务的各项资金，包括办公及印刷费、差旅费、会议费、日常维修费、专用材料及一般设备购置费、办公用房水电费、办公用房取暖费、办公用房物业管理费、公务用车运行维护费以及其他费用。</w:t>
      </w:r>
    </w:p>
    <w:p w14:paraId="13FD5CDA">
      <w:pPr>
        <w:spacing w:line="600" w:lineRule="exact"/>
        <w:jc w:val="center"/>
        <w:outlineLvl w:val="0"/>
        <w:rPr>
          <w:rFonts w:hint="eastAsia" w:ascii="黑体" w:hAnsi="黑体" w:eastAsia="黑体"/>
          <w:color w:val="auto"/>
          <w:sz w:val="44"/>
          <w:szCs w:val="44"/>
          <w:highlight w:val="none"/>
        </w:rPr>
      </w:pPr>
      <w:bookmarkStart w:id="81" w:name="_Toc15396614"/>
      <w:bookmarkStart w:id="82" w:name="_Toc15377226"/>
    </w:p>
    <w:p w14:paraId="27ED01AB">
      <w:pPr>
        <w:pStyle w:val="2"/>
        <w:rPr>
          <w:rFonts w:hint="eastAsia" w:ascii="黑体" w:hAnsi="黑体" w:eastAsia="黑体"/>
          <w:color w:val="auto"/>
          <w:sz w:val="44"/>
          <w:szCs w:val="44"/>
          <w:highlight w:val="none"/>
        </w:rPr>
      </w:pPr>
    </w:p>
    <w:p w14:paraId="19269D08">
      <w:pPr>
        <w:rPr>
          <w:rFonts w:hint="eastAsia" w:ascii="黑体" w:hAnsi="黑体" w:eastAsia="黑体"/>
          <w:color w:val="auto"/>
          <w:sz w:val="44"/>
          <w:szCs w:val="44"/>
          <w:highlight w:val="none"/>
        </w:rPr>
      </w:pPr>
    </w:p>
    <w:p w14:paraId="030CFCEB">
      <w:pPr>
        <w:pStyle w:val="2"/>
        <w:rPr>
          <w:rFonts w:hint="eastAsia" w:ascii="黑体" w:hAnsi="黑体" w:eastAsia="黑体"/>
          <w:color w:val="auto"/>
          <w:sz w:val="44"/>
          <w:szCs w:val="44"/>
          <w:highlight w:val="none"/>
        </w:rPr>
      </w:pPr>
    </w:p>
    <w:p w14:paraId="40543AA8">
      <w:pPr>
        <w:rPr>
          <w:rFonts w:hint="eastAsia" w:ascii="黑体" w:hAnsi="黑体" w:eastAsia="黑体"/>
          <w:color w:val="auto"/>
          <w:sz w:val="44"/>
          <w:szCs w:val="44"/>
          <w:highlight w:val="none"/>
        </w:rPr>
      </w:pPr>
    </w:p>
    <w:p w14:paraId="5064A72F">
      <w:pPr>
        <w:pStyle w:val="2"/>
        <w:rPr>
          <w:rFonts w:hint="eastAsia" w:ascii="黑体" w:hAnsi="黑体" w:eastAsia="黑体"/>
          <w:color w:val="auto"/>
          <w:sz w:val="44"/>
          <w:szCs w:val="44"/>
          <w:highlight w:val="none"/>
        </w:rPr>
      </w:pPr>
    </w:p>
    <w:p w14:paraId="62A017DB">
      <w:pPr>
        <w:rPr>
          <w:rFonts w:hint="eastAsia" w:ascii="黑体" w:hAnsi="黑体" w:eastAsia="黑体"/>
          <w:color w:val="auto"/>
          <w:sz w:val="44"/>
          <w:szCs w:val="44"/>
          <w:highlight w:val="none"/>
        </w:rPr>
      </w:pPr>
    </w:p>
    <w:p w14:paraId="1A2DCB77">
      <w:pPr>
        <w:pStyle w:val="2"/>
        <w:rPr>
          <w:rFonts w:hint="eastAsia" w:ascii="黑体" w:hAnsi="黑体" w:eastAsia="黑体"/>
          <w:color w:val="auto"/>
          <w:sz w:val="44"/>
          <w:szCs w:val="44"/>
          <w:highlight w:val="none"/>
        </w:rPr>
      </w:pPr>
    </w:p>
    <w:p w14:paraId="292BBAE2">
      <w:pPr>
        <w:rPr>
          <w:rFonts w:hint="eastAsia" w:ascii="黑体" w:hAnsi="黑体" w:eastAsia="黑体"/>
          <w:color w:val="auto"/>
          <w:sz w:val="44"/>
          <w:szCs w:val="44"/>
          <w:highlight w:val="none"/>
        </w:rPr>
      </w:pPr>
    </w:p>
    <w:p w14:paraId="4D53E3B4">
      <w:pPr>
        <w:pStyle w:val="2"/>
        <w:rPr>
          <w:rFonts w:hint="eastAsia" w:ascii="黑体" w:hAnsi="黑体" w:eastAsia="黑体"/>
          <w:color w:val="auto"/>
          <w:sz w:val="44"/>
          <w:szCs w:val="44"/>
          <w:highlight w:val="none"/>
        </w:rPr>
      </w:pPr>
    </w:p>
    <w:p w14:paraId="097A4B44">
      <w:pPr>
        <w:rPr>
          <w:rFonts w:hint="eastAsia" w:ascii="黑体" w:hAnsi="黑体" w:eastAsia="黑体"/>
          <w:color w:val="auto"/>
          <w:sz w:val="44"/>
          <w:szCs w:val="44"/>
          <w:highlight w:val="none"/>
        </w:rPr>
      </w:pPr>
    </w:p>
    <w:p w14:paraId="58DD9A19">
      <w:pPr>
        <w:pStyle w:val="2"/>
        <w:rPr>
          <w:rFonts w:hint="eastAsia" w:ascii="黑体" w:hAnsi="黑体" w:eastAsia="黑体"/>
          <w:color w:val="auto"/>
          <w:sz w:val="44"/>
          <w:szCs w:val="44"/>
          <w:highlight w:val="none"/>
        </w:rPr>
      </w:pPr>
    </w:p>
    <w:p w14:paraId="0D6EEF7E">
      <w:pPr>
        <w:rPr>
          <w:rFonts w:hint="eastAsia"/>
        </w:rPr>
      </w:pPr>
    </w:p>
    <w:p w14:paraId="501C2C1A">
      <w:pPr>
        <w:spacing w:line="600" w:lineRule="exact"/>
        <w:jc w:val="center"/>
        <w:outlineLvl w:val="0"/>
        <w:rPr>
          <w:rStyle w:val="28"/>
          <w:rFonts w:hint="eastAsia" w:ascii="黑体" w:hAnsi="黑体" w:eastAsia="黑体"/>
          <w:b w:val="0"/>
          <w:color w:val="auto"/>
          <w:highlight w:val="none"/>
          <w:lang w:eastAsia="zh-CN"/>
        </w:rPr>
      </w:pPr>
      <w:bookmarkStart w:id="83" w:name="_Toc30152"/>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81"/>
      <w:bookmarkEnd w:id="83"/>
    </w:p>
    <w:p w14:paraId="22072990">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bookmarkStart w:id="84" w:name="_Toc3924"/>
      <w:r>
        <w:rPr>
          <w:rFonts w:hint="eastAsia" w:ascii="黑体" w:hAnsi="黑体" w:eastAsia="黑体" w:cs="黑体"/>
          <w:color w:val="auto"/>
          <w:sz w:val="32"/>
          <w:szCs w:val="32"/>
          <w:highlight w:val="none"/>
        </w:rPr>
        <w:t>附件</w:t>
      </w:r>
      <w:bookmarkEnd w:id="84"/>
    </w:p>
    <w:p w14:paraId="5E70C23C">
      <w:pPr>
        <w:keepNext w:val="0"/>
        <w:keepLines w:val="0"/>
        <w:pageBreakBefore w:val="0"/>
        <w:widowControl/>
        <w:kinsoku/>
        <w:wordWrap/>
        <w:overflowPunct/>
        <w:topLinePunct w:val="0"/>
        <w:autoSpaceDE/>
        <w:autoSpaceDN/>
        <w:bidi w:val="0"/>
        <w:spacing w:line="576"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23</w:t>
      </w:r>
      <w:r>
        <w:rPr>
          <w:rFonts w:hint="eastAsia" w:ascii="宋体" w:hAnsi="宋体" w:eastAsia="宋体"/>
          <w:b/>
          <w:color w:val="auto"/>
          <w:sz w:val="32"/>
          <w:szCs w:val="32"/>
          <w:highlight w:val="none"/>
          <w:shd w:val="clear" w:color="auto" w:fill="FFFFFF"/>
        </w:rPr>
        <w:t>年</w:t>
      </w:r>
      <w:r>
        <w:rPr>
          <w:rFonts w:hint="eastAsia" w:ascii="宋体" w:hAnsi="宋体"/>
          <w:b/>
          <w:color w:val="auto"/>
          <w:sz w:val="32"/>
          <w:szCs w:val="32"/>
          <w:highlight w:val="none"/>
          <w:shd w:val="clear" w:color="auto" w:fill="FFFFFF"/>
          <w:lang w:val="en-US" w:eastAsia="zh-CN"/>
        </w:rPr>
        <w:t>昭化区总工会</w:t>
      </w:r>
      <w:r>
        <w:rPr>
          <w:rFonts w:hint="eastAsia" w:ascii="宋体" w:hAnsi="宋体" w:eastAsia="宋体"/>
          <w:b/>
          <w:color w:val="auto"/>
          <w:sz w:val="32"/>
          <w:szCs w:val="32"/>
          <w:highlight w:val="none"/>
          <w:shd w:val="clear" w:color="auto" w:fill="FFFFFF"/>
        </w:rPr>
        <w:t>整体绩效评价报告</w:t>
      </w:r>
    </w:p>
    <w:p w14:paraId="636767BF">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sz w:val="32"/>
          <w:szCs w:val="32"/>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 xml:space="preserve">  </w:t>
      </w:r>
    </w:p>
    <w:p w14:paraId="010A6A59">
      <w:pPr>
        <w:keepNext w:val="0"/>
        <w:keepLines w:val="0"/>
        <w:pageBreakBefore w:val="0"/>
        <w:widowControl/>
        <w:numPr>
          <w:ilvl w:val="0"/>
          <w:numId w:val="4"/>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部门基本情况</w:t>
      </w:r>
    </w:p>
    <w:p w14:paraId="08A4CBD9">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14:paraId="583FB049">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jc w:val="both"/>
        <w:textAlignment w:val="auto"/>
        <w:rPr>
          <w:rFonts w:hint="eastAsia"/>
          <w:sz w:val="32"/>
          <w:szCs w:val="32"/>
          <w:lang w:val="zh-CN"/>
        </w:rPr>
      </w:pPr>
      <w:r>
        <w:rPr>
          <w:rFonts w:hint="eastAsia" w:hAnsi="Times New Roman" w:cs="Times New Roman"/>
          <w:color w:val="000000"/>
          <w:kern w:val="2"/>
          <w:sz w:val="32"/>
          <w:szCs w:val="32"/>
          <w:lang w:val="en-US" w:eastAsia="zh-CN" w:bidi="ar-SA"/>
        </w:rPr>
        <w:t>区</w:t>
      </w:r>
      <w:r>
        <w:rPr>
          <w:rFonts w:hint="eastAsia" w:ascii="仿宋_GB2312" w:hAnsi="Times New Roman" w:eastAsia="仿宋_GB2312" w:cs="Times New Roman"/>
          <w:color w:val="000000"/>
          <w:kern w:val="2"/>
          <w:sz w:val="32"/>
          <w:szCs w:val="32"/>
          <w:lang w:val="en-US" w:eastAsia="zh-CN" w:bidi="ar-SA"/>
        </w:rPr>
        <w:t>总工会机关内设机构为：</w:t>
      </w:r>
      <w:r>
        <w:rPr>
          <w:rFonts w:hint="eastAsia" w:hAnsi="Times New Roman" w:cs="Times New Roman"/>
          <w:color w:val="000000"/>
          <w:kern w:val="2"/>
          <w:sz w:val="32"/>
          <w:szCs w:val="32"/>
          <w:lang w:val="en-US" w:eastAsia="zh-CN" w:bidi="ar-SA"/>
        </w:rPr>
        <w:t>办公室、综合工作部两个职能部室。</w:t>
      </w:r>
    </w:p>
    <w:p w14:paraId="5574ABF3">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14:paraId="12D8CA38">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jc w:val="both"/>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办公室负责综合反映全区工会工作和全区职工队伍的重要情况与动态等，综合工作部研究制定工会组织建设规划和制度，推进和指导新建企业工会组建工作等工作。</w:t>
      </w:r>
    </w:p>
    <w:p w14:paraId="0E025773">
      <w:pPr>
        <w:keepNext w:val="0"/>
        <w:keepLines w:val="0"/>
        <w:pageBreakBefore w:val="0"/>
        <w:kinsoku/>
        <w:wordWrap/>
        <w:overflowPunct/>
        <w:topLinePunct w:val="0"/>
        <w:autoSpaceDE/>
        <w:autoSpaceDN/>
        <w:bidi w:val="0"/>
        <w:spacing w:line="576" w:lineRule="exact"/>
        <w:ind w:firstLine="640" w:firstLineChars="200"/>
        <w:textAlignment w:val="auto"/>
        <w:rPr>
          <w:rFonts w:hint="eastAsia"/>
          <w:sz w:val="32"/>
          <w:szCs w:val="32"/>
          <w:lang w:val="zh-CN"/>
        </w:rPr>
      </w:pPr>
      <w:r>
        <w:rPr>
          <w:rFonts w:eastAsia="仿宋_GB2312"/>
          <w:color w:val="auto"/>
          <w:sz w:val="32"/>
          <w:szCs w:val="32"/>
        </w:rPr>
        <w:t>区</w:t>
      </w:r>
      <w:r>
        <w:rPr>
          <w:rFonts w:hint="eastAsia" w:eastAsia="仿宋_GB2312"/>
          <w:color w:val="auto"/>
          <w:sz w:val="32"/>
          <w:szCs w:val="32"/>
          <w:lang w:eastAsia="zh-CN"/>
        </w:rPr>
        <w:t>总工会</w:t>
      </w:r>
      <w:r>
        <w:rPr>
          <w:rFonts w:eastAsia="仿宋_GB2312"/>
          <w:color w:val="auto"/>
          <w:sz w:val="32"/>
          <w:szCs w:val="32"/>
        </w:rPr>
        <w:t>共有编制</w:t>
      </w:r>
      <w:r>
        <w:rPr>
          <w:rFonts w:hint="eastAsia" w:eastAsia="仿宋_GB2312"/>
          <w:color w:val="auto"/>
          <w:sz w:val="32"/>
          <w:szCs w:val="32"/>
          <w:lang w:val="en-US" w:eastAsia="zh-CN"/>
        </w:rPr>
        <w:t>8</w:t>
      </w:r>
      <w:r>
        <w:rPr>
          <w:rFonts w:hint="eastAsia" w:eastAsia="仿宋_GB2312"/>
          <w:color w:val="auto"/>
          <w:sz w:val="32"/>
          <w:szCs w:val="32"/>
        </w:rPr>
        <w:t>名</w:t>
      </w:r>
      <w:r>
        <w:rPr>
          <w:rFonts w:eastAsia="仿宋_GB2312"/>
          <w:color w:val="auto"/>
          <w:sz w:val="32"/>
          <w:szCs w:val="32"/>
        </w:rPr>
        <w:t>，其中：行政编制</w:t>
      </w:r>
      <w:r>
        <w:rPr>
          <w:rFonts w:hint="eastAsia" w:eastAsia="仿宋_GB2312"/>
          <w:color w:val="auto"/>
          <w:sz w:val="32"/>
          <w:szCs w:val="32"/>
          <w:lang w:val="en-US" w:eastAsia="zh-CN"/>
        </w:rPr>
        <w:t>6</w:t>
      </w:r>
      <w:r>
        <w:rPr>
          <w:rFonts w:eastAsia="仿宋_GB2312"/>
          <w:color w:val="auto"/>
          <w:sz w:val="32"/>
          <w:szCs w:val="32"/>
        </w:rPr>
        <w:t>人，其他事业编制</w:t>
      </w:r>
      <w:r>
        <w:rPr>
          <w:rFonts w:hint="eastAsia" w:eastAsia="仿宋_GB2312"/>
          <w:color w:val="auto"/>
          <w:sz w:val="32"/>
          <w:szCs w:val="32"/>
          <w:lang w:val="en-US" w:eastAsia="zh-CN"/>
        </w:rPr>
        <w:t>2</w:t>
      </w:r>
      <w:r>
        <w:rPr>
          <w:rFonts w:eastAsia="仿宋_GB2312"/>
          <w:color w:val="auto"/>
          <w:sz w:val="32"/>
          <w:szCs w:val="32"/>
        </w:rPr>
        <w:t>人。按财政供给率分，财政全额供给</w:t>
      </w:r>
      <w:r>
        <w:rPr>
          <w:rFonts w:hint="eastAsia" w:eastAsia="仿宋_GB2312"/>
          <w:color w:val="auto"/>
          <w:sz w:val="32"/>
          <w:szCs w:val="32"/>
          <w:lang w:val="en-US" w:eastAsia="zh-CN"/>
        </w:rPr>
        <w:t>8</w:t>
      </w:r>
      <w:r>
        <w:rPr>
          <w:rFonts w:hint="eastAsia" w:eastAsia="仿宋_GB2312"/>
          <w:color w:val="auto"/>
          <w:sz w:val="32"/>
          <w:szCs w:val="32"/>
        </w:rPr>
        <w:t>人</w:t>
      </w:r>
      <w:r>
        <w:rPr>
          <w:rFonts w:eastAsia="仿宋_GB2312"/>
          <w:color w:val="auto"/>
          <w:sz w:val="32"/>
          <w:szCs w:val="32"/>
        </w:rPr>
        <w:t>。区</w:t>
      </w:r>
      <w:r>
        <w:rPr>
          <w:rFonts w:hint="eastAsia" w:eastAsia="仿宋_GB2312"/>
          <w:color w:val="auto"/>
          <w:sz w:val="32"/>
          <w:szCs w:val="32"/>
          <w:lang w:eastAsia="zh-CN"/>
        </w:rPr>
        <w:t>总工会</w:t>
      </w:r>
      <w:r>
        <w:rPr>
          <w:rFonts w:eastAsia="仿宋_GB2312"/>
          <w:color w:val="auto"/>
          <w:sz w:val="32"/>
          <w:szCs w:val="32"/>
        </w:rPr>
        <w:t>退休</w:t>
      </w:r>
      <w:r>
        <w:rPr>
          <w:rFonts w:hint="eastAsia" w:eastAsia="仿宋_GB2312"/>
          <w:color w:val="auto"/>
          <w:sz w:val="32"/>
          <w:szCs w:val="32"/>
          <w:lang w:val="en-US" w:eastAsia="zh-CN"/>
        </w:rPr>
        <w:t>1</w:t>
      </w:r>
      <w:r>
        <w:rPr>
          <w:rFonts w:eastAsia="仿宋_GB2312"/>
          <w:color w:val="auto"/>
          <w:sz w:val="32"/>
          <w:szCs w:val="32"/>
        </w:rPr>
        <w:t>人</w:t>
      </w:r>
      <w:r>
        <w:rPr>
          <w:rFonts w:hint="eastAsia" w:eastAsia="仿宋_GB2312"/>
          <w:color w:val="auto"/>
          <w:sz w:val="32"/>
          <w:szCs w:val="32"/>
          <w:lang w:eastAsia="zh-CN"/>
        </w:rPr>
        <w:t>（为全额供给行政人员）</w:t>
      </w:r>
      <w:r>
        <w:rPr>
          <w:rFonts w:eastAsia="仿宋_GB2312"/>
          <w:color w:val="auto"/>
          <w:sz w:val="32"/>
          <w:szCs w:val="32"/>
        </w:rPr>
        <w:t>。</w:t>
      </w:r>
    </w:p>
    <w:p w14:paraId="53A3FCE8">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14:paraId="4F2F9A7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_GB2312" w:cs="Times New Roman"/>
          <w:b w:val="0"/>
          <w:bCs w:val="0"/>
          <w:color w:val="000000"/>
          <w:sz w:val="32"/>
          <w:szCs w:val="32"/>
          <w:lang w:val="en-US" w:eastAsia="zh-CN"/>
        </w:rPr>
        <w:t>1、</w:t>
      </w:r>
      <w:r>
        <w:rPr>
          <w:rFonts w:hint="eastAsia" w:ascii="仿宋_GB2312" w:hAnsi="仿宋_GB2312" w:eastAsia="仿宋_GB2312" w:cs="仿宋_GB2312"/>
          <w:b/>
          <w:bCs/>
          <w:color w:val="000000"/>
          <w:sz w:val="32"/>
          <w:szCs w:val="32"/>
          <w:lang w:val="en-US" w:eastAsia="zh-CN"/>
        </w:rPr>
        <w:t>做好</w:t>
      </w:r>
      <w:r>
        <w:rPr>
          <w:rFonts w:hint="eastAsia" w:ascii="仿宋_GB2312" w:hAnsi="仿宋_GB2312" w:eastAsia="仿宋_GB2312" w:cs="仿宋_GB2312"/>
          <w:b/>
          <w:bCs/>
          <w:color w:val="000000"/>
          <w:sz w:val="32"/>
          <w:szCs w:val="32"/>
        </w:rPr>
        <w:t>“坚定方向团结职工”</w:t>
      </w:r>
      <w:r>
        <w:rPr>
          <w:rFonts w:hint="eastAsia" w:ascii="仿宋_GB2312" w:hAnsi="仿宋_GB2312" w:eastAsia="仿宋_GB2312" w:cs="仿宋_GB2312"/>
          <w:b/>
          <w:bCs/>
          <w:color w:val="000000"/>
          <w:sz w:val="32"/>
          <w:szCs w:val="32"/>
          <w:lang w:val="en-US" w:eastAsia="zh-CN"/>
        </w:rPr>
        <w:t>文章</w:t>
      </w:r>
      <w:r>
        <w:rPr>
          <w:rFonts w:hint="eastAsia" w:ascii="仿宋_GB2312" w:hAnsi="仿宋_GB2312" w:eastAsia="仿宋_GB2312" w:cs="仿宋_GB2312"/>
          <w:b/>
          <w:bCs/>
          <w:color w:val="000000"/>
          <w:sz w:val="32"/>
          <w:szCs w:val="32"/>
        </w:rPr>
        <w:t>，在筑牢职工群众</w:t>
      </w:r>
      <w:r>
        <w:rPr>
          <w:rFonts w:hint="eastAsia" w:ascii="仿宋_GB2312" w:hAnsi="仿宋_GB2312" w:eastAsia="仿宋_GB2312" w:cs="仿宋_GB2312"/>
          <w:b/>
          <w:bCs/>
          <w:color w:val="000000"/>
          <w:sz w:val="32"/>
          <w:szCs w:val="32"/>
          <w:lang w:val="en-US" w:eastAsia="zh-CN"/>
        </w:rPr>
        <w:t>共同奋斗的</w:t>
      </w:r>
      <w:r>
        <w:rPr>
          <w:rFonts w:hint="eastAsia" w:ascii="仿宋_GB2312" w:hAnsi="仿宋_GB2312" w:eastAsia="仿宋_GB2312" w:cs="仿宋_GB2312"/>
          <w:b/>
          <w:bCs/>
          <w:color w:val="000000"/>
          <w:sz w:val="32"/>
          <w:szCs w:val="32"/>
        </w:rPr>
        <w:t>思想根基上</w:t>
      </w:r>
      <w:r>
        <w:rPr>
          <w:rFonts w:hint="eastAsia" w:ascii="仿宋_GB2312" w:hAnsi="仿宋_GB2312" w:eastAsia="仿宋_GB2312" w:cs="仿宋_GB2312"/>
          <w:b/>
          <w:bCs/>
          <w:color w:val="000000"/>
          <w:sz w:val="32"/>
          <w:szCs w:val="32"/>
          <w:lang w:val="en-US" w:eastAsia="zh-CN"/>
        </w:rPr>
        <w:t>得到新加强。</w:t>
      </w:r>
      <w:r>
        <w:rPr>
          <w:rFonts w:hint="eastAsia" w:eastAsia="仿宋_GB2312" w:cs="仿宋_GB2312"/>
          <w:b w:val="0"/>
          <w:bCs w:val="0"/>
          <w:color w:val="000000"/>
          <w:sz w:val="32"/>
          <w:szCs w:val="32"/>
          <w:lang w:val="en-US" w:eastAsia="zh-CN"/>
        </w:rPr>
        <w:t>工会系统始终把学习贯彻习近平总书记重要指示批示精神和中央、省、市、区委重大决策部署作为“第一议题”，</w:t>
      </w:r>
      <w:r>
        <w:rPr>
          <w:rFonts w:hint="default" w:ascii="Times New Roman" w:hAnsi="Times New Roman" w:eastAsia="仿宋_GB2312" w:cs="Times New Roman"/>
          <w:b w:val="0"/>
          <w:bCs w:val="0"/>
          <w:color w:val="000000"/>
          <w:sz w:val="32"/>
          <w:szCs w:val="32"/>
          <w:lang w:val="en-US" w:eastAsia="zh-CN"/>
        </w:rPr>
        <w:t>举办全区工会系统领导干部读书班，召开党组理论学习中心组（扩大）会议</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劳模工匠和最美劳动者座谈会，</w:t>
      </w:r>
      <w:r>
        <w:rPr>
          <w:rStyle w:val="36"/>
          <w:rFonts w:hint="default" w:ascii="Times New Roman" w:hAnsi="Times New Roman" w:eastAsia="仿宋_GB2312" w:cs="Times New Roman"/>
          <w:b w:val="0"/>
          <w:bCs w:val="0"/>
          <w:color w:val="000000"/>
          <w:sz w:val="32"/>
          <w:szCs w:val="32"/>
          <w:lang w:eastAsia="zh-CN"/>
        </w:rPr>
        <w:t>积极</w:t>
      </w:r>
      <w:r>
        <w:rPr>
          <w:rFonts w:hint="default" w:ascii="Times New Roman" w:hAnsi="Times New Roman" w:eastAsia="仿宋_GB2312" w:cs="Times New Roman"/>
          <w:b w:val="0"/>
          <w:bCs w:val="0"/>
          <w:color w:val="000000"/>
          <w:sz w:val="32"/>
          <w:szCs w:val="32"/>
          <w:lang w:val="en-US" w:eastAsia="zh-CN"/>
        </w:rPr>
        <w:t>交流</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撰写心得体会</w:t>
      </w:r>
      <w:r>
        <w:rPr>
          <w:rFonts w:hint="eastAsia"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大</w:t>
      </w:r>
      <w:r>
        <w:rPr>
          <w:rFonts w:hint="eastAsia" w:ascii="Times New Roman" w:hAnsi="Times New Roman" w:eastAsia="仿宋_GB2312" w:cs="Times New Roman"/>
          <w:b w:val="0"/>
          <w:bCs w:val="0"/>
          <w:color w:val="000000"/>
          <w:sz w:val="32"/>
          <w:szCs w:val="32"/>
          <w:lang w:val="en-US" w:eastAsia="zh-CN"/>
        </w:rPr>
        <w:t>力弘扬“三大精神”，隆重庆祝</w:t>
      </w:r>
      <w:r>
        <w:rPr>
          <w:rFonts w:hint="default" w:ascii="Times New Roman" w:hAnsi="Times New Roman" w:eastAsia="仿宋_GB2312" w:cs="Times New Roman"/>
          <w:b w:val="0"/>
          <w:bCs w:val="0"/>
          <w:color w:val="000000"/>
          <w:sz w:val="32"/>
          <w:szCs w:val="32"/>
          <w:lang w:val="en-US" w:eastAsia="zh-CN"/>
        </w:rPr>
        <w:t>“5.1”</w:t>
      </w:r>
      <w:r>
        <w:rPr>
          <w:rFonts w:hint="eastAsia" w:ascii="Times New Roman" w:hAnsi="Times New Roman" w:eastAsia="仿宋_GB2312" w:cs="Times New Roman"/>
          <w:b w:val="0"/>
          <w:bCs w:val="0"/>
          <w:color w:val="000000"/>
          <w:sz w:val="32"/>
          <w:szCs w:val="32"/>
          <w:lang w:val="en-US" w:eastAsia="zh-CN"/>
        </w:rPr>
        <w:t>劳动</w:t>
      </w:r>
      <w:r>
        <w:rPr>
          <w:rFonts w:hint="default" w:ascii="Times New Roman" w:hAnsi="Times New Roman" w:eastAsia="仿宋_GB2312" w:cs="Times New Roman"/>
          <w:b w:val="0"/>
          <w:bCs w:val="0"/>
          <w:color w:val="000000"/>
          <w:sz w:val="32"/>
          <w:szCs w:val="32"/>
          <w:lang w:val="en-US" w:eastAsia="zh-CN"/>
        </w:rPr>
        <w:t>节，</w:t>
      </w:r>
      <w:r>
        <w:rPr>
          <w:rFonts w:hint="default" w:ascii="Times New Roman" w:hAnsi="Times New Roman" w:eastAsia="仿宋_GB2312" w:cs="Times New Roman"/>
          <w:color w:val="000000"/>
          <w:sz w:val="32"/>
          <w:szCs w:val="32"/>
          <w:lang w:val="en-US" w:eastAsia="zh-CN"/>
        </w:rPr>
        <w:t>举行</w:t>
      </w:r>
      <w:r>
        <w:rPr>
          <w:rFonts w:hint="default" w:ascii="Times New Roman" w:hAnsi="Times New Roman" w:eastAsia="仿宋_GB2312" w:cs="Times New Roman"/>
          <w:color w:val="000000"/>
          <w:sz w:val="32"/>
          <w:szCs w:val="32"/>
        </w:rPr>
        <w:t>区第二届昭化工匠和首届</w:t>
      </w:r>
      <w:r>
        <w:rPr>
          <w:rFonts w:hint="default" w:ascii="Times New Roman" w:hAnsi="Times New Roman" w:eastAsia="仿宋_GB2312" w:cs="Times New Roman"/>
          <w:color w:val="000000"/>
          <w:sz w:val="32"/>
          <w:szCs w:val="32"/>
          <w:lang w:eastAsia="zh-CN"/>
        </w:rPr>
        <w:t>最美昭化劳动者</w:t>
      </w:r>
      <w:r>
        <w:rPr>
          <w:rFonts w:hint="eastAsia" w:ascii="Times New Roman" w:hAnsi="Times New Roman" w:eastAsia="仿宋_GB2312" w:cs="Times New Roman"/>
          <w:color w:val="000000"/>
          <w:sz w:val="32"/>
          <w:szCs w:val="32"/>
          <w:lang w:val="en-US" w:eastAsia="zh-CN"/>
        </w:rPr>
        <w:t>颁奖典礼，</w:t>
      </w:r>
      <w:r>
        <w:rPr>
          <w:rFonts w:hint="default" w:ascii="Times New Roman" w:hAnsi="Times New Roman" w:eastAsia="仿宋_GB2312" w:cs="Times New Roman"/>
          <w:color w:val="000000"/>
          <w:sz w:val="32"/>
          <w:szCs w:val="32"/>
          <w:lang w:val="en-US" w:eastAsia="zh-CN"/>
        </w:rPr>
        <w:t>推选最美劳动者和工匠各10名，开展10期线上专题展播。以“喜迎二十大，建功新时代”为主题，开展职工主题演讲比赛、“玫瑰书香·工会悦读”</w:t>
      </w:r>
      <w:r>
        <w:rPr>
          <w:rFonts w:hint="default" w:ascii="Times New Roman" w:hAnsi="Times New Roman" w:eastAsia="仿宋_GB2312" w:cs="Times New Roman"/>
          <w:b w:val="0"/>
          <w:bCs w:val="0"/>
          <w:color w:val="000000"/>
          <w:sz w:val="32"/>
          <w:szCs w:val="32"/>
        </w:rPr>
        <w:t>等</w:t>
      </w:r>
      <w:r>
        <w:rPr>
          <w:rFonts w:hint="default" w:ascii="Times New Roman" w:hAnsi="Times New Roman" w:eastAsia="仿宋_GB2312" w:cs="Times New Roman"/>
          <w:b w:val="0"/>
          <w:bCs w:val="0"/>
          <w:color w:val="000000"/>
          <w:sz w:val="32"/>
          <w:szCs w:val="32"/>
          <w:lang w:val="en-US" w:eastAsia="zh-CN"/>
        </w:rPr>
        <w:t>系列主题</w:t>
      </w:r>
      <w:r>
        <w:rPr>
          <w:rFonts w:hint="default" w:ascii="Times New Roman" w:hAnsi="Times New Roman" w:eastAsia="仿宋_GB2312" w:cs="Times New Roman"/>
          <w:b w:val="0"/>
          <w:bCs w:val="0"/>
          <w:color w:val="000000"/>
          <w:sz w:val="32"/>
          <w:szCs w:val="32"/>
        </w:rPr>
        <w:t>阅读活动</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color w:val="000000"/>
          <w:sz w:val="32"/>
          <w:szCs w:val="32"/>
          <w:lang w:val="en-US" w:eastAsia="zh-CN"/>
        </w:rPr>
        <w:t>联合群团组织开展</w:t>
      </w:r>
      <w:r>
        <w:rPr>
          <w:rFonts w:hint="default" w:ascii="Times New Roman" w:hAnsi="Times New Roman" w:eastAsia="仿宋_GB2312" w:cs="Times New Roman"/>
          <w:b w:val="0"/>
          <w:bCs w:val="0"/>
          <w:color w:val="000000"/>
          <w:sz w:val="32"/>
          <w:szCs w:val="32"/>
          <w:lang w:val="en-US" w:eastAsia="zh-CN"/>
        </w:rPr>
        <w:t>“网聚职工正能量，争做昭化好网民”</w:t>
      </w:r>
      <w:r>
        <w:rPr>
          <w:rFonts w:hint="default" w:ascii="Times New Roman" w:hAnsi="Times New Roman" w:eastAsia="仿宋_GB2312" w:cs="Times New Roman"/>
          <w:color w:val="000000"/>
          <w:sz w:val="32"/>
          <w:szCs w:val="32"/>
          <w:lang w:val="en-US" w:eastAsia="zh-CN"/>
        </w:rPr>
        <w:t>等宣传教育活动20余场次</w:t>
      </w:r>
      <w:r>
        <w:rPr>
          <w:rFonts w:hint="eastAsia" w:ascii="Times New Roman" w:hAnsi="Times New Roman" w:eastAsia="仿宋_GB2312" w:cs="Times New Roman"/>
          <w:color w:val="000000"/>
          <w:sz w:val="32"/>
          <w:szCs w:val="32"/>
          <w:lang w:val="en-US" w:eastAsia="zh-CN"/>
        </w:rPr>
        <w:t>。</w:t>
      </w:r>
    </w:p>
    <w:p w14:paraId="796693D1">
      <w:pPr>
        <w:keepNext w:val="0"/>
        <w:keepLines w:val="0"/>
        <w:pageBreakBefore w:val="0"/>
        <w:numPr>
          <w:ilvl w:val="0"/>
          <w:numId w:val="0"/>
        </w:numPr>
        <w:kinsoku/>
        <w:wordWrap/>
        <w:overflowPunct/>
        <w:topLinePunct w:val="0"/>
        <w:autoSpaceDE/>
        <w:autoSpaceDN/>
        <w:bidi w:val="0"/>
        <w:adjustRightInd/>
        <w:snapToGrid/>
        <w:spacing w:after="0" w:line="576" w:lineRule="exact"/>
        <w:ind w:right="0" w:firstLine="643"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2、</w:t>
      </w:r>
      <w:r>
        <w:rPr>
          <w:rFonts w:hint="default" w:ascii="仿宋_GB2312" w:hAnsi="仿宋_GB2312" w:eastAsia="仿宋_GB2312" w:cs="仿宋_GB2312"/>
          <w:b/>
          <w:bCs/>
          <w:color w:val="000000"/>
          <w:sz w:val="32"/>
          <w:szCs w:val="32"/>
          <w:lang w:val="en-US" w:eastAsia="zh-CN"/>
        </w:rPr>
        <w:t>做好“建功立业引领职工”文章，在充分发挥工人阶级主力军作用推动昭化高质量发展中展现新作为。</w:t>
      </w:r>
      <w:r>
        <w:rPr>
          <w:rFonts w:hint="default" w:ascii="Times New Roman" w:hAnsi="Times New Roman" w:eastAsia="仿宋_GB2312" w:cs="Times New Roman"/>
          <w:color w:val="000000"/>
          <w:sz w:val="32"/>
          <w:szCs w:val="32"/>
          <w:lang w:val="en-US" w:eastAsia="zh-CN"/>
        </w:rPr>
        <w:t>多领域深化劳动技能竞赛</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联合中粮油脂（广元）公司举办“西部区油脂生产技能大赛”，与区人社局共同承办“首届葭萌木匠职业技能大赛”，助力区行政审批局举办首届“政务政务服务和公共资源交易服务技能大赛”。积极支持</w:t>
      </w:r>
      <w:r>
        <w:rPr>
          <w:rFonts w:hint="eastAsia" w:ascii="Times New Roman" w:hAnsi="Times New Roman" w:eastAsia="仿宋_GB2312" w:cs="Times New Roman"/>
          <w:color w:val="000000"/>
          <w:sz w:val="32"/>
          <w:szCs w:val="32"/>
          <w:lang w:val="en-US" w:eastAsia="zh-CN"/>
        </w:rPr>
        <w:t>行业部门</w:t>
      </w:r>
      <w:r>
        <w:rPr>
          <w:rFonts w:hint="default" w:ascii="Times New Roman" w:hAnsi="Times New Roman" w:eastAsia="仿宋_GB2312" w:cs="Times New Roman"/>
          <w:color w:val="000000"/>
          <w:sz w:val="32"/>
          <w:szCs w:val="32"/>
          <w:lang w:val="en-US" w:eastAsia="zh-CN"/>
        </w:rPr>
        <w:t>开展“安康杯”线上线下竞赛活动。围绕拼经济建功立业。持续</w:t>
      </w:r>
      <w:r>
        <w:rPr>
          <w:rFonts w:hint="default" w:ascii="Times New Roman" w:hAnsi="Times New Roman" w:eastAsia="仿宋_GB2312" w:cs="Times New Roman"/>
          <w:b w:val="0"/>
          <w:bCs w:val="0"/>
          <w:color w:val="000000"/>
          <w:sz w:val="32"/>
          <w:szCs w:val="32"/>
          <w:lang w:val="en-US" w:eastAsia="zh-CN"/>
        </w:rPr>
        <w:t>深化产业工人队伍建设改革，</w:t>
      </w:r>
      <w:r>
        <w:rPr>
          <w:rFonts w:hint="eastAsia" w:ascii="Times New Roman" w:hAnsi="Times New Roman" w:eastAsia="仿宋_GB2312" w:cs="Times New Roman"/>
          <w:b w:val="0"/>
          <w:bCs w:val="0"/>
          <w:color w:val="000000"/>
          <w:sz w:val="32"/>
          <w:szCs w:val="32"/>
          <w:lang w:val="en-US" w:eastAsia="zh-CN"/>
        </w:rPr>
        <w:t>做好</w:t>
      </w:r>
      <w:r>
        <w:rPr>
          <w:rFonts w:hint="eastAsia" w:ascii="Times New Roman" w:hAnsi="Times New Roman" w:eastAsia="仿宋_GB2312" w:cs="Times New Roman"/>
          <w:b w:val="0"/>
          <w:bCs w:val="0"/>
          <w:color w:val="000000"/>
          <w:kern w:val="2"/>
          <w:sz w:val="32"/>
          <w:szCs w:val="32"/>
          <w:lang w:val="en-US" w:eastAsia="zh-CN"/>
        </w:rPr>
        <w:t>现有两个</w:t>
      </w:r>
      <w:r>
        <w:rPr>
          <w:rFonts w:hint="default" w:ascii="Times New Roman" w:hAnsi="Times New Roman" w:eastAsia="仿宋_GB2312" w:cs="Times New Roman"/>
          <w:b w:val="0"/>
          <w:bCs w:val="0"/>
          <w:color w:val="000000"/>
          <w:kern w:val="2"/>
          <w:sz w:val="32"/>
          <w:szCs w:val="32"/>
          <w:lang w:val="en-US" w:eastAsia="zh-CN"/>
        </w:rPr>
        <w:t>试点</w:t>
      </w:r>
      <w:r>
        <w:rPr>
          <w:rFonts w:hint="default" w:ascii="Times New Roman" w:hAnsi="Times New Roman" w:eastAsia="仿宋_GB2312" w:cs="Times New Roman"/>
          <w:b w:val="0"/>
          <w:bCs w:val="0"/>
          <w:color w:val="000000"/>
          <w:kern w:val="2"/>
          <w:sz w:val="32"/>
          <w:szCs w:val="32"/>
        </w:rPr>
        <w:t>项目</w:t>
      </w:r>
      <w:r>
        <w:rPr>
          <w:rFonts w:hint="default" w:ascii="Times New Roman" w:hAnsi="Times New Roman" w:eastAsia="仿宋_GB2312" w:cs="Times New Roman"/>
          <w:b w:val="0"/>
          <w:bCs w:val="0"/>
          <w:color w:val="000000"/>
          <w:kern w:val="2"/>
          <w:sz w:val="32"/>
          <w:szCs w:val="32"/>
          <w:lang w:eastAsia="zh-CN"/>
        </w:rPr>
        <w:t>，</w:t>
      </w:r>
      <w:r>
        <w:rPr>
          <w:rFonts w:hint="eastAsia" w:ascii="Times New Roman" w:hAnsi="Times New Roman" w:eastAsia="仿宋_GB2312" w:cs="Times New Roman"/>
          <w:b w:val="0"/>
          <w:bCs w:val="0"/>
          <w:color w:val="000000"/>
          <w:kern w:val="2"/>
          <w:sz w:val="32"/>
          <w:szCs w:val="32"/>
          <w:lang w:val="en-US" w:eastAsia="zh-CN"/>
        </w:rPr>
        <w:t>深化</w:t>
      </w:r>
      <w:r>
        <w:rPr>
          <w:rFonts w:hint="default" w:ascii="Times New Roman" w:hAnsi="Times New Roman" w:eastAsia="仿宋_GB2312" w:cs="Times New Roman"/>
          <w:b w:val="0"/>
          <w:bCs w:val="0"/>
          <w:color w:val="000000"/>
          <w:kern w:val="2"/>
          <w:sz w:val="32"/>
          <w:szCs w:val="32"/>
          <w:lang w:val="en-US" w:eastAsia="zh-CN"/>
        </w:rPr>
        <w:t>全市“产改”品牌，昭化经验在全市产业工人队伍建设改革大会做交流发言。</w:t>
      </w:r>
      <w:r>
        <w:rPr>
          <w:rFonts w:hint="default" w:ascii="Times New Roman" w:hAnsi="Times New Roman" w:eastAsia="仿宋_GB2312" w:cs="Times New Roman"/>
          <w:color w:val="000000"/>
          <w:sz w:val="32"/>
          <w:szCs w:val="32"/>
          <w:lang w:val="en-US" w:eastAsia="zh-CN"/>
        </w:rPr>
        <w:t>加大送清凉、送温暖慰问活动，</w:t>
      </w:r>
      <w:r>
        <w:rPr>
          <w:rFonts w:hint="eastAsia" w:ascii="Times New Roman" w:hAnsi="Times New Roman" w:eastAsia="仿宋_GB2312" w:cs="Times New Roman"/>
          <w:color w:val="000000"/>
          <w:sz w:val="32"/>
          <w:szCs w:val="32"/>
          <w:lang w:val="en-US" w:eastAsia="zh-CN"/>
        </w:rPr>
        <w:t>联合</w:t>
      </w:r>
      <w:r>
        <w:rPr>
          <w:rFonts w:hint="default" w:ascii="Times New Roman" w:hAnsi="Times New Roman" w:eastAsia="仿宋_GB2312" w:cs="Times New Roman"/>
          <w:color w:val="000000"/>
          <w:sz w:val="32"/>
          <w:szCs w:val="32"/>
          <w:lang w:val="en-US" w:eastAsia="zh-CN"/>
        </w:rPr>
        <w:t>昭贤人力公司举办</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场</w:t>
      </w:r>
      <w:r>
        <w:rPr>
          <w:rFonts w:hint="eastAsia" w:ascii="Times New Roman" w:hAnsi="Times New Roman" w:eastAsia="仿宋_GB2312" w:cs="Times New Roman"/>
          <w:color w:val="000000"/>
          <w:sz w:val="32"/>
          <w:szCs w:val="32"/>
          <w:lang w:val="en-US" w:eastAsia="zh-CN"/>
        </w:rPr>
        <w:t>次</w:t>
      </w:r>
      <w:r>
        <w:rPr>
          <w:rFonts w:hint="default" w:ascii="Times New Roman" w:hAnsi="Times New Roman" w:eastAsia="仿宋_GB2312" w:cs="Times New Roman"/>
          <w:color w:val="000000"/>
          <w:sz w:val="32"/>
          <w:szCs w:val="32"/>
          <w:lang w:val="en-US" w:eastAsia="zh-CN"/>
        </w:rPr>
        <w:t>线上招聘活动。抓实促消费工作，全面返还中小微企业工会经费，引导基层工会开展促消费投入资金</w:t>
      </w:r>
      <w:r>
        <w:rPr>
          <w:rFonts w:hint="eastAsia" w:ascii="Times New Roman" w:hAnsi="Times New Roman" w:eastAsia="仿宋_GB2312" w:cs="Times New Roman"/>
          <w:color w:val="000000"/>
          <w:sz w:val="32"/>
          <w:szCs w:val="32"/>
          <w:lang w:val="en-US" w:eastAsia="zh-CN"/>
        </w:rPr>
        <w:t>超过</w:t>
      </w:r>
      <w:r>
        <w:rPr>
          <w:rFonts w:hint="default" w:ascii="Times New Roman" w:hAnsi="Times New Roman" w:eastAsia="仿宋_GB2312" w:cs="Times New Roman"/>
          <w:color w:val="000000"/>
          <w:sz w:val="32"/>
          <w:szCs w:val="32"/>
          <w:lang w:val="en-US" w:eastAsia="zh-CN"/>
        </w:rPr>
        <w:t>500万元。</w:t>
      </w:r>
      <w:r>
        <w:rPr>
          <w:rFonts w:hint="default" w:ascii="Times New Roman" w:hAnsi="Times New Roman" w:eastAsia="仿宋_GB2312" w:cs="Times New Roman"/>
          <w:b w:val="0"/>
          <w:bCs w:val="0"/>
          <w:color w:val="000000"/>
          <w:sz w:val="32"/>
          <w:szCs w:val="32"/>
          <w:lang w:val="en-US" w:eastAsia="zh-CN"/>
        </w:rPr>
        <w:t>全面挖掘践行“昭化精神”典型劳动者事迹，充分发挥劳模工匠宣讲团作用，</w:t>
      </w:r>
      <w:r>
        <w:rPr>
          <w:rFonts w:hint="eastAsia" w:ascii="Times New Roman" w:hAnsi="Times New Roman" w:eastAsia="仿宋_GB2312" w:cs="Times New Roman"/>
          <w:b w:val="0"/>
          <w:bCs w:val="0"/>
          <w:color w:val="000000"/>
          <w:sz w:val="32"/>
          <w:szCs w:val="32"/>
          <w:lang w:val="en-US" w:eastAsia="zh-CN"/>
        </w:rPr>
        <w:t>全年</w:t>
      </w:r>
      <w:r>
        <w:rPr>
          <w:rFonts w:hint="default" w:ascii="Times New Roman" w:hAnsi="Times New Roman" w:eastAsia="仿宋_GB2312" w:cs="Times New Roman"/>
          <w:b w:val="0"/>
          <w:bCs w:val="0"/>
          <w:color w:val="000000"/>
          <w:sz w:val="32"/>
          <w:szCs w:val="32"/>
          <w:lang w:val="en-US" w:eastAsia="zh-CN"/>
        </w:rPr>
        <w:t>宣讲20余场次，召开2次座谈会，组织22名劳模开展疗休养。</w:t>
      </w:r>
    </w:p>
    <w:p w14:paraId="2FD6E45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3、</w:t>
      </w:r>
      <w:r>
        <w:rPr>
          <w:rFonts w:hint="default" w:ascii="仿宋_GB2312" w:hAnsi="仿宋_GB2312" w:eastAsia="仿宋_GB2312" w:cs="仿宋_GB2312"/>
          <w:b/>
          <w:bCs/>
          <w:color w:val="000000"/>
          <w:sz w:val="32"/>
          <w:szCs w:val="32"/>
          <w:lang w:val="en-US" w:eastAsia="zh-CN"/>
        </w:rPr>
        <w:t>做好“权益维护保障职工”文章，在助推建设更高水平法治平安昭化中取得新实效。</w:t>
      </w:r>
      <w:r>
        <w:rPr>
          <w:rFonts w:hint="default" w:ascii="Times New Roman" w:hAnsi="Times New Roman" w:eastAsia="仿宋_GB2312" w:cs="Times New Roman"/>
          <w:color w:val="000000"/>
          <w:sz w:val="32"/>
          <w:szCs w:val="32"/>
          <w:lang w:val="en-US" w:eastAsia="zh-CN"/>
        </w:rPr>
        <w:t>结合区法制示范</w:t>
      </w:r>
      <w:r>
        <w:rPr>
          <w:rFonts w:hint="eastAsia"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lang w:val="en-US" w:eastAsia="zh-CN"/>
        </w:rPr>
        <w:t>的创建，</w:t>
      </w:r>
      <w:r>
        <w:rPr>
          <w:rFonts w:hint="default" w:ascii="Times New Roman" w:hAnsi="Times New Roman" w:eastAsia="仿宋_GB2312" w:cs="Times New Roman"/>
          <w:b w:val="0"/>
          <w:bCs w:val="0"/>
          <w:color w:val="000000"/>
          <w:sz w:val="32"/>
          <w:szCs w:val="32"/>
          <w:lang w:val="en-US" w:eastAsia="zh-CN"/>
        </w:rPr>
        <w:t>开展“法律进企业活动”</w:t>
      </w: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lang w:val="en-US" w:eastAsia="zh-CN"/>
        </w:rPr>
        <w:t>4场</w:t>
      </w:r>
      <w:r>
        <w:rPr>
          <w:rFonts w:hint="eastAsia" w:ascii="Times New Roman" w:hAnsi="Times New Roman" w:eastAsia="仿宋_GB2312" w:cs="Times New Roman"/>
          <w:b w:val="0"/>
          <w:bCs w:val="0"/>
          <w:color w:val="000000"/>
          <w:sz w:val="32"/>
          <w:szCs w:val="32"/>
          <w:lang w:val="en-US" w:eastAsia="zh-CN"/>
        </w:rPr>
        <w:t>次</w:t>
      </w:r>
      <w:r>
        <w:rPr>
          <w:rFonts w:hint="default" w:ascii="Times New Roman" w:hAnsi="Times New Roman" w:eastAsia="仿宋_GB2312" w:cs="Times New Roman"/>
          <w:b w:val="0"/>
          <w:bCs w:val="0"/>
          <w:color w:val="000000"/>
          <w:sz w:val="32"/>
          <w:szCs w:val="32"/>
          <w:lang w:val="en-US" w:eastAsia="zh-CN"/>
        </w:rPr>
        <w:t>，接受职工（农民工）法律咨询180余人次。</w:t>
      </w:r>
      <w:r>
        <w:rPr>
          <w:rFonts w:hint="default" w:ascii="Times New Roman" w:hAnsi="Times New Roman" w:eastAsia="仿宋_GB2312" w:cs="Times New Roman"/>
          <w:color w:val="000000"/>
          <w:sz w:val="32"/>
          <w:szCs w:val="32"/>
          <w:lang w:val="en-US" w:eastAsia="zh-CN"/>
        </w:rPr>
        <w:t>结合“春送岗位”</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3.15</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12.4</w:t>
      </w:r>
      <w:r>
        <w:rPr>
          <w:rFonts w:hint="eastAsia" w:ascii="Times New Roman" w:hAnsi="Times New Roman" w:eastAsia="仿宋_GB2312" w:cs="Times New Roman"/>
          <w:color w:val="000000"/>
          <w:sz w:val="32"/>
          <w:szCs w:val="32"/>
          <w:lang w:val="en-US" w:eastAsia="zh-CN"/>
        </w:rPr>
        <w:t>等时机，</w:t>
      </w:r>
      <w:r>
        <w:rPr>
          <w:rFonts w:hint="default" w:ascii="Times New Roman" w:hAnsi="Times New Roman" w:eastAsia="仿宋_GB2312" w:cs="Times New Roman"/>
          <w:color w:val="000000"/>
          <w:sz w:val="32"/>
          <w:szCs w:val="32"/>
          <w:lang w:val="en-US" w:eastAsia="zh-CN"/>
        </w:rPr>
        <w:t>开展法治宣讲10余场，发放资料3000余份。宣传贯彻新修</w:t>
      </w:r>
      <w:r>
        <w:rPr>
          <w:rFonts w:hint="eastAsia" w:ascii="Times New Roman" w:hAnsi="Times New Roman" w:eastAsia="仿宋_GB2312" w:cs="Times New Roman"/>
          <w:color w:val="000000"/>
          <w:sz w:val="32"/>
          <w:szCs w:val="32"/>
          <w:lang w:val="en-US" w:eastAsia="zh-CN"/>
        </w:rPr>
        <w:t>定</w:t>
      </w:r>
      <w:r>
        <w:rPr>
          <w:rFonts w:hint="default" w:ascii="Times New Roman" w:hAnsi="Times New Roman" w:eastAsia="仿宋_GB2312" w:cs="Times New Roman"/>
          <w:color w:val="000000"/>
          <w:sz w:val="32"/>
          <w:szCs w:val="32"/>
          <w:lang w:val="en-US" w:eastAsia="zh-CN"/>
        </w:rPr>
        <w:t>《工会法》，把</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工会法</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列入区政府常务会会前学法议题。</w:t>
      </w:r>
      <w:r>
        <w:rPr>
          <w:rFonts w:hint="default" w:ascii="Times New Roman" w:hAnsi="Times New Roman" w:eastAsia="仿宋_GB2312" w:cs="Times New Roman"/>
          <w:b w:val="0"/>
          <w:bCs w:val="0"/>
          <w:color w:val="000000"/>
          <w:sz w:val="32"/>
          <w:szCs w:val="32"/>
          <w:lang w:val="en-US" w:eastAsia="zh-CN"/>
        </w:rPr>
        <w:t>结合东西协作机遇，新建杭州驻外商会农民工维权工作站。关注新经济、新产业、新业态领域职工权益维护，</w:t>
      </w:r>
      <w:r>
        <w:rPr>
          <w:rFonts w:hint="default" w:ascii="Times New Roman" w:hAnsi="Times New Roman" w:eastAsia="仿宋_GB2312" w:cs="Times New Roman"/>
          <w:color w:val="000000"/>
          <w:sz w:val="32"/>
          <w:szCs w:val="32"/>
          <w:lang w:val="en-US" w:eastAsia="zh-CN"/>
        </w:rPr>
        <w:t>组建集体协商指导队伍</w:t>
      </w:r>
      <w:r>
        <w:rPr>
          <w:rFonts w:hint="default" w:ascii="Times New Roman" w:hAnsi="Times New Roman" w:eastAsia="仿宋_GB2312" w:cs="Times New Roman"/>
          <w:color w:val="000000"/>
          <w:sz w:val="32"/>
          <w:szCs w:val="32"/>
        </w:rPr>
        <w:t>，举办</w:t>
      </w:r>
      <w:r>
        <w:rPr>
          <w:rFonts w:hint="default" w:ascii="Times New Roman" w:hAnsi="Times New Roman" w:eastAsia="仿宋_GB2312" w:cs="Times New Roman"/>
          <w:color w:val="000000"/>
          <w:sz w:val="32"/>
          <w:szCs w:val="32"/>
          <w:lang w:val="en-US" w:eastAsia="zh-CN"/>
        </w:rPr>
        <w:t>培训讲座、动员大会2次，举行集中签约仪式1次，积极开展</w:t>
      </w:r>
      <w:r>
        <w:rPr>
          <w:rFonts w:hint="default" w:ascii="Times New Roman" w:hAnsi="Times New Roman" w:eastAsia="仿宋_GB2312" w:cs="Times New Roman"/>
          <w:color w:val="000000"/>
          <w:sz w:val="32"/>
          <w:szCs w:val="32"/>
        </w:rPr>
        <w:t>要约活动，覆盖职工</w:t>
      </w:r>
      <w:r>
        <w:rPr>
          <w:rFonts w:hint="default" w:ascii="Times New Roman" w:hAnsi="Times New Roman" w:eastAsia="仿宋_GB2312" w:cs="Times New Roman"/>
          <w:color w:val="000000"/>
          <w:sz w:val="32"/>
          <w:szCs w:val="32"/>
          <w:lang w:val="en-US" w:eastAsia="zh-CN"/>
        </w:rPr>
        <w:t>2591</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b w:val="0"/>
          <w:bCs w:val="0"/>
          <w:color w:val="000000"/>
          <w:sz w:val="32"/>
          <w:szCs w:val="32"/>
          <w:lang w:val="en-US" w:eastAsia="zh-CN"/>
        </w:rPr>
        <w:t>加强劳动领域风险排查化解，成</w:t>
      </w:r>
      <w:r>
        <w:rPr>
          <w:rFonts w:hint="eastAsia" w:ascii="Times New Roman" w:hAnsi="Times New Roman" w:eastAsia="仿宋_GB2312" w:cs="Times New Roman"/>
          <w:b w:val="0"/>
          <w:bCs w:val="0"/>
          <w:color w:val="000000"/>
          <w:sz w:val="32"/>
          <w:szCs w:val="32"/>
          <w:lang w:val="en-US" w:eastAsia="zh-CN"/>
        </w:rPr>
        <w:t>立</w:t>
      </w:r>
      <w:r>
        <w:rPr>
          <w:rFonts w:hint="default" w:ascii="Times New Roman" w:hAnsi="Times New Roman" w:eastAsia="仿宋_GB2312" w:cs="Times New Roman"/>
          <w:b w:val="0"/>
          <w:bCs w:val="0"/>
          <w:color w:val="000000"/>
          <w:sz w:val="32"/>
          <w:szCs w:val="32"/>
          <w:lang w:val="en-US" w:eastAsia="zh-CN"/>
        </w:rPr>
        <w:t>专班，</w:t>
      </w:r>
      <w:r>
        <w:rPr>
          <w:rFonts w:hint="eastAsia" w:ascii="Times New Roman" w:hAnsi="Times New Roman" w:eastAsia="仿宋_GB2312" w:cs="Times New Roman"/>
          <w:b w:val="0"/>
          <w:bCs w:val="0"/>
          <w:color w:val="000000"/>
          <w:sz w:val="32"/>
          <w:szCs w:val="32"/>
          <w:lang w:val="en-US" w:eastAsia="zh-CN"/>
        </w:rPr>
        <w:t>召开</w:t>
      </w:r>
      <w:r>
        <w:rPr>
          <w:rFonts w:hint="default" w:ascii="Times New Roman" w:hAnsi="Times New Roman" w:eastAsia="仿宋_GB2312" w:cs="Times New Roman"/>
          <w:b w:val="0"/>
          <w:bCs w:val="0"/>
          <w:color w:val="000000"/>
          <w:sz w:val="32"/>
          <w:szCs w:val="32"/>
          <w:lang w:val="en-US" w:eastAsia="zh-CN"/>
        </w:rPr>
        <w:t>联系会2次</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color w:val="000000"/>
          <w:sz w:val="32"/>
          <w:szCs w:val="32"/>
          <w:lang w:val="en-US" w:eastAsia="zh-CN"/>
        </w:rPr>
        <w:t>深入新就业群体行业49余次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围绕重大节日和党的二十大召开节点</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召开劳动领域政治安全联席会，走访、接待农民工110人次</w:t>
      </w:r>
      <w:r>
        <w:rPr>
          <w:rFonts w:hint="eastAsia" w:ascii="Times New Roman" w:hAnsi="Times New Roman" w:eastAsia="仿宋_GB2312" w:cs="Times New Roman"/>
          <w:b w:val="0"/>
          <w:bCs w:val="0"/>
          <w:color w:val="000000"/>
          <w:sz w:val="32"/>
          <w:szCs w:val="32"/>
          <w:lang w:val="en-US" w:eastAsia="zh-CN"/>
        </w:rPr>
        <w:t>。</w:t>
      </w:r>
    </w:p>
    <w:p w14:paraId="0C3EDB27">
      <w:pPr>
        <w:keepNext w:val="0"/>
        <w:keepLines w:val="0"/>
        <w:pageBreakBefore w:val="0"/>
        <w:numPr>
          <w:ilvl w:val="0"/>
          <w:numId w:val="0"/>
        </w:numPr>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b w:val="0"/>
          <w:bCs w:val="0"/>
          <w:color w:val="000000"/>
          <w:sz w:val="32"/>
          <w:szCs w:val="32"/>
          <w:lang w:val="en-US"/>
        </w:rPr>
      </w:pPr>
      <w:r>
        <w:rPr>
          <w:rFonts w:hint="eastAsia" w:ascii="仿宋_GB2312" w:hAnsi="仿宋_GB2312" w:eastAsia="仿宋_GB2312" w:cs="仿宋_GB2312"/>
          <w:b/>
          <w:bCs/>
          <w:color w:val="000000"/>
          <w:sz w:val="32"/>
          <w:szCs w:val="32"/>
          <w:lang w:val="en-US" w:eastAsia="zh-CN"/>
        </w:rPr>
        <w:t>4、</w:t>
      </w:r>
      <w:r>
        <w:rPr>
          <w:rFonts w:hint="default" w:ascii="仿宋_GB2312" w:hAnsi="仿宋_GB2312" w:eastAsia="仿宋_GB2312" w:cs="仿宋_GB2312"/>
          <w:b/>
          <w:bCs/>
          <w:color w:val="000000"/>
          <w:sz w:val="32"/>
          <w:szCs w:val="32"/>
          <w:lang w:val="en-US" w:eastAsia="zh-CN"/>
        </w:rPr>
        <w:t>做好“关爱帮扶服务职工”文章，在增强职工群众获得感幸福感安全感</w:t>
      </w:r>
      <w:bookmarkStart w:id="85" w:name="16.加强服务阵地建设。推进“会、站、家”一体化建设，加强枢纽型社会组织平台功能"/>
      <w:bookmarkEnd w:id="85"/>
      <w:r>
        <w:rPr>
          <w:rFonts w:hint="default" w:ascii="仿宋_GB2312" w:hAnsi="仿宋_GB2312" w:eastAsia="仿宋_GB2312" w:cs="仿宋_GB2312"/>
          <w:b/>
          <w:bCs/>
          <w:color w:val="000000"/>
          <w:sz w:val="32"/>
          <w:szCs w:val="32"/>
          <w:lang w:val="en-US" w:eastAsia="zh-CN"/>
        </w:rPr>
        <w:t>上实现新提升。</w:t>
      </w:r>
      <w:r>
        <w:rPr>
          <w:rFonts w:hint="default" w:ascii="Times New Roman" w:hAnsi="Times New Roman" w:eastAsia="仿宋_GB2312" w:cs="Times New Roman"/>
          <w:b w:val="0"/>
          <w:bCs w:val="0"/>
          <w:color w:val="000000"/>
          <w:kern w:val="2"/>
          <w:sz w:val="32"/>
          <w:szCs w:val="32"/>
          <w:lang w:val="en-US" w:eastAsia="zh-CN" w:bidi="ar-SA"/>
        </w:rPr>
        <w:t>常态化开展困难职工临时救助</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送温暖活动，</w:t>
      </w:r>
      <w:r>
        <w:rPr>
          <w:rFonts w:hint="eastAsia" w:ascii="Times New Roman" w:hAnsi="Times New Roman" w:eastAsia="仿宋_GB2312" w:cs="Times New Roman"/>
          <w:b w:val="0"/>
          <w:bCs w:val="0"/>
          <w:color w:val="000000"/>
          <w:kern w:val="2"/>
          <w:sz w:val="32"/>
          <w:szCs w:val="32"/>
          <w:lang w:val="en-US" w:eastAsia="zh-CN" w:bidi="ar-SA"/>
        </w:rPr>
        <w:t>全年</w:t>
      </w:r>
      <w:r>
        <w:rPr>
          <w:rFonts w:hint="default" w:ascii="Times New Roman" w:hAnsi="Times New Roman" w:eastAsia="仿宋_GB2312" w:cs="Times New Roman"/>
          <w:color w:val="000000"/>
          <w:sz w:val="32"/>
          <w:szCs w:val="32"/>
          <w:lang w:val="en-US" w:eastAsia="zh-CN"/>
        </w:rPr>
        <w:t>开展“心系职工，温暖进万家”为主题的送温暖慰问。</w:t>
      </w:r>
      <w:r>
        <w:rPr>
          <w:rFonts w:hint="default" w:ascii="Times New Roman" w:hAnsi="Times New Roman" w:eastAsia="仿宋_GB2312" w:cs="Times New Roman"/>
          <w:color w:val="000000"/>
          <w:kern w:val="2"/>
          <w:sz w:val="32"/>
          <w:szCs w:val="32"/>
          <w:lang w:val="en-US" w:eastAsia="zh-CN" w:bidi="ar-SA"/>
        </w:rPr>
        <w:t>开展“春送岗位</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主题活动，</w:t>
      </w:r>
      <w:r>
        <w:rPr>
          <w:rFonts w:hint="default" w:ascii="Times New Roman" w:hAnsi="Times New Roman" w:eastAsia="仿宋_GB2312" w:cs="Times New Roman"/>
          <w:color w:val="000000"/>
          <w:sz w:val="32"/>
          <w:szCs w:val="32"/>
          <w:lang w:val="en-US" w:eastAsia="zh-CN"/>
        </w:rPr>
        <w:t>向返乡农民工发放大礼包</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kern w:val="2"/>
          <w:sz w:val="32"/>
          <w:szCs w:val="32"/>
          <w:lang w:val="en-US" w:eastAsia="zh-CN" w:bidi="ar-SA"/>
        </w:rPr>
        <w:t>企业民工实现家门口就业</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筹集资金，走访慰问疫情防控</w:t>
      </w:r>
      <w:r>
        <w:rPr>
          <w:rFonts w:hint="eastAsia" w:ascii="Times New Roman" w:hAnsi="Times New Roman" w:eastAsia="仿宋_GB2312" w:cs="Times New Roman"/>
          <w:b w:val="0"/>
          <w:bCs w:val="0"/>
          <w:color w:val="000000"/>
          <w:kern w:val="2"/>
          <w:sz w:val="32"/>
          <w:szCs w:val="32"/>
          <w:lang w:val="en-US" w:eastAsia="zh-CN" w:bidi="ar-SA"/>
        </w:rPr>
        <w:t>、企业等</w:t>
      </w:r>
      <w:r>
        <w:rPr>
          <w:rFonts w:hint="default" w:ascii="Times New Roman" w:hAnsi="Times New Roman" w:eastAsia="仿宋_GB2312" w:cs="Times New Roman"/>
          <w:b w:val="0"/>
          <w:bCs w:val="0"/>
          <w:color w:val="000000"/>
          <w:kern w:val="2"/>
          <w:sz w:val="32"/>
          <w:szCs w:val="32"/>
          <w:lang w:val="en-US" w:eastAsia="zh-CN" w:bidi="ar-SA"/>
        </w:rPr>
        <w:t>一线职工。联合</w:t>
      </w:r>
      <w:r>
        <w:rPr>
          <w:rFonts w:hint="eastAsia" w:ascii="Times New Roman" w:hAnsi="Times New Roman" w:eastAsia="仿宋_GB2312" w:cs="Times New Roman"/>
          <w:b w:val="0"/>
          <w:bCs w:val="0"/>
          <w:color w:val="000000"/>
          <w:kern w:val="2"/>
          <w:sz w:val="32"/>
          <w:szCs w:val="32"/>
          <w:lang w:val="en-US" w:eastAsia="zh-CN" w:bidi="ar-SA"/>
        </w:rPr>
        <w:t>教育、民政和群团组织等</w:t>
      </w:r>
      <w:r>
        <w:rPr>
          <w:rFonts w:hint="default" w:ascii="Times New Roman" w:hAnsi="Times New Roman" w:eastAsia="仿宋_GB2312" w:cs="Times New Roman"/>
          <w:b w:val="0"/>
          <w:bCs w:val="0"/>
          <w:color w:val="000000"/>
          <w:kern w:val="2"/>
          <w:sz w:val="32"/>
          <w:szCs w:val="32"/>
          <w:lang w:val="en-US" w:eastAsia="zh-CN" w:bidi="ar-SA"/>
        </w:rPr>
        <w:t>部门筹措助学资金，资助困难职工（农民工）家庭学生。</w:t>
      </w:r>
      <w:r>
        <w:rPr>
          <w:rFonts w:hint="default" w:ascii="Times New Roman" w:hAnsi="Times New Roman" w:eastAsia="仿宋_GB2312" w:cs="Times New Roman"/>
          <w:color w:val="000000"/>
          <w:sz w:val="32"/>
          <w:szCs w:val="32"/>
          <w:lang w:val="en-US" w:eastAsia="zh-CN"/>
        </w:rPr>
        <w:t>推出“有节有惠”系列活动，投入10万元开展平乐寺花海昭化职工免费游、“5元观景”线上、会员满减加油线下等普惠项目。</w:t>
      </w:r>
      <w:r>
        <w:rPr>
          <w:rFonts w:hint="eastAsia" w:ascii="Times New Roman" w:hAnsi="Times New Roman" w:eastAsia="仿宋_GB2312" w:cs="Times New Roman"/>
          <w:color w:val="000000"/>
          <w:sz w:val="32"/>
          <w:szCs w:val="32"/>
          <w:lang w:val="en-US" w:eastAsia="zh-CN"/>
        </w:rPr>
        <w:t>加大职工关心关爱，</w:t>
      </w:r>
      <w:r>
        <w:rPr>
          <w:rFonts w:hint="default"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b w:val="0"/>
          <w:bCs w:val="0"/>
          <w:color w:val="000000"/>
          <w:sz w:val="32"/>
          <w:szCs w:val="32"/>
          <w:lang w:val="en-US" w:eastAsia="zh-CN"/>
        </w:rPr>
        <w:t>五一节慰问货运车司机、端午节慰问快递员、医师节慰问医务工作者、国庆节慰问坚守一线职工、丰收节慰问农民工等专项慰问活动300余人次</w:t>
      </w:r>
      <w:r>
        <w:rPr>
          <w:rFonts w:hint="eastAsia" w:ascii="Times New Roman" w:hAnsi="Times New Roman" w:eastAsia="仿宋_GB2312" w:cs="Times New Roman"/>
          <w:b w:val="0"/>
          <w:bCs w:val="0"/>
          <w:color w:val="000000"/>
          <w:sz w:val="32"/>
          <w:szCs w:val="32"/>
          <w:lang w:val="en-US" w:eastAsia="zh-CN"/>
        </w:rPr>
        <w:t>。</w:t>
      </w:r>
    </w:p>
    <w:p w14:paraId="4827530B">
      <w:pPr>
        <w:keepNext w:val="0"/>
        <w:keepLines w:val="0"/>
        <w:pageBreakBefore w:val="0"/>
        <w:numPr>
          <w:ilvl w:val="0"/>
          <w:numId w:val="0"/>
        </w:numPr>
        <w:kinsoku/>
        <w:wordWrap/>
        <w:overflowPunct/>
        <w:topLinePunct w:val="0"/>
        <w:autoSpaceDE/>
        <w:autoSpaceDN/>
        <w:bidi w:val="0"/>
        <w:adjustRightInd/>
        <w:snapToGrid/>
        <w:spacing w:after="0" w:line="576" w:lineRule="exact"/>
        <w:ind w:right="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b/>
          <w:bCs/>
          <w:color w:val="000000"/>
          <w:sz w:val="32"/>
          <w:szCs w:val="32"/>
          <w:lang w:val="en-US" w:eastAsia="zh-CN"/>
        </w:rPr>
        <w:t>5、</w:t>
      </w:r>
      <w:r>
        <w:rPr>
          <w:rFonts w:hint="default" w:ascii="仿宋_GB2312" w:hAnsi="仿宋_GB2312" w:eastAsia="仿宋_GB2312" w:cs="仿宋_GB2312"/>
          <w:b/>
          <w:bCs/>
          <w:color w:val="000000"/>
          <w:sz w:val="32"/>
          <w:szCs w:val="32"/>
          <w:lang w:val="en-US" w:eastAsia="zh-CN"/>
        </w:rPr>
        <w:t>做好“建强组织凝聚职工”文章，在增强基层工会活力服务中心大局上取得新进展。</w:t>
      </w:r>
      <w:r>
        <w:rPr>
          <w:rFonts w:hint="default" w:ascii="Times New Roman" w:hAnsi="Times New Roman" w:eastAsia="仿宋_GB2312" w:cs="Times New Roman"/>
          <w:color w:val="000000"/>
          <w:sz w:val="32"/>
          <w:szCs w:val="32"/>
          <w:lang w:val="en-US" w:eastAsia="zh-CN"/>
        </w:rPr>
        <w:t>召开昭化区工会第五次代表大会，会议</w:t>
      </w:r>
      <w:r>
        <w:rPr>
          <w:rFonts w:hint="default" w:ascii="Times New Roman" w:hAnsi="Times New Roman" w:eastAsia="仿宋_GB2312" w:cs="Times New Roman"/>
          <w:color w:val="000000"/>
          <w:sz w:val="32"/>
          <w:szCs w:val="32"/>
        </w:rPr>
        <w:t>审议和批准区总工会第四届委员会工作报告、财务报告、经费审查委员会工作报告</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选举产生区总工会</w:t>
      </w:r>
      <w:r>
        <w:rPr>
          <w:rFonts w:hint="default" w:ascii="Times New Roman" w:hAnsi="Times New Roman" w:eastAsia="仿宋_GB2312" w:cs="Times New Roman"/>
          <w:color w:val="000000"/>
          <w:sz w:val="32"/>
          <w:szCs w:val="32"/>
          <w:lang w:val="en-US" w:eastAsia="zh-CN"/>
        </w:rPr>
        <w:t>第五届委员会和经费审查委员会委员。</w:t>
      </w:r>
      <w:r>
        <w:rPr>
          <w:rFonts w:hint="default" w:ascii="Times New Roman" w:hAnsi="Times New Roman" w:eastAsia="仿宋_GB2312" w:cs="Times New Roman"/>
          <w:b w:val="0"/>
          <w:bCs w:val="0"/>
          <w:color w:val="000000"/>
          <w:sz w:val="32"/>
          <w:szCs w:val="32"/>
          <w:lang w:val="en-US" w:eastAsia="zh-CN"/>
        </w:rPr>
        <w:t>川工之家APP累计注册用户</w:t>
      </w:r>
      <w:r>
        <w:rPr>
          <w:rFonts w:hint="eastAsia" w:ascii="Times New Roman" w:hAnsi="Times New Roman" w:eastAsia="仿宋_GB2312" w:cs="Times New Roman"/>
          <w:b w:val="0"/>
          <w:bCs w:val="0"/>
          <w:color w:val="000000"/>
          <w:sz w:val="32"/>
          <w:szCs w:val="32"/>
          <w:lang w:val="en-US" w:eastAsia="zh-CN"/>
        </w:rPr>
        <w:t>不少于</w:t>
      </w:r>
      <w:r>
        <w:rPr>
          <w:rFonts w:hint="default" w:ascii="Times New Roman" w:hAnsi="Times New Roman" w:eastAsia="仿宋_GB2312" w:cs="Times New Roman"/>
          <w:color w:val="000000"/>
          <w:sz w:val="32"/>
          <w:szCs w:val="32"/>
          <w:lang w:val="en-US" w:eastAsia="zh-CN"/>
        </w:rPr>
        <w:t>1.5万余</w:t>
      </w:r>
      <w:r>
        <w:rPr>
          <w:rFonts w:hint="default" w:ascii="Times New Roman" w:hAnsi="Times New Roman" w:eastAsia="仿宋_GB2312" w:cs="Times New Roman"/>
          <w:b w:val="0"/>
          <w:bCs w:val="0"/>
          <w:color w:val="000000"/>
          <w:sz w:val="32"/>
          <w:szCs w:val="32"/>
          <w:lang w:val="en-US" w:eastAsia="zh-CN"/>
        </w:rPr>
        <w:t>人，超额完成市下目标任务。</w:t>
      </w:r>
      <w:r>
        <w:rPr>
          <w:rFonts w:hint="default" w:ascii="Times New Roman" w:hAnsi="Times New Roman" w:eastAsia="仿宋_GB2312" w:cs="Times New Roman"/>
          <w:color w:val="000000"/>
          <w:sz w:val="32"/>
          <w:szCs w:val="32"/>
          <w:lang w:val="en-US" w:eastAsia="zh-CN"/>
        </w:rPr>
        <w:t>成立职工志愿服务队，在昭化葭萌驿站货运司机之家及高速卡口慰问货车司机、疫情防控执勤人员，为他们送上爱心慰问物资</w:t>
      </w:r>
      <w:r>
        <w:rPr>
          <w:rFonts w:hint="eastAsia" w:ascii="Times New Roman" w:hAnsi="Times New Roman"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lang w:val="en-US" w:eastAsia="zh-CN"/>
        </w:rPr>
        <w:t>节日的祝福。</w:t>
      </w:r>
    </w:p>
    <w:p w14:paraId="1F7CFE9D">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3" w:firstLineChars="200"/>
        <w:jc w:val="both"/>
        <w:textAlignment w:val="auto"/>
        <w:rPr>
          <w:rFonts w:hint="eastAsia"/>
          <w:sz w:val="32"/>
          <w:szCs w:val="32"/>
          <w:lang w:val="zh-CN"/>
        </w:rPr>
      </w:pPr>
      <w:r>
        <w:rPr>
          <w:rFonts w:hint="eastAsia" w:ascii="仿宋_GB2312" w:hAnsi="仿宋_GB2312" w:eastAsia="仿宋_GB2312" w:cs="仿宋_GB2312"/>
          <w:b/>
          <w:bCs/>
          <w:color w:val="000000"/>
          <w:sz w:val="32"/>
          <w:szCs w:val="32"/>
          <w:lang w:val="en-US" w:eastAsia="zh-CN"/>
        </w:rPr>
        <w:t>6、</w:t>
      </w:r>
      <w:r>
        <w:rPr>
          <w:rFonts w:hint="default" w:ascii="仿宋_GB2312" w:hAnsi="仿宋_GB2312" w:eastAsia="仿宋_GB2312" w:cs="仿宋_GB2312"/>
          <w:b/>
          <w:bCs/>
          <w:color w:val="000000"/>
          <w:sz w:val="32"/>
          <w:szCs w:val="32"/>
          <w:lang w:val="en-US" w:eastAsia="zh-CN"/>
        </w:rPr>
        <w:t>做好“从严治党影响职工”文章，在持续塑造工会系统良好政治生态上呈现新气象。</w:t>
      </w:r>
      <w:r>
        <w:rPr>
          <w:rFonts w:hint="eastAsia" w:ascii="Times New Roman" w:hAnsi="Times New Roman" w:eastAsia="仿宋_GB2312" w:cs="Times New Roman"/>
          <w:color w:val="000000"/>
          <w:sz w:val="32"/>
          <w:szCs w:val="32"/>
          <w:lang w:val="en-US" w:eastAsia="zh-CN"/>
        </w:rPr>
        <w:t>扎实</w:t>
      </w:r>
      <w:r>
        <w:rPr>
          <w:rFonts w:hint="default" w:ascii="Times New Roman" w:hAnsi="Times New Roman" w:eastAsia="仿宋_GB2312" w:cs="Times New Roman"/>
          <w:color w:val="000000"/>
          <w:sz w:val="32"/>
          <w:szCs w:val="32"/>
          <w:lang w:val="en-US" w:eastAsia="zh-CN"/>
        </w:rPr>
        <w:t>开展蹲点和“转作风、解难题、促发展、保稳定”</w:t>
      </w:r>
      <w:r>
        <w:rPr>
          <w:rFonts w:hint="eastAsia" w:ascii="Times New Roman" w:hAnsi="Times New Roman" w:eastAsia="仿宋_GB2312" w:cs="Times New Roman"/>
          <w:color w:val="000000"/>
          <w:sz w:val="32"/>
          <w:szCs w:val="32"/>
          <w:lang w:val="en-US" w:eastAsia="zh-CN"/>
        </w:rPr>
        <w:t>2个</w:t>
      </w:r>
      <w:r>
        <w:rPr>
          <w:rFonts w:hint="default" w:ascii="Times New Roman" w:hAnsi="Times New Roman" w:eastAsia="仿宋_GB2312" w:cs="Times New Roman"/>
          <w:color w:val="000000"/>
          <w:sz w:val="32"/>
          <w:szCs w:val="32"/>
          <w:lang w:val="en-US" w:eastAsia="zh-CN"/>
        </w:rPr>
        <w:t>专项行动，</w:t>
      </w:r>
      <w:r>
        <w:rPr>
          <w:rFonts w:hint="eastAsia"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color w:val="000000"/>
          <w:sz w:val="32"/>
          <w:szCs w:val="32"/>
          <w:lang w:val="en-US" w:eastAsia="zh-CN"/>
        </w:rPr>
        <w:t>理论政策宣传</w:t>
      </w:r>
      <w:r>
        <w:rPr>
          <w:rFonts w:hint="eastAsia" w:ascii="Times New Roman" w:hAnsi="Times New Roman" w:cs="Times New Roman"/>
          <w:color w:val="000000"/>
          <w:sz w:val="32"/>
          <w:szCs w:val="32"/>
          <w:lang w:val="en-US" w:eastAsia="zh-CN"/>
        </w:rPr>
        <w:t>不少于</w:t>
      </w:r>
      <w:r>
        <w:rPr>
          <w:rFonts w:hint="default" w:ascii="Times New Roman" w:hAnsi="Times New Roman" w:eastAsia="仿宋_GB2312" w:cs="Times New Roman"/>
          <w:color w:val="000000"/>
          <w:sz w:val="32"/>
          <w:szCs w:val="32"/>
          <w:lang w:val="en-US" w:eastAsia="zh-CN"/>
        </w:rPr>
        <w:t>22次，帮扶救助</w:t>
      </w:r>
      <w:r>
        <w:rPr>
          <w:rFonts w:hint="eastAsia" w:ascii="Times New Roman" w:hAnsi="Times New Roman" w:cs="Times New Roman"/>
          <w:color w:val="000000"/>
          <w:sz w:val="32"/>
          <w:szCs w:val="32"/>
          <w:lang w:val="en-US" w:eastAsia="zh-CN"/>
        </w:rPr>
        <w:t>不少于</w:t>
      </w:r>
      <w:r>
        <w:rPr>
          <w:rFonts w:hint="default" w:ascii="Times New Roman" w:hAnsi="Times New Roman" w:eastAsia="仿宋_GB2312" w:cs="Times New Roman"/>
          <w:color w:val="000000"/>
          <w:sz w:val="32"/>
          <w:szCs w:val="32"/>
          <w:lang w:val="en-US" w:eastAsia="zh-CN"/>
        </w:rPr>
        <w:t>20人次，协助解决劳动争议问题</w:t>
      </w:r>
      <w:r>
        <w:rPr>
          <w:rFonts w:hint="eastAsia" w:ascii="Times New Roman" w:hAnsi="Times New Roman" w:cs="Times New Roman"/>
          <w:color w:val="000000"/>
          <w:sz w:val="32"/>
          <w:szCs w:val="32"/>
          <w:lang w:val="en-US" w:eastAsia="zh-CN"/>
        </w:rPr>
        <w:t>不少于</w:t>
      </w:r>
      <w:r>
        <w:rPr>
          <w:rFonts w:hint="default" w:ascii="Times New Roman" w:hAnsi="Times New Roman" w:eastAsia="仿宋_GB2312" w:cs="Times New Roman"/>
          <w:color w:val="000000"/>
          <w:sz w:val="32"/>
          <w:szCs w:val="32"/>
          <w:lang w:val="en-US" w:eastAsia="zh-CN"/>
        </w:rPr>
        <w:t>8次，化解矛盾纠纷问题</w:t>
      </w:r>
      <w:r>
        <w:rPr>
          <w:rFonts w:hint="eastAsia" w:ascii="Times New Roman" w:hAnsi="Times New Roman" w:cs="Times New Roman"/>
          <w:color w:val="000000"/>
          <w:sz w:val="32"/>
          <w:szCs w:val="32"/>
          <w:lang w:val="en-US" w:eastAsia="zh-CN"/>
        </w:rPr>
        <w:t>不少于</w:t>
      </w:r>
      <w:r>
        <w:rPr>
          <w:rFonts w:hint="default" w:ascii="Times New Roman" w:hAnsi="Times New Roman" w:eastAsia="仿宋_GB2312" w:cs="Times New Roman"/>
          <w:color w:val="000000"/>
          <w:sz w:val="32"/>
          <w:szCs w:val="32"/>
          <w:lang w:val="en-US" w:eastAsia="zh-CN"/>
        </w:rPr>
        <w:t>3</w:t>
      </w:r>
      <w:r>
        <w:rPr>
          <w:rFonts w:hint="eastAsia" w:ascii="Times New Roman" w:hAnsi="Times New Roman" w:cs="Times New Roman"/>
          <w:color w:val="000000"/>
          <w:sz w:val="32"/>
          <w:szCs w:val="32"/>
          <w:lang w:val="en-US" w:eastAsia="zh-CN"/>
        </w:rPr>
        <w:t>0</w:t>
      </w:r>
      <w:r>
        <w:rPr>
          <w:rFonts w:hint="default" w:ascii="Times New Roman" w:hAnsi="Times New Roman" w:eastAsia="仿宋_GB2312" w:cs="Times New Roman"/>
          <w:color w:val="000000"/>
          <w:sz w:val="32"/>
          <w:szCs w:val="32"/>
          <w:lang w:val="en-US" w:eastAsia="zh-CN"/>
        </w:rPr>
        <w:t>件，形成</w:t>
      </w:r>
      <w:r>
        <w:rPr>
          <w:rFonts w:hint="eastAsia" w:ascii="Times New Roman" w:hAnsi="Times New Roman" w:eastAsia="仿宋_GB2312" w:cs="Times New Roman"/>
          <w:color w:val="000000"/>
          <w:sz w:val="32"/>
          <w:szCs w:val="32"/>
          <w:lang w:val="en-US" w:eastAsia="zh-CN"/>
        </w:rPr>
        <w:t>2项</w:t>
      </w:r>
      <w:r>
        <w:rPr>
          <w:rFonts w:hint="default" w:ascii="Times New Roman" w:hAnsi="Times New Roman" w:eastAsia="仿宋_GB2312" w:cs="Times New Roman"/>
          <w:color w:val="000000"/>
          <w:sz w:val="32"/>
          <w:szCs w:val="32"/>
          <w:lang w:val="en-US" w:eastAsia="zh-CN"/>
        </w:rPr>
        <w:t>理论成果。</w:t>
      </w:r>
      <w:r>
        <w:rPr>
          <w:rFonts w:hint="eastAsia" w:ascii="Times New Roman" w:hAnsi="Times New Roman" w:eastAsia="仿宋_GB2312" w:cs="Times New Roman"/>
          <w:color w:val="000000"/>
          <w:sz w:val="32"/>
          <w:szCs w:val="32"/>
          <w:lang w:val="en-US" w:eastAsia="zh-CN"/>
        </w:rPr>
        <w:t>加大重视党风廉政建设。</w:t>
      </w:r>
      <w:r>
        <w:rPr>
          <w:rFonts w:hint="default" w:ascii="Times New Roman" w:hAnsi="Times New Roman" w:eastAsia="仿宋_GB2312" w:cs="Times New Roman"/>
          <w:color w:val="000000"/>
          <w:sz w:val="32"/>
          <w:szCs w:val="32"/>
          <w:lang w:val="en-US" w:eastAsia="zh-CN"/>
        </w:rPr>
        <w:t>开展干部纪律作风整顿“回头看”“一看三访”工作，赴太公红军山、禁毒教育基地等地开展“学习李化武”“党组书记讲党课”等系列活动5次。招商引资完成2个项目，到位资金</w:t>
      </w:r>
      <w:r>
        <w:rPr>
          <w:rFonts w:hint="eastAsia" w:ascii="Times New Roman" w:hAnsi="Times New Roman" w:cs="Times New Roman"/>
          <w:color w:val="000000"/>
          <w:sz w:val="32"/>
          <w:szCs w:val="32"/>
          <w:lang w:val="en-US" w:eastAsia="zh-CN"/>
        </w:rPr>
        <w:t>不少于</w:t>
      </w:r>
      <w:r>
        <w:rPr>
          <w:rFonts w:hint="default" w:ascii="Times New Roman" w:hAnsi="Times New Roman" w:eastAsia="仿宋_GB2312" w:cs="Times New Roman"/>
          <w:color w:val="000000"/>
          <w:sz w:val="32"/>
          <w:szCs w:val="32"/>
          <w:lang w:val="en-US" w:eastAsia="zh-CN"/>
        </w:rPr>
        <w:t>1</w:t>
      </w:r>
      <w:r>
        <w:rPr>
          <w:rFonts w:hint="eastAsia" w:ascii="Times New Roman" w:hAnsi="Times New Roman" w:cs="Times New Roman"/>
          <w:color w:val="000000"/>
          <w:sz w:val="32"/>
          <w:szCs w:val="32"/>
          <w:lang w:val="en-US" w:eastAsia="zh-CN"/>
        </w:rPr>
        <w:t>0</w:t>
      </w:r>
      <w:r>
        <w:rPr>
          <w:rFonts w:hint="default" w:ascii="Times New Roman" w:hAnsi="Times New Roman" w:eastAsia="仿宋_GB2312" w:cs="Times New Roman"/>
          <w:color w:val="000000"/>
          <w:sz w:val="32"/>
          <w:szCs w:val="32"/>
          <w:lang w:val="en-US" w:eastAsia="zh-CN"/>
        </w:rPr>
        <w:t>00万，争取到位资金</w:t>
      </w:r>
      <w:r>
        <w:rPr>
          <w:rFonts w:hint="default" w:ascii="Times New Roman" w:hAnsi="Times New Roman" w:eastAsia="仿宋_GB2312" w:cs="Times New Roman"/>
          <w:color w:val="auto"/>
          <w:sz w:val="32"/>
          <w:szCs w:val="32"/>
          <w:lang w:val="en-US" w:eastAsia="zh-CN"/>
        </w:rPr>
        <w:t>207万元。</w:t>
      </w:r>
      <w:r>
        <w:rPr>
          <w:rFonts w:hint="default" w:ascii="Times New Roman" w:hAnsi="Times New Roman" w:eastAsia="仿宋_GB2312" w:cs="Times New Roman"/>
          <w:b w:val="0"/>
          <w:bCs w:val="0"/>
          <w:kern w:val="2"/>
          <w:sz w:val="32"/>
          <w:szCs w:val="32"/>
          <w:lang w:val="en-US" w:eastAsia="zh-CN" w:bidi="ar-SA"/>
        </w:rPr>
        <w:t>强化工会资产资金管理和经审监督</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color w:val="000000"/>
          <w:sz w:val="32"/>
          <w:szCs w:val="32"/>
          <w:lang w:val="en-US" w:eastAsia="zh-CN"/>
        </w:rPr>
        <w:t>召开经审工作会议3次，开展财务专项检查一次，全年对40家单位开展经费收支</w:t>
      </w:r>
      <w:r>
        <w:rPr>
          <w:rFonts w:hint="eastAsia" w:ascii="Times New Roman" w:hAnsi="Times New Roman" w:eastAsia="仿宋_GB2312" w:cs="Times New Roman"/>
          <w:color w:val="000000"/>
          <w:sz w:val="32"/>
          <w:szCs w:val="32"/>
          <w:lang w:val="en-US" w:eastAsia="zh-CN"/>
        </w:rPr>
        <w:t>专项</w:t>
      </w:r>
      <w:r>
        <w:rPr>
          <w:rFonts w:hint="default" w:ascii="Times New Roman" w:hAnsi="Times New Roman" w:eastAsia="仿宋_GB2312" w:cs="Times New Roman"/>
          <w:color w:val="000000"/>
          <w:sz w:val="32"/>
          <w:szCs w:val="32"/>
          <w:lang w:val="en-US" w:eastAsia="zh-CN"/>
        </w:rPr>
        <w:t>审计</w:t>
      </w:r>
      <w:r>
        <w:rPr>
          <w:rFonts w:hint="eastAsia" w:ascii="Times New Roman" w:hAnsi="Times New Roman" w:eastAsia="仿宋_GB2312" w:cs="Times New Roman"/>
          <w:color w:val="000000"/>
          <w:sz w:val="32"/>
          <w:szCs w:val="32"/>
          <w:lang w:val="en-US" w:eastAsia="zh-CN"/>
        </w:rPr>
        <w:t>，有力推动基层工会经费管理使用规范化、制度化</w:t>
      </w:r>
      <w:r>
        <w:rPr>
          <w:rFonts w:hint="default" w:ascii="Times New Roman" w:hAnsi="Times New Roman" w:eastAsia="仿宋_GB2312" w:cs="Times New Roman"/>
          <w:color w:val="000000"/>
          <w:sz w:val="32"/>
          <w:szCs w:val="32"/>
          <w:lang w:val="en-US" w:eastAsia="zh-CN"/>
        </w:rPr>
        <w:t>。</w:t>
      </w:r>
    </w:p>
    <w:p w14:paraId="097D0C82">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p>
    <w:p w14:paraId="3C617BCD">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3" w:firstLineChars="200"/>
        <w:jc w:val="both"/>
        <w:textAlignment w:val="auto"/>
        <w:rPr>
          <w:rFonts w:hint="eastAsia"/>
          <w:sz w:val="32"/>
          <w:szCs w:val="32"/>
          <w:lang w:val="zh-CN"/>
        </w:rPr>
      </w:pPr>
      <w:r>
        <w:rPr>
          <w:rFonts w:hint="eastAsia"/>
          <w:b/>
          <w:bCs/>
          <w:sz w:val="32"/>
          <w:szCs w:val="32"/>
          <w:lang w:val="en-US" w:eastAsia="zh-CN"/>
        </w:rPr>
        <w:t>1.</w:t>
      </w:r>
      <w:r>
        <w:rPr>
          <w:rFonts w:hint="eastAsia"/>
          <w:b/>
          <w:bCs/>
          <w:sz w:val="32"/>
          <w:szCs w:val="32"/>
          <w:lang w:val="zh-CN"/>
        </w:rPr>
        <w:t>突出正确方向，强化思想政治引领。</w:t>
      </w:r>
      <w:r>
        <w:rPr>
          <w:rFonts w:hint="eastAsia"/>
          <w:sz w:val="32"/>
          <w:szCs w:val="32"/>
          <w:lang w:val="zh-CN"/>
        </w:rPr>
        <w:t>深入开展“中国梦,劳动美”主题宣传教育活动,组建劳模（工匠）宣讲团，在昭化职中、经开区、开展劳模事迹宣讲8场次，组织参观劳模工匠先进事迹图片展、先进事迹宣讲暨送文化到基层文艺汇演8场次。</w:t>
      </w:r>
    </w:p>
    <w:p w14:paraId="78E4CD37">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3" w:firstLineChars="200"/>
        <w:jc w:val="both"/>
        <w:textAlignment w:val="auto"/>
        <w:rPr>
          <w:rFonts w:hint="eastAsia"/>
          <w:sz w:val="32"/>
          <w:szCs w:val="32"/>
          <w:lang w:val="zh-CN"/>
        </w:rPr>
      </w:pPr>
      <w:r>
        <w:rPr>
          <w:rFonts w:hint="eastAsia"/>
          <w:b/>
          <w:bCs/>
          <w:sz w:val="32"/>
          <w:szCs w:val="32"/>
          <w:lang w:val="en-US" w:eastAsia="zh-CN"/>
        </w:rPr>
        <w:t>2.</w:t>
      </w:r>
      <w:r>
        <w:rPr>
          <w:rFonts w:hint="eastAsia"/>
          <w:b/>
          <w:bCs/>
          <w:sz w:val="32"/>
          <w:szCs w:val="32"/>
          <w:lang w:val="zh-CN"/>
        </w:rPr>
        <w:t>突出服务发展，组织职工建功立业。</w:t>
      </w:r>
      <w:r>
        <w:rPr>
          <w:rFonts w:hint="eastAsia"/>
          <w:sz w:val="32"/>
          <w:szCs w:val="32"/>
          <w:lang w:val="zh-CN"/>
        </w:rPr>
        <w:t>推动各行业领域开展技能培训40余场次，受培工人3000人。命名劳模工匠人才创新工作室2个。</w:t>
      </w:r>
    </w:p>
    <w:p w14:paraId="623A394F">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3" w:firstLineChars="200"/>
        <w:jc w:val="both"/>
        <w:textAlignment w:val="auto"/>
        <w:rPr>
          <w:rFonts w:hint="eastAsia"/>
          <w:sz w:val="32"/>
          <w:szCs w:val="32"/>
          <w:lang w:val="zh-CN"/>
        </w:rPr>
      </w:pPr>
      <w:r>
        <w:rPr>
          <w:rFonts w:hint="eastAsia"/>
          <w:b/>
          <w:bCs/>
          <w:sz w:val="32"/>
          <w:szCs w:val="32"/>
          <w:lang w:val="en-US" w:eastAsia="zh-CN"/>
        </w:rPr>
        <w:t>3.</w:t>
      </w:r>
      <w:r>
        <w:rPr>
          <w:rFonts w:hint="eastAsia"/>
          <w:b/>
          <w:bCs/>
          <w:sz w:val="32"/>
          <w:szCs w:val="32"/>
          <w:lang w:val="zh-CN"/>
        </w:rPr>
        <w:t>突出权益维护，促进职工队伍稳定。</w:t>
      </w:r>
      <w:r>
        <w:rPr>
          <w:rFonts w:hint="eastAsia"/>
          <w:sz w:val="32"/>
          <w:szCs w:val="32"/>
          <w:lang w:val="zh-CN"/>
        </w:rPr>
        <w:t>扎实推进“八五”普法工作，大力开展“法律七进”、“工会法治宣讲进基层”等普法宣传活动。举办“安康杯” 线上线下安全知识技能答题30场次。</w:t>
      </w:r>
    </w:p>
    <w:p w14:paraId="64E5DD5C">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3" w:firstLineChars="200"/>
        <w:jc w:val="both"/>
        <w:textAlignment w:val="auto"/>
        <w:rPr>
          <w:rFonts w:hint="eastAsia"/>
          <w:sz w:val="32"/>
          <w:szCs w:val="32"/>
          <w:lang w:val="zh-CN"/>
        </w:rPr>
      </w:pPr>
      <w:r>
        <w:rPr>
          <w:rFonts w:hint="eastAsia"/>
          <w:b/>
          <w:bCs/>
          <w:sz w:val="32"/>
          <w:szCs w:val="32"/>
          <w:lang w:val="en-US" w:eastAsia="zh-CN"/>
        </w:rPr>
        <w:t>4.</w:t>
      </w:r>
      <w:r>
        <w:rPr>
          <w:rFonts w:hint="eastAsia"/>
          <w:b/>
          <w:bCs/>
          <w:sz w:val="32"/>
          <w:szCs w:val="32"/>
          <w:lang w:val="zh-CN"/>
        </w:rPr>
        <w:t>突出帮扶救助，推动共享发展成果。</w:t>
      </w:r>
      <w:r>
        <w:rPr>
          <w:rFonts w:hint="eastAsia"/>
          <w:sz w:val="32"/>
          <w:szCs w:val="32"/>
          <w:lang w:val="zh-CN"/>
        </w:rPr>
        <w:t>常态化开展困难职工临时救助和送温暖活动，筹集送温暖资金45万元，走访慰问一线职工2000人；筹措助学资金15万元，资助困难职工（农民工）家庭学生50名；慰问抗疫一线医务人员378人；建成标准规范、服务功能完善的户外劳动者服务站点2个。</w:t>
      </w:r>
    </w:p>
    <w:p w14:paraId="3DBBBD88">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3" w:firstLineChars="200"/>
        <w:jc w:val="both"/>
        <w:textAlignment w:val="auto"/>
        <w:rPr>
          <w:rFonts w:hint="eastAsia"/>
          <w:sz w:val="32"/>
          <w:szCs w:val="32"/>
          <w:lang w:val="zh-CN"/>
        </w:rPr>
      </w:pPr>
      <w:r>
        <w:rPr>
          <w:rFonts w:hint="eastAsia"/>
          <w:b/>
          <w:bCs/>
          <w:sz w:val="32"/>
          <w:szCs w:val="32"/>
          <w:lang w:val="en-US" w:eastAsia="zh-CN"/>
        </w:rPr>
        <w:t>5.</w:t>
      </w:r>
      <w:r>
        <w:rPr>
          <w:rFonts w:hint="eastAsia"/>
          <w:b/>
          <w:bCs/>
          <w:sz w:val="32"/>
          <w:szCs w:val="32"/>
          <w:lang w:val="zh-CN"/>
        </w:rPr>
        <w:t>突出强基固本，增强基层工会活力。</w:t>
      </w:r>
      <w:r>
        <w:rPr>
          <w:rFonts w:hint="eastAsia"/>
          <w:sz w:val="32"/>
          <w:szCs w:val="32"/>
          <w:lang w:val="zh-CN"/>
        </w:rPr>
        <w:t>配套拨付乡镇（街道）工会工作专项补助经费55万元、社会化工会工作者薪酬补助22万元。建成省、市级妈咪宝贝屋3个。</w:t>
      </w:r>
    </w:p>
    <w:p w14:paraId="7EB47F48">
      <w:pPr>
        <w:pStyle w:val="6"/>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firstLine="643" w:firstLineChars="200"/>
        <w:jc w:val="both"/>
        <w:textAlignment w:val="auto"/>
        <w:rPr>
          <w:rFonts w:hint="eastAsia"/>
          <w:sz w:val="32"/>
          <w:szCs w:val="32"/>
          <w:lang w:val="zh-CN"/>
        </w:rPr>
      </w:pPr>
      <w:r>
        <w:rPr>
          <w:rFonts w:hint="eastAsia"/>
          <w:b/>
          <w:bCs/>
          <w:sz w:val="32"/>
          <w:szCs w:val="32"/>
          <w:lang w:val="en-US" w:eastAsia="zh-CN"/>
        </w:rPr>
        <w:t>6.</w:t>
      </w:r>
      <w:r>
        <w:rPr>
          <w:rFonts w:hint="eastAsia"/>
          <w:b/>
          <w:bCs/>
          <w:sz w:val="32"/>
          <w:szCs w:val="32"/>
          <w:lang w:val="zh-CN"/>
        </w:rPr>
        <w:t>突出改革创新，持续推进产改工作。</w:t>
      </w:r>
      <w:r>
        <w:rPr>
          <w:rFonts w:hint="eastAsia"/>
          <w:sz w:val="32"/>
          <w:szCs w:val="32"/>
          <w:lang w:val="zh-CN"/>
        </w:rPr>
        <w:t>聚力“产业工人队伍建设改革提升年”行动，坚持产改工作与重大项目、重大工程、重点产业深度融合，充分激发产业工人的创新创造活力，结合我区乡村振兴工作部署，研究制定《广元市昭化区总工会关于汇聚工会力量助力乡村振兴工作实施方案》，加强与杭州拱墅区工会开展东西部协作，对口接受帮扶援助资金20万元，启动共建“职工之家”阵地2 个，实现在困难职工共帮、职工疗休养基地共建、农民工稳岗就业共助、工会干部提能共学等方面协作，推动我区工运事业再上新台阶。</w:t>
      </w:r>
    </w:p>
    <w:p w14:paraId="2737EC4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14:paraId="62B97AE9">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14:paraId="6E3BF81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14:paraId="5C6E90FB">
      <w:pPr>
        <w:pStyle w:val="6"/>
        <w:keepNext w:val="0"/>
        <w:keepLines w:val="0"/>
        <w:pageBreakBefore w:val="0"/>
        <w:kinsoku/>
        <w:wordWrap/>
        <w:overflowPunct/>
        <w:topLinePunct w:val="0"/>
        <w:autoSpaceDE/>
        <w:autoSpaceDN/>
        <w:bidi w:val="0"/>
        <w:spacing w:beforeLines="0" w:line="576" w:lineRule="exact"/>
        <w:ind w:firstLine="640" w:firstLineChars="200"/>
        <w:textAlignment w:val="auto"/>
        <w:rPr>
          <w:rFonts w:hint="eastAsia"/>
          <w:sz w:val="32"/>
          <w:szCs w:val="32"/>
          <w:lang w:val="en-US" w:eastAsia="zh-CN"/>
        </w:rPr>
      </w:pPr>
      <w:r>
        <w:rPr>
          <w:rFonts w:hint="eastAsia" w:ascii="仿宋_GB2312" w:hAnsi="仿宋_GB2312" w:eastAsia="仿宋_GB2312" w:cs="仿宋_GB2312"/>
          <w:b w:val="0"/>
          <w:bCs w:val="0"/>
          <w:sz w:val="32"/>
          <w:szCs w:val="32"/>
          <w:lang w:val="en-US" w:eastAsia="zh-CN"/>
        </w:rPr>
        <w:t>2022年</w:t>
      </w:r>
      <w:r>
        <w:rPr>
          <w:rFonts w:hint="eastAsia" w:hAnsi="仿宋_GB2312" w:cs="仿宋_GB2312"/>
          <w:sz w:val="32"/>
          <w:szCs w:val="32"/>
          <w:lang w:val="en-US" w:eastAsia="zh-CN"/>
        </w:rPr>
        <w:t>总体</w:t>
      </w:r>
      <w:r>
        <w:rPr>
          <w:rFonts w:hint="eastAsia" w:ascii="仿宋_GB2312" w:hAnsi="仿宋_GB2312" w:eastAsia="仿宋_GB2312" w:cs="仿宋_GB2312"/>
          <w:sz w:val="32"/>
          <w:szCs w:val="32"/>
          <w:lang w:val="en-US" w:eastAsia="zh-CN"/>
        </w:rPr>
        <w:t>收入合计</w:t>
      </w:r>
      <w:r>
        <w:rPr>
          <w:rFonts w:hint="eastAsia" w:ascii="仿宋_GB2312" w:hAnsi="仿宋_GB2312" w:eastAsia="仿宋_GB2312" w:cs="仿宋_GB2312"/>
          <w:color w:val="auto"/>
          <w:sz w:val="32"/>
          <w:szCs w:val="32"/>
          <w:lang w:val="en-US" w:eastAsia="zh-CN"/>
        </w:rPr>
        <w:t>288.3万元，其中：一般公共预算财政拨款收入288.3万元，</w:t>
      </w:r>
      <w:r>
        <w:rPr>
          <w:rFonts w:hint="eastAsia" w:ascii="仿宋_GB2312" w:hAnsi="仿宋_GB2312" w:eastAsia="仿宋_GB2312" w:cs="仿宋_GB2312"/>
          <w:sz w:val="32"/>
          <w:szCs w:val="32"/>
          <w:lang w:val="en-US" w:eastAsia="zh-CN"/>
        </w:rPr>
        <w:t>无政府性基金预算财政拨款收入、国有资本经营预算财政拨款收入、事业收入、经营收入、附属单位上缴收入和其他收入</w:t>
      </w:r>
      <w:r>
        <w:rPr>
          <w:rFonts w:hint="eastAsia" w:hAnsi="仿宋_GB2312" w:cs="仿宋_GB2312"/>
          <w:sz w:val="32"/>
          <w:szCs w:val="32"/>
          <w:lang w:val="en-US" w:eastAsia="zh-CN"/>
        </w:rPr>
        <w:t>。</w:t>
      </w:r>
    </w:p>
    <w:p w14:paraId="57F7A575">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14:paraId="35D674FB">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jc w:val="both"/>
        <w:textAlignment w:val="auto"/>
        <w:rPr>
          <w:rFonts w:hint="eastAsia"/>
          <w:sz w:val="32"/>
          <w:szCs w:val="32"/>
          <w:lang w:val="en-US" w:eastAsia="zh-CN"/>
        </w:rPr>
      </w:pPr>
      <w:r>
        <w:rPr>
          <w:rFonts w:hint="eastAsia" w:ascii="仿宋_GB2312" w:hAnsi="仿宋_GB2312" w:eastAsia="仿宋_GB2312" w:cs="仿宋_GB2312"/>
          <w:color w:val="auto"/>
          <w:sz w:val="32"/>
          <w:szCs w:val="32"/>
          <w:lang w:val="en-US" w:eastAsia="zh-CN"/>
        </w:rPr>
        <w:t>2022年</w:t>
      </w:r>
      <w:r>
        <w:rPr>
          <w:rFonts w:hint="eastAsia" w:hAnsi="仿宋_GB2312" w:cs="仿宋_GB2312"/>
          <w:color w:val="auto"/>
          <w:sz w:val="32"/>
          <w:szCs w:val="32"/>
          <w:lang w:val="en-US" w:eastAsia="zh-CN"/>
        </w:rPr>
        <w:t>总体</w:t>
      </w:r>
      <w:r>
        <w:rPr>
          <w:rFonts w:hint="eastAsia" w:ascii="仿宋_GB2312" w:hAnsi="仿宋_GB2312" w:eastAsia="仿宋_GB2312" w:cs="仿宋_GB2312"/>
          <w:color w:val="auto"/>
          <w:sz w:val="32"/>
          <w:szCs w:val="32"/>
          <w:lang w:val="en-US" w:eastAsia="zh-CN"/>
        </w:rPr>
        <w:t>支出合计288.3万元，其中：一般公共服务支出256.13万元，社会保障和就业支出15.45万元，卫生健康支出5.07万元，住房保障支出11.65万元</w:t>
      </w:r>
      <w:r>
        <w:rPr>
          <w:rFonts w:hint="eastAsia" w:ascii="仿宋_GB2312" w:hAnsi="仿宋_GB2312" w:eastAsia="仿宋_GB2312" w:cs="仿宋_GB2312"/>
          <w:sz w:val="32"/>
          <w:szCs w:val="32"/>
          <w:lang w:val="en-US" w:eastAsia="zh-CN"/>
        </w:rPr>
        <w:t>。</w:t>
      </w:r>
    </w:p>
    <w:p w14:paraId="3FDE2336">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14:paraId="5401FA92">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jc w:val="both"/>
        <w:textAlignment w:val="auto"/>
        <w:rPr>
          <w:rFonts w:hint="eastAsia"/>
          <w:sz w:val="32"/>
          <w:szCs w:val="32"/>
          <w:lang w:val="en-US" w:eastAsia="zh-CN"/>
        </w:rPr>
      </w:pPr>
      <w:r>
        <w:rPr>
          <w:rFonts w:hint="eastAsia"/>
          <w:sz w:val="32"/>
          <w:szCs w:val="32"/>
          <w:lang w:val="en-US" w:eastAsia="zh-CN"/>
        </w:rPr>
        <w:t>本年度无结转结余。</w:t>
      </w:r>
    </w:p>
    <w:p w14:paraId="522203B6">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14:paraId="5727EF0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14:paraId="7666328E">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2022年本</w:t>
      </w:r>
      <w:r>
        <w:rPr>
          <w:rFonts w:hint="eastAsia" w:ascii="仿宋_GB2312" w:hAnsi="仿宋_GB2312" w:eastAsia="仿宋_GB2312" w:cs="仿宋_GB2312"/>
          <w:sz w:val="32"/>
          <w:szCs w:val="32"/>
          <w:lang w:val="en-US" w:eastAsia="zh-CN"/>
        </w:rPr>
        <w:t>年财政拨款收入合计</w:t>
      </w:r>
      <w:r>
        <w:rPr>
          <w:rFonts w:hint="eastAsia" w:ascii="仿宋_GB2312" w:hAnsi="仿宋_GB2312" w:eastAsia="仿宋_GB2312" w:cs="仿宋_GB2312"/>
          <w:color w:val="auto"/>
          <w:sz w:val="32"/>
          <w:szCs w:val="32"/>
          <w:lang w:val="en-US" w:eastAsia="zh-CN"/>
        </w:rPr>
        <w:t>288.3万元，其中：一般公共预算财政拨款收入288.3万元，</w:t>
      </w:r>
      <w:r>
        <w:rPr>
          <w:rFonts w:hint="eastAsia" w:ascii="仿宋_GB2312" w:hAnsi="仿宋_GB2312" w:eastAsia="仿宋_GB2312" w:cs="仿宋_GB2312"/>
          <w:sz w:val="32"/>
          <w:szCs w:val="32"/>
          <w:lang w:val="en-US" w:eastAsia="zh-CN"/>
        </w:rPr>
        <w:t>无政府性基金预算财政拨款收入、国有资本经营预算财政拨款收入、事业收入、经营收入、附属单位上缴收入和其他收入。</w:t>
      </w:r>
    </w:p>
    <w:p w14:paraId="0E0A619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14:paraId="176B1EB0">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2022年本年财政拨款支出合计288.3万元，其中：一般公共服务支出256.13万元，社会保障和就业支出15.45万元，卫生健康支出5.07万元，住房保障支出11.65万元</w:t>
      </w:r>
      <w:r>
        <w:rPr>
          <w:rFonts w:hint="eastAsia" w:ascii="仿宋_GB2312" w:hAnsi="仿宋_GB2312" w:eastAsia="仿宋_GB2312" w:cs="仿宋_GB2312"/>
          <w:sz w:val="32"/>
          <w:szCs w:val="32"/>
          <w:lang w:val="en-US" w:eastAsia="zh-CN"/>
        </w:rPr>
        <w:t>。</w:t>
      </w:r>
    </w:p>
    <w:p w14:paraId="6CC4AB7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14:paraId="2BF79DB4">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jc w:val="both"/>
        <w:textAlignment w:val="auto"/>
        <w:rPr>
          <w:rFonts w:hint="default"/>
          <w:sz w:val="32"/>
          <w:szCs w:val="32"/>
          <w:lang w:val="en-US" w:eastAsia="zh-CN"/>
        </w:rPr>
      </w:pPr>
      <w:r>
        <w:rPr>
          <w:rFonts w:hint="eastAsia"/>
          <w:sz w:val="32"/>
          <w:szCs w:val="32"/>
          <w:lang w:val="en-US" w:eastAsia="zh-CN"/>
        </w:rPr>
        <w:t>本年度无结转结余。</w:t>
      </w:r>
    </w:p>
    <w:p w14:paraId="127A57CF">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14:paraId="0B225DF7">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14:paraId="1035CC05">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1.人员类项目绩效分析</w:t>
      </w:r>
    </w:p>
    <w:p w14:paraId="3F4180C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b w:val="0"/>
          <w:bCs w:val="0"/>
          <w:color w:val="auto"/>
          <w:sz w:val="32"/>
          <w:szCs w:val="32"/>
          <w:lang w:val="en-US" w:eastAsia="zh-CN"/>
        </w:rPr>
        <w:t>（1）目标制定。</w:t>
      </w:r>
      <w:r>
        <w:rPr>
          <w:rFonts w:hint="eastAsia" w:ascii="仿宋_GB2312" w:hAnsi="仿宋_GB2312" w:eastAsia="仿宋_GB2312" w:cs="仿宋_GB2312"/>
          <w:sz w:val="32"/>
          <w:szCs w:val="32"/>
          <w:lang w:val="en-US" w:eastAsia="zh-CN"/>
        </w:rPr>
        <w:t>区总工会</w:t>
      </w:r>
      <w:r>
        <w:rPr>
          <w:rFonts w:hint="eastAsia" w:ascii="仿宋_GB2312" w:hAnsi="仿宋_GB2312" w:eastAsia="仿宋_GB2312" w:cs="仿宋_GB2312"/>
          <w:sz w:val="32"/>
          <w:szCs w:val="32"/>
          <w:lang w:val="zh-CN" w:eastAsia="zh-CN"/>
        </w:rPr>
        <w:t>按照相关要求，制定了202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年度部门整体支出绩效目标</w:t>
      </w:r>
      <w:r>
        <w:rPr>
          <w:rFonts w:hint="eastAsia" w:ascii="仿宋_GB2312" w:hAnsi="仿宋_GB2312" w:eastAsia="仿宋_GB2312" w:cs="仿宋_GB2312"/>
          <w:sz w:val="32"/>
          <w:szCs w:val="32"/>
          <w:lang w:val="en-US" w:eastAsia="zh-CN"/>
        </w:rPr>
        <w:t>和项目支出绩效目标</w:t>
      </w:r>
      <w:r>
        <w:rPr>
          <w:rFonts w:hint="eastAsia" w:ascii="仿宋_GB2312" w:hAnsi="仿宋_GB2312" w:eastAsia="仿宋_GB2312" w:cs="仿宋_GB2312"/>
          <w:sz w:val="32"/>
          <w:szCs w:val="32"/>
          <w:lang w:val="zh-CN" w:eastAsia="zh-CN"/>
        </w:rPr>
        <w:t>，目标反映了相应工作任务，其要素较为完整，且从数量指标、质量指标、满意度等指标的细化上达到绩效管理的细化量化。</w:t>
      </w:r>
    </w:p>
    <w:p w14:paraId="08196A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b w:val="0"/>
          <w:bCs w:val="0"/>
          <w:color w:val="auto"/>
          <w:sz w:val="32"/>
          <w:szCs w:val="32"/>
          <w:lang w:val="en-US" w:eastAsia="zh-CN"/>
        </w:rPr>
        <w:t>（2）目标实现。</w:t>
      </w:r>
      <w:r>
        <w:rPr>
          <w:rFonts w:hint="eastAsia" w:ascii="仿宋_GB2312" w:hAnsi="仿宋_GB2312" w:eastAsia="仿宋_GB2312" w:cs="仿宋_GB2312"/>
          <w:sz w:val="32"/>
          <w:szCs w:val="32"/>
          <w:lang w:val="en-US" w:eastAsia="zh-CN"/>
        </w:rPr>
        <w:t>区总工会年初预算全年经费288.3万元，其中人员类经</w:t>
      </w:r>
      <w:r>
        <w:rPr>
          <w:rFonts w:hint="eastAsia" w:ascii="仿宋_GB2312" w:hAnsi="仿宋_GB2312" w:eastAsia="仿宋_GB2312" w:cs="仿宋_GB2312"/>
          <w:color w:val="auto"/>
          <w:sz w:val="32"/>
          <w:szCs w:val="32"/>
          <w:lang w:val="en-US" w:eastAsia="zh-CN"/>
        </w:rPr>
        <w:t>费118.99万元、其他运转类经费169.31</w:t>
      </w:r>
      <w:r>
        <w:rPr>
          <w:rFonts w:hint="eastAsia" w:ascii="仿宋_GB2312" w:hAnsi="仿宋_GB2312" w:eastAsia="仿宋_GB2312" w:cs="仿宋_GB2312"/>
          <w:sz w:val="32"/>
          <w:szCs w:val="32"/>
          <w:lang w:val="en-US" w:eastAsia="zh-CN"/>
        </w:rPr>
        <w:t>万元。</w:t>
      </w:r>
    </w:p>
    <w:p w14:paraId="59709BD5">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eastAsia="仿宋_GB2312"/>
          <w:b w:val="0"/>
          <w:bCs w:val="0"/>
          <w:color w:val="0000FF"/>
          <w:sz w:val="32"/>
          <w:szCs w:val="32"/>
          <w:lang w:val="en-US" w:eastAsia="zh-CN"/>
        </w:rPr>
      </w:pPr>
      <w:r>
        <w:rPr>
          <w:rFonts w:hint="eastAsia" w:ascii="仿宋_GB2312" w:eastAsia="仿宋_GB2312"/>
          <w:b w:val="0"/>
          <w:bCs w:val="0"/>
          <w:color w:val="auto"/>
          <w:sz w:val="32"/>
          <w:szCs w:val="32"/>
          <w:lang w:val="en-US" w:eastAsia="zh-CN"/>
        </w:rPr>
        <w:t>（3）支出控制。区总工会严格按照财政预算支付各类资金，2022年全年支出人员类经费118.99万元，完成预算的100%。</w:t>
      </w:r>
    </w:p>
    <w:p w14:paraId="6EBB2C1A">
      <w:pPr>
        <w:pStyle w:val="35"/>
        <w:keepNext w:val="0"/>
        <w:keepLines w:val="0"/>
        <w:pageBreakBefore w:val="0"/>
        <w:widowControl w:val="0"/>
        <w:kinsoku/>
        <w:wordWrap/>
        <w:overflowPunct/>
        <w:topLinePunct w:val="0"/>
        <w:autoSpaceDE/>
        <w:autoSpaceDN/>
        <w:bidi w:val="0"/>
        <w:adjustRightInd/>
        <w:snapToGrid/>
        <w:spacing w:beforeLines="0" w:line="576" w:lineRule="exact"/>
        <w:ind w:left="210" w:right="210" w:firstLine="601"/>
        <w:textAlignment w:val="auto"/>
        <w:rPr>
          <w:rFonts w:hint="default" w:ascii="仿宋_GB2312" w:eastAsia="仿宋_GB2312" w:cs="Times New Roman"/>
          <w:b w:val="0"/>
          <w:bCs w:val="0"/>
          <w:color w:val="auto"/>
          <w:sz w:val="32"/>
          <w:szCs w:val="32"/>
          <w:lang w:val="en-US" w:eastAsia="zh-CN"/>
        </w:rPr>
      </w:pPr>
      <w:r>
        <w:rPr>
          <w:rFonts w:hint="eastAsia" w:ascii="仿宋_GB2312" w:hAnsi="Times New Roman" w:eastAsia="仿宋_GB2312" w:cs="Times New Roman"/>
          <w:b w:val="0"/>
          <w:bCs w:val="0"/>
          <w:color w:val="auto"/>
          <w:kern w:val="2"/>
          <w:sz w:val="32"/>
          <w:szCs w:val="32"/>
          <w:lang w:val="en-US" w:eastAsia="zh-CN" w:bidi="ar-SA"/>
        </w:rPr>
        <w:t>（4）执行进度。</w:t>
      </w:r>
      <w:r>
        <w:rPr>
          <w:rFonts w:hint="eastAsia" w:ascii="仿宋_GB2312" w:eastAsia="仿宋_GB2312"/>
          <w:b w:val="0"/>
          <w:bCs w:val="0"/>
          <w:color w:val="auto"/>
          <w:sz w:val="32"/>
          <w:szCs w:val="32"/>
          <w:lang w:val="en-US" w:eastAsia="zh-CN"/>
        </w:rPr>
        <w:t>区</w:t>
      </w:r>
      <w:r>
        <w:rPr>
          <w:rFonts w:hint="eastAsia" w:ascii="仿宋_GB2312" w:eastAsia="仿宋_GB2312" w:cs="Times New Roman"/>
          <w:b w:val="0"/>
          <w:bCs w:val="0"/>
          <w:color w:val="auto"/>
          <w:sz w:val="32"/>
          <w:szCs w:val="32"/>
          <w:lang w:val="en-US" w:eastAsia="zh-CN"/>
        </w:rPr>
        <w:t>总工会支付各类资金时，严格按照财政局上半年支付40%，下半年支付60%的要求申请财政支付计划，及时支付各类资金。</w:t>
      </w:r>
    </w:p>
    <w:p w14:paraId="77AF58E5">
      <w:pPr>
        <w:pStyle w:val="35"/>
        <w:keepNext w:val="0"/>
        <w:keepLines w:val="0"/>
        <w:pageBreakBefore w:val="0"/>
        <w:widowControl w:val="0"/>
        <w:kinsoku/>
        <w:wordWrap/>
        <w:overflowPunct/>
        <w:topLinePunct w:val="0"/>
        <w:autoSpaceDE/>
        <w:autoSpaceDN/>
        <w:bidi w:val="0"/>
        <w:adjustRightInd/>
        <w:snapToGrid/>
        <w:spacing w:beforeLines="0" w:line="576" w:lineRule="exact"/>
        <w:ind w:left="210" w:right="210" w:firstLine="601"/>
        <w:jc w:val="left"/>
        <w:textAlignment w:val="auto"/>
        <w:rPr>
          <w:rFonts w:hint="eastAsia" w:ascii="仿宋_GB2312" w:eastAsia="仿宋_GB2312"/>
          <w:b w:val="0"/>
          <w:bCs w:val="0"/>
          <w:color w:val="auto"/>
          <w:sz w:val="32"/>
          <w:szCs w:val="32"/>
          <w:lang w:val="en-US" w:eastAsia="zh-CN"/>
        </w:rPr>
      </w:pPr>
      <w:r>
        <w:rPr>
          <w:rFonts w:hint="eastAsia" w:ascii="仿宋_GB2312" w:hAnsi="Times New Roman" w:eastAsia="仿宋_GB2312" w:cs="Times New Roman"/>
          <w:b w:val="0"/>
          <w:bCs w:val="0"/>
          <w:color w:val="auto"/>
          <w:kern w:val="2"/>
          <w:sz w:val="32"/>
          <w:szCs w:val="32"/>
          <w:lang w:val="en-US" w:eastAsia="zh-CN" w:bidi="ar-SA"/>
        </w:rPr>
        <w:t>（5）预算完成。</w:t>
      </w:r>
      <w:r>
        <w:rPr>
          <w:rFonts w:hint="eastAsia" w:ascii="仿宋_GB2312" w:eastAsia="仿宋_GB2312"/>
          <w:b w:val="0"/>
          <w:bCs w:val="0"/>
          <w:color w:val="auto"/>
          <w:sz w:val="32"/>
          <w:szCs w:val="32"/>
          <w:lang w:val="en-US" w:eastAsia="zh-CN"/>
        </w:rPr>
        <w:t>部门预算经费12月预算执行进度达到100%。</w:t>
      </w:r>
    </w:p>
    <w:p w14:paraId="100A1A11">
      <w:pPr>
        <w:pStyle w:val="35"/>
        <w:keepNext w:val="0"/>
        <w:keepLines w:val="0"/>
        <w:pageBreakBefore w:val="0"/>
        <w:widowControl w:val="0"/>
        <w:kinsoku/>
        <w:wordWrap/>
        <w:overflowPunct/>
        <w:topLinePunct w:val="0"/>
        <w:autoSpaceDE/>
        <w:autoSpaceDN/>
        <w:bidi w:val="0"/>
        <w:adjustRightInd/>
        <w:snapToGrid/>
        <w:spacing w:beforeLines="0" w:line="576" w:lineRule="exact"/>
        <w:ind w:left="210" w:right="210" w:firstLine="601"/>
        <w:jc w:val="left"/>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（6）违规记录。</w:t>
      </w:r>
    </w:p>
    <w:p w14:paraId="4487FF06">
      <w:pPr>
        <w:pStyle w:val="35"/>
        <w:keepNext w:val="0"/>
        <w:keepLines w:val="0"/>
        <w:pageBreakBefore w:val="0"/>
        <w:widowControl w:val="0"/>
        <w:kinsoku/>
        <w:wordWrap/>
        <w:overflowPunct/>
        <w:topLinePunct w:val="0"/>
        <w:autoSpaceDE/>
        <w:autoSpaceDN/>
        <w:bidi w:val="0"/>
        <w:adjustRightInd/>
        <w:snapToGrid/>
        <w:spacing w:beforeLines="0" w:line="576" w:lineRule="exact"/>
        <w:ind w:left="210" w:right="210" w:firstLine="601"/>
        <w:jc w:val="left"/>
        <w:textAlignment w:val="auto"/>
        <w:rPr>
          <w:rFonts w:hint="default"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无违规记录。</w:t>
      </w:r>
    </w:p>
    <w:p w14:paraId="627078B6">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2.运转类项目绩效分析</w:t>
      </w:r>
    </w:p>
    <w:p w14:paraId="1D37E8E7">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b w:val="0"/>
          <w:bCs w:val="0"/>
          <w:color w:val="auto"/>
          <w:sz w:val="32"/>
          <w:szCs w:val="32"/>
          <w:lang w:val="en-US" w:eastAsia="zh-CN"/>
        </w:rPr>
        <w:t>（1）目标制定。</w:t>
      </w:r>
      <w:r>
        <w:rPr>
          <w:rFonts w:hint="eastAsia" w:ascii="仿宋_GB2312" w:hAnsi="仿宋_GB2312" w:eastAsia="仿宋_GB2312" w:cs="仿宋_GB2312"/>
          <w:sz w:val="32"/>
          <w:szCs w:val="32"/>
          <w:lang w:val="en-US" w:eastAsia="zh-CN"/>
        </w:rPr>
        <w:t>区总工会</w:t>
      </w:r>
      <w:r>
        <w:rPr>
          <w:rFonts w:hint="eastAsia" w:ascii="仿宋_GB2312" w:hAnsi="仿宋_GB2312" w:eastAsia="仿宋_GB2312" w:cs="仿宋_GB2312"/>
          <w:sz w:val="32"/>
          <w:szCs w:val="32"/>
          <w:lang w:val="zh-CN" w:eastAsia="zh-CN"/>
        </w:rPr>
        <w:t>按照相关要求，制定了202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年度部门整体支出绩效目标</w:t>
      </w:r>
      <w:r>
        <w:rPr>
          <w:rFonts w:hint="eastAsia" w:ascii="仿宋_GB2312" w:hAnsi="仿宋_GB2312" w:eastAsia="仿宋_GB2312" w:cs="仿宋_GB2312"/>
          <w:sz w:val="32"/>
          <w:szCs w:val="32"/>
          <w:lang w:val="en-US" w:eastAsia="zh-CN"/>
        </w:rPr>
        <w:t>和项目支出绩效目标</w:t>
      </w:r>
      <w:r>
        <w:rPr>
          <w:rFonts w:hint="eastAsia" w:ascii="仿宋_GB2312" w:hAnsi="仿宋_GB2312" w:eastAsia="仿宋_GB2312" w:cs="仿宋_GB2312"/>
          <w:sz w:val="32"/>
          <w:szCs w:val="32"/>
          <w:lang w:val="zh-CN" w:eastAsia="zh-CN"/>
        </w:rPr>
        <w:t>，目标反映了相应工作任务，其要素较为完整，且从数量指标、质量指标、满意度等指标的细化上达到绩效管理的细化量化。</w:t>
      </w:r>
    </w:p>
    <w:p w14:paraId="59CA21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b w:val="0"/>
          <w:bCs w:val="0"/>
          <w:color w:val="auto"/>
          <w:sz w:val="32"/>
          <w:szCs w:val="32"/>
          <w:lang w:val="en-US" w:eastAsia="zh-CN"/>
        </w:rPr>
        <w:t>（2）目标实现。</w:t>
      </w:r>
      <w:r>
        <w:rPr>
          <w:rFonts w:hint="eastAsia" w:ascii="仿宋_GB2312" w:hAnsi="仿宋_GB2312" w:eastAsia="仿宋_GB2312" w:cs="仿宋_GB2312"/>
          <w:sz w:val="32"/>
          <w:szCs w:val="32"/>
          <w:lang w:val="en-US" w:eastAsia="zh-CN"/>
        </w:rPr>
        <w:t>区总工会年初预算全年经费288.3万元，其中人员类经</w:t>
      </w:r>
      <w:r>
        <w:rPr>
          <w:rFonts w:hint="eastAsia" w:ascii="仿宋_GB2312" w:hAnsi="仿宋_GB2312" w:eastAsia="仿宋_GB2312" w:cs="仿宋_GB2312"/>
          <w:color w:val="auto"/>
          <w:sz w:val="32"/>
          <w:szCs w:val="32"/>
          <w:lang w:val="en-US" w:eastAsia="zh-CN"/>
        </w:rPr>
        <w:t>费118.99万元、其他运转类经费169.31</w:t>
      </w:r>
      <w:r>
        <w:rPr>
          <w:rFonts w:hint="eastAsia" w:ascii="仿宋_GB2312" w:hAnsi="仿宋_GB2312" w:eastAsia="仿宋_GB2312" w:cs="仿宋_GB2312"/>
          <w:sz w:val="32"/>
          <w:szCs w:val="32"/>
          <w:lang w:val="en-US" w:eastAsia="zh-CN"/>
        </w:rPr>
        <w:t>万元。</w:t>
      </w:r>
    </w:p>
    <w:p w14:paraId="32F0F779">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eastAsia="仿宋_GB2312"/>
          <w:b w:val="0"/>
          <w:bCs w:val="0"/>
          <w:color w:val="0000FF"/>
          <w:sz w:val="32"/>
          <w:szCs w:val="32"/>
          <w:lang w:val="en-US" w:eastAsia="zh-CN"/>
        </w:rPr>
      </w:pPr>
      <w:r>
        <w:rPr>
          <w:rFonts w:hint="eastAsia" w:ascii="仿宋_GB2312" w:eastAsia="仿宋_GB2312"/>
          <w:b w:val="0"/>
          <w:bCs w:val="0"/>
          <w:color w:val="auto"/>
          <w:sz w:val="32"/>
          <w:szCs w:val="32"/>
          <w:lang w:val="en-US" w:eastAsia="zh-CN"/>
        </w:rPr>
        <w:t>（3）支出控制。区总工会严格按照财政预算支付各类资金，2022年全年支出其他运转类经费169.31万元，完成预算的100%。</w:t>
      </w:r>
    </w:p>
    <w:p w14:paraId="25BCCB78">
      <w:pPr>
        <w:pStyle w:val="35"/>
        <w:keepNext w:val="0"/>
        <w:keepLines w:val="0"/>
        <w:pageBreakBefore w:val="0"/>
        <w:widowControl w:val="0"/>
        <w:kinsoku/>
        <w:wordWrap/>
        <w:overflowPunct/>
        <w:topLinePunct w:val="0"/>
        <w:autoSpaceDE/>
        <w:autoSpaceDN/>
        <w:bidi w:val="0"/>
        <w:adjustRightInd/>
        <w:snapToGrid/>
        <w:spacing w:beforeLines="0" w:line="576" w:lineRule="exact"/>
        <w:ind w:left="210" w:right="210" w:firstLine="601"/>
        <w:textAlignment w:val="auto"/>
        <w:rPr>
          <w:rFonts w:hint="default" w:ascii="仿宋_GB2312" w:eastAsia="仿宋_GB2312" w:cs="Times New Roman"/>
          <w:b w:val="0"/>
          <w:bCs w:val="0"/>
          <w:color w:val="auto"/>
          <w:sz w:val="32"/>
          <w:szCs w:val="32"/>
          <w:lang w:val="en-US" w:eastAsia="zh-CN"/>
        </w:rPr>
      </w:pPr>
      <w:r>
        <w:rPr>
          <w:rFonts w:hint="eastAsia" w:ascii="仿宋_GB2312" w:hAnsi="Times New Roman" w:eastAsia="仿宋_GB2312" w:cs="Times New Roman"/>
          <w:b w:val="0"/>
          <w:bCs w:val="0"/>
          <w:color w:val="auto"/>
          <w:kern w:val="2"/>
          <w:sz w:val="32"/>
          <w:szCs w:val="32"/>
          <w:lang w:val="en-US" w:eastAsia="zh-CN" w:bidi="ar-SA"/>
        </w:rPr>
        <w:t>（4）执行进度。</w:t>
      </w:r>
      <w:r>
        <w:rPr>
          <w:rFonts w:hint="eastAsia" w:ascii="仿宋_GB2312" w:eastAsia="仿宋_GB2312"/>
          <w:b w:val="0"/>
          <w:bCs w:val="0"/>
          <w:color w:val="auto"/>
          <w:sz w:val="32"/>
          <w:szCs w:val="32"/>
          <w:lang w:val="en-US" w:eastAsia="zh-CN"/>
        </w:rPr>
        <w:t>区</w:t>
      </w:r>
      <w:r>
        <w:rPr>
          <w:rFonts w:hint="eastAsia" w:ascii="仿宋_GB2312" w:eastAsia="仿宋_GB2312" w:cs="Times New Roman"/>
          <w:b w:val="0"/>
          <w:bCs w:val="0"/>
          <w:color w:val="auto"/>
          <w:sz w:val="32"/>
          <w:szCs w:val="32"/>
          <w:lang w:val="en-US" w:eastAsia="zh-CN"/>
        </w:rPr>
        <w:t>总工会支付各类资金时，严格按照财政局上半年支付40%，下半年支付60%的要求申请财政支付计划，及时支付各类资金。</w:t>
      </w:r>
    </w:p>
    <w:p w14:paraId="73A5D738">
      <w:pPr>
        <w:pStyle w:val="35"/>
        <w:keepNext w:val="0"/>
        <w:keepLines w:val="0"/>
        <w:pageBreakBefore w:val="0"/>
        <w:widowControl w:val="0"/>
        <w:kinsoku/>
        <w:wordWrap/>
        <w:overflowPunct/>
        <w:topLinePunct w:val="0"/>
        <w:autoSpaceDE/>
        <w:autoSpaceDN/>
        <w:bidi w:val="0"/>
        <w:adjustRightInd/>
        <w:snapToGrid/>
        <w:spacing w:beforeLines="0" w:line="576" w:lineRule="exact"/>
        <w:ind w:left="210" w:right="210" w:firstLine="601"/>
        <w:jc w:val="left"/>
        <w:textAlignment w:val="auto"/>
        <w:rPr>
          <w:rFonts w:hint="eastAsia" w:ascii="仿宋_GB2312" w:eastAsia="仿宋_GB2312"/>
          <w:b w:val="0"/>
          <w:bCs w:val="0"/>
          <w:color w:val="auto"/>
          <w:sz w:val="32"/>
          <w:szCs w:val="32"/>
          <w:lang w:val="en-US" w:eastAsia="zh-CN"/>
        </w:rPr>
      </w:pPr>
      <w:r>
        <w:rPr>
          <w:rFonts w:hint="eastAsia" w:ascii="仿宋_GB2312" w:hAnsi="Times New Roman" w:eastAsia="仿宋_GB2312" w:cs="Times New Roman"/>
          <w:b w:val="0"/>
          <w:bCs w:val="0"/>
          <w:color w:val="auto"/>
          <w:kern w:val="2"/>
          <w:sz w:val="32"/>
          <w:szCs w:val="32"/>
          <w:lang w:val="en-US" w:eastAsia="zh-CN" w:bidi="ar-SA"/>
        </w:rPr>
        <w:t>（5）预算完成。</w:t>
      </w:r>
      <w:r>
        <w:rPr>
          <w:rFonts w:hint="eastAsia" w:ascii="仿宋_GB2312" w:eastAsia="仿宋_GB2312"/>
          <w:b w:val="0"/>
          <w:bCs w:val="0"/>
          <w:color w:val="auto"/>
          <w:sz w:val="32"/>
          <w:szCs w:val="32"/>
          <w:lang w:val="en-US" w:eastAsia="zh-CN"/>
        </w:rPr>
        <w:t>部门预算经费12月预算执行进度达到100%。</w:t>
      </w:r>
    </w:p>
    <w:p w14:paraId="1141B0EE">
      <w:pPr>
        <w:pStyle w:val="35"/>
        <w:keepNext w:val="0"/>
        <w:keepLines w:val="0"/>
        <w:pageBreakBefore w:val="0"/>
        <w:widowControl w:val="0"/>
        <w:kinsoku/>
        <w:wordWrap/>
        <w:overflowPunct/>
        <w:topLinePunct w:val="0"/>
        <w:autoSpaceDE/>
        <w:autoSpaceDN/>
        <w:bidi w:val="0"/>
        <w:adjustRightInd/>
        <w:snapToGrid/>
        <w:spacing w:beforeLines="0" w:line="576" w:lineRule="exact"/>
        <w:ind w:left="210" w:right="210" w:firstLine="601"/>
        <w:jc w:val="left"/>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（6）违规记录。</w:t>
      </w:r>
    </w:p>
    <w:p w14:paraId="1A3EE57A">
      <w:pPr>
        <w:pStyle w:val="35"/>
        <w:keepNext w:val="0"/>
        <w:keepLines w:val="0"/>
        <w:pageBreakBefore w:val="0"/>
        <w:widowControl w:val="0"/>
        <w:kinsoku/>
        <w:wordWrap/>
        <w:overflowPunct/>
        <w:topLinePunct w:val="0"/>
        <w:autoSpaceDE/>
        <w:autoSpaceDN/>
        <w:bidi w:val="0"/>
        <w:adjustRightInd/>
        <w:snapToGrid/>
        <w:spacing w:beforeLines="0" w:line="576" w:lineRule="exact"/>
        <w:ind w:left="210" w:right="210" w:firstLine="601"/>
        <w:jc w:val="left"/>
        <w:textAlignment w:val="auto"/>
        <w:rPr>
          <w:rFonts w:hint="default"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无违规记录。</w:t>
      </w:r>
    </w:p>
    <w:p w14:paraId="0834BB34">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default"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3.特定目标类项目绩效分析</w:t>
      </w:r>
    </w:p>
    <w:p w14:paraId="60B5CFEC">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无特定目标类项目。</w:t>
      </w:r>
    </w:p>
    <w:p w14:paraId="661B4475">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14:paraId="495887E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大</w:t>
      </w:r>
      <w:r>
        <w:rPr>
          <w:rFonts w:hint="eastAsia" w:ascii="Times New Roman" w:hAnsi="Times New Roman" w:eastAsia="仿宋_GB2312" w:cs="Times New Roman"/>
          <w:b w:val="0"/>
          <w:bCs w:val="0"/>
          <w:color w:val="000000"/>
          <w:sz w:val="32"/>
          <w:szCs w:val="32"/>
          <w:lang w:val="en-US" w:eastAsia="zh-CN"/>
        </w:rPr>
        <w:t>力弘扬“三大精神”，隆重庆祝</w:t>
      </w:r>
      <w:r>
        <w:rPr>
          <w:rFonts w:hint="default" w:ascii="Times New Roman" w:hAnsi="Times New Roman" w:eastAsia="仿宋_GB2312" w:cs="Times New Roman"/>
          <w:b w:val="0"/>
          <w:bCs w:val="0"/>
          <w:color w:val="000000"/>
          <w:sz w:val="32"/>
          <w:szCs w:val="32"/>
          <w:lang w:val="en-US" w:eastAsia="zh-CN"/>
        </w:rPr>
        <w:t>“5.1”</w:t>
      </w:r>
      <w:r>
        <w:rPr>
          <w:rFonts w:hint="eastAsia" w:ascii="Times New Roman" w:hAnsi="Times New Roman" w:eastAsia="仿宋_GB2312" w:cs="Times New Roman"/>
          <w:b w:val="0"/>
          <w:bCs w:val="0"/>
          <w:color w:val="000000"/>
          <w:sz w:val="32"/>
          <w:szCs w:val="32"/>
          <w:lang w:val="en-US" w:eastAsia="zh-CN"/>
        </w:rPr>
        <w:t>劳动</w:t>
      </w:r>
      <w:r>
        <w:rPr>
          <w:rFonts w:hint="default" w:ascii="Times New Roman" w:hAnsi="Times New Roman" w:eastAsia="仿宋_GB2312" w:cs="Times New Roman"/>
          <w:b w:val="0"/>
          <w:bCs w:val="0"/>
          <w:color w:val="000000"/>
          <w:sz w:val="32"/>
          <w:szCs w:val="32"/>
          <w:lang w:val="en-US" w:eastAsia="zh-CN"/>
        </w:rPr>
        <w:t>节，</w:t>
      </w:r>
      <w:r>
        <w:rPr>
          <w:rFonts w:hint="default" w:ascii="Times New Roman" w:hAnsi="Times New Roman" w:eastAsia="仿宋_GB2312" w:cs="Times New Roman"/>
          <w:color w:val="000000"/>
          <w:sz w:val="32"/>
          <w:szCs w:val="32"/>
          <w:lang w:val="en-US" w:eastAsia="zh-CN"/>
        </w:rPr>
        <w:t>举行</w:t>
      </w:r>
      <w:r>
        <w:rPr>
          <w:rFonts w:hint="default" w:ascii="Times New Roman" w:hAnsi="Times New Roman" w:eastAsia="仿宋_GB2312" w:cs="Times New Roman"/>
          <w:color w:val="000000"/>
          <w:sz w:val="32"/>
          <w:szCs w:val="32"/>
        </w:rPr>
        <w:t>区第二届昭化工匠和首届</w:t>
      </w:r>
      <w:r>
        <w:rPr>
          <w:rFonts w:hint="default" w:ascii="Times New Roman" w:hAnsi="Times New Roman" w:eastAsia="仿宋_GB2312" w:cs="Times New Roman"/>
          <w:color w:val="000000"/>
          <w:sz w:val="32"/>
          <w:szCs w:val="32"/>
          <w:lang w:eastAsia="zh-CN"/>
        </w:rPr>
        <w:t>最美昭化劳动者</w:t>
      </w:r>
      <w:r>
        <w:rPr>
          <w:rFonts w:hint="eastAsia" w:ascii="Times New Roman" w:hAnsi="Times New Roman" w:eastAsia="仿宋_GB2312" w:cs="Times New Roman"/>
          <w:color w:val="000000"/>
          <w:sz w:val="32"/>
          <w:szCs w:val="32"/>
          <w:lang w:val="en-US" w:eastAsia="zh-CN"/>
        </w:rPr>
        <w:t>颁奖典礼，</w:t>
      </w:r>
      <w:r>
        <w:rPr>
          <w:rFonts w:hint="default" w:ascii="Times New Roman" w:hAnsi="Times New Roman" w:eastAsia="仿宋_GB2312" w:cs="Times New Roman"/>
          <w:color w:val="000000"/>
          <w:sz w:val="32"/>
          <w:szCs w:val="32"/>
          <w:lang w:val="en-US" w:eastAsia="zh-CN"/>
        </w:rPr>
        <w:t>推选最美劳动者和工匠各10名，开展10期线上专题展播。以“喜迎二十大，建功新时代”为主题，开展职工主题演讲比赛、“玫瑰书香·工会悦读”</w:t>
      </w:r>
      <w:r>
        <w:rPr>
          <w:rFonts w:hint="default" w:ascii="Times New Roman" w:hAnsi="Times New Roman" w:eastAsia="仿宋_GB2312" w:cs="Times New Roman"/>
          <w:b w:val="0"/>
          <w:bCs w:val="0"/>
          <w:color w:val="000000"/>
          <w:sz w:val="32"/>
          <w:szCs w:val="32"/>
        </w:rPr>
        <w:t>等</w:t>
      </w:r>
      <w:r>
        <w:rPr>
          <w:rFonts w:hint="default" w:ascii="Times New Roman" w:hAnsi="Times New Roman" w:eastAsia="仿宋_GB2312" w:cs="Times New Roman"/>
          <w:b w:val="0"/>
          <w:bCs w:val="0"/>
          <w:color w:val="000000"/>
          <w:sz w:val="32"/>
          <w:szCs w:val="32"/>
          <w:lang w:val="en-US" w:eastAsia="zh-CN"/>
        </w:rPr>
        <w:t>系列主题</w:t>
      </w:r>
      <w:r>
        <w:rPr>
          <w:rFonts w:hint="default" w:ascii="Times New Roman" w:hAnsi="Times New Roman" w:eastAsia="仿宋_GB2312" w:cs="Times New Roman"/>
          <w:b w:val="0"/>
          <w:bCs w:val="0"/>
          <w:color w:val="000000"/>
          <w:sz w:val="32"/>
          <w:szCs w:val="32"/>
        </w:rPr>
        <w:t>阅读活动</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color w:val="000000"/>
          <w:sz w:val="32"/>
          <w:szCs w:val="32"/>
          <w:lang w:val="en-US" w:eastAsia="zh-CN"/>
        </w:rPr>
        <w:t>联合群团组织开展</w:t>
      </w:r>
      <w:r>
        <w:rPr>
          <w:rFonts w:hint="default" w:ascii="Times New Roman" w:hAnsi="Times New Roman" w:eastAsia="仿宋_GB2312" w:cs="Times New Roman"/>
          <w:b w:val="0"/>
          <w:bCs w:val="0"/>
          <w:color w:val="000000"/>
          <w:sz w:val="32"/>
          <w:szCs w:val="32"/>
          <w:lang w:val="en-US" w:eastAsia="zh-CN"/>
        </w:rPr>
        <w:t>“网聚职工正能量，争做昭化好网民”</w:t>
      </w:r>
      <w:r>
        <w:rPr>
          <w:rFonts w:hint="default" w:ascii="Times New Roman" w:hAnsi="Times New Roman" w:eastAsia="仿宋_GB2312" w:cs="Times New Roman"/>
          <w:color w:val="000000"/>
          <w:sz w:val="32"/>
          <w:szCs w:val="32"/>
          <w:lang w:val="en-US" w:eastAsia="zh-CN"/>
        </w:rPr>
        <w:t>等宣传教育活动20余场次</w:t>
      </w:r>
      <w:r>
        <w:rPr>
          <w:rFonts w:hint="eastAsia" w:ascii="Times New Roman" w:hAnsi="Times New Roman" w:eastAsia="仿宋_GB2312" w:cs="Times New Roman"/>
          <w:color w:val="000000"/>
          <w:sz w:val="32"/>
          <w:szCs w:val="32"/>
          <w:lang w:val="en-US" w:eastAsia="zh-CN"/>
        </w:rPr>
        <w:t>。</w:t>
      </w:r>
    </w:p>
    <w:p w14:paraId="10F6148D">
      <w:pPr>
        <w:keepNext w:val="0"/>
        <w:keepLines w:val="0"/>
        <w:pageBreakBefore w:val="0"/>
        <w:numPr>
          <w:ilvl w:val="0"/>
          <w:numId w:val="0"/>
        </w:numPr>
        <w:kinsoku/>
        <w:wordWrap/>
        <w:overflowPunct/>
        <w:topLinePunct w:val="0"/>
        <w:autoSpaceDE/>
        <w:autoSpaceDN/>
        <w:bidi w:val="0"/>
        <w:adjustRightInd/>
        <w:snapToGrid/>
        <w:spacing w:after="0" w:line="576" w:lineRule="exact"/>
        <w:ind w:right="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抓实促消费工作，全面返还中小微企业工会经费，引导基层工会开展促消费投入资金</w:t>
      </w:r>
      <w:r>
        <w:rPr>
          <w:rFonts w:hint="eastAsia" w:ascii="Times New Roman" w:hAnsi="Times New Roman" w:eastAsia="仿宋_GB2312" w:cs="Times New Roman"/>
          <w:color w:val="000000"/>
          <w:sz w:val="32"/>
          <w:szCs w:val="32"/>
          <w:lang w:val="en-US" w:eastAsia="zh-CN"/>
        </w:rPr>
        <w:t>超过</w:t>
      </w:r>
      <w:r>
        <w:rPr>
          <w:rFonts w:hint="default" w:ascii="Times New Roman" w:hAnsi="Times New Roman" w:eastAsia="仿宋_GB2312" w:cs="Times New Roman"/>
          <w:color w:val="000000"/>
          <w:sz w:val="32"/>
          <w:szCs w:val="32"/>
          <w:lang w:val="en-US" w:eastAsia="zh-CN"/>
        </w:rPr>
        <w:t>500万元。</w:t>
      </w:r>
      <w:r>
        <w:rPr>
          <w:rFonts w:hint="default" w:ascii="Times New Roman" w:hAnsi="Times New Roman" w:eastAsia="仿宋_GB2312" w:cs="Times New Roman"/>
          <w:b w:val="0"/>
          <w:bCs w:val="0"/>
          <w:color w:val="000000"/>
          <w:sz w:val="32"/>
          <w:szCs w:val="32"/>
          <w:lang w:val="en-US" w:eastAsia="zh-CN"/>
        </w:rPr>
        <w:t>全面挖掘践行“昭化精神”典型劳动者事迹，充分发挥劳模工匠宣讲团作用，</w:t>
      </w:r>
      <w:r>
        <w:rPr>
          <w:rFonts w:hint="eastAsia" w:ascii="Times New Roman" w:hAnsi="Times New Roman" w:eastAsia="仿宋_GB2312" w:cs="Times New Roman"/>
          <w:b w:val="0"/>
          <w:bCs w:val="0"/>
          <w:color w:val="000000"/>
          <w:sz w:val="32"/>
          <w:szCs w:val="32"/>
          <w:lang w:val="en-US" w:eastAsia="zh-CN"/>
        </w:rPr>
        <w:t>全年</w:t>
      </w:r>
      <w:r>
        <w:rPr>
          <w:rFonts w:hint="default" w:ascii="Times New Roman" w:hAnsi="Times New Roman" w:eastAsia="仿宋_GB2312" w:cs="Times New Roman"/>
          <w:b w:val="0"/>
          <w:bCs w:val="0"/>
          <w:color w:val="000000"/>
          <w:sz w:val="32"/>
          <w:szCs w:val="32"/>
          <w:lang w:val="en-US" w:eastAsia="zh-CN"/>
        </w:rPr>
        <w:t>宣讲20余场次，召开2次座谈会，组织22名劳模开展疗休养。</w:t>
      </w:r>
    </w:p>
    <w:p w14:paraId="5D47C6F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宣传贯彻新修</w:t>
      </w:r>
      <w:r>
        <w:rPr>
          <w:rFonts w:hint="eastAsia" w:ascii="Times New Roman" w:hAnsi="Times New Roman" w:eastAsia="仿宋_GB2312" w:cs="Times New Roman"/>
          <w:color w:val="000000"/>
          <w:sz w:val="32"/>
          <w:szCs w:val="32"/>
          <w:lang w:val="en-US" w:eastAsia="zh-CN"/>
        </w:rPr>
        <w:t>定</w:t>
      </w:r>
      <w:r>
        <w:rPr>
          <w:rFonts w:hint="default" w:ascii="Times New Roman" w:hAnsi="Times New Roman" w:eastAsia="仿宋_GB2312" w:cs="Times New Roman"/>
          <w:color w:val="000000"/>
          <w:sz w:val="32"/>
          <w:szCs w:val="32"/>
          <w:lang w:val="en-US" w:eastAsia="zh-CN"/>
        </w:rPr>
        <w:t>《工会法》，把</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工会法</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列入区政府常务会会前学法议题。</w:t>
      </w:r>
      <w:r>
        <w:rPr>
          <w:rFonts w:hint="default" w:ascii="Times New Roman" w:hAnsi="Times New Roman" w:eastAsia="仿宋_GB2312" w:cs="Times New Roman"/>
          <w:b w:val="0"/>
          <w:bCs w:val="0"/>
          <w:color w:val="000000"/>
          <w:sz w:val="32"/>
          <w:szCs w:val="32"/>
          <w:lang w:val="en-US" w:eastAsia="zh-CN"/>
        </w:rPr>
        <w:t>结合东西协作机遇，新建杭州驻外商会农民工维权工作站。关注新经济、新产业、新业态领域职工权益维护，</w:t>
      </w:r>
      <w:r>
        <w:rPr>
          <w:rFonts w:hint="default" w:ascii="Times New Roman" w:hAnsi="Times New Roman" w:eastAsia="仿宋_GB2312" w:cs="Times New Roman"/>
          <w:color w:val="000000"/>
          <w:sz w:val="32"/>
          <w:szCs w:val="32"/>
          <w:lang w:val="en-US" w:eastAsia="zh-CN"/>
        </w:rPr>
        <w:t>组建集体协商指导队伍</w:t>
      </w:r>
      <w:r>
        <w:rPr>
          <w:rFonts w:hint="default" w:ascii="Times New Roman" w:hAnsi="Times New Roman" w:eastAsia="仿宋_GB2312" w:cs="Times New Roman"/>
          <w:color w:val="000000"/>
          <w:sz w:val="32"/>
          <w:szCs w:val="32"/>
        </w:rPr>
        <w:t>，举办</w:t>
      </w:r>
      <w:r>
        <w:rPr>
          <w:rFonts w:hint="default" w:ascii="Times New Roman" w:hAnsi="Times New Roman" w:eastAsia="仿宋_GB2312" w:cs="Times New Roman"/>
          <w:color w:val="000000"/>
          <w:sz w:val="32"/>
          <w:szCs w:val="32"/>
          <w:lang w:val="en-US" w:eastAsia="zh-CN"/>
        </w:rPr>
        <w:t>培训讲座、动员大会2次，举行集中签约仪式1次，积极开展</w:t>
      </w:r>
      <w:r>
        <w:rPr>
          <w:rFonts w:hint="default" w:ascii="Times New Roman" w:hAnsi="Times New Roman" w:eastAsia="仿宋_GB2312" w:cs="Times New Roman"/>
          <w:color w:val="000000"/>
          <w:sz w:val="32"/>
          <w:szCs w:val="32"/>
        </w:rPr>
        <w:t>要约活动，覆盖职工</w:t>
      </w:r>
      <w:r>
        <w:rPr>
          <w:rFonts w:hint="default" w:ascii="Times New Roman" w:hAnsi="Times New Roman" w:eastAsia="仿宋_GB2312" w:cs="Times New Roman"/>
          <w:color w:val="000000"/>
          <w:sz w:val="32"/>
          <w:szCs w:val="32"/>
          <w:lang w:val="en-US" w:eastAsia="zh-CN"/>
        </w:rPr>
        <w:t>2591</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b w:val="0"/>
          <w:bCs w:val="0"/>
          <w:color w:val="000000"/>
          <w:sz w:val="32"/>
          <w:szCs w:val="32"/>
          <w:lang w:val="en-US" w:eastAsia="zh-CN"/>
        </w:rPr>
        <w:t>加强劳动领域风险排查化解，成</w:t>
      </w:r>
      <w:r>
        <w:rPr>
          <w:rFonts w:hint="eastAsia" w:ascii="Times New Roman" w:hAnsi="Times New Roman" w:eastAsia="仿宋_GB2312" w:cs="Times New Roman"/>
          <w:b w:val="0"/>
          <w:bCs w:val="0"/>
          <w:color w:val="000000"/>
          <w:sz w:val="32"/>
          <w:szCs w:val="32"/>
          <w:lang w:val="en-US" w:eastAsia="zh-CN"/>
        </w:rPr>
        <w:t>立</w:t>
      </w:r>
      <w:r>
        <w:rPr>
          <w:rFonts w:hint="default" w:ascii="Times New Roman" w:hAnsi="Times New Roman" w:eastAsia="仿宋_GB2312" w:cs="Times New Roman"/>
          <w:b w:val="0"/>
          <w:bCs w:val="0"/>
          <w:color w:val="000000"/>
          <w:sz w:val="32"/>
          <w:szCs w:val="32"/>
          <w:lang w:val="en-US" w:eastAsia="zh-CN"/>
        </w:rPr>
        <w:t>专班，</w:t>
      </w:r>
      <w:r>
        <w:rPr>
          <w:rFonts w:hint="eastAsia" w:ascii="Times New Roman" w:hAnsi="Times New Roman" w:eastAsia="仿宋_GB2312" w:cs="Times New Roman"/>
          <w:b w:val="0"/>
          <w:bCs w:val="0"/>
          <w:color w:val="000000"/>
          <w:sz w:val="32"/>
          <w:szCs w:val="32"/>
          <w:lang w:val="en-US" w:eastAsia="zh-CN"/>
        </w:rPr>
        <w:t>召开</w:t>
      </w:r>
      <w:r>
        <w:rPr>
          <w:rFonts w:hint="default" w:ascii="Times New Roman" w:hAnsi="Times New Roman" w:eastAsia="仿宋_GB2312" w:cs="Times New Roman"/>
          <w:b w:val="0"/>
          <w:bCs w:val="0"/>
          <w:color w:val="000000"/>
          <w:sz w:val="32"/>
          <w:szCs w:val="32"/>
          <w:lang w:val="en-US" w:eastAsia="zh-CN"/>
        </w:rPr>
        <w:t>联系会2次</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color w:val="000000"/>
          <w:sz w:val="32"/>
          <w:szCs w:val="32"/>
          <w:lang w:val="en-US" w:eastAsia="zh-CN"/>
        </w:rPr>
        <w:t>深入新就业群体行业49余次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围绕重大节日和党的二十大召开节点</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召开劳动领域政治安全联席会，走访、接待农民工110人次</w:t>
      </w:r>
      <w:r>
        <w:rPr>
          <w:rFonts w:hint="eastAsia" w:ascii="Times New Roman" w:hAnsi="Times New Roman" w:eastAsia="仿宋_GB2312" w:cs="Times New Roman"/>
          <w:b w:val="0"/>
          <w:bCs w:val="0"/>
          <w:color w:val="000000"/>
          <w:sz w:val="32"/>
          <w:szCs w:val="32"/>
          <w:lang w:val="en-US" w:eastAsia="zh-CN"/>
        </w:rPr>
        <w:t>。</w:t>
      </w:r>
    </w:p>
    <w:p w14:paraId="297FEEC3">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val="0"/>
          <w:bCs w:val="0"/>
          <w:color w:val="000000"/>
          <w:sz w:val="32"/>
          <w:szCs w:val="32"/>
          <w:lang w:val="en-US"/>
        </w:rPr>
      </w:pPr>
      <w:r>
        <w:rPr>
          <w:rFonts w:hint="eastAsia" w:ascii="仿宋_GB2312" w:hAnsi="仿宋_GB2312" w:eastAsia="仿宋_GB2312" w:cs="仿宋_GB2312"/>
          <w:b w:val="0"/>
          <w:bCs w:val="0"/>
          <w:color w:val="000000"/>
          <w:sz w:val="32"/>
          <w:szCs w:val="32"/>
          <w:lang w:val="en-US" w:eastAsia="zh-CN"/>
        </w:rPr>
        <w:t>4、</w:t>
      </w:r>
      <w:r>
        <w:rPr>
          <w:rFonts w:hint="default" w:ascii="Times New Roman" w:hAnsi="Times New Roman" w:eastAsia="仿宋_GB2312" w:cs="Times New Roman"/>
          <w:b w:val="0"/>
          <w:bCs w:val="0"/>
          <w:color w:val="000000"/>
          <w:kern w:val="2"/>
          <w:sz w:val="32"/>
          <w:szCs w:val="32"/>
          <w:lang w:val="en-US" w:eastAsia="zh-CN" w:bidi="ar-SA"/>
        </w:rPr>
        <w:t>常态化开展困难职工临时救助</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送温暖活动，</w:t>
      </w:r>
      <w:r>
        <w:rPr>
          <w:rFonts w:hint="eastAsia" w:ascii="Times New Roman" w:hAnsi="Times New Roman" w:eastAsia="仿宋_GB2312" w:cs="Times New Roman"/>
          <w:b w:val="0"/>
          <w:bCs w:val="0"/>
          <w:color w:val="000000"/>
          <w:kern w:val="2"/>
          <w:sz w:val="32"/>
          <w:szCs w:val="32"/>
          <w:lang w:val="en-US" w:eastAsia="zh-CN" w:bidi="ar-SA"/>
        </w:rPr>
        <w:t>全年</w:t>
      </w:r>
      <w:r>
        <w:rPr>
          <w:rFonts w:hint="default" w:ascii="Times New Roman" w:hAnsi="Times New Roman" w:eastAsia="仿宋_GB2312" w:cs="Times New Roman"/>
          <w:color w:val="000000"/>
          <w:sz w:val="32"/>
          <w:szCs w:val="32"/>
          <w:lang w:val="en-US" w:eastAsia="zh-CN"/>
        </w:rPr>
        <w:t>开展“心系职工，温暖进万家”为主题的送温暖慰问。</w:t>
      </w:r>
      <w:r>
        <w:rPr>
          <w:rFonts w:hint="default" w:ascii="Times New Roman" w:hAnsi="Times New Roman" w:eastAsia="仿宋_GB2312" w:cs="Times New Roman"/>
          <w:color w:val="000000"/>
          <w:kern w:val="2"/>
          <w:sz w:val="32"/>
          <w:szCs w:val="32"/>
          <w:lang w:val="en-US" w:eastAsia="zh-CN" w:bidi="ar-SA"/>
        </w:rPr>
        <w:t>开展“春送岗位</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主题活动，</w:t>
      </w:r>
      <w:r>
        <w:rPr>
          <w:rFonts w:hint="default" w:ascii="Times New Roman" w:hAnsi="Times New Roman" w:eastAsia="仿宋_GB2312" w:cs="Times New Roman"/>
          <w:color w:val="000000"/>
          <w:sz w:val="32"/>
          <w:szCs w:val="32"/>
          <w:lang w:val="en-US" w:eastAsia="zh-CN"/>
        </w:rPr>
        <w:t>向返乡农民工发放大礼包</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kern w:val="2"/>
          <w:sz w:val="32"/>
          <w:szCs w:val="32"/>
          <w:lang w:val="en-US" w:eastAsia="zh-CN" w:bidi="ar-SA"/>
        </w:rPr>
        <w:t>企业民工实现家门口就业</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筹集资金，走访慰问疫情防控</w:t>
      </w:r>
      <w:r>
        <w:rPr>
          <w:rFonts w:hint="eastAsia" w:ascii="Times New Roman" w:hAnsi="Times New Roman" w:eastAsia="仿宋_GB2312" w:cs="Times New Roman"/>
          <w:b w:val="0"/>
          <w:bCs w:val="0"/>
          <w:color w:val="000000"/>
          <w:kern w:val="2"/>
          <w:sz w:val="32"/>
          <w:szCs w:val="32"/>
          <w:lang w:val="en-US" w:eastAsia="zh-CN" w:bidi="ar-SA"/>
        </w:rPr>
        <w:t>、企业等</w:t>
      </w:r>
      <w:r>
        <w:rPr>
          <w:rFonts w:hint="default" w:ascii="Times New Roman" w:hAnsi="Times New Roman" w:eastAsia="仿宋_GB2312" w:cs="Times New Roman"/>
          <w:b w:val="0"/>
          <w:bCs w:val="0"/>
          <w:color w:val="000000"/>
          <w:kern w:val="2"/>
          <w:sz w:val="32"/>
          <w:szCs w:val="32"/>
          <w:lang w:val="en-US" w:eastAsia="zh-CN" w:bidi="ar-SA"/>
        </w:rPr>
        <w:t>一线职工。联合</w:t>
      </w:r>
      <w:r>
        <w:rPr>
          <w:rFonts w:hint="eastAsia" w:ascii="Times New Roman" w:hAnsi="Times New Roman" w:eastAsia="仿宋_GB2312" w:cs="Times New Roman"/>
          <w:b w:val="0"/>
          <w:bCs w:val="0"/>
          <w:color w:val="000000"/>
          <w:kern w:val="2"/>
          <w:sz w:val="32"/>
          <w:szCs w:val="32"/>
          <w:lang w:val="en-US" w:eastAsia="zh-CN" w:bidi="ar-SA"/>
        </w:rPr>
        <w:t>教育、民政和群团组织等</w:t>
      </w:r>
      <w:r>
        <w:rPr>
          <w:rFonts w:hint="default" w:ascii="Times New Roman" w:hAnsi="Times New Roman" w:eastAsia="仿宋_GB2312" w:cs="Times New Roman"/>
          <w:b w:val="0"/>
          <w:bCs w:val="0"/>
          <w:color w:val="000000"/>
          <w:kern w:val="2"/>
          <w:sz w:val="32"/>
          <w:szCs w:val="32"/>
          <w:lang w:val="en-US" w:eastAsia="zh-CN" w:bidi="ar-SA"/>
        </w:rPr>
        <w:t>部门筹措助学资金，资助困难职工（农民工）家庭学生。</w:t>
      </w:r>
      <w:r>
        <w:rPr>
          <w:rFonts w:hint="default" w:ascii="Times New Roman" w:hAnsi="Times New Roman" w:eastAsia="仿宋_GB2312" w:cs="Times New Roman"/>
          <w:color w:val="000000"/>
          <w:sz w:val="32"/>
          <w:szCs w:val="32"/>
          <w:lang w:val="en-US" w:eastAsia="zh-CN"/>
        </w:rPr>
        <w:t>推出“有节有惠”系列活动，投入10万元开展平乐寺花海昭化职工免费游、“5元观景”线上、会员满减加油线下等普惠项目。</w:t>
      </w:r>
      <w:r>
        <w:rPr>
          <w:rFonts w:hint="eastAsia" w:ascii="Times New Roman" w:hAnsi="Times New Roman" w:eastAsia="仿宋_GB2312" w:cs="Times New Roman"/>
          <w:color w:val="000000"/>
          <w:sz w:val="32"/>
          <w:szCs w:val="32"/>
          <w:lang w:val="en-US" w:eastAsia="zh-CN"/>
        </w:rPr>
        <w:t>加大职工关心关爱，</w:t>
      </w:r>
      <w:r>
        <w:rPr>
          <w:rFonts w:hint="default"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b w:val="0"/>
          <w:bCs w:val="0"/>
          <w:color w:val="000000"/>
          <w:sz w:val="32"/>
          <w:szCs w:val="32"/>
          <w:lang w:val="en-US" w:eastAsia="zh-CN"/>
        </w:rPr>
        <w:t>五一节慰问货运车司机、端午节慰问快递员、医师节慰问医务工作者、国庆节慰问坚守一线职工、丰收节慰问农民工等专项慰问活动300余人次</w:t>
      </w:r>
      <w:r>
        <w:rPr>
          <w:rFonts w:hint="eastAsia" w:ascii="Times New Roman" w:hAnsi="Times New Roman" w:eastAsia="仿宋_GB2312" w:cs="Times New Roman"/>
          <w:b w:val="0"/>
          <w:bCs w:val="0"/>
          <w:color w:val="000000"/>
          <w:sz w:val="32"/>
          <w:szCs w:val="32"/>
          <w:lang w:val="en-US" w:eastAsia="zh-CN"/>
        </w:rPr>
        <w:t>。</w:t>
      </w:r>
    </w:p>
    <w:p w14:paraId="5163B345">
      <w:pPr>
        <w:keepNext w:val="0"/>
        <w:keepLines w:val="0"/>
        <w:pageBreakBefore w:val="0"/>
        <w:numPr>
          <w:ilvl w:val="0"/>
          <w:numId w:val="0"/>
        </w:numPr>
        <w:kinsoku/>
        <w:wordWrap/>
        <w:overflowPunct/>
        <w:topLinePunct w:val="0"/>
        <w:autoSpaceDE/>
        <w:autoSpaceDN/>
        <w:bidi w:val="0"/>
        <w:adjustRightInd/>
        <w:snapToGrid/>
        <w:spacing w:after="0" w:line="576"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召开昭化区工会第五次代表大会，会议</w:t>
      </w:r>
      <w:r>
        <w:rPr>
          <w:rFonts w:hint="default" w:ascii="Times New Roman" w:hAnsi="Times New Roman" w:eastAsia="仿宋_GB2312" w:cs="Times New Roman"/>
          <w:color w:val="000000"/>
          <w:sz w:val="32"/>
          <w:szCs w:val="32"/>
        </w:rPr>
        <w:t>审议和批准区总工会第四届委员会工作报告、财务报告、经费审查委员会工作报告</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选举产生</w:t>
      </w:r>
      <w:r>
        <w:rPr>
          <w:rFonts w:hint="eastAsia" w:ascii="Times New Roman" w:hAnsi="Times New Roman" w:eastAsia="仿宋_GB2312" w:cs="Times New Roman"/>
          <w:color w:val="000000"/>
          <w:sz w:val="32"/>
          <w:szCs w:val="32"/>
          <w:lang w:val="en-US" w:eastAsia="zh-CN"/>
        </w:rPr>
        <w:t>了</w:t>
      </w:r>
      <w:r>
        <w:rPr>
          <w:rFonts w:hint="default" w:ascii="Times New Roman" w:hAnsi="Times New Roman" w:eastAsia="仿宋_GB2312" w:cs="Times New Roman"/>
          <w:color w:val="000000"/>
          <w:sz w:val="32"/>
          <w:szCs w:val="32"/>
        </w:rPr>
        <w:t>区总工会</w:t>
      </w:r>
      <w:r>
        <w:rPr>
          <w:rFonts w:hint="default" w:ascii="Times New Roman" w:hAnsi="Times New Roman" w:eastAsia="仿宋_GB2312" w:cs="Times New Roman"/>
          <w:color w:val="000000"/>
          <w:sz w:val="32"/>
          <w:szCs w:val="32"/>
          <w:lang w:val="en-US" w:eastAsia="zh-CN"/>
        </w:rPr>
        <w:t>第五届委员会和经费审查委员会委员。</w:t>
      </w:r>
    </w:p>
    <w:p w14:paraId="19E7A521">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jc w:val="both"/>
        <w:textAlignment w:val="auto"/>
        <w:rPr>
          <w:rFonts w:hint="eastAsia"/>
          <w:sz w:val="32"/>
          <w:szCs w:val="32"/>
          <w:lang w:val="zh-CN"/>
        </w:rPr>
      </w:pPr>
      <w:r>
        <w:rPr>
          <w:rFonts w:hint="eastAsia" w:ascii="仿宋_GB2312" w:hAnsi="仿宋_GB2312" w:eastAsia="仿宋_GB2312" w:cs="仿宋_GB2312"/>
          <w:b w:val="0"/>
          <w:bCs w:val="0"/>
          <w:color w:val="000000"/>
          <w:kern w:val="2"/>
          <w:sz w:val="32"/>
          <w:szCs w:val="32"/>
          <w:lang w:val="en-US" w:eastAsia="zh-CN" w:bidi="ar-SA"/>
        </w:rPr>
        <w:t>6、</w:t>
      </w:r>
      <w:r>
        <w:rPr>
          <w:rFonts w:hint="default" w:ascii="Times New Roman" w:hAnsi="Times New Roman" w:eastAsia="仿宋_GB2312" w:cs="Times New Roman"/>
          <w:color w:val="000000"/>
          <w:sz w:val="32"/>
          <w:szCs w:val="32"/>
          <w:lang w:val="en-US" w:eastAsia="zh-CN"/>
        </w:rPr>
        <w:t>开展干部纪律作风整顿“回头看”“一看三访”工作，赴太公红军山、禁毒教育基地等地开展“学习李化武”“党组书记讲党课”等系列活动5次。招商引资完成2个项目，到位资金1</w:t>
      </w:r>
      <w:r>
        <w:rPr>
          <w:rFonts w:hint="eastAsia" w:ascii="Times New Roman" w:hAnsi="Times New Roman"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00万，争取到位资金</w:t>
      </w:r>
      <w:r>
        <w:rPr>
          <w:rFonts w:hint="default" w:ascii="Times New Roman" w:hAnsi="Times New Roman" w:eastAsia="仿宋_GB2312" w:cs="Times New Roman"/>
          <w:color w:val="auto"/>
          <w:sz w:val="32"/>
          <w:szCs w:val="32"/>
          <w:lang w:val="en-US" w:eastAsia="zh-CN"/>
        </w:rPr>
        <w:t>207万元。</w:t>
      </w:r>
      <w:r>
        <w:rPr>
          <w:rFonts w:hint="default" w:ascii="Times New Roman" w:hAnsi="Times New Roman" w:eastAsia="仿宋_GB2312" w:cs="Times New Roman"/>
          <w:b w:val="0"/>
          <w:bCs w:val="0"/>
          <w:kern w:val="2"/>
          <w:sz w:val="32"/>
          <w:szCs w:val="32"/>
          <w:lang w:val="en-US" w:eastAsia="zh-CN" w:bidi="ar-SA"/>
        </w:rPr>
        <w:t>强化工会资产资金管理和经审监督</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color w:val="000000"/>
          <w:sz w:val="32"/>
          <w:szCs w:val="32"/>
          <w:lang w:val="en-US" w:eastAsia="zh-CN"/>
        </w:rPr>
        <w:t>召开经审工作会议3次，开展财务专项检查一次，全年对40家单位开展经费收支</w:t>
      </w:r>
      <w:r>
        <w:rPr>
          <w:rFonts w:hint="eastAsia" w:ascii="Times New Roman" w:hAnsi="Times New Roman" w:eastAsia="仿宋_GB2312" w:cs="Times New Roman"/>
          <w:color w:val="000000"/>
          <w:sz w:val="32"/>
          <w:szCs w:val="32"/>
          <w:lang w:val="en-US" w:eastAsia="zh-CN"/>
        </w:rPr>
        <w:t>专项</w:t>
      </w:r>
      <w:r>
        <w:rPr>
          <w:rFonts w:hint="default" w:ascii="Times New Roman" w:hAnsi="Times New Roman" w:eastAsia="仿宋_GB2312" w:cs="Times New Roman"/>
          <w:color w:val="000000"/>
          <w:sz w:val="32"/>
          <w:szCs w:val="32"/>
          <w:lang w:val="en-US" w:eastAsia="zh-CN"/>
        </w:rPr>
        <w:t>审计</w:t>
      </w:r>
      <w:r>
        <w:rPr>
          <w:rFonts w:hint="eastAsia" w:ascii="Times New Roman" w:hAnsi="Times New Roman" w:eastAsia="仿宋_GB2312" w:cs="Times New Roman"/>
          <w:color w:val="000000"/>
          <w:sz w:val="32"/>
          <w:szCs w:val="32"/>
          <w:lang w:val="en-US" w:eastAsia="zh-CN"/>
        </w:rPr>
        <w:t>，有力推动基层工会经费管理使用规范化、制度化</w:t>
      </w:r>
      <w:r>
        <w:rPr>
          <w:rFonts w:hint="default" w:ascii="Times New Roman" w:hAnsi="Times New Roman" w:eastAsia="仿宋_GB2312" w:cs="Times New Roman"/>
          <w:color w:val="000000"/>
          <w:sz w:val="32"/>
          <w:szCs w:val="32"/>
          <w:lang w:val="en-US" w:eastAsia="zh-CN"/>
        </w:rPr>
        <w:t>。</w:t>
      </w:r>
    </w:p>
    <w:p w14:paraId="36680CB9">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14:paraId="45699771">
      <w:pPr>
        <w:pStyle w:val="35"/>
        <w:keepNext w:val="0"/>
        <w:keepLines w:val="0"/>
        <w:pageBreakBefore w:val="0"/>
        <w:widowControl w:val="0"/>
        <w:kinsoku/>
        <w:wordWrap/>
        <w:overflowPunct/>
        <w:topLinePunct w:val="0"/>
        <w:autoSpaceDE/>
        <w:autoSpaceDN/>
        <w:bidi w:val="0"/>
        <w:adjustRightInd/>
        <w:snapToGrid/>
        <w:spacing w:beforeLines="0" w:line="576" w:lineRule="exact"/>
        <w:ind w:left="210" w:right="210" w:firstLine="601"/>
        <w:textAlignment w:val="auto"/>
        <w:rPr>
          <w:rFonts w:hint="eastAsia" w:ascii="仿宋_GB2312" w:hAnsi="Calibri" w:eastAsia="仿宋_GB2312" w:cs="Times New Roman"/>
          <w:b/>
          <w:bCs/>
          <w:color w:val="auto"/>
          <w:kern w:val="2"/>
          <w:sz w:val="32"/>
          <w:szCs w:val="32"/>
          <w:lang w:val="en-US" w:eastAsia="zh-CN" w:bidi="ar-SA"/>
        </w:rPr>
      </w:pPr>
      <w:r>
        <w:rPr>
          <w:rFonts w:hint="eastAsia" w:ascii="仿宋_GB2312" w:hAnsi="Calibri" w:eastAsia="仿宋_GB2312" w:cs="Times New Roman"/>
          <w:b/>
          <w:bCs/>
          <w:color w:val="auto"/>
          <w:kern w:val="2"/>
          <w:sz w:val="32"/>
          <w:szCs w:val="32"/>
          <w:lang w:val="en-US" w:eastAsia="zh-CN" w:bidi="ar-SA"/>
        </w:rPr>
        <w:t>1.自评公开</w:t>
      </w:r>
    </w:p>
    <w:p w14:paraId="0F84909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sz w:val="32"/>
          <w:szCs w:val="32"/>
          <w:lang w:val="en-US" w:eastAsia="zh-CN"/>
        </w:rPr>
      </w:pPr>
      <w:r>
        <w:rPr>
          <w:rFonts w:hint="eastAsia" w:ascii="仿宋_GB2312" w:hAnsi="宋体" w:eastAsia="仿宋_GB2312" w:cs="宋体"/>
          <w:color w:val="auto"/>
          <w:kern w:val="0"/>
          <w:sz w:val="32"/>
          <w:szCs w:val="32"/>
          <w:shd w:val="clear" w:color="auto" w:fill="FFFFFF"/>
          <w:lang w:val="zh-CN"/>
        </w:rPr>
        <w:t>根据区财政统一安排，我们在规定时间按照统一格式、内容、口径统一公开部门</w:t>
      </w:r>
      <w:r>
        <w:rPr>
          <w:rFonts w:hint="eastAsia" w:ascii="仿宋_GB2312" w:hAnsi="微软雅黑" w:eastAsia="仿宋_GB2312" w:cs="Times New Roman"/>
          <w:b w:val="0"/>
          <w:bCs w:val="0"/>
          <w:color w:val="auto"/>
          <w:kern w:val="2"/>
          <w:sz w:val="32"/>
          <w:szCs w:val="32"/>
          <w:lang w:val="en-US" w:eastAsia="zh-CN" w:bidi="ar-SA"/>
        </w:rPr>
        <w:t>部门支出绩效评价等信息</w:t>
      </w:r>
      <w:r>
        <w:rPr>
          <w:rFonts w:hint="eastAsia" w:ascii="仿宋_GB2312" w:hAnsi="宋体" w:eastAsia="仿宋_GB2312" w:cs="宋体"/>
          <w:color w:val="auto"/>
          <w:kern w:val="0"/>
          <w:sz w:val="32"/>
          <w:szCs w:val="32"/>
          <w:shd w:val="clear" w:color="auto" w:fill="FFFFFF"/>
          <w:lang w:val="zh-CN"/>
        </w:rPr>
        <w:t>，做到基础数据真实、准确、完整。</w:t>
      </w:r>
    </w:p>
    <w:p w14:paraId="0F78CDB7">
      <w:pPr>
        <w:keepNext w:val="0"/>
        <w:keepLines w:val="0"/>
        <w:pageBreakBefore w:val="0"/>
        <w:kinsoku/>
        <w:wordWrap/>
        <w:overflowPunct/>
        <w:topLinePunct w:val="0"/>
        <w:autoSpaceDE/>
        <w:autoSpaceDN/>
        <w:bidi w:val="0"/>
        <w:spacing w:line="576" w:lineRule="exact"/>
        <w:ind w:firstLine="643" w:firstLineChars="200"/>
        <w:textAlignment w:val="auto"/>
        <w:rPr>
          <w:sz w:val="32"/>
          <w:szCs w:val="32"/>
          <w:lang w:val="zh-CN"/>
        </w:rPr>
      </w:pPr>
      <w:r>
        <w:rPr>
          <w:rFonts w:hint="eastAsia" w:ascii="仿宋_GB2312" w:hAnsi="Calibri" w:eastAsia="仿宋_GB2312" w:cs="Times New Roman"/>
          <w:b/>
          <w:bCs/>
          <w:color w:val="auto"/>
          <w:kern w:val="2"/>
          <w:sz w:val="32"/>
          <w:szCs w:val="32"/>
          <w:lang w:val="en-US" w:eastAsia="zh-CN" w:bidi="ar-SA"/>
        </w:rPr>
        <w:t>2.结果整改。</w:t>
      </w:r>
      <w:r>
        <w:rPr>
          <w:rFonts w:hint="eastAsia" w:ascii="仿宋_GB2312" w:hAnsi="微软雅黑" w:eastAsia="仿宋_GB2312" w:cs="Times New Roman"/>
          <w:b w:val="0"/>
          <w:bCs w:val="0"/>
          <w:color w:val="auto"/>
          <w:kern w:val="2"/>
          <w:sz w:val="32"/>
          <w:szCs w:val="32"/>
          <w:lang w:val="en-US" w:eastAsia="zh-CN" w:bidi="ar-SA"/>
        </w:rPr>
        <w:t>针对评价报告中反应的问题，</w:t>
      </w:r>
      <w:r>
        <w:rPr>
          <w:rFonts w:hint="eastAsia" w:ascii="仿宋_GB2312" w:eastAsia="仿宋_GB2312"/>
          <w:b w:val="0"/>
          <w:bCs w:val="0"/>
          <w:color w:val="auto"/>
          <w:sz w:val="32"/>
          <w:szCs w:val="32"/>
          <w:lang w:val="en-US" w:eastAsia="zh-CN"/>
        </w:rPr>
        <w:t>区</w:t>
      </w:r>
      <w:r>
        <w:rPr>
          <w:rFonts w:hint="eastAsia" w:ascii="仿宋_GB2312" w:hAnsi="微软雅黑" w:eastAsia="仿宋_GB2312" w:cs="Times New Roman"/>
          <w:b w:val="0"/>
          <w:bCs w:val="0"/>
          <w:color w:val="auto"/>
          <w:kern w:val="2"/>
          <w:sz w:val="32"/>
          <w:szCs w:val="32"/>
          <w:lang w:val="en-US" w:eastAsia="zh-CN" w:bidi="ar-SA"/>
        </w:rPr>
        <w:t>总工会认真开展自查自纠，不断加强学习，不断完善绩效评价指标体系，科学编制预算，严格预算执行，优化资源配置、控制节约成本、提高公共服务质量和财政资金使用效益，充分发挥本单位的职能作用。</w:t>
      </w:r>
    </w:p>
    <w:p w14:paraId="0F4A837C">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微软雅黑" w:eastAsia="仿宋_GB2312" w:cs="Times New Roman"/>
          <w:b w:val="0"/>
          <w:bCs w:val="0"/>
          <w:color w:val="auto"/>
          <w:kern w:val="2"/>
          <w:sz w:val="32"/>
          <w:szCs w:val="32"/>
          <w:lang w:val="en-US" w:eastAsia="zh-CN" w:bidi="ar-SA"/>
        </w:rPr>
      </w:pPr>
      <w:r>
        <w:rPr>
          <w:rFonts w:hint="eastAsia" w:ascii="仿宋_GB2312" w:hAnsi="Calibri" w:eastAsia="仿宋_GB2312" w:cs="Times New Roman"/>
          <w:b/>
          <w:bCs/>
          <w:color w:val="auto"/>
          <w:kern w:val="2"/>
          <w:sz w:val="32"/>
          <w:szCs w:val="32"/>
          <w:lang w:val="en-US" w:eastAsia="zh-CN" w:bidi="ar-SA"/>
        </w:rPr>
        <w:t>3.应用反馈。</w:t>
      </w:r>
      <w:r>
        <w:rPr>
          <w:rFonts w:hint="eastAsia" w:ascii="仿宋_GB2312" w:hAnsi="微软雅黑" w:eastAsia="仿宋_GB2312" w:cs="Times New Roman"/>
          <w:b w:val="0"/>
          <w:bCs w:val="0"/>
          <w:color w:val="auto"/>
          <w:kern w:val="2"/>
          <w:sz w:val="32"/>
          <w:szCs w:val="32"/>
          <w:lang w:val="en-US" w:eastAsia="zh-CN" w:bidi="ar-SA"/>
        </w:rPr>
        <w:t>总工会按照下发文件要求，在规定时间内向财政部门反馈了应用绩效结果的报告。</w:t>
      </w:r>
    </w:p>
    <w:p w14:paraId="0CB8E2C2">
      <w:pPr>
        <w:pStyle w:val="35"/>
        <w:keepNext w:val="0"/>
        <w:keepLines w:val="0"/>
        <w:pageBreakBefore w:val="0"/>
        <w:widowControl w:val="0"/>
        <w:kinsoku/>
        <w:wordWrap/>
        <w:overflowPunct/>
        <w:topLinePunct w:val="0"/>
        <w:autoSpaceDE/>
        <w:autoSpaceDN/>
        <w:bidi w:val="0"/>
        <w:adjustRightInd/>
        <w:snapToGrid/>
        <w:spacing w:beforeLines="0" w:line="576" w:lineRule="exact"/>
        <w:ind w:left="0" w:leftChars="0" w:right="210" w:firstLine="643" w:firstLineChars="200"/>
        <w:textAlignment w:val="auto"/>
        <w:rPr>
          <w:rFonts w:hint="eastAsia" w:ascii="仿宋_GB2312" w:hAnsi="Calibri" w:eastAsia="仿宋_GB2312" w:cs="Times New Roman"/>
          <w:b/>
          <w:bCs/>
          <w:color w:val="auto"/>
          <w:kern w:val="2"/>
          <w:sz w:val="32"/>
          <w:szCs w:val="32"/>
          <w:highlight w:val="none"/>
          <w:lang w:val="en-US" w:eastAsia="zh-CN" w:bidi="ar-SA"/>
        </w:rPr>
      </w:pPr>
      <w:r>
        <w:rPr>
          <w:rFonts w:hint="eastAsia" w:ascii="仿宋_GB2312" w:hAnsi="Calibri" w:eastAsia="仿宋_GB2312" w:cs="Times New Roman"/>
          <w:b/>
          <w:bCs/>
          <w:color w:val="auto"/>
          <w:kern w:val="2"/>
          <w:sz w:val="32"/>
          <w:szCs w:val="32"/>
          <w:highlight w:val="none"/>
          <w:lang w:val="en-US" w:eastAsia="zh-CN" w:bidi="ar-SA"/>
        </w:rPr>
        <w:t>4.内部应用</w:t>
      </w:r>
    </w:p>
    <w:p w14:paraId="5E2B4DA7">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微软雅黑" w:eastAsia="仿宋_GB2312" w:cs="Times New Roman"/>
          <w:b w:val="0"/>
          <w:bCs w:val="0"/>
          <w:color w:val="auto"/>
          <w:kern w:val="2"/>
          <w:sz w:val="32"/>
          <w:szCs w:val="32"/>
          <w:lang w:val="en-US" w:eastAsia="zh-CN" w:bidi="ar-SA"/>
        </w:rPr>
      </w:pPr>
      <w:r>
        <w:rPr>
          <w:rFonts w:hint="eastAsia" w:ascii="仿宋_GB2312" w:hAnsi="微软雅黑" w:eastAsia="仿宋_GB2312" w:cs="Times New Roman"/>
          <w:b w:val="0"/>
          <w:bCs w:val="0"/>
          <w:color w:val="auto"/>
          <w:kern w:val="2"/>
          <w:sz w:val="32"/>
          <w:szCs w:val="32"/>
          <w:lang w:val="en-US" w:eastAsia="zh-CN" w:bidi="ar-SA"/>
        </w:rPr>
        <w:t>全年通过加强预算收支管理，健全内部管理制度，严格内部管理流程，部门整体支出控制在预算范围内，有效保障了单位各项工作有序开展。</w:t>
      </w:r>
    </w:p>
    <w:p w14:paraId="6A94B2FC">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14:paraId="266BA99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微软雅黑" w:eastAsia="仿宋_GB2312" w:cs="Times New Roman"/>
          <w:b w:val="0"/>
          <w:bCs w:val="0"/>
          <w:color w:val="auto"/>
          <w:kern w:val="2"/>
          <w:sz w:val="32"/>
          <w:szCs w:val="32"/>
          <w:lang w:val="en-US" w:eastAsia="zh-CN" w:bidi="ar-SA"/>
        </w:rPr>
        <w:t>按照预算绩效管理要求，整体支出绩效自评围绕人员类、公用经费类、其他运转类年初预算、支出时间和产出效益等方面开展自评，科学的监测部门整体支出情况，根据各类明细项目打分，有效合理的评价支出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w:t>
      </w:r>
    </w:p>
    <w:p w14:paraId="59AD233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14:paraId="52785504">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14:paraId="0018B9AB">
      <w:pPr>
        <w:keepNext w:val="0"/>
        <w:keepLines w:val="0"/>
        <w:pageBreakBefore w:val="0"/>
        <w:kinsoku/>
        <w:wordWrap/>
        <w:overflowPunct/>
        <w:topLinePunct w:val="0"/>
        <w:autoSpaceDE/>
        <w:autoSpaceDN/>
        <w:bidi w:val="0"/>
        <w:spacing w:line="576" w:lineRule="exact"/>
        <w:ind w:firstLine="640" w:firstLineChars="200"/>
        <w:textAlignment w:val="auto"/>
        <w:rPr>
          <w:rFonts w:hint="eastAsia"/>
          <w:sz w:val="32"/>
          <w:szCs w:val="32"/>
          <w:lang w:val="zh-CN"/>
        </w:rPr>
      </w:pP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0</w:t>
      </w:r>
      <w:r>
        <w:rPr>
          <w:rFonts w:hint="eastAsia" w:ascii="仿宋_GB2312" w:hAnsi="宋体" w:eastAsia="仿宋_GB2312" w:cs="宋体"/>
          <w:color w:val="000000"/>
          <w:kern w:val="0"/>
          <w:sz w:val="32"/>
          <w:szCs w:val="32"/>
          <w:shd w:val="clear" w:color="auto" w:fill="FFFFFF"/>
          <w:lang w:val="en-US" w:eastAsia="zh-CN"/>
        </w:rPr>
        <w:t>22</w:t>
      </w:r>
      <w:r>
        <w:rPr>
          <w:rFonts w:hint="eastAsia" w:ascii="仿宋_GB2312" w:hAnsi="宋体" w:eastAsia="仿宋_GB2312" w:cs="宋体"/>
          <w:color w:val="000000"/>
          <w:kern w:val="0"/>
          <w:sz w:val="32"/>
          <w:szCs w:val="32"/>
          <w:shd w:val="clear" w:color="auto" w:fill="FFFFFF"/>
          <w:lang w:val="zh-CN"/>
        </w:rPr>
        <w:t>年</w:t>
      </w:r>
      <w:r>
        <w:rPr>
          <w:rFonts w:hint="eastAsia" w:ascii="仿宋_GB2312" w:hAnsi="微软雅黑" w:eastAsia="仿宋_GB2312" w:cs="Times New Roman"/>
          <w:b w:val="0"/>
          <w:bCs w:val="0"/>
          <w:color w:val="auto"/>
          <w:kern w:val="2"/>
          <w:sz w:val="32"/>
          <w:szCs w:val="32"/>
          <w:lang w:val="en-US" w:eastAsia="zh-CN" w:bidi="ar-SA"/>
        </w:rPr>
        <w:t>区总工会根据评价指标体系测算，本部门整体支出绩效评价结果评分为95分</w:t>
      </w:r>
      <w:r>
        <w:rPr>
          <w:rFonts w:hint="eastAsia" w:ascii="仿宋_GB2312" w:hAnsi="宋体" w:eastAsia="仿宋_GB2312" w:cs="宋体"/>
          <w:color w:val="000000"/>
          <w:kern w:val="0"/>
          <w:sz w:val="32"/>
          <w:szCs w:val="32"/>
          <w:shd w:val="clear" w:color="auto" w:fill="FFFFFF"/>
          <w:lang w:val="zh-CN"/>
        </w:rPr>
        <w:t>。通过加强预算收支管理，不断建立健全内部管理制度，梳理内部管理流程，部门整体支出管理情况得到提升。</w:t>
      </w:r>
      <w:r>
        <w:rPr>
          <w:rFonts w:hint="eastAsia" w:ascii="仿宋_GB2312" w:hAnsi="微软雅黑" w:eastAsia="仿宋_GB2312" w:cs="Times New Roman"/>
          <w:b w:val="0"/>
          <w:bCs w:val="0"/>
          <w:color w:val="auto"/>
          <w:kern w:val="2"/>
          <w:sz w:val="32"/>
          <w:szCs w:val="32"/>
          <w:lang w:val="en-US" w:eastAsia="zh-CN" w:bidi="ar-SA"/>
        </w:rPr>
        <w:t>严格把关项目预算及资金来源，无虚支、超支、乱支等现象；严格按照财经制度刚性约束，实施绩效目标管理，实行专款专用，支出科学合理。</w:t>
      </w:r>
    </w:p>
    <w:p w14:paraId="55853CEB">
      <w:pPr>
        <w:keepNext w:val="0"/>
        <w:keepLines w:val="0"/>
        <w:pageBreakBefore w:val="0"/>
        <w:widowControl/>
        <w:numPr>
          <w:ilvl w:val="0"/>
          <w:numId w:val="7"/>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14:paraId="68530D06">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1、预决断编制需进一步强化。</w:t>
      </w:r>
    </w:p>
    <w:p w14:paraId="1A33542C">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sz w:val="32"/>
          <w:szCs w:val="32"/>
          <w:lang w:val="zh-CN"/>
        </w:rPr>
      </w:pPr>
      <w:r>
        <w:rPr>
          <w:rFonts w:hint="eastAsia" w:ascii="仿宋_GB2312" w:hAnsi="仿宋_GB2312" w:eastAsia="仿宋_GB2312" w:cs="仿宋_GB2312"/>
          <w:sz w:val="32"/>
          <w:szCs w:val="32"/>
          <w:lang w:val="en-US" w:eastAsia="zh-CN"/>
        </w:rPr>
        <w:t>2、公务卡执行率偏低。</w:t>
      </w:r>
    </w:p>
    <w:p w14:paraId="1A9B1605">
      <w:pPr>
        <w:keepNext w:val="0"/>
        <w:keepLines w:val="0"/>
        <w:pageBreakBefore w:val="0"/>
        <w:widowControl/>
        <w:numPr>
          <w:ilvl w:val="0"/>
          <w:numId w:val="7"/>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14:paraId="4EF504D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1、强化预算编制。预算编制工作做早、做细、做实，把预算审核贯穿于日常财政管理工作中，通过准确合理的预算实现职能任务的财力保障。</w:t>
      </w:r>
    </w:p>
    <w:p w14:paraId="1D0D217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2、加强预算执行管理。强化预算管理，完善定员定额标准，提高部门预算编制效率，从严控制“三公”经费，坚持从简节约的原则，对专项资金项目进行预算绩效评价，提高资金使用效益。</w:t>
      </w:r>
    </w:p>
    <w:p w14:paraId="01DB9AA0">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3、加快公务卡制度改革步伐。强化公务卡结算，加大财政支出的透明度，规范财政资金科学化、精细化管理。</w:t>
      </w:r>
    </w:p>
    <w:p w14:paraId="1B0B3A5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sz w:val="32"/>
          <w:szCs w:val="32"/>
          <w:lang w:val="zh-CN"/>
        </w:rPr>
      </w:pPr>
      <w:r>
        <w:rPr>
          <w:rFonts w:hint="eastAsia" w:ascii="仿宋_GB2312" w:hAnsi="仿宋_GB2312" w:eastAsia="仿宋_GB2312" w:cs="仿宋_GB2312"/>
          <w:sz w:val="32"/>
          <w:szCs w:val="32"/>
          <w:lang w:val="en-US" w:eastAsia="zh-CN"/>
        </w:rPr>
        <w:t>4、加强决算管理。严格规范日常基础工作，执行按月对账制度，做好年终决算清理，提高财政决算质量，将预决算作为一个整体，积极深化决算数据的分析利用，使决算成为反映预算执行情况、把握预算管理规律、提升预算编制水平的重要基础。</w:t>
      </w:r>
    </w:p>
    <w:p w14:paraId="1535494E">
      <w:pPr>
        <w:rPr>
          <w:rFonts w:hint="eastAsia"/>
          <w:lang w:val="zh-CN"/>
        </w:rPr>
      </w:pPr>
    </w:p>
    <w:p w14:paraId="3B34B4F8">
      <w:pPr>
        <w:pStyle w:val="8"/>
        <w:rPr>
          <w:rFonts w:hint="eastAsia"/>
          <w:lang w:val="zh-CN"/>
        </w:rPr>
      </w:pPr>
    </w:p>
    <w:p w14:paraId="785F0745">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183EE299">
      <w:pPr>
        <w:pStyle w:val="6"/>
        <w:rPr>
          <w:rFonts w:hint="eastAsia" w:hAnsi="宋体" w:cs="宋体"/>
          <w:color w:val="auto"/>
          <w:kern w:val="0"/>
          <w:sz w:val="32"/>
          <w:szCs w:val="32"/>
          <w:highlight w:val="none"/>
          <w:shd w:val="clear" w:color="auto" w:fill="FFFFFF"/>
          <w:lang w:val="zh-CN"/>
        </w:rPr>
      </w:pPr>
    </w:p>
    <w:p w14:paraId="1FFB9BA2">
      <w:pPr>
        <w:widowControl/>
        <w:jc w:val="left"/>
        <w:rPr>
          <w:rStyle w:val="28"/>
          <w:rFonts w:ascii="黑体" w:hAnsi="黑体" w:eastAsia="黑体"/>
          <w:b w:val="0"/>
          <w:color w:val="auto"/>
          <w:highlight w:val="none"/>
        </w:rPr>
      </w:pPr>
      <w:r>
        <w:rPr>
          <w:rStyle w:val="28"/>
          <w:rFonts w:ascii="黑体" w:hAnsi="黑体" w:eastAsia="黑体"/>
          <w:b w:val="0"/>
          <w:color w:val="auto"/>
          <w:highlight w:val="none"/>
        </w:rPr>
        <w:br w:type="page"/>
      </w:r>
    </w:p>
    <w:p w14:paraId="7726EEFC">
      <w:pPr>
        <w:spacing w:line="600" w:lineRule="exact"/>
        <w:jc w:val="center"/>
        <w:outlineLvl w:val="0"/>
        <w:rPr>
          <w:rFonts w:hint="eastAsia" w:ascii="仿宋" w:hAnsi="仿宋" w:eastAsia="仿宋"/>
          <w:b w:val="0"/>
          <w:color w:val="auto"/>
          <w:highlight w:val="none"/>
        </w:rPr>
      </w:pPr>
      <w:bookmarkStart w:id="86" w:name="_Toc10788"/>
      <w:bookmarkStart w:id="87" w:name="_Toc15396618"/>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82"/>
      <w:bookmarkEnd w:id="86"/>
      <w:bookmarkEnd w:id="87"/>
      <w:bookmarkStart w:id="88" w:name="_Toc15396619"/>
    </w:p>
    <w:p w14:paraId="086B0F6E">
      <w:pPr>
        <w:pStyle w:val="4"/>
        <w:rPr>
          <w:rFonts w:ascii="仿宋" w:hAnsi="仿宋" w:eastAsia="仿宋"/>
          <w:color w:val="auto"/>
          <w:highlight w:val="none"/>
        </w:rPr>
      </w:pPr>
      <w:bookmarkStart w:id="89" w:name="_Toc24842"/>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88"/>
      <w:bookmarkEnd w:id="89"/>
    </w:p>
    <w:p w14:paraId="4BB50BF0">
      <w:pPr>
        <w:pStyle w:val="4"/>
        <w:rPr>
          <w:rFonts w:ascii="仿宋" w:hAnsi="仿宋" w:eastAsia="仿宋"/>
          <w:color w:val="auto"/>
          <w:highlight w:val="none"/>
        </w:rPr>
      </w:pPr>
      <w:bookmarkStart w:id="90" w:name="_Toc11592"/>
      <w:bookmarkStart w:id="91"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90"/>
      <w:bookmarkEnd w:id="91"/>
    </w:p>
    <w:p w14:paraId="37A600D6">
      <w:pPr>
        <w:pStyle w:val="4"/>
        <w:rPr>
          <w:rFonts w:ascii="仿宋" w:hAnsi="仿宋" w:eastAsia="仿宋"/>
          <w:color w:val="auto"/>
          <w:highlight w:val="none"/>
        </w:rPr>
      </w:pPr>
      <w:bookmarkStart w:id="92" w:name="_Toc8428"/>
      <w:bookmarkStart w:id="93"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92"/>
      <w:bookmarkEnd w:id="93"/>
    </w:p>
    <w:p w14:paraId="0399EFB4">
      <w:pPr>
        <w:pStyle w:val="4"/>
        <w:rPr>
          <w:rFonts w:ascii="仿宋" w:hAnsi="仿宋" w:eastAsia="仿宋"/>
          <w:b w:val="0"/>
          <w:color w:val="auto"/>
          <w:highlight w:val="none"/>
        </w:rPr>
      </w:pPr>
      <w:bookmarkStart w:id="94" w:name="_Toc31575"/>
      <w:bookmarkStart w:id="95"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94"/>
      <w:bookmarkEnd w:id="95"/>
    </w:p>
    <w:p w14:paraId="58B80128">
      <w:pPr>
        <w:pStyle w:val="4"/>
        <w:rPr>
          <w:rStyle w:val="29"/>
          <w:rFonts w:ascii="仿宋" w:hAnsi="仿宋" w:eastAsia="仿宋"/>
          <w:b w:val="0"/>
          <w:bCs w:val="0"/>
          <w:color w:val="auto"/>
          <w:highlight w:val="none"/>
        </w:rPr>
      </w:pPr>
      <w:bookmarkStart w:id="96" w:name="_Toc20666"/>
      <w:bookmarkStart w:id="97"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96"/>
      <w:bookmarkEnd w:id="97"/>
      <w:bookmarkStart w:id="98" w:name="_Toc15396624"/>
    </w:p>
    <w:p w14:paraId="249790BC">
      <w:pPr>
        <w:pStyle w:val="4"/>
        <w:rPr>
          <w:rFonts w:ascii="仿宋" w:hAnsi="仿宋" w:eastAsia="仿宋"/>
          <w:color w:val="auto"/>
          <w:highlight w:val="none"/>
        </w:rPr>
      </w:pPr>
      <w:bookmarkStart w:id="99" w:name="_Toc21655"/>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98"/>
      <w:bookmarkEnd w:id="99"/>
    </w:p>
    <w:p w14:paraId="4FEB7421">
      <w:pPr>
        <w:pStyle w:val="4"/>
        <w:rPr>
          <w:rFonts w:ascii="仿宋" w:hAnsi="仿宋" w:eastAsia="仿宋"/>
          <w:color w:val="auto"/>
          <w:highlight w:val="none"/>
        </w:rPr>
      </w:pPr>
      <w:bookmarkStart w:id="100" w:name="_Toc15396625"/>
      <w:bookmarkStart w:id="101" w:name="_Toc26403"/>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100"/>
      <w:bookmarkEnd w:id="101"/>
    </w:p>
    <w:p w14:paraId="11E38769">
      <w:pPr>
        <w:pStyle w:val="4"/>
        <w:rPr>
          <w:rFonts w:ascii="仿宋" w:hAnsi="仿宋" w:eastAsia="仿宋"/>
          <w:color w:val="auto"/>
          <w:highlight w:val="none"/>
        </w:rPr>
      </w:pPr>
      <w:bookmarkStart w:id="102" w:name="_Toc5770"/>
      <w:bookmarkStart w:id="103"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102"/>
      <w:bookmarkEnd w:id="103"/>
    </w:p>
    <w:p w14:paraId="022047E1">
      <w:pPr>
        <w:pStyle w:val="4"/>
        <w:rPr>
          <w:rFonts w:ascii="仿宋" w:hAnsi="仿宋" w:eastAsia="仿宋"/>
          <w:color w:val="auto"/>
          <w:highlight w:val="none"/>
        </w:rPr>
      </w:pPr>
      <w:bookmarkStart w:id="104" w:name="_Toc20195"/>
      <w:bookmarkStart w:id="105"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104"/>
      <w:bookmarkEnd w:id="105"/>
    </w:p>
    <w:p w14:paraId="3447C87C">
      <w:pPr>
        <w:pStyle w:val="4"/>
        <w:rPr>
          <w:rFonts w:ascii="仿宋" w:hAnsi="仿宋" w:eastAsia="仿宋"/>
          <w:color w:val="auto"/>
          <w:highlight w:val="none"/>
        </w:rPr>
      </w:pPr>
      <w:bookmarkStart w:id="106" w:name="_Toc15396628"/>
      <w:bookmarkStart w:id="107" w:name="_Toc7963"/>
      <w:r>
        <w:rPr>
          <w:rStyle w:val="29"/>
          <w:rFonts w:hint="eastAsia" w:ascii="仿宋" w:hAnsi="仿宋" w:eastAsia="仿宋"/>
          <w:b w:val="0"/>
          <w:bCs w:val="0"/>
          <w:color w:val="auto"/>
          <w:highlight w:val="none"/>
        </w:rPr>
        <w:t>十、</w:t>
      </w:r>
      <w:bookmarkEnd w:id="106"/>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107"/>
    </w:p>
    <w:p w14:paraId="5B5F03CC">
      <w:pPr>
        <w:pStyle w:val="4"/>
        <w:rPr>
          <w:rFonts w:ascii="仿宋" w:hAnsi="仿宋" w:eastAsia="仿宋"/>
          <w:color w:val="auto"/>
          <w:highlight w:val="none"/>
        </w:rPr>
      </w:pPr>
      <w:bookmarkStart w:id="108" w:name="_Toc15396629"/>
      <w:bookmarkStart w:id="109" w:name="_Toc7126"/>
      <w:r>
        <w:rPr>
          <w:rStyle w:val="29"/>
          <w:rFonts w:hint="eastAsia" w:ascii="仿宋" w:hAnsi="仿宋" w:eastAsia="仿宋"/>
          <w:b w:val="0"/>
          <w:bCs w:val="0"/>
          <w:color w:val="auto"/>
          <w:highlight w:val="none"/>
        </w:rPr>
        <w:t>十一、</w:t>
      </w:r>
      <w:bookmarkEnd w:id="108"/>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109"/>
    </w:p>
    <w:p w14:paraId="4D886BB3">
      <w:pPr>
        <w:pStyle w:val="4"/>
        <w:rPr>
          <w:rFonts w:ascii="仿宋" w:hAnsi="仿宋" w:eastAsia="仿宋"/>
          <w:color w:val="auto"/>
          <w:highlight w:val="none"/>
        </w:rPr>
      </w:pPr>
      <w:bookmarkStart w:id="110" w:name="_Toc15396630"/>
      <w:bookmarkStart w:id="111" w:name="_Toc4591"/>
      <w:r>
        <w:rPr>
          <w:rStyle w:val="29"/>
          <w:rFonts w:hint="eastAsia" w:ascii="仿宋" w:hAnsi="仿宋" w:eastAsia="仿宋"/>
          <w:b w:val="0"/>
          <w:bCs w:val="0"/>
          <w:color w:val="auto"/>
          <w:highlight w:val="none"/>
        </w:rPr>
        <w:t>十二、</w:t>
      </w:r>
      <w:bookmarkEnd w:id="110"/>
      <w:r>
        <w:rPr>
          <w:rStyle w:val="29"/>
          <w:rFonts w:hint="eastAsia" w:ascii="仿宋" w:hAnsi="仿宋" w:eastAsia="仿宋"/>
          <w:b w:val="0"/>
          <w:bCs w:val="0"/>
          <w:color w:val="auto"/>
          <w:highlight w:val="none"/>
          <w:lang w:eastAsia="zh-CN"/>
        </w:rPr>
        <w:t>国有资本经营预算财政拨款支出决算表</w:t>
      </w:r>
      <w:bookmarkEnd w:id="111"/>
    </w:p>
    <w:p w14:paraId="7B7E29E1">
      <w:pPr>
        <w:pStyle w:val="4"/>
        <w:rPr>
          <w:rFonts w:hint="eastAsia" w:eastAsia="仿宋"/>
          <w:color w:val="auto"/>
          <w:highlight w:val="none"/>
          <w:lang w:eastAsia="zh-CN"/>
        </w:rPr>
      </w:pPr>
      <w:bookmarkStart w:id="112" w:name="_Toc15396631"/>
      <w:bookmarkStart w:id="113" w:name="_Toc3450"/>
      <w:r>
        <w:rPr>
          <w:rStyle w:val="29"/>
          <w:rFonts w:hint="eastAsia" w:ascii="仿宋" w:hAnsi="仿宋" w:eastAsia="仿宋"/>
          <w:b w:val="0"/>
          <w:bCs w:val="0"/>
          <w:color w:val="auto"/>
          <w:highlight w:val="none"/>
        </w:rPr>
        <w:t>十三、</w:t>
      </w:r>
      <w:bookmarkEnd w:id="112"/>
      <w:r>
        <w:rPr>
          <w:rStyle w:val="29"/>
          <w:rFonts w:hint="eastAsia" w:ascii="仿宋" w:hAnsi="仿宋" w:eastAsia="仿宋"/>
          <w:b w:val="0"/>
          <w:bCs w:val="0"/>
          <w:color w:val="auto"/>
          <w:highlight w:val="none"/>
          <w:lang w:eastAsia="zh-CN"/>
        </w:rPr>
        <w:t>财政拨款“三公”经费支出决算表</w:t>
      </w:r>
      <w:bookmarkEnd w:id="113"/>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2F5ADC-5C25-4E7B-9AA9-F33C8ACFA5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DF35D5-3442-4CFF-A8D9-5A9AF00A813F}"/>
  </w:font>
  <w:font w:name="Cambria">
    <w:panose1 w:val="02040503050406030204"/>
    <w:charset w:val="00"/>
    <w:family w:val="roman"/>
    <w:pitch w:val="default"/>
    <w:sig w:usb0="E00006FF" w:usb1="420024FF" w:usb2="02000000" w:usb3="00000000" w:csb0="2000019F" w:csb1="00000000"/>
    <w:embedRegular r:id="rId3" w:fontKey="{83D45C10-1999-4475-A2DA-06D82BDC0222}"/>
  </w:font>
  <w:font w:name="仿宋_GB2312">
    <w:altName w:val="仿宋"/>
    <w:panose1 w:val="02010609030101010101"/>
    <w:charset w:val="86"/>
    <w:family w:val="modern"/>
    <w:pitch w:val="default"/>
    <w:sig w:usb0="00000000" w:usb1="00000000" w:usb2="00000000" w:usb3="00000000" w:csb0="00040000" w:csb1="00000000"/>
    <w:embedRegular r:id="rId4" w:fontKey="{1F0DD911-21F5-43DA-95B4-41CFA2765CCA}"/>
  </w:font>
  <w:font w:name="仿宋">
    <w:panose1 w:val="02010609060101010101"/>
    <w:charset w:val="86"/>
    <w:family w:val="modern"/>
    <w:pitch w:val="default"/>
    <w:sig w:usb0="800002BF" w:usb1="38CF7CFA" w:usb2="00000016" w:usb3="00000000" w:csb0="00040001" w:csb1="00000000"/>
    <w:embedRegular r:id="rId5" w:fontKey="{C935A56D-4191-4628-A0D2-2AD25E424D9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6" w:fontKey="{67265327-4F31-4BAC-905C-DF72A61F13E3}"/>
  </w:font>
  <w:font w:name="方正小标宋简体">
    <w:panose1 w:val="02000000000000000000"/>
    <w:charset w:val="86"/>
    <w:family w:val="script"/>
    <w:pitch w:val="default"/>
    <w:sig w:usb0="00000001" w:usb1="08000000" w:usb2="00000000" w:usb3="00000000" w:csb0="00040000" w:csb1="00000000"/>
    <w:embedRegular r:id="rId7" w:fontKey="{DF07F58F-86A5-4F37-984D-CF74D8C90F8D}"/>
  </w:font>
  <w:font w:name="楷体_GB2312">
    <w:panose1 w:val="02010609030101010101"/>
    <w:charset w:val="86"/>
    <w:family w:val="auto"/>
    <w:pitch w:val="default"/>
    <w:sig w:usb0="00000001" w:usb1="080E0000" w:usb2="00000000" w:usb3="00000000" w:csb0="00040000" w:csb1="00000000"/>
    <w:embedRegular r:id="rId8" w:fontKey="{ECCAEB78-FCF4-433A-BBE3-58AEC00782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B5D7A39">
        <w:pPr>
          <w:pStyle w:val="11"/>
          <w:jc w:val="center"/>
        </w:pPr>
        <w:r>
          <w:fldChar w:fldCharType="begin"/>
        </w:r>
        <w:r>
          <w:instrText xml:space="preserve">PAGE   \* MERGEFORMAT</w:instrText>
        </w:r>
        <w:r>
          <w:fldChar w:fldCharType="separate"/>
        </w:r>
        <w:r>
          <w:rPr>
            <w:lang w:val="zh-CN"/>
          </w:rPr>
          <w:t>8</w:t>
        </w:r>
        <w:r>
          <w:fldChar w:fldCharType="end"/>
        </w:r>
      </w:p>
    </w:sdtContent>
  </w:sdt>
  <w:p w14:paraId="63E1459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217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2C411"/>
    <w:multiLevelType w:val="singleLevel"/>
    <w:tmpl w:val="97F2C41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ED6ACC8"/>
    <w:multiLevelType w:val="singleLevel"/>
    <w:tmpl w:val="1ED6ACC8"/>
    <w:lvl w:ilvl="0" w:tentative="0">
      <w:start w:val="1"/>
      <w:numFmt w:val="chineseCounting"/>
      <w:suff w:val="nothing"/>
      <w:lvlText w:val="（%1）"/>
      <w:lvlJc w:val="left"/>
      <w:rPr>
        <w:rFonts w:hint="eastAsia"/>
      </w:r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ZjBjZGNiZDI5NGM3NGNmYzg5MWQxNDQ3NDFkO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C9E047D"/>
    <w:rsid w:val="0CC45DD2"/>
    <w:rsid w:val="0F98263C"/>
    <w:rsid w:val="101860EC"/>
    <w:rsid w:val="10C055FF"/>
    <w:rsid w:val="118107EC"/>
    <w:rsid w:val="124B0249"/>
    <w:rsid w:val="13D50BC4"/>
    <w:rsid w:val="16BB723D"/>
    <w:rsid w:val="17CE60BA"/>
    <w:rsid w:val="1BE8440E"/>
    <w:rsid w:val="1D155CEE"/>
    <w:rsid w:val="1D3C3AC6"/>
    <w:rsid w:val="1FF35744"/>
    <w:rsid w:val="23860B96"/>
    <w:rsid w:val="240371BF"/>
    <w:rsid w:val="25491ACD"/>
    <w:rsid w:val="29FD04D3"/>
    <w:rsid w:val="2A5F31F7"/>
    <w:rsid w:val="2C8A61B5"/>
    <w:rsid w:val="2DF04E50"/>
    <w:rsid w:val="2F040D46"/>
    <w:rsid w:val="319F7F4E"/>
    <w:rsid w:val="3304709D"/>
    <w:rsid w:val="36AA5135"/>
    <w:rsid w:val="376D39B2"/>
    <w:rsid w:val="37E16F03"/>
    <w:rsid w:val="38D469F0"/>
    <w:rsid w:val="3D540560"/>
    <w:rsid w:val="3D98207C"/>
    <w:rsid w:val="3E78745D"/>
    <w:rsid w:val="412752D9"/>
    <w:rsid w:val="44E268DA"/>
    <w:rsid w:val="460C2EF6"/>
    <w:rsid w:val="47094169"/>
    <w:rsid w:val="49BA799D"/>
    <w:rsid w:val="4A627F82"/>
    <w:rsid w:val="4B0E749A"/>
    <w:rsid w:val="4B4F25DA"/>
    <w:rsid w:val="4BE068DB"/>
    <w:rsid w:val="4D106251"/>
    <w:rsid w:val="4D530D17"/>
    <w:rsid w:val="4D577224"/>
    <w:rsid w:val="4EAB630A"/>
    <w:rsid w:val="4ECE2238"/>
    <w:rsid w:val="537E6D0A"/>
    <w:rsid w:val="59613991"/>
    <w:rsid w:val="5AF92295"/>
    <w:rsid w:val="5BA42BC0"/>
    <w:rsid w:val="5BF925A6"/>
    <w:rsid w:val="5CD71FC4"/>
    <w:rsid w:val="69EC374B"/>
    <w:rsid w:val="6C4A05C8"/>
    <w:rsid w:val="6C5C0714"/>
    <w:rsid w:val="6E7E3605"/>
    <w:rsid w:val="6FF5CC65"/>
    <w:rsid w:val="715C0E4B"/>
    <w:rsid w:val="72734D90"/>
    <w:rsid w:val="73AD73D5"/>
    <w:rsid w:val="73B6EB34"/>
    <w:rsid w:val="744731E5"/>
    <w:rsid w:val="75B23F64"/>
    <w:rsid w:val="76E3355F"/>
    <w:rsid w:val="778769C8"/>
    <w:rsid w:val="79EE5BA4"/>
    <w:rsid w:val="7A0F3269"/>
    <w:rsid w:val="7A894339"/>
    <w:rsid w:val="7CBC51FE"/>
    <w:rsid w:val="7EEF11D3"/>
    <w:rsid w:val="7F2A46A1"/>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ind w:leftChars="200" w:hanging="200" w:hangingChars="200"/>
    </w:pPr>
  </w:style>
  <w:style w:type="paragraph" w:styleId="6">
    <w:name w:val="Body Text"/>
    <w:basedOn w:val="1"/>
    <w:next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正文-啊"/>
    <w:basedOn w:val="1"/>
    <w:qFormat/>
    <w:uiPriority w:val="0"/>
    <w:pPr>
      <w:spacing w:beforeLines="100" w:line="276" w:lineRule="auto"/>
      <w:ind w:left="210" w:right="210" w:firstLine="600"/>
      <w:contextualSpacing/>
    </w:pPr>
    <w:rPr>
      <w:rFonts w:ascii="微软雅黑" w:hAnsi="微软雅黑"/>
      <w:color w:val="000000"/>
      <w:sz w:val="24"/>
      <w:szCs w:val="21"/>
    </w:rPr>
  </w:style>
  <w:style w:type="character" w:customStyle="1" w:styleId="36">
    <w:name w:val="style51"/>
    <w:qFormat/>
    <w:uiPriority w:val="0"/>
    <w:rPr>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9943</Words>
  <Characters>10507</Characters>
  <Lines>61</Lines>
  <Paragraphs>17</Paragraphs>
  <TotalTime>1</TotalTime>
  <ScaleCrop>false</ScaleCrop>
  <LinksUpToDate>false</LinksUpToDate>
  <CharactersWithSpaces>10629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2023-09-25T07:34:00Z</cp:lastPrinted>
  <dcterms:modified xsi:type="dcterms:W3CDTF">2024-12-19T06:58:19Z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EC073FE4BA054A95989E69C65F1204C3_12</vt:lpwstr>
  </property>
  <property fmtid="{D5CDD505-2E9C-101B-9397-08002B2CF9AE}" pid="4" name="KSOTemplateDocerSaveRecord">
    <vt:lpwstr>eyJoZGlkIjoiMGVhYTg4NGNkZWJkODFjNzcyZDRjM2M4Y2UzNjI5ZmUiLCJ1c2VySWQiOiI2MTE2MzEwMDYifQ==</vt:lpwstr>
  </property>
</Properties>
</file>