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193"/>
      <w:bookmarkStart w:id="2" w:name="_Toc15396597"/>
      <w:bookmarkStart w:id="3" w:name="_Toc15396475"/>
      <w:bookmarkStart w:id="4" w:name="_Toc15377425"/>
      <w:bookmarkStart w:id="5" w:name="_Toc1537844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6" w:name="_Toc15396598"/>
      <w:bookmarkStart w:id="7" w:name="_Toc15377194"/>
      <w:bookmarkStart w:id="8" w:name="_Toc15396476"/>
      <w:bookmarkStart w:id="9" w:name="_Toc15378442"/>
      <w:bookmarkStart w:id="10" w:name="_Toc15377426"/>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广元市昭化区亭子湖景区保护与发展中心</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部门</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hint="eastAsia" w:ascii="方正小标宋简体" w:hAnsi="宋体" w:eastAsia="方正小标宋简体"/>
          <w:color w:val="auto"/>
          <w:sz w:val="52"/>
          <w:szCs w:val="52"/>
          <w:highlight w:val="none"/>
          <w:lang w:val="en-US" w:eastAsia="zh-CN"/>
        </w:rPr>
        <w:t xml:space="preserve"> </w:t>
      </w: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1"/>
        <w:jc w:val="center"/>
        <w:rPr>
          <w:rFonts w:hint="default" w:eastAsia="仿宋"/>
          <w:color w:val="auto"/>
          <w:highlight w:val="none"/>
          <w:lang w:val="en-US" w:eastAsia="zh-CN"/>
        </w:rPr>
      </w:pPr>
      <w:r>
        <w:rPr>
          <w:rFonts w:hint="eastAsia"/>
          <w:color w:val="auto"/>
          <w:highlight w:val="none"/>
          <w:lang w:eastAsia="zh-CN"/>
        </w:rPr>
        <w:t>公开时间：</w:t>
      </w:r>
      <w:r>
        <w:rPr>
          <w:rFonts w:hint="eastAsia"/>
          <w:color w:val="auto"/>
          <w:highlight w:val="none"/>
          <w:lang w:val="en-US" w:eastAsia="zh-CN"/>
        </w:rPr>
        <w:t>2023年9月27日</w:t>
      </w:r>
    </w:p>
    <w:p>
      <w:pPr>
        <w:rPr>
          <w:color w:val="auto"/>
          <w:highlight w:val="none"/>
        </w:rPr>
      </w:pPr>
    </w:p>
    <w:p>
      <w:pPr>
        <w:pStyle w:val="11"/>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部门</w:t>
      </w:r>
      <w:r>
        <w:rPr>
          <w:rFonts w:hint="eastAsia"/>
          <w:color w:val="auto"/>
          <w:sz w:val="24"/>
          <w:highlight w:val="none"/>
        </w:rPr>
        <w:t>概况</w:t>
      </w:r>
      <w:r>
        <w:tab/>
      </w:r>
      <w:r>
        <w:rPr>
          <w:rFonts w:hint="eastAsia"/>
          <w:lang w:val="en-US" w:eastAsia="zh-CN"/>
        </w:rPr>
        <w:t>4</w:t>
      </w:r>
      <w:r>
        <w:rPr>
          <w:rFonts w:hint="eastAsia"/>
          <w:sz w:val="24"/>
          <w:lang w:val="en-US" w:eastAsia="zh-CN"/>
        </w:rPr>
        <w:t xml:space="preserve"> </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部门职责</w:t>
      </w:r>
      <w:r>
        <w:rPr>
          <w:rFonts w:ascii="仿宋" w:hAnsi="仿宋" w:eastAsia="仿宋"/>
          <w:sz w:val="28"/>
          <w:szCs w:val="28"/>
        </w:rPr>
        <w:tab/>
      </w:r>
      <w:r>
        <w:rPr>
          <w:rFonts w:hint="eastAsia" w:ascii="仿宋" w:hAnsi="仿宋" w:eastAsia="仿宋"/>
          <w:sz w:val="28"/>
          <w:szCs w:val="28"/>
          <w:lang w:val="en-US" w:eastAsia="zh-CN"/>
        </w:rPr>
        <w:t>4</w:t>
      </w:r>
    </w:p>
    <w:p>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机构设置</w:t>
      </w:r>
      <w:r>
        <w:rPr>
          <w:rFonts w:ascii="仿宋" w:hAnsi="仿宋" w:eastAsia="仿宋"/>
          <w:sz w:val="28"/>
          <w:szCs w:val="28"/>
        </w:rPr>
        <w:tab/>
      </w:r>
      <w:r>
        <w:rPr>
          <w:rFonts w:hint="eastAsia" w:ascii="仿宋" w:hAnsi="仿宋" w:eastAsia="仿宋"/>
          <w:sz w:val="28"/>
          <w:szCs w:val="28"/>
          <w:lang w:val="en-US" w:eastAsia="zh-CN"/>
        </w:rPr>
        <w:t>5</w:t>
      </w:r>
    </w:p>
    <w:p>
      <w:pPr>
        <w:pStyle w:val="11"/>
        <w:adjustRightInd w:val="0"/>
        <w:snapToGrid w:val="0"/>
        <w:spacing w:before="0" w:line="440" w:lineRule="exact"/>
        <w:jc w:val="left"/>
        <w:rPr>
          <w:rFonts w:hint="eastAsia"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lang w:eastAsia="zh-CN"/>
        </w:rPr>
        <w:t>部门</w:t>
      </w:r>
      <w:r>
        <w:rPr>
          <w:rFonts w:hint="eastAsia"/>
          <w:color w:val="auto"/>
          <w:sz w:val="24"/>
          <w:highlight w:val="none"/>
        </w:rPr>
        <w:t>决算情况说明</w:t>
      </w:r>
      <w:r>
        <w:tab/>
      </w:r>
      <w:r>
        <w:rPr>
          <w:rFonts w:hint="eastAsia"/>
          <w:lang w:val="en-US" w:eastAsia="zh-CN"/>
        </w:rPr>
        <w:t>5</w:t>
      </w:r>
    </w:p>
    <w:p>
      <w:pPr>
        <w:pStyle w:val="12"/>
        <w:adjustRightInd w:val="0"/>
        <w:snapToGrid w:val="0"/>
        <w:spacing w:line="440" w:lineRule="exact"/>
        <w:jc w:val="left"/>
        <w:rPr>
          <w:rFonts w:hint="eastAsia" w:ascii="仿宋" w:hAnsi="仿宋" w:eastAsia="仿宋" w:cstheme="minorBidi"/>
          <w:color w:val="auto"/>
          <w:sz w:val="24"/>
          <w:highlight w:val="none"/>
          <w:lang w:val="en-US" w:eastAsia="zh-CN"/>
        </w:rPr>
      </w:pPr>
      <w:r>
        <w:rPr>
          <w:rFonts w:hint="eastAsia"/>
          <w:color w:val="auto"/>
          <w:sz w:val="24"/>
          <w:highlight w:val="none"/>
        </w:rPr>
        <w:t>一、收入支出决算总体情况说明</w:t>
      </w:r>
      <w:r>
        <w:rPr>
          <w:rFonts w:ascii="仿宋" w:hAnsi="仿宋" w:eastAsia="仿宋"/>
          <w:sz w:val="28"/>
          <w:szCs w:val="28"/>
        </w:rPr>
        <w:tab/>
      </w:r>
      <w:r>
        <w:rPr>
          <w:rFonts w:hint="eastAsia" w:ascii="仿宋" w:hAnsi="仿宋" w:eastAsia="仿宋"/>
          <w:sz w:val="28"/>
          <w:szCs w:val="28"/>
          <w:lang w:val="en-US" w:eastAsia="zh-CN"/>
        </w:rPr>
        <w:t>5</w:t>
      </w:r>
    </w:p>
    <w:p>
      <w:pPr>
        <w:pStyle w:val="12"/>
        <w:adjustRightInd w:val="0"/>
        <w:snapToGrid w:val="0"/>
        <w:spacing w:line="440" w:lineRule="exact"/>
        <w:jc w:val="left"/>
        <w:rPr>
          <w:rFonts w:hint="eastAsia" w:ascii="仿宋" w:hAnsi="仿宋" w:eastAsia="仿宋" w:cstheme="minorBidi"/>
          <w:color w:val="auto"/>
          <w:sz w:val="24"/>
          <w:highlight w:val="none"/>
          <w:lang w:val="en-US" w:eastAsia="zh-CN"/>
        </w:rPr>
      </w:pPr>
      <w:r>
        <w:rPr>
          <w:rFonts w:hint="eastAsia"/>
          <w:color w:val="auto"/>
          <w:sz w:val="24"/>
          <w:highlight w:val="none"/>
        </w:rPr>
        <w:t>二、收入决算情况说明</w:t>
      </w:r>
      <w:r>
        <w:rPr>
          <w:rFonts w:ascii="仿宋" w:hAnsi="仿宋" w:eastAsia="仿宋"/>
          <w:sz w:val="28"/>
          <w:szCs w:val="28"/>
        </w:rPr>
        <w:tab/>
      </w:r>
      <w:r>
        <w:rPr>
          <w:rFonts w:hint="eastAsia" w:ascii="仿宋" w:hAnsi="仿宋" w:eastAsia="仿宋"/>
          <w:sz w:val="28"/>
          <w:szCs w:val="28"/>
          <w:lang w:val="en-US" w:eastAsia="zh-CN"/>
        </w:rPr>
        <w:t>5</w:t>
      </w:r>
    </w:p>
    <w:p>
      <w:pPr>
        <w:pStyle w:val="12"/>
        <w:adjustRightInd w:val="0"/>
        <w:snapToGrid w:val="0"/>
        <w:spacing w:line="440" w:lineRule="exact"/>
        <w:jc w:val="left"/>
        <w:rPr>
          <w:rFonts w:hint="eastAsia" w:ascii="仿宋" w:hAnsi="仿宋" w:eastAsia="仿宋" w:cstheme="minorBidi"/>
          <w:color w:val="auto"/>
          <w:sz w:val="24"/>
          <w:highlight w:val="none"/>
          <w:lang w:val="en-US" w:eastAsia="zh-CN"/>
        </w:rPr>
      </w:pPr>
      <w:r>
        <w:rPr>
          <w:rFonts w:hint="eastAsia"/>
          <w:color w:val="auto"/>
          <w:sz w:val="24"/>
          <w:highlight w:val="none"/>
        </w:rPr>
        <w:t>三、支出决算情况说明</w:t>
      </w:r>
      <w:r>
        <w:rPr>
          <w:rFonts w:ascii="仿宋" w:hAnsi="仿宋" w:eastAsia="仿宋"/>
          <w:sz w:val="28"/>
          <w:szCs w:val="28"/>
        </w:rPr>
        <w:tab/>
      </w:r>
      <w:r>
        <w:rPr>
          <w:rFonts w:hint="eastAsia" w:ascii="仿宋" w:hAnsi="仿宋" w:eastAsia="仿宋"/>
          <w:sz w:val="28"/>
          <w:szCs w:val="28"/>
          <w:lang w:val="en-US" w:eastAsia="zh-CN"/>
        </w:rPr>
        <w:t>6</w:t>
      </w:r>
    </w:p>
    <w:p>
      <w:pPr>
        <w:pStyle w:val="12"/>
        <w:adjustRightInd w:val="0"/>
        <w:snapToGrid w:val="0"/>
        <w:spacing w:line="440" w:lineRule="exact"/>
        <w:jc w:val="left"/>
        <w:rPr>
          <w:rFonts w:hint="eastAsia" w:ascii="仿宋" w:hAnsi="仿宋" w:eastAsia="仿宋" w:cstheme="minorBidi"/>
          <w:color w:val="auto"/>
          <w:sz w:val="24"/>
          <w:highlight w:val="none"/>
          <w:lang w:val="en-US" w:eastAsia="zh-CN"/>
        </w:rPr>
      </w:pPr>
      <w:r>
        <w:rPr>
          <w:rFonts w:hint="eastAsia"/>
          <w:color w:val="auto"/>
          <w:sz w:val="24"/>
          <w:highlight w:val="none"/>
        </w:rPr>
        <w:t>四、财政拨款收入支出决算总体情况说明</w:t>
      </w:r>
      <w:r>
        <w:rPr>
          <w:rFonts w:ascii="仿宋" w:hAnsi="仿宋" w:eastAsia="仿宋"/>
          <w:sz w:val="28"/>
          <w:szCs w:val="28"/>
        </w:rPr>
        <w:tab/>
      </w:r>
      <w:r>
        <w:rPr>
          <w:rFonts w:hint="eastAsia" w:ascii="仿宋" w:hAnsi="仿宋" w:eastAsia="仿宋"/>
          <w:sz w:val="28"/>
          <w:szCs w:val="28"/>
          <w:lang w:val="en-US" w:eastAsia="zh-CN"/>
        </w:rPr>
        <w:t>6</w:t>
      </w:r>
    </w:p>
    <w:p>
      <w:pPr>
        <w:pStyle w:val="12"/>
        <w:adjustRightInd w:val="0"/>
        <w:snapToGrid w:val="0"/>
        <w:spacing w:line="440" w:lineRule="exact"/>
        <w:jc w:val="left"/>
        <w:rPr>
          <w:rFonts w:hint="eastAsia" w:ascii="仿宋" w:hAnsi="仿宋" w:eastAsia="仿宋" w:cstheme="minorBidi"/>
          <w:color w:val="auto"/>
          <w:sz w:val="24"/>
          <w:highlight w:val="none"/>
          <w:lang w:val="en-US" w:eastAsia="zh-CN"/>
        </w:rPr>
      </w:pPr>
      <w:r>
        <w:rPr>
          <w:rFonts w:hint="eastAsia"/>
          <w:color w:val="auto"/>
          <w:sz w:val="24"/>
          <w:highlight w:val="none"/>
        </w:rPr>
        <w:t>五、一般公共预算财政拨款支出决算情况说明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7</w:t>
      </w:r>
    </w:p>
    <w:p>
      <w:pPr>
        <w:pStyle w:val="12"/>
        <w:adjustRightInd w:val="0"/>
        <w:snapToGrid w:val="0"/>
        <w:spacing w:line="440" w:lineRule="exact"/>
        <w:jc w:val="left"/>
        <w:rPr>
          <w:rFonts w:hint="default" w:ascii="仿宋" w:hAnsi="仿宋" w:eastAsia="仿宋" w:cstheme="minorBidi"/>
          <w:color w:val="auto"/>
          <w:sz w:val="24"/>
          <w:highlight w:val="none"/>
          <w:lang w:val="en-US" w:eastAsia="zh-CN"/>
        </w:rPr>
      </w:pPr>
      <w:r>
        <w:rPr>
          <w:rFonts w:hint="eastAsia"/>
          <w:color w:val="auto"/>
          <w:sz w:val="24"/>
          <w:highlight w:val="none"/>
        </w:rPr>
        <w:t>六、一般公共预算财政拨款基本支出决算情况说明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10</w:t>
      </w:r>
    </w:p>
    <w:p>
      <w:pPr>
        <w:pStyle w:val="12"/>
        <w:adjustRightInd w:val="0"/>
        <w:snapToGrid w:val="0"/>
        <w:spacing w:line="440" w:lineRule="exact"/>
        <w:jc w:val="left"/>
        <w:rPr>
          <w:rFonts w:hint="default" w:ascii="仿宋" w:hAnsi="仿宋" w:eastAsia="仿宋" w:cstheme="minorBidi"/>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财政拨款“</w:t>
      </w:r>
      <w:r>
        <w:rPr>
          <w:rFonts w:hint="eastAsia"/>
          <w:color w:val="auto"/>
          <w:sz w:val="24"/>
          <w:highlight w:val="none"/>
        </w:rPr>
        <w:t>三公”经费支出决算情况说明</w:t>
      </w:r>
      <w:r>
        <w:rPr>
          <w:rFonts w:ascii="仿宋" w:hAnsi="仿宋" w:eastAsia="仿宋"/>
          <w:sz w:val="28"/>
          <w:szCs w:val="28"/>
        </w:rPr>
        <w:tab/>
      </w:r>
      <w:r>
        <w:rPr>
          <w:rFonts w:hint="eastAsia" w:ascii="仿宋" w:hAnsi="仿宋" w:eastAsia="仿宋"/>
          <w:sz w:val="28"/>
          <w:szCs w:val="28"/>
          <w:lang w:val="en-US" w:eastAsia="zh-CN"/>
        </w:rPr>
        <w:t>10</w:t>
      </w:r>
    </w:p>
    <w:p>
      <w:pPr>
        <w:pStyle w:val="12"/>
        <w:adjustRightInd w:val="0"/>
        <w:snapToGrid w:val="0"/>
        <w:spacing w:line="440" w:lineRule="exact"/>
        <w:jc w:val="left"/>
        <w:rPr>
          <w:rFonts w:hint="default" w:ascii="仿宋" w:hAnsi="仿宋" w:eastAsia="仿宋" w:cstheme="minorBidi"/>
          <w:color w:val="auto"/>
          <w:sz w:val="24"/>
          <w:highlight w:val="none"/>
          <w:lang w:val="en-US" w:eastAsia="zh-CN"/>
        </w:rPr>
      </w:pPr>
      <w:r>
        <w:rPr>
          <w:rFonts w:hint="eastAsia"/>
          <w:color w:val="auto"/>
          <w:sz w:val="24"/>
          <w:highlight w:val="none"/>
        </w:rPr>
        <w:t>八、政府性基金预算支出决算情况说明</w:t>
      </w:r>
      <w:r>
        <w:rPr>
          <w:rFonts w:ascii="仿宋" w:hAnsi="仿宋" w:eastAsia="仿宋"/>
          <w:sz w:val="28"/>
          <w:szCs w:val="28"/>
        </w:rPr>
        <w:tab/>
      </w:r>
      <w:r>
        <w:rPr>
          <w:rFonts w:hint="eastAsia" w:ascii="仿宋" w:hAnsi="仿宋" w:eastAsia="仿宋"/>
          <w:sz w:val="28"/>
          <w:szCs w:val="28"/>
          <w:lang w:val="en-US" w:eastAsia="zh-CN"/>
        </w:rPr>
        <w:t>12</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ascii="仿宋" w:hAnsi="仿宋" w:eastAsia="仿宋"/>
          <w:sz w:val="28"/>
          <w:szCs w:val="28"/>
        </w:rPr>
        <w:tab/>
      </w:r>
      <w:r>
        <w:rPr>
          <w:rFonts w:hint="eastAsia" w:ascii="仿宋" w:hAnsi="仿宋" w:eastAsia="仿宋"/>
          <w:sz w:val="28"/>
          <w:szCs w:val="28"/>
          <w:lang w:val="en-US" w:eastAsia="zh-CN"/>
        </w:rPr>
        <w:t>12</w:t>
      </w:r>
    </w:p>
    <w:p>
      <w:pPr>
        <w:pStyle w:val="12"/>
        <w:adjustRightInd w:val="0"/>
        <w:snapToGrid w:val="0"/>
        <w:spacing w:line="440" w:lineRule="exact"/>
        <w:jc w:val="left"/>
        <w:rPr>
          <w:rFonts w:hint="default" w:eastAsia="宋体"/>
          <w:lang w:val="en-US" w:eastAsia="zh-CN"/>
        </w:rPr>
      </w:pPr>
      <w:r>
        <w:rPr>
          <w:rFonts w:hint="eastAsia"/>
          <w:color w:val="auto"/>
          <w:sz w:val="24"/>
          <w:highlight w:val="none"/>
          <w:lang w:val="en-US" w:eastAsia="zh-CN"/>
        </w:rPr>
        <w:t>十、</w:t>
      </w:r>
      <w:r>
        <w:rPr>
          <w:rFonts w:hint="eastAsia"/>
          <w:color w:val="auto"/>
          <w:sz w:val="24"/>
          <w:highlight w:val="none"/>
        </w:rPr>
        <w:t>其他重要事项的情况说明</w:t>
      </w:r>
      <w:r>
        <w:rPr>
          <w:rFonts w:ascii="仿宋" w:hAnsi="仿宋" w:eastAsia="仿宋"/>
          <w:sz w:val="28"/>
          <w:szCs w:val="28"/>
        </w:rPr>
        <w:tab/>
      </w:r>
      <w:r>
        <w:rPr>
          <w:rFonts w:hint="eastAsia" w:ascii="仿宋" w:hAnsi="仿宋" w:eastAsia="仿宋"/>
          <w:sz w:val="28"/>
          <w:szCs w:val="28"/>
          <w:lang w:val="en-US" w:eastAsia="zh-CN"/>
        </w:rPr>
        <w:t>12</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tab/>
      </w:r>
      <w:r>
        <w:rPr>
          <w:rFonts w:hint="eastAsia"/>
          <w:lang w:val="en-US" w:eastAsia="zh-CN"/>
        </w:rPr>
        <w:t>13</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tab/>
      </w:r>
      <w:r>
        <w:rPr>
          <w:rFonts w:hint="eastAsia"/>
          <w:lang w:val="en-US" w:eastAsia="zh-CN"/>
        </w:rPr>
        <w:t>15</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tab/>
      </w:r>
      <w:r>
        <w:rPr>
          <w:rFonts w:hint="eastAsia"/>
          <w:lang w:val="en-US" w:eastAsia="zh-CN"/>
        </w:rPr>
        <w:t>33</w:t>
      </w:r>
    </w:p>
    <w:p>
      <w:pPr>
        <w:pStyle w:val="12"/>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一、收入支出决算总表</w:t>
      </w:r>
      <w:r>
        <w:rPr>
          <w:rFonts w:ascii="仿宋" w:hAnsi="仿宋" w:eastAsia="仿宋"/>
          <w:sz w:val="28"/>
          <w:szCs w:val="28"/>
        </w:rPr>
        <w:tab/>
      </w:r>
      <w:r>
        <w:rPr>
          <w:rFonts w:hint="eastAsia" w:ascii="仿宋" w:hAnsi="仿宋" w:eastAsia="仿宋"/>
          <w:sz w:val="28"/>
          <w:szCs w:val="28"/>
          <w:lang w:val="en-US" w:eastAsia="zh-CN"/>
        </w:rPr>
        <w:t>33</w:t>
      </w:r>
    </w:p>
    <w:p>
      <w:pPr>
        <w:pStyle w:val="12"/>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二、收入决算表</w:t>
      </w:r>
      <w:r>
        <w:rPr>
          <w:rFonts w:ascii="仿宋" w:hAnsi="仿宋" w:eastAsia="仿宋"/>
          <w:sz w:val="28"/>
          <w:szCs w:val="28"/>
        </w:rPr>
        <w:tab/>
      </w:r>
      <w:r>
        <w:rPr>
          <w:rFonts w:hint="eastAsia" w:ascii="仿宋" w:hAnsi="仿宋" w:eastAsia="仿宋"/>
          <w:sz w:val="28"/>
          <w:szCs w:val="28"/>
          <w:lang w:val="en-US" w:eastAsia="zh-CN"/>
        </w:rPr>
        <w:t>33</w:t>
      </w:r>
    </w:p>
    <w:p>
      <w:pPr>
        <w:pStyle w:val="12"/>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三、支出决算表</w:t>
      </w:r>
      <w:r>
        <w:rPr>
          <w:rFonts w:ascii="仿宋" w:hAnsi="仿宋" w:eastAsia="仿宋"/>
          <w:sz w:val="28"/>
          <w:szCs w:val="28"/>
        </w:rPr>
        <w:tab/>
      </w:r>
      <w:r>
        <w:rPr>
          <w:rFonts w:hint="eastAsia" w:ascii="仿宋" w:hAnsi="仿宋" w:eastAsia="仿宋"/>
          <w:sz w:val="28"/>
          <w:szCs w:val="28"/>
          <w:lang w:val="en-US" w:eastAsia="zh-CN"/>
        </w:rPr>
        <w:t>33</w:t>
      </w:r>
    </w:p>
    <w:p>
      <w:pPr>
        <w:pStyle w:val="12"/>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四、财政拨款收入支出决算总表</w:t>
      </w:r>
      <w:r>
        <w:rPr>
          <w:rFonts w:ascii="仿宋" w:hAnsi="仿宋" w:eastAsia="仿宋"/>
          <w:sz w:val="28"/>
          <w:szCs w:val="28"/>
        </w:rPr>
        <w:tab/>
      </w:r>
      <w:r>
        <w:rPr>
          <w:rFonts w:hint="eastAsia" w:ascii="仿宋" w:hAnsi="仿宋" w:eastAsia="仿宋"/>
          <w:sz w:val="28"/>
          <w:szCs w:val="28"/>
          <w:lang w:val="en-US" w:eastAsia="zh-CN"/>
        </w:rPr>
        <w:t>33</w:t>
      </w:r>
    </w:p>
    <w:p>
      <w:pPr>
        <w:pStyle w:val="12"/>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五、财政拨款支出决算明细表</w:t>
      </w:r>
      <w:r>
        <w:rPr>
          <w:rFonts w:ascii="仿宋" w:hAnsi="仿宋" w:eastAsia="仿宋"/>
          <w:sz w:val="28"/>
          <w:szCs w:val="28"/>
        </w:rPr>
        <w:tab/>
      </w:r>
      <w:r>
        <w:rPr>
          <w:rFonts w:hint="eastAsia" w:ascii="仿宋" w:hAnsi="仿宋" w:eastAsia="仿宋"/>
          <w:sz w:val="28"/>
          <w:szCs w:val="28"/>
          <w:lang w:val="en-US" w:eastAsia="zh-CN"/>
        </w:rPr>
        <w:t>33</w:t>
      </w:r>
    </w:p>
    <w:p>
      <w:pPr>
        <w:pStyle w:val="12"/>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六、一般公共预算财政拨款支出决算表</w:t>
      </w:r>
      <w:r>
        <w:rPr>
          <w:rFonts w:ascii="仿宋" w:hAnsi="仿宋" w:eastAsia="仿宋"/>
          <w:sz w:val="28"/>
          <w:szCs w:val="28"/>
        </w:rPr>
        <w:tab/>
      </w:r>
      <w:r>
        <w:rPr>
          <w:rFonts w:hint="eastAsia" w:ascii="仿宋" w:hAnsi="仿宋" w:eastAsia="仿宋"/>
          <w:sz w:val="28"/>
          <w:szCs w:val="28"/>
          <w:lang w:val="en-US" w:eastAsia="zh-CN"/>
        </w:rPr>
        <w:t>33</w:t>
      </w:r>
    </w:p>
    <w:p>
      <w:pPr>
        <w:pStyle w:val="12"/>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七、一般公共预算财政拨款支出决算明细表</w:t>
      </w:r>
      <w:r>
        <w:rPr>
          <w:rFonts w:ascii="仿宋" w:hAnsi="仿宋" w:eastAsia="仿宋"/>
          <w:sz w:val="28"/>
          <w:szCs w:val="28"/>
        </w:rPr>
        <w:tab/>
      </w:r>
      <w:r>
        <w:rPr>
          <w:rFonts w:hint="eastAsia" w:ascii="仿宋" w:hAnsi="仿宋" w:eastAsia="仿宋"/>
          <w:sz w:val="28"/>
          <w:szCs w:val="28"/>
          <w:lang w:val="en-US" w:eastAsia="zh-CN"/>
        </w:rPr>
        <w:t>33</w:t>
      </w:r>
    </w:p>
    <w:p>
      <w:pPr>
        <w:pStyle w:val="12"/>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ascii="仿宋" w:hAnsi="仿宋" w:eastAsia="仿宋"/>
          <w:sz w:val="28"/>
          <w:szCs w:val="28"/>
        </w:rPr>
        <w:tab/>
      </w:r>
      <w:r>
        <w:rPr>
          <w:rFonts w:hint="eastAsia" w:ascii="仿宋" w:hAnsi="仿宋" w:eastAsia="仿宋"/>
          <w:sz w:val="28"/>
          <w:szCs w:val="28"/>
          <w:lang w:val="en-US" w:eastAsia="zh-CN"/>
        </w:rPr>
        <w:t>33</w:t>
      </w:r>
    </w:p>
    <w:p>
      <w:pPr>
        <w:pStyle w:val="12"/>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九、一般公共预算财政拨款项目支出决算表</w:t>
      </w:r>
      <w:r>
        <w:rPr>
          <w:rFonts w:ascii="仿宋" w:hAnsi="仿宋" w:eastAsia="仿宋"/>
          <w:sz w:val="28"/>
          <w:szCs w:val="28"/>
        </w:rPr>
        <w:tab/>
      </w:r>
      <w:r>
        <w:rPr>
          <w:rFonts w:hint="eastAsia" w:ascii="仿宋" w:hAnsi="仿宋" w:eastAsia="仿宋"/>
          <w:sz w:val="28"/>
          <w:szCs w:val="28"/>
          <w:lang w:val="en-US" w:eastAsia="zh-CN"/>
        </w:rPr>
        <w:t>33</w:t>
      </w:r>
    </w:p>
    <w:p>
      <w:pPr>
        <w:pStyle w:val="12"/>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十、政府性基金预算财政拨款收入支出决算表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33</w:t>
      </w:r>
    </w:p>
    <w:p>
      <w:pPr>
        <w:pStyle w:val="12"/>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十</w:t>
      </w:r>
      <w:r>
        <w:rPr>
          <w:rFonts w:hint="eastAsia"/>
          <w:color w:val="auto"/>
          <w:sz w:val="24"/>
          <w:highlight w:val="none"/>
          <w:lang w:eastAsia="zh-CN"/>
        </w:rPr>
        <w:t>一</w:t>
      </w:r>
      <w:r>
        <w:rPr>
          <w:rFonts w:hint="eastAsia"/>
          <w:color w:val="auto"/>
          <w:sz w:val="24"/>
          <w:highlight w:val="none"/>
        </w:rPr>
        <w:t>、</w:t>
      </w:r>
      <w:r>
        <w:rPr>
          <w:rFonts w:hint="eastAsia"/>
          <w:color w:val="auto"/>
          <w:sz w:val="24"/>
          <w:highlight w:val="none"/>
          <w:lang w:eastAsia="zh-CN"/>
        </w:rPr>
        <w:t>国有资本经营预算财政拨款收入</w:t>
      </w:r>
      <w:r>
        <w:rPr>
          <w:rFonts w:hint="eastAsia"/>
          <w:color w:val="auto"/>
          <w:sz w:val="24"/>
          <w:highlight w:val="none"/>
        </w:rPr>
        <w:t>支出决算表</w:t>
      </w:r>
      <w:r>
        <w:rPr>
          <w:rFonts w:ascii="仿宋" w:hAnsi="仿宋" w:eastAsia="仿宋"/>
          <w:sz w:val="28"/>
          <w:szCs w:val="28"/>
        </w:rPr>
        <w:tab/>
      </w:r>
      <w:r>
        <w:rPr>
          <w:rFonts w:hint="eastAsia" w:ascii="仿宋" w:hAnsi="仿宋" w:eastAsia="仿宋"/>
          <w:sz w:val="28"/>
          <w:szCs w:val="28"/>
          <w:lang w:val="en-US" w:eastAsia="zh-CN"/>
        </w:rPr>
        <w:t>33</w:t>
      </w:r>
    </w:p>
    <w:p>
      <w:pPr>
        <w:pStyle w:val="12"/>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十</w:t>
      </w:r>
      <w:r>
        <w:rPr>
          <w:rFonts w:hint="eastAsia"/>
          <w:color w:val="auto"/>
          <w:sz w:val="24"/>
          <w:highlight w:val="none"/>
          <w:lang w:eastAsia="zh-CN"/>
        </w:rPr>
        <w:t>二</w:t>
      </w:r>
      <w:r>
        <w:rPr>
          <w:rFonts w:hint="eastAsia"/>
          <w:color w:val="auto"/>
          <w:sz w:val="24"/>
          <w:highlight w:val="none"/>
        </w:rPr>
        <w:t>、国有资本经营预算</w:t>
      </w:r>
      <w:r>
        <w:rPr>
          <w:rFonts w:hint="eastAsia"/>
          <w:color w:val="auto"/>
          <w:sz w:val="24"/>
          <w:highlight w:val="none"/>
          <w:lang w:eastAsia="zh-CN"/>
        </w:rPr>
        <w:t>财政拨款</w:t>
      </w:r>
      <w:r>
        <w:rPr>
          <w:rFonts w:hint="eastAsia"/>
          <w:color w:val="auto"/>
          <w:sz w:val="24"/>
          <w:highlight w:val="none"/>
        </w:rPr>
        <w:t>支出决算表</w:t>
      </w:r>
      <w:r>
        <w:rPr>
          <w:rFonts w:ascii="仿宋" w:hAnsi="仿宋" w:eastAsia="仿宋"/>
          <w:sz w:val="28"/>
          <w:szCs w:val="28"/>
        </w:rPr>
        <w:tab/>
      </w:r>
      <w:r>
        <w:rPr>
          <w:rFonts w:hint="eastAsia" w:ascii="仿宋" w:hAnsi="仿宋" w:eastAsia="仿宋"/>
          <w:sz w:val="28"/>
          <w:szCs w:val="28"/>
          <w:lang w:val="en-US" w:eastAsia="zh-CN"/>
        </w:rPr>
        <w:t>33</w:t>
      </w:r>
    </w:p>
    <w:p>
      <w:pPr>
        <w:pStyle w:val="12"/>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lang w:val="en-US" w:eastAsia="zh-CN"/>
        </w:rPr>
        <w:t>十三、财政拨款“三公”经费支出决算表</w:t>
      </w:r>
      <w:r>
        <w:rPr>
          <w:rFonts w:ascii="仿宋" w:hAnsi="仿宋" w:eastAsia="仿宋"/>
          <w:sz w:val="28"/>
          <w:szCs w:val="28"/>
        </w:rPr>
        <w:tab/>
      </w:r>
      <w:r>
        <w:rPr>
          <w:rFonts w:hint="eastAsia" w:ascii="仿宋" w:hAnsi="仿宋" w:eastAsia="仿宋"/>
          <w:sz w:val="28"/>
          <w:szCs w:val="28"/>
          <w:lang w:val="en-US" w:eastAsia="zh-CN"/>
        </w:rPr>
        <w:t>33</w:t>
      </w:r>
    </w:p>
    <w:p>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hint="eastAsia" w:ascii="仿宋" w:hAnsi="仿宋" w:eastAsia="仿宋"/>
          <w:color w:val="auto"/>
          <w:sz w:val="24"/>
          <w:highlight w:val="none"/>
          <w:lang w:val="en-US" w:eastAsia="zh-CN"/>
        </w:rPr>
        <w:t xml:space="preserve"> </w:t>
      </w:r>
      <w:r>
        <w:rPr>
          <w:rFonts w:ascii="仿宋" w:hAnsi="仿宋" w:eastAsia="仿宋"/>
          <w:b/>
          <w:color w:val="auto"/>
          <w:sz w:val="24"/>
          <w:highlight w:val="none"/>
        </w:rPr>
        <w:br w:type="page"/>
      </w:r>
    </w:p>
    <w:p>
      <w:pPr>
        <w:pStyle w:val="3"/>
        <w:jc w:val="center"/>
        <w:rPr>
          <w:rStyle w:val="26"/>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部门</w:t>
      </w:r>
      <w:r>
        <w:rPr>
          <w:rStyle w:val="26"/>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numPr>
          <w:ilvl w:val="0"/>
          <w:numId w:val="1"/>
        </w:numPr>
        <w:rPr>
          <w:rStyle w:val="27"/>
          <w:rFonts w:hint="eastAsia" w:ascii="黑体" w:hAnsi="黑体" w:eastAsia="黑体"/>
          <w:b w:val="0"/>
          <w:bCs w:val="0"/>
          <w:color w:val="auto"/>
          <w:highlight w:val="none"/>
          <w:lang w:eastAsia="zh-CN"/>
        </w:rPr>
      </w:pPr>
      <w:bookmarkStart w:id="14" w:name="_Toc15396600"/>
      <w:bookmarkStart w:id="15" w:name="_Toc15377197"/>
      <w:r>
        <w:rPr>
          <w:rStyle w:val="27"/>
          <w:rFonts w:hint="eastAsia" w:ascii="黑体" w:hAnsi="黑体" w:eastAsia="黑体"/>
          <w:b w:val="0"/>
          <w:bCs w:val="0"/>
          <w:color w:val="auto"/>
          <w:highlight w:val="none"/>
          <w:lang w:eastAsia="zh-CN"/>
        </w:rPr>
        <w:t>部门职责</w:t>
      </w:r>
    </w:p>
    <w:p>
      <w:pPr>
        <w:pStyle w:val="6"/>
        <w:adjustRightInd w:val="0"/>
        <w:snapToGrid w:val="0"/>
        <w:spacing w:before="93" w:line="600" w:lineRule="exact"/>
        <w:ind w:firstLine="672" w:firstLineChars="210"/>
        <w:outlineLvl w:val="2"/>
        <w:rPr>
          <w:rFonts w:hint="default" w:eastAsia="宋体"/>
          <w:lang w:val="en-US" w:eastAsia="zh-CN"/>
        </w:rPr>
      </w:pPr>
      <w:r>
        <w:rPr>
          <w:rFonts w:hint="eastAsia" w:ascii="仿宋_GB2312" w:hAnsi="仿宋" w:eastAsia="仿宋_GB2312"/>
          <w:sz w:val="32"/>
          <w:szCs w:val="32"/>
          <w:lang w:eastAsia="zh-CN"/>
        </w:rPr>
        <w:t>根据昭编委办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2019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41号文件精神，职责调整如下：</w:t>
      </w:r>
      <w:r>
        <w:rPr>
          <w:rFonts w:hint="eastAsia" w:ascii="仿宋_GB2312" w:hAnsi="仿宋" w:eastAsia="仿宋_GB2312"/>
          <w:sz w:val="32"/>
          <w:szCs w:val="32"/>
        </w:rPr>
        <w:t>一是受区政府委托，对亭子湖</w:t>
      </w:r>
      <w:r>
        <w:rPr>
          <w:rFonts w:hint="eastAsia" w:ascii="仿宋_GB2312" w:hAnsi="仿宋" w:eastAsia="仿宋_GB2312"/>
          <w:sz w:val="32"/>
          <w:szCs w:val="32"/>
          <w:lang w:eastAsia="zh-CN"/>
        </w:rPr>
        <w:t>风</w:t>
      </w:r>
      <w:r>
        <w:rPr>
          <w:rFonts w:hint="eastAsia" w:ascii="仿宋_GB2312" w:hAnsi="仿宋" w:eastAsia="仿宋_GB2312"/>
          <w:sz w:val="32"/>
          <w:szCs w:val="32"/>
        </w:rPr>
        <w:t>景区（以下简称景区）</w:t>
      </w:r>
      <w:r>
        <w:rPr>
          <w:rFonts w:hint="eastAsia" w:hAnsi="仿宋"/>
          <w:sz w:val="32"/>
          <w:szCs w:val="32"/>
          <w:lang w:eastAsia="zh-CN"/>
        </w:rPr>
        <w:t>行使</w:t>
      </w:r>
      <w:r>
        <w:rPr>
          <w:rFonts w:hint="eastAsia" w:ascii="仿宋_GB2312" w:hAnsi="仿宋" w:eastAsia="仿宋_GB2312"/>
          <w:sz w:val="32"/>
          <w:szCs w:val="32"/>
          <w:lang w:eastAsia="zh-CN"/>
        </w:rPr>
        <w:t>保护与发展</w:t>
      </w:r>
      <w:r>
        <w:rPr>
          <w:rFonts w:hint="eastAsia" w:ascii="仿宋_GB2312" w:hAnsi="仿宋" w:eastAsia="仿宋_GB2312"/>
          <w:sz w:val="32"/>
          <w:szCs w:val="32"/>
        </w:rPr>
        <w:t>职能。</w:t>
      </w:r>
      <w:r>
        <w:rPr>
          <w:rFonts w:hint="eastAsia" w:ascii="仿宋_GB2312" w:hAnsi="仿宋" w:eastAsia="仿宋_GB2312"/>
          <w:sz w:val="32"/>
          <w:szCs w:val="32"/>
          <w:lang w:eastAsia="zh-CN"/>
        </w:rPr>
        <w:t>协助有关部门</w:t>
      </w:r>
      <w:r>
        <w:rPr>
          <w:rFonts w:hint="eastAsia" w:ascii="仿宋_GB2312" w:hAnsi="仿宋" w:eastAsia="仿宋_GB2312"/>
          <w:sz w:val="32"/>
          <w:szCs w:val="32"/>
        </w:rPr>
        <w:t>对景区内水面、旅游景点、道路、码头、建设用地、自然生态环境保护和开发等实行统一规划、统一协调、统一管理和统一开发营销；二是</w:t>
      </w:r>
      <w:r>
        <w:rPr>
          <w:rFonts w:hint="eastAsia" w:ascii="仿宋_GB2312" w:hAnsi="仿宋" w:eastAsia="仿宋_GB2312"/>
          <w:sz w:val="32"/>
          <w:szCs w:val="32"/>
          <w:lang w:eastAsia="zh-CN"/>
        </w:rPr>
        <w:t>协助</w:t>
      </w:r>
      <w:r>
        <w:rPr>
          <w:rFonts w:hint="eastAsia" w:ascii="仿宋_GB2312" w:hAnsi="仿宋" w:eastAsia="仿宋_GB2312"/>
          <w:sz w:val="32"/>
          <w:szCs w:val="32"/>
        </w:rPr>
        <w:t>编制景区总体发展规划和</w:t>
      </w:r>
      <w:r>
        <w:rPr>
          <w:rFonts w:hint="eastAsia" w:ascii="仿宋_GB2312" w:hAnsi="仿宋" w:eastAsia="仿宋_GB2312"/>
          <w:sz w:val="32"/>
          <w:szCs w:val="32"/>
          <w:lang w:eastAsia="zh-CN"/>
        </w:rPr>
        <w:t>控制性</w:t>
      </w:r>
      <w:r>
        <w:rPr>
          <w:rFonts w:hint="eastAsia" w:ascii="仿宋_GB2312" w:hAnsi="仿宋" w:eastAsia="仿宋_GB2312"/>
          <w:sz w:val="32"/>
          <w:szCs w:val="32"/>
        </w:rPr>
        <w:t>详细规划</w:t>
      </w:r>
      <w:r>
        <w:rPr>
          <w:rFonts w:hint="eastAsia" w:ascii="仿宋_GB2312" w:hAnsi="仿宋" w:eastAsia="仿宋_GB2312"/>
          <w:sz w:val="32"/>
          <w:szCs w:val="32"/>
          <w:lang w:eastAsia="zh-CN"/>
        </w:rPr>
        <w:t>，配合有关部门对</w:t>
      </w:r>
      <w:r>
        <w:rPr>
          <w:rFonts w:hint="eastAsia" w:ascii="仿宋_GB2312" w:hAnsi="仿宋" w:eastAsia="仿宋_GB2312"/>
          <w:sz w:val="32"/>
          <w:szCs w:val="32"/>
        </w:rPr>
        <w:t>景区内新建、扩建和改建项目</w:t>
      </w:r>
      <w:r>
        <w:rPr>
          <w:rFonts w:hint="eastAsia" w:ascii="仿宋_GB2312" w:hAnsi="仿宋" w:eastAsia="仿宋_GB2312"/>
          <w:sz w:val="32"/>
          <w:szCs w:val="32"/>
          <w:lang w:eastAsia="zh-CN"/>
        </w:rPr>
        <w:t>进行审核</w:t>
      </w:r>
      <w:r>
        <w:rPr>
          <w:rFonts w:hint="eastAsia" w:ascii="仿宋_GB2312" w:hAnsi="仿宋" w:eastAsia="仿宋_GB2312"/>
          <w:sz w:val="32"/>
          <w:szCs w:val="32"/>
        </w:rPr>
        <w:t>，</w:t>
      </w:r>
      <w:r>
        <w:rPr>
          <w:rFonts w:hint="eastAsia" w:ascii="仿宋_GB2312" w:hAnsi="仿宋" w:eastAsia="仿宋_GB2312"/>
          <w:sz w:val="32"/>
          <w:szCs w:val="32"/>
          <w:lang w:eastAsia="zh-CN"/>
        </w:rPr>
        <w:t>督促项目建设规范实施</w:t>
      </w:r>
      <w:r>
        <w:rPr>
          <w:rFonts w:hint="eastAsia" w:ascii="仿宋_GB2312" w:hAnsi="仿宋" w:eastAsia="仿宋_GB2312"/>
          <w:sz w:val="32"/>
          <w:szCs w:val="32"/>
        </w:rPr>
        <w:t>；三是协调有关部门</w:t>
      </w:r>
      <w:r>
        <w:rPr>
          <w:rFonts w:hint="eastAsia" w:ascii="仿宋_GB2312" w:hAnsi="仿宋" w:eastAsia="仿宋_GB2312"/>
          <w:sz w:val="32"/>
          <w:szCs w:val="32"/>
          <w:lang w:eastAsia="zh-CN"/>
        </w:rPr>
        <w:t>对</w:t>
      </w:r>
      <w:r>
        <w:rPr>
          <w:rFonts w:hint="eastAsia" w:ascii="仿宋_GB2312" w:hAnsi="仿宋" w:eastAsia="仿宋_GB2312"/>
          <w:sz w:val="32"/>
          <w:szCs w:val="32"/>
        </w:rPr>
        <w:t>景区内的道路交通、水利水文</w:t>
      </w:r>
      <w:r>
        <w:rPr>
          <w:rFonts w:hint="eastAsia" w:ascii="仿宋_GB2312" w:hAnsi="仿宋" w:eastAsia="仿宋_GB2312"/>
          <w:sz w:val="32"/>
          <w:szCs w:val="32"/>
          <w:lang w:eastAsia="zh-CN"/>
        </w:rPr>
        <w:t>等</w:t>
      </w:r>
      <w:r>
        <w:rPr>
          <w:rFonts w:hint="eastAsia" w:ascii="仿宋_GB2312" w:hAnsi="仿宋" w:eastAsia="仿宋_GB2312"/>
          <w:sz w:val="32"/>
          <w:szCs w:val="32"/>
        </w:rPr>
        <w:t>基础设施和公共设施</w:t>
      </w:r>
      <w:r>
        <w:rPr>
          <w:rFonts w:hint="eastAsia" w:ascii="仿宋_GB2312" w:hAnsi="仿宋" w:eastAsia="仿宋_GB2312"/>
          <w:sz w:val="32"/>
          <w:szCs w:val="32"/>
          <w:lang w:eastAsia="zh-CN"/>
        </w:rPr>
        <w:t>进行</w:t>
      </w:r>
      <w:r>
        <w:rPr>
          <w:rFonts w:hint="eastAsia" w:ascii="仿宋_GB2312" w:hAnsi="仿宋" w:eastAsia="仿宋_GB2312"/>
          <w:sz w:val="32"/>
          <w:szCs w:val="32"/>
        </w:rPr>
        <w:t>建设</w:t>
      </w:r>
      <w:r>
        <w:rPr>
          <w:rFonts w:hint="eastAsia" w:ascii="仿宋_GB2312" w:hAnsi="仿宋" w:eastAsia="仿宋_GB2312"/>
          <w:sz w:val="32"/>
          <w:szCs w:val="32"/>
          <w:lang w:eastAsia="zh-CN"/>
        </w:rPr>
        <w:t>和</w:t>
      </w:r>
      <w:r>
        <w:rPr>
          <w:rFonts w:hint="eastAsia" w:ascii="仿宋_GB2312" w:hAnsi="仿宋" w:eastAsia="仿宋_GB2312"/>
          <w:sz w:val="32"/>
          <w:szCs w:val="32"/>
        </w:rPr>
        <w:t>维护；四是</w:t>
      </w:r>
      <w:r>
        <w:rPr>
          <w:rFonts w:hint="eastAsia" w:ascii="仿宋_GB2312" w:hAnsi="仿宋" w:eastAsia="仿宋_GB2312"/>
          <w:sz w:val="32"/>
          <w:szCs w:val="32"/>
          <w:lang w:eastAsia="zh-CN"/>
        </w:rPr>
        <w:t>协助拟定</w:t>
      </w:r>
      <w:r>
        <w:rPr>
          <w:rFonts w:hint="eastAsia" w:ascii="仿宋_GB2312" w:hAnsi="仿宋" w:eastAsia="仿宋_GB2312"/>
          <w:sz w:val="32"/>
          <w:szCs w:val="32"/>
        </w:rPr>
        <w:t>景区旅游发展规划</w:t>
      </w:r>
      <w:r>
        <w:rPr>
          <w:rFonts w:hint="eastAsia" w:ascii="仿宋_GB2312" w:hAnsi="仿宋" w:eastAsia="仿宋_GB2312"/>
          <w:sz w:val="32"/>
          <w:szCs w:val="32"/>
          <w:lang w:eastAsia="zh-CN"/>
        </w:rPr>
        <w:t>，做好</w:t>
      </w:r>
      <w:r>
        <w:rPr>
          <w:rFonts w:hint="eastAsia" w:ascii="仿宋_GB2312" w:hAnsi="仿宋" w:eastAsia="仿宋_GB2312"/>
          <w:sz w:val="32"/>
          <w:szCs w:val="32"/>
        </w:rPr>
        <w:t>景区推介、保护</w:t>
      </w:r>
      <w:r>
        <w:rPr>
          <w:rFonts w:hint="eastAsia" w:ascii="仿宋_GB2312" w:hAnsi="仿宋" w:eastAsia="仿宋_GB2312"/>
          <w:sz w:val="32"/>
          <w:szCs w:val="32"/>
          <w:lang w:eastAsia="zh-CN"/>
        </w:rPr>
        <w:t>发展</w:t>
      </w:r>
      <w:r>
        <w:rPr>
          <w:rFonts w:hint="eastAsia" w:ascii="仿宋_GB2312" w:hAnsi="仿宋" w:eastAsia="仿宋_GB2312"/>
          <w:sz w:val="32"/>
          <w:szCs w:val="32"/>
        </w:rPr>
        <w:t>及招商引资</w:t>
      </w:r>
      <w:r>
        <w:rPr>
          <w:rFonts w:hint="eastAsia" w:ascii="仿宋_GB2312" w:hAnsi="仿宋" w:eastAsia="仿宋_GB2312"/>
          <w:sz w:val="32"/>
          <w:szCs w:val="32"/>
          <w:lang w:eastAsia="zh-CN"/>
        </w:rPr>
        <w:t>等工作</w:t>
      </w:r>
      <w:r>
        <w:rPr>
          <w:rFonts w:hint="eastAsia" w:ascii="仿宋_GB2312" w:hAnsi="仿宋" w:eastAsia="仿宋_GB2312"/>
          <w:sz w:val="32"/>
          <w:szCs w:val="32"/>
        </w:rPr>
        <w:t>；五是</w:t>
      </w:r>
      <w:r>
        <w:rPr>
          <w:rFonts w:hint="eastAsia" w:ascii="仿宋_GB2312" w:hAnsi="仿宋" w:eastAsia="仿宋_GB2312"/>
          <w:sz w:val="32"/>
          <w:szCs w:val="32"/>
          <w:lang w:eastAsia="zh-CN"/>
        </w:rPr>
        <w:t>协助</w:t>
      </w:r>
      <w:r>
        <w:rPr>
          <w:rFonts w:hint="eastAsia" w:ascii="仿宋_GB2312" w:hAnsi="仿宋" w:eastAsia="仿宋_GB2312"/>
          <w:sz w:val="32"/>
          <w:szCs w:val="32"/>
        </w:rPr>
        <w:t>拟订景区生态环境</w:t>
      </w:r>
      <w:r>
        <w:rPr>
          <w:rFonts w:hint="eastAsia" w:ascii="仿宋_GB2312" w:hAnsi="仿宋" w:eastAsia="仿宋_GB2312"/>
          <w:sz w:val="32"/>
          <w:szCs w:val="32"/>
          <w:lang w:eastAsia="zh-CN"/>
        </w:rPr>
        <w:t>及资源保护制度并组织实施，配合有关部门开展景区环境影响评价报告的审核和水质监测工作；六是配合有关部门开展</w:t>
      </w:r>
      <w:r>
        <w:rPr>
          <w:rFonts w:hint="eastAsia" w:ascii="仿宋_GB2312" w:hAnsi="仿宋" w:eastAsia="仿宋_GB2312"/>
          <w:sz w:val="32"/>
          <w:szCs w:val="32"/>
        </w:rPr>
        <w:t>景区内资源开发、利用及航务航道、水产渔政</w:t>
      </w:r>
      <w:r>
        <w:rPr>
          <w:rFonts w:hint="eastAsia" w:ascii="仿宋_GB2312" w:hAnsi="仿宋" w:eastAsia="仿宋_GB2312"/>
          <w:sz w:val="32"/>
          <w:szCs w:val="32"/>
          <w:lang w:eastAsia="zh-CN"/>
        </w:rPr>
        <w:t>服务</w:t>
      </w:r>
      <w:r>
        <w:rPr>
          <w:rFonts w:hint="eastAsia" w:ascii="仿宋_GB2312" w:hAnsi="仿宋" w:eastAsia="仿宋_GB2312"/>
          <w:sz w:val="32"/>
          <w:szCs w:val="32"/>
        </w:rPr>
        <w:t>工作；七是配合有关部门做好景区内的安全、应急</w:t>
      </w:r>
      <w:r>
        <w:rPr>
          <w:rFonts w:hint="eastAsia" w:ascii="仿宋_GB2312" w:hAnsi="仿宋" w:eastAsia="仿宋_GB2312"/>
          <w:sz w:val="32"/>
          <w:szCs w:val="32"/>
          <w:lang w:eastAsia="zh-CN"/>
        </w:rPr>
        <w:t>管理</w:t>
      </w:r>
      <w:r>
        <w:rPr>
          <w:rFonts w:hint="eastAsia" w:ascii="仿宋_GB2312" w:hAnsi="仿宋" w:eastAsia="仿宋_GB2312"/>
          <w:sz w:val="32"/>
          <w:szCs w:val="32"/>
        </w:rPr>
        <w:t>和突发处置</w:t>
      </w:r>
      <w:r>
        <w:rPr>
          <w:rFonts w:hint="eastAsia" w:ascii="仿宋_GB2312" w:hAnsi="仿宋" w:eastAsia="仿宋_GB2312"/>
          <w:sz w:val="32"/>
          <w:szCs w:val="32"/>
          <w:lang w:eastAsia="zh-CN"/>
        </w:rPr>
        <w:t>工作</w:t>
      </w:r>
      <w:r>
        <w:rPr>
          <w:rFonts w:hint="eastAsia" w:ascii="仿宋_GB2312" w:hAnsi="仿宋" w:eastAsia="仿宋_GB2312"/>
          <w:sz w:val="32"/>
          <w:szCs w:val="32"/>
        </w:rPr>
        <w:t>；</w:t>
      </w:r>
      <w:r>
        <w:rPr>
          <w:rFonts w:hint="eastAsia" w:ascii="仿宋_GB2312" w:hAnsi="仿宋" w:eastAsia="仿宋_GB2312"/>
          <w:sz w:val="32"/>
          <w:szCs w:val="32"/>
          <w:lang w:eastAsia="zh-CN"/>
        </w:rPr>
        <w:t>八</w:t>
      </w:r>
      <w:r>
        <w:rPr>
          <w:rFonts w:hint="eastAsia" w:ascii="仿宋_GB2312" w:hAnsi="仿宋" w:eastAsia="仿宋_GB2312"/>
          <w:sz w:val="32"/>
          <w:szCs w:val="32"/>
        </w:rPr>
        <w:t>是承担区</w:t>
      </w:r>
      <w:r>
        <w:rPr>
          <w:rFonts w:hint="eastAsia" w:ascii="仿宋_GB2312" w:hAnsi="仿宋" w:eastAsia="仿宋_GB2312"/>
          <w:sz w:val="32"/>
          <w:szCs w:val="32"/>
          <w:lang w:eastAsia="zh-CN"/>
        </w:rPr>
        <w:t>亭子湖管理领导小组办公室日常工作和区</w:t>
      </w:r>
      <w:r>
        <w:rPr>
          <w:rFonts w:hint="eastAsia" w:ascii="仿宋_GB2312" w:hAnsi="仿宋" w:eastAsia="仿宋_GB2312"/>
          <w:sz w:val="32"/>
          <w:szCs w:val="32"/>
        </w:rPr>
        <w:t>委、区政府交办的其它工作</w:t>
      </w:r>
      <w:r>
        <w:rPr>
          <w:rFonts w:hint="eastAsia" w:ascii="仿宋_GB2312" w:hAnsi="仿宋" w:eastAsia="仿宋_GB2312"/>
          <w:sz w:val="32"/>
          <w:szCs w:val="32"/>
          <w:lang w:eastAsia="zh-CN"/>
        </w:rPr>
        <w:t>任务</w:t>
      </w:r>
      <w:r>
        <w:rPr>
          <w:rFonts w:hint="eastAsia" w:ascii="仿宋_GB2312" w:hAnsi="仿宋" w:eastAsia="仿宋_GB2312"/>
          <w:sz w:val="32"/>
          <w:szCs w:val="32"/>
        </w:rPr>
        <w:t>。</w:t>
      </w:r>
    </w:p>
    <w:p>
      <w:pPr>
        <w:pStyle w:val="4"/>
        <w:numPr>
          <w:ilvl w:val="0"/>
          <w:numId w:val="0"/>
        </w:numPr>
        <w:rPr>
          <w:rFonts w:hint="eastAsia" w:ascii="黑体" w:hAnsi="黑体" w:eastAsia="黑体"/>
          <w:b w:val="0"/>
          <w:color w:val="auto"/>
          <w:highlight w:val="none"/>
          <w:lang w:eastAsia="zh-CN"/>
        </w:rPr>
      </w:pPr>
      <w:r>
        <w:rPr>
          <w:rFonts w:hint="eastAsia" w:ascii="黑体" w:hAnsi="黑体" w:eastAsia="黑体"/>
          <w:b w:val="0"/>
          <w:color w:val="auto"/>
          <w:highlight w:val="none"/>
          <w:lang w:val="en-US" w:eastAsia="zh-CN"/>
        </w:rPr>
        <w:t>二、</w:t>
      </w:r>
      <w:bookmarkEnd w:id="14"/>
      <w:bookmarkEnd w:id="15"/>
      <w:r>
        <w:rPr>
          <w:rFonts w:hint="eastAsia" w:ascii="黑体" w:hAnsi="黑体" w:eastAsia="黑体"/>
          <w:b w:val="0"/>
          <w:color w:val="auto"/>
          <w:highlight w:val="none"/>
          <w:lang w:val="en-US" w:eastAsia="zh-CN"/>
        </w:rPr>
        <w:t>机构设置</w:t>
      </w:r>
    </w:p>
    <w:p>
      <w:pPr>
        <w:widowControl/>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区亭子湖景区保护与发展中心下属二级预算单位0个，其中行政单位0个，参照公务员法管理的事业单位0个，其他事业单位0个。</w:t>
      </w:r>
    </w:p>
    <w:p>
      <w:pPr>
        <w:pStyle w:val="6"/>
        <w:adjustRightInd w:val="0"/>
        <w:snapToGrid w:val="0"/>
        <w:spacing w:before="93"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color w:val="000000"/>
          <w:sz w:val="32"/>
          <w:szCs w:val="32"/>
          <w:lang w:eastAsia="zh-CN"/>
        </w:rPr>
        <w:t>区亭子湖景区保护与发展中心</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年度部门决算编制范围的二级预算单位</w:t>
      </w:r>
      <w:r>
        <w:rPr>
          <w:rFonts w:hint="eastAsia" w:ascii="仿宋" w:hAnsi="仿宋" w:eastAsia="仿宋"/>
          <w:color w:val="000000"/>
          <w:sz w:val="32"/>
          <w:szCs w:val="32"/>
          <w:lang w:eastAsia="zh-CN"/>
        </w:rPr>
        <w:t>没有。</w:t>
      </w:r>
    </w:p>
    <w:p>
      <w:pPr>
        <w:widowControl/>
        <w:ind w:firstLine="640" w:firstLineChars="200"/>
        <w:jc w:val="left"/>
        <w:rPr>
          <w:rFonts w:hint="eastAsia" w:ascii="仿宋" w:hAnsi="仿宋" w:eastAsia="仿宋" w:cs="仿宋"/>
          <w:color w:val="auto"/>
          <w:kern w:val="0"/>
          <w:sz w:val="32"/>
          <w:szCs w:val="32"/>
          <w:highlight w:val="none"/>
          <w:lang w:val="en-US"/>
        </w:rPr>
      </w:pPr>
      <w:r>
        <w:rPr>
          <w:rFonts w:hint="eastAsia" w:ascii="仿宋" w:hAnsi="仿宋" w:eastAsia="仿宋" w:cs="仿宋"/>
          <w:sz w:val="32"/>
          <w:szCs w:val="32"/>
          <w:lang w:val="en-US" w:eastAsia="zh-CN"/>
        </w:rPr>
        <w:t xml:space="preserve"> </w:t>
      </w:r>
    </w:p>
    <w:p>
      <w:pPr>
        <w:pStyle w:val="3"/>
        <w:ind w:right="440"/>
        <w:jc w:val="center"/>
        <w:rPr>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6"/>
          <w:rFonts w:hint="eastAsia" w:ascii="黑体" w:hAnsi="黑体" w:eastAsia="黑体"/>
          <w:b w:val="0"/>
          <w:bCs/>
          <w:color w:val="auto"/>
          <w:highlight w:val="none"/>
          <w:lang w:eastAsia="zh-CN"/>
        </w:rPr>
        <w:t>部门</w:t>
      </w:r>
      <w:r>
        <w:rPr>
          <w:rStyle w:val="26"/>
          <w:rFonts w:hint="eastAsia" w:ascii="黑体" w:hAnsi="黑体" w:eastAsia="黑体"/>
          <w:b w:val="0"/>
          <w:bCs/>
          <w:color w:val="auto"/>
          <w:highlight w:val="none"/>
        </w:rPr>
        <w:t>决算情况说明</w:t>
      </w:r>
      <w:bookmarkEnd w:id="16"/>
      <w:bookmarkEnd w:id="17"/>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117.23</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52.02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增加节能环保垃圾治理专项资金。</w:t>
      </w:r>
    </w:p>
    <w:p>
      <w:pPr>
        <w:spacing w:line="600" w:lineRule="exact"/>
        <w:ind w:firstLine="640" w:firstLineChars="200"/>
        <w:jc w:val="center"/>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160655</wp:posOffset>
            </wp:positionH>
            <wp:positionV relativeFrom="paragraph">
              <wp:posOffset>204470</wp:posOffset>
            </wp:positionV>
            <wp:extent cx="5080000" cy="2411730"/>
            <wp:effectExtent l="4445" t="4445" r="20955" b="2222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117.23</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117.23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4961255" cy="2077085"/>
            <wp:effectExtent l="5080" t="4445" r="5715"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117.23</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78.73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67</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38.50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6"/>
        <w:jc w:val="center"/>
        <w:rPr>
          <w:rFonts w:hint="eastAsia"/>
          <w:lang w:eastAsia="zh-CN"/>
        </w:rPr>
      </w:pPr>
      <w:r>
        <w:drawing>
          <wp:anchor distT="0" distB="0" distL="114300" distR="114300" simplePos="0" relativeHeight="251663360" behindDoc="0" locked="0" layoutInCell="1" allowOverlap="1">
            <wp:simplePos x="0" y="0"/>
            <wp:positionH relativeFrom="column">
              <wp:posOffset>351155</wp:posOffset>
            </wp:positionH>
            <wp:positionV relativeFrom="paragraph">
              <wp:posOffset>61595</wp:posOffset>
            </wp:positionV>
            <wp:extent cx="4572000" cy="2743200"/>
            <wp:effectExtent l="4445" t="4445" r="14605" b="14605"/>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27"/>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4"/>
      <w:bookmarkEnd w:id="25"/>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117.23</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52.02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增加节能环保垃圾治理专项资金。</w:t>
      </w:r>
    </w:p>
    <w:p>
      <w:pPr>
        <w:pStyle w:val="6"/>
        <w:jc w:val="center"/>
        <w:rPr>
          <w:rFonts w:hint="eastAsia" w:ascii="仿宋" w:hAnsi="仿宋" w:eastAsia="仿宋"/>
          <w:b/>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92710</wp:posOffset>
            </wp:positionH>
            <wp:positionV relativeFrom="paragraph">
              <wp:posOffset>209550</wp:posOffset>
            </wp:positionV>
            <wp:extent cx="5080000" cy="2411730"/>
            <wp:effectExtent l="4445" t="4445" r="20955" b="2222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27"/>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117.23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52.56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增加节能环保垃圾治理专项资金。</w:t>
      </w:r>
    </w:p>
    <w:p>
      <w:pPr>
        <w:spacing w:line="600" w:lineRule="exact"/>
        <w:rPr>
          <w:rFonts w:hint="eastAsia"/>
          <w:lang w:eastAsia="zh-CN"/>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172720</wp:posOffset>
            </wp:positionH>
            <wp:positionV relativeFrom="paragraph">
              <wp:posOffset>175895</wp:posOffset>
            </wp:positionV>
            <wp:extent cx="5080000" cy="2011045"/>
            <wp:effectExtent l="4445" t="4445" r="20955" b="2286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117.23</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文化旅游体育与传媒（类）支出</w:t>
      </w:r>
      <w:r>
        <w:rPr>
          <w:rFonts w:hint="eastAsia" w:ascii="仿宋" w:hAnsi="仿宋" w:eastAsia="仿宋"/>
          <w:b/>
          <w:bCs/>
          <w:color w:val="auto"/>
          <w:sz w:val="32"/>
          <w:szCs w:val="32"/>
          <w:highlight w:val="none"/>
          <w:lang w:val="en-US" w:eastAsia="zh-CN"/>
        </w:rPr>
        <w:t>73.10</w:t>
      </w:r>
      <w:r>
        <w:rPr>
          <w:rFonts w:hint="eastAsia" w:ascii="仿宋" w:hAnsi="仿宋" w:eastAsia="仿宋"/>
          <w:b/>
          <w:bCs/>
          <w:color w:val="auto"/>
          <w:sz w:val="32"/>
          <w:szCs w:val="32"/>
          <w:highlight w:val="none"/>
        </w:rPr>
        <w:t>万元，</w:t>
      </w:r>
      <w:r>
        <w:rPr>
          <w:rFonts w:hint="eastAsia" w:ascii="仿宋" w:hAnsi="仿宋" w:eastAsia="仿宋"/>
          <w:b w:val="0"/>
          <w:bCs w:val="0"/>
          <w:color w:val="auto"/>
          <w:sz w:val="32"/>
          <w:szCs w:val="32"/>
          <w:highlight w:val="none"/>
        </w:rPr>
        <w:t>占</w:t>
      </w:r>
      <w:r>
        <w:rPr>
          <w:rFonts w:hint="eastAsia" w:ascii="仿宋" w:hAnsi="仿宋" w:eastAsia="仿宋"/>
          <w:b w:val="0"/>
          <w:bCs w:val="0"/>
          <w:color w:val="auto"/>
          <w:sz w:val="32"/>
          <w:szCs w:val="32"/>
          <w:highlight w:val="none"/>
          <w:lang w:val="en-US" w:eastAsia="zh-CN"/>
        </w:rPr>
        <w:t>62</w:t>
      </w:r>
      <w:r>
        <w:rPr>
          <w:rFonts w:ascii="仿宋" w:hAnsi="仿宋" w:eastAsia="仿宋"/>
          <w:b w:val="0"/>
          <w:bCs w:val="0"/>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8.62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3.23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节能环保支出</w:t>
      </w:r>
      <w:r>
        <w:rPr>
          <w:rFonts w:hint="eastAsia" w:ascii="仿宋" w:hAnsi="仿宋" w:eastAsia="仿宋"/>
          <w:color w:val="auto"/>
          <w:sz w:val="32"/>
          <w:szCs w:val="32"/>
          <w:highlight w:val="none"/>
          <w:lang w:val="en-US" w:eastAsia="zh-CN"/>
        </w:rPr>
        <w:t>10万元，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9</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lang w:eastAsia="zh-CN"/>
        </w:rPr>
        <w:t>城乡社区支出</w:t>
      </w:r>
      <w:r>
        <w:rPr>
          <w:rFonts w:hint="eastAsia" w:ascii="仿宋" w:hAnsi="仿宋" w:eastAsia="仿宋"/>
          <w:color w:val="auto"/>
          <w:sz w:val="32"/>
          <w:szCs w:val="32"/>
          <w:highlight w:val="none"/>
          <w:lang w:val="en-US" w:eastAsia="zh-CN"/>
        </w:rPr>
        <w:t>16万元，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14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6.28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6"/>
        <w:rPr>
          <w:rFonts w:hint="eastAsia"/>
        </w:rPr>
      </w:pPr>
      <w:r>
        <w:drawing>
          <wp:inline distT="0" distB="0" distL="114300" distR="114300">
            <wp:extent cx="5184775" cy="2674620"/>
            <wp:effectExtent l="4445" t="4445" r="11430" b="6985"/>
            <wp:docPr id="8" name="图表 4" descr="7b0a202020202263686172745265734964223a202234353236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6"/>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（图6：一般公共预算财政拨款支出决算结构）（饼状图）</w:t>
      </w: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8460"/>
      <w:bookmarkStart w:id="32" w:name="_Toc15377444"/>
      <w:bookmarkStart w:id="33"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117.23万元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100</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31"/>
      <w:bookmarkEnd w:id="32"/>
      <w:bookmarkEnd w:id="33"/>
    </w:p>
    <w:p>
      <w:pPr>
        <w:spacing w:line="600" w:lineRule="exact"/>
        <w:ind w:firstLine="643" w:firstLineChars="200"/>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1</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文化旅游体育与传媒（类）</w:t>
      </w:r>
      <w:r>
        <w:rPr>
          <w:rStyle w:val="16"/>
          <w:rFonts w:hint="eastAsia" w:ascii="仿宋" w:hAnsi="仿宋" w:eastAsia="仿宋"/>
          <w:bCs/>
          <w:color w:val="auto"/>
          <w:sz w:val="32"/>
          <w:szCs w:val="32"/>
          <w:highlight w:val="none"/>
          <w:lang w:eastAsia="zh-CN"/>
        </w:rPr>
        <w:t>文化和旅游</w:t>
      </w:r>
      <w:r>
        <w:rPr>
          <w:rStyle w:val="16"/>
          <w:rFonts w:hint="eastAsia" w:ascii="仿宋" w:hAnsi="仿宋" w:eastAsia="仿宋"/>
          <w:bCs/>
          <w:color w:val="auto"/>
          <w:sz w:val="32"/>
          <w:szCs w:val="32"/>
          <w:highlight w:val="none"/>
        </w:rPr>
        <w:t>（款）</w:t>
      </w:r>
      <w:r>
        <w:rPr>
          <w:rStyle w:val="16"/>
          <w:rFonts w:hint="eastAsia" w:ascii="仿宋" w:hAnsi="仿宋" w:eastAsia="仿宋"/>
          <w:bCs/>
          <w:color w:val="auto"/>
          <w:sz w:val="32"/>
          <w:szCs w:val="32"/>
          <w:highlight w:val="none"/>
          <w:lang w:eastAsia="zh-CN"/>
        </w:rPr>
        <w:t>行政运行</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10</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2</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文化旅游体育与传媒（类）</w:t>
      </w:r>
      <w:r>
        <w:rPr>
          <w:rStyle w:val="16"/>
          <w:rFonts w:hint="eastAsia" w:ascii="仿宋" w:hAnsi="仿宋" w:eastAsia="仿宋"/>
          <w:bCs/>
          <w:color w:val="auto"/>
          <w:sz w:val="32"/>
          <w:szCs w:val="32"/>
          <w:highlight w:val="none"/>
          <w:lang w:eastAsia="zh-CN"/>
        </w:rPr>
        <w:t>文化和旅游</w:t>
      </w:r>
      <w:r>
        <w:rPr>
          <w:rStyle w:val="16"/>
          <w:rFonts w:hint="eastAsia" w:ascii="仿宋" w:hAnsi="仿宋" w:eastAsia="仿宋"/>
          <w:bCs/>
          <w:color w:val="auto"/>
          <w:sz w:val="32"/>
          <w:szCs w:val="32"/>
          <w:highlight w:val="none"/>
        </w:rPr>
        <w:t>（款）</w:t>
      </w:r>
      <w:r>
        <w:rPr>
          <w:rStyle w:val="16"/>
          <w:rFonts w:hint="eastAsia" w:ascii="仿宋" w:hAnsi="仿宋" w:eastAsia="仿宋"/>
          <w:bCs/>
          <w:color w:val="auto"/>
          <w:sz w:val="32"/>
          <w:szCs w:val="32"/>
          <w:highlight w:val="none"/>
          <w:lang w:eastAsia="zh-CN"/>
        </w:rPr>
        <w:t>一般行政管理事务</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63.10</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3</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社会保障和就业（类）</w:t>
      </w:r>
      <w:r>
        <w:rPr>
          <w:rStyle w:val="16"/>
          <w:rFonts w:hint="eastAsia" w:ascii="仿宋" w:hAnsi="仿宋" w:eastAsia="仿宋"/>
          <w:bCs/>
          <w:color w:val="auto"/>
          <w:sz w:val="32"/>
          <w:szCs w:val="32"/>
          <w:highlight w:val="none"/>
          <w:lang w:eastAsia="zh-CN"/>
        </w:rPr>
        <w:t>行政事业单位养老支出</w:t>
      </w:r>
      <w:r>
        <w:rPr>
          <w:rStyle w:val="16"/>
          <w:rFonts w:hint="eastAsia" w:ascii="仿宋" w:hAnsi="仿宋" w:eastAsia="仿宋"/>
          <w:bCs/>
          <w:color w:val="auto"/>
          <w:sz w:val="32"/>
          <w:szCs w:val="32"/>
          <w:highlight w:val="none"/>
        </w:rPr>
        <w:t>（款）</w:t>
      </w:r>
      <w:r>
        <w:rPr>
          <w:rStyle w:val="16"/>
          <w:rFonts w:hint="eastAsia" w:ascii="仿宋" w:hAnsi="仿宋" w:eastAsia="仿宋"/>
          <w:bCs/>
          <w:color w:val="auto"/>
          <w:sz w:val="32"/>
          <w:szCs w:val="32"/>
          <w:highlight w:val="none"/>
          <w:lang w:eastAsia="zh-CN"/>
        </w:rPr>
        <w:t>机关事业单位基本养老保险缴费支出</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8.25</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4</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社会保障和就业（类）</w:t>
      </w:r>
      <w:r>
        <w:rPr>
          <w:rStyle w:val="16"/>
          <w:rFonts w:hint="eastAsia" w:ascii="仿宋" w:hAnsi="仿宋" w:eastAsia="仿宋"/>
          <w:bCs/>
          <w:color w:val="auto"/>
          <w:sz w:val="32"/>
          <w:szCs w:val="32"/>
          <w:highlight w:val="none"/>
          <w:lang w:eastAsia="zh-CN"/>
        </w:rPr>
        <w:t>其他社会保障和就业支出</w:t>
      </w:r>
      <w:r>
        <w:rPr>
          <w:rStyle w:val="16"/>
          <w:rFonts w:hint="eastAsia" w:ascii="仿宋" w:hAnsi="仿宋" w:eastAsia="仿宋"/>
          <w:bCs/>
          <w:color w:val="auto"/>
          <w:sz w:val="32"/>
          <w:szCs w:val="32"/>
          <w:highlight w:val="none"/>
        </w:rPr>
        <w:t>（款）</w:t>
      </w:r>
      <w:r>
        <w:rPr>
          <w:rStyle w:val="16"/>
          <w:rFonts w:hint="eastAsia" w:ascii="仿宋" w:hAnsi="仿宋" w:eastAsia="仿宋"/>
          <w:bCs/>
          <w:color w:val="auto"/>
          <w:sz w:val="32"/>
          <w:szCs w:val="32"/>
          <w:highlight w:val="none"/>
          <w:lang w:eastAsia="zh-CN"/>
        </w:rPr>
        <w:t>其他社会保障和就业支出</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0.37</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5</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rPr>
        <w:t>（类）</w:t>
      </w:r>
      <w:r>
        <w:rPr>
          <w:rStyle w:val="16"/>
          <w:rFonts w:hint="eastAsia" w:ascii="仿宋" w:hAnsi="仿宋" w:eastAsia="仿宋"/>
          <w:bCs/>
          <w:color w:val="auto"/>
          <w:sz w:val="32"/>
          <w:szCs w:val="32"/>
          <w:highlight w:val="none"/>
          <w:lang w:eastAsia="zh-CN"/>
        </w:rPr>
        <w:t>行政事业单位医疗</w:t>
      </w:r>
      <w:r>
        <w:rPr>
          <w:rStyle w:val="16"/>
          <w:rFonts w:hint="eastAsia" w:ascii="仿宋" w:hAnsi="仿宋" w:eastAsia="仿宋"/>
          <w:bCs/>
          <w:color w:val="auto"/>
          <w:sz w:val="32"/>
          <w:szCs w:val="32"/>
          <w:highlight w:val="none"/>
        </w:rPr>
        <w:t>（款）</w:t>
      </w:r>
      <w:r>
        <w:rPr>
          <w:rStyle w:val="16"/>
          <w:rFonts w:hint="eastAsia" w:ascii="仿宋" w:hAnsi="仿宋" w:eastAsia="仿宋"/>
          <w:bCs/>
          <w:color w:val="auto"/>
          <w:sz w:val="32"/>
          <w:szCs w:val="32"/>
          <w:highlight w:val="none"/>
          <w:lang w:eastAsia="zh-CN"/>
        </w:rPr>
        <w:t>事业单位医疗</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3.23</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6</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lang w:eastAsia="zh-CN"/>
        </w:rPr>
        <w:t>节能环保支出</w:t>
      </w:r>
      <w:r>
        <w:rPr>
          <w:rStyle w:val="16"/>
          <w:rFonts w:hint="eastAsia" w:ascii="仿宋" w:hAnsi="仿宋" w:eastAsia="仿宋"/>
          <w:bCs/>
          <w:color w:val="auto"/>
          <w:sz w:val="32"/>
          <w:szCs w:val="32"/>
          <w:highlight w:val="none"/>
        </w:rPr>
        <w:t>（类）</w:t>
      </w:r>
      <w:r>
        <w:rPr>
          <w:rStyle w:val="16"/>
          <w:rFonts w:hint="eastAsia" w:ascii="仿宋" w:hAnsi="仿宋" w:eastAsia="仿宋"/>
          <w:bCs/>
          <w:color w:val="auto"/>
          <w:sz w:val="32"/>
          <w:szCs w:val="32"/>
          <w:highlight w:val="none"/>
          <w:lang w:eastAsia="zh-CN"/>
        </w:rPr>
        <w:t>污染防治</w:t>
      </w:r>
      <w:r>
        <w:rPr>
          <w:rStyle w:val="16"/>
          <w:rFonts w:hint="eastAsia" w:ascii="仿宋" w:hAnsi="仿宋" w:eastAsia="仿宋"/>
          <w:bCs/>
          <w:color w:val="auto"/>
          <w:sz w:val="32"/>
          <w:szCs w:val="32"/>
          <w:highlight w:val="none"/>
        </w:rPr>
        <w:t>（款）</w:t>
      </w:r>
      <w:r>
        <w:rPr>
          <w:rStyle w:val="16"/>
          <w:rFonts w:hint="eastAsia" w:ascii="仿宋" w:hAnsi="仿宋" w:eastAsia="仿宋"/>
          <w:bCs/>
          <w:color w:val="auto"/>
          <w:sz w:val="32"/>
          <w:szCs w:val="32"/>
          <w:highlight w:val="none"/>
          <w:lang w:eastAsia="zh-CN"/>
        </w:rPr>
        <w:t>其他污染防治支出</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20</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7</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lang w:eastAsia="zh-CN"/>
        </w:rPr>
        <w:t>城乡社区支出</w:t>
      </w:r>
      <w:r>
        <w:rPr>
          <w:rStyle w:val="16"/>
          <w:rFonts w:hint="eastAsia" w:ascii="仿宋" w:hAnsi="仿宋" w:eastAsia="仿宋"/>
          <w:bCs/>
          <w:color w:val="auto"/>
          <w:sz w:val="32"/>
          <w:szCs w:val="32"/>
          <w:highlight w:val="none"/>
        </w:rPr>
        <w:t>（类）</w:t>
      </w:r>
      <w:r>
        <w:rPr>
          <w:rStyle w:val="16"/>
          <w:rFonts w:hint="eastAsia" w:ascii="仿宋" w:hAnsi="仿宋" w:eastAsia="仿宋"/>
          <w:bCs/>
          <w:color w:val="auto"/>
          <w:sz w:val="32"/>
          <w:szCs w:val="32"/>
          <w:highlight w:val="none"/>
          <w:lang w:eastAsia="zh-CN"/>
        </w:rPr>
        <w:t>城乡社区环境卫生</w:t>
      </w:r>
      <w:r>
        <w:rPr>
          <w:rStyle w:val="16"/>
          <w:rFonts w:hint="eastAsia" w:ascii="仿宋" w:hAnsi="仿宋" w:eastAsia="仿宋"/>
          <w:bCs/>
          <w:color w:val="auto"/>
          <w:sz w:val="32"/>
          <w:szCs w:val="32"/>
          <w:highlight w:val="none"/>
        </w:rPr>
        <w:t>（款）</w:t>
      </w:r>
      <w:r>
        <w:rPr>
          <w:rStyle w:val="16"/>
          <w:rFonts w:hint="eastAsia" w:ascii="仿宋" w:hAnsi="仿宋" w:eastAsia="仿宋"/>
          <w:bCs/>
          <w:color w:val="auto"/>
          <w:sz w:val="32"/>
          <w:szCs w:val="32"/>
          <w:highlight w:val="none"/>
          <w:lang w:eastAsia="zh-CN"/>
        </w:rPr>
        <w:t>城乡社区环境卫生支出</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16</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p>
    <w:p>
      <w:pPr>
        <w:spacing w:line="600" w:lineRule="exact"/>
        <w:ind w:firstLine="643" w:firstLineChars="200"/>
        <w:rPr>
          <w:rFonts w:hint="eastAsia" w:ascii="仿宋" w:hAnsi="仿宋" w:eastAsia="仿宋"/>
          <w:b/>
          <w:color w:val="auto"/>
          <w:sz w:val="32"/>
          <w:szCs w:val="32"/>
          <w:highlight w:val="none"/>
          <w:lang w:eastAsia="zh-CN"/>
        </w:rPr>
      </w:pPr>
      <w:r>
        <w:rPr>
          <w:rFonts w:hint="eastAsia" w:ascii="仿宋" w:hAnsi="仿宋" w:eastAsia="仿宋"/>
          <w:b/>
          <w:color w:val="000000"/>
          <w:sz w:val="32"/>
          <w:szCs w:val="32"/>
          <w:lang w:val="en-US" w:eastAsia="zh-CN"/>
        </w:rPr>
        <w:t>8.</w:t>
      </w:r>
      <w:r>
        <w:rPr>
          <w:rFonts w:hint="eastAsia" w:ascii="仿宋" w:hAnsi="仿宋" w:eastAsia="仿宋"/>
          <w:b/>
          <w:bCs/>
          <w:color w:val="000000" w:themeColor="text1"/>
          <w:sz w:val="32"/>
          <w:szCs w:val="32"/>
          <w14:textFill>
            <w14:solidFill>
              <w14:schemeClr w14:val="tx1"/>
            </w14:solidFill>
          </w14:textFill>
        </w:rPr>
        <w:t>住房保障</w:t>
      </w:r>
      <w:r>
        <w:rPr>
          <w:rFonts w:hint="eastAsia" w:ascii="仿宋" w:hAnsi="仿宋" w:eastAsia="仿宋"/>
          <w:b/>
          <w:bCs/>
          <w:color w:val="000000" w:themeColor="text1"/>
          <w:sz w:val="32"/>
          <w:szCs w:val="32"/>
          <w:lang w:eastAsia="zh-CN"/>
          <w14:textFill>
            <w14:solidFill>
              <w14:schemeClr w14:val="tx1"/>
            </w14:solidFill>
          </w14:textFill>
        </w:rPr>
        <w:t>（类）住房改革</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）住房公积金</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hint="eastAsia" w:ascii="仿宋" w:hAnsi="仿宋" w:eastAsia="仿宋"/>
          <w:b w:val="0"/>
          <w:bCs w:val="0"/>
          <w:color w:val="000000"/>
          <w:sz w:val="32"/>
          <w:szCs w:val="32"/>
          <w:lang w:eastAsia="zh-CN"/>
        </w:rPr>
        <w:t>支出决算为</w:t>
      </w:r>
      <w:r>
        <w:rPr>
          <w:rStyle w:val="16"/>
          <w:rFonts w:hint="eastAsia" w:ascii="仿宋" w:hAnsi="仿宋" w:eastAsia="仿宋"/>
          <w:b w:val="0"/>
          <w:bCs w:val="0"/>
          <w:color w:val="000000"/>
          <w:sz w:val="32"/>
          <w:szCs w:val="32"/>
          <w:lang w:val="en-US" w:eastAsia="zh-CN"/>
        </w:rPr>
        <w:t>6.28 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p>
    <w:p>
      <w:pPr>
        <w:tabs>
          <w:tab w:val="right" w:pos="8306"/>
        </w:tabs>
        <w:spacing w:line="600" w:lineRule="exact"/>
        <w:ind w:firstLine="640"/>
        <w:outlineLvl w:val="1"/>
        <w:rPr>
          <w:rStyle w:val="27"/>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34"/>
      <w:bookmarkEnd w:id="35"/>
      <w:r>
        <w:rPr>
          <w:rStyle w:val="2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78.73</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70.47</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18.22万元</w:t>
      </w:r>
      <w:r>
        <w:rPr>
          <w:rFonts w:hint="eastAsia" w:ascii="仿宋" w:hAnsi="仿宋" w:eastAsia="仿宋"/>
          <w:color w:val="auto"/>
          <w:sz w:val="32"/>
          <w:szCs w:val="32"/>
          <w:highlight w:val="none"/>
        </w:rPr>
        <w:t>、津贴补贴</w:t>
      </w:r>
      <w:r>
        <w:rPr>
          <w:rFonts w:hint="eastAsia" w:ascii="仿宋" w:hAnsi="仿宋" w:eastAsia="仿宋"/>
          <w:color w:val="auto"/>
          <w:sz w:val="32"/>
          <w:szCs w:val="32"/>
          <w:highlight w:val="none"/>
          <w:lang w:val="en-US" w:eastAsia="zh-CN"/>
        </w:rPr>
        <w:t>0.68万元</w:t>
      </w:r>
      <w:r>
        <w:rPr>
          <w:rFonts w:hint="eastAsia" w:ascii="仿宋" w:hAnsi="仿宋" w:eastAsia="仿宋"/>
          <w:color w:val="auto"/>
          <w:sz w:val="32"/>
          <w:szCs w:val="32"/>
          <w:highlight w:val="none"/>
        </w:rPr>
        <w:t>、绩效工资</w:t>
      </w:r>
      <w:r>
        <w:rPr>
          <w:rFonts w:hint="eastAsia" w:ascii="仿宋" w:hAnsi="仿宋" w:eastAsia="仿宋"/>
          <w:color w:val="auto"/>
          <w:sz w:val="32"/>
          <w:szCs w:val="32"/>
          <w:highlight w:val="none"/>
          <w:lang w:val="en-US" w:eastAsia="zh-CN"/>
        </w:rPr>
        <w:t>15.44万元</w:t>
      </w:r>
      <w:r>
        <w:rPr>
          <w:rFonts w:hint="eastAsia" w:ascii="仿宋" w:hAnsi="仿宋" w:eastAsia="仿宋"/>
          <w:color w:val="auto"/>
          <w:sz w:val="32"/>
          <w:szCs w:val="32"/>
          <w:highlight w:val="none"/>
        </w:rPr>
        <w:t>、机关事业单位基本养老保险缴费</w:t>
      </w:r>
      <w:r>
        <w:rPr>
          <w:rFonts w:hint="eastAsia" w:ascii="仿宋" w:hAnsi="仿宋" w:eastAsia="仿宋"/>
          <w:color w:val="auto"/>
          <w:sz w:val="32"/>
          <w:szCs w:val="32"/>
          <w:highlight w:val="none"/>
          <w:lang w:val="en-US" w:eastAsia="zh-CN"/>
        </w:rPr>
        <w:t>8.25万元</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0.37万元</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val="en-US" w:eastAsia="zh-CN"/>
        </w:rPr>
        <w:t>18万元</w:t>
      </w:r>
      <w:r>
        <w:rPr>
          <w:rFonts w:hint="eastAsia" w:ascii="仿宋" w:hAnsi="仿宋" w:eastAsia="仿宋"/>
          <w:color w:val="auto"/>
          <w:sz w:val="32"/>
          <w:szCs w:val="32"/>
          <w:highlight w:val="none"/>
        </w:rPr>
        <w:t>、</w:t>
      </w:r>
      <w:r>
        <w:rPr>
          <w:rFonts w:hint="eastAsia" w:ascii="仿宋" w:hAnsi="仿宋" w:eastAsia="仿宋"/>
          <w:color w:val="000000"/>
          <w:sz w:val="32"/>
          <w:szCs w:val="32"/>
          <w:lang w:eastAsia="zh-CN"/>
        </w:rPr>
        <w:t>职工基本医疗保障缴费</w:t>
      </w:r>
      <w:r>
        <w:rPr>
          <w:rFonts w:hint="eastAsia" w:ascii="仿宋" w:hAnsi="仿宋" w:eastAsia="仿宋"/>
          <w:color w:val="000000"/>
          <w:sz w:val="32"/>
          <w:szCs w:val="32"/>
          <w:lang w:val="en-US" w:eastAsia="zh-CN"/>
        </w:rPr>
        <w:t>3.23万元、</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val="en-US" w:eastAsia="zh-CN"/>
        </w:rPr>
        <w:t>6.28万元</w:t>
      </w:r>
      <w:r>
        <w:rPr>
          <w:rFonts w:hint="eastAsia" w:ascii="仿宋" w:hAnsi="仿宋" w:eastAsia="仿宋"/>
          <w:color w:val="auto"/>
          <w:sz w:val="32"/>
          <w:szCs w:val="32"/>
          <w:highlight w:val="none"/>
        </w:rPr>
        <w:t>。</w:t>
      </w:r>
    </w:p>
    <w:p>
      <w:pPr>
        <w:spacing w:line="600" w:lineRule="exact"/>
        <w:ind w:firstLine="645"/>
        <w:rPr>
          <w:rFonts w:hint="eastAsia" w:ascii="仿宋" w:hAnsi="仿宋" w:eastAsia="仿宋"/>
          <w:b/>
          <w:color w:val="auto"/>
          <w:sz w:val="32"/>
          <w:szCs w:val="32"/>
          <w:highlight w:val="none"/>
          <w:lang w:eastAsia="zh-CN"/>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8.26</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val="en-US" w:eastAsia="zh-CN"/>
        </w:rPr>
        <w:t>0.91万元</w:t>
      </w:r>
      <w:r>
        <w:rPr>
          <w:rFonts w:hint="eastAsia" w:ascii="仿宋" w:hAnsi="仿宋" w:eastAsia="仿宋"/>
          <w:color w:val="auto"/>
          <w:sz w:val="32"/>
          <w:szCs w:val="32"/>
          <w:highlight w:val="none"/>
        </w:rPr>
        <w:t>、水费</w:t>
      </w:r>
      <w:r>
        <w:rPr>
          <w:rFonts w:hint="eastAsia" w:ascii="仿宋" w:hAnsi="仿宋" w:eastAsia="仿宋"/>
          <w:color w:val="auto"/>
          <w:sz w:val="32"/>
          <w:szCs w:val="32"/>
          <w:highlight w:val="none"/>
          <w:lang w:val="en-US" w:eastAsia="zh-CN"/>
        </w:rPr>
        <w:t>0.15万元</w:t>
      </w:r>
      <w:r>
        <w:rPr>
          <w:rFonts w:hint="eastAsia" w:ascii="仿宋" w:hAnsi="仿宋" w:eastAsia="仿宋"/>
          <w:color w:val="auto"/>
          <w:sz w:val="32"/>
          <w:szCs w:val="32"/>
          <w:highlight w:val="none"/>
        </w:rPr>
        <w:t>、电费</w:t>
      </w:r>
      <w:r>
        <w:rPr>
          <w:rFonts w:hint="eastAsia" w:ascii="仿宋" w:hAnsi="仿宋" w:eastAsia="仿宋"/>
          <w:color w:val="auto"/>
          <w:sz w:val="32"/>
          <w:szCs w:val="32"/>
          <w:highlight w:val="none"/>
          <w:lang w:val="en-US" w:eastAsia="zh-CN"/>
        </w:rPr>
        <w:t>0.30万元</w:t>
      </w:r>
      <w:r>
        <w:rPr>
          <w:rFonts w:hint="eastAsia" w:ascii="仿宋" w:hAnsi="仿宋" w:eastAsia="仿宋"/>
          <w:color w:val="auto"/>
          <w:sz w:val="32"/>
          <w:szCs w:val="32"/>
          <w:highlight w:val="none"/>
        </w:rPr>
        <w:t>、邮电费</w:t>
      </w:r>
      <w:r>
        <w:rPr>
          <w:rFonts w:hint="eastAsia" w:ascii="仿宋" w:hAnsi="仿宋" w:eastAsia="仿宋"/>
          <w:color w:val="auto"/>
          <w:sz w:val="32"/>
          <w:szCs w:val="32"/>
          <w:highlight w:val="none"/>
          <w:lang w:val="en-US" w:eastAsia="zh-CN"/>
        </w:rPr>
        <w:t>1.00万元</w:t>
      </w:r>
      <w:r>
        <w:rPr>
          <w:rFonts w:hint="eastAsia" w:ascii="仿宋" w:hAnsi="仿宋" w:eastAsia="仿宋"/>
          <w:color w:val="auto"/>
          <w:sz w:val="32"/>
          <w:szCs w:val="32"/>
          <w:highlight w:val="none"/>
        </w:rPr>
        <w:t>、差旅费</w:t>
      </w:r>
      <w:r>
        <w:rPr>
          <w:rFonts w:hint="eastAsia" w:ascii="仿宋" w:hAnsi="仿宋" w:eastAsia="仿宋"/>
          <w:color w:val="auto"/>
          <w:sz w:val="32"/>
          <w:szCs w:val="32"/>
          <w:highlight w:val="none"/>
          <w:lang w:val="en-US" w:eastAsia="zh-CN"/>
        </w:rPr>
        <w:t>1.47万元</w:t>
      </w:r>
      <w:r>
        <w:rPr>
          <w:rFonts w:hint="eastAsia" w:ascii="仿宋" w:hAnsi="仿宋" w:eastAsia="仿宋"/>
          <w:color w:val="auto"/>
          <w:sz w:val="32"/>
          <w:szCs w:val="32"/>
          <w:highlight w:val="none"/>
        </w:rPr>
        <w:t>、公务接待费</w:t>
      </w:r>
      <w:r>
        <w:rPr>
          <w:rFonts w:hint="eastAsia" w:ascii="仿宋" w:hAnsi="仿宋" w:eastAsia="仿宋"/>
          <w:color w:val="auto"/>
          <w:sz w:val="32"/>
          <w:szCs w:val="32"/>
          <w:highlight w:val="none"/>
          <w:lang w:val="en-US" w:eastAsia="zh-CN"/>
        </w:rPr>
        <w:t>0.54万元</w:t>
      </w:r>
      <w:r>
        <w:rPr>
          <w:rFonts w:hint="eastAsia" w:ascii="仿宋" w:hAnsi="仿宋" w:eastAsia="仿宋"/>
          <w:color w:val="auto"/>
          <w:sz w:val="32"/>
          <w:szCs w:val="32"/>
          <w:highlight w:val="none"/>
        </w:rPr>
        <w:t>、劳务费</w:t>
      </w:r>
      <w:r>
        <w:rPr>
          <w:rFonts w:hint="eastAsia" w:ascii="仿宋" w:hAnsi="仿宋" w:eastAsia="仿宋"/>
          <w:color w:val="auto"/>
          <w:sz w:val="32"/>
          <w:szCs w:val="32"/>
          <w:highlight w:val="none"/>
          <w:lang w:val="en-US" w:eastAsia="zh-CN"/>
        </w:rPr>
        <w:t>2.40万元</w:t>
      </w:r>
      <w:r>
        <w:rPr>
          <w:rFonts w:hint="eastAsia" w:ascii="仿宋" w:hAnsi="仿宋" w:eastAsia="仿宋"/>
          <w:color w:val="auto"/>
          <w:sz w:val="32"/>
          <w:szCs w:val="32"/>
          <w:highlight w:val="none"/>
        </w:rPr>
        <w:t>、工会经费</w:t>
      </w:r>
      <w:r>
        <w:rPr>
          <w:rFonts w:hint="eastAsia" w:ascii="仿宋" w:hAnsi="仿宋" w:eastAsia="仿宋"/>
          <w:color w:val="auto"/>
          <w:sz w:val="32"/>
          <w:szCs w:val="32"/>
          <w:highlight w:val="none"/>
          <w:lang w:val="en-US" w:eastAsia="zh-CN"/>
        </w:rPr>
        <w:t>1.50万元</w:t>
      </w:r>
      <w:r>
        <w:rPr>
          <w:rFonts w:hint="eastAsia" w:ascii="仿宋" w:hAnsi="仿宋" w:eastAsia="仿宋"/>
          <w:color w:val="auto"/>
          <w:sz w:val="32"/>
          <w:szCs w:val="32"/>
          <w:highlight w:val="none"/>
        </w:rPr>
        <w:t>。</w:t>
      </w:r>
    </w:p>
    <w:p>
      <w:pPr>
        <w:spacing w:line="600" w:lineRule="exact"/>
        <w:ind w:firstLine="640"/>
        <w:outlineLvl w:val="1"/>
        <w:rPr>
          <w:rStyle w:val="27"/>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Fonts w:hint="eastAsia" w:ascii="黑体" w:eastAsia="黑体"/>
          <w:color w:val="auto"/>
          <w:sz w:val="32"/>
          <w:szCs w:val="32"/>
          <w:highlight w:val="none"/>
          <w:lang w:eastAsia="zh-CN"/>
        </w:rPr>
        <w:t>财政拨款</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w:t>
      </w:r>
      <w:r>
        <w:rPr>
          <w:rStyle w:val="27"/>
          <w:rFonts w:hint="eastAsia" w:ascii="黑体" w:hAnsi="黑体" w:eastAsia="黑体"/>
          <w:b w:val="0"/>
          <w:color w:val="auto"/>
          <w:highlight w:val="none"/>
          <w:lang w:eastAsia="zh-CN"/>
        </w:rPr>
        <w:t>经费</w:t>
      </w:r>
      <w:r>
        <w:rPr>
          <w:rStyle w:val="27"/>
          <w:rFonts w:hint="eastAsia" w:ascii="黑体" w:hAnsi="黑体" w:eastAsia="黑体"/>
          <w:b w:val="0"/>
          <w:color w:val="auto"/>
          <w:highlight w:val="none"/>
        </w:rPr>
        <w:t>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0.54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0.17万元，增长46</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000000"/>
          <w:sz w:val="32"/>
          <w:szCs w:val="32"/>
          <w:lang w:eastAsia="zh-CN"/>
        </w:rPr>
        <w:t>认真贯彻落实中央八项规定精神，采取有效措施严格控制接待范围和接待标准</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年初未安排预算</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年初未安排预算；</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6"/>
        <w:jc w:val="center"/>
        <w:rPr>
          <w:rFonts w:hint="eastAsia" w:eastAsia="仿宋"/>
          <w:lang w:val="en-US" w:eastAsia="zh-CN"/>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2336" behindDoc="0" locked="0" layoutInCell="1" allowOverlap="1">
            <wp:simplePos x="0" y="0"/>
            <wp:positionH relativeFrom="column">
              <wp:posOffset>273050</wp:posOffset>
            </wp:positionH>
            <wp:positionV relativeFrom="paragraph">
              <wp:posOffset>101600</wp:posOffset>
            </wp:positionV>
            <wp:extent cx="4740910" cy="2119630"/>
            <wp:effectExtent l="4445" t="4445" r="17145" b="9525"/>
            <wp:wrapTopAndBottom/>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（图7：“三公”经费财政拨款支出结构）（饼状图）</w:t>
      </w:r>
    </w:p>
    <w:p>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lang w:val="en-US" w:eastAsia="zh-CN"/>
        </w:rPr>
        <w:t xml:space="preserve"> </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较去</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0.54</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96</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0.17</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46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开展两湖系统党建活动</w:t>
      </w:r>
      <w:r>
        <w:rPr>
          <w:rFonts w:hint="eastAsia" w:ascii="仿宋_GB2312" w:eastAsia="仿宋_GB2312"/>
          <w:color w:val="auto"/>
          <w:sz w:val="32"/>
          <w:szCs w:val="32"/>
          <w:highlight w:val="none"/>
        </w:rPr>
        <w:t>。其中：</w:t>
      </w:r>
    </w:p>
    <w:p>
      <w:pPr>
        <w:spacing w:line="600" w:lineRule="exact"/>
        <w:ind w:firstLine="640"/>
        <w:rPr>
          <w:rFonts w:hint="default" w:eastAsia="仿宋_GB2312"/>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0.54</w:t>
      </w:r>
      <w:r>
        <w:rPr>
          <w:rFonts w:hint="eastAsia" w:ascii="仿宋_GB2312" w:eastAsia="仿宋_GB2312"/>
          <w:color w:val="auto"/>
          <w:sz w:val="32"/>
          <w:szCs w:val="32"/>
          <w:highlight w:val="none"/>
        </w:rPr>
        <w:t>万元，主要用于执行公务、</w:t>
      </w:r>
      <w:r>
        <w:rPr>
          <w:rFonts w:hint="eastAsia" w:ascii="仿宋_GB2312" w:eastAsia="仿宋_GB2312"/>
          <w:color w:val="auto"/>
          <w:sz w:val="32"/>
          <w:szCs w:val="32"/>
          <w:highlight w:val="none"/>
          <w:lang w:eastAsia="zh-CN"/>
        </w:rPr>
        <w:t>开展党建活动</w:t>
      </w:r>
      <w:r>
        <w:rPr>
          <w:rFonts w:hint="eastAsia" w:ascii="仿宋_GB2312" w:eastAsia="仿宋_GB2312"/>
          <w:color w:val="auto"/>
          <w:sz w:val="32"/>
          <w:szCs w:val="32"/>
          <w:highlight w:val="none"/>
        </w:rPr>
        <w:t>的用餐费。国内公务接待</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61</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0.54</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党建活动</w:t>
      </w:r>
      <w:r>
        <w:rPr>
          <w:rFonts w:hint="eastAsia" w:ascii="仿宋_GB2312" w:eastAsia="仿宋_GB2312"/>
          <w:color w:val="auto"/>
          <w:sz w:val="32"/>
          <w:szCs w:val="32"/>
          <w:highlight w:val="none"/>
          <w:lang w:val="en-US" w:eastAsia="zh-CN"/>
        </w:rPr>
        <w:t>0.34万元</w:t>
      </w:r>
      <w:r>
        <w:rPr>
          <w:rFonts w:hint="eastAsia" w:ascii="仿宋_GB2312" w:eastAsia="仿宋_GB2312"/>
          <w:color w:val="auto"/>
          <w:sz w:val="32"/>
          <w:szCs w:val="32"/>
          <w:highlight w:val="none"/>
          <w:lang w:eastAsia="zh-CN"/>
        </w:rPr>
        <w:t>，资源保护和安全监管工作</w:t>
      </w:r>
      <w:r>
        <w:rPr>
          <w:rFonts w:hint="eastAsia" w:ascii="仿宋_GB2312" w:eastAsia="仿宋_GB2312"/>
          <w:color w:val="auto"/>
          <w:sz w:val="32"/>
          <w:szCs w:val="32"/>
          <w:highlight w:val="none"/>
          <w:lang w:val="en-US" w:eastAsia="zh-CN"/>
        </w:rPr>
        <w:t>0.09万元，项目和产业发展0.11万元</w:t>
      </w:r>
      <w:r>
        <w:rPr>
          <w:rFonts w:hint="eastAsia" w:ascii="仿宋_GB2312" w:eastAsia="仿宋_GB2312"/>
          <w:color w:val="auto"/>
          <w:sz w:val="32"/>
          <w:szCs w:val="32"/>
          <w:highlight w:val="none"/>
        </w:rPr>
        <w:t>。</w:t>
      </w:r>
    </w:p>
    <w:p>
      <w:pPr>
        <w:spacing w:line="600" w:lineRule="exact"/>
        <w:ind w:firstLine="645"/>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b/>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bookmarkStart w:id="40" w:name="_Toc15396610"/>
      <w:bookmarkStart w:id="41" w:name="_Toc15377218"/>
      <w:r>
        <w:rPr>
          <w:rFonts w:hint="eastAsia" w:ascii="仿宋_GB2312" w:eastAsia="仿宋_GB2312"/>
          <w:color w:val="auto"/>
          <w:sz w:val="32"/>
          <w:szCs w:val="32"/>
          <w:highlight w:val="none"/>
          <w:lang w:val="en-US" w:eastAsia="zh-CN"/>
        </w:rPr>
        <w:t xml:space="preserve"> </w:t>
      </w:r>
    </w:p>
    <w:p>
      <w:pPr>
        <w:spacing w:line="600" w:lineRule="exact"/>
        <w:ind w:firstLine="640"/>
        <w:outlineLvl w:val="1"/>
        <w:rPr>
          <w:rStyle w:val="27"/>
          <w:rFonts w:ascii="黑体" w:hAnsi="黑体" w:eastAsia="黑体"/>
          <w:color w:val="auto"/>
          <w:highlight w:val="none"/>
        </w:rPr>
      </w:pPr>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7"/>
          <w:rFonts w:ascii="黑体" w:hAnsi="黑体" w:eastAsia="黑体"/>
          <w:b w:val="0"/>
          <w:color w:val="auto"/>
          <w:highlight w:val="none"/>
        </w:rPr>
      </w:pPr>
      <w:bookmarkStart w:id="42" w:name="_Toc15396611"/>
      <w:bookmarkStart w:id="43" w:name="_Toc15377219"/>
      <w:r>
        <w:rPr>
          <w:rStyle w:val="27"/>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7"/>
          <w:rFonts w:hint="eastAsia" w:ascii="黑体" w:hAnsi="黑体" w:eastAsia="黑体"/>
          <w:b w:val="0"/>
          <w:color w:val="auto"/>
          <w:highlight w:val="none"/>
        </w:rPr>
      </w:pPr>
      <w:bookmarkStart w:id="44" w:name="_Toc15377221"/>
      <w:bookmarkStart w:id="45" w:name="_Toc15396612"/>
      <w:r>
        <w:rPr>
          <w:rStyle w:val="27"/>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000000"/>
          <w:sz w:val="32"/>
          <w:szCs w:val="32"/>
          <w:lang w:eastAsia="zh-CN"/>
        </w:rPr>
        <w:t>区亭子湖景区保护与发展中心本年未发生机关运行经费支出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决算数持平。</w:t>
      </w:r>
      <w:r>
        <w:rPr>
          <w:rFonts w:hint="eastAsia" w:ascii="仿宋_GB2312" w:eastAsia="仿宋_GB2312"/>
          <w:color w:val="auto"/>
          <w:sz w:val="32"/>
          <w:szCs w:val="32"/>
          <w:highlight w:val="none"/>
          <w:lang w:val="en-US" w:eastAsia="zh-CN"/>
        </w:rPr>
        <w:t xml:space="preserve"> </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hint="eastAsia" w:ascii="仿宋" w:hAnsi="仿宋" w:eastAsia="仿宋_GB2312"/>
          <w:b/>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000000"/>
          <w:sz w:val="32"/>
          <w:szCs w:val="32"/>
          <w:lang w:eastAsia="zh-CN"/>
        </w:rPr>
        <w:t>区亭子湖景区保护与发展中心</w:t>
      </w:r>
      <w:r>
        <w:rPr>
          <w:rFonts w:hint="eastAsia" w:ascii="仿宋_GB2312" w:eastAsia="仿宋_GB2312"/>
          <w:color w:val="auto"/>
          <w:sz w:val="32"/>
          <w:szCs w:val="32"/>
          <w:highlight w:val="none"/>
          <w:lang w:eastAsia="zh-CN"/>
        </w:rPr>
        <w:t>本年未发生政府采购。</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000000"/>
          <w:sz w:val="32"/>
          <w:szCs w:val="32"/>
          <w:lang w:eastAsia="zh-CN"/>
        </w:rPr>
        <w:t>区亭子湖景区保护与发展中心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p>
    <w:p>
      <w:pPr>
        <w:pStyle w:val="6"/>
        <w:rPr>
          <w:rFonts w:hint="eastAsia" w:ascii="仿宋_GB2312" w:eastAsia="仿宋_GB2312"/>
          <w:color w:val="auto"/>
          <w:sz w:val="32"/>
          <w:szCs w:val="32"/>
          <w:highlight w:val="none"/>
          <w:lang w:eastAsia="zh-CN"/>
        </w:rPr>
      </w:pPr>
    </w:p>
    <w:p>
      <w:pPr>
        <w:pStyle w:val="6"/>
        <w:rPr>
          <w:rFonts w:hint="eastAsia" w:ascii="仿宋_GB2312" w:eastAsia="仿宋_GB2312"/>
          <w:color w:val="auto"/>
          <w:sz w:val="32"/>
          <w:szCs w:val="32"/>
          <w:highlight w:val="none"/>
          <w:lang w:eastAsia="zh-CN"/>
        </w:rPr>
      </w:pPr>
    </w:p>
    <w:p>
      <w:pPr>
        <w:pStyle w:val="6"/>
        <w:rPr>
          <w:rFonts w:hint="eastAsia" w:ascii="仿宋_GB2312" w:eastAsia="仿宋_GB2312"/>
          <w:color w:val="auto"/>
          <w:sz w:val="32"/>
          <w:szCs w:val="32"/>
          <w:highlight w:val="none"/>
          <w:lang w:eastAsia="zh-CN"/>
        </w:rPr>
      </w:pPr>
    </w:p>
    <w:p>
      <w:pPr>
        <w:pStyle w:val="6"/>
        <w:rPr>
          <w:rFonts w:hint="eastAsia" w:ascii="仿宋_GB2312" w:eastAsia="仿宋_GB2312"/>
          <w:color w:val="auto"/>
          <w:sz w:val="32"/>
          <w:szCs w:val="32"/>
          <w:highlight w:val="none"/>
          <w:lang w:eastAsia="zh-CN"/>
        </w:rPr>
      </w:pPr>
    </w:p>
    <w:p>
      <w:pPr>
        <w:pStyle w:val="6"/>
        <w:rPr>
          <w:rFonts w:hint="eastAsia" w:ascii="仿宋_GB2312" w:eastAsia="仿宋_GB2312"/>
          <w:color w:val="auto"/>
          <w:sz w:val="32"/>
          <w:szCs w:val="32"/>
          <w:highlight w:val="none"/>
          <w:lang w:eastAsia="zh-CN"/>
        </w:rPr>
      </w:pPr>
    </w:p>
    <w:p>
      <w:pPr>
        <w:pStyle w:val="6"/>
        <w:rPr>
          <w:rFonts w:hint="eastAsia" w:ascii="仿宋_GB2312" w:eastAsia="仿宋_GB2312"/>
          <w:color w:val="auto"/>
          <w:sz w:val="32"/>
          <w:szCs w:val="32"/>
          <w:highlight w:val="none"/>
          <w:lang w:eastAsia="zh-CN"/>
        </w:rPr>
      </w:pPr>
    </w:p>
    <w:p>
      <w:pPr>
        <w:pStyle w:val="6"/>
        <w:rPr>
          <w:rFonts w:hint="eastAsia" w:ascii="仿宋_GB2312" w:eastAsia="仿宋_GB2312"/>
          <w:color w:val="auto"/>
          <w:sz w:val="32"/>
          <w:szCs w:val="32"/>
          <w:highlight w:val="none"/>
          <w:lang w:eastAsia="zh-CN"/>
        </w:rPr>
      </w:pPr>
    </w:p>
    <w:p>
      <w:pPr>
        <w:numPr>
          <w:ilvl w:val="0"/>
          <w:numId w:val="4"/>
        </w:numPr>
        <w:spacing w:line="600" w:lineRule="exact"/>
        <w:ind w:firstLine="660" w:firstLineChars="150"/>
        <w:jc w:val="center"/>
        <w:outlineLvl w:val="0"/>
        <w:rPr>
          <w:rStyle w:val="26"/>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4"/>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财政拨款收入：指单位从同级财政部门取得的财政预算资金。</w:t>
      </w:r>
    </w:p>
    <w:p>
      <w:pPr>
        <w:pStyle w:val="24"/>
        <w:numPr>
          <w:ilvl w:val="0"/>
          <w:numId w:val="0"/>
        </w:numPr>
        <w:spacing w:line="560" w:lineRule="exact"/>
        <w:ind w:firstLine="620" w:firstLineChars="200"/>
        <w:rPr>
          <w:rFonts w:hint="eastAsia" w:ascii="仿宋_GB2312" w:hAnsi="微软雅黑" w:eastAsia="仿宋_GB2312" w:cs="仿宋_GB2312"/>
          <w:sz w:val="31"/>
          <w:szCs w:val="31"/>
          <w:lang w:eastAsia="zh-CN"/>
        </w:rPr>
      </w:pPr>
      <w:r>
        <w:rPr>
          <w:rFonts w:hint="eastAsia" w:ascii="仿宋_GB2312" w:hAnsi="微软雅黑" w:eastAsia="仿宋_GB2312" w:cs="仿宋_GB2312"/>
          <w:sz w:val="31"/>
          <w:szCs w:val="31"/>
          <w:lang w:val="en-US" w:eastAsia="zh-CN"/>
        </w:rPr>
        <w:t>2.</w:t>
      </w:r>
      <w:r>
        <w:rPr>
          <w:rFonts w:ascii="仿宋_GB2312" w:hAnsi="微软雅黑" w:eastAsia="仿宋_GB2312" w:cs="仿宋_GB2312"/>
          <w:sz w:val="31"/>
          <w:szCs w:val="31"/>
        </w:rPr>
        <w:t>一般公共预算拨款收入：指</w:t>
      </w:r>
      <w:r>
        <w:rPr>
          <w:rFonts w:hint="eastAsia" w:ascii="仿宋_GB2312" w:hAnsi="微软雅黑" w:eastAsia="仿宋_GB2312" w:cs="仿宋_GB2312"/>
          <w:sz w:val="31"/>
          <w:szCs w:val="31"/>
        </w:rPr>
        <w:t>同</w:t>
      </w:r>
      <w:r>
        <w:rPr>
          <w:rFonts w:ascii="仿宋_GB2312" w:hAnsi="微软雅黑" w:eastAsia="仿宋_GB2312" w:cs="仿宋_GB2312"/>
          <w:sz w:val="31"/>
          <w:szCs w:val="31"/>
        </w:rPr>
        <w:t>级财政当年拨付的资金。</w:t>
      </w:r>
    </w:p>
    <w:p>
      <w:pPr>
        <w:pStyle w:val="24"/>
        <w:numPr>
          <w:ilvl w:val="0"/>
          <w:numId w:val="0"/>
        </w:numPr>
        <w:spacing w:line="560" w:lineRule="exact"/>
        <w:ind w:firstLine="620" w:firstLineChars="200"/>
        <w:rPr>
          <w:rFonts w:hint="eastAsia" w:ascii="仿宋_GB2312" w:hAnsi="微软雅黑" w:eastAsia="仿宋_GB2312" w:cs="仿宋_GB2312"/>
          <w:sz w:val="31"/>
          <w:szCs w:val="31"/>
        </w:rPr>
      </w:pPr>
      <w:r>
        <w:rPr>
          <w:rFonts w:hint="eastAsia" w:ascii="仿宋_GB2312" w:hAnsi="微软雅黑" w:eastAsia="仿宋_GB2312" w:cs="仿宋_GB2312"/>
          <w:sz w:val="31"/>
          <w:szCs w:val="31"/>
          <w:lang w:val="en-US" w:eastAsia="zh-CN"/>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hint="eastAsia" w:ascii="仿宋_GB2312" w:hAnsi="微软雅黑" w:eastAsia="仿宋_GB2312" w:cs="仿宋_GB2312"/>
          <w:sz w:val="31"/>
          <w:szCs w:val="31"/>
        </w:rPr>
        <w:t xml:space="preserve">。 </w:t>
      </w:r>
    </w:p>
    <w:p>
      <w:pPr>
        <w:pStyle w:val="24"/>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年末结转和结余：指单位按有关规定结转到下年或以后年度继续使用的资金。</w:t>
      </w:r>
    </w:p>
    <w:p>
      <w:pPr>
        <w:pStyle w:val="24"/>
        <w:numPr>
          <w:ilvl w:val="0"/>
          <w:numId w:val="0"/>
        </w:numPr>
        <w:spacing w:line="560" w:lineRule="exact"/>
        <w:ind w:firstLine="640" w:firstLineChars="200"/>
        <w:rPr>
          <w:rFonts w:hint="eastAsia" w:ascii="仿宋_GB2312" w:hAnsi="微软雅黑" w:eastAsia="仿宋_GB2312" w:cs="仿宋_GB2312"/>
          <w:sz w:val="31"/>
          <w:szCs w:val="31"/>
          <w:lang w:eastAsia="zh-CN"/>
        </w:rPr>
      </w:pPr>
      <w:r>
        <w:rPr>
          <w:rFonts w:hint="eastAsia" w:ascii="仿宋_GB2312" w:eastAsia="仿宋_GB2312"/>
          <w:sz w:val="32"/>
          <w:szCs w:val="32"/>
          <w:lang w:val="en-US" w:eastAsia="zh-CN"/>
        </w:rPr>
        <w:t>5.</w:t>
      </w:r>
      <w:r>
        <w:rPr>
          <w:rFonts w:hint="eastAsia" w:ascii="仿宋_GB2312" w:hAnsi="微软雅黑" w:eastAsia="仿宋_GB2312" w:cs="仿宋_GB2312"/>
          <w:sz w:val="31"/>
          <w:szCs w:val="31"/>
        </w:rPr>
        <w:t>文化旅游体育和传媒</w:t>
      </w:r>
      <w:r>
        <w:rPr>
          <w:rFonts w:ascii="仿宋_GB2312" w:hAnsi="微软雅黑" w:eastAsia="仿宋_GB2312" w:cs="仿宋_GB2312"/>
          <w:sz w:val="31"/>
          <w:szCs w:val="31"/>
        </w:rPr>
        <w:t>（类）</w:t>
      </w:r>
      <w:r>
        <w:rPr>
          <w:rFonts w:hint="eastAsia" w:ascii="仿宋_GB2312" w:hAnsi="微软雅黑" w:eastAsia="仿宋_GB2312" w:cs="仿宋_GB2312"/>
          <w:sz w:val="31"/>
          <w:szCs w:val="31"/>
        </w:rPr>
        <w:t>文化和旅游</w:t>
      </w:r>
      <w:r>
        <w:rPr>
          <w:rFonts w:ascii="仿宋_GB2312" w:hAnsi="微软雅黑" w:eastAsia="仿宋_GB2312" w:cs="仿宋_GB2312"/>
          <w:sz w:val="31"/>
          <w:szCs w:val="31"/>
        </w:rPr>
        <w:t>（款）行政运行（项）：</w:t>
      </w:r>
      <w:r>
        <w:rPr>
          <w:rFonts w:hint="eastAsia" w:ascii="仿宋_GB2312" w:hAnsi="微软雅黑" w:eastAsia="仿宋_GB2312" w:cs="仿宋_GB2312"/>
          <w:sz w:val="31"/>
          <w:szCs w:val="31"/>
        </w:rPr>
        <w:t>反映单位的基本支出</w:t>
      </w:r>
      <w:r>
        <w:rPr>
          <w:rFonts w:hint="eastAsia" w:ascii="仿宋_GB2312" w:hAnsi="微软雅黑" w:eastAsia="仿宋_GB2312" w:cs="仿宋_GB2312"/>
          <w:sz w:val="31"/>
          <w:szCs w:val="31"/>
          <w:lang w:eastAsia="zh-CN"/>
        </w:rPr>
        <w:t>。</w:t>
      </w:r>
    </w:p>
    <w:p>
      <w:pPr>
        <w:pStyle w:val="24"/>
        <w:numPr>
          <w:ilvl w:val="0"/>
          <w:numId w:val="0"/>
        </w:numPr>
        <w:spacing w:line="560" w:lineRule="exact"/>
        <w:ind w:firstLine="620" w:firstLineChars="200"/>
        <w:rPr>
          <w:rFonts w:hint="eastAsia" w:ascii="仿宋_GB2312" w:hAnsi="微软雅黑" w:eastAsia="仿宋_GB2312" w:cs="仿宋_GB2312"/>
          <w:sz w:val="31"/>
          <w:szCs w:val="31"/>
          <w:lang w:eastAsia="zh-CN"/>
        </w:rPr>
      </w:pPr>
      <w:r>
        <w:rPr>
          <w:rFonts w:hint="eastAsia" w:ascii="仿宋_GB2312" w:hAnsi="微软雅黑" w:eastAsia="仿宋_GB2312" w:cs="仿宋_GB2312"/>
          <w:sz w:val="31"/>
          <w:szCs w:val="31"/>
          <w:lang w:val="en-US" w:eastAsia="zh-CN"/>
        </w:rPr>
        <w:t>6.</w:t>
      </w:r>
      <w:r>
        <w:rPr>
          <w:rFonts w:hint="eastAsia" w:ascii="仿宋_GB2312" w:hAnsi="微软雅黑" w:eastAsia="仿宋_GB2312" w:cs="仿宋_GB2312"/>
          <w:sz w:val="31"/>
          <w:szCs w:val="31"/>
        </w:rPr>
        <w:t>文化旅游体育和传媒支出</w:t>
      </w:r>
      <w:r>
        <w:rPr>
          <w:rFonts w:ascii="仿宋_GB2312" w:hAnsi="微软雅黑" w:eastAsia="仿宋_GB2312" w:cs="仿宋_GB2312"/>
          <w:sz w:val="31"/>
          <w:szCs w:val="31"/>
        </w:rPr>
        <w:t>（类）</w:t>
      </w:r>
      <w:r>
        <w:rPr>
          <w:rFonts w:hint="eastAsia" w:ascii="仿宋_GB2312" w:hAnsi="微软雅黑" w:eastAsia="仿宋_GB2312" w:cs="仿宋_GB2312"/>
          <w:sz w:val="31"/>
          <w:szCs w:val="31"/>
        </w:rPr>
        <w:t>文化和旅游</w:t>
      </w:r>
      <w:r>
        <w:rPr>
          <w:rFonts w:ascii="仿宋_GB2312" w:hAnsi="微软雅黑" w:eastAsia="仿宋_GB2312" w:cs="仿宋_GB2312"/>
          <w:sz w:val="31"/>
          <w:szCs w:val="31"/>
        </w:rPr>
        <w:t>（款）</w:t>
      </w:r>
      <w:r>
        <w:rPr>
          <w:rFonts w:hint="eastAsia" w:ascii="仿宋_GB2312" w:hAnsi="微软雅黑" w:eastAsia="仿宋_GB2312" w:cs="仿宋_GB2312"/>
          <w:sz w:val="31"/>
          <w:szCs w:val="31"/>
          <w:lang w:eastAsia="zh-CN"/>
        </w:rPr>
        <w:t>一般行政管理事务</w:t>
      </w:r>
      <w:r>
        <w:rPr>
          <w:rFonts w:ascii="仿宋_GB2312" w:hAnsi="微软雅黑" w:eastAsia="仿宋_GB2312" w:cs="仿宋_GB2312"/>
          <w:sz w:val="31"/>
          <w:szCs w:val="31"/>
        </w:rPr>
        <w:t>（项）</w:t>
      </w:r>
      <w:r>
        <w:rPr>
          <w:rFonts w:hint="eastAsia" w:ascii="仿宋_GB2312" w:hAnsi="微软雅黑" w:eastAsia="仿宋_GB2312" w:cs="仿宋_GB2312"/>
          <w:sz w:val="31"/>
          <w:szCs w:val="31"/>
        </w:rPr>
        <w:t>：反映</w:t>
      </w:r>
      <w:r>
        <w:rPr>
          <w:rFonts w:hint="eastAsia" w:ascii="仿宋_GB2312" w:hAnsi="微软雅黑" w:eastAsia="仿宋_GB2312" w:cs="仿宋_GB2312"/>
          <w:sz w:val="31"/>
          <w:szCs w:val="31"/>
          <w:lang w:eastAsia="zh-CN"/>
        </w:rPr>
        <w:t>单位未单独设置顶级科目的其他项目</w:t>
      </w:r>
      <w:r>
        <w:rPr>
          <w:rFonts w:hint="eastAsia" w:ascii="仿宋_GB2312" w:hAnsi="微软雅黑" w:eastAsia="仿宋_GB2312" w:cs="仿宋_GB2312"/>
          <w:sz w:val="31"/>
          <w:szCs w:val="31"/>
        </w:rPr>
        <w:t>支出。</w:t>
      </w:r>
    </w:p>
    <w:p>
      <w:pPr>
        <w:pStyle w:val="24"/>
        <w:numPr>
          <w:ilvl w:val="0"/>
          <w:numId w:val="0"/>
        </w:numPr>
        <w:spacing w:line="560" w:lineRule="exact"/>
        <w:ind w:firstLine="620" w:firstLineChars="200"/>
        <w:rPr>
          <w:rFonts w:hint="eastAsia" w:ascii="仿宋_GB2312" w:hAnsi="微软雅黑" w:eastAsia="仿宋_GB2312" w:cs="仿宋_GB2312"/>
          <w:sz w:val="31"/>
          <w:szCs w:val="31"/>
          <w:lang w:eastAsia="zh-CN"/>
        </w:rPr>
      </w:pPr>
      <w:r>
        <w:rPr>
          <w:rFonts w:hint="eastAsia" w:ascii="仿宋_GB2312" w:hAnsi="微软雅黑" w:eastAsia="仿宋_GB2312" w:cs="仿宋_GB2312"/>
          <w:sz w:val="31"/>
          <w:szCs w:val="31"/>
          <w:lang w:val="en-US" w:eastAsia="zh-CN"/>
        </w:rPr>
        <w:t>7.</w:t>
      </w:r>
      <w:r>
        <w:rPr>
          <w:rFonts w:ascii="仿宋_GB2312" w:hAnsi="微软雅黑" w:eastAsia="仿宋_GB2312" w:cs="仿宋_GB2312"/>
          <w:sz w:val="31"/>
          <w:szCs w:val="31"/>
        </w:rPr>
        <w:t>社会保障和就业（类）行政事业单位养老支出（款）机关事业单位基本养老保险缴费支出（项）：</w:t>
      </w:r>
      <w:r>
        <w:rPr>
          <w:rFonts w:hint="eastAsia" w:ascii="仿宋_GB2312" w:hAnsi="微软雅黑" w:eastAsia="仿宋_GB2312" w:cs="仿宋_GB2312"/>
          <w:sz w:val="31"/>
          <w:szCs w:val="31"/>
        </w:rPr>
        <w:t>反映机关事业单位</w:t>
      </w:r>
      <w:r>
        <w:rPr>
          <w:rFonts w:ascii="仿宋_GB2312" w:hAnsi="微软雅黑" w:eastAsia="仿宋_GB2312" w:cs="仿宋_GB2312"/>
          <w:sz w:val="31"/>
          <w:szCs w:val="31"/>
        </w:rPr>
        <w:t>实施养老保险制度由单位缴纳的养老保险费的支出。</w:t>
      </w:r>
    </w:p>
    <w:p>
      <w:pPr>
        <w:pStyle w:val="24"/>
        <w:numPr>
          <w:ilvl w:val="0"/>
          <w:numId w:val="0"/>
        </w:numPr>
        <w:spacing w:line="560" w:lineRule="exact"/>
        <w:ind w:firstLine="620" w:firstLineChars="200"/>
        <w:rPr>
          <w:rFonts w:hint="eastAsia" w:ascii="仿宋_GB2312" w:hAnsi="微软雅黑" w:eastAsia="仿宋_GB2312" w:cs="仿宋_GB2312"/>
          <w:sz w:val="31"/>
          <w:szCs w:val="31"/>
          <w:lang w:eastAsia="zh-CN"/>
        </w:rPr>
      </w:pPr>
      <w:r>
        <w:rPr>
          <w:rFonts w:hint="eastAsia" w:ascii="仿宋_GB2312" w:hAnsi="微软雅黑" w:eastAsia="仿宋_GB2312" w:cs="仿宋_GB2312"/>
          <w:sz w:val="31"/>
          <w:szCs w:val="31"/>
          <w:lang w:val="en-US" w:eastAsia="zh-CN"/>
        </w:rPr>
        <w:t>8.</w:t>
      </w:r>
      <w:r>
        <w:rPr>
          <w:rFonts w:ascii="仿宋_GB2312" w:hAnsi="微软雅黑" w:eastAsia="仿宋_GB2312" w:cs="仿宋_GB2312"/>
          <w:sz w:val="31"/>
          <w:szCs w:val="31"/>
        </w:rPr>
        <w:t>社会保障和就业（类）</w:t>
      </w:r>
      <w:r>
        <w:rPr>
          <w:rFonts w:hint="eastAsia" w:ascii="仿宋_GB2312" w:hAnsi="微软雅黑" w:eastAsia="仿宋_GB2312" w:cs="仿宋_GB2312"/>
          <w:sz w:val="31"/>
          <w:szCs w:val="31"/>
          <w:lang w:eastAsia="zh-CN"/>
        </w:rPr>
        <w:t>其他社会保障和就业</w:t>
      </w:r>
      <w:r>
        <w:rPr>
          <w:rFonts w:ascii="仿宋_GB2312" w:hAnsi="微软雅黑" w:eastAsia="仿宋_GB2312" w:cs="仿宋_GB2312"/>
          <w:sz w:val="31"/>
          <w:szCs w:val="31"/>
        </w:rPr>
        <w:t>支出（款）</w:t>
      </w:r>
      <w:r>
        <w:rPr>
          <w:rFonts w:hint="eastAsia" w:ascii="仿宋_GB2312" w:hAnsi="微软雅黑" w:eastAsia="仿宋_GB2312" w:cs="仿宋_GB2312"/>
          <w:sz w:val="31"/>
          <w:szCs w:val="31"/>
          <w:lang w:eastAsia="zh-CN"/>
        </w:rPr>
        <w:t>其他社会保障和就业</w:t>
      </w:r>
      <w:r>
        <w:rPr>
          <w:rFonts w:ascii="仿宋_GB2312" w:hAnsi="微软雅黑" w:eastAsia="仿宋_GB2312" w:cs="仿宋_GB2312"/>
          <w:sz w:val="31"/>
          <w:szCs w:val="31"/>
        </w:rPr>
        <w:t>支出（项）：</w:t>
      </w:r>
      <w:r>
        <w:rPr>
          <w:rFonts w:hint="eastAsia" w:ascii="仿宋_GB2312" w:hAnsi="微软雅黑" w:eastAsia="仿宋_GB2312" w:cs="仿宋_GB2312"/>
          <w:sz w:val="31"/>
          <w:szCs w:val="31"/>
        </w:rPr>
        <w:t>反映</w:t>
      </w:r>
      <w:r>
        <w:rPr>
          <w:rFonts w:hint="eastAsia" w:ascii="仿宋_GB2312" w:hAnsi="微软雅黑" w:eastAsia="仿宋_GB2312" w:cs="仿宋_GB2312"/>
          <w:sz w:val="31"/>
          <w:szCs w:val="31"/>
          <w:lang w:eastAsia="zh-CN"/>
        </w:rPr>
        <w:t>除上述项目以外其他用于社会保障和就业方面的</w:t>
      </w:r>
      <w:r>
        <w:rPr>
          <w:rFonts w:ascii="仿宋_GB2312" w:hAnsi="微软雅黑" w:eastAsia="仿宋_GB2312" w:cs="仿宋_GB2312"/>
          <w:sz w:val="31"/>
          <w:szCs w:val="31"/>
        </w:rPr>
        <w:t>支出。</w:t>
      </w:r>
    </w:p>
    <w:p>
      <w:pPr>
        <w:pStyle w:val="24"/>
        <w:numPr>
          <w:ilvl w:val="0"/>
          <w:numId w:val="0"/>
        </w:numPr>
        <w:spacing w:line="560" w:lineRule="exact"/>
        <w:ind w:firstLine="620" w:firstLineChars="200"/>
        <w:rPr>
          <w:rFonts w:hint="eastAsia" w:ascii="仿宋_GB2312" w:hAnsi="微软雅黑" w:eastAsia="仿宋_GB2312" w:cs="仿宋_GB2312"/>
          <w:sz w:val="31"/>
          <w:szCs w:val="31"/>
          <w:lang w:eastAsia="zh-CN"/>
        </w:rPr>
      </w:pPr>
      <w:r>
        <w:rPr>
          <w:rFonts w:hint="eastAsia" w:ascii="仿宋_GB2312" w:hAnsi="微软雅黑" w:eastAsia="仿宋_GB2312" w:cs="仿宋_GB2312"/>
          <w:sz w:val="31"/>
          <w:szCs w:val="31"/>
          <w:lang w:val="en-US" w:eastAsia="zh-CN"/>
        </w:rPr>
        <w:t>9.</w:t>
      </w:r>
      <w:r>
        <w:rPr>
          <w:rFonts w:ascii="仿宋_GB2312" w:hAnsi="微软雅黑" w:eastAsia="仿宋_GB2312" w:cs="仿宋_GB2312"/>
          <w:sz w:val="31"/>
          <w:szCs w:val="31"/>
        </w:rPr>
        <w:t>卫生健康（类）行政事业单位医疗（款）事业单位医疗（项）：指事业单位用于单位应缴纳基本医疗保险支出。</w:t>
      </w:r>
    </w:p>
    <w:p>
      <w:pPr>
        <w:pStyle w:val="24"/>
        <w:numPr>
          <w:ilvl w:val="0"/>
          <w:numId w:val="0"/>
        </w:numPr>
        <w:spacing w:line="560" w:lineRule="exact"/>
        <w:ind w:firstLine="620" w:firstLineChars="200"/>
        <w:rPr>
          <w:rFonts w:hint="eastAsia" w:ascii="仿宋_GB2312" w:hAnsi="微软雅黑" w:eastAsia="仿宋_GB2312" w:cs="仿宋_GB2312"/>
          <w:sz w:val="31"/>
          <w:szCs w:val="31"/>
          <w:lang w:val="en-US" w:eastAsia="zh-CN"/>
        </w:rPr>
      </w:pPr>
      <w:r>
        <w:rPr>
          <w:rFonts w:hint="eastAsia" w:ascii="仿宋_GB2312" w:hAnsi="微软雅黑" w:eastAsia="仿宋_GB2312" w:cs="仿宋_GB2312"/>
          <w:sz w:val="31"/>
          <w:szCs w:val="31"/>
          <w:lang w:val="en-US" w:eastAsia="zh-CN"/>
        </w:rPr>
        <w:t>10.节能环保（类）污染防治（款）其他污染防治支出（项）：反映除上述项目以外其他用于污染防治方面的支出。</w:t>
      </w:r>
    </w:p>
    <w:p>
      <w:pPr>
        <w:pStyle w:val="24"/>
        <w:numPr>
          <w:ilvl w:val="0"/>
          <w:numId w:val="0"/>
        </w:numPr>
        <w:spacing w:line="560" w:lineRule="exact"/>
        <w:ind w:firstLine="620" w:firstLineChars="200"/>
        <w:rPr>
          <w:rFonts w:hint="eastAsia" w:ascii="仿宋_GB2312" w:hAnsi="微软雅黑" w:eastAsia="仿宋_GB2312" w:cs="仿宋_GB2312"/>
          <w:sz w:val="31"/>
          <w:szCs w:val="31"/>
          <w:lang w:val="en-US" w:eastAsia="zh-CN"/>
        </w:rPr>
      </w:pPr>
      <w:r>
        <w:rPr>
          <w:rFonts w:hint="eastAsia" w:ascii="仿宋_GB2312" w:hAnsi="微软雅黑" w:eastAsia="仿宋_GB2312" w:cs="仿宋_GB2312"/>
          <w:sz w:val="31"/>
          <w:szCs w:val="31"/>
          <w:lang w:val="en-US" w:eastAsia="zh-CN"/>
        </w:rPr>
        <w:t>11.城乡社区（类）城乡社区环境卫生（款）城乡社区环境卫生（项）：反映城乡社区道路清扫、垃圾清运与处理、公厕建设与维护、园林绿化等方面的支出。</w:t>
      </w:r>
    </w:p>
    <w:p>
      <w:pPr>
        <w:pStyle w:val="24"/>
        <w:numPr>
          <w:ilvl w:val="0"/>
          <w:numId w:val="0"/>
        </w:numPr>
        <w:spacing w:line="560" w:lineRule="exact"/>
        <w:ind w:firstLine="620" w:firstLineChars="200"/>
        <w:rPr>
          <w:rFonts w:hint="eastAsia" w:ascii="仿宋_GB2312" w:hAnsi="微软雅黑" w:eastAsia="仿宋_GB2312" w:cs="仿宋_GB2312"/>
          <w:sz w:val="31"/>
          <w:szCs w:val="31"/>
        </w:rPr>
      </w:pPr>
      <w:r>
        <w:rPr>
          <w:rFonts w:hint="eastAsia" w:ascii="仿宋_GB2312" w:hAnsi="微软雅黑" w:eastAsia="仿宋_GB2312" w:cs="仿宋_GB2312"/>
          <w:sz w:val="31"/>
          <w:szCs w:val="31"/>
          <w:lang w:val="en-US" w:eastAsia="zh-CN"/>
        </w:rPr>
        <w:t>12.</w:t>
      </w:r>
      <w:r>
        <w:rPr>
          <w:rFonts w:ascii="仿宋_GB2312" w:hAnsi="微软雅黑" w:eastAsia="仿宋_GB2312" w:cs="仿宋_GB2312"/>
          <w:sz w:val="31"/>
          <w:szCs w:val="31"/>
        </w:rPr>
        <w:t>住房保障（类）住房改革支出（款）住房公积金（项）：</w:t>
      </w:r>
      <w:r>
        <w:rPr>
          <w:rFonts w:hint="eastAsia" w:ascii="仿宋_GB2312" w:hAnsi="微软雅黑" w:eastAsia="仿宋_GB2312" w:cs="仿宋_GB2312"/>
          <w:sz w:val="31"/>
          <w:szCs w:val="31"/>
        </w:rPr>
        <w:t xml:space="preserve">反映行政事业单位按人力资源和社会保障部、财政部规定的基本工资和津贴补贴以及规定比例为职工缴纳的住房公积金。 </w:t>
      </w:r>
      <w:r>
        <w:rPr>
          <w:rFonts w:ascii="仿宋_GB2312" w:hAnsi="微软雅黑" w:eastAsia="仿宋_GB2312" w:cs="仿宋_GB2312"/>
          <w:sz w:val="31"/>
          <w:szCs w:val="31"/>
        </w:rPr>
        <w:t>　　</w:t>
      </w:r>
      <w:r>
        <w:rPr>
          <w:rFonts w:hint="eastAsia" w:ascii="仿宋_GB2312" w:hAnsi="微软雅黑" w:eastAsia="仿宋_GB2312" w:cs="仿宋_GB2312"/>
          <w:sz w:val="31"/>
          <w:szCs w:val="31"/>
        </w:rPr>
        <w:t xml:space="preserve"> </w:t>
      </w:r>
      <w:r>
        <w:rPr>
          <w:rFonts w:ascii="仿宋_GB2312" w:hAnsi="微软雅黑" w:eastAsia="仿宋_GB2312" w:cs="仿宋_GB2312"/>
          <w:sz w:val="31"/>
          <w:szCs w:val="31"/>
        </w:rPr>
        <w:t>　　</w:t>
      </w:r>
      <w:r>
        <w:rPr>
          <w:rFonts w:hint="eastAsia" w:ascii="仿宋_GB2312" w:hAnsi="微软雅黑" w:eastAsia="仿宋_GB2312" w:cs="仿宋_GB2312"/>
          <w:sz w:val="31"/>
          <w:szCs w:val="31"/>
        </w:rPr>
        <w:t xml:space="preserve">  </w:t>
      </w:r>
    </w:p>
    <w:p>
      <w:pPr>
        <w:pStyle w:val="24"/>
        <w:numPr>
          <w:ilvl w:val="0"/>
          <w:numId w:val="0"/>
        </w:numPr>
        <w:spacing w:line="560" w:lineRule="exact"/>
        <w:ind w:firstLine="620" w:firstLineChars="200"/>
        <w:rPr>
          <w:rFonts w:hint="eastAsia" w:ascii="仿宋_GB2312" w:hAnsi="微软雅黑" w:eastAsia="仿宋_GB2312" w:cs="仿宋_GB2312"/>
          <w:sz w:val="31"/>
          <w:szCs w:val="31"/>
          <w:lang w:eastAsia="zh-CN"/>
        </w:rPr>
      </w:pPr>
      <w:r>
        <w:rPr>
          <w:rFonts w:hint="eastAsia" w:ascii="仿宋_GB2312" w:hAnsi="微软雅黑" w:eastAsia="仿宋_GB2312" w:cs="仿宋_GB2312"/>
          <w:sz w:val="31"/>
          <w:szCs w:val="31"/>
          <w:lang w:val="en-US" w:eastAsia="zh-CN"/>
        </w:rPr>
        <w:t>13.</w:t>
      </w:r>
      <w:r>
        <w:rPr>
          <w:rFonts w:ascii="仿宋_GB2312" w:hAnsi="微软雅黑" w:eastAsia="仿宋_GB2312" w:cs="仿宋_GB2312"/>
          <w:sz w:val="31"/>
          <w:szCs w:val="31"/>
        </w:rPr>
        <w:t>基本支出：指为保证机构正常运转，完成日常工作任务而发生的人员支出和公用支出。</w:t>
      </w:r>
    </w:p>
    <w:p>
      <w:pPr>
        <w:pStyle w:val="24"/>
        <w:numPr>
          <w:ilvl w:val="0"/>
          <w:numId w:val="0"/>
        </w:numPr>
        <w:spacing w:line="560" w:lineRule="exact"/>
        <w:ind w:firstLine="620" w:firstLineChars="200"/>
        <w:rPr>
          <w:rFonts w:ascii="仿宋_GB2312" w:hAnsi="微软雅黑" w:eastAsia="仿宋_GB2312" w:cs="仿宋_GB2312"/>
          <w:sz w:val="31"/>
          <w:szCs w:val="31"/>
        </w:rPr>
      </w:pPr>
      <w:r>
        <w:rPr>
          <w:rFonts w:hint="eastAsia" w:ascii="仿宋_GB2312" w:hAnsi="微软雅黑" w:eastAsia="仿宋_GB2312" w:cs="仿宋_GB2312"/>
          <w:sz w:val="31"/>
          <w:szCs w:val="31"/>
          <w:lang w:val="en-US" w:eastAsia="zh-CN"/>
        </w:rPr>
        <w:t>14.</w:t>
      </w:r>
      <w:r>
        <w:rPr>
          <w:rFonts w:ascii="仿宋_GB2312" w:hAnsi="微软雅黑" w:eastAsia="仿宋_GB2312" w:cs="仿宋_GB2312"/>
          <w:sz w:val="31"/>
          <w:szCs w:val="31"/>
        </w:rPr>
        <w:t>项目支出：指在基本支出之外为完成特定行政任务和事业发展目标所发生的支出。</w:t>
      </w:r>
    </w:p>
    <w:p>
      <w:pPr>
        <w:pStyle w:val="24"/>
        <w:numPr>
          <w:ilvl w:val="0"/>
          <w:numId w:val="0"/>
        </w:numPr>
        <w:spacing w:line="560" w:lineRule="exact"/>
        <w:ind w:firstLine="620" w:firstLineChars="200"/>
        <w:rPr>
          <w:rFonts w:hint="eastAsia" w:ascii="仿宋_GB2312" w:hAnsi="微软雅黑" w:eastAsia="仿宋_GB2312" w:cs="仿宋_GB2312"/>
          <w:sz w:val="31"/>
          <w:szCs w:val="31"/>
          <w:lang w:eastAsia="zh-CN"/>
        </w:rPr>
      </w:pPr>
      <w:r>
        <w:rPr>
          <w:rFonts w:hint="eastAsia" w:ascii="仿宋_GB2312" w:hAnsi="微软雅黑" w:eastAsia="仿宋_GB2312" w:cs="仿宋_GB2312"/>
          <w:sz w:val="31"/>
          <w:szCs w:val="31"/>
          <w:lang w:val="en-US" w:eastAsia="zh-CN"/>
        </w:rPr>
        <w:t>15.</w:t>
      </w:r>
      <w:r>
        <w:rPr>
          <w:rFonts w:ascii="仿宋_GB2312" w:hAnsi="微软雅黑" w:eastAsia="仿宋_GB2312" w:cs="仿宋_GB2312"/>
          <w:sz w:val="31"/>
          <w:szCs w:val="31"/>
        </w:rPr>
        <w:t>“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numPr>
          <w:ilvl w:val="0"/>
          <w:numId w:val="0"/>
        </w:numPr>
        <w:spacing w:line="560" w:lineRule="exact"/>
        <w:ind w:firstLine="620" w:firstLineChars="200"/>
        <w:rPr>
          <w:rFonts w:hint="eastAsia" w:eastAsia="仿宋_GB2312"/>
        </w:rPr>
      </w:pPr>
      <w:r>
        <w:rPr>
          <w:rFonts w:ascii="仿宋_GB2312" w:hAnsi="微软雅黑" w:eastAsia="仿宋_GB2312" w:cs="仿宋_GB2312"/>
          <w:sz w:val="31"/>
          <w:szCs w:val="31"/>
        </w:rPr>
        <w:t>　</w:t>
      </w:r>
      <w:r>
        <w:rPr>
          <w:rFonts w:hint="eastAsia" w:ascii="仿宋_GB2312" w:hAnsi="微软雅黑" w:eastAsia="仿宋_GB2312" w:cs="仿宋_GB2312"/>
          <w:sz w:val="31"/>
          <w:szCs w:val="31"/>
        </w:rPr>
        <w:t xml:space="preserve"> </w:t>
      </w:r>
    </w:p>
    <w:p>
      <w:pPr>
        <w:spacing w:line="600" w:lineRule="exact"/>
        <w:jc w:val="center"/>
        <w:outlineLvl w:val="0"/>
        <w:rPr>
          <w:rFonts w:hint="eastAsia" w:ascii="仿宋_GB2312" w:eastAsia="仿宋_GB2312"/>
          <w:color w:val="auto"/>
          <w:sz w:val="32"/>
          <w:szCs w:val="32"/>
          <w:highlight w:val="none"/>
          <w:lang w:val="en-US" w:eastAsia="zh-CN"/>
        </w:rPr>
      </w:pPr>
      <w:bookmarkStart w:id="51" w:name="_Toc15396614"/>
      <w:bookmarkStart w:id="52" w:name="_Toc15377226"/>
      <w:r>
        <w:rPr>
          <w:rFonts w:hint="eastAsia" w:ascii="仿宋_GB2312" w:eastAsia="仿宋_GB2312"/>
          <w:color w:val="auto"/>
          <w:sz w:val="32"/>
          <w:szCs w:val="32"/>
          <w:highlight w:val="none"/>
          <w:lang w:val="en-US" w:eastAsia="zh-CN"/>
        </w:rPr>
        <w:t xml:space="preserve"> </w:t>
      </w:r>
    </w:p>
    <w:p>
      <w:pPr>
        <w:spacing w:line="600" w:lineRule="exact"/>
        <w:jc w:val="center"/>
        <w:outlineLvl w:val="0"/>
        <w:rPr>
          <w:rFonts w:hint="eastAsia" w:ascii="仿宋_GB2312" w:eastAsia="仿宋_GB2312"/>
          <w:color w:val="auto"/>
          <w:sz w:val="32"/>
          <w:szCs w:val="32"/>
          <w:highlight w:val="none"/>
          <w:lang w:val="en-US" w:eastAsia="zh-CN"/>
        </w:rPr>
      </w:pPr>
    </w:p>
    <w:p>
      <w:pPr>
        <w:pStyle w:val="2"/>
        <w:rPr>
          <w:rFonts w:hint="eastAsia" w:ascii="仿宋_GB2312" w:eastAsia="仿宋_GB2312"/>
          <w:color w:val="auto"/>
          <w:sz w:val="32"/>
          <w:szCs w:val="32"/>
          <w:highlight w:val="none"/>
          <w:lang w:val="en-US" w:eastAsia="zh-CN"/>
        </w:rPr>
      </w:pPr>
    </w:p>
    <w:p>
      <w:pPr>
        <w:rPr>
          <w:rFonts w:hint="eastAsia"/>
          <w:lang w:val="en-US" w:eastAsia="zh-CN"/>
        </w:rPr>
      </w:pPr>
    </w:p>
    <w:p>
      <w:pPr>
        <w:spacing w:line="600" w:lineRule="exact"/>
        <w:jc w:val="center"/>
        <w:outlineLvl w:val="0"/>
        <w:rPr>
          <w:rFonts w:hint="eastAsia" w:ascii="仿宋_GB2312" w:eastAsia="仿宋_GB2312"/>
          <w:color w:val="auto"/>
          <w:sz w:val="32"/>
          <w:szCs w:val="32"/>
          <w:highlight w:val="none"/>
          <w:lang w:val="en-US" w:eastAsia="zh-CN"/>
        </w:rPr>
      </w:pPr>
    </w:p>
    <w:p>
      <w:pPr>
        <w:spacing w:line="600" w:lineRule="exact"/>
        <w:jc w:val="both"/>
        <w:outlineLvl w:val="0"/>
        <w:rPr>
          <w:rFonts w:hint="eastAsia" w:ascii="仿宋_GB2312" w:eastAsia="仿宋_GB2312"/>
          <w:color w:val="auto"/>
          <w:sz w:val="32"/>
          <w:szCs w:val="32"/>
          <w:highlight w:val="none"/>
          <w:lang w:val="en-US" w:eastAsia="zh-CN"/>
        </w:rPr>
      </w:pPr>
    </w:p>
    <w:p>
      <w:pPr>
        <w:spacing w:line="600" w:lineRule="exact"/>
        <w:jc w:val="center"/>
        <w:outlineLvl w:val="0"/>
        <w:rPr>
          <w:rStyle w:val="26"/>
          <w:rFonts w:ascii="黑体" w:hAnsi="黑体" w:eastAsia="黑体"/>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51"/>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2022年部门整体</w:t>
      </w:r>
      <w:r>
        <w:rPr>
          <w:rFonts w:hint="eastAsia" w:eastAsia="方正小标宋简体" w:cs="Times New Roman"/>
          <w:sz w:val="44"/>
          <w:szCs w:val="44"/>
          <w:lang w:eastAsia="zh-CN"/>
        </w:rPr>
        <w:t>支出</w:t>
      </w:r>
      <w:r>
        <w:rPr>
          <w:rFonts w:hint="default" w:ascii="Times New Roman" w:hAnsi="Times New Roman" w:eastAsia="方正小标宋简体" w:cs="Times New Roman"/>
          <w:sz w:val="44"/>
          <w:szCs w:val="44"/>
        </w:rPr>
        <w:t>绩效</w:t>
      </w:r>
      <w:r>
        <w:rPr>
          <w:rFonts w:hint="eastAsia" w:eastAsia="方正小标宋简体" w:cs="Times New Roman"/>
          <w:sz w:val="44"/>
          <w:szCs w:val="44"/>
          <w:lang w:eastAsia="zh-CN"/>
        </w:rPr>
        <w:t>评价</w:t>
      </w:r>
      <w:r>
        <w:rPr>
          <w:rFonts w:hint="default" w:ascii="Times New Roman" w:hAnsi="Times New Roman" w:eastAsia="方正小标宋简体" w:cs="Times New Roman"/>
          <w:sz w:val="44"/>
          <w:szCs w:val="44"/>
        </w:rPr>
        <w:t>报告</w:t>
      </w:r>
    </w:p>
    <w:p>
      <w:pPr>
        <w:spacing w:line="576" w:lineRule="exact"/>
        <w:ind w:firstLine="640" w:firstLineChars="200"/>
        <w:rPr>
          <w:rFonts w:ascii="Times New Roman" w:hAnsi="黑体" w:eastAsia="黑体"/>
          <w:bCs/>
          <w:sz w:val="32"/>
          <w:szCs w:val="32"/>
        </w:rPr>
      </w:pPr>
    </w:p>
    <w:p>
      <w:pPr>
        <w:spacing w:line="576" w:lineRule="exact"/>
        <w:ind w:firstLine="640" w:firstLineChars="200"/>
        <w:rPr>
          <w:rFonts w:ascii="Times New Roman" w:hAnsi="Times New Roman" w:eastAsia="黑体"/>
          <w:bCs/>
          <w:sz w:val="32"/>
          <w:szCs w:val="32"/>
        </w:rPr>
      </w:pPr>
      <w:r>
        <w:rPr>
          <w:rFonts w:ascii="Times New Roman" w:hAnsi="黑体" w:eastAsia="黑体"/>
          <w:bCs/>
          <w:sz w:val="32"/>
          <w:szCs w:val="32"/>
        </w:rPr>
        <w:t>一、</w:t>
      </w:r>
      <w:r>
        <w:rPr>
          <w:rFonts w:hint="eastAsia" w:ascii="Times New Roman" w:hAnsi="黑体" w:eastAsia="黑体"/>
          <w:bCs/>
          <w:sz w:val="32"/>
          <w:szCs w:val="32"/>
          <w:lang w:eastAsia="zh-CN"/>
        </w:rPr>
        <w:t>部门</w:t>
      </w:r>
      <w:r>
        <w:rPr>
          <w:rFonts w:ascii="Times New Roman" w:hAnsi="黑体" w:eastAsia="黑体"/>
          <w:bCs/>
          <w:sz w:val="32"/>
          <w:szCs w:val="32"/>
        </w:rPr>
        <w:t>概况</w:t>
      </w:r>
    </w:p>
    <w:p>
      <w:pPr>
        <w:numPr>
          <w:ilvl w:val="0"/>
          <w:numId w:val="5"/>
        </w:numPr>
        <w:spacing w:line="576" w:lineRule="exact"/>
        <w:ind w:left="480"/>
        <w:rPr>
          <w:rFonts w:ascii="Times New Roman" w:hAnsi="Times New Roman" w:eastAsia="楷体"/>
          <w:sz w:val="32"/>
          <w:szCs w:val="32"/>
        </w:rPr>
      </w:pPr>
      <w:r>
        <w:rPr>
          <w:rFonts w:hint="eastAsia" w:ascii="Times New Roman" w:hAnsi="Times New Roman" w:eastAsia="楷体"/>
          <w:bCs/>
          <w:sz w:val="32"/>
          <w:szCs w:val="32"/>
          <w:lang w:eastAsia="zh-CN"/>
        </w:rPr>
        <w:t>机构</w:t>
      </w:r>
      <w:r>
        <w:rPr>
          <w:rFonts w:hint="eastAsia" w:eastAsia="楷体"/>
          <w:bCs/>
          <w:sz w:val="32"/>
          <w:szCs w:val="32"/>
          <w:lang w:eastAsia="zh-CN"/>
        </w:rPr>
        <w:t>组成</w:t>
      </w:r>
      <w:r>
        <w:rPr>
          <w:rFonts w:ascii="Times New Roman" w:hAnsi="Times New Roman" w:eastAsia="楷体"/>
          <w:bCs/>
          <w:sz w:val="32"/>
          <w:szCs w:val="32"/>
        </w:rPr>
        <w:t xml:space="preserve"> </w:t>
      </w:r>
      <w:r>
        <w:rPr>
          <w:rFonts w:ascii="Times New Roman" w:hAnsi="Times New Roman" w:eastAsia="楷体"/>
          <w:sz w:val="32"/>
          <w:szCs w:val="32"/>
        </w:rPr>
        <w:t xml:space="preserve"> </w:t>
      </w:r>
    </w:p>
    <w:p>
      <w:pPr>
        <w:snapToGrid w:val="0"/>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区亭子湖景区保护与发展</w:t>
      </w:r>
      <w:r>
        <w:rPr>
          <w:rFonts w:hint="eastAsia" w:ascii="Times New Roman" w:hAnsi="Times New Roman" w:eastAsia="仿宋_GB2312"/>
          <w:sz w:val="32"/>
          <w:szCs w:val="32"/>
        </w:rPr>
        <w:t>中心</w:t>
      </w:r>
      <w:r>
        <w:rPr>
          <w:rFonts w:ascii="Times New Roman" w:hAnsi="Times New Roman" w:eastAsia="仿宋_GB2312"/>
          <w:sz w:val="32"/>
          <w:szCs w:val="32"/>
        </w:rPr>
        <w:t>为区政府管理的核定收支、定额（定项）补助事业单位（公益一类），内设：</w:t>
      </w:r>
      <w:r>
        <w:rPr>
          <w:rFonts w:hint="eastAsia" w:ascii="Times New Roman" w:hAnsi="Times New Roman" w:eastAsia="仿宋_GB2312"/>
          <w:sz w:val="32"/>
          <w:szCs w:val="32"/>
        </w:rPr>
        <w:t>综合股</w:t>
      </w:r>
      <w:r>
        <w:rPr>
          <w:rFonts w:ascii="Times New Roman" w:hAnsi="Times New Roman" w:eastAsia="仿宋_GB2312"/>
          <w:sz w:val="32"/>
          <w:szCs w:val="32"/>
        </w:rPr>
        <w:t>、</w:t>
      </w:r>
      <w:r>
        <w:rPr>
          <w:rFonts w:hint="eastAsia" w:ascii="Times New Roman" w:hAnsi="Times New Roman" w:eastAsia="仿宋_GB2312"/>
          <w:sz w:val="32"/>
          <w:szCs w:val="32"/>
        </w:rPr>
        <w:t>资源保护</w:t>
      </w:r>
      <w:r>
        <w:rPr>
          <w:rFonts w:ascii="Times New Roman" w:hAnsi="Times New Roman" w:eastAsia="仿宋_GB2312"/>
          <w:sz w:val="32"/>
          <w:szCs w:val="32"/>
        </w:rPr>
        <w:t>股、</w:t>
      </w:r>
      <w:r>
        <w:rPr>
          <w:rFonts w:hint="eastAsia" w:ascii="Times New Roman" w:hAnsi="Times New Roman" w:eastAsia="仿宋_GB2312"/>
          <w:sz w:val="32"/>
          <w:szCs w:val="32"/>
        </w:rPr>
        <w:t>产业发展</w:t>
      </w:r>
      <w:r>
        <w:rPr>
          <w:rFonts w:ascii="Times New Roman" w:hAnsi="Times New Roman" w:eastAsia="仿宋_GB2312"/>
          <w:sz w:val="32"/>
          <w:szCs w:val="32"/>
        </w:rPr>
        <w:t xml:space="preserve">股。经费纳入财政全额预算。核定事业编制6名。 </w:t>
      </w:r>
    </w:p>
    <w:p>
      <w:pPr>
        <w:numPr>
          <w:ilvl w:val="0"/>
          <w:numId w:val="5"/>
        </w:numPr>
        <w:spacing w:line="600" w:lineRule="exact"/>
        <w:ind w:left="480" w:leftChars="0" w:firstLine="0" w:firstLineChars="0"/>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机构职能</w:t>
      </w:r>
    </w:p>
    <w:p>
      <w:pPr>
        <w:numPr>
          <w:ilvl w:val="0"/>
          <w:numId w:val="0"/>
        </w:numPr>
        <w:spacing w:line="600" w:lineRule="exact"/>
        <w:ind w:firstLine="640" w:firstLineChars="200"/>
        <w:rPr>
          <w:rFonts w:ascii="仿宋" w:hAnsi="仿宋" w:eastAsia="仿宋" w:cs="仿宋"/>
          <w:kern w:val="0"/>
          <w:sz w:val="32"/>
          <w:szCs w:val="32"/>
        </w:rPr>
      </w:pPr>
      <w:r>
        <w:rPr>
          <w:rFonts w:hint="eastAsia" w:ascii="仿宋" w:hAnsi="仿宋" w:eastAsia="仿宋" w:cs="仿宋"/>
          <w:b w:val="0"/>
          <w:bCs w:val="0"/>
          <w:sz w:val="32"/>
          <w:szCs w:val="32"/>
        </w:rPr>
        <w:t>1</w:t>
      </w:r>
      <w:r>
        <w:rPr>
          <w:rFonts w:hint="eastAsia" w:ascii="Times New Roman" w:hAnsi="Times New Roman" w:eastAsia="仿宋_GB2312"/>
          <w:sz w:val="32"/>
          <w:szCs w:val="32"/>
          <w:lang w:eastAsia="zh-CN"/>
        </w:rPr>
        <w:t>.</w:t>
      </w:r>
      <w:r>
        <w:rPr>
          <w:rFonts w:hint="eastAsia" w:ascii="仿宋" w:hAnsi="仿宋" w:eastAsia="仿宋" w:cs="仿宋"/>
          <w:kern w:val="0"/>
          <w:sz w:val="32"/>
          <w:szCs w:val="32"/>
        </w:rPr>
        <w:t>受区政府委托，对亭子湖风景区（以下简称景区）行使保护与发展职能。协助有关部门</w:t>
      </w:r>
      <w:r>
        <w:rPr>
          <w:rFonts w:eastAsia="仿宋_GB2312"/>
          <w:color w:val="000000"/>
          <w:sz w:val="32"/>
          <w:szCs w:val="32"/>
        </w:rPr>
        <w:t>对景区内水面、旅游景点、道路、码头、建设用地、自然生态环境保护和开发等实行统一规划、统一协调、统一管理和统一开发营销。</w:t>
      </w:r>
    </w:p>
    <w:p>
      <w:pPr>
        <w:widowControl/>
        <w:spacing w:line="576"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协助编制景区总体发展规划和控制性详细规划，配合有关部门对景区内新建、扩建和改建项目进行审核，督促项目建设规范实施。</w:t>
      </w:r>
    </w:p>
    <w:p>
      <w:pPr>
        <w:widowControl/>
        <w:spacing w:line="576"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 xml:space="preserve">协调有关部门落实景区内的道路交通、水利水文基础设施和公共设施的建设与维护。 </w:t>
      </w:r>
    </w:p>
    <w:p>
      <w:pPr>
        <w:widowControl/>
        <w:spacing w:line="576"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负责景区内的旅游发展规划、景区推介、保护发展及招商引资。</w:t>
      </w:r>
    </w:p>
    <w:p>
      <w:pPr>
        <w:widowControl/>
        <w:spacing w:line="576"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协助拟定景区生态环境及资源保护制度并组织实施；配合有关部门搞好景区内环境影响评价报告的审核和水质监测工作。</w:t>
      </w:r>
    </w:p>
    <w:p>
      <w:pPr>
        <w:widowControl/>
        <w:spacing w:line="576"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配合有关部门开展景区内资源的开发、利用及航务航道、水产渔政服务工作。</w:t>
      </w:r>
    </w:p>
    <w:p>
      <w:pPr>
        <w:widowControl/>
        <w:spacing w:line="576"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配合有关部门做好景区内的安全、应急和突发处置工作。</w:t>
      </w:r>
    </w:p>
    <w:p>
      <w:pPr>
        <w:widowControl/>
        <w:spacing w:line="576"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承担区亭子湖管理领导小组办公室工作。</w:t>
      </w:r>
    </w:p>
    <w:p>
      <w:pPr>
        <w:widowControl/>
        <w:spacing w:line="576"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承担区委、区政府交办的其它工作任务。</w:t>
      </w:r>
    </w:p>
    <w:p>
      <w:pPr>
        <w:widowControl/>
        <w:spacing w:line="576" w:lineRule="exact"/>
        <w:ind w:firstLine="640" w:firstLineChars="200"/>
        <w:rPr>
          <w:rFonts w:ascii="Times New Roman" w:hAnsi="Times New Roman" w:eastAsia="仿宋_GB2312"/>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人员情况</w:t>
      </w:r>
    </w:p>
    <w:p>
      <w:pPr>
        <w:snapToGrid w:val="0"/>
        <w:spacing w:line="576" w:lineRule="exact"/>
        <w:ind w:firstLine="640" w:firstLineChars="200"/>
        <w:rPr>
          <w:rFonts w:ascii="Times New Roman" w:hAnsi="Times New Roman" w:eastAsia="仿宋_GB2312"/>
          <w:sz w:val="32"/>
          <w:szCs w:val="32"/>
        </w:rPr>
      </w:pPr>
      <w:r>
        <w:rPr>
          <w:rFonts w:hint="eastAsia" w:eastAsia="仿宋_GB2312"/>
          <w:sz w:val="32"/>
          <w:szCs w:val="32"/>
          <w:lang w:eastAsia="zh-CN"/>
        </w:rPr>
        <w:t>本单位核定事业编制</w:t>
      </w:r>
      <w:r>
        <w:rPr>
          <w:rFonts w:hint="eastAsia" w:eastAsia="仿宋_GB2312"/>
          <w:sz w:val="32"/>
          <w:szCs w:val="32"/>
          <w:lang w:val="en-US" w:eastAsia="zh-CN"/>
        </w:rPr>
        <w:t>6人。截止2022年</w:t>
      </w:r>
      <w:r>
        <w:rPr>
          <w:rFonts w:ascii="Times New Roman" w:hAnsi="Times New Roman" w:eastAsia="仿宋_GB2312"/>
          <w:sz w:val="32"/>
          <w:szCs w:val="32"/>
        </w:rPr>
        <w:t>末</w:t>
      </w:r>
      <w:r>
        <w:rPr>
          <w:rFonts w:hint="eastAsia" w:eastAsia="仿宋_GB2312"/>
          <w:sz w:val="32"/>
          <w:szCs w:val="32"/>
          <w:lang w:eastAsia="zh-CN"/>
        </w:rPr>
        <w:t>实有在职事业编制人员</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人。其中，</w:t>
      </w:r>
      <w:r>
        <w:rPr>
          <w:rFonts w:hint="eastAsia" w:ascii="Times New Roman" w:hAnsi="Times New Roman" w:eastAsia="仿宋_GB2312"/>
          <w:sz w:val="32"/>
          <w:szCs w:val="32"/>
          <w:lang w:eastAsia="zh-CN"/>
        </w:rPr>
        <w:t>管理七级职员</w:t>
      </w:r>
      <w:r>
        <w:rPr>
          <w:rFonts w:hint="eastAsia" w:ascii="Times New Roman" w:hAnsi="Times New Roman" w:eastAsia="仿宋_GB2312"/>
          <w:sz w:val="32"/>
          <w:szCs w:val="32"/>
          <w:lang w:val="en-US" w:eastAsia="zh-CN"/>
        </w:rPr>
        <w:t>1人，管理八级职员2人，</w:t>
      </w:r>
      <w:r>
        <w:rPr>
          <w:rFonts w:ascii="Times New Roman" w:hAnsi="Times New Roman" w:eastAsia="仿宋_GB2312"/>
          <w:sz w:val="32"/>
          <w:szCs w:val="32"/>
        </w:rPr>
        <w:t>管理九级职员</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人。</w:t>
      </w:r>
    </w:p>
    <w:p>
      <w:pPr>
        <w:numPr>
          <w:ilvl w:val="0"/>
          <w:numId w:val="6"/>
        </w:numPr>
        <w:spacing w:line="576" w:lineRule="exact"/>
        <w:rPr>
          <w:rFonts w:ascii="Times New Roman" w:hAnsi="Times New Roman" w:eastAsia="黑体"/>
          <w:bCs/>
          <w:kern w:val="0"/>
          <w:sz w:val="32"/>
          <w:szCs w:val="32"/>
        </w:rPr>
      </w:pPr>
      <w:r>
        <w:rPr>
          <w:rFonts w:ascii="Times New Roman" w:hAnsi="黑体" w:eastAsia="黑体"/>
          <w:bCs/>
          <w:kern w:val="0"/>
          <w:sz w:val="32"/>
          <w:szCs w:val="32"/>
        </w:rPr>
        <w:t>部门财政</w:t>
      </w:r>
      <w:r>
        <w:rPr>
          <w:rFonts w:hint="eastAsia" w:ascii="Times New Roman" w:hAnsi="黑体" w:eastAsia="黑体"/>
          <w:bCs/>
          <w:kern w:val="0"/>
          <w:sz w:val="32"/>
          <w:szCs w:val="32"/>
          <w:lang w:eastAsia="zh-CN"/>
        </w:rPr>
        <w:t>收支</w:t>
      </w:r>
      <w:r>
        <w:rPr>
          <w:rFonts w:ascii="Times New Roman" w:hAnsi="黑体" w:eastAsia="黑体"/>
          <w:bCs/>
          <w:kern w:val="0"/>
          <w:sz w:val="32"/>
          <w:szCs w:val="32"/>
        </w:rPr>
        <w:t>情况</w:t>
      </w:r>
    </w:p>
    <w:p>
      <w:pPr>
        <w:spacing w:line="576" w:lineRule="exact"/>
        <w:ind w:firstLine="640" w:firstLineChars="200"/>
        <w:rPr>
          <w:rFonts w:hint="eastAsia" w:ascii="Times New Roman" w:hAnsi="Times New Roman" w:eastAsia="楷体"/>
          <w:bCs/>
          <w:sz w:val="32"/>
          <w:szCs w:val="32"/>
          <w:lang w:eastAsia="zh-CN"/>
        </w:rPr>
      </w:pPr>
      <w:r>
        <w:rPr>
          <w:rFonts w:ascii="Times New Roman" w:hAnsi="楷体" w:eastAsia="楷体"/>
          <w:bCs/>
          <w:sz w:val="32"/>
          <w:szCs w:val="32"/>
        </w:rPr>
        <w:t>（一）</w:t>
      </w:r>
      <w:r>
        <w:rPr>
          <w:rFonts w:hint="eastAsia" w:ascii="Times New Roman" w:hAnsi="楷体" w:eastAsia="楷体"/>
          <w:bCs/>
          <w:sz w:val="32"/>
          <w:szCs w:val="32"/>
          <w:lang w:eastAsia="zh-CN"/>
        </w:rPr>
        <w:t>单位财政资金收入情况</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仿宋_GB2312" w:hAnsi="仿宋" w:eastAsia="仿宋_GB2312"/>
          <w:sz w:val="32"/>
          <w:szCs w:val="32"/>
          <w:lang w:val="en-US" w:eastAsia="zh-CN"/>
        </w:rPr>
        <w:t>2022年本单位一般公共预算收入为117.23万元。2022年财政决算一般公共预算收入总额为117.23万元。</w:t>
      </w:r>
    </w:p>
    <w:p>
      <w:pPr>
        <w:spacing w:line="576" w:lineRule="exact"/>
        <w:ind w:firstLine="640" w:firstLineChars="200"/>
        <w:rPr>
          <w:rFonts w:hint="eastAsia" w:ascii="Times New Roman" w:hAnsi="Times New Roman" w:eastAsia="楷体"/>
          <w:bCs/>
          <w:sz w:val="32"/>
          <w:szCs w:val="32"/>
          <w:lang w:eastAsia="zh-CN"/>
        </w:rPr>
      </w:pPr>
      <w:r>
        <w:rPr>
          <w:rFonts w:ascii="Times New Roman" w:hAnsi="楷体" w:eastAsia="楷体"/>
          <w:bCs/>
          <w:sz w:val="32"/>
          <w:szCs w:val="32"/>
        </w:rPr>
        <w:t>（</w:t>
      </w:r>
      <w:r>
        <w:rPr>
          <w:rFonts w:hint="eastAsia" w:ascii="Times New Roman" w:hAnsi="楷体" w:eastAsia="楷体"/>
          <w:bCs/>
          <w:sz w:val="32"/>
          <w:szCs w:val="32"/>
          <w:lang w:eastAsia="zh-CN"/>
        </w:rPr>
        <w:t>二</w:t>
      </w:r>
      <w:r>
        <w:rPr>
          <w:rFonts w:ascii="Times New Roman" w:hAnsi="楷体" w:eastAsia="楷体"/>
          <w:bCs/>
          <w:sz w:val="32"/>
          <w:szCs w:val="32"/>
        </w:rPr>
        <w:t>）</w:t>
      </w:r>
      <w:r>
        <w:rPr>
          <w:rFonts w:hint="eastAsia" w:ascii="Times New Roman" w:hAnsi="楷体" w:eastAsia="楷体"/>
          <w:bCs/>
          <w:sz w:val="32"/>
          <w:szCs w:val="32"/>
          <w:lang w:eastAsia="zh-CN"/>
        </w:rPr>
        <w:t>单位财政资金支出情况</w:t>
      </w:r>
    </w:p>
    <w:p>
      <w:pPr>
        <w:snapToGrid w:val="0"/>
        <w:spacing w:line="520" w:lineRule="exact"/>
        <w:ind w:firstLine="640" w:firstLineChars="200"/>
        <w:rPr>
          <w:rFonts w:ascii="Times New Roman" w:hAnsi="Times New Roman" w:eastAsia="仿宋_GB2312"/>
          <w:sz w:val="32"/>
          <w:szCs w:val="32"/>
        </w:rPr>
      </w:pPr>
      <w:r>
        <w:rPr>
          <w:rFonts w:hint="eastAsia" w:ascii="仿宋_GB2312" w:hAnsi="仿宋" w:eastAsia="仿宋_GB2312"/>
          <w:sz w:val="32"/>
          <w:szCs w:val="32"/>
          <w:lang w:val="en-US" w:eastAsia="zh-CN"/>
        </w:rPr>
        <w:t xml:space="preserve">2022年本单位一般公共预算支出为117.23万元。其中：财政拨款基本支出78.73万元，项目支出38.5万元。  </w:t>
      </w:r>
    </w:p>
    <w:p>
      <w:pPr>
        <w:spacing w:line="576" w:lineRule="exact"/>
        <w:ind w:firstLine="640"/>
        <w:rPr>
          <w:rFonts w:hint="eastAsia" w:ascii="Times New Roman" w:hAnsi="Times New Roman" w:eastAsia="黑体"/>
          <w:bCs/>
          <w:sz w:val="32"/>
          <w:szCs w:val="32"/>
          <w:lang w:eastAsia="zh-CN"/>
        </w:rPr>
      </w:pPr>
      <w:r>
        <w:rPr>
          <w:rFonts w:hint="eastAsia" w:hAnsi="楷体" w:eastAsia="楷体" w:cs="Times New Roman"/>
          <w:sz w:val="32"/>
          <w:szCs w:val="32"/>
          <w:lang w:val="en-US" w:eastAsia="zh-CN"/>
        </w:rPr>
        <w:t xml:space="preserve"> </w:t>
      </w:r>
      <w:r>
        <w:rPr>
          <w:rFonts w:ascii="Times New Roman" w:hAnsi="黑体" w:eastAsia="黑体"/>
          <w:bCs/>
          <w:sz w:val="32"/>
          <w:szCs w:val="32"/>
        </w:rPr>
        <w:t>三、</w:t>
      </w:r>
      <w:r>
        <w:rPr>
          <w:rFonts w:hint="eastAsia" w:ascii="Times New Roman" w:hAnsi="黑体" w:eastAsia="黑体"/>
          <w:bCs/>
          <w:sz w:val="32"/>
          <w:szCs w:val="32"/>
          <w:lang w:eastAsia="zh-CN"/>
        </w:rPr>
        <w:t>部门整体预算绩效管理情况</w:t>
      </w:r>
    </w:p>
    <w:p>
      <w:pPr>
        <w:pStyle w:val="32"/>
        <w:spacing w:line="576" w:lineRule="exact"/>
        <w:ind w:firstLine="640" w:firstLineChars="200"/>
        <w:rPr>
          <w:rFonts w:hint="eastAsia" w:hAnsi="楷体" w:eastAsia="楷体"/>
          <w:bCs/>
          <w:kern w:val="0"/>
          <w:szCs w:val="32"/>
          <w:lang w:eastAsia="zh-CN"/>
        </w:rPr>
      </w:pPr>
      <w:r>
        <w:rPr>
          <w:rFonts w:hAnsi="楷体" w:eastAsia="楷体"/>
          <w:szCs w:val="32"/>
        </w:rPr>
        <w:t>（</w:t>
      </w:r>
      <w:r>
        <w:rPr>
          <w:rFonts w:hint="eastAsia" w:hAnsi="楷体" w:eastAsia="楷体"/>
          <w:szCs w:val="32"/>
          <w:lang w:eastAsia="zh-CN"/>
        </w:rPr>
        <w:t>一</w:t>
      </w:r>
      <w:r>
        <w:rPr>
          <w:rFonts w:hAnsi="楷体" w:eastAsia="楷体"/>
          <w:szCs w:val="32"/>
        </w:rPr>
        <w:t>）</w:t>
      </w:r>
      <w:r>
        <w:rPr>
          <w:rFonts w:hint="eastAsia" w:hAnsi="楷体" w:eastAsia="楷体"/>
          <w:szCs w:val="32"/>
          <w:lang w:eastAsia="zh-CN"/>
        </w:rPr>
        <w:t>部门</w:t>
      </w:r>
      <w:r>
        <w:rPr>
          <w:rFonts w:hAnsi="楷体" w:eastAsia="楷体"/>
          <w:bCs/>
          <w:kern w:val="0"/>
          <w:szCs w:val="32"/>
        </w:rPr>
        <w:t>预算</w:t>
      </w:r>
      <w:r>
        <w:rPr>
          <w:rFonts w:hint="eastAsia" w:hAnsi="楷体" w:eastAsia="楷体"/>
          <w:bCs/>
          <w:kern w:val="0"/>
          <w:szCs w:val="32"/>
          <w:lang w:eastAsia="zh-CN"/>
        </w:rPr>
        <w:t>项目绩效管理</w:t>
      </w:r>
    </w:p>
    <w:p>
      <w:pPr>
        <w:pStyle w:val="32"/>
        <w:spacing w:line="576"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1.绩效目标制定</w:t>
      </w:r>
    </w:p>
    <w:p>
      <w:pPr>
        <w:spacing w:line="55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2022年年初区财政局下达我中心年初预算数91.37万元。人员类：70.47万元，公用经费8.40万元；其他运转类和特定项目类12.50万元。年末预算调整：追减一般公共预算三公经费0.14万元，追加一般公共预算特定项目经费26万元。我中心根据全年度综合目标任务及本单位职能职责，</w:t>
      </w:r>
      <w:r>
        <w:rPr>
          <w:rFonts w:hint="default" w:ascii="Times New Roman" w:hAnsi="Times New Roman" w:eastAsia="仿宋_GB2312" w:cs="Times New Roman"/>
          <w:sz w:val="32"/>
          <w:szCs w:val="32"/>
          <w:shd w:val="clear" w:color="auto" w:fill="FFFFFF"/>
        </w:rPr>
        <w:t>从</w:t>
      </w:r>
      <w:r>
        <w:rPr>
          <w:rFonts w:hint="default" w:ascii="Times New Roman" w:hAnsi="Times New Roman" w:eastAsia="仿宋_GB2312" w:cs="Times New Roman"/>
          <w:color w:val="000000"/>
          <w:sz w:val="32"/>
          <w:szCs w:val="32"/>
          <w:shd w:val="clear" w:color="auto" w:fill="FFFFFF"/>
        </w:rPr>
        <w:t>产出指标、效益指标、满意度指标三个维度</w:t>
      </w:r>
      <w:r>
        <w:rPr>
          <w:rFonts w:hint="eastAsia" w:ascii="Times New Roman" w:hAnsi="Times New Roman" w:eastAsia="仿宋_GB2312" w:cs="Times New Roman"/>
          <w:color w:val="000000"/>
          <w:sz w:val="32"/>
          <w:szCs w:val="32"/>
          <w:shd w:val="clear" w:color="auto" w:fill="FFFFFF"/>
          <w:lang w:eastAsia="zh-CN"/>
        </w:rPr>
        <w:t>对部门整体支出人员类、运转类、特定项目类</w:t>
      </w:r>
      <w:r>
        <w:rPr>
          <w:rFonts w:hint="default" w:ascii="Times New Roman" w:hAnsi="Times New Roman" w:eastAsia="仿宋_GB2312" w:cs="Times New Roman"/>
          <w:color w:val="000000"/>
          <w:sz w:val="32"/>
          <w:szCs w:val="32"/>
          <w:shd w:val="clear" w:color="auto" w:fill="FFFFFF"/>
        </w:rPr>
        <w:t>制定了完整详细的绩效目标</w:t>
      </w: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 xml:space="preserve">  </w:t>
      </w:r>
    </w:p>
    <w:p>
      <w:pPr>
        <w:pStyle w:val="32"/>
        <w:numPr>
          <w:ilvl w:val="0"/>
          <w:numId w:val="7"/>
        </w:numPr>
        <w:spacing w:line="576" w:lineRule="exact"/>
        <w:ind w:left="800" w:leftChars="0" w:firstLine="0" w:firstLineChars="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目标实现</w:t>
      </w:r>
    </w:p>
    <w:p>
      <w:pPr>
        <w:pStyle w:val="24"/>
        <w:keepNext w:val="0"/>
        <w:keepLines w:val="0"/>
        <w:pageBreakBefore w:val="0"/>
        <w:widowControl w:val="0"/>
        <w:kinsoku/>
        <w:wordWrap/>
        <w:overflowPunct/>
        <w:topLinePunct w:val="0"/>
        <w:bidi w:val="0"/>
        <w:snapToGrid/>
        <w:spacing w:line="640" w:lineRule="exact"/>
        <w:ind w:firstLine="640" w:firstLineChars="200"/>
        <w:textAlignment w:val="auto"/>
        <w:rPr>
          <w:rFonts w:hint="eastAsia" w:asci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全年人员类</w:t>
      </w:r>
      <w:r>
        <w:rPr>
          <w:rFonts w:hint="eastAsia" w:ascii="Times New Roman" w:eastAsia="仿宋_GB2312" w:cs="Times New Roman"/>
          <w:sz w:val="32"/>
          <w:szCs w:val="32"/>
          <w:lang w:eastAsia="zh-CN"/>
        </w:rPr>
        <w:t>和运转类</w:t>
      </w:r>
      <w:r>
        <w:rPr>
          <w:rFonts w:hint="default" w:ascii="Times New Roman" w:hAnsi="Times New Roman" w:eastAsia="仿宋_GB2312" w:cs="Times New Roman"/>
          <w:sz w:val="32"/>
          <w:szCs w:val="32"/>
        </w:rPr>
        <w:t>预算经费</w:t>
      </w:r>
      <w:r>
        <w:rPr>
          <w:rFonts w:hint="eastAsia" w:ascii="Times New Roman" w:eastAsia="仿宋_GB2312" w:cs="Times New Roman"/>
          <w:sz w:val="32"/>
          <w:szCs w:val="32"/>
          <w:lang w:val="en-US" w:eastAsia="zh-CN"/>
        </w:rPr>
        <w:t>78.73万元。</w:t>
      </w:r>
      <w:r>
        <w:rPr>
          <w:rFonts w:hint="default" w:ascii="Times New Roman" w:hAnsi="Times New Roman" w:eastAsia="仿宋_GB2312" w:cs="Times New Roman"/>
          <w:sz w:val="32"/>
          <w:szCs w:val="32"/>
        </w:rPr>
        <w:t>包括基本工资、津贴补贴、目标奖、养老保险、医疗保险、住房公积金</w:t>
      </w:r>
      <w:r>
        <w:rPr>
          <w:rFonts w:hint="eastAsia" w:ascii="Times New Roman" w:eastAsia="仿宋_GB2312" w:cs="Times New Roman"/>
          <w:sz w:val="32"/>
          <w:szCs w:val="32"/>
          <w:lang w:eastAsia="zh-CN"/>
        </w:rPr>
        <w:t>、办公费、邮电费、差旅费、工会经费、印刷费等</w:t>
      </w:r>
      <w:r>
        <w:rPr>
          <w:rFonts w:hint="default" w:ascii="Times New Roman" w:hAnsi="Times New Roman" w:eastAsia="仿宋_GB2312" w:cs="Times New Roman"/>
          <w:sz w:val="32"/>
          <w:szCs w:val="32"/>
        </w:rPr>
        <w:t>。按照成本可控、职工满意</w:t>
      </w:r>
      <w:r>
        <w:rPr>
          <w:rFonts w:hint="eastAsia" w:ascii="Times New Roman" w:eastAsia="仿宋_GB2312" w:cs="Times New Roman"/>
          <w:sz w:val="32"/>
          <w:szCs w:val="32"/>
          <w:lang w:eastAsia="zh-CN"/>
        </w:rPr>
        <w:t>、保单位正常运转</w:t>
      </w:r>
      <w:r>
        <w:rPr>
          <w:rFonts w:hint="default" w:ascii="Times New Roman" w:hAnsi="Times New Roman" w:eastAsia="仿宋_GB2312" w:cs="Times New Roman"/>
          <w:sz w:val="32"/>
          <w:szCs w:val="32"/>
        </w:rPr>
        <w:t>等绩效目标要求及财政总体安排，我单位均按月足额发放人员工资，及时办理人员保险、住房公积金等缴纳</w:t>
      </w:r>
      <w:r>
        <w:rPr>
          <w:rFonts w:hint="eastAsia" w:ascii="Times New Roman" w:eastAsia="仿宋_GB2312" w:cs="Times New Roman"/>
          <w:sz w:val="32"/>
          <w:szCs w:val="32"/>
          <w:lang w:eastAsia="zh-CN"/>
        </w:rPr>
        <w:t>，保障单位办公、水电、邮电、印刷、差旅报销和工会福利等</w:t>
      </w:r>
      <w:r>
        <w:rPr>
          <w:rFonts w:hint="default" w:ascii="Times New Roman" w:hAnsi="Times New Roman" w:eastAsia="仿宋_GB2312" w:cs="Times New Roman"/>
          <w:sz w:val="32"/>
          <w:szCs w:val="32"/>
        </w:rPr>
        <w:t>。截止12月31日，</w:t>
      </w:r>
      <w:r>
        <w:rPr>
          <w:rFonts w:hint="eastAsia" w:ascii="Times New Roman" w:eastAsia="仿宋_GB2312" w:cs="Times New Roman"/>
          <w:sz w:val="32"/>
          <w:szCs w:val="32"/>
          <w:lang w:eastAsia="zh-CN"/>
        </w:rPr>
        <w:t>全年每月发放工资人数</w:t>
      </w:r>
      <w:r>
        <w:rPr>
          <w:rFonts w:hint="eastAsia" w:ascii="Times New Roman" w:eastAsia="仿宋_GB2312" w:cs="Times New Roman"/>
          <w:sz w:val="32"/>
          <w:szCs w:val="32"/>
          <w:lang w:val="en-US" w:eastAsia="zh-CN"/>
        </w:rPr>
        <w:t>6人，人员工资发放率达</w:t>
      </w:r>
      <w:r>
        <w:rPr>
          <w:rFonts w:hint="default" w:ascii="Times New Roman" w:hAnsi="Times New Roman" w:eastAsia="仿宋_GB2312" w:cs="Times New Roman"/>
          <w:color w:val="auto"/>
          <w:sz w:val="32"/>
          <w:szCs w:val="32"/>
        </w:rPr>
        <w:t>100%</w:t>
      </w:r>
      <w:r>
        <w:rPr>
          <w:rFonts w:hint="eastAsia" w:ascii="Times New Roman" w:eastAsia="仿宋_GB2312" w:cs="Times New Roman"/>
          <w:color w:val="auto"/>
          <w:sz w:val="32"/>
          <w:szCs w:val="32"/>
          <w:lang w:eastAsia="zh-CN"/>
        </w:rPr>
        <w:t>，严格控制</w:t>
      </w:r>
      <w:r>
        <w:rPr>
          <w:rFonts w:hint="default" w:ascii="Times New Roman" w:hAnsi="Times New Roman" w:eastAsia="仿宋_GB2312" w:cs="Times New Roman"/>
          <w:sz w:val="32"/>
          <w:szCs w:val="32"/>
        </w:rPr>
        <w:t>人员</w:t>
      </w:r>
      <w:r>
        <w:rPr>
          <w:rFonts w:hint="eastAsia" w:ascii="Times New Roman" w:eastAsia="仿宋_GB2312" w:cs="Times New Roman"/>
          <w:sz w:val="32"/>
          <w:szCs w:val="32"/>
          <w:lang w:eastAsia="zh-CN"/>
        </w:rPr>
        <w:t>和公用</w:t>
      </w:r>
      <w:r>
        <w:rPr>
          <w:rFonts w:hint="default" w:ascii="Times New Roman" w:hAnsi="Times New Roman" w:eastAsia="仿宋_GB2312" w:cs="Times New Roman"/>
          <w:sz w:val="32"/>
          <w:szCs w:val="32"/>
        </w:rPr>
        <w:t>经费成本</w:t>
      </w:r>
      <w:r>
        <w:rPr>
          <w:rFonts w:hint="eastAsia" w:ascii="Times New Roman" w:eastAsia="仿宋_GB2312" w:cs="Times New Roman"/>
          <w:sz w:val="32"/>
          <w:szCs w:val="32"/>
          <w:lang w:eastAsia="zh-CN"/>
        </w:rPr>
        <w:t>支出为</w:t>
      </w:r>
      <w:r>
        <w:rPr>
          <w:rFonts w:hint="eastAsia" w:ascii="Times New Roman" w:eastAsia="仿宋_GB2312" w:cs="Times New Roman"/>
          <w:sz w:val="32"/>
          <w:szCs w:val="32"/>
          <w:lang w:val="en-US" w:eastAsia="zh-CN"/>
        </w:rPr>
        <w:t>78.73万元</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kern w:val="2"/>
          <w:sz w:val="32"/>
          <w:szCs w:val="32"/>
        </w:rPr>
        <w:t>完成所有预定目标，全年无违规记录。</w:t>
      </w:r>
      <w:r>
        <w:rPr>
          <w:rFonts w:hint="eastAsia" w:ascii="Times New Roman" w:eastAsia="仿宋_GB2312" w:cs="Times New Roman"/>
          <w:color w:val="auto"/>
          <w:sz w:val="32"/>
          <w:szCs w:val="32"/>
          <w:lang w:val="en-US" w:eastAsia="zh-CN"/>
        </w:rPr>
        <w:t xml:space="preserve"> </w:t>
      </w:r>
    </w:p>
    <w:p>
      <w:pPr>
        <w:pStyle w:val="24"/>
        <w:keepNext w:val="0"/>
        <w:keepLines w:val="0"/>
        <w:pageBreakBefore w:val="0"/>
        <w:widowControl w:val="0"/>
        <w:kinsoku/>
        <w:wordWrap/>
        <w:overflowPunct/>
        <w:topLinePunct w:val="0"/>
        <w:bidi w:val="0"/>
        <w:snapToGrid/>
        <w:spacing w:line="640" w:lineRule="exact"/>
        <w:ind w:firstLine="640" w:firstLineChars="200"/>
        <w:textAlignment w:val="auto"/>
        <w:rPr>
          <w:rFonts w:hint="eastAsia" w:asci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全年其它运转类和特定项目类预算经费38.50万元，全年基本完成预定绩效目标。其中：亭子湖景区保护和管理经费10万元，开展文化体育活动1次，全年安全及资源巡查12次，严格控制成本为10万元，完成预定目标；虎跳亭子湖岸垃圾整治16万元，清运垃圾数量460吨，严格控制成本为16万元，完成预定目标；白龙湖亭子湖侵入性垃圾打捞应急处置奖补资金10万元，清运垃圾数量500吨，严格控制成本为10万元，完成预定目标；招商引资工作经费2.5万元，召开联席会议3次，制作宣传折页5000本，严格控制成本为2.5万元，由于受疫情影响，未外出招商，致使未完成项目到位资金500万元绩效目标。</w:t>
      </w:r>
    </w:p>
    <w:p>
      <w:pPr>
        <w:keepNext w:val="0"/>
        <w:keepLines w:val="0"/>
        <w:pageBreakBefore w:val="0"/>
        <w:widowControl w:val="0"/>
        <w:kinsoku/>
        <w:wordWrap/>
        <w:overflowPunct/>
        <w:topLinePunct w:val="0"/>
        <w:bidi w:val="0"/>
        <w:snapToGrid/>
        <w:spacing w:line="640" w:lineRule="exact"/>
        <w:ind w:firstLine="643" w:firstLineChars="200"/>
        <w:textAlignment w:val="auto"/>
        <w:rPr>
          <w:rFonts w:hint="default" w:ascii="Times New Roman" w:hAnsi="Times New Roman" w:cs="Times New Roman"/>
          <w:b/>
          <w:bCs/>
        </w:rPr>
      </w:pPr>
      <w:r>
        <w:rPr>
          <w:rFonts w:hint="default" w:ascii="Times New Roman" w:hAnsi="Times New Roman" w:eastAsia="仿宋_GB2312" w:cs="Times New Roman"/>
          <w:b/>
          <w:bCs/>
          <w:color w:val="000000"/>
          <w:sz w:val="32"/>
          <w:szCs w:val="32"/>
          <w:shd w:val="clear" w:color="auto" w:fill="FFFFFF"/>
        </w:rPr>
        <w:t>3.支出控制</w:t>
      </w:r>
    </w:p>
    <w:p>
      <w:pPr>
        <w:spacing w:line="576"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通过预算数与决算数对比，</w:t>
      </w:r>
      <w:r>
        <w:rPr>
          <w:rFonts w:hint="eastAsia" w:ascii="Times New Roman" w:hAnsi="Times New Roman" w:eastAsia="仿宋_GB2312" w:cs="Times New Roman"/>
          <w:sz w:val="32"/>
          <w:szCs w:val="32"/>
          <w:lang w:val="en-US" w:eastAsia="zh-CN"/>
        </w:rPr>
        <w:t>2022年部门整体支出</w:t>
      </w:r>
      <w:r>
        <w:rPr>
          <w:rFonts w:hint="default" w:ascii="Times New Roman" w:hAnsi="Times New Roman" w:eastAsia="仿宋_GB2312" w:cs="Times New Roman"/>
          <w:sz w:val="32"/>
          <w:szCs w:val="32"/>
        </w:rPr>
        <w:t>相关科目偏差度如下</w:t>
      </w:r>
      <w:r>
        <w:rPr>
          <w:rFonts w:hint="eastAsia" w:ascii="Times New Roman" w:hAnsi="Times New Roman" w:eastAsia="仿宋_GB2312" w:cs="Times New Roman"/>
          <w:sz w:val="32"/>
          <w:szCs w:val="32"/>
          <w:lang w:eastAsia="zh-CN"/>
        </w:rPr>
        <w:t>：</w:t>
      </w:r>
    </w:p>
    <w:p>
      <w:pPr>
        <w:pStyle w:val="24"/>
        <w:keepNext w:val="0"/>
        <w:keepLines w:val="0"/>
        <w:pageBreakBefore w:val="0"/>
        <w:widowControl w:val="0"/>
        <w:kinsoku/>
        <w:wordWrap/>
        <w:overflowPunct/>
        <w:topLinePunct w:val="0"/>
        <w:autoSpaceDE w:val="0"/>
        <w:autoSpaceDN w:val="0"/>
        <w:bidi w:val="0"/>
        <w:adjustRightInd w:val="0"/>
        <w:snapToGrid/>
        <w:spacing w:line="240" w:lineRule="exact"/>
        <w:ind w:firstLine="6960" w:firstLineChars="2900"/>
        <w:textAlignment w:val="auto"/>
        <w:rPr>
          <w:rFonts w:hint="eastAsia" w:eastAsia="黑体"/>
          <w:lang w:eastAsia="zh-CN"/>
        </w:rPr>
      </w:pPr>
      <w:r>
        <w:rPr>
          <w:rFonts w:hint="eastAsia"/>
          <w:lang w:eastAsia="zh-CN"/>
        </w:rPr>
        <w:t>单位：万元</w:t>
      </w:r>
    </w:p>
    <w:tbl>
      <w:tblPr>
        <w:tblStyle w:val="13"/>
        <w:tblW w:w="9182" w:type="dxa"/>
        <w:jc w:val="center"/>
        <w:tblLayout w:type="fixed"/>
        <w:tblCellMar>
          <w:top w:w="0" w:type="dxa"/>
          <w:left w:w="108" w:type="dxa"/>
          <w:bottom w:w="0" w:type="dxa"/>
          <w:right w:w="108" w:type="dxa"/>
        </w:tblCellMar>
      </w:tblPr>
      <w:tblGrid>
        <w:gridCol w:w="700"/>
        <w:gridCol w:w="5484"/>
        <w:gridCol w:w="1000"/>
        <w:gridCol w:w="1033"/>
        <w:gridCol w:w="965"/>
      </w:tblGrid>
      <w:tr>
        <w:tblPrEx>
          <w:tblCellMar>
            <w:top w:w="0" w:type="dxa"/>
            <w:left w:w="108" w:type="dxa"/>
            <w:bottom w:w="0" w:type="dxa"/>
            <w:right w:w="108" w:type="dxa"/>
          </w:tblCellMar>
        </w:tblPrEx>
        <w:trPr>
          <w:trHeight w:val="357" w:hRule="atLeast"/>
          <w:tblHeader/>
          <w:jc w:val="center"/>
        </w:trPr>
        <w:tc>
          <w:tcPr>
            <w:tcW w:w="6184"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项  目</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预算数</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决算数</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偏差度</w:t>
            </w:r>
          </w:p>
        </w:tc>
      </w:tr>
      <w:tr>
        <w:tblPrEx>
          <w:tblCellMar>
            <w:top w:w="0" w:type="dxa"/>
            <w:left w:w="108" w:type="dxa"/>
            <w:bottom w:w="0" w:type="dxa"/>
            <w:right w:w="108" w:type="dxa"/>
          </w:tblCellMar>
        </w:tblPrEx>
        <w:trPr>
          <w:trHeight w:val="357" w:hRule="atLeast"/>
          <w:jc w:val="center"/>
        </w:trPr>
        <w:tc>
          <w:tcPr>
            <w:tcW w:w="700"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基本支出</w:t>
            </w:r>
          </w:p>
        </w:tc>
        <w:tc>
          <w:tcPr>
            <w:tcW w:w="5484"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人员类</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70.47</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70.47</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0%</w:t>
            </w:r>
          </w:p>
        </w:tc>
      </w:tr>
      <w:tr>
        <w:tblPrEx>
          <w:tblCellMar>
            <w:top w:w="0" w:type="dxa"/>
            <w:left w:w="108" w:type="dxa"/>
            <w:bottom w:w="0" w:type="dxa"/>
            <w:right w:w="108" w:type="dxa"/>
          </w:tblCellMar>
        </w:tblPrEx>
        <w:trPr>
          <w:trHeight w:val="357" w:hRule="atLeast"/>
          <w:jc w:val="center"/>
        </w:trPr>
        <w:tc>
          <w:tcPr>
            <w:tcW w:w="700" w:type="dxa"/>
            <w:vMerge w:val="continue"/>
            <w:tcBorders>
              <w:left w:val="single" w:color="000000" w:sz="4" w:space="0"/>
              <w:right w:val="single" w:color="000000" w:sz="4" w:space="0"/>
            </w:tcBorders>
            <w:vAlign w:val="center"/>
          </w:tcPr>
          <w:p>
            <w:pPr>
              <w:widowControl/>
              <w:spacing w:line="320" w:lineRule="exact"/>
              <w:jc w:val="center"/>
              <w:textAlignment w:val="center"/>
              <w:rPr>
                <w:rFonts w:hint="default" w:ascii="Times New Roman" w:hAnsi="Times New Roman" w:eastAsia="宋体" w:cs="Times New Roman"/>
                <w:color w:val="000000"/>
                <w:sz w:val="24"/>
              </w:rPr>
            </w:pPr>
          </w:p>
        </w:tc>
        <w:tc>
          <w:tcPr>
            <w:tcW w:w="5484"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公用经费</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kern w:val="0"/>
                <w:sz w:val="24"/>
                <w:lang w:val="en-US" w:eastAsia="zh-CN"/>
              </w:rPr>
              <w:t>8.26</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kern w:val="0"/>
                <w:sz w:val="24"/>
                <w:lang w:val="en-US" w:eastAsia="zh-CN"/>
              </w:rPr>
              <w:t>8.26</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0%</w:t>
            </w:r>
          </w:p>
        </w:tc>
      </w:tr>
      <w:tr>
        <w:tblPrEx>
          <w:tblCellMar>
            <w:top w:w="0" w:type="dxa"/>
            <w:left w:w="108" w:type="dxa"/>
            <w:bottom w:w="0" w:type="dxa"/>
            <w:right w:w="108" w:type="dxa"/>
          </w:tblCellMar>
        </w:tblPrEx>
        <w:trPr>
          <w:trHeight w:val="357" w:hRule="atLeast"/>
          <w:jc w:val="center"/>
        </w:trPr>
        <w:tc>
          <w:tcPr>
            <w:tcW w:w="700"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项目支出</w:t>
            </w:r>
          </w:p>
        </w:tc>
        <w:tc>
          <w:tcPr>
            <w:tcW w:w="5484"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Times New Roman" w:hAnsi="Times New Roman" w:eastAsia="宋体" w:cs="Times New Roman"/>
                <w:color w:val="000000"/>
                <w:kern w:val="0"/>
                <w:sz w:val="24"/>
                <w:lang w:eastAsia="zh-CN"/>
              </w:rPr>
            </w:pPr>
            <w:r>
              <w:rPr>
                <w:rFonts w:hint="eastAsia" w:ascii="Times New Roman" w:hAnsi="Times New Roman" w:cs="Times New Roman"/>
                <w:color w:val="000000"/>
                <w:kern w:val="0"/>
                <w:sz w:val="24"/>
                <w:lang w:eastAsia="zh-CN"/>
              </w:rPr>
              <w:t>其他</w:t>
            </w:r>
            <w:r>
              <w:rPr>
                <w:rFonts w:hint="default" w:ascii="Times New Roman" w:hAnsi="Times New Roman" w:eastAsia="宋体" w:cs="Times New Roman"/>
                <w:color w:val="000000"/>
                <w:kern w:val="0"/>
                <w:sz w:val="24"/>
              </w:rPr>
              <w:t>运转类</w:t>
            </w:r>
            <w:r>
              <w:rPr>
                <w:rFonts w:hint="eastAsia" w:ascii="Times New Roman" w:hAnsi="Times New Roman" w:cs="Times New Roman"/>
                <w:color w:val="000000"/>
                <w:kern w:val="0"/>
                <w:sz w:val="24"/>
                <w:lang w:val="en-US" w:eastAsia="zh-CN"/>
              </w:rPr>
              <w:t xml:space="preserve"> ：亭子湖景区保护和管理</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10</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10</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0%</w:t>
            </w:r>
          </w:p>
        </w:tc>
      </w:tr>
      <w:tr>
        <w:tblPrEx>
          <w:tblCellMar>
            <w:top w:w="0" w:type="dxa"/>
            <w:left w:w="108" w:type="dxa"/>
            <w:bottom w:w="0" w:type="dxa"/>
            <w:right w:w="108" w:type="dxa"/>
          </w:tblCellMar>
        </w:tblPrEx>
        <w:trPr>
          <w:trHeight w:val="357" w:hRule="atLeast"/>
          <w:jc w:val="center"/>
        </w:trPr>
        <w:tc>
          <w:tcPr>
            <w:tcW w:w="700" w:type="dxa"/>
            <w:vMerge w:val="continue"/>
            <w:tcBorders>
              <w:left w:val="single" w:color="000000" w:sz="4" w:space="0"/>
              <w:right w:val="single" w:color="000000" w:sz="4" w:space="0"/>
            </w:tcBorders>
            <w:vAlign w:val="center"/>
          </w:tcPr>
          <w:p>
            <w:pPr>
              <w:widowControl/>
              <w:spacing w:line="320" w:lineRule="exact"/>
              <w:jc w:val="center"/>
              <w:textAlignment w:val="center"/>
              <w:rPr>
                <w:rFonts w:hint="default" w:ascii="Times New Roman" w:hAnsi="Times New Roman" w:eastAsia="宋体" w:cs="Times New Roman"/>
                <w:color w:val="000000"/>
                <w:sz w:val="24"/>
              </w:rPr>
            </w:pPr>
          </w:p>
        </w:tc>
        <w:tc>
          <w:tcPr>
            <w:tcW w:w="5484"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Times New Roman" w:hAnsi="Times New Roman" w:eastAsia="宋体" w:cs="Times New Roman"/>
                <w:color w:val="000000"/>
                <w:kern w:val="0"/>
                <w:sz w:val="24"/>
                <w:lang w:eastAsia="zh-CN"/>
              </w:rPr>
            </w:pPr>
            <w:r>
              <w:rPr>
                <w:rFonts w:hint="eastAsia" w:ascii="Times New Roman" w:hAnsi="Times New Roman" w:cs="Times New Roman"/>
                <w:color w:val="000000"/>
                <w:kern w:val="0"/>
                <w:sz w:val="24"/>
                <w:lang w:eastAsia="zh-CN"/>
              </w:rPr>
              <w:t>招商引资工作经费</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2.5</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cs="Times New Roman"/>
                <w:color w:val="000000"/>
                <w:sz w:val="24"/>
                <w:lang w:val="en-US" w:eastAsia="zh-CN"/>
              </w:rPr>
              <w:t>2.5</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0%</w:t>
            </w:r>
          </w:p>
        </w:tc>
      </w:tr>
      <w:tr>
        <w:tblPrEx>
          <w:tblCellMar>
            <w:top w:w="0" w:type="dxa"/>
            <w:left w:w="108" w:type="dxa"/>
            <w:bottom w:w="0" w:type="dxa"/>
            <w:right w:w="108" w:type="dxa"/>
          </w:tblCellMar>
        </w:tblPrEx>
        <w:trPr>
          <w:trHeight w:val="357" w:hRule="atLeast"/>
          <w:jc w:val="center"/>
        </w:trPr>
        <w:tc>
          <w:tcPr>
            <w:tcW w:w="700" w:type="dxa"/>
            <w:vMerge w:val="continue"/>
            <w:tcBorders>
              <w:left w:val="single" w:color="000000" w:sz="4" w:space="0"/>
              <w:right w:val="single" w:color="000000" w:sz="4" w:space="0"/>
            </w:tcBorders>
            <w:vAlign w:val="center"/>
          </w:tcPr>
          <w:p>
            <w:pPr>
              <w:widowControl/>
              <w:spacing w:line="320" w:lineRule="exact"/>
              <w:jc w:val="center"/>
              <w:textAlignment w:val="center"/>
              <w:rPr>
                <w:rFonts w:hint="default" w:ascii="Times New Roman" w:hAnsi="Times New Roman" w:eastAsia="宋体" w:cs="Times New Roman"/>
                <w:color w:val="000000"/>
                <w:sz w:val="24"/>
              </w:rPr>
            </w:pPr>
          </w:p>
        </w:tc>
        <w:tc>
          <w:tcPr>
            <w:tcW w:w="5484"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Times New Roman" w:hAnsi="Times New Roman" w:eastAsia="宋体" w:cs="Times New Roman"/>
                <w:color w:val="000000"/>
                <w:kern w:val="0"/>
                <w:sz w:val="24"/>
                <w:lang w:eastAsia="zh-CN"/>
              </w:rPr>
            </w:pPr>
            <w:r>
              <w:rPr>
                <w:rFonts w:hint="eastAsia" w:ascii="Times New Roman" w:hAnsi="Times New Roman" w:cs="Times New Roman"/>
                <w:color w:val="000000"/>
                <w:kern w:val="0"/>
                <w:sz w:val="24"/>
                <w:lang w:eastAsia="zh-CN"/>
              </w:rPr>
              <w:t>虎跳亭子湖岸垃圾整治</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kern w:val="0"/>
                <w:sz w:val="24"/>
                <w:lang w:val="en-US" w:eastAsia="zh-CN"/>
              </w:rPr>
            </w:pPr>
            <w:r>
              <w:rPr>
                <w:rFonts w:hint="eastAsia" w:ascii="Times New Roman" w:hAnsi="Times New Roman" w:cs="Times New Roman"/>
                <w:color w:val="000000"/>
                <w:kern w:val="0"/>
                <w:sz w:val="24"/>
                <w:lang w:val="en-US" w:eastAsia="zh-CN"/>
              </w:rPr>
              <w:t>16</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kern w:val="0"/>
                <w:sz w:val="24"/>
                <w:szCs w:val="24"/>
                <w:lang w:val="en-US" w:eastAsia="zh-CN" w:bidi="ar-SA"/>
              </w:rPr>
            </w:pPr>
            <w:r>
              <w:rPr>
                <w:rFonts w:hint="eastAsia" w:ascii="Times New Roman" w:hAnsi="Times New Roman" w:cs="Times New Roman"/>
                <w:color w:val="000000"/>
                <w:kern w:val="0"/>
                <w:sz w:val="24"/>
                <w:lang w:val="en-US" w:eastAsia="zh-CN"/>
              </w:rPr>
              <w:t>16</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0%</w:t>
            </w:r>
          </w:p>
        </w:tc>
      </w:tr>
      <w:tr>
        <w:tblPrEx>
          <w:tblCellMar>
            <w:top w:w="0" w:type="dxa"/>
            <w:left w:w="108" w:type="dxa"/>
            <w:bottom w:w="0" w:type="dxa"/>
            <w:right w:w="108" w:type="dxa"/>
          </w:tblCellMar>
        </w:tblPrEx>
        <w:trPr>
          <w:trHeight w:val="357" w:hRule="atLeast"/>
          <w:jc w:val="center"/>
        </w:trPr>
        <w:tc>
          <w:tcPr>
            <w:tcW w:w="700" w:type="dxa"/>
            <w:vMerge w:val="continue"/>
            <w:tcBorders>
              <w:left w:val="single" w:color="000000" w:sz="4" w:space="0"/>
              <w:right w:val="single" w:color="000000" w:sz="4" w:space="0"/>
            </w:tcBorders>
            <w:vAlign w:val="center"/>
          </w:tcPr>
          <w:p>
            <w:pPr>
              <w:widowControl/>
              <w:spacing w:line="320" w:lineRule="exact"/>
              <w:jc w:val="center"/>
              <w:textAlignment w:val="center"/>
              <w:rPr>
                <w:rFonts w:hint="default" w:ascii="Times New Roman" w:hAnsi="Times New Roman" w:eastAsia="宋体" w:cs="Times New Roman"/>
                <w:color w:val="000000"/>
                <w:sz w:val="24"/>
              </w:rPr>
            </w:pPr>
          </w:p>
        </w:tc>
        <w:tc>
          <w:tcPr>
            <w:tcW w:w="5484"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Times New Roman" w:hAnsi="Times New Roman" w:eastAsia="宋体" w:cs="Times New Roman"/>
                <w:color w:val="000000"/>
                <w:kern w:val="0"/>
                <w:sz w:val="24"/>
                <w:lang w:eastAsia="zh-CN"/>
              </w:rPr>
            </w:pPr>
            <w:r>
              <w:rPr>
                <w:rFonts w:hint="default" w:ascii="Times New Roman" w:hAnsi="Times New Roman" w:eastAsia="宋体" w:cs="Times New Roman"/>
                <w:color w:val="000000"/>
                <w:kern w:val="0"/>
                <w:sz w:val="24"/>
              </w:rPr>
              <w:t>转移性项目：</w:t>
            </w:r>
            <w:r>
              <w:rPr>
                <w:rFonts w:hint="eastAsia" w:ascii="Times New Roman" w:hAnsi="Times New Roman" w:cs="Times New Roman"/>
                <w:color w:val="000000"/>
                <w:kern w:val="0"/>
                <w:sz w:val="24"/>
                <w:lang w:eastAsia="zh-CN"/>
              </w:rPr>
              <w:t>白龙湖亭子湖侵入性垃圾打捞应急处置奖补资金</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kern w:val="0"/>
                <w:sz w:val="24"/>
                <w:lang w:val="en-US" w:eastAsia="zh-CN"/>
              </w:rPr>
            </w:pPr>
            <w:r>
              <w:rPr>
                <w:rFonts w:hint="eastAsia" w:ascii="Times New Roman" w:hAnsi="Times New Roman" w:cs="Times New Roman"/>
                <w:color w:val="000000"/>
                <w:kern w:val="0"/>
                <w:sz w:val="24"/>
                <w:lang w:val="en-US" w:eastAsia="zh-CN"/>
              </w:rPr>
              <w:t>10</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kern w:val="0"/>
                <w:sz w:val="24"/>
                <w:szCs w:val="24"/>
                <w:lang w:val="en-US" w:eastAsia="zh-CN" w:bidi="ar-SA"/>
              </w:rPr>
            </w:pPr>
            <w:r>
              <w:rPr>
                <w:rFonts w:hint="eastAsia" w:ascii="Times New Roman" w:hAnsi="Times New Roman" w:cs="Times New Roman"/>
                <w:color w:val="000000"/>
                <w:kern w:val="0"/>
                <w:sz w:val="24"/>
                <w:lang w:val="en-US" w:eastAsia="zh-CN"/>
              </w:rPr>
              <w:t>10</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0%</w:t>
            </w:r>
          </w:p>
        </w:tc>
      </w:tr>
      <w:tr>
        <w:tblPrEx>
          <w:tblCellMar>
            <w:top w:w="0" w:type="dxa"/>
            <w:left w:w="108" w:type="dxa"/>
            <w:bottom w:w="0" w:type="dxa"/>
            <w:right w:w="108" w:type="dxa"/>
          </w:tblCellMar>
        </w:tblPrEx>
        <w:trPr>
          <w:trHeight w:val="357" w:hRule="atLeast"/>
          <w:jc w:val="center"/>
        </w:trPr>
        <w:tc>
          <w:tcPr>
            <w:tcW w:w="6184"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合</w:t>
            </w:r>
            <w:r>
              <w:rPr>
                <w:rFonts w:hint="eastAsia" w:ascii="Times New Roman" w:hAnsi="Times New Roman" w:eastAsia="宋体" w:cs="Times New Roman"/>
                <w:color w:val="000000"/>
                <w:kern w:val="0"/>
                <w:sz w:val="24"/>
                <w:lang w:val="en-US" w:eastAsia="zh-CN"/>
              </w:rPr>
              <w:t xml:space="preserve">    </w:t>
            </w:r>
            <w:r>
              <w:rPr>
                <w:rFonts w:hint="default" w:ascii="Times New Roman" w:hAnsi="Times New Roman" w:eastAsia="宋体" w:cs="Times New Roman"/>
                <w:color w:val="000000"/>
                <w:kern w:val="0"/>
                <w:sz w:val="24"/>
              </w:rPr>
              <w:t>计</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117.23</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117.23</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0%</w:t>
            </w:r>
          </w:p>
        </w:tc>
      </w:tr>
    </w:tbl>
    <w:p>
      <w:pPr>
        <w:spacing w:line="576"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rPr>
        <w:t>按照权重不同综合计算，预决算偏差度为：0%</w:t>
      </w:r>
      <w:r>
        <w:rPr>
          <w:rFonts w:hint="eastAsia" w:ascii="Times New Roman" w:hAnsi="Times New Roman" w:eastAsia="仿宋_GB2312" w:cs="Times New Roman"/>
          <w:color w:val="0000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4.及时处置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我单位</w:t>
      </w:r>
      <w:r>
        <w:rPr>
          <w:rFonts w:hint="default" w:ascii="Times New Roman" w:hAnsi="Times New Roman" w:eastAsia="仿宋_GB2312" w:cs="Times New Roman"/>
          <w:sz w:val="32"/>
          <w:szCs w:val="32"/>
        </w:rPr>
        <w:t>部门绩效监控调整取消额与结余注销额均为零</w:t>
      </w:r>
      <w:r>
        <w:rPr>
          <w:rFonts w:hint="default" w:ascii="Times New Roman" w:hAnsi="Times New Roman" w:eastAsia="仿宋_GB2312" w:cs="Times New Roman"/>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5.执行进度</w:t>
      </w:r>
    </w:p>
    <w:p>
      <w:pPr>
        <w:pStyle w:val="24"/>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rPr>
        <w:t>预算执行进度表</w:t>
      </w:r>
    </w:p>
    <w:p>
      <w:pPr>
        <w:pStyle w:val="24"/>
        <w:keepNext w:val="0"/>
        <w:keepLines w:val="0"/>
        <w:pageBreakBefore w:val="0"/>
        <w:kinsoku/>
        <w:wordWrap/>
        <w:overflowPunct/>
        <w:topLinePunct w:val="0"/>
        <w:bidi w:val="0"/>
        <w:snapToGrid/>
        <w:spacing w:line="230" w:lineRule="exact"/>
        <w:jc w:val="right"/>
        <w:rPr>
          <w:rFonts w:hint="default" w:ascii="Times New Roman" w:hAnsi="Times New Roman" w:cs="Times New Roman"/>
          <w:spacing w:val="-6"/>
          <w:kern w:val="21"/>
          <w:sz w:val="18"/>
          <w:szCs w:val="18"/>
        </w:rPr>
      </w:pPr>
      <w:r>
        <w:rPr>
          <w:rFonts w:hint="default" w:ascii="Times New Roman" w:hAnsi="Times New Roman" w:cs="Times New Roman"/>
          <w:spacing w:val="-6"/>
          <w:kern w:val="21"/>
          <w:sz w:val="18"/>
          <w:szCs w:val="18"/>
        </w:rPr>
        <w:t>单位：万元</w:t>
      </w:r>
    </w:p>
    <w:tbl>
      <w:tblPr>
        <w:tblStyle w:val="14"/>
        <w:tblW w:w="9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2903"/>
        <w:gridCol w:w="782"/>
        <w:gridCol w:w="686"/>
        <w:gridCol w:w="717"/>
        <w:gridCol w:w="815"/>
        <w:gridCol w:w="654"/>
        <w:gridCol w:w="718"/>
        <w:gridCol w:w="675"/>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05" w:type="dxa"/>
            <w:vMerge w:val="restart"/>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r>
              <w:rPr>
                <w:rFonts w:hint="default" w:ascii="Times New Roman" w:hAnsi="Times New Roman" w:cs="Times New Roman"/>
                <w:spacing w:val="-6"/>
                <w:kern w:val="21"/>
                <w:sz w:val="18"/>
                <w:szCs w:val="18"/>
              </w:rPr>
              <w:t>支出类别</w:t>
            </w:r>
          </w:p>
        </w:tc>
        <w:tc>
          <w:tcPr>
            <w:tcW w:w="2903" w:type="dxa"/>
            <w:vMerge w:val="restart"/>
            <w:vAlign w:val="center"/>
          </w:tcPr>
          <w:p>
            <w:pPr>
              <w:pStyle w:val="24"/>
              <w:keepNext w:val="0"/>
              <w:keepLines w:val="0"/>
              <w:pageBreakBefore w:val="0"/>
              <w:kinsoku/>
              <w:wordWrap/>
              <w:overflowPunct/>
              <w:topLinePunct w:val="0"/>
              <w:bidi w:val="0"/>
              <w:snapToGrid/>
              <w:spacing w:line="230" w:lineRule="exact"/>
              <w:jc w:val="center"/>
              <w:rPr>
                <w:rFonts w:hint="eastAsia" w:ascii="Times New Roman" w:hAnsi="Times New Roman" w:eastAsia="黑体" w:cs="Times New Roman"/>
                <w:spacing w:val="-6"/>
                <w:kern w:val="21"/>
                <w:sz w:val="18"/>
                <w:szCs w:val="18"/>
                <w:lang w:eastAsia="zh-CN"/>
              </w:rPr>
            </w:pPr>
            <w:r>
              <w:rPr>
                <w:rFonts w:hint="eastAsia" w:ascii="Times New Roman" w:cs="Times New Roman"/>
                <w:spacing w:val="-6"/>
                <w:kern w:val="21"/>
                <w:sz w:val="18"/>
                <w:szCs w:val="18"/>
                <w:lang w:val="en-US" w:eastAsia="zh-CN"/>
              </w:rPr>
              <w:t>项    目</w:t>
            </w:r>
          </w:p>
        </w:tc>
        <w:tc>
          <w:tcPr>
            <w:tcW w:w="782" w:type="dxa"/>
            <w:vMerge w:val="restart"/>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r>
              <w:rPr>
                <w:rFonts w:hint="default" w:ascii="Times New Roman" w:hAnsi="Times New Roman" w:cs="Times New Roman"/>
                <w:spacing w:val="-6"/>
                <w:kern w:val="21"/>
                <w:sz w:val="18"/>
                <w:szCs w:val="18"/>
              </w:rPr>
              <w:t>预算数</w:t>
            </w:r>
          </w:p>
        </w:tc>
        <w:tc>
          <w:tcPr>
            <w:tcW w:w="4265" w:type="dxa"/>
            <w:gridSpan w:val="6"/>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r>
              <w:rPr>
                <w:rFonts w:hint="default" w:ascii="Times New Roman" w:hAnsi="Times New Roman" w:cs="Times New Roman"/>
                <w:spacing w:val="-6"/>
                <w:kern w:val="21"/>
                <w:sz w:val="18"/>
                <w:szCs w:val="18"/>
              </w:rPr>
              <w:t>支付金额（执行时间）、进度</w:t>
            </w:r>
          </w:p>
        </w:tc>
        <w:tc>
          <w:tcPr>
            <w:tcW w:w="1392" w:type="dxa"/>
            <w:vMerge w:val="restart"/>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r>
              <w:rPr>
                <w:rFonts w:hint="default" w:ascii="Times New Roman" w:hAnsi="Times New Roman" w:cs="Times New Roman"/>
                <w:spacing w:val="-6"/>
                <w:kern w:val="2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05" w:type="dxa"/>
            <w:vMerge w:val="continue"/>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2903" w:type="dxa"/>
            <w:vMerge w:val="continue"/>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782" w:type="dxa"/>
            <w:vMerge w:val="continue"/>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686"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r>
              <w:rPr>
                <w:rFonts w:hint="default" w:ascii="Times New Roman" w:hAnsi="Times New Roman" w:cs="Times New Roman"/>
                <w:spacing w:val="-6"/>
                <w:kern w:val="21"/>
                <w:sz w:val="18"/>
                <w:szCs w:val="18"/>
              </w:rPr>
              <w:t>6月</w:t>
            </w:r>
          </w:p>
        </w:tc>
        <w:tc>
          <w:tcPr>
            <w:tcW w:w="717"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r>
              <w:rPr>
                <w:rFonts w:hint="default" w:ascii="Times New Roman" w:hAnsi="Times New Roman" w:cs="Times New Roman"/>
                <w:spacing w:val="-6"/>
                <w:kern w:val="21"/>
                <w:sz w:val="18"/>
                <w:szCs w:val="18"/>
              </w:rPr>
              <w:t>进度</w:t>
            </w:r>
          </w:p>
        </w:tc>
        <w:tc>
          <w:tcPr>
            <w:tcW w:w="815"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r>
              <w:rPr>
                <w:rFonts w:hint="default" w:ascii="Times New Roman" w:hAnsi="Times New Roman" w:cs="Times New Roman"/>
                <w:spacing w:val="-6"/>
                <w:kern w:val="21"/>
                <w:sz w:val="18"/>
                <w:szCs w:val="18"/>
              </w:rPr>
              <w:t>9月</w:t>
            </w:r>
          </w:p>
        </w:tc>
        <w:tc>
          <w:tcPr>
            <w:tcW w:w="654"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r>
              <w:rPr>
                <w:rFonts w:hint="default" w:ascii="Times New Roman" w:hAnsi="Times New Roman" w:cs="Times New Roman"/>
                <w:spacing w:val="-6"/>
                <w:kern w:val="21"/>
                <w:sz w:val="18"/>
                <w:szCs w:val="18"/>
              </w:rPr>
              <w:t>进度</w:t>
            </w:r>
          </w:p>
        </w:tc>
        <w:tc>
          <w:tcPr>
            <w:tcW w:w="718"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r>
              <w:rPr>
                <w:rFonts w:hint="default" w:ascii="Times New Roman" w:hAnsi="Times New Roman" w:cs="Times New Roman"/>
                <w:spacing w:val="-6"/>
                <w:kern w:val="21"/>
                <w:sz w:val="18"/>
                <w:szCs w:val="18"/>
              </w:rPr>
              <w:t>11月</w:t>
            </w:r>
          </w:p>
        </w:tc>
        <w:tc>
          <w:tcPr>
            <w:tcW w:w="675"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r>
              <w:rPr>
                <w:rFonts w:hint="default" w:ascii="Times New Roman" w:hAnsi="Times New Roman" w:cs="Times New Roman"/>
                <w:spacing w:val="-6"/>
                <w:kern w:val="21"/>
                <w:sz w:val="18"/>
                <w:szCs w:val="18"/>
              </w:rPr>
              <w:t>进度</w:t>
            </w:r>
          </w:p>
        </w:tc>
        <w:tc>
          <w:tcPr>
            <w:tcW w:w="1392" w:type="dxa"/>
            <w:vMerge w:val="continue"/>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5" w:type="dxa"/>
            <w:vMerge w:val="restart"/>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rPr>
            </w:pPr>
            <w:r>
              <w:rPr>
                <w:rFonts w:hint="default" w:ascii="Times New Roman" w:hAnsi="Times New Roman" w:eastAsia="宋体" w:cs="Times New Roman"/>
                <w:spacing w:val="-6"/>
                <w:kern w:val="21"/>
                <w:sz w:val="18"/>
                <w:szCs w:val="18"/>
              </w:rPr>
              <w:t>基本支出</w:t>
            </w:r>
          </w:p>
        </w:tc>
        <w:tc>
          <w:tcPr>
            <w:tcW w:w="2903"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rPr>
            </w:pPr>
            <w:r>
              <w:rPr>
                <w:rFonts w:hint="default" w:ascii="Times New Roman" w:hAnsi="Times New Roman" w:eastAsia="宋体" w:cs="Times New Roman"/>
                <w:spacing w:val="-6"/>
                <w:kern w:val="21"/>
                <w:sz w:val="18"/>
                <w:szCs w:val="18"/>
              </w:rPr>
              <w:t>人员类</w:t>
            </w:r>
          </w:p>
        </w:tc>
        <w:tc>
          <w:tcPr>
            <w:tcW w:w="782"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lang w:val="en-US" w:eastAsia="zh-CN"/>
              </w:rPr>
            </w:pPr>
            <w:r>
              <w:rPr>
                <w:rFonts w:hint="eastAsia" w:ascii="Times New Roman" w:eastAsia="宋体" w:cs="Times New Roman"/>
                <w:spacing w:val="-6"/>
                <w:kern w:val="21"/>
                <w:sz w:val="18"/>
                <w:szCs w:val="18"/>
                <w:lang w:val="en-US" w:eastAsia="zh-CN"/>
              </w:rPr>
              <w:t>70.47</w:t>
            </w:r>
          </w:p>
        </w:tc>
        <w:tc>
          <w:tcPr>
            <w:tcW w:w="686"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lang w:val="en-US" w:eastAsia="zh-CN"/>
              </w:rPr>
            </w:pPr>
            <w:r>
              <w:rPr>
                <w:rFonts w:hint="eastAsia" w:ascii="Times New Roman" w:eastAsia="宋体" w:cs="Times New Roman"/>
                <w:spacing w:val="-6"/>
                <w:kern w:val="21"/>
                <w:sz w:val="18"/>
                <w:szCs w:val="18"/>
                <w:lang w:val="en-US" w:eastAsia="zh-CN"/>
              </w:rPr>
              <w:t>40.08</w:t>
            </w:r>
          </w:p>
        </w:tc>
        <w:tc>
          <w:tcPr>
            <w:tcW w:w="717"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rPr>
            </w:pPr>
            <w:r>
              <w:rPr>
                <w:rFonts w:hint="default" w:ascii="Times New Roman" w:hAnsi="Times New Roman" w:eastAsia="宋体" w:cs="Times New Roman"/>
                <w:spacing w:val="-6"/>
                <w:kern w:val="21"/>
                <w:sz w:val="18"/>
                <w:szCs w:val="18"/>
              </w:rPr>
              <w:t>5</w:t>
            </w:r>
            <w:r>
              <w:rPr>
                <w:rFonts w:hint="eastAsia" w:ascii="Times New Roman" w:eastAsia="宋体" w:cs="Times New Roman"/>
                <w:spacing w:val="-6"/>
                <w:kern w:val="21"/>
                <w:sz w:val="18"/>
                <w:szCs w:val="18"/>
                <w:lang w:val="en-US" w:eastAsia="zh-CN"/>
              </w:rPr>
              <w:t>6.9</w:t>
            </w:r>
            <w:r>
              <w:rPr>
                <w:rFonts w:hint="default" w:ascii="Times New Roman" w:hAnsi="Times New Roman" w:eastAsia="宋体" w:cs="Times New Roman"/>
                <w:spacing w:val="-6"/>
                <w:kern w:val="21"/>
                <w:sz w:val="18"/>
                <w:szCs w:val="18"/>
              </w:rPr>
              <w:t>%</w:t>
            </w:r>
          </w:p>
        </w:tc>
        <w:tc>
          <w:tcPr>
            <w:tcW w:w="815"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lang w:val="en-US" w:eastAsia="zh-CN"/>
              </w:rPr>
            </w:pPr>
            <w:r>
              <w:rPr>
                <w:rFonts w:hint="eastAsia" w:ascii="Times New Roman" w:eastAsia="宋体" w:cs="Times New Roman"/>
                <w:spacing w:val="-6"/>
                <w:kern w:val="21"/>
                <w:sz w:val="18"/>
                <w:szCs w:val="18"/>
                <w:lang w:val="en-US" w:eastAsia="zh-CN"/>
              </w:rPr>
              <w:t>54.53</w:t>
            </w:r>
          </w:p>
        </w:tc>
        <w:tc>
          <w:tcPr>
            <w:tcW w:w="654"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rPr>
            </w:pPr>
            <w:r>
              <w:rPr>
                <w:rFonts w:hint="eastAsia" w:ascii="Times New Roman" w:eastAsia="宋体" w:cs="Times New Roman"/>
                <w:spacing w:val="-6"/>
                <w:kern w:val="21"/>
                <w:sz w:val="18"/>
                <w:szCs w:val="18"/>
                <w:lang w:val="en-US" w:eastAsia="zh-CN"/>
              </w:rPr>
              <w:t>77.4</w:t>
            </w:r>
            <w:r>
              <w:rPr>
                <w:rFonts w:hint="default" w:ascii="Times New Roman" w:hAnsi="Times New Roman" w:eastAsia="宋体" w:cs="Times New Roman"/>
                <w:spacing w:val="-6"/>
                <w:kern w:val="21"/>
                <w:sz w:val="18"/>
                <w:szCs w:val="18"/>
              </w:rPr>
              <w:t>%</w:t>
            </w:r>
          </w:p>
        </w:tc>
        <w:tc>
          <w:tcPr>
            <w:tcW w:w="718"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lang w:val="en-US" w:eastAsia="zh-CN"/>
              </w:rPr>
            </w:pPr>
            <w:r>
              <w:rPr>
                <w:rFonts w:hint="eastAsia" w:ascii="Times New Roman" w:eastAsia="宋体" w:cs="Times New Roman"/>
                <w:spacing w:val="-6"/>
                <w:kern w:val="21"/>
                <w:sz w:val="18"/>
                <w:szCs w:val="18"/>
                <w:lang w:val="en-US" w:eastAsia="zh-CN"/>
              </w:rPr>
              <w:t>66.68</w:t>
            </w:r>
          </w:p>
        </w:tc>
        <w:tc>
          <w:tcPr>
            <w:tcW w:w="675"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rPr>
            </w:pPr>
            <w:r>
              <w:rPr>
                <w:rFonts w:hint="eastAsia" w:ascii="Times New Roman" w:eastAsia="宋体" w:cs="Times New Roman"/>
                <w:spacing w:val="-6"/>
                <w:kern w:val="21"/>
                <w:sz w:val="18"/>
                <w:szCs w:val="18"/>
                <w:lang w:val="en-US" w:eastAsia="zh-CN"/>
              </w:rPr>
              <w:t>94.6</w:t>
            </w:r>
            <w:r>
              <w:rPr>
                <w:rFonts w:hint="default" w:ascii="Times New Roman" w:hAnsi="Times New Roman" w:eastAsia="宋体" w:cs="Times New Roman"/>
                <w:spacing w:val="-6"/>
                <w:kern w:val="21"/>
                <w:sz w:val="18"/>
                <w:szCs w:val="18"/>
              </w:rPr>
              <w:t>%</w:t>
            </w:r>
          </w:p>
        </w:tc>
        <w:tc>
          <w:tcPr>
            <w:tcW w:w="1392" w:type="dxa"/>
            <w:vAlign w:val="center"/>
          </w:tcPr>
          <w:p>
            <w:pPr>
              <w:pStyle w:val="24"/>
              <w:keepNext w:val="0"/>
              <w:keepLines w:val="0"/>
              <w:pageBreakBefore w:val="0"/>
              <w:widowControl w:val="0"/>
              <w:kinsoku/>
              <w:wordWrap/>
              <w:overflowPunct/>
              <w:topLinePunct w:val="0"/>
              <w:autoSpaceDE w:val="0"/>
              <w:autoSpaceDN w:val="0"/>
              <w:bidi w:val="0"/>
              <w:adjustRightInd w:val="0"/>
              <w:snapToGrid/>
              <w:spacing w:line="230" w:lineRule="exact"/>
              <w:jc w:val="center"/>
              <w:textAlignment w:val="auto"/>
              <w:rPr>
                <w:rFonts w:hint="default" w:ascii="Times New Roman" w:hAnsi="Times New Roman" w:eastAsia="宋体" w:cs="Times New Roman"/>
                <w:spacing w:val="-6"/>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5" w:type="dxa"/>
            <w:vMerge w:val="continue"/>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rPr>
            </w:pPr>
          </w:p>
        </w:tc>
        <w:tc>
          <w:tcPr>
            <w:tcW w:w="2903"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rPr>
            </w:pPr>
            <w:r>
              <w:rPr>
                <w:rFonts w:hint="default" w:ascii="Times New Roman" w:hAnsi="Times New Roman" w:eastAsia="宋体" w:cs="Times New Roman"/>
                <w:spacing w:val="-6"/>
                <w:kern w:val="21"/>
                <w:sz w:val="18"/>
                <w:szCs w:val="18"/>
              </w:rPr>
              <w:t>公用经费</w:t>
            </w:r>
          </w:p>
        </w:tc>
        <w:tc>
          <w:tcPr>
            <w:tcW w:w="782"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lang w:val="en-US" w:eastAsia="zh-CN"/>
              </w:rPr>
            </w:pPr>
            <w:r>
              <w:rPr>
                <w:rFonts w:hint="eastAsia" w:ascii="Times New Roman" w:eastAsia="宋体" w:cs="Times New Roman"/>
                <w:spacing w:val="-6"/>
                <w:kern w:val="21"/>
                <w:sz w:val="18"/>
                <w:szCs w:val="18"/>
                <w:lang w:val="en-US" w:eastAsia="zh-CN"/>
              </w:rPr>
              <w:t>8.26</w:t>
            </w:r>
          </w:p>
        </w:tc>
        <w:tc>
          <w:tcPr>
            <w:tcW w:w="686" w:type="dxa"/>
            <w:vAlign w:val="center"/>
          </w:tcPr>
          <w:p>
            <w:pPr>
              <w:keepNext w:val="0"/>
              <w:keepLines w:val="0"/>
              <w:pageBreakBefore w:val="0"/>
              <w:widowControl/>
              <w:kinsoku/>
              <w:wordWrap/>
              <w:overflowPunct/>
              <w:topLinePunct w:val="0"/>
              <w:bidi w:val="0"/>
              <w:snapToGrid/>
              <w:spacing w:line="230" w:lineRule="exact"/>
              <w:jc w:val="center"/>
              <w:rPr>
                <w:rFonts w:hint="default" w:ascii="Times New Roman" w:hAnsi="Times New Roman" w:eastAsia="宋体" w:cs="Times New Roman"/>
                <w:color w:val="000000"/>
                <w:spacing w:val="-6"/>
                <w:kern w:val="21"/>
                <w:sz w:val="18"/>
                <w:szCs w:val="18"/>
                <w:lang w:val="en-US" w:eastAsia="zh-CN"/>
              </w:rPr>
            </w:pPr>
            <w:r>
              <w:rPr>
                <w:rFonts w:hint="eastAsia" w:ascii="Times New Roman" w:hAnsi="Times New Roman" w:cs="Times New Roman"/>
                <w:color w:val="000000"/>
                <w:spacing w:val="-6"/>
                <w:kern w:val="21"/>
                <w:sz w:val="18"/>
                <w:szCs w:val="18"/>
                <w:lang w:val="en-US" w:eastAsia="zh-CN"/>
              </w:rPr>
              <w:t>4.69</w:t>
            </w:r>
          </w:p>
        </w:tc>
        <w:tc>
          <w:tcPr>
            <w:tcW w:w="717" w:type="dxa"/>
            <w:vAlign w:val="center"/>
          </w:tcPr>
          <w:p>
            <w:pPr>
              <w:keepNext w:val="0"/>
              <w:keepLines w:val="0"/>
              <w:pageBreakBefore w:val="0"/>
              <w:widowControl/>
              <w:kinsoku/>
              <w:wordWrap/>
              <w:overflowPunct/>
              <w:topLinePunct w:val="0"/>
              <w:bidi w:val="0"/>
              <w:snapToGrid/>
              <w:spacing w:line="230" w:lineRule="exact"/>
              <w:jc w:val="center"/>
              <w:rPr>
                <w:rFonts w:hint="default" w:ascii="Times New Roman" w:hAnsi="Times New Roman" w:eastAsia="宋体" w:cs="Times New Roman"/>
                <w:color w:val="000000"/>
                <w:spacing w:val="-6"/>
                <w:kern w:val="21"/>
                <w:sz w:val="18"/>
                <w:szCs w:val="18"/>
              </w:rPr>
            </w:pPr>
            <w:r>
              <w:rPr>
                <w:rFonts w:hint="eastAsia" w:ascii="Times New Roman" w:hAnsi="Times New Roman" w:cs="Times New Roman"/>
                <w:color w:val="000000"/>
                <w:spacing w:val="-6"/>
                <w:kern w:val="21"/>
                <w:sz w:val="18"/>
                <w:szCs w:val="18"/>
                <w:lang w:val="en-US" w:eastAsia="zh-CN"/>
              </w:rPr>
              <w:t>56.8</w:t>
            </w:r>
            <w:r>
              <w:rPr>
                <w:rFonts w:hint="default" w:ascii="Times New Roman" w:hAnsi="Times New Roman" w:eastAsia="宋体" w:cs="Times New Roman"/>
                <w:color w:val="000000"/>
                <w:spacing w:val="-6"/>
                <w:kern w:val="21"/>
                <w:sz w:val="18"/>
                <w:szCs w:val="18"/>
              </w:rPr>
              <w:t>%</w:t>
            </w:r>
          </w:p>
        </w:tc>
        <w:tc>
          <w:tcPr>
            <w:tcW w:w="815" w:type="dxa"/>
            <w:vAlign w:val="center"/>
          </w:tcPr>
          <w:p>
            <w:pPr>
              <w:keepNext w:val="0"/>
              <w:keepLines w:val="0"/>
              <w:pageBreakBefore w:val="0"/>
              <w:widowControl/>
              <w:kinsoku/>
              <w:wordWrap/>
              <w:overflowPunct/>
              <w:topLinePunct w:val="0"/>
              <w:bidi w:val="0"/>
              <w:snapToGrid/>
              <w:spacing w:line="230" w:lineRule="exact"/>
              <w:jc w:val="center"/>
              <w:rPr>
                <w:rFonts w:hint="eastAsia" w:ascii="Times New Roman" w:hAnsi="Times New Roman" w:eastAsia="宋体" w:cs="Times New Roman"/>
                <w:color w:val="000000"/>
                <w:spacing w:val="-6"/>
                <w:kern w:val="21"/>
                <w:sz w:val="18"/>
                <w:szCs w:val="18"/>
                <w:lang w:eastAsia="zh-CN"/>
              </w:rPr>
            </w:pPr>
            <w:r>
              <w:rPr>
                <w:rFonts w:hint="eastAsia" w:ascii="Times New Roman" w:hAnsi="Times New Roman" w:cs="Times New Roman"/>
                <w:color w:val="000000"/>
                <w:spacing w:val="-6"/>
                <w:kern w:val="21"/>
                <w:sz w:val="18"/>
                <w:szCs w:val="18"/>
                <w:lang w:val="en-US" w:eastAsia="zh-CN"/>
              </w:rPr>
              <w:t>7</w:t>
            </w:r>
          </w:p>
        </w:tc>
        <w:tc>
          <w:tcPr>
            <w:tcW w:w="654" w:type="dxa"/>
            <w:vAlign w:val="center"/>
          </w:tcPr>
          <w:p>
            <w:pPr>
              <w:keepNext w:val="0"/>
              <w:keepLines w:val="0"/>
              <w:pageBreakBefore w:val="0"/>
              <w:widowControl/>
              <w:kinsoku/>
              <w:wordWrap/>
              <w:overflowPunct/>
              <w:topLinePunct w:val="0"/>
              <w:bidi w:val="0"/>
              <w:snapToGrid/>
              <w:spacing w:line="230" w:lineRule="exact"/>
              <w:jc w:val="center"/>
              <w:rPr>
                <w:rFonts w:hint="default" w:ascii="Times New Roman" w:hAnsi="Times New Roman" w:eastAsia="宋体" w:cs="Times New Roman"/>
                <w:color w:val="000000"/>
                <w:spacing w:val="-6"/>
                <w:kern w:val="21"/>
                <w:sz w:val="18"/>
                <w:szCs w:val="18"/>
              </w:rPr>
            </w:pPr>
            <w:r>
              <w:rPr>
                <w:rFonts w:hint="eastAsia" w:ascii="Times New Roman" w:hAnsi="Times New Roman" w:cs="Times New Roman"/>
                <w:color w:val="000000"/>
                <w:spacing w:val="-6"/>
                <w:kern w:val="21"/>
                <w:sz w:val="18"/>
                <w:szCs w:val="18"/>
                <w:lang w:val="en-US" w:eastAsia="zh-CN"/>
              </w:rPr>
              <w:t>84.7</w:t>
            </w:r>
            <w:r>
              <w:rPr>
                <w:rFonts w:hint="default" w:ascii="Times New Roman" w:hAnsi="Times New Roman" w:eastAsia="宋体" w:cs="Times New Roman"/>
                <w:color w:val="000000"/>
                <w:spacing w:val="-6"/>
                <w:kern w:val="21"/>
                <w:sz w:val="18"/>
                <w:szCs w:val="18"/>
              </w:rPr>
              <w:t>%</w:t>
            </w:r>
          </w:p>
        </w:tc>
        <w:tc>
          <w:tcPr>
            <w:tcW w:w="718" w:type="dxa"/>
            <w:vAlign w:val="center"/>
          </w:tcPr>
          <w:p>
            <w:pPr>
              <w:keepNext w:val="0"/>
              <w:keepLines w:val="0"/>
              <w:pageBreakBefore w:val="0"/>
              <w:widowControl/>
              <w:kinsoku/>
              <w:wordWrap/>
              <w:overflowPunct/>
              <w:topLinePunct w:val="0"/>
              <w:bidi w:val="0"/>
              <w:snapToGrid/>
              <w:spacing w:line="230" w:lineRule="exact"/>
              <w:jc w:val="center"/>
              <w:rPr>
                <w:rFonts w:hint="default" w:ascii="Times New Roman" w:hAnsi="Times New Roman" w:eastAsia="宋体" w:cs="Times New Roman"/>
                <w:color w:val="000000"/>
                <w:spacing w:val="-6"/>
                <w:kern w:val="21"/>
                <w:sz w:val="18"/>
                <w:szCs w:val="18"/>
                <w:lang w:val="en-US" w:eastAsia="zh-CN"/>
              </w:rPr>
            </w:pPr>
            <w:r>
              <w:rPr>
                <w:rFonts w:hint="eastAsia" w:ascii="Times New Roman" w:hAnsi="Times New Roman" w:cs="Times New Roman"/>
                <w:color w:val="000000"/>
                <w:spacing w:val="-6"/>
                <w:kern w:val="21"/>
                <w:sz w:val="18"/>
                <w:szCs w:val="18"/>
                <w:lang w:val="en-US" w:eastAsia="zh-CN"/>
              </w:rPr>
              <w:t>7.31</w:t>
            </w:r>
          </w:p>
        </w:tc>
        <w:tc>
          <w:tcPr>
            <w:tcW w:w="675" w:type="dxa"/>
            <w:vAlign w:val="center"/>
          </w:tcPr>
          <w:p>
            <w:pPr>
              <w:keepNext w:val="0"/>
              <w:keepLines w:val="0"/>
              <w:pageBreakBefore w:val="0"/>
              <w:widowControl/>
              <w:kinsoku/>
              <w:wordWrap/>
              <w:overflowPunct/>
              <w:topLinePunct w:val="0"/>
              <w:bidi w:val="0"/>
              <w:snapToGrid/>
              <w:spacing w:line="230" w:lineRule="exact"/>
              <w:jc w:val="center"/>
              <w:rPr>
                <w:rFonts w:hint="default" w:ascii="Times New Roman" w:hAnsi="Times New Roman" w:eastAsia="宋体" w:cs="Times New Roman"/>
                <w:color w:val="000000"/>
                <w:spacing w:val="-6"/>
                <w:kern w:val="21"/>
                <w:sz w:val="18"/>
                <w:szCs w:val="18"/>
              </w:rPr>
            </w:pPr>
            <w:r>
              <w:rPr>
                <w:rFonts w:hint="eastAsia" w:ascii="Times New Roman" w:hAnsi="Times New Roman" w:cs="Times New Roman"/>
                <w:color w:val="000000"/>
                <w:spacing w:val="-6"/>
                <w:kern w:val="21"/>
                <w:sz w:val="18"/>
                <w:szCs w:val="18"/>
                <w:lang w:val="en-US" w:eastAsia="zh-CN"/>
              </w:rPr>
              <w:t>88.5</w:t>
            </w:r>
            <w:r>
              <w:rPr>
                <w:rFonts w:hint="default" w:ascii="Times New Roman" w:hAnsi="Times New Roman" w:eastAsia="宋体" w:cs="Times New Roman"/>
                <w:color w:val="000000"/>
                <w:spacing w:val="-6"/>
                <w:kern w:val="21"/>
                <w:sz w:val="18"/>
                <w:szCs w:val="18"/>
              </w:rPr>
              <w:t>%</w:t>
            </w:r>
          </w:p>
        </w:tc>
        <w:tc>
          <w:tcPr>
            <w:tcW w:w="1392" w:type="dxa"/>
            <w:vAlign w:val="center"/>
          </w:tcPr>
          <w:p>
            <w:pPr>
              <w:pStyle w:val="24"/>
              <w:keepNext w:val="0"/>
              <w:keepLines w:val="0"/>
              <w:pageBreakBefore w:val="0"/>
              <w:widowControl w:val="0"/>
              <w:kinsoku/>
              <w:wordWrap/>
              <w:overflowPunct/>
              <w:topLinePunct w:val="0"/>
              <w:autoSpaceDE w:val="0"/>
              <w:autoSpaceDN w:val="0"/>
              <w:bidi w:val="0"/>
              <w:adjustRightInd w:val="0"/>
              <w:snapToGrid/>
              <w:spacing w:line="230" w:lineRule="exact"/>
              <w:jc w:val="center"/>
              <w:textAlignment w:val="auto"/>
              <w:rPr>
                <w:rFonts w:hint="default" w:ascii="Times New Roman" w:hAnsi="Times New Roman" w:eastAsia="宋体" w:cs="Times New Roman"/>
                <w:spacing w:val="-6"/>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5" w:type="dxa"/>
            <w:vMerge w:val="restart"/>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rPr>
            </w:pPr>
            <w:r>
              <w:rPr>
                <w:rFonts w:hint="default" w:ascii="Times New Roman" w:hAnsi="Times New Roman" w:eastAsia="宋体" w:cs="Times New Roman"/>
                <w:spacing w:val="-6"/>
                <w:kern w:val="21"/>
                <w:sz w:val="18"/>
                <w:szCs w:val="18"/>
              </w:rPr>
              <w:t>项目支出</w:t>
            </w:r>
          </w:p>
        </w:tc>
        <w:tc>
          <w:tcPr>
            <w:tcW w:w="2903" w:type="dxa"/>
            <w:vAlign w:val="center"/>
          </w:tcPr>
          <w:p>
            <w:pPr>
              <w:widowControl/>
              <w:spacing w:line="320" w:lineRule="exact"/>
              <w:jc w:val="center"/>
              <w:textAlignment w:val="center"/>
              <w:rPr>
                <w:rFonts w:hint="default" w:ascii="Times New Roman" w:hAnsi="Times New Roman" w:eastAsia="宋体" w:cs="Times New Roman"/>
                <w:spacing w:val="-6"/>
                <w:kern w:val="21"/>
                <w:sz w:val="18"/>
                <w:szCs w:val="18"/>
              </w:rPr>
            </w:pPr>
            <w:r>
              <w:rPr>
                <w:rFonts w:hint="eastAsia" w:ascii="Times New Roman" w:hAnsi="Times New Roman" w:cs="Times New Roman"/>
                <w:color w:val="000000"/>
                <w:kern w:val="0"/>
                <w:sz w:val="18"/>
                <w:szCs w:val="18"/>
                <w:lang w:eastAsia="zh-CN"/>
              </w:rPr>
              <w:t>其他</w:t>
            </w:r>
            <w:r>
              <w:rPr>
                <w:rFonts w:hint="default" w:ascii="Times New Roman" w:hAnsi="Times New Roman" w:eastAsia="宋体" w:cs="Times New Roman"/>
                <w:color w:val="000000"/>
                <w:kern w:val="0"/>
                <w:sz w:val="18"/>
                <w:szCs w:val="18"/>
              </w:rPr>
              <w:t>运转类</w:t>
            </w:r>
            <w:r>
              <w:rPr>
                <w:rFonts w:hint="eastAsia" w:ascii="Times New Roman" w:hAnsi="Times New Roman" w:cs="Times New Roman"/>
                <w:color w:val="000000"/>
                <w:kern w:val="0"/>
                <w:sz w:val="18"/>
                <w:szCs w:val="18"/>
                <w:lang w:val="en-US" w:eastAsia="zh-CN"/>
              </w:rPr>
              <w:t xml:space="preserve"> ：亭子湖景区保护和管理</w:t>
            </w:r>
          </w:p>
        </w:tc>
        <w:tc>
          <w:tcPr>
            <w:tcW w:w="782"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lang w:val="en-US" w:eastAsia="zh-CN"/>
              </w:rPr>
            </w:pPr>
            <w:r>
              <w:rPr>
                <w:rFonts w:hint="eastAsia" w:ascii="Times New Roman" w:eastAsia="宋体" w:cs="Times New Roman"/>
                <w:spacing w:val="-6"/>
                <w:kern w:val="21"/>
                <w:sz w:val="18"/>
                <w:szCs w:val="18"/>
                <w:lang w:val="en-US" w:eastAsia="zh-CN"/>
              </w:rPr>
              <w:t>10</w:t>
            </w:r>
          </w:p>
        </w:tc>
        <w:tc>
          <w:tcPr>
            <w:tcW w:w="686"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lang w:val="en-US" w:eastAsia="zh-CN"/>
              </w:rPr>
            </w:pPr>
            <w:r>
              <w:rPr>
                <w:rFonts w:hint="eastAsia" w:ascii="Times New Roman" w:eastAsia="宋体" w:cs="Times New Roman"/>
                <w:spacing w:val="-6"/>
                <w:kern w:val="21"/>
                <w:sz w:val="18"/>
                <w:szCs w:val="18"/>
                <w:lang w:val="en-US" w:eastAsia="zh-CN"/>
              </w:rPr>
              <w:t>4.8</w:t>
            </w:r>
          </w:p>
        </w:tc>
        <w:tc>
          <w:tcPr>
            <w:tcW w:w="717"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rPr>
            </w:pPr>
            <w:r>
              <w:rPr>
                <w:rFonts w:hint="eastAsia" w:ascii="Times New Roman" w:eastAsia="宋体" w:cs="Times New Roman"/>
                <w:spacing w:val="-6"/>
                <w:kern w:val="21"/>
                <w:sz w:val="18"/>
                <w:szCs w:val="18"/>
                <w:lang w:val="en-US" w:eastAsia="zh-CN"/>
              </w:rPr>
              <w:t>4</w:t>
            </w:r>
            <w:r>
              <w:rPr>
                <w:rFonts w:hint="default" w:ascii="Times New Roman" w:hAnsi="Times New Roman" w:eastAsia="宋体" w:cs="Times New Roman"/>
                <w:spacing w:val="-6"/>
                <w:kern w:val="21"/>
                <w:sz w:val="18"/>
                <w:szCs w:val="18"/>
              </w:rPr>
              <w:t>8%</w:t>
            </w:r>
          </w:p>
        </w:tc>
        <w:tc>
          <w:tcPr>
            <w:tcW w:w="815"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lang w:val="en-US" w:eastAsia="zh-CN"/>
              </w:rPr>
            </w:pPr>
            <w:r>
              <w:rPr>
                <w:rFonts w:hint="eastAsia" w:ascii="Times New Roman" w:eastAsia="宋体" w:cs="Times New Roman"/>
                <w:spacing w:val="-6"/>
                <w:kern w:val="21"/>
                <w:sz w:val="18"/>
                <w:szCs w:val="18"/>
                <w:lang w:val="en-US" w:eastAsia="zh-CN"/>
              </w:rPr>
              <w:t>6.81</w:t>
            </w:r>
          </w:p>
        </w:tc>
        <w:tc>
          <w:tcPr>
            <w:tcW w:w="654"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rPr>
            </w:pPr>
            <w:r>
              <w:rPr>
                <w:rFonts w:hint="eastAsia" w:ascii="Times New Roman" w:eastAsia="宋体" w:cs="Times New Roman"/>
                <w:spacing w:val="-6"/>
                <w:kern w:val="21"/>
                <w:sz w:val="18"/>
                <w:szCs w:val="18"/>
                <w:lang w:val="en-US" w:eastAsia="zh-CN"/>
              </w:rPr>
              <w:t>68.1</w:t>
            </w:r>
            <w:r>
              <w:rPr>
                <w:rFonts w:hint="default" w:ascii="Times New Roman" w:hAnsi="Times New Roman" w:eastAsia="宋体" w:cs="Times New Roman"/>
                <w:spacing w:val="-6"/>
                <w:kern w:val="21"/>
                <w:sz w:val="18"/>
                <w:szCs w:val="18"/>
              </w:rPr>
              <w:t>%</w:t>
            </w:r>
          </w:p>
        </w:tc>
        <w:tc>
          <w:tcPr>
            <w:tcW w:w="718"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lang w:val="en-US" w:eastAsia="zh-CN"/>
              </w:rPr>
            </w:pPr>
            <w:r>
              <w:rPr>
                <w:rFonts w:hint="eastAsia" w:ascii="Times New Roman" w:eastAsia="宋体" w:cs="Times New Roman"/>
                <w:spacing w:val="-6"/>
                <w:kern w:val="21"/>
                <w:sz w:val="18"/>
                <w:szCs w:val="18"/>
                <w:lang w:val="en-US" w:eastAsia="zh-CN"/>
              </w:rPr>
              <w:t>8.37</w:t>
            </w:r>
          </w:p>
        </w:tc>
        <w:tc>
          <w:tcPr>
            <w:tcW w:w="675"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宋体" w:cs="Times New Roman"/>
                <w:spacing w:val="-6"/>
                <w:kern w:val="21"/>
                <w:sz w:val="18"/>
                <w:szCs w:val="18"/>
              </w:rPr>
            </w:pPr>
            <w:r>
              <w:rPr>
                <w:rFonts w:hint="eastAsia" w:ascii="Times New Roman" w:eastAsia="宋体" w:cs="Times New Roman"/>
                <w:color w:val="000000"/>
                <w:spacing w:val="-6"/>
                <w:kern w:val="21"/>
                <w:sz w:val="18"/>
                <w:szCs w:val="18"/>
                <w:lang w:val="en-US" w:eastAsia="zh-CN"/>
              </w:rPr>
              <w:t>83.7</w:t>
            </w:r>
            <w:r>
              <w:rPr>
                <w:rFonts w:hint="default" w:ascii="Times New Roman" w:hAnsi="Times New Roman" w:eastAsia="宋体" w:cs="Times New Roman"/>
                <w:color w:val="000000"/>
                <w:spacing w:val="-6"/>
                <w:kern w:val="21"/>
                <w:sz w:val="18"/>
                <w:szCs w:val="18"/>
              </w:rPr>
              <w:t>%</w:t>
            </w:r>
          </w:p>
        </w:tc>
        <w:tc>
          <w:tcPr>
            <w:tcW w:w="1392" w:type="dxa"/>
            <w:vAlign w:val="center"/>
          </w:tcPr>
          <w:p>
            <w:pPr>
              <w:pStyle w:val="24"/>
              <w:keepNext w:val="0"/>
              <w:keepLines w:val="0"/>
              <w:pageBreakBefore w:val="0"/>
              <w:widowControl w:val="0"/>
              <w:kinsoku/>
              <w:wordWrap/>
              <w:overflowPunct/>
              <w:topLinePunct w:val="0"/>
              <w:autoSpaceDE w:val="0"/>
              <w:autoSpaceDN w:val="0"/>
              <w:bidi w:val="0"/>
              <w:adjustRightInd w:val="0"/>
              <w:snapToGrid/>
              <w:spacing w:line="230" w:lineRule="exact"/>
              <w:jc w:val="center"/>
              <w:textAlignment w:val="auto"/>
              <w:rPr>
                <w:rFonts w:hint="default" w:ascii="Times New Roman" w:hAnsi="Times New Roman" w:eastAsia="宋体" w:cs="Times New Roman"/>
                <w:spacing w:val="-6"/>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5" w:type="dxa"/>
            <w:vMerge w:val="continue"/>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2903" w:type="dxa"/>
            <w:vAlign w:val="center"/>
          </w:tcPr>
          <w:p>
            <w:pPr>
              <w:widowControl/>
              <w:spacing w:line="320" w:lineRule="exact"/>
              <w:jc w:val="center"/>
              <w:textAlignment w:val="center"/>
              <w:rPr>
                <w:rFonts w:hint="default" w:ascii="Times New Roman" w:hAnsi="Times New Roman" w:cs="Times New Roman"/>
                <w:spacing w:val="-6"/>
                <w:kern w:val="21"/>
                <w:sz w:val="18"/>
                <w:szCs w:val="18"/>
              </w:rPr>
            </w:pPr>
            <w:r>
              <w:rPr>
                <w:rFonts w:hint="eastAsia" w:ascii="Times New Roman" w:hAnsi="Times New Roman" w:cs="Times New Roman"/>
                <w:color w:val="000000"/>
                <w:kern w:val="0"/>
                <w:sz w:val="18"/>
                <w:szCs w:val="18"/>
                <w:lang w:eastAsia="zh-CN"/>
              </w:rPr>
              <w:t>招商引资工作经费</w:t>
            </w:r>
          </w:p>
        </w:tc>
        <w:tc>
          <w:tcPr>
            <w:tcW w:w="782"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黑体" w:cs="Times New Roman"/>
                <w:spacing w:val="-6"/>
                <w:kern w:val="21"/>
                <w:sz w:val="18"/>
                <w:szCs w:val="18"/>
                <w:lang w:val="en-US" w:eastAsia="zh-CN"/>
              </w:rPr>
            </w:pPr>
            <w:r>
              <w:rPr>
                <w:rFonts w:hint="eastAsia" w:ascii="Times New Roman" w:cs="Times New Roman"/>
                <w:spacing w:val="-6"/>
                <w:kern w:val="21"/>
                <w:sz w:val="18"/>
                <w:szCs w:val="18"/>
                <w:lang w:val="en-US" w:eastAsia="zh-CN"/>
              </w:rPr>
              <w:t>2.5</w:t>
            </w:r>
          </w:p>
        </w:tc>
        <w:tc>
          <w:tcPr>
            <w:tcW w:w="686"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717"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815"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654" w:type="dxa"/>
            <w:vAlign w:val="center"/>
          </w:tcPr>
          <w:p>
            <w:pPr>
              <w:pStyle w:val="24"/>
              <w:keepNext w:val="0"/>
              <w:keepLines w:val="0"/>
              <w:pageBreakBefore w:val="0"/>
              <w:kinsoku/>
              <w:wordWrap/>
              <w:overflowPunct/>
              <w:topLinePunct w:val="0"/>
              <w:bidi w:val="0"/>
              <w:snapToGrid/>
              <w:spacing w:line="230" w:lineRule="exact"/>
              <w:jc w:val="both"/>
              <w:rPr>
                <w:rFonts w:hint="default" w:ascii="Times New Roman" w:hAnsi="Times New Roman" w:cs="Times New Roman"/>
                <w:spacing w:val="-6"/>
                <w:kern w:val="21"/>
                <w:sz w:val="18"/>
                <w:szCs w:val="18"/>
              </w:rPr>
            </w:pPr>
          </w:p>
        </w:tc>
        <w:tc>
          <w:tcPr>
            <w:tcW w:w="718"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675"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1392" w:type="dxa"/>
            <w:vAlign w:val="center"/>
          </w:tcPr>
          <w:p>
            <w:pPr>
              <w:pStyle w:val="24"/>
              <w:keepNext w:val="0"/>
              <w:keepLines w:val="0"/>
              <w:pageBreakBefore w:val="0"/>
              <w:widowControl w:val="0"/>
              <w:kinsoku/>
              <w:wordWrap/>
              <w:overflowPunct/>
              <w:topLinePunct w:val="0"/>
              <w:autoSpaceDE w:val="0"/>
              <w:autoSpaceDN w:val="0"/>
              <w:bidi w:val="0"/>
              <w:adjustRightInd w:val="0"/>
              <w:snapToGrid/>
              <w:spacing w:line="230" w:lineRule="exact"/>
              <w:jc w:val="center"/>
              <w:textAlignment w:val="auto"/>
              <w:rPr>
                <w:rFonts w:hint="default" w:ascii="Times New Roman" w:hAnsi="Times New Roman" w:eastAsia="宋体" w:cs="Times New Roman"/>
                <w:color w:val="000000"/>
                <w:spacing w:val="-6"/>
                <w:kern w:val="21"/>
                <w:sz w:val="18"/>
                <w:szCs w:val="18"/>
                <w:lang w:val="en-US" w:eastAsia="zh-CN" w:bidi="ar-SA"/>
              </w:rPr>
            </w:pPr>
            <w:r>
              <w:rPr>
                <w:rFonts w:hint="eastAsia" w:ascii="Times New Roman" w:eastAsia="宋体" w:cs="Times New Roman"/>
                <w:color w:val="000000"/>
                <w:spacing w:val="-6"/>
                <w:kern w:val="21"/>
                <w:sz w:val="18"/>
                <w:szCs w:val="18"/>
                <w:lang w:val="en-US" w:eastAsia="zh-CN" w:bidi="ar-SA"/>
              </w:rPr>
              <w:t>受疫情影响，12月支付2.5万元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5" w:type="dxa"/>
            <w:vMerge w:val="continue"/>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2903" w:type="dxa"/>
            <w:vAlign w:val="center"/>
          </w:tcPr>
          <w:p>
            <w:pPr>
              <w:widowControl/>
              <w:spacing w:line="320" w:lineRule="exact"/>
              <w:jc w:val="center"/>
              <w:textAlignment w:val="center"/>
              <w:rPr>
                <w:rFonts w:hint="default" w:ascii="Times New Roman" w:hAnsi="Times New Roman" w:cs="Times New Roman"/>
                <w:spacing w:val="-11"/>
                <w:kern w:val="21"/>
                <w:sz w:val="18"/>
                <w:szCs w:val="18"/>
              </w:rPr>
            </w:pPr>
            <w:r>
              <w:rPr>
                <w:rFonts w:hint="eastAsia" w:ascii="Times New Roman" w:hAnsi="Times New Roman" w:cs="Times New Roman"/>
                <w:color w:val="000000"/>
                <w:kern w:val="0"/>
                <w:sz w:val="18"/>
                <w:szCs w:val="18"/>
                <w:lang w:eastAsia="zh-CN"/>
              </w:rPr>
              <w:t>虎跳亭子湖岸垃圾整治</w:t>
            </w:r>
          </w:p>
        </w:tc>
        <w:tc>
          <w:tcPr>
            <w:tcW w:w="782"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黑体" w:cs="Times New Roman"/>
                <w:spacing w:val="-6"/>
                <w:kern w:val="21"/>
                <w:sz w:val="18"/>
                <w:szCs w:val="18"/>
                <w:lang w:val="en-US" w:eastAsia="zh-CN"/>
              </w:rPr>
            </w:pPr>
            <w:r>
              <w:rPr>
                <w:rFonts w:hint="eastAsia" w:ascii="Times New Roman" w:cs="Times New Roman"/>
                <w:spacing w:val="-6"/>
                <w:kern w:val="21"/>
                <w:sz w:val="18"/>
                <w:szCs w:val="18"/>
                <w:lang w:val="en-US" w:eastAsia="zh-CN"/>
              </w:rPr>
              <w:t>16</w:t>
            </w:r>
          </w:p>
        </w:tc>
        <w:tc>
          <w:tcPr>
            <w:tcW w:w="686"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717"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815" w:type="dxa"/>
            <w:vAlign w:val="center"/>
          </w:tcPr>
          <w:p>
            <w:pPr>
              <w:pStyle w:val="24"/>
              <w:keepNext w:val="0"/>
              <w:keepLines w:val="0"/>
              <w:pageBreakBefore w:val="0"/>
              <w:kinsoku/>
              <w:wordWrap/>
              <w:overflowPunct/>
              <w:topLinePunct w:val="0"/>
              <w:bidi w:val="0"/>
              <w:snapToGrid/>
              <w:spacing w:line="230" w:lineRule="exact"/>
              <w:jc w:val="center"/>
              <w:rPr>
                <w:rFonts w:hint="eastAsia" w:ascii="Times New Roman" w:hAnsi="Times New Roman" w:eastAsia="黑体" w:cs="Times New Roman"/>
                <w:spacing w:val="-6"/>
                <w:kern w:val="21"/>
                <w:sz w:val="18"/>
                <w:szCs w:val="18"/>
                <w:lang w:val="en-US" w:eastAsia="zh-CN"/>
              </w:rPr>
            </w:pPr>
            <w:r>
              <w:rPr>
                <w:rFonts w:hint="eastAsia" w:ascii="Times New Roman" w:cs="Times New Roman"/>
                <w:spacing w:val="-6"/>
                <w:kern w:val="21"/>
                <w:sz w:val="18"/>
                <w:szCs w:val="18"/>
                <w:lang w:val="en-US" w:eastAsia="zh-CN"/>
              </w:rPr>
              <w:t>6</w:t>
            </w:r>
          </w:p>
        </w:tc>
        <w:tc>
          <w:tcPr>
            <w:tcW w:w="654"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r>
              <w:rPr>
                <w:rFonts w:hint="eastAsia" w:ascii="Times New Roman" w:eastAsia="宋体" w:cs="Times New Roman"/>
                <w:spacing w:val="-6"/>
                <w:kern w:val="21"/>
                <w:sz w:val="18"/>
                <w:szCs w:val="18"/>
                <w:lang w:val="en-US" w:eastAsia="zh-CN"/>
              </w:rPr>
              <w:t>37.5</w:t>
            </w:r>
            <w:r>
              <w:rPr>
                <w:rFonts w:hint="default" w:ascii="Times New Roman" w:hAnsi="Times New Roman" w:eastAsia="宋体" w:cs="Times New Roman"/>
                <w:spacing w:val="-6"/>
                <w:kern w:val="21"/>
                <w:sz w:val="18"/>
                <w:szCs w:val="18"/>
              </w:rPr>
              <w:t>%</w:t>
            </w:r>
          </w:p>
        </w:tc>
        <w:tc>
          <w:tcPr>
            <w:tcW w:w="718"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675"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1392" w:type="dxa"/>
            <w:vAlign w:val="center"/>
          </w:tcPr>
          <w:p>
            <w:pPr>
              <w:pStyle w:val="24"/>
              <w:keepNext w:val="0"/>
              <w:keepLines w:val="0"/>
              <w:pageBreakBefore w:val="0"/>
              <w:widowControl w:val="0"/>
              <w:kinsoku/>
              <w:wordWrap/>
              <w:overflowPunct/>
              <w:topLinePunct w:val="0"/>
              <w:autoSpaceDE w:val="0"/>
              <w:autoSpaceDN w:val="0"/>
              <w:bidi w:val="0"/>
              <w:adjustRightInd w:val="0"/>
              <w:snapToGrid/>
              <w:spacing w:line="230" w:lineRule="exact"/>
              <w:jc w:val="center"/>
              <w:textAlignment w:val="auto"/>
              <w:rPr>
                <w:rFonts w:hint="default" w:ascii="Times New Roman" w:hAnsi="Times New Roman" w:eastAsia="宋体" w:cs="Times New Roman"/>
                <w:color w:val="000000"/>
                <w:spacing w:val="-6"/>
                <w:kern w:val="21"/>
                <w:sz w:val="18"/>
                <w:szCs w:val="18"/>
                <w:lang w:val="en-US" w:eastAsia="zh-CN" w:bidi="ar-SA"/>
              </w:rPr>
            </w:pPr>
            <w:r>
              <w:rPr>
                <w:rFonts w:hint="eastAsia" w:ascii="Times New Roman" w:eastAsia="宋体" w:cs="Times New Roman"/>
                <w:color w:val="000000"/>
                <w:spacing w:val="-6"/>
                <w:kern w:val="21"/>
                <w:sz w:val="18"/>
                <w:szCs w:val="18"/>
                <w:lang w:val="en-US" w:eastAsia="zh-CN" w:bidi="ar-SA"/>
              </w:rPr>
              <w:t>属于7月追加项目</w:t>
            </w:r>
            <w:r>
              <w:rPr>
                <w:rFonts w:hint="default" w:ascii="Times New Roman" w:hAnsi="Times New Roman" w:eastAsia="宋体" w:cs="Times New Roman"/>
                <w:color w:val="000000"/>
                <w:spacing w:val="-6"/>
                <w:kern w:val="21"/>
                <w:sz w:val="18"/>
                <w:szCs w:val="18"/>
                <w:lang w:val="en-US" w:eastAsia="zh-CN" w:bidi="ar-SA"/>
              </w:rPr>
              <w:t>，</w:t>
            </w:r>
            <w:r>
              <w:rPr>
                <w:rFonts w:hint="eastAsia" w:ascii="Times New Roman" w:eastAsia="宋体" w:cs="Times New Roman"/>
                <w:color w:val="000000"/>
                <w:spacing w:val="-6"/>
                <w:kern w:val="21"/>
                <w:sz w:val="18"/>
                <w:szCs w:val="18"/>
                <w:lang w:val="en-US" w:eastAsia="zh-CN" w:bidi="ar-SA"/>
              </w:rPr>
              <w:t>按项目进度</w:t>
            </w:r>
            <w:r>
              <w:rPr>
                <w:rFonts w:hint="default" w:ascii="Times New Roman" w:hAnsi="Times New Roman" w:eastAsia="宋体" w:cs="Times New Roman"/>
                <w:color w:val="000000"/>
                <w:spacing w:val="-6"/>
                <w:kern w:val="21"/>
                <w:sz w:val="18"/>
                <w:szCs w:val="18"/>
                <w:lang w:val="en-US" w:eastAsia="zh-CN" w:bidi="ar-SA"/>
              </w:rPr>
              <w:t>12月</w:t>
            </w:r>
            <w:r>
              <w:rPr>
                <w:rFonts w:hint="eastAsia" w:ascii="Times New Roman" w:eastAsia="宋体" w:cs="Times New Roman"/>
                <w:color w:val="000000"/>
                <w:spacing w:val="-6"/>
                <w:kern w:val="21"/>
                <w:sz w:val="18"/>
                <w:szCs w:val="18"/>
                <w:lang w:val="en-US" w:eastAsia="zh-CN" w:bidi="ar-SA"/>
              </w:rPr>
              <w:t xml:space="preserve">支付6万元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5" w:type="dxa"/>
            <w:vMerge w:val="continue"/>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2903" w:type="dxa"/>
            <w:vAlign w:val="center"/>
          </w:tcPr>
          <w:p>
            <w:pPr>
              <w:widowControl/>
              <w:spacing w:line="320" w:lineRule="exact"/>
              <w:jc w:val="center"/>
              <w:textAlignment w:val="center"/>
              <w:rPr>
                <w:rFonts w:hint="default" w:ascii="Times New Roman" w:hAnsi="Times New Roman" w:cs="Times New Roman"/>
                <w:spacing w:val="-11"/>
                <w:kern w:val="21"/>
                <w:sz w:val="18"/>
                <w:szCs w:val="18"/>
              </w:rPr>
            </w:pPr>
            <w:r>
              <w:rPr>
                <w:rFonts w:hint="default" w:ascii="Times New Roman" w:hAnsi="Times New Roman" w:eastAsia="宋体" w:cs="Times New Roman"/>
                <w:color w:val="000000"/>
                <w:kern w:val="0"/>
                <w:sz w:val="18"/>
                <w:szCs w:val="18"/>
              </w:rPr>
              <w:t>转移性项目：</w:t>
            </w:r>
            <w:r>
              <w:rPr>
                <w:rFonts w:hint="eastAsia" w:ascii="Times New Roman" w:hAnsi="Times New Roman" w:cs="Times New Roman"/>
                <w:color w:val="000000"/>
                <w:kern w:val="0"/>
                <w:sz w:val="18"/>
                <w:szCs w:val="18"/>
                <w:lang w:eastAsia="zh-CN"/>
              </w:rPr>
              <w:t>白龙湖亭子湖侵入性垃圾打捞应急处置奖补资金</w:t>
            </w:r>
          </w:p>
        </w:tc>
        <w:tc>
          <w:tcPr>
            <w:tcW w:w="782"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eastAsia="黑体" w:cs="Times New Roman"/>
                <w:spacing w:val="-6"/>
                <w:kern w:val="21"/>
                <w:sz w:val="18"/>
                <w:szCs w:val="18"/>
                <w:lang w:val="en-US" w:eastAsia="zh-CN"/>
              </w:rPr>
            </w:pPr>
            <w:r>
              <w:rPr>
                <w:rFonts w:hint="eastAsia" w:ascii="Times New Roman" w:cs="Times New Roman"/>
                <w:spacing w:val="-6"/>
                <w:kern w:val="21"/>
                <w:sz w:val="18"/>
                <w:szCs w:val="18"/>
                <w:lang w:val="en-US" w:eastAsia="zh-CN"/>
              </w:rPr>
              <w:t>10</w:t>
            </w:r>
          </w:p>
        </w:tc>
        <w:tc>
          <w:tcPr>
            <w:tcW w:w="686"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717"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815"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654"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718"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675" w:type="dxa"/>
            <w:vAlign w:val="center"/>
          </w:tcPr>
          <w:p>
            <w:pPr>
              <w:pStyle w:val="24"/>
              <w:keepNext w:val="0"/>
              <w:keepLines w:val="0"/>
              <w:pageBreakBefore w:val="0"/>
              <w:kinsoku/>
              <w:wordWrap/>
              <w:overflowPunct/>
              <w:topLinePunct w:val="0"/>
              <w:bidi w:val="0"/>
              <w:snapToGrid/>
              <w:spacing w:line="230" w:lineRule="exact"/>
              <w:jc w:val="center"/>
              <w:rPr>
                <w:rFonts w:hint="default" w:ascii="Times New Roman" w:hAnsi="Times New Roman" w:cs="Times New Roman"/>
                <w:spacing w:val="-6"/>
                <w:kern w:val="21"/>
                <w:sz w:val="18"/>
                <w:szCs w:val="18"/>
              </w:rPr>
            </w:pPr>
          </w:p>
        </w:tc>
        <w:tc>
          <w:tcPr>
            <w:tcW w:w="1392" w:type="dxa"/>
            <w:vAlign w:val="center"/>
          </w:tcPr>
          <w:p>
            <w:pPr>
              <w:pStyle w:val="24"/>
              <w:keepNext w:val="0"/>
              <w:keepLines w:val="0"/>
              <w:pageBreakBefore w:val="0"/>
              <w:widowControl w:val="0"/>
              <w:kinsoku/>
              <w:wordWrap/>
              <w:overflowPunct/>
              <w:topLinePunct w:val="0"/>
              <w:autoSpaceDE w:val="0"/>
              <w:autoSpaceDN w:val="0"/>
              <w:bidi w:val="0"/>
              <w:adjustRightInd w:val="0"/>
              <w:snapToGrid/>
              <w:spacing w:line="230" w:lineRule="exact"/>
              <w:jc w:val="center"/>
              <w:textAlignment w:val="auto"/>
              <w:rPr>
                <w:rFonts w:hint="default" w:ascii="Times New Roman" w:hAnsi="Times New Roman" w:eastAsia="宋体" w:cs="Times New Roman"/>
                <w:color w:val="000000"/>
                <w:spacing w:val="-6"/>
                <w:kern w:val="21"/>
                <w:sz w:val="18"/>
                <w:szCs w:val="18"/>
                <w:lang w:val="en-US" w:eastAsia="zh-CN" w:bidi="ar-SA"/>
              </w:rPr>
            </w:pPr>
            <w:r>
              <w:rPr>
                <w:rFonts w:hint="eastAsia" w:ascii="Times New Roman" w:eastAsia="宋体" w:cs="Times New Roman"/>
                <w:color w:val="000000"/>
                <w:spacing w:val="-6"/>
                <w:kern w:val="21"/>
                <w:sz w:val="18"/>
                <w:szCs w:val="18"/>
                <w:lang w:val="en-US" w:eastAsia="zh-CN" w:bidi="ar-SA"/>
              </w:rPr>
              <w:t>属于9月追加项目</w:t>
            </w:r>
            <w:r>
              <w:rPr>
                <w:rFonts w:hint="default" w:ascii="Times New Roman" w:hAnsi="Times New Roman" w:eastAsia="宋体" w:cs="Times New Roman"/>
                <w:color w:val="000000"/>
                <w:spacing w:val="-6"/>
                <w:kern w:val="21"/>
                <w:sz w:val="18"/>
                <w:szCs w:val="18"/>
                <w:lang w:val="en-US" w:eastAsia="zh-CN" w:bidi="ar-SA"/>
              </w:rPr>
              <w:t>，</w:t>
            </w:r>
            <w:r>
              <w:rPr>
                <w:rFonts w:hint="eastAsia" w:ascii="Times New Roman" w:eastAsia="宋体" w:cs="Times New Roman"/>
                <w:color w:val="000000"/>
                <w:spacing w:val="-6"/>
                <w:kern w:val="21"/>
                <w:sz w:val="18"/>
                <w:szCs w:val="18"/>
                <w:lang w:val="en-US" w:eastAsia="zh-CN" w:bidi="ar-SA"/>
              </w:rPr>
              <w:t>按项目进度</w:t>
            </w:r>
            <w:r>
              <w:rPr>
                <w:rFonts w:hint="default" w:ascii="Times New Roman" w:hAnsi="Times New Roman" w:eastAsia="宋体" w:cs="Times New Roman"/>
                <w:color w:val="000000"/>
                <w:spacing w:val="-6"/>
                <w:kern w:val="21"/>
                <w:sz w:val="18"/>
                <w:szCs w:val="18"/>
                <w:lang w:val="en-US" w:eastAsia="zh-CN" w:bidi="ar-SA"/>
              </w:rPr>
              <w:t>12月</w:t>
            </w:r>
            <w:r>
              <w:rPr>
                <w:rFonts w:hint="eastAsia" w:ascii="Times New Roman" w:eastAsia="宋体" w:cs="Times New Roman"/>
                <w:color w:val="000000"/>
                <w:spacing w:val="-6"/>
                <w:kern w:val="21"/>
                <w:sz w:val="18"/>
                <w:szCs w:val="18"/>
                <w:lang w:val="en-US" w:eastAsia="zh-CN" w:bidi="ar-SA"/>
              </w:rPr>
              <w:t>支付10万元</w:t>
            </w:r>
          </w:p>
        </w:tc>
      </w:tr>
    </w:tbl>
    <w:p>
      <w:pPr>
        <w:spacing w:line="576" w:lineRule="exact"/>
        <w:ind w:firstLine="640" w:firstLineChars="200"/>
        <w:rPr>
          <w:rFonts w:hint="default" w:ascii="Times New Roman" w:hAnsi="Times New Roman" w:eastAsia="仿宋_GB2312" w:cs="Times New Roman"/>
          <w:color w:val="000000"/>
          <w:sz w:val="32"/>
          <w:szCs w:val="32"/>
          <w:shd w:val="clear" w:color="auto" w:fill="FFFFFF"/>
          <w:lang w:val="en-US"/>
        </w:rPr>
      </w:pPr>
      <w:r>
        <w:rPr>
          <w:rFonts w:hint="default" w:ascii="Times New Roman" w:hAnsi="Times New Roman" w:eastAsia="仿宋_GB2312" w:cs="Times New Roman"/>
          <w:color w:val="000000"/>
          <w:sz w:val="32"/>
          <w:szCs w:val="32"/>
          <w:shd w:val="clear" w:color="auto" w:fill="FFFFFF"/>
        </w:rPr>
        <w:t>如上表，</w:t>
      </w:r>
      <w:r>
        <w:rPr>
          <w:rFonts w:hint="eastAsia" w:ascii="Times New Roman" w:hAnsi="Times New Roman" w:eastAsia="仿宋_GB2312" w:cs="Times New Roman"/>
          <w:color w:val="000000"/>
          <w:sz w:val="32"/>
          <w:szCs w:val="32"/>
          <w:shd w:val="clear" w:color="auto" w:fill="FFFFFF"/>
          <w:lang w:eastAsia="zh-CN"/>
        </w:rPr>
        <w:t>人员类、公用经费类和其它运转类支出执行率较好，招商引资由于受疫情影响，执行进度较慢，以及年度追加项目按项目进度拨付。</w:t>
      </w:r>
      <w:r>
        <w:rPr>
          <w:rFonts w:hint="eastAsia" w:ascii="Times New Roman" w:hAnsi="Times New Roman" w:eastAsia="仿宋_GB2312" w:cs="Times New Roman"/>
          <w:color w:val="000000"/>
          <w:sz w:val="32"/>
          <w:szCs w:val="32"/>
          <w:shd w:val="clear" w:color="auto" w:fill="FFFFFF"/>
          <w:lang w:val="en-US" w:eastAsia="zh-CN"/>
        </w:rPr>
        <w:t xml:space="preserve"> </w:t>
      </w:r>
    </w:p>
    <w:p>
      <w:pPr>
        <w:spacing w:line="576" w:lineRule="exact"/>
        <w:ind w:firstLine="643" w:firstLineChars="200"/>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6.预算完成情况</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2022年本单位预算收入执行总额为</w:t>
      </w:r>
      <w:r>
        <w:rPr>
          <w:rFonts w:hint="eastAsia" w:ascii="Times New Roman" w:hAnsi="Times New Roman" w:eastAsia="仿宋_GB2312" w:cs="Times New Roman"/>
          <w:sz w:val="32"/>
          <w:szCs w:val="32"/>
          <w:lang w:val="en-US" w:eastAsia="zh-CN"/>
        </w:rPr>
        <w:t>117.23</w:t>
      </w:r>
      <w:r>
        <w:rPr>
          <w:rFonts w:hint="default" w:ascii="Times New Roman" w:hAnsi="Times New Roman" w:eastAsia="仿宋_GB2312" w:cs="Times New Roman"/>
          <w:sz w:val="32"/>
          <w:szCs w:val="32"/>
        </w:rPr>
        <w:t>万元，其中：当年财政拨款收入</w:t>
      </w:r>
      <w:r>
        <w:rPr>
          <w:rFonts w:hint="eastAsia" w:ascii="Times New Roman" w:hAnsi="Times New Roman" w:eastAsia="仿宋_GB2312" w:cs="Times New Roman"/>
          <w:sz w:val="32"/>
          <w:szCs w:val="32"/>
          <w:lang w:val="en-US" w:eastAsia="zh-CN"/>
        </w:rPr>
        <w:t>117.23</w:t>
      </w:r>
      <w:r>
        <w:rPr>
          <w:rFonts w:hint="default" w:ascii="Times New Roman" w:hAnsi="Times New Roman" w:eastAsia="仿宋_GB2312" w:cs="Times New Roman"/>
          <w:sz w:val="32"/>
          <w:szCs w:val="32"/>
        </w:rPr>
        <w:t>万元，事业收入0万元，其他收入0万元，上年结转收入0万元；2022年本单位预算支出执行总额为</w:t>
      </w:r>
      <w:r>
        <w:rPr>
          <w:rFonts w:hint="eastAsia" w:ascii="Times New Roman" w:hAnsi="Times New Roman" w:eastAsia="仿宋_GB2312" w:cs="Times New Roman"/>
          <w:sz w:val="32"/>
          <w:szCs w:val="32"/>
          <w:lang w:val="en-US" w:eastAsia="zh-CN"/>
        </w:rPr>
        <w:t>117.23</w:t>
      </w:r>
      <w:r>
        <w:rPr>
          <w:rFonts w:hint="default" w:ascii="Times New Roman" w:hAnsi="Times New Roman" w:eastAsia="仿宋_GB2312" w:cs="Times New Roman"/>
          <w:sz w:val="32"/>
          <w:szCs w:val="32"/>
        </w:rPr>
        <w:t>万元，其中：当年一般公共预算财政拨款支出</w:t>
      </w:r>
      <w:r>
        <w:rPr>
          <w:rFonts w:hint="eastAsia" w:ascii="Times New Roman" w:hAnsi="Times New Roman" w:eastAsia="仿宋_GB2312" w:cs="Times New Roman"/>
          <w:sz w:val="32"/>
          <w:szCs w:val="32"/>
          <w:lang w:val="en-US" w:eastAsia="zh-CN"/>
        </w:rPr>
        <w:t>117.23</w:t>
      </w:r>
      <w:r>
        <w:rPr>
          <w:rFonts w:hint="default" w:ascii="Times New Roman" w:hAnsi="Times New Roman" w:eastAsia="仿宋_GB2312" w:cs="Times New Roman"/>
          <w:sz w:val="32"/>
          <w:szCs w:val="32"/>
        </w:rPr>
        <w:t>万元,政府性基金预算财政拨款支出为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万元，上年结转0万元。</w:t>
      </w:r>
    </w:p>
    <w:p>
      <w:pPr>
        <w:spacing w:line="576" w:lineRule="exact"/>
        <w:ind w:firstLine="643" w:firstLineChars="200"/>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7.资金结余</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2022年度我单位预算金额为</w:t>
      </w:r>
      <w:r>
        <w:rPr>
          <w:rFonts w:hint="eastAsia" w:ascii="Times New Roman" w:hAnsi="Times New Roman" w:eastAsia="仿宋_GB2312" w:cs="Times New Roman"/>
          <w:sz w:val="32"/>
          <w:szCs w:val="32"/>
          <w:lang w:val="en-US" w:eastAsia="zh-CN"/>
        </w:rPr>
        <w:t>117.23</w:t>
      </w:r>
      <w:r>
        <w:rPr>
          <w:rFonts w:hint="default" w:ascii="Times New Roman" w:hAnsi="Times New Roman" w:eastAsia="仿宋_GB2312" w:cs="Times New Roman"/>
          <w:sz w:val="32"/>
          <w:szCs w:val="32"/>
        </w:rPr>
        <w:t>万元，预算执行金额为</w:t>
      </w:r>
      <w:r>
        <w:rPr>
          <w:rFonts w:hint="eastAsia" w:ascii="Times New Roman" w:hAnsi="Times New Roman" w:eastAsia="仿宋_GB2312" w:cs="Times New Roman"/>
          <w:sz w:val="32"/>
          <w:szCs w:val="32"/>
          <w:lang w:val="en-US" w:eastAsia="zh-CN"/>
        </w:rPr>
        <w:t>117.23</w:t>
      </w:r>
      <w:r>
        <w:rPr>
          <w:rFonts w:hint="default" w:ascii="Times New Roman" w:hAnsi="Times New Roman" w:eastAsia="仿宋_GB2312" w:cs="Times New Roman"/>
          <w:sz w:val="32"/>
          <w:szCs w:val="32"/>
        </w:rPr>
        <w:t>万元，指标结转金额为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万元，资金结余率为0。</w:t>
      </w:r>
    </w:p>
    <w:p>
      <w:pPr>
        <w:spacing w:line="576" w:lineRule="exact"/>
        <w:ind w:firstLine="643" w:firstLineChars="200"/>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8.违规记录</w:t>
      </w:r>
    </w:p>
    <w:p>
      <w:pPr>
        <w:spacing w:line="576" w:lineRule="exact"/>
        <w:ind w:firstLine="640" w:firstLineChars="200"/>
        <w:rPr>
          <w:rFonts w:hint="eastAsia" w:ascii="仿宋_GB2312" w:hAnsi="仿宋_GB2312" w:eastAsia="仿宋_GB2312" w:cs="仿宋_GB2312"/>
          <w:b/>
          <w:bCs/>
          <w:color w:val="auto"/>
          <w:sz w:val="32"/>
          <w:szCs w:val="32"/>
          <w:highlight w:val="none"/>
          <w:lang w:val="en-US" w:eastAsia="zh-CN"/>
        </w:rPr>
      </w:pPr>
      <w:r>
        <w:rPr>
          <w:rFonts w:hint="eastAsia" w:ascii="Times New Roman" w:hAnsi="Times New Roman" w:eastAsia="仿宋_GB2312" w:cs="Times New Roman"/>
          <w:sz w:val="32"/>
          <w:szCs w:val="32"/>
          <w:lang w:eastAsia="zh-CN"/>
        </w:rPr>
        <w:t>本年度无违规情况发生</w:t>
      </w:r>
      <w:r>
        <w:rPr>
          <w:rFonts w:hint="default" w:ascii="Times New Roman" w:hAnsi="Times New Roman" w:eastAsia="仿宋_GB2312" w:cs="Times New Roman"/>
          <w:sz w:val="32"/>
          <w:szCs w:val="32"/>
        </w:rPr>
        <w:t>。</w:t>
      </w:r>
    </w:p>
    <w:p>
      <w:pPr>
        <w:pStyle w:val="32"/>
        <w:numPr>
          <w:ilvl w:val="0"/>
          <w:numId w:val="0"/>
        </w:numPr>
        <w:spacing w:line="576"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（二）结果运用公开情况</w:t>
      </w:r>
    </w:p>
    <w:p>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1.内部应用：</w:t>
      </w:r>
      <w:r>
        <w:rPr>
          <w:rFonts w:hint="default" w:ascii="Times New Roman" w:hAnsi="Times New Roman" w:eastAsia="仿宋_GB2312" w:cs="Times New Roman"/>
          <w:sz w:val="32"/>
          <w:szCs w:val="32"/>
        </w:rPr>
        <w:t>我</w:t>
      </w:r>
      <w:r>
        <w:rPr>
          <w:rFonts w:hint="eastAsia"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rPr>
        <w:t>将预算绩效工作纳入部门年度考核并制定《广元市昭化区</w:t>
      </w:r>
      <w:r>
        <w:rPr>
          <w:rFonts w:hint="eastAsia" w:ascii="Times New Roman" w:hAnsi="Times New Roman" w:eastAsia="仿宋_GB2312" w:cs="Times New Roman"/>
          <w:sz w:val="32"/>
          <w:szCs w:val="32"/>
          <w:lang w:eastAsia="zh-CN"/>
        </w:rPr>
        <w:t>亭子湖景区保护与发展中心</w:t>
      </w:r>
      <w:r>
        <w:rPr>
          <w:rFonts w:hint="default" w:ascii="Times New Roman" w:hAnsi="Times New Roman" w:eastAsia="仿宋_GB2312" w:cs="Times New Roman"/>
          <w:sz w:val="32"/>
          <w:szCs w:val="32"/>
        </w:rPr>
        <w:t>预算绩效管理</w:t>
      </w:r>
      <w:r>
        <w:rPr>
          <w:rFonts w:hint="eastAsia" w:ascii="Times New Roman" w:hAnsi="Times New Roman" w:eastAsia="仿宋_GB2312" w:cs="Times New Roman"/>
          <w:sz w:val="32"/>
          <w:szCs w:val="32"/>
          <w:lang w:eastAsia="zh-CN"/>
        </w:rPr>
        <w:t>工作考核</w:t>
      </w:r>
      <w:r>
        <w:rPr>
          <w:rFonts w:hint="default" w:ascii="Times New Roman" w:hAnsi="Times New Roman" w:eastAsia="仿宋_GB2312" w:cs="Times New Roman"/>
          <w:sz w:val="32"/>
          <w:szCs w:val="32"/>
        </w:rPr>
        <w:t>办法》，根据单位年度总体绩效目标，成立了预算绩效管理工作领导小组，做好事前绩效评估、事中绩效监控、事后绩效评价。</w:t>
      </w:r>
    </w:p>
    <w:p>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2.自评公开：</w:t>
      </w:r>
      <w:r>
        <w:rPr>
          <w:rFonts w:hint="default" w:ascii="Times New Roman" w:hAnsi="Times New Roman" w:eastAsia="仿宋_GB2312" w:cs="Times New Roman"/>
          <w:sz w:val="32"/>
          <w:szCs w:val="32"/>
        </w:rPr>
        <w:t>按照区财政统一安排，我</w:t>
      </w:r>
      <w:r>
        <w:rPr>
          <w:rFonts w:hint="eastAsia"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rPr>
        <w:t>按照时间节点要求准确真实的编报了单位预决算，并将相关绩效信息随同预决算在政府门户网站进行了公开。</w:t>
      </w:r>
    </w:p>
    <w:p>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3.问题整改：</w:t>
      </w:r>
      <w:r>
        <w:rPr>
          <w:rFonts w:hint="default" w:ascii="Times New Roman" w:hAnsi="Times New Roman" w:eastAsia="仿宋_GB2312" w:cs="Times New Roman"/>
          <w:sz w:val="32"/>
          <w:szCs w:val="32"/>
        </w:rPr>
        <w:t>认真开展预算绩效目标自评，完成</w:t>
      </w:r>
      <w:r>
        <w:rPr>
          <w:rFonts w:hint="eastAsia" w:ascii="Times New Roman" w:hAnsi="Times New Roman" w:eastAsia="仿宋_GB2312" w:cs="Times New Roman"/>
          <w:sz w:val="32"/>
          <w:szCs w:val="32"/>
          <w:lang w:eastAsia="zh-CN"/>
        </w:rPr>
        <w:t>招商引资、亭子湖景区保护和管理</w:t>
      </w:r>
      <w:r>
        <w:rPr>
          <w:rFonts w:hint="default" w:ascii="Times New Roman" w:hAnsi="Times New Roman" w:eastAsia="仿宋_GB2312" w:cs="Times New Roman"/>
          <w:sz w:val="32"/>
          <w:szCs w:val="32"/>
        </w:rPr>
        <w:t>等</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个项目支出绩效评价问题整改及自评。</w:t>
      </w:r>
    </w:p>
    <w:p>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4.应用反馈：</w:t>
      </w:r>
      <w:r>
        <w:rPr>
          <w:rFonts w:hint="default" w:ascii="Times New Roman" w:hAnsi="Times New Roman" w:eastAsia="仿宋_GB2312" w:cs="Times New Roman"/>
          <w:sz w:val="32"/>
          <w:szCs w:val="32"/>
        </w:rPr>
        <w:t>全年认真开展了2022年度财政预算绩效运行监控：1个部门整体支出绩效运行监控，</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个项目预算绩效运行监控。目前单位绩效目标设置合理规范，绩效管理高效有序，绩效运行监督机制运行流畅。</w:t>
      </w:r>
    </w:p>
    <w:p>
      <w:pPr>
        <w:spacing w:line="57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（三）自评质量</w:t>
      </w:r>
    </w:p>
    <w:p>
      <w:pPr>
        <w:spacing w:line="576"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2022年我单位部门整体支出绩效评价自查自评结果良好，全年</w:t>
      </w:r>
      <w:r>
        <w:rPr>
          <w:rFonts w:hint="default" w:ascii="Times New Roman" w:hAnsi="Times New Roman" w:eastAsia="仿宋_GB2312" w:cs="Times New Roman"/>
          <w:sz w:val="32"/>
          <w:szCs w:val="32"/>
        </w:rPr>
        <w:t>严格按照预算要求进行开支，支出对象明确，支出原因充分合理，总体使用效率高，保证了部门业务的正常开展，</w:t>
      </w:r>
      <w:r>
        <w:rPr>
          <w:rFonts w:hint="default" w:ascii="Times New Roman" w:hAnsi="Times New Roman" w:eastAsia="仿宋_GB2312" w:cs="Times New Roman"/>
          <w:color w:val="000000"/>
          <w:sz w:val="32"/>
          <w:szCs w:val="32"/>
          <w:shd w:val="clear" w:color="auto" w:fill="FFFFFF"/>
        </w:rPr>
        <w:t>达到预期绩效目标。</w:t>
      </w:r>
    </w:p>
    <w:p>
      <w:pPr>
        <w:spacing w:line="576" w:lineRule="exact"/>
        <w:ind w:firstLine="640"/>
        <w:rPr>
          <w:rFonts w:ascii="Times New Roman" w:hAnsi="Times New Roman" w:eastAsia="黑体"/>
          <w:bCs/>
          <w:sz w:val="32"/>
          <w:szCs w:val="32"/>
        </w:rPr>
      </w:pPr>
      <w:r>
        <w:rPr>
          <w:rFonts w:hint="eastAsia" w:ascii="Times New Roman" w:hAnsi="Times New Roman" w:eastAsia="仿宋_GB2312"/>
          <w:sz w:val="32"/>
          <w:szCs w:val="32"/>
          <w:lang w:val="en-US" w:eastAsia="zh-CN"/>
        </w:rPr>
        <w:t xml:space="preserve"> </w:t>
      </w:r>
      <w:r>
        <w:rPr>
          <w:rFonts w:hint="eastAsia" w:ascii="Times New Roman" w:hAnsi="黑体" w:eastAsia="黑体"/>
          <w:bCs/>
          <w:sz w:val="32"/>
          <w:szCs w:val="32"/>
          <w:lang w:eastAsia="zh-CN"/>
        </w:rPr>
        <w:t>四</w:t>
      </w:r>
      <w:r>
        <w:rPr>
          <w:rFonts w:ascii="Times New Roman" w:hAnsi="黑体" w:eastAsia="黑体"/>
          <w:bCs/>
          <w:sz w:val="32"/>
          <w:szCs w:val="32"/>
        </w:rPr>
        <w:t>、评价结论及建议</w:t>
      </w:r>
    </w:p>
    <w:p>
      <w:pPr>
        <w:spacing w:line="576" w:lineRule="exact"/>
        <w:ind w:firstLine="640"/>
        <w:rPr>
          <w:rFonts w:hint="eastAsia" w:ascii="Times New Roman" w:hAnsi="Times New Roman" w:eastAsia="楷体"/>
          <w:bCs/>
          <w:sz w:val="32"/>
          <w:szCs w:val="32"/>
          <w:lang w:eastAsia="zh-CN"/>
        </w:rPr>
      </w:pPr>
      <w:r>
        <w:rPr>
          <w:rFonts w:ascii="Times New Roman" w:hAnsi="楷体" w:eastAsia="楷体"/>
          <w:sz w:val="32"/>
          <w:szCs w:val="32"/>
        </w:rPr>
        <w:t>（一）</w:t>
      </w:r>
      <w:r>
        <w:rPr>
          <w:rFonts w:hint="eastAsia" w:ascii="Times New Roman" w:hAnsi="楷体" w:eastAsia="楷体"/>
          <w:sz w:val="32"/>
          <w:szCs w:val="32"/>
          <w:lang w:eastAsia="zh-CN"/>
        </w:rPr>
        <w:t>自评结论</w:t>
      </w:r>
    </w:p>
    <w:p>
      <w:pPr>
        <w:adjustRightInd w:val="0"/>
        <w:snapToGrid w:val="0"/>
        <w:spacing w:line="576" w:lineRule="exact"/>
        <w:ind w:firstLine="720"/>
        <w:rPr>
          <w:rFonts w:ascii="Times New Roman" w:hAnsi="Times New Roman" w:eastAsia="仿宋_GB2312"/>
          <w:sz w:val="32"/>
          <w:szCs w:val="32"/>
        </w:rPr>
      </w:pPr>
      <w:r>
        <w:rPr>
          <w:rFonts w:ascii="Times New Roman" w:hAnsi="Times New Roman" w:eastAsia="仿宋_GB2312"/>
          <w:b w:val="0"/>
          <w:bCs w:val="0"/>
          <w:sz w:val="32"/>
          <w:szCs w:val="32"/>
        </w:rPr>
        <w:t>20</w:t>
      </w:r>
      <w:r>
        <w:rPr>
          <w:rFonts w:hint="eastAsia" w:ascii="Times New Roman" w:hAnsi="Times New Roman" w:eastAsia="仿宋_GB2312"/>
          <w:b w:val="0"/>
          <w:bCs w:val="0"/>
          <w:sz w:val="32"/>
          <w:szCs w:val="32"/>
          <w:lang w:val="en-US" w:eastAsia="zh-CN"/>
        </w:rPr>
        <w:t>22</w:t>
      </w:r>
      <w:r>
        <w:rPr>
          <w:rFonts w:ascii="Times New Roman" w:hAnsi="Times New Roman" w:eastAsia="仿宋_GB2312"/>
          <w:sz w:val="32"/>
          <w:szCs w:val="32"/>
        </w:rPr>
        <w:t>年</w:t>
      </w:r>
      <w:r>
        <w:rPr>
          <w:rFonts w:hint="eastAsia" w:ascii="Times New Roman" w:hAnsi="Times New Roman" w:eastAsia="仿宋_GB2312"/>
          <w:sz w:val="32"/>
          <w:szCs w:val="32"/>
          <w:lang w:eastAsia="zh-CN"/>
        </w:rPr>
        <w:t>部门整体</w:t>
      </w:r>
      <w:r>
        <w:rPr>
          <w:rFonts w:ascii="Times New Roman" w:hAnsi="Times New Roman" w:eastAsia="仿宋_GB2312"/>
          <w:sz w:val="32"/>
          <w:szCs w:val="32"/>
        </w:rPr>
        <w:t>支出基本符合国家财经法规和财务管理制度规定，资金的拨付有完整的审批过程和手续，支出基本符合部门预算批复的用途，资金使用无截留、挤占、挪用、虚列支出等情况，绩效目标在</w:t>
      </w:r>
      <w:r>
        <w:rPr>
          <w:rFonts w:hint="eastAsia" w:ascii="Times New Roman" w:hAnsi="Times New Roman" w:eastAsia="仿宋_GB2312"/>
          <w:sz w:val="32"/>
          <w:szCs w:val="32"/>
          <w:lang w:eastAsia="zh-CN"/>
        </w:rPr>
        <w:t>本年度</w:t>
      </w:r>
      <w:r>
        <w:rPr>
          <w:rFonts w:ascii="Times New Roman" w:hAnsi="Times New Roman" w:eastAsia="仿宋_GB2312"/>
          <w:sz w:val="32"/>
          <w:szCs w:val="32"/>
        </w:rPr>
        <w:t>基本完成，在保障机关运转、履行职能职责上整体情况良好。</w:t>
      </w:r>
      <w:r>
        <w:rPr>
          <w:rFonts w:hint="eastAsia" w:ascii="Times New Roman" w:hAnsi="Times New Roman" w:eastAsia="仿宋_GB2312"/>
          <w:sz w:val="32"/>
          <w:szCs w:val="32"/>
          <w:lang w:eastAsia="zh-CN"/>
        </w:rPr>
        <w:t>我中心</w:t>
      </w:r>
      <w:r>
        <w:rPr>
          <w:rFonts w:hint="eastAsia" w:ascii="仿宋" w:hAnsi="仿宋" w:eastAsia="仿宋" w:cs="仿宋"/>
          <w:sz w:val="32"/>
          <w:szCs w:val="32"/>
          <w:lang w:eastAsia="zh-CN"/>
        </w:rPr>
        <w:t>按照</w:t>
      </w: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广元市昭化区人民政府办公室关于印发</w:t>
      </w:r>
      <w:r>
        <w:rPr>
          <w:rFonts w:hint="eastAsia" w:ascii="仿宋" w:hAnsi="仿宋" w:eastAsia="仿宋" w:cs="仿宋"/>
          <w:kern w:val="0"/>
          <w:sz w:val="32"/>
          <w:szCs w:val="32"/>
          <w:lang w:eastAsia="zh-CN"/>
        </w:rPr>
        <w:t>&lt;广元市昭化区财政支出事后绩效评价管理办法&gt;的通知</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（昭府办函〔</w:t>
      </w:r>
      <w:r>
        <w:rPr>
          <w:rFonts w:hint="eastAsia" w:ascii="仿宋" w:hAnsi="仿宋" w:eastAsia="仿宋" w:cs="仿宋"/>
          <w:kern w:val="0"/>
          <w:sz w:val="32"/>
          <w:szCs w:val="32"/>
          <w:lang w:val="en-US" w:eastAsia="zh-CN"/>
        </w:rPr>
        <w:t>2022</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37号</w:t>
      </w:r>
      <w:r>
        <w:rPr>
          <w:rFonts w:hint="eastAsia" w:ascii="仿宋" w:hAnsi="仿宋" w:eastAsia="仿宋" w:cs="仿宋"/>
          <w:kern w:val="0"/>
          <w:sz w:val="32"/>
          <w:szCs w:val="32"/>
          <w:lang w:eastAsia="zh-CN"/>
        </w:rPr>
        <w:t>）绩效</w:t>
      </w:r>
      <w:r>
        <w:rPr>
          <w:rFonts w:hint="eastAsia" w:ascii="仿宋" w:hAnsi="仿宋" w:eastAsia="仿宋" w:cs="仿宋"/>
          <w:sz w:val="32"/>
          <w:szCs w:val="32"/>
        </w:rPr>
        <w:t>评价</w:t>
      </w:r>
      <w:r>
        <w:rPr>
          <w:rFonts w:hint="eastAsia" w:ascii="仿宋" w:hAnsi="仿宋" w:eastAsia="仿宋" w:cs="仿宋"/>
          <w:sz w:val="32"/>
          <w:szCs w:val="32"/>
          <w:lang w:eastAsia="zh-CN"/>
        </w:rPr>
        <w:t>指标体系开展绩效评价。自评得分为</w:t>
      </w:r>
      <w:r>
        <w:rPr>
          <w:rFonts w:hint="eastAsia" w:ascii="仿宋" w:hAnsi="仿宋" w:eastAsia="仿宋" w:cs="仿宋"/>
          <w:sz w:val="32"/>
          <w:szCs w:val="32"/>
          <w:lang w:val="en-US" w:eastAsia="zh-CN"/>
        </w:rPr>
        <w:t>95分</w:t>
      </w:r>
      <w:r>
        <w:rPr>
          <w:rFonts w:ascii="Times New Roman" w:hAnsi="Times New Roman" w:eastAsia="仿宋_GB2312"/>
          <w:sz w:val="32"/>
          <w:szCs w:val="32"/>
        </w:rPr>
        <w:t xml:space="preserve">。 </w:t>
      </w:r>
    </w:p>
    <w:p>
      <w:pPr>
        <w:spacing w:line="576" w:lineRule="exact"/>
        <w:ind w:firstLine="640"/>
        <w:rPr>
          <w:rFonts w:ascii="Times New Roman" w:hAnsi="Times New Roman" w:eastAsia="楷体"/>
          <w:sz w:val="32"/>
          <w:szCs w:val="32"/>
        </w:rPr>
      </w:pPr>
      <w:r>
        <w:rPr>
          <w:rFonts w:ascii="Times New Roman" w:hAnsi="楷体" w:eastAsia="楷体"/>
          <w:sz w:val="32"/>
          <w:szCs w:val="32"/>
        </w:rPr>
        <w:t>（二）存在问题</w:t>
      </w:r>
    </w:p>
    <w:p>
      <w:pPr>
        <w:spacing w:line="576" w:lineRule="exact"/>
        <w:ind w:firstLine="640" w:firstLineChars="200"/>
        <w:rPr>
          <w:rFonts w:hint="default" w:ascii="Times New Roman" w:hAnsi="Times New Roman" w:eastAsia="仿宋_GB2312" w:cs="Times New Roman"/>
          <w:color w:val="000000"/>
          <w:sz w:val="32"/>
          <w:szCs w:val="32"/>
          <w:shd w:val="clear" w:color="auto" w:fill="FFFFFF"/>
        </w:rPr>
      </w:pPr>
      <w:r>
        <w:rPr>
          <w:rFonts w:hint="eastAsia" w:ascii="Times New Roman" w:hAnsi="Times New Roman" w:eastAsia="仿宋_GB2312"/>
          <w:sz w:val="32"/>
          <w:szCs w:val="32"/>
          <w:lang w:val="en-US" w:eastAsia="zh-CN"/>
        </w:rPr>
        <w:t>1.业务人员</w:t>
      </w:r>
      <w:r>
        <w:rPr>
          <w:rFonts w:ascii="Times New Roman" w:hAnsi="Times New Roman" w:eastAsia="仿宋_GB2312"/>
          <w:sz w:val="32"/>
          <w:szCs w:val="32"/>
        </w:rPr>
        <w:t>在预算编制过程中与</w:t>
      </w:r>
      <w:r>
        <w:rPr>
          <w:rFonts w:hint="eastAsia" w:ascii="Times New Roman" w:hAnsi="Times New Roman" w:eastAsia="仿宋_GB2312"/>
          <w:sz w:val="32"/>
          <w:szCs w:val="32"/>
          <w:lang w:eastAsia="zh-CN"/>
        </w:rPr>
        <w:t>其它</w:t>
      </w:r>
      <w:r>
        <w:rPr>
          <w:rFonts w:ascii="Times New Roman" w:hAnsi="Times New Roman" w:eastAsia="仿宋_GB2312"/>
          <w:sz w:val="32"/>
          <w:szCs w:val="32"/>
        </w:rPr>
        <w:t>业务股沟通不够，</w:t>
      </w:r>
      <w:r>
        <w:rPr>
          <w:rFonts w:hint="eastAsia" w:ascii="Times New Roman" w:hAnsi="Times New Roman" w:eastAsia="仿宋_GB2312"/>
          <w:sz w:val="32"/>
          <w:szCs w:val="32"/>
          <w:lang w:eastAsia="zh-CN"/>
        </w:rPr>
        <w:t>导致</w:t>
      </w:r>
      <w:r>
        <w:rPr>
          <w:rFonts w:hint="default" w:ascii="Times New Roman" w:hAnsi="Times New Roman" w:eastAsia="仿宋_GB2312" w:cs="Times New Roman"/>
          <w:sz w:val="32"/>
          <w:szCs w:val="32"/>
        </w:rPr>
        <w:t>预算编制测算不够精确，编制依据和测算深度不够，缺乏一定的科学性，</w:t>
      </w:r>
      <w:r>
        <w:rPr>
          <w:rFonts w:hint="default" w:ascii="Times New Roman" w:hAnsi="Times New Roman" w:eastAsia="仿宋_GB2312" w:cs="Times New Roman"/>
          <w:color w:val="000000"/>
          <w:sz w:val="32"/>
          <w:szCs w:val="32"/>
          <w:shd w:val="clear" w:color="auto" w:fill="FFFFFF"/>
        </w:rPr>
        <w:t>预算编制精准度有待提高。</w:t>
      </w:r>
    </w:p>
    <w:p>
      <w:pPr>
        <w:snapToGrid w:val="0"/>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2.个别项目推进缓慢，从而导致预算执行率不高。</w:t>
      </w:r>
    </w:p>
    <w:p>
      <w:pPr>
        <w:spacing w:line="576" w:lineRule="exact"/>
        <w:ind w:firstLine="640"/>
        <w:rPr>
          <w:rFonts w:ascii="Times New Roman" w:hAnsi="Times New Roman" w:eastAsia="楷体"/>
          <w:sz w:val="32"/>
          <w:szCs w:val="32"/>
        </w:rPr>
      </w:pPr>
      <w:r>
        <w:rPr>
          <w:rFonts w:ascii="Times New Roman" w:hAnsi="楷体" w:eastAsia="楷体"/>
          <w:sz w:val="32"/>
          <w:szCs w:val="32"/>
        </w:rPr>
        <w:t>（三）改进建议</w:t>
      </w:r>
    </w:p>
    <w:p>
      <w:pPr>
        <w:snapToGrid w:val="0"/>
        <w:spacing w:line="576" w:lineRule="exact"/>
        <w:ind w:firstLine="640" w:firstLineChars="200"/>
        <w:rPr>
          <w:rFonts w:hint="eastAsia" w:ascii="Times New Roman" w:hAnsi="Times New Roman" w:eastAsia="仿宋_GB2312"/>
          <w:sz w:val="32"/>
          <w:szCs w:val="32"/>
          <w:lang w:val="en-US" w:eastAsia="zh-CN"/>
        </w:rPr>
      </w:pPr>
      <w:r>
        <w:rPr>
          <w:rFonts w:hint="default" w:ascii="Times New Roman" w:hAnsi="Times New Roman" w:eastAsia="仿宋_GB2312" w:cs="Times New Roman"/>
          <w:color w:val="000000"/>
          <w:sz w:val="32"/>
          <w:szCs w:val="32"/>
          <w:shd w:val="clear" w:color="auto" w:fill="FFFFFF"/>
        </w:rPr>
        <w:t>针对问题，我</w:t>
      </w:r>
      <w:r>
        <w:rPr>
          <w:rFonts w:hint="eastAsia" w:ascii="Times New Roman" w:hAnsi="Times New Roman" w:eastAsia="仿宋_GB2312" w:cs="Times New Roman"/>
          <w:color w:val="000000"/>
          <w:sz w:val="32"/>
          <w:szCs w:val="32"/>
          <w:shd w:val="clear" w:color="auto" w:fill="FFFFFF"/>
          <w:lang w:eastAsia="zh-CN"/>
        </w:rPr>
        <w:t>中心</w:t>
      </w:r>
      <w:r>
        <w:rPr>
          <w:rFonts w:hint="default" w:ascii="Times New Roman" w:hAnsi="Times New Roman" w:eastAsia="仿宋_GB2312" w:cs="Times New Roman"/>
          <w:color w:val="000000"/>
          <w:sz w:val="32"/>
          <w:szCs w:val="32"/>
          <w:shd w:val="clear" w:color="auto" w:fill="FFFFFF"/>
        </w:rPr>
        <w:t>将进一步</w:t>
      </w:r>
      <w:r>
        <w:rPr>
          <w:rFonts w:hint="eastAsia" w:ascii="Times New Roman" w:hAnsi="Times New Roman" w:eastAsia="仿宋_GB2312" w:cs="Times New Roman"/>
          <w:color w:val="000000"/>
          <w:sz w:val="32"/>
          <w:szCs w:val="32"/>
          <w:shd w:val="clear" w:color="auto" w:fill="FFFFFF"/>
          <w:lang w:eastAsia="zh-CN"/>
        </w:rPr>
        <w:t>加强各股沟通，</w:t>
      </w:r>
      <w:r>
        <w:rPr>
          <w:rFonts w:ascii="Times New Roman" w:hAnsi="Times New Roman" w:eastAsia="仿宋_GB2312"/>
          <w:sz w:val="32"/>
          <w:szCs w:val="32"/>
        </w:rPr>
        <w:t>提高预算编制</w:t>
      </w:r>
      <w:r>
        <w:rPr>
          <w:rFonts w:hint="eastAsia" w:ascii="Times New Roman" w:hAnsi="Times New Roman" w:eastAsia="仿宋_GB2312"/>
          <w:sz w:val="32"/>
          <w:szCs w:val="32"/>
          <w:lang w:eastAsia="zh-CN"/>
        </w:rPr>
        <w:t>和绩效编制</w:t>
      </w:r>
      <w:r>
        <w:rPr>
          <w:rFonts w:ascii="Times New Roman" w:hAnsi="Times New Roman" w:eastAsia="仿宋_GB2312"/>
          <w:sz w:val="32"/>
          <w:szCs w:val="32"/>
        </w:rPr>
        <w:t>的科学化精细化水平</w:t>
      </w:r>
      <w:r>
        <w:rPr>
          <w:rFonts w:hint="default"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eastAsia="zh-CN"/>
        </w:rPr>
        <w:t>有力推进项目实施，</w:t>
      </w:r>
      <w:r>
        <w:rPr>
          <w:rFonts w:hint="default" w:ascii="Times New Roman" w:hAnsi="Times New Roman" w:eastAsia="仿宋_GB2312" w:cs="Times New Roman"/>
          <w:color w:val="000000"/>
          <w:sz w:val="32"/>
          <w:szCs w:val="32"/>
          <w:shd w:val="clear" w:color="auto" w:fill="FFFFFF"/>
        </w:rPr>
        <w:t>切实提高预算编制</w:t>
      </w:r>
      <w:r>
        <w:rPr>
          <w:rFonts w:hint="eastAsia" w:ascii="Times New Roman" w:hAnsi="Times New Roman" w:eastAsia="仿宋_GB2312" w:cs="Times New Roman"/>
          <w:color w:val="000000"/>
          <w:sz w:val="32"/>
          <w:szCs w:val="32"/>
          <w:shd w:val="clear" w:color="auto" w:fill="FFFFFF"/>
          <w:lang w:eastAsia="zh-CN"/>
        </w:rPr>
        <w:t>和</w:t>
      </w:r>
      <w:r>
        <w:rPr>
          <w:rFonts w:hint="default" w:ascii="Times New Roman" w:hAnsi="Times New Roman" w:eastAsia="仿宋_GB2312" w:cs="Times New Roman"/>
          <w:color w:val="000000"/>
          <w:sz w:val="32"/>
          <w:szCs w:val="32"/>
          <w:shd w:val="clear" w:color="auto" w:fill="FFFFFF"/>
        </w:rPr>
        <w:t>预算执行的一致性。</w:t>
      </w:r>
      <w:r>
        <w:rPr>
          <w:rFonts w:hint="default" w:ascii="Times New Roman" w:hAnsi="Times New Roman" w:eastAsia="仿宋_GB2312" w:cs="Times New Roman"/>
          <w:sz w:val="32"/>
          <w:szCs w:val="32"/>
        </w:rPr>
        <w:t>建议财政进一步加强预算绩效工作系统化培训，提高从事该项工作人员理论知识水平和业务能力</w:t>
      </w:r>
      <w:r>
        <w:rPr>
          <w:rFonts w:hint="eastAsia" w:ascii="Times New Roman" w:hAnsi="Times New Roman" w:eastAsia="仿宋_GB2312" w:cs="Times New Roman"/>
          <w:sz w:val="32"/>
          <w:szCs w:val="32"/>
          <w:lang w:eastAsia="zh-CN"/>
        </w:rPr>
        <w:t>。</w:t>
      </w:r>
    </w:p>
    <w:p>
      <w:pPr>
        <w:spacing w:line="500" w:lineRule="exact"/>
        <w:jc w:val="left"/>
        <w:rPr>
          <w:rFonts w:hint="default" w:ascii="Times New Roman" w:hAnsi="Times New Roman" w:eastAsia="黑体" w:cs="Times New Roman"/>
          <w:sz w:val="32"/>
          <w:szCs w:val="32"/>
        </w:rPr>
      </w:pPr>
    </w:p>
    <w:p>
      <w:pPr>
        <w:spacing w:line="500" w:lineRule="exact"/>
        <w:jc w:val="left"/>
        <w:rPr>
          <w:rFonts w:hint="default" w:ascii="Times New Roman" w:hAnsi="Times New Roman" w:eastAsia="黑体" w:cs="Times New Roman"/>
          <w:sz w:val="32"/>
          <w:szCs w:val="32"/>
        </w:rPr>
      </w:pPr>
    </w:p>
    <w:p>
      <w:pPr>
        <w:spacing w:line="500" w:lineRule="exact"/>
        <w:jc w:val="left"/>
        <w:rPr>
          <w:rFonts w:hint="default" w:ascii="Times New Roman" w:hAnsi="Times New Roman" w:eastAsia="黑体" w:cs="Times New Roman"/>
          <w:sz w:val="32"/>
          <w:szCs w:val="32"/>
        </w:rPr>
      </w:pPr>
    </w:p>
    <w:p>
      <w:pPr>
        <w:spacing w:line="500" w:lineRule="exact"/>
        <w:jc w:val="left"/>
        <w:rPr>
          <w:rFonts w:hint="default" w:ascii="Times New Roman" w:hAnsi="Times New Roman" w:eastAsia="黑体" w:cs="Times New Roman"/>
          <w:sz w:val="32"/>
          <w:szCs w:val="32"/>
        </w:rPr>
      </w:pPr>
    </w:p>
    <w:p>
      <w:pPr>
        <w:spacing w:line="500" w:lineRule="exact"/>
        <w:jc w:val="left"/>
        <w:rPr>
          <w:rFonts w:hint="default" w:ascii="Times New Roman" w:hAnsi="Times New Roman" w:eastAsia="黑体" w:cs="Times New Roman"/>
          <w:sz w:val="32"/>
          <w:szCs w:val="32"/>
        </w:rPr>
      </w:pPr>
    </w:p>
    <w:p>
      <w:pPr>
        <w:spacing w:line="500" w:lineRule="exact"/>
        <w:jc w:val="left"/>
        <w:rPr>
          <w:rFonts w:hint="default" w:ascii="Times New Roman" w:hAnsi="Times New Roman" w:eastAsia="黑体" w:cs="Times New Roman"/>
          <w:sz w:val="32"/>
          <w:szCs w:val="32"/>
        </w:rPr>
      </w:pPr>
    </w:p>
    <w:p>
      <w:pPr>
        <w:spacing w:line="500" w:lineRule="exact"/>
        <w:jc w:val="left"/>
        <w:rPr>
          <w:rFonts w:hint="default" w:ascii="Times New Roman" w:hAnsi="Times New Roman" w:eastAsia="黑体" w:cs="Times New Roman"/>
          <w:sz w:val="32"/>
          <w:szCs w:val="32"/>
        </w:rPr>
      </w:pPr>
    </w:p>
    <w:p>
      <w:pPr>
        <w:spacing w:line="500" w:lineRule="exact"/>
        <w:jc w:val="left"/>
        <w:rPr>
          <w:rFonts w:hint="default" w:ascii="Times New Roman" w:hAnsi="Times New Roman" w:eastAsia="黑体" w:cs="Times New Roman"/>
          <w:sz w:val="32"/>
          <w:szCs w:val="32"/>
        </w:rPr>
      </w:pPr>
    </w:p>
    <w:p>
      <w:pPr>
        <w:spacing w:line="500" w:lineRule="exact"/>
        <w:jc w:val="left"/>
        <w:rPr>
          <w:rFonts w:hint="default" w:ascii="Times New Roman" w:hAnsi="Times New Roman" w:eastAsia="黑体" w:cs="Times New Roman"/>
          <w:sz w:val="32"/>
          <w:szCs w:val="32"/>
        </w:rPr>
      </w:pPr>
    </w:p>
    <w:p>
      <w:pPr>
        <w:spacing w:line="500" w:lineRule="exact"/>
        <w:jc w:val="left"/>
        <w:rPr>
          <w:rFonts w:hint="default" w:ascii="Times New Roman" w:hAnsi="Times New Roman" w:eastAsia="黑体" w:cs="Times New Roman"/>
          <w:sz w:val="32"/>
          <w:szCs w:val="32"/>
        </w:rPr>
      </w:pPr>
    </w:p>
    <w:p>
      <w:pPr>
        <w:spacing w:line="500" w:lineRule="exact"/>
        <w:jc w:val="left"/>
        <w:rPr>
          <w:rFonts w:hint="default" w:ascii="Times New Roman" w:hAnsi="Times New Roman" w:eastAsia="黑体" w:cs="Times New Roman"/>
          <w:sz w:val="32"/>
          <w:szCs w:val="32"/>
        </w:rPr>
      </w:pPr>
    </w:p>
    <w:p>
      <w:pPr>
        <w:spacing w:line="500" w:lineRule="exact"/>
        <w:jc w:val="left"/>
        <w:rPr>
          <w:rFonts w:hint="default" w:ascii="Times New Roman" w:hAnsi="Times New Roman" w:eastAsia="黑体" w:cs="Times New Roman"/>
          <w:sz w:val="32"/>
          <w:szCs w:val="32"/>
        </w:rPr>
      </w:pPr>
    </w:p>
    <w:p>
      <w:pPr>
        <w:spacing w:line="500" w:lineRule="exact"/>
        <w:jc w:val="left"/>
        <w:rPr>
          <w:rFonts w:hint="default" w:ascii="Times New Roman" w:hAnsi="Times New Roman" w:eastAsia="黑体" w:cs="Times New Roman"/>
          <w:sz w:val="32"/>
          <w:szCs w:val="32"/>
        </w:rPr>
      </w:pPr>
    </w:p>
    <w:p>
      <w:pPr>
        <w:spacing w:line="500" w:lineRule="exact"/>
        <w:jc w:val="lef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2</w:t>
      </w:r>
    </w:p>
    <w:p>
      <w:pPr>
        <w:pStyle w:val="24"/>
        <w:spacing w:line="550" w:lineRule="exact"/>
        <w:rPr>
          <w:rFonts w:hint="default" w:ascii="Times New Roman" w:hAnsi="Times New Roman" w:cs="Times New Roman"/>
          <w:color w:val="auto"/>
        </w:rPr>
      </w:pPr>
    </w:p>
    <w:p>
      <w:pPr>
        <w:spacing w:line="560" w:lineRule="exact"/>
        <w:jc w:val="center"/>
        <w:rPr>
          <w:rFonts w:hint="eastAsia" w:eastAsia="方正小标宋简体" w:cs="Times New Roman"/>
          <w:sz w:val="44"/>
          <w:szCs w:val="44"/>
          <w:lang w:eastAsia="zh-CN"/>
        </w:rPr>
      </w:pPr>
      <w:r>
        <w:rPr>
          <w:rFonts w:hint="default" w:ascii="Times New Roman" w:hAnsi="Times New Roman" w:eastAsia="方正小标宋简体" w:cs="Times New Roman"/>
          <w:sz w:val="44"/>
          <w:szCs w:val="44"/>
        </w:rPr>
        <w:t>2022年</w:t>
      </w:r>
      <w:r>
        <w:rPr>
          <w:rFonts w:hint="eastAsia" w:eastAsia="方正小标宋简体" w:cs="Times New Roman"/>
          <w:sz w:val="44"/>
          <w:szCs w:val="44"/>
          <w:lang w:eastAsia="zh-CN"/>
        </w:rPr>
        <w:t>招商引资工作经费等</w:t>
      </w:r>
      <w:r>
        <w:rPr>
          <w:rFonts w:hint="eastAsia" w:eastAsia="方正小标宋简体" w:cs="Times New Roman"/>
          <w:sz w:val="44"/>
          <w:szCs w:val="44"/>
          <w:lang w:val="en-US" w:eastAsia="zh-CN"/>
        </w:rPr>
        <w:t>4个</w:t>
      </w:r>
      <w:r>
        <w:rPr>
          <w:rFonts w:hint="eastAsia" w:eastAsia="方正小标宋简体" w:cs="Times New Roman"/>
          <w:sz w:val="44"/>
          <w:szCs w:val="44"/>
          <w:lang w:eastAsia="zh-CN"/>
        </w:rPr>
        <w:t>项目支出</w:t>
      </w:r>
    </w:p>
    <w:p>
      <w:pPr>
        <w:spacing w:line="560" w:lineRule="exact"/>
        <w:jc w:val="center"/>
        <w:rPr>
          <w:rFonts w:hint="default" w:ascii="Times New Roman" w:hAnsi="Times New Roman" w:eastAsia="方正小标宋简体" w:cs="Times New Roman"/>
          <w:sz w:val="44"/>
          <w:szCs w:val="44"/>
        </w:rPr>
      </w:pPr>
      <w:r>
        <w:rPr>
          <w:rFonts w:hint="eastAsia" w:eastAsia="方正小标宋简体" w:cs="Times New Roman"/>
          <w:sz w:val="44"/>
          <w:szCs w:val="44"/>
          <w:lang w:eastAsia="zh-CN"/>
        </w:rPr>
        <w:t>绩</w:t>
      </w:r>
      <w:r>
        <w:rPr>
          <w:rFonts w:hint="default" w:ascii="Times New Roman" w:hAnsi="Times New Roman" w:eastAsia="方正小标宋简体" w:cs="Times New Roman"/>
          <w:sz w:val="44"/>
          <w:szCs w:val="44"/>
        </w:rPr>
        <w:t>效自评报告</w:t>
      </w:r>
    </w:p>
    <w:p>
      <w:pPr>
        <w:spacing w:line="576" w:lineRule="exact"/>
        <w:ind w:firstLine="640" w:firstLineChars="200"/>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pacing w:line="550" w:lineRule="exact"/>
        <w:ind w:firstLine="640" w:firstLineChars="200"/>
        <w:textAlignment w:val="auto"/>
        <w:outlineLvl w:val="9"/>
        <w:rPr>
          <w:rFonts w:hint="eastAsia" w:ascii="黑体" w:hAnsi="黑体" w:eastAsia="黑体"/>
          <w:b w:val="0"/>
          <w:bCs/>
          <w:sz w:val="32"/>
          <w:szCs w:val="32"/>
        </w:rPr>
      </w:pPr>
      <w:r>
        <w:rPr>
          <w:rFonts w:hint="eastAsia" w:ascii="黑体" w:hAnsi="黑体" w:eastAsia="黑体"/>
          <w:b w:val="0"/>
          <w:bCs/>
          <w:sz w:val="32"/>
          <w:szCs w:val="32"/>
        </w:rPr>
        <w:t>一、项目概况</w:t>
      </w:r>
    </w:p>
    <w:p>
      <w:pPr>
        <w:keepNext w:val="0"/>
        <w:keepLines w:val="0"/>
        <w:pageBreakBefore w:val="0"/>
        <w:widowControl w:val="0"/>
        <w:kinsoku/>
        <w:overflowPunct/>
        <w:topLinePunct w:val="0"/>
        <w:autoSpaceDE/>
        <w:autoSpaceDN/>
        <w:bidi w:val="0"/>
        <w:adjustRightInd/>
        <w:spacing w:line="5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lang w:val="en-US" w:eastAsia="zh-CN"/>
        </w:rPr>
        <w:t>2022年年初预算的有招商引资工作经费和</w:t>
      </w:r>
      <w:r>
        <w:rPr>
          <w:rFonts w:hint="eastAsia" w:ascii="仿宋_GB2312" w:hAnsi="仿宋_GB2312" w:eastAsia="仿宋_GB2312" w:cs="仿宋_GB2312"/>
          <w:sz w:val="32"/>
          <w:szCs w:val="32"/>
          <w:lang w:eastAsia="zh-CN"/>
        </w:rPr>
        <w:t>亭子湖景区保护和管理</w:t>
      </w:r>
      <w:r>
        <w:rPr>
          <w:rFonts w:hint="eastAsia" w:ascii="仿宋_GB2312" w:hAnsi="仿宋_GB2312" w:eastAsia="仿宋_GB2312" w:cs="仿宋_GB2312"/>
          <w:sz w:val="32"/>
          <w:szCs w:val="32"/>
          <w:lang w:val="en-US" w:eastAsia="zh-CN"/>
        </w:rPr>
        <w:t>2个项目</w:t>
      </w:r>
      <w:r>
        <w:rPr>
          <w:rFonts w:hint="eastAsia" w:ascii="仿宋_GB2312" w:hAnsi="仿宋_GB2312" w:eastAsia="仿宋_GB2312" w:cs="仿宋_GB2312"/>
          <w:sz w:val="32"/>
          <w:szCs w:val="32"/>
          <w:lang w:eastAsia="zh-CN"/>
        </w:rPr>
        <w:t>，后期追加</w:t>
      </w:r>
      <w:r>
        <w:rPr>
          <w:rFonts w:hint="eastAsia" w:ascii="仿宋_GB2312" w:hAnsi="仿宋_GB2312" w:eastAsia="仿宋_GB2312" w:cs="仿宋_GB2312"/>
          <w:sz w:val="32"/>
          <w:szCs w:val="32"/>
          <w:lang w:val="en-US" w:eastAsia="zh-CN"/>
        </w:rPr>
        <w:t>虎跳亭子湖岸垃圾整治经费和白龙湖亭子湖侵入性垃圾打捞应急处置奖补资金项目。这些项目中除亭子湖景区保护和管理属于其他运转类项目，其余三个属于部门项目。以习近平新时代中国特色社会主义思想为指导，全面贯彻习近平生态文明思想，自觉践行“绿水青山就是金山银山”理念，全面推进亭子湖保护和发展各项工作。</w:t>
      </w:r>
    </w:p>
    <w:p>
      <w:pPr>
        <w:keepNext w:val="0"/>
        <w:keepLines w:val="0"/>
        <w:pageBreakBefore w:val="0"/>
        <w:widowControl w:val="0"/>
        <w:kinsoku/>
        <w:overflowPunct/>
        <w:topLinePunct w:val="0"/>
        <w:autoSpaceDE/>
        <w:autoSpaceDN/>
        <w:bidi w:val="0"/>
        <w:adjustRightInd/>
        <w:spacing w:line="550" w:lineRule="exact"/>
        <w:ind w:firstLine="640" w:firstLineChars="200"/>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（一）</w:t>
      </w:r>
      <w:r>
        <w:rPr>
          <w:rFonts w:hint="eastAsia" w:ascii="楷体" w:hAnsi="楷体" w:eastAsia="楷体" w:cs="楷体"/>
          <w:sz w:val="32"/>
          <w:szCs w:val="32"/>
        </w:rPr>
        <w:t>项目资金申报及批复情况。</w:t>
      </w:r>
      <w:r>
        <w:rPr>
          <w:rFonts w:hint="eastAsia" w:ascii="仿宋" w:hAnsi="仿宋" w:eastAsia="仿宋" w:cs="仿宋"/>
          <w:sz w:val="32"/>
          <w:szCs w:val="32"/>
          <w:lang w:eastAsia="zh-CN"/>
        </w:rPr>
        <w:t>该项目是</w:t>
      </w:r>
      <w:r>
        <w:rPr>
          <w:rFonts w:hint="eastAsia" w:ascii="仿宋" w:hAnsi="仿宋" w:eastAsia="仿宋" w:cs="仿宋"/>
          <w:sz w:val="32"/>
          <w:szCs w:val="32"/>
          <w:lang w:val="en-US" w:eastAsia="zh-CN"/>
        </w:rPr>
        <w:t>2022年</w:t>
      </w:r>
      <w:r>
        <w:rPr>
          <w:rFonts w:hint="eastAsia" w:ascii="仿宋_GB2312" w:hAnsi="仿宋_GB2312" w:eastAsia="仿宋_GB2312" w:cs="仿宋_GB2312"/>
          <w:sz w:val="32"/>
          <w:szCs w:val="32"/>
          <w:lang w:eastAsia="zh-CN"/>
        </w:rPr>
        <w:t>预算的项目</w:t>
      </w:r>
      <w:r>
        <w:rPr>
          <w:rFonts w:hint="eastAsia" w:ascii="仿宋_GB2312" w:hAnsi="仿宋_GB2312" w:eastAsia="仿宋_GB2312" w:cs="仿宋_GB2312"/>
          <w:sz w:val="32"/>
          <w:szCs w:val="32"/>
          <w:lang w:val="en-US" w:eastAsia="zh-CN"/>
        </w:rPr>
        <w:t>，该项目长期使用，有2022年预算批复为准。</w:t>
      </w:r>
    </w:p>
    <w:p>
      <w:pPr>
        <w:keepNext w:val="0"/>
        <w:keepLines w:val="0"/>
        <w:pageBreakBefore w:val="0"/>
        <w:widowControl w:val="0"/>
        <w:kinsoku/>
        <w:overflowPunct/>
        <w:topLinePunct w:val="0"/>
        <w:autoSpaceDE/>
        <w:autoSpaceDN/>
        <w:bidi w:val="0"/>
        <w:adjustRightInd/>
        <w:spacing w:line="550" w:lineRule="exact"/>
        <w:ind w:firstLine="64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（二）</w:t>
      </w:r>
      <w:r>
        <w:rPr>
          <w:rFonts w:hint="eastAsia" w:ascii="楷体" w:hAnsi="楷体" w:eastAsia="楷体" w:cs="楷体"/>
          <w:sz w:val="32"/>
          <w:szCs w:val="32"/>
        </w:rPr>
        <w:t>项目绩效目标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招商引资工作经费项目，</w:t>
      </w:r>
      <w:r>
        <w:rPr>
          <w:rFonts w:hint="eastAsia" w:ascii="仿宋_GB2312" w:hAnsi="仿宋_GB2312" w:eastAsia="仿宋_GB2312" w:cs="仿宋_GB2312"/>
          <w:color w:val="auto"/>
          <w:sz w:val="32"/>
          <w:szCs w:val="32"/>
          <w:lang w:eastAsia="zh-CN"/>
        </w:rPr>
        <w:t>通过制作招商手册开展亭子湖景区宣传和推介，招引企业投资，完成年度招商任务，严格控制预算，专款专用，使景区群众和企业满意率达到</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50" w:lineRule="exact"/>
        <w:ind w:firstLine="64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亭子湖景区保护和管理项目，通过定期安全和资源巡查，举办赛事，开展法律</w:t>
      </w:r>
      <w:bookmarkStart w:id="65" w:name="_GoBack"/>
      <w:bookmarkEnd w:id="65"/>
      <w:r>
        <w:rPr>
          <w:rFonts w:hint="eastAsia" w:ascii="仿宋_GB2312" w:hAnsi="仿宋_GB2312" w:eastAsia="仿宋_GB2312" w:cs="仿宋_GB2312"/>
          <w:sz w:val="32"/>
          <w:szCs w:val="32"/>
          <w:lang w:eastAsia="zh-CN"/>
        </w:rPr>
        <w:t>法规宣传，联合执法，确保景区无安全事故，水质长期保持</w:t>
      </w:r>
      <w:r>
        <w:rPr>
          <w:rFonts w:hint="eastAsia" w:ascii="宋体" w:hAnsi="宋体" w:eastAsia="宋体" w:cs="宋体"/>
          <w:sz w:val="32"/>
          <w:szCs w:val="32"/>
          <w:lang w:eastAsia="zh-CN"/>
        </w:rPr>
        <w:t>Ⅱ</w:t>
      </w:r>
      <w:r>
        <w:rPr>
          <w:rFonts w:hint="eastAsia" w:ascii="仿宋_GB2312" w:hAnsi="仿宋_GB2312" w:eastAsia="仿宋_GB2312" w:cs="仿宋_GB2312"/>
          <w:sz w:val="32"/>
          <w:szCs w:val="32"/>
          <w:lang w:eastAsia="zh-CN"/>
        </w:rPr>
        <w:t>类，严格控制预算，</w:t>
      </w:r>
      <w:r>
        <w:rPr>
          <w:rFonts w:hint="eastAsia" w:ascii="仿宋_GB2312" w:hAnsi="仿宋_GB2312" w:eastAsia="仿宋_GB2312" w:cs="仿宋_GB2312"/>
          <w:color w:val="auto"/>
          <w:sz w:val="32"/>
          <w:szCs w:val="32"/>
          <w:lang w:eastAsia="zh-CN"/>
        </w:rPr>
        <w:t>专款专用，使景区群众和镇满意率达到</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50" w:lineRule="exact"/>
        <w:ind w:firstLine="64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虎跳亭子湖岸垃圾整治项目，通过在虎跳亭子湖开展垃圾打捞、清运和处置，有效解决垃圾堆积问题，打造优美的亭子湖生态环境，严格控制预算，</w:t>
      </w:r>
      <w:r>
        <w:rPr>
          <w:rFonts w:hint="eastAsia" w:ascii="仿宋_GB2312" w:hAnsi="仿宋_GB2312" w:eastAsia="仿宋_GB2312" w:cs="仿宋_GB2312"/>
          <w:color w:val="auto"/>
          <w:sz w:val="32"/>
          <w:szCs w:val="32"/>
          <w:lang w:eastAsia="zh-CN"/>
        </w:rPr>
        <w:t>专款专用，使湖区群众和游客满意率达到</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50" w:lineRule="exact"/>
        <w:ind w:firstLine="64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val="en-US" w:eastAsia="zh-CN"/>
        </w:rPr>
        <w:t>白龙湖亭子湖侵入性垃圾打捞应急处置奖补资金项目，通过在亭子湖辖区内开展垃圾打捞、清运和处置，改善流域生态环境，持续推进流域治理，</w:t>
      </w:r>
      <w:r>
        <w:rPr>
          <w:rFonts w:hint="eastAsia" w:ascii="仿宋_GB2312" w:hAnsi="仿宋_GB2312" w:eastAsia="仿宋_GB2312" w:cs="仿宋_GB2312"/>
          <w:sz w:val="32"/>
          <w:szCs w:val="32"/>
          <w:lang w:eastAsia="zh-CN"/>
        </w:rPr>
        <w:t>严格控制预算，</w:t>
      </w:r>
      <w:r>
        <w:rPr>
          <w:rFonts w:hint="eastAsia" w:ascii="仿宋_GB2312" w:hAnsi="仿宋_GB2312" w:eastAsia="仿宋_GB2312" w:cs="仿宋_GB2312"/>
          <w:color w:val="auto"/>
          <w:sz w:val="32"/>
          <w:szCs w:val="32"/>
          <w:lang w:eastAsia="zh-CN"/>
        </w:rPr>
        <w:t>专款专用，使受益群众满意率达到</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5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楷体" w:hAnsi="楷体" w:eastAsia="楷体" w:cs="楷体"/>
          <w:sz w:val="32"/>
          <w:szCs w:val="32"/>
        </w:rPr>
        <w:t>项目资金申报相符性</w:t>
      </w:r>
      <w:r>
        <w:rPr>
          <w:rFonts w:hint="eastAsia" w:ascii="仿宋_GB2312" w:hAnsi="仿宋_GB2312" w:eastAsia="仿宋_GB2312" w:cs="仿宋_GB2312"/>
          <w:sz w:val="32"/>
          <w:szCs w:val="32"/>
        </w:rPr>
        <w:t>。资金申报</w:t>
      </w:r>
      <w:r>
        <w:rPr>
          <w:rFonts w:hint="eastAsia" w:ascii="仿宋_GB2312" w:hAnsi="仿宋_GB2312" w:eastAsia="仿宋_GB2312" w:cs="仿宋_GB2312"/>
          <w:sz w:val="32"/>
          <w:szCs w:val="32"/>
          <w:lang w:eastAsia="zh-CN"/>
        </w:rPr>
        <w:t>完全</w:t>
      </w:r>
      <w:r>
        <w:rPr>
          <w:rFonts w:hint="eastAsia" w:ascii="仿宋_GB2312" w:hAnsi="仿宋_GB2312" w:eastAsia="仿宋_GB2312" w:cs="仿宋_GB2312"/>
          <w:sz w:val="32"/>
          <w:szCs w:val="32"/>
        </w:rPr>
        <w:t>按照项目实施内容及年度内计划方案实施，资金申报合理，操作</w:t>
      </w:r>
      <w:r>
        <w:rPr>
          <w:rFonts w:hint="eastAsia" w:ascii="仿宋_GB2312" w:hAnsi="仿宋_GB2312" w:eastAsia="仿宋_GB2312" w:cs="仿宋_GB2312"/>
          <w:sz w:val="32"/>
          <w:szCs w:val="32"/>
          <w:lang w:eastAsia="zh-CN"/>
        </w:rPr>
        <w:t>性强，可行性高</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结合资金</w:t>
      </w:r>
      <w:r>
        <w:rPr>
          <w:rFonts w:hint="eastAsia" w:ascii="仿宋_GB2312" w:hAnsi="仿宋_GB2312" w:eastAsia="仿宋_GB2312" w:cs="仿宋_GB2312"/>
          <w:color w:val="auto"/>
          <w:sz w:val="32"/>
          <w:szCs w:val="32"/>
          <w:shd w:val="clear" w:color="auto" w:fill="auto"/>
          <w:lang w:eastAsia="zh-CN"/>
        </w:rPr>
        <w:t>性质及用途</w:t>
      </w:r>
      <w:r>
        <w:rPr>
          <w:rFonts w:hint="eastAsia" w:ascii="仿宋_GB2312" w:hAnsi="仿宋_GB2312" w:eastAsia="仿宋_GB2312" w:cs="仿宋_GB2312"/>
          <w:sz w:val="32"/>
          <w:szCs w:val="32"/>
        </w:rPr>
        <w:t>，有预见性、前瞻性</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开展工作，</w:t>
      </w:r>
      <w:r>
        <w:rPr>
          <w:rFonts w:hint="eastAsia" w:ascii="仿宋_GB2312" w:hAnsi="仿宋_GB2312" w:eastAsia="仿宋_GB2312" w:cs="仿宋_GB2312"/>
          <w:sz w:val="32"/>
          <w:szCs w:val="32"/>
          <w:lang w:eastAsia="zh-CN"/>
        </w:rPr>
        <w:t>有效发挥了资金效益。</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楷体" w:hAnsi="楷体" w:eastAsia="楷体" w:cs="楷体"/>
          <w:sz w:val="32"/>
          <w:szCs w:val="32"/>
          <w:lang w:eastAsia="zh-CN"/>
        </w:rPr>
        <w:t>）自评步骤及方法</w:t>
      </w:r>
      <w:r>
        <w:rPr>
          <w:rFonts w:hint="eastAsia" w:ascii="仿宋_GB2312" w:hAnsi="仿宋_GB2312" w:eastAsia="仿宋_GB2312" w:cs="仿宋_GB2312"/>
          <w:sz w:val="32"/>
          <w:szCs w:val="32"/>
          <w:lang w:eastAsia="zh-CN"/>
        </w:rPr>
        <w:t>。</w:t>
      </w:r>
    </w:p>
    <w:p>
      <w:pPr>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1.自评步骤：一是前期准备；二是组织人员实施；三是分析评价。</w:t>
      </w:r>
    </w:p>
    <w:p>
      <w:pPr>
        <w:spacing w:line="576" w:lineRule="exact"/>
        <w:ind w:firstLine="640" w:firstLineChars="200"/>
        <w:rPr>
          <w:rFonts w:hint="eastAsia"/>
          <w:lang w:eastAsia="zh-CN"/>
        </w:rPr>
      </w:pPr>
      <w:r>
        <w:rPr>
          <w:rFonts w:ascii="Times New Roman" w:hAnsi="Times New Roman" w:eastAsia="仿宋_GB2312"/>
          <w:kern w:val="0"/>
          <w:sz w:val="32"/>
          <w:szCs w:val="32"/>
        </w:rPr>
        <w:t>2.自评方法：</w:t>
      </w:r>
      <w:r>
        <w:rPr>
          <w:rFonts w:hint="eastAsia" w:eastAsia="仿宋_GB2312"/>
          <w:kern w:val="0"/>
          <w:sz w:val="32"/>
          <w:szCs w:val="32"/>
          <w:lang w:eastAsia="zh-CN"/>
        </w:rPr>
        <w:t>项目采用成本效益分析法，因素分析法，最低成本法等分析方法开展自评</w:t>
      </w:r>
      <w:r>
        <w:rPr>
          <w:rFonts w:ascii="Times New Roman" w:hAnsi="Times New Roman" w:eastAsia="仿宋_GB2312"/>
          <w:kern w:val="0"/>
          <w:sz w:val="32"/>
          <w:szCs w:val="32"/>
        </w:rPr>
        <w:t>，形成自评结论。</w:t>
      </w:r>
    </w:p>
    <w:p>
      <w:pPr>
        <w:keepNext w:val="0"/>
        <w:keepLines w:val="0"/>
        <w:pageBreakBefore w:val="0"/>
        <w:widowControl w:val="0"/>
        <w:kinsoku/>
        <w:overflowPunct/>
        <w:topLinePunct w:val="0"/>
        <w:autoSpaceDE/>
        <w:autoSpaceDN/>
        <w:bidi w:val="0"/>
        <w:adjustRightInd/>
        <w:spacing w:line="55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二、项目实施及管理情况</w:t>
      </w:r>
    </w:p>
    <w:p>
      <w:pPr>
        <w:keepNext w:val="0"/>
        <w:keepLines w:val="0"/>
        <w:pageBreakBefore w:val="0"/>
        <w:widowControl w:val="0"/>
        <w:kinsoku/>
        <w:overflowPunct/>
        <w:topLinePunct w:val="0"/>
        <w:autoSpaceDE/>
        <w:autoSpaceDN/>
        <w:bidi w:val="0"/>
        <w:adjustRightInd/>
        <w:spacing w:line="55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（一）</w:t>
      </w:r>
      <w:r>
        <w:rPr>
          <w:rFonts w:hint="eastAsia" w:ascii="楷体" w:hAnsi="楷体" w:eastAsia="楷体" w:cs="楷体"/>
          <w:sz w:val="32"/>
          <w:szCs w:val="32"/>
        </w:rPr>
        <w:t>资金计划、到位及使用情况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lang w:val="en-US" w:eastAsia="zh-CN"/>
        </w:rPr>
        <w:t>2022年3月22日，资金预算批复全部到位，资金到位率100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、资金到位及时。截止</w:t>
      </w:r>
      <w:r>
        <w:rPr>
          <w:rFonts w:hint="eastAsia" w:ascii="仿宋_GB2312" w:hAnsi="仿宋_GB2312" w:eastAsia="仿宋_GB2312" w:cs="仿宋_GB2312"/>
          <w:color w:val="auto"/>
          <w:sz w:val="32"/>
          <w:szCs w:val="32"/>
          <w:lang w:val="en-US" w:eastAsia="zh-CN"/>
        </w:rPr>
        <w:t>2022年12月31日止支付招商引资工作经费2.5万元；亭子湖景区保护和管理10万元；虎跳亭子湖岸垃圾整治经费16万元；</w:t>
      </w:r>
      <w:r>
        <w:rPr>
          <w:rFonts w:hint="eastAsia" w:ascii="仿宋_GB2312" w:hAnsi="仿宋_GB2312" w:eastAsia="仿宋_GB2312" w:cs="仿宋_GB2312"/>
          <w:sz w:val="32"/>
          <w:szCs w:val="32"/>
          <w:lang w:val="en-US" w:eastAsia="zh-CN"/>
        </w:rPr>
        <w:t>白龙湖亭子湖侵入性垃圾打捞应急处置奖补资金10万元。4个</w:t>
      </w:r>
      <w:r>
        <w:rPr>
          <w:rFonts w:hint="eastAsia" w:ascii="仿宋_GB2312" w:hAnsi="仿宋_GB2312" w:eastAsia="仿宋_GB2312" w:cs="仿宋_GB2312"/>
          <w:sz w:val="32"/>
          <w:szCs w:val="32"/>
          <w:lang w:eastAsia="zh-CN"/>
        </w:rPr>
        <w:t>项目资金支付合法合规，资金支付和预算追加相符，无任何违规使用的情况。</w:t>
      </w:r>
    </w:p>
    <w:p>
      <w:pPr>
        <w:keepNext w:val="0"/>
        <w:keepLines w:val="0"/>
        <w:pageBreakBefore w:val="0"/>
        <w:widowControl w:val="0"/>
        <w:kinsoku/>
        <w:overflowPunct/>
        <w:topLinePunct w:val="0"/>
        <w:autoSpaceDE/>
        <w:autoSpaceDN/>
        <w:bidi w:val="0"/>
        <w:adjustRightIn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楷体" w:hAnsi="楷体" w:eastAsia="楷体" w:cs="楷体"/>
          <w:sz w:val="32"/>
          <w:szCs w:val="32"/>
        </w:rPr>
        <w:t>项目财务管理情况</w:t>
      </w:r>
      <w:r>
        <w:rPr>
          <w:rFonts w:hint="eastAsia" w:ascii="仿宋_GB2312" w:hAnsi="仿宋_GB2312" w:eastAsia="仿宋_GB2312" w:cs="仿宋_GB2312"/>
          <w:sz w:val="32"/>
          <w:szCs w:val="32"/>
        </w:rPr>
        <w:t>。为强化专项资金管理，发挥资金的最大使用绩效，我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按照“统筹兼顾、突出重点、促进发展、专款专用、注重绩效”的原则，制定了专项资金使用实施方案、项目资金管理办法及内控管理制度等，规范了项目资金的核算及账务处理相关内容，进一步强化监督管理，严格按照各项管理办法、制度执行，充分发挥了资金使用效益</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pacing w:line="55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楷体" w:hAnsi="楷体" w:eastAsia="楷体" w:cs="楷体"/>
          <w:sz w:val="32"/>
          <w:szCs w:val="32"/>
        </w:rPr>
        <w:t>项目组织实施情况</w:t>
      </w:r>
      <w:r>
        <w:rPr>
          <w:rFonts w:hint="eastAsia" w:ascii="楷体" w:hAnsi="楷体" w:eastAsia="楷体" w:cs="楷体"/>
          <w:sz w:val="32"/>
          <w:szCs w:val="32"/>
          <w:lang w:eastAsia="zh-CN"/>
        </w:rPr>
        <w:t>及管理情况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党组高度重视，成立了</w:t>
      </w:r>
      <w:r>
        <w:rPr>
          <w:rFonts w:hint="eastAsia" w:ascii="仿宋_GB2312" w:hAnsi="仿宋_GB2312" w:eastAsia="仿宋_GB2312" w:cs="仿宋_GB2312"/>
          <w:sz w:val="32"/>
          <w:szCs w:val="32"/>
          <w:lang w:eastAsia="zh-CN"/>
        </w:rPr>
        <w:t>中心党组书记、主任王桥生</w:t>
      </w:r>
      <w:r>
        <w:rPr>
          <w:rFonts w:hint="eastAsia" w:ascii="仿宋_GB2312" w:hAnsi="仿宋_GB2312" w:eastAsia="仿宋_GB2312" w:cs="仿宋_GB2312"/>
          <w:sz w:val="32"/>
          <w:szCs w:val="32"/>
        </w:rPr>
        <w:t>任组长，各相关股室负责人为成员的领导小组，将责任落实到人头，制定了切实可行的工作实施方案，为专项资金的使用提供了坚强的组织保障。项目资金的使用严格</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程序化、制度化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w:t>
      </w:r>
      <w:r>
        <w:rPr>
          <w:rFonts w:hint="eastAsia" w:ascii="仿宋_GB2312" w:hAnsi="仿宋_GB2312" w:eastAsia="仿宋_GB2312" w:cs="仿宋_GB2312"/>
          <w:sz w:val="32"/>
          <w:szCs w:val="32"/>
          <w:lang w:eastAsia="zh-CN"/>
        </w:rPr>
        <w:t>化、</w:t>
      </w:r>
      <w:r>
        <w:rPr>
          <w:rFonts w:hint="eastAsia" w:ascii="仿宋_GB2312" w:hAnsi="仿宋_GB2312" w:eastAsia="仿宋_GB2312" w:cs="仿宋_GB2312"/>
          <w:sz w:val="32"/>
          <w:szCs w:val="32"/>
        </w:rPr>
        <w:t>透明</w:t>
      </w:r>
      <w:r>
        <w:rPr>
          <w:rFonts w:hint="eastAsia" w:ascii="仿宋_GB2312" w:hAnsi="仿宋_GB2312" w:eastAsia="仿宋_GB2312" w:cs="仿宋_GB2312"/>
          <w:sz w:val="32"/>
          <w:szCs w:val="32"/>
          <w:lang w:eastAsia="zh-CN"/>
        </w:rPr>
        <w:t>化</w:t>
      </w:r>
      <w:r>
        <w:rPr>
          <w:rFonts w:hint="eastAsia" w:ascii="仿宋_GB2312" w:hAnsi="仿宋_GB2312" w:eastAsia="仿宋_GB2312" w:cs="仿宋_GB2312"/>
          <w:sz w:val="32"/>
          <w:szCs w:val="32"/>
        </w:rPr>
        <w:t>实施。</w:t>
      </w:r>
    </w:p>
    <w:p>
      <w:pPr>
        <w:keepNext w:val="0"/>
        <w:keepLines w:val="0"/>
        <w:pageBreakBefore w:val="0"/>
        <w:widowControl w:val="0"/>
        <w:kinsoku/>
        <w:overflowPunct/>
        <w:topLinePunct w:val="0"/>
        <w:autoSpaceDE/>
        <w:autoSpaceDN/>
        <w:bidi w:val="0"/>
        <w:adjustRightInd/>
        <w:spacing w:line="550" w:lineRule="exact"/>
        <w:ind w:firstLine="640" w:firstLineChars="200"/>
        <w:textAlignment w:val="auto"/>
        <w:outlineLvl w:val="9"/>
        <w:rPr>
          <w:rFonts w:hint="eastAsia" w:ascii="黑体" w:hAnsi="黑体" w:eastAsia="黑体" w:cs="黑体"/>
          <w:b/>
          <w:sz w:val="32"/>
          <w:szCs w:val="32"/>
        </w:rPr>
      </w:pPr>
      <w:r>
        <w:rPr>
          <w:rFonts w:hint="eastAsia" w:ascii="黑体" w:hAnsi="黑体" w:eastAsia="黑体" w:cs="黑体"/>
          <w:b w:val="0"/>
          <w:bCs/>
          <w:sz w:val="32"/>
          <w:szCs w:val="32"/>
        </w:rPr>
        <w:t>三、项目绩效情况</w:t>
      </w:r>
      <w:r>
        <w:rPr>
          <w:rFonts w:hint="eastAsia" w:ascii="黑体" w:hAnsi="黑体" w:eastAsia="黑体" w:cs="黑体"/>
          <w:b/>
          <w:sz w:val="32"/>
          <w:szCs w:val="32"/>
        </w:rPr>
        <w:tab/>
      </w:r>
    </w:p>
    <w:p>
      <w:pPr>
        <w:spacing w:line="576"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（一）</w:t>
      </w:r>
      <w:r>
        <w:rPr>
          <w:rFonts w:hint="eastAsia" w:ascii="楷体" w:hAnsi="楷体" w:eastAsia="楷体" w:cs="楷体"/>
          <w:sz w:val="32"/>
          <w:szCs w:val="32"/>
          <w:lang w:eastAsia="zh-CN"/>
        </w:rPr>
        <w:t>项目完成情况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做到了资金与项目方案相符，严格按照方案要求进行实施，加强了资金管理，做到了专款专用，确保了资金的安全，提高了资金使用效率。</w:t>
      </w:r>
      <w:r>
        <w:rPr>
          <w:rFonts w:hint="eastAsia" w:ascii="仿宋_GB2312" w:hAnsi="仿宋_GB2312" w:eastAsia="仿宋_GB2312" w:cs="仿宋_GB2312"/>
          <w:sz w:val="32"/>
          <w:szCs w:val="32"/>
          <w:lang w:eastAsia="zh-CN"/>
        </w:rPr>
        <w:t>一是亭子湖景区保护和管理运转类资金预算</w:t>
      </w:r>
      <w:r>
        <w:rPr>
          <w:rFonts w:hint="eastAsia" w:ascii="仿宋_GB2312" w:hAnsi="仿宋_GB2312" w:eastAsia="仿宋_GB2312" w:cs="仿宋_GB2312"/>
          <w:sz w:val="32"/>
          <w:szCs w:val="32"/>
          <w:lang w:val="en-US" w:eastAsia="zh-CN"/>
        </w:rPr>
        <w:t>10万元，支出10万元，全年举办文化体育活动1次，安全和资源巡察12次，全年无安全事故发生，确保亭子湖水质</w:t>
      </w:r>
      <w:r>
        <w:rPr>
          <w:rFonts w:hint="eastAsia" w:ascii="宋体" w:hAnsi="宋体" w:eastAsia="宋体" w:cs="宋体"/>
          <w:sz w:val="32"/>
          <w:szCs w:val="32"/>
          <w:lang w:val="en-US" w:eastAsia="zh-CN"/>
        </w:rPr>
        <w:t>Ⅱ</w:t>
      </w:r>
      <w:r>
        <w:rPr>
          <w:rFonts w:hint="eastAsia" w:ascii="仿宋_GB2312" w:hAnsi="仿宋_GB2312" w:eastAsia="仿宋_GB2312" w:cs="仿宋_GB2312"/>
          <w:sz w:val="32"/>
          <w:szCs w:val="32"/>
          <w:lang w:val="en-US" w:eastAsia="zh-CN"/>
        </w:rPr>
        <w:t>类；二是</w:t>
      </w:r>
      <w:r>
        <w:rPr>
          <w:rFonts w:hint="eastAsia" w:ascii="仿宋_GB2312" w:hAnsi="仿宋_GB2312" w:eastAsia="仿宋_GB2312" w:cs="仿宋_GB2312"/>
          <w:sz w:val="32"/>
          <w:szCs w:val="32"/>
          <w:lang w:eastAsia="zh-CN"/>
        </w:rPr>
        <w:t>招商引资工作项目资金预算</w:t>
      </w:r>
      <w:r>
        <w:rPr>
          <w:rFonts w:hint="eastAsia" w:ascii="仿宋_GB2312" w:hAnsi="仿宋_GB2312" w:eastAsia="仿宋_GB2312" w:cs="仿宋_GB2312"/>
          <w:sz w:val="32"/>
          <w:szCs w:val="32"/>
          <w:lang w:val="en-US" w:eastAsia="zh-CN"/>
        </w:rPr>
        <w:t>2.5万元，支出2.5万元，用于制作招商宣传折页5000本，由于受疫情影响，未外出招商，致使未</w:t>
      </w:r>
      <w:r>
        <w:rPr>
          <w:rFonts w:hint="eastAsia" w:ascii="Times New Roman" w:hAnsi="Times New Roman" w:eastAsia="仿宋_GB2312"/>
          <w:sz w:val="32"/>
          <w:szCs w:val="32"/>
          <w:lang w:val="en-US" w:eastAsia="zh-CN"/>
        </w:rPr>
        <w:t>完成项目到位资金500万绩效目标；</w:t>
      </w:r>
      <w:r>
        <w:rPr>
          <w:rFonts w:hint="eastAsia" w:ascii="仿宋_GB2312" w:hAnsi="仿宋_GB2312" w:eastAsia="仿宋_GB2312" w:cs="仿宋_GB2312"/>
          <w:sz w:val="32"/>
          <w:szCs w:val="32"/>
          <w:lang w:val="en-US" w:eastAsia="zh-CN"/>
        </w:rPr>
        <w:t xml:space="preserve">三是虎跳亭子湖岸垃圾整治项目资金预算16万元，分两批支出16万元，用于虎跳镇亭子湖岸垃圾打捞、清运和处置，打捞和清运垃圾460吨；四是白龙湖亭子湖侵入性垃圾应急处置奖补资金预算10万元，支出10万元，用于亭子湖青牛镇辖区垃圾打捞、清运和处置，打捞垃圾500吨。 </w:t>
      </w:r>
    </w:p>
    <w:p>
      <w:pPr>
        <w:spacing w:line="576"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w:t>
      </w:r>
      <w:r>
        <w:rPr>
          <w:rFonts w:hint="eastAsia" w:ascii="楷体" w:hAnsi="楷体" w:eastAsia="楷体" w:cs="楷体"/>
          <w:sz w:val="32"/>
          <w:szCs w:val="32"/>
          <w:lang w:eastAsia="zh-CN"/>
        </w:rPr>
        <w:t>项目效益情况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度，4个项目基本完成各项绩效目标，效益良好。经济效益指标：湖区旅游人数增加100于人，人均收入增加20元，流域绿色发展水平持续提高；社会效益指标：持续推进湖区流域环境治理，受益带动周边各镇旅游业态发展良好；生态效益指标：有效改善流域环境，湖区水质长期保持</w:t>
      </w:r>
      <w:r>
        <w:rPr>
          <w:rFonts w:hint="eastAsia" w:ascii="宋体" w:hAnsi="宋体" w:eastAsia="宋体" w:cs="宋体"/>
          <w:sz w:val="32"/>
          <w:szCs w:val="32"/>
          <w:lang w:val="en-US" w:eastAsia="zh-CN"/>
        </w:rPr>
        <w:t>Ⅱ</w:t>
      </w:r>
      <w:r>
        <w:rPr>
          <w:rFonts w:hint="eastAsia" w:ascii="仿宋_GB2312" w:hAnsi="仿宋_GB2312" w:eastAsia="仿宋_GB2312" w:cs="仿宋_GB2312"/>
          <w:sz w:val="32"/>
          <w:szCs w:val="32"/>
          <w:lang w:val="en-US" w:eastAsia="zh-CN"/>
        </w:rPr>
        <w:t>类水质；满意度指标：湖区群众、镇和游客满意度达到90</w:t>
      </w:r>
      <w:r>
        <w:rPr>
          <w:rFonts w:hint="eastAsia" w:ascii="宋体" w:hAnsi="宋体" w:eastAsia="宋体" w:cs="宋体"/>
          <w:sz w:val="32"/>
          <w:szCs w:val="32"/>
          <w:lang w:val="en-US" w:eastAsia="zh-CN"/>
        </w:rPr>
        <w:t>%。</w:t>
      </w:r>
    </w:p>
    <w:p>
      <w:pPr>
        <w:spacing w:line="576" w:lineRule="exact"/>
        <w:ind w:firstLine="640"/>
        <w:rPr>
          <w:rFonts w:ascii="Times New Roman" w:hAnsi="Times New Roman" w:eastAsia="黑体"/>
          <w:bCs/>
          <w:sz w:val="32"/>
          <w:szCs w:val="32"/>
        </w:rPr>
      </w:pPr>
      <w:r>
        <w:rPr>
          <w:rFonts w:hint="eastAsia" w:eastAsia="仿宋_GB2312"/>
          <w:sz w:val="32"/>
          <w:szCs w:val="32"/>
          <w:lang w:val="en-US" w:eastAsia="zh-CN"/>
        </w:rPr>
        <w:t xml:space="preserve"> </w:t>
      </w:r>
      <w:r>
        <w:rPr>
          <w:rFonts w:hint="eastAsia" w:ascii="Times New Roman" w:hAnsi="黑体" w:eastAsia="黑体"/>
          <w:bCs/>
          <w:sz w:val="32"/>
          <w:szCs w:val="32"/>
          <w:lang w:eastAsia="zh-CN"/>
        </w:rPr>
        <w:t>四</w:t>
      </w:r>
      <w:r>
        <w:rPr>
          <w:rFonts w:ascii="Times New Roman" w:hAnsi="黑体" w:eastAsia="黑体"/>
          <w:bCs/>
          <w:sz w:val="32"/>
          <w:szCs w:val="32"/>
        </w:rPr>
        <w:t>、评价结论及建议</w:t>
      </w:r>
    </w:p>
    <w:p>
      <w:pPr>
        <w:spacing w:line="576" w:lineRule="exact"/>
        <w:ind w:firstLine="640"/>
        <w:rPr>
          <w:rFonts w:hint="eastAsia" w:ascii="Times New Roman" w:hAnsi="Times New Roman" w:eastAsia="楷体"/>
          <w:bCs/>
          <w:sz w:val="32"/>
          <w:szCs w:val="32"/>
          <w:lang w:eastAsia="zh-CN"/>
        </w:rPr>
      </w:pPr>
      <w:r>
        <w:rPr>
          <w:rFonts w:ascii="Times New Roman" w:hAnsi="楷体" w:eastAsia="楷体"/>
          <w:sz w:val="32"/>
          <w:szCs w:val="32"/>
        </w:rPr>
        <w:t>（一）</w:t>
      </w:r>
      <w:r>
        <w:rPr>
          <w:rFonts w:hint="eastAsia" w:ascii="Times New Roman" w:hAnsi="楷体" w:eastAsia="楷体"/>
          <w:sz w:val="32"/>
          <w:szCs w:val="32"/>
          <w:lang w:eastAsia="zh-CN"/>
        </w:rPr>
        <w:t>自评结论</w:t>
      </w:r>
    </w:p>
    <w:p>
      <w:pPr>
        <w:adjustRightInd w:val="0"/>
        <w:snapToGrid w:val="0"/>
        <w:spacing w:line="576" w:lineRule="exact"/>
        <w:ind w:firstLine="720"/>
        <w:rPr>
          <w:rFonts w:ascii="Times New Roman" w:hAnsi="Times New Roman" w:eastAsia="仿宋_GB2312"/>
          <w:sz w:val="32"/>
          <w:szCs w:val="32"/>
        </w:rPr>
      </w:pPr>
      <w:r>
        <w:rPr>
          <w:rFonts w:hint="eastAsia" w:ascii="Times New Roman" w:hAnsi="Times New Roman" w:eastAsia="仿宋_GB2312"/>
          <w:b w:val="0"/>
          <w:bCs w:val="0"/>
          <w:sz w:val="32"/>
          <w:szCs w:val="32"/>
          <w:lang w:val="en-US" w:eastAsia="zh-CN"/>
        </w:rPr>
        <w:t xml:space="preserve"> </w:t>
      </w:r>
      <w:r>
        <w:rPr>
          <w:rFonts w:ascii="Times New Roman" w:hAnsi="Times New Roman" w:eastAsia="仿宋_GB2312"/>
          <w:b w:val="0"/>
          <w:bCs w:val="0"/>
          <w:sz w:val="32"/>
          <w:szCs w:val="32"/>
        </w:rPr>
        <w:t>2</w:t>
      </w:r>
      <w:r>
        <w:rPr>
          <w:rFonts w:ascii="Times New Roman" w:hAnsi="Times New Roman" w:eastAsia="仿宋_GB2312"/>
          <w:sz w:val="32"/>
          <w:szCs w:val="32"/>
        </w:rPr>
        <w:t>0</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年</w:t>
      </w:r>
      <w:r>
        <w:rPr>
          <w:rFonts w:hint="eastAsia" w:ascii="Times New Roman" w:hAnsi="Times New Roman" w:eastAsia="仿宋_GB2312"/>
          <w:sz w:val="32"/>
          <w:szCs w:val="32"/>
          <w:lang w:eastAsia="zh-CN"/>
        </w:rPr>
        <w:t>，我中心项目支出</w:t>
      </w:r>
      <w:r>
        <w:rPr>
          <w:rFonts w:ascii="Times New Roman" w:hAnsi="Times New Roman" w:eastAsia="仿宋_GB2312"/>
          <w:sz w:val="32"/>
          <w:szCs w:val="32"/>
        </w:rPr>
        <w:t>符合国家财经法规和财务管理制度规定，资金的拨付有完整的审批过程和手续，支出符合部门预算批复的用途，资金使用无截留、挤占、挪用、虚列支出等情况，绩效目标在</w:t>
      </w:r>
      <w:r>
        <w:rPr>
          <w:rFonts w:hint="eastAsia" w:ascii="Times New Roman" w:hAnsi="Times New Roman" w:eastAsia="仿宋_GB2312"/>
          <w:sz w:val="32"/>
          <w:szCs w:val="32"/>
          <w:lang w:eastAsia="zh-CN"/>
        </w:rPr>
        <w:t>本年度</w:t>
      </w:r>
      <w:r>
        <w:rPr>
          <w:rFonts w:ascii="Times New Roman" w:hAnsi="Times New Roman" w:eastAsia="仿宋_GB2312"/>
          <w:sz w:val="32"/>
          <w:szCs w:val="32"/>
        </w:rPr>
        <w:t>基本完成</w:t>
      </w:r>
      <w:r>
        <w:rPr>
          <w:rFonts w:hint="eastAsia" w:ascii="Times New Roman" w:hAnsi="Times New Roman" w:eastAsia="仿宋_GB2312"/>
          <w:sz w:val="32"/>
          <w:szCs w:val="32"/>
          <w:lang w:eastAsia="zh-CN"/>
        </w:rPr>
        <w:t>。我中心</w:t>
      </w:r>
      <w:r>
        <w:rPr>
          <w:rFonts w:hint="eastAsia" w:ascii="仿宋" w:hAnsi="仿宋" w:eastAsia="仿宋" w:cs="仿宋"/>
          <w:sz w:val="32"/>
          <w:szCs w:val="32"/>
          <w:lang w:eastAsia="zh-CN"/>
        </w:rPr>
        <w:t>按照</w:t>
      </w: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广元市昭化区人民政府办公室关于印发</w:t>
      </w:r>
      <w:r>
        <w:rPr>
          <w:rFonts w:hint="eastAsia" w:ascii="仿宋" w:hAnsi="仿宋" w:eastAsia="仿宋" w:cs="仿宋"/>
          <w:kern w:val="0"/>
          <w:sz w:val="32"/>
          <w:szCs w:val="32"/>
          <w:lang w:eastAsia="zh-CN"/>
        </w:rPr>
        <w:t>&lt;广元市昭化区财政支出事后绩效评价管理办法&gt;的通知</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（昭府办函〔</w:t>
      </w:r>
      <w:r>
        <w:rPr>
          <w:rFonts w:hint="eastAsia" w:ascii="仿宋" w:hAnsi="仿宋" w:eastAsia="仿宋" w:cs="仿宋"/>
          <w:kern w:val="0"/>
          <w:sz w:val="32"/>
          <w:szCs w:val="32"/>
          <w:lang w:val="en-US" w:eastAsia="zh-CN"/>
        </w:rPr>
        <w:t>2022</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37号</w:t>
      </w:r>
      <w:r>
        <w:rPr>
          <w:rFonts w:hint="eastAsia" w:ascii="仿宋" w:hAnsi="仿宋" w:eastAsia="仿宋" w:cs="仿宋"/>
          <w:kern w:val="0"/>
          <w:sz w:val="32"/>
          <w:szCs w:val="32"/>
          <w:lang w:eastAsia="zh-CN"/>
        </w:rPr>
        <w:t>）绩效</w:t>
      </w:r>
      <w:r>
        <w:rPr>
          <w:rFonts w:hint="eastAsia" w:ascii="仿宋" w:hAnsi="仿宋" w:eastAsia="仿宋" w:cs="仿宋"/>
          <w:sz w:val="32"/>
          <w:szCs w:val="32"/>
        </w:rPr>
        <w:t>评价</w:t>
      </w:r>
      <w:r>
        <w:rPr>
          <w:rFonts w:hint="eastAsia" w:ascii="仿宋" w:hAnsi="仿宋" w:eastAsia="仿宋" w:cs="仿宋"/>
          <w:sz w:val="32"/>
          <w:szCs w:val="32"/>
          <w:lang w:eastAsia="zh-CN"/>
        </w:rPr>
        <w:t>指标体系开展绩效评价。项目平均自评得分为</w:t>
      </w:r>
      <w:r>
        <w:rPr>
          <w:rFonts w:hint="eastAsia" w:ascii="仿宋" w:hAnsi="仿宋" w:eastAsia="仿宋" w:cs="仿宋"/>
          <w:sz w:val="32"/>
          <w:szCs w:val="32"/>
          <w:lang w:val="en-US" w:eastAsia="zh-CN"/>
        </w:rPr>
        <w:t>94分</w:t>
      </w:r>
      <w:r>
        <w:rPr>
          <w:rFonts w:ascii="Times New Roman" w:hAnsi="Times New Roman" w:eastAsia="仿宋_GB2312"/>
          <w:sz w:val="32"/>
          <w:szCs w:val="32"/>
        </w:rPr>
        <w:t xml:space="preserve">。 </w:t>
      </w:r>
    </w:p>
    <w:p>
      <w:pPr>
        <w:spacing w:line="576" w:lineRule="exact"/>
        <w:ind w:firstLine="640"/>
        <w:rPr>
          <w:rFonts w:hint="eastAsia" w:ascii="黑体" w:hAnsi="黑体" w:eastAsia="黑体" w:cs="黑体"/>
          <w:b w:val="0"/>
          <w:bCs/>
          <w:color w:val="auto"/>
          <w:sz w:val="32"/>
          <w:szCs w:val="32"/>
        </w:rPr>
      </w:pPr>
      <w:r>
        <w:rPr>
          <w:rFonts w:ascii="Times New Roman" w:hAnsi="楷体" w:eastAsia="楷体"/>
          <w:sz w:val="32"/>
          <w:szCs w:val="32"/>
        </w:rPr>
        <w:t>（二）存在问题</w:t>
      </w:r>
      <w:r>
        <w:rPr>
          <w:rFonts w:hint="eastAsia" w:ascii="Times New Roman" w:hAnsi="楷体" w:eastAsia="楷体"/>
          <w:sz w:val="32"/>
          <w:szCs w:val="32"/>
          <w:lang w:eastAsia="zh-CN"/>
        </w:rPr>
        <w:t>及建议</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目前工作中存在</w:t>
      </w:r>
      <w:r>
        <w:rPr>
          <w:rFonts w:hint="eastAsia" w:ascii="仿宋_GB2312" w:hAnsi="仿宋_GB2312" w:eastAsia="仿宋_GB2312" w:cs="仿宋_GB2312"/>
          <w:sz w:val="32"/>
          <w:szCs w:val="32"/>
          <w:lang w:eastAsia="zh-CN"/>
        </w:rPr>
        <w:t>年初项目绩效目标编制不精准，招商任务与年初制定的绩效目标还有差距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以后</w:t>
      </w:r>
      <w:r>
        <w:rPr>
          <w:rFonts w:hint="eastAsia" w:ascii="仿宋_GB2312" w:hAnsi="仿宋_GB2312" w:eastAsia="仿宋_GB2312" w:cs="仿宋_GB2312"/>
          <w:sz w:val="32"/>
          <w:szCs w:val="32"/>
        </w:rPr>
        <w:t>将主要从以下几个方面开展工作：</w:t>
      </w:r>
    </w:p>
    <w:p>
      <w:pPr>
        <w:snapToGrid w:val="0"/>
        <w:spacing w:line="576"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bCs w:val="0"/>
          <w:sz w:val="32"/>
          <w:szCs w:val="32"/>
          <w:lang w:eastAsia="zh-CN"/>
        </w:rPr>
        <w:t>精准项目绩效目标编制。</w:t>
      </w:r>
      <w:r>
        <w:rPr>
          <w:rFonts w:hint="eastAsia" w:ascii="仿宋_GB2312" w:hAnsi="仿宋_GB2312" w:eastAsia="仿宋_GB2312" w:cs="仿宋_GB2312"/>
          <w:b w:val="0"/>
          <w:bCs/>
          <w:sz w:val="32"/>
          <w:szCs w:val="32"/>
          <w:lang w:eastAsia="zh-CN"/>
        </w:rPr>
        <w:t>严</w:t>
      </w:r>
      <w:r>
        <w:rPr>
          <w:rFonts w:ascii="Times New Roman" w:hAnsi="Times New Roman" w:eastAsia="仿宋_GB2312"/>
          <w:sz w:val="32"/>
          <w:szCs w:val="32"/>
        </w:rPr>
        <w:t>格按照政策标准，优化支出结构，加强</w:t>
      </w:r>
      <w:r>
        <w:rPr>
          <w:rFonts w:hint="eastAsia" w:ascii="Times New Roman" w:hAnsi="Times New Roman" w:eastAsia="仿宋_GB2312"/>
          <w:sz w:val="32"/>
          <w:szCs w:val="32"/>
          <w:lang w:eastAsia="zh-CN"/>
        </w:rPr>
        <w:t>各股</w:t>
      </w:r>
      <w:r>
        <w:rPr>
          <w:rFonts w:ascii="Times New Roman" w:hAnsi="Times New Roman" w:eastAsia="仿宋_GB2312"/>
          <w:sz w:val="32"/>
          <w:szCs w:val="32"/>
        </w:rPr>
        <w:t>沟通，提高预算编制</w:t>
      </w:r>
      <w:r>
        <w:rPr>
          <w:rFonts w:hint="eastAsia" w:ascii="Times New Roman" w:hAnsi="Times New Roman" w:eastAsia="仿宋_GB2312"/>
          <w:sz w:val="32"/>
          <w:szCs w:val="32"/>
          <w:lang w:eastAsia="zh-CN"/>
        </w:rPr>
        <w:t>和绩效编制</w:t>
      </w:r>
      <w:r>
        <w:rPr>
          <w:rFonts w:ascii="Times New Roman" w:hAnsi="Times New Roman" w:eastAsia="仿宋_GB2312"/>
          <w:sz w:val="32"/>
          <w:szCs w:val="32"/>
        </w:rPr>
        <w:t>的科学化精细化水平</w:t>
      </w:r>
      <w:r>
        <w:rPr>
          <w:rFonts w:hint="eastAsia" w:ascii="Times New Roman" w:hAnsi="Times New Roman" w:eastAsia="仿宋_GB2312"/>
          <w:sz w:val="32"/>
          <w:szCs w:val="32"/>
          <w:lang w:eastAsia="zh-CN"/>
        </w:rPr>
        <w:t>，切实制定科学精准可操作性可量化的项目绩效目标，确保资金发挥最大效益</w:t>
      </w:r>
      <w:r>
        <w:rPr>
          <w:rFonts w:ascii="Times New Roman" w:hAnsi="Times New Roman" w:eastAsia="仿宋_GB2312"/>
          <w:sz w:val="32"/>
          <w:szCs w:val="32"/>
        </w:rPr>
        <w:t>。</w:t>
      </w:r>
      <w:r>
        <w:rPr>
          <w:rFonts w:hint="eastAsia" w:ascii="仿宋_GB2312" w:hAnsi="仿宋_GB2312" w:eastAsia="仿宋_GB2312" w:cs="仿宋_GB2312"/>
          <w:b w:val="0"/>
          <w:bCs/>
          <w:sz w:val="32"/>
          <w:szCs w:val="32"/>
          <w:lang w:val="en-US" w:eastAsia="zh-CN"/>
        </w:rPr>
        <w:t xml:space="preserve"> </w:t>
      </w:r>
    </w:p>
    <w:p>
      <w:pPr>
        <w:spacing w:line="576" w:lineRule="exact"/>
        <w:ind w:firstLine="643" w:firstLineChars="200"/>
        <w:rPr>
          <w:rFonts w:hint="default" w:ascii="仿宋_GB2312" w:hAnsi="仿宋_GB2312" w:eastAsia="仿宋_GB2312" w:cs="仿宋_GB2312"/>
          <w:b w:val="0"/>
          <w:bCs/>
          <w:sz w:val="32"/>
          <w:szCs w:val="32"/>
          <w:lang w:val="en-US"/>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狠抓项目包装和配套设施</w:t>
      </w:r>
      <w:r>
        <w:rPr>
          <w:rFonts w:hint="eastAsia" w:ascii="仿宋_GB2312" w:hAnsi="仿宋_GB2312" w:eastAsia="仿宋_GB2312" w:cs="仿宋_GB2312"/>
          <w:b/>
          <w:bCs/>
          <w:sz w:val="32"/>
          <w:szCs w:val="32"/>
          <w:lang w:val="en-US" w:eastAsia="zh-CN"/>
        </w:rPr>
        <w:t>完善</w:t>
      </w:r>
      <w:r>
        <w:rPr>
          <w:rFonts w:hint="eastAsia" w:ascii="仿宋_GB2312" w:hAnsi="仿宋_GB2312" w:eastAsia="仿宋_GB2312" w:cs="仿宋_GB2312"/>
          <w:b/>
          <w:bCs/>
          <w:sz w:val="32"/>
          <w:szCs w:val="32"/>
          <w:lang w:eastAsia="zh-CN"/>
        </w:rPr>
        <w:t>工作。</w:t>
      </w:r>
      <w:r>
        <w:rPr>
          <w:rFonts w:hint="eastAsia" w:ascii="仿宋_GB2312" w:hAnsi="仿宋_GB2312" w:eastAsia="仿宋_GB2312" w:cs="仿宋_GB2312"/>
          <w:b w:val="0"/>
          <w:bCs w:val="0"/>
          <w:sz w:val="32"/>
          <w:szCs w:val="32"/>
          <w:lang w:eastAsia="zh-CN"/>
        </w:rPr>
        <w:t>大力抓好亭子湖项目包装和项目储备，同时抓好旅游基础配套设施完善等工作，为招引企业落地奠定坚实基础。</w:t>
      </w:r>
    </w:p>
    <w:p>
      <w:pPr>
        <w:snapToGrid w:val="0"/>
        <w:spacing w:line="576" w:lineRule="exact"/>
        <w:ind w:firstLine="643" w:firstLineChars="200"/>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sz w:val="32"/>
          <w:szCs w:val="32"/>
          <w:lang w:eastAsia="zh-CN"/>
        </w:rPr>
        <w:t>加大景区推介和市场营销。</w:t>
      </w:r>
      <w:r>
        <w:rPr>
          <w:rFonts w:hint="eastAsia" w:ascii="仿宋_GB2312" w:hAnsi="仿宋_GB2312" w:eastAsia="仿宋_GB2312" w:cs="仿宋_GB2312"/>
          <w:b w:val="0"/>
          <w:bCs/>
          <w:sz w:val="32"/>
          <w:szCs w:val="32"/>
          <w:lang w:eastAsia="zh-CN"/>
        </w:rPr>
        <w:t>积极举办亭子湖捕捞、采摘、赏花、环湖马拉松等文化体育活动，大力开发亭子湖旅游市场，向外宣传推介，力争招商引资</w:t>
      </w:r>
      <w:r>
        <w:rPr>
          <w:rFonts w:hint="eastAsia" w:ascii="仿宋_GB2312" w:hAnsi="仿宋_GB2312" w:eastAsia="仿宋_GB2312" w:cs="仿宋_GB2312"/>
          <w:b w:val="0"/>
          <w:bCs/>
          <w:sz w:val="32"/>
          <w:szCs w:val="32"/>
          <w:lang w:val="en-US" w:eastAsia="zh-CN"/>
        </w:rPr>
        <w:t xml:space="preserve">2-3家实力企业落地，切实增加景区群众收入。 </w:t>
      </w:r>
    </w:p>
    <w:p>
      <w:pPr>
        <w:pStyle w:val="2"/>
        <w:rPr>
          <w:rFonts w:hint="eastAsia" w:ascii="黑体" w:hAnsi="黑体" w:eastAsia="黑体" w:cs="黑体"/>
          <w:color w:val="auto"/>
          <w:sz w:val="32"/>
          <w:szCs w:val="32"/>
          <w:highlight w:val="none"/>
          <w:lang w:val="en-US" w:eastAsia="zh-CN"/>
        </w:rPr>
      </w:pPr>
    </w:p>
    <w:p>
      <w:pPr>
        <w:rPr>
          <w:rFonts w:hint="eastAsia" w:ascii="黑体" w:hAnsi="黑体" w:eastAsia="黑体" w:cs="黑体"/>
          <w:color w:val="auto"/>
          <w:sz w:val="32"/>
          <w:szCs w:val="32"/>
          <w:highlight w:val="none"/>
          <w:lang w:val="en-US" w:eastAsia="zh-CN"/>
        </w:rPr>
      </w:pPr>
    </w:p>
    <w:p>
      <w:pPr>
        <w:pStyle w:val="2"/>
        <w:rPr>
          <w:rFonts w:hint="eastAsia" w:ascii="黑体" w:hAnsi="黑体" w:eastAsia="黑体" w:cs="黑体"/>
          <w:color w:val="auto"/>
          <w:sz w:val="32"/>
          <w:szCs w:val="32"/>
          <w:highlight w:val="none"/>
          <w:lang w:val="en-US" w:eastAsia="zh-CN"/>
        </w:rPr>
      </w:pPr>
    </w:p>
    <w:p>
      <w:pPr>
        <w:rPr>
          <w:rFonts w:hint="eastAsia" w:ascii="黑体" w:hAnsi="黑体" w:eastAsia="黑体" w:cs="黑体"/>
          <w:color w:val="auto"/>
          <w:sz w:val="32"/>
          <w:szCs w:val="32"/>
          <w:highlight w:val="none"/>
          <w:lang w:val="en-US" w:eastAsia="zh-CN"/>
        </w:rPr>
      </w:pPr>
    </w:p>
    <w:p>
      <w:pPr>
        <w:pStyle w:val="2"/>
        <w:rPr>
          <w:rFonts w:hint="eastAsia" w:ascii="黑体" w:hAnsi="黑体" w:eastAsia="黑体" w:cs="黑体"/>
          <w:color w:val="auto"/>
          <w:sz w:val="32"/>
          <w:szCs w:val="32"/>
          <w:highlight w:val="none"/>
          <w:lang w:val="en-US" w:eastAsia="zh-CN"/>
        </w:rPr>
      </w:pPr>
    </w:p>
    <w:p>
      <w:pPr>
        <w:rPr>
          <w:rFonts w:hint="eastAsia" w:ascii="黑体" w:hAnsi="黑体" w:eastAsia="黑体" w:cs="黑体"/>
          <w:color w:val="auto"/>
          <w:sz w:val="32"/>
          <w:szCs w:val="32"/>
          <w:highlight w:val="none"/>
          <w:lang w:val="en-US" w:eastAsia="zh-CN"/>
        </w:rPr>
      </w:pPr>
    </w:p>
    <w:p>
      <w:pPr>
        <w:pStyle w:val="2"/>
        <w:rPr>
          <w:rFonts w:hint="eastAsia" w:ascii="黑体" w:hAnsi="黑体" w:eastAsia="黑体" w:cs="黑体"/>
          <w:color w:val="auto"/>
          <w:sz w:val="32"/>
          <w:szCs w:val="32"/>
          <w:highlight w:val="none"/>
          <w:lang w:val="en-US" w:eastAsia="zh-CN"/>
        </w:rPr>
      </w:pPr>
    </w:p>
    <w:p>
      <w:pPr>
        <w:pStyle w:val="2"/>
        <w:ind w:left="0" w:leftChars="0" w:firstLine="0" w:firstLineChars="0"/>
        <w:rPr>
          <w:rFonts w:hint="eastAsia" w:ascii="黑体" w:hAnsi="黑体" w:eastAsia="黑体" w:cs="黑体"/>
          <w:color w:val="auto"/>
          <w:sz w:val="32"/>
          <w:szCs w:val="32"/>
          <w:highlight w:val="none"/>
          <w:lang w:val="en-US" w:eastAsia="zh-CN"/>
        </w:rPr>
      </w:pPr>
    </w:p>
    <w:p>
      <w:pPr>
        <w:rPr>
          <w:rFonts w:hint="eastAsia" w:ascii="黑体" w:hAnsi="黑体" w:eastAsia="黑体" w:cs="黑体"/>
          <w:color w:val="auto"/>
          <w:sz w:val="32"/>
          <w:szCs w:val="32"/>
          <w:highlight w:val="none"/>
          <w:lang w:val="en-US" w:eastAsia="zh-CN"/>
        </w:rPr>
      </w:pPr>
    </w:p>
    <w:p>
      <w:pPr>
        <w:pStyle w:val="2"/>
        <w:rPr>
          <w:rFonts w:hint="eastAsia"/>
          <w:lang w:val="en-US" w:eastAsia="zh-CN"/>
        </w:rPr>
      </w:pPr>
    </w:p>
    <w:p>
      <w:pPr>
        <w:rPr>
          <w:rFonts w:hint="eastAsia" w:ascii="黑体" w:hAnsi="黑体" w:eastAsia="黑体" w:cs="黑体"/>
          <w:color w:val="auto"/>
          <w:sz w:val="32"/>
          <w:szCs w:val="32"/>
          <w:highlight w:val="none"/>
          <w:lang w:val="en-US" w:eastAsia="zh-CN"/>
        </w:rPr>
      </w:pPr>
    </w:p>
    <w:tbl>
      <w:tblPr>
        <w:tblStyle w:val="13"/>
        <w:tblW w:w="93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852"/>
        <w:gridCol w:w="1140"/>
        <w:gridCol w:w="1140"/>
        <w:gridCol w:w="1296"/>
        <w:gridCol w:w="1410"/>
        <w:gridCol w:w="1410"/>
        <w:gridCol w:w="675"/>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644"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黑体" w:hAnsi="宋体" w:eastAsia="黑体" w:cs="黑体"/>
                <w:i w:val="0"/>
                <w:iCs w:val="0"/>
                <w:color w:val="000000"/>
                <w:sz w:val="36"/>
                <w:szCs w:val="36"/>
                <w:u w:val="none"/>
                <w:lang w:val="en-US"/>
              </w:rPr>
            </w:pPr>
            <w:r>
              <w:rPr>
                <w:rFonts w:hint="eastAsia" w:ascii="黑体" w:hAnsi="宋体" w:eastAsia="黑体" w:cs="黑体"/>
                <w:i w:val="0"/>
                <w:iCs w:val="0"/>
                <w:color w:val="000000"/>
                <w:kern w:val="0"/>
                <w:sz w:val="32"/>
                <w:szCs w:val="32"/>
                <w:u w:val="none"/>
                <w:lang w:val="en-US" w:eastAsia="zh-CN" w:bidi="ar"/>
              </w:rPr>
              <w:t>附件3</w:t>
            </w:r>
          </w:p>
        </w:tc>
        <w:tc>
          <w:tcPr>
            <w:tcW w:w="11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1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29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4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4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9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广元市昭化区部门整体支出绩效目标自评表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90" w:type="dxa"/>
            <w:gridSpan w:val="9"/>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2022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广元市昭化区亭子湖景区保护与发展中心部门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广元市昭化区亭子湖景区保护与发展中心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8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4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35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91.37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117.23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3</w:t>
            </w:r>
          </w:p>
        </w:tc>
        <w:tc>
          <w:tcPr>
            <w:tcW w:w="135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91.37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117.23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3</w:t>
            </w:r>
          </w:p>
        </w:tc>
        <w:tc>
          <w:tcPr>
            <w:tcW w:w="135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91.37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117.23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3</w:t>
            </w:r>
          </w:p>
        </w:tc>
        <w:tc>
          <w:tcPr>
            <w:tcW w:w="135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296"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gridSpan w:val="2"/>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8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w:t>
            </w:r>
          </w:p>
        </w:tc>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昭化区亭子湖景区保护与发展中心全年预算金额：1172339.96元，其中：工资、津贴、保险704739.96元；日常公用经费82600.00元；其他运转类：亭子湖保护和管理100000.00元；项目类：招商引资工作经费25000.00元，虎跳亭子湖岸垃圾整治160000元，白龙湖亭子湖侵入性垃圾应急处置奖补资金100000元。1、负责亭子湖景区总体规划、景区推介和保护，配合相关部门做好景区环保和安全工作，在景区开展文体旅游赛事宣传活动，环保政策宣传，做好垃圾打捞清运处置，开展资源巡察，做好渔业发展管护，助力群众增收，完成招商引资任务。2、确保全年职工工资发放、保险缴纳，单位正常运转。</w:t>
            </w:r>
          </w:p>
        </w:tc>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1、确保全年职工工资发放、保险缴纳，单位正常运转；2、完成安全和资源巡查12次，打捞垃圾960吨，举办赛事一次，确保亭子湖水质2类，无安全事故发生，改善流域环境。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部门整体绩效指标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350" w:type="dxa"/>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招商项目个数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安全及资源巡察次数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≥10次/年</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12次/年</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开展文化体育活动次数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≥1次/年</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1次/年</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全年发放工资人数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6人</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招商到位资金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受疫情影响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人员工资发放率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落地企业影响时间</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≥3年</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受疫情影响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工资、社会保障及人员公用经费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787339.96元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787339.96元</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亭子湖保护和管理运转经费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10万余</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印刷和接待等招商工作经费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2.5万元</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虎跳亭子湖岸垃圾整治</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16万元</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亭子湖侵入性垃圾处置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10万元</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景区群众收入</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20元</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带动乡镇个数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7个</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资源消耗率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定性高中低</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渔业生态环境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定性好坏</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pStyle w:val="2"/>
        <w:rPr>
          <w:rFonts w:hint="eastAsia" w:ascii="黑体" w:hAnsi="黑体" w:eastAsia="黑体" w:cs="黑体"/>
          <w:color w:val="auto"/>
          <w:sz w:val="32"/>
          <w:szCs w:val="32"/>
          <w:highlight w:val="none"/>
          <w:lang w:val="en-US" w:eastAsia="zh-CN"/>
        </w:rPr>
      </w:pPr>
    </w:p>
    <w:p>
      <w:pPr>
        <w:rPr>
          <w:rFonts w:hint="eastAsia" w:ascii="黑体" w:hAnsi="黑体" w:eastAsia="黑体" w:cs="黑体"/>
          <w:color w:val="auto"/>
          <w:sz w:val="32"/>
          <w:szCs w:val="32"/>
          <w:highlight w:val="none"/>
          <w:lang w:val="en-US" w:eastAsia="zh-CN"/>
        </w:rPr>
      </w:pPr>
    </w:p>
    <w:p>
      <w:pPr>
        <w:pStyle w:val="2"/>
        <w:rPr>
          <w:rFonts w:hint="eastAsia" w:ascii="黑体" w:hAnsi="黑体" w:eastAsia="黑体" w:cs="黑体"/>
          <w:color w:val="auto"/>
          <w:sz w:val="32"/>
          <w:szCs w:val="32"/>
          <w:highlight w:val="none"/>
          <w:lang w:val="en-US" w:eastAsia="zh-CN"/>
        </w:rPr>
      </w:pPr>
    </w:p>
    <w:p>
      <w:pPr>
        <w:rPr>
          <w:rFonts w:hint="eastAsia" w:ascii="黑体" w:hAnsi="黑体" w:eastAsia="黑体" w:cs="黑体"/>
          <w:color w:val="auto"/>
          <w:sz w:val="32"/>
          <w:szCs w:val="32"/>
          <w:highlight w:val="none"/>
          <w:lang w:val="en-US" w:eastAsia="zh-CN"/>
        </w:rPr>
      </w:pPr>
    </w:p>
    <w:p>
      <w:pPr>
        <w:pStyle w:val="2"/>
        <w:rPr>
          <w:rFonts w:hint="eastAsia" w:ascii="黑体" w:hAnsi="黑体" w:eastAsia="黑体" w:cs="黑体"/>
          <w:color w:val="auto"/>
          <w:sz w:val="32"/>
          <w:szCs w:val="32"/>
          <w:highlight w:val="none"/>
          <w:lang w:val="en-US" w:eastAsia="zh-CN"/>
        </w:rPr>
      </w:pPr>
    </w:p>
    <w:p>
      <w:pPr>
        <w:rPr>
          <w:rFonts w:hint="eastAsia" w:ascii="黑体" w:hAnsi="黑体" w:eastAsia="黑体" w:cs="黑体"/>
          <w:color w:val="auto"/>
          <w:sz w:val="32"/>
          <w:szCs w:val="32"/>
          <w:highlight w:val="none"/>
          <w:lang w:val="en-US" w:eastAsia="zh-CN"/>
        </w:rPr>
      </w:pPr>
    </w:p>
    <w:p>
      <w:pPr>
        <w:pStyle w:val="2"/>
        <w:rPr>
          <w:rFonts w:hint="eastAsia" w:ascii="黑体" w:hAnsi="黑体" w:eastAsia="黑体" w:cs="黑体"/>
          <w:color w:val="auto"/>
          <w:sz w:val="32"/>
          <w:szCs w:val="32"/>
          <w:highlight w:val="none"/>
          <w:lang w:val="en-US" w:eastAsia="zh-CN"/>
        </w:rPr>
      </w:pPr>
    </w:p>
    <w:p>
      <w:pPr>
        <w:rPr>
          <w:rFonts w:hint="eastAsia" w:ascii="黑体" w:hAnsi="黑体" w:eastAsia="黑体" w:cs="黑体"/>
          <w:color w:val="auto"/>
          <w:sz w:val="32"/>
          <w:szCs w:val="32"/>
          <w:highlight w:val="none"/>
          <w:lang w:val="en-US" w:eastAsia="zh-CN"/>
        </w:rPr>
      </w:pPr>
    </w:p>
    <w:p>
      <w:pPr>
        <w:pStyle w:val="2"/>
        <w:rPr>
          <w:rFonts w:hint="eastAsia" w:ascii="黑体" w:hAnsi="黑体" w:eastAsia="黑体" w:cs="黑体"/>
          <w:color w:val="auto"/>
          <w:sz w:val="32"/>
          <w:szCs w:val="32"/>
          <w:highlight w:val="none"/>
          <w:lang w:val="en-US" w:eastAsia="zh-CN"/>
        </w:rPr>
      </w:pPr>
    </w:p>
    <w:p>
      <w:pPr>
        <w:rPr>
          <w:rFonts w:hint="eastAsia" w:ascii="黑体" w:hAnsi="黑体" w:eastAsia="黑体" w:cs="黑体"/>
          <w:color w:val="auto"/>
          <w:sz w:val="32"/>
          <w:szCs w:val="32"/>
          <w:highlight w:val="none"/>
          <w:lang w:val="en-US" w:eastAsia="zh-CN"/>
        </w:rPr>
      </w:pPr>
    </w:p>
    <w:p>
      <w:pPr>
        <w:pStyle w:val="2"/>
        <w:rPr>
          <w:rFonts w:hint="eastAsia" w:ascii="黑体" w:hAnsi="黑体" w:eastAsia="黑体" w:cs="黑体"/>
          <w:color w:val="auto"/>
          <w:sz w:val="32"/>
          <w:szCs w:val="32"/>
          <w:highlight w:val="none"/>
          <w:lang w:val="en-US" w:eastAsia="zh-CN"/>
        </w:rPr>
      </w:pPr>
    </w:p>
    <w:p>
      <w:pPr>
        <w:rPr>
          <w:rFonts w:hint="eastAsia" w:ascii="黑体" w:hAnsi="黑体" w:eastAsia="黑体" w:cs="黑体"/>
          <w:color w:val="auto"/>
          <w:sz w:val="32"/>
          <w:szCs w:val="32"/>
          <w:highlight w:val="none"/>
          <w:lang w:val="en-US" w:eastAsia="zh-CN"/>
        </w:rPr>
      </w:pPr>
    </w:p>
    <w:p>
      <w:pPr>
        <w:pStyle w:val="2"/>
        <w:rPr>
          <w:rFonts w:hint="eastAsia" w:ascii="黑体" w:hAnsi="黑体" w:eastAsia="黑体" w:cs="黑体"/>
          <w:color w:val="auto"/>
          <w:sz w:val="32"/>
          <w:szCs w:val="32"/>
          <w:highlight w:val="none"/>
          <w:lang w:val="en-US" w:eastAsia="zh-CN"/>
        </w:rPr>
      </w:pPr>
    </w:p>
    <w:p>
      <w:pPr>
        <w:rPr>
          <w:rFonts w:hint="eastAsia" w:ascii="黑体" w:hAnsi="黑体" w:eastAsia="黑体" w:cs="黑体"/>
          <w:color w:val="auto"/>
          <w:sz w:val="32"/>
          <w:szCs w:val="32"/>
          <w:highlight w:val="none"/>
          <w:lang w:val="en-US" w:eastAsia="zh-CN"/>
        </w:rPr>
      </w:pPr>
    </w:p>
    <w:p>
      <w:pPr>
        <w:pStyle w:val="2"/>
        <w:rPr>
          <w:rFonts w:hint="eastAsia" w:ascii="黑体" w:hAnsi="黑体" w:eastAsia="黑体" w:cs="黑体"/>
          <w:color w:val="auto"/>
          <w:sz w:val="32"/>
          <w:szCs w:val="32"/>
          <w:highlight w:val="none"/>
          <w:lang w:val="en-US" w:eastAsia="zh-CN"/>
        </w:rPr>
      </w:pPr>
    </w:p>
    <w:p>
      <w:pPr>
        <w:rPr>
          <w:rFonts w:hint="eastAsia" w:ascii="黑体" w:hAnsi="黑体" w:eastAsia="黑体" w:cs="黑体"/>
          <w:color w:val="auto"/>
          <w:sz w:val="32"/>
          <w:szCs w:val="32"/>
          <w:highlight w:val="none"/>
          <w:lang w:val="en-US" w:eastAsia="zh-CN"/>
        </w:rPr>
      </w:pPr>
    </w:p>
    <w:p>
      <w:pPr>
        <w:pStyle w:val="2"/>
        <w:rPr>
          <w:rFonts w:hint="eastAsia" w:ascii="黑体" w:hAnsi="黑体" w:eastAsia="黑体" w:cs="黑体"/>
          <w:color w:val="auto"/>
          <w:sz w:val="32"/>
          <w:szCs w:val="32"/>
          <w:highlight w:val="none"/>
          <w:lang w:val="en-US" w:eastAsia="zh-CN"/>
        </w:rPr>
      </w:pPr>
    </w:p>
    <w:p>
      <w:pPr>
        <w:pStyle w:val="2"/>
        <w:ind w:left="0" w:leftChars="0" w:firstLine="0" w:firstLineChars="0"/>
        <w:rPr>
          <w:rFonts w:hint="eastAsia" w:ascii="黑体" w:hAnsi="黑体" w:eastAsia="黑体" w:cs="黑体"/>
          <w:color w:val="auto"/>
          <w:sz w:val="32"/>
          <w:szCs w:val="32"/>
          <w:highlight w:val="none"/>
          <w:lang w:val="en-US" w:eastAsia="zh-CN"/>
        </w:rPr>
      </w:pP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310"/>
        <w:gridCol w:w="1275"/>
        <w:gridCol w:w="223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 xml:space="preserve">2022年部门预算项目（招商引资工作经费）绩效目标自评 </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sz w:val="24"/>
                <w:szCs w:val="24"/>
                <w:u w:val="none"/>
                <w:lang w:eastAsia="zh-CN"/>
              </w:rPr>
              <w:t>广元市昭化区亭子湖景区保护与发展中心</w:t>
            </w:r>
            <w:r>
              <w:rPr>
                <w:rFonts w:hint="eastAsia" w:ascii="宋体" w:hAnsi="宋体" w:cs="宋体"/>
                <w:i w:val="0"/>
                <w:color w:val="auto"/>
                <w:sz w:val="24"/>
                <w:szCs w:val="24"/>
                <w:u w:val="none"/>
                <w:lang w:val="en-US" w:eastAsia="zh-CN"/>
              </w:rPr>
              <w:t>356301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广元市昭化区亭子湖景区保护与发展中心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08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eastAsia="zh-CN"/>
              </w:rPr>
              <w:t>制作招商手册，外出招商，</w:t>
            </w:r>
            <w:r>
              <w:rPr>
                <w:rFonts w:hint="eastAsia" w:ascii="宋体" w:hAnsi="宋体" w:eastAsia="宋体" w:cs="宋体"/>
                <w:i w:val="0"/>
                <w:color w:val="auto"/>
                <w:sz w:val="24"/>
                <w:szCs w:val="24"/>
                <w:u w:val="none"/>
              </w:rPr>
              <w:t>完成招商签约项目1个，到位资金</w:t>
            </w:r>
            <w:r>
              <w:rPr>
                <w:rFonts w:hint="eastAsia" w:ascii="宋体" w:hAnsi="宋体" w:cs="宋体"/>
                <w:i w:val="0"/>
                <w:color w:val="auto"/>
                <w:sz w:val="24"/>
                <w:szCs w:val="24"/>
                <w:u w:val="none"/>
                <w:lang w:val="en-US" w:eastAsia="zh-CN"/>
              </w:rPr>
              <w:t>5</w:t>
            </w:r>
            <w:r>
              <w:rPr>
                <w:rFonts w:hint="eastAsia" w:ascii="宋体" w:hAnsi="宋体" w:eastAsia="宋体" w:cs="宋体"/>
                <w:i w:val="0"/>
                <w:color w:val="auto"/>
                <w:sz w:val="24"/>
                <w:szCs w:val="24"/>
                <w:u w:val="none"/>
              </w:rPr>
              <w:t>00万元。</w:t>
            </w: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eastAsia="zh-CN"/>
              </w:rPr>
              <w:t>支出</w:t>
            </w:r>
            <w:r>
              <w:rPr>
                <w:rFonts w:hint="eastAsia" w:ascii="宋体" w:hAnsi="宋体" w:cs="宋体"/>
                <w:i w:val="0"/>
                <w:color w:val="auto"/>
                <w:sz w:val="24"/>
                <w:szCs w:val="24"/>
                <w:u w:val="none"/>
                <w:lang w:val="en-US" w:eastAsia="zh-CN"/>
              </w:rPr>
              <w:t>2.5万元，</w:t>
            </w:r>
            <w:r>
              <w:rPr>
                <w:rFonts w:hint="eastAsia" w:ascii="宋体" w:hAnsi="宋体" w:cs="宋体"/>
                <w:i w:val="0"/>
                <w:color w:val="auto"/>
                <w:sz w:val="24"/>
                <w:szCs w:val="24"/>
                <w:u w:val="none"/>
                <w:lang w:eastAsia="zh-CN"/>
              </w:rPr>
              <w:t>印制招商宣传折页</w:t>
            </w:r>
            <w:r>
              <w:rPr>
                <w:rFonts w:hint="eastAsia" w:ascii="宋体" w:hAnsi="宋体" w:cs="宋体"/>
                <w:i w:val="0"/>
                <w:color w:val="auto"/>
                <w:sz w:val="24"/>
                <w:szCs w:val="24"/>
                <w:u w:val="none"/>
                <w:lang w:val="en-US" w:eastAsia="zh-CN"/>
              </w:rPr>
              <w:t>5000本，由于受疫情影响未外出招商。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rPr>
            </w:pPr>
            <w:r>
              <w:rPr>
                <w:rFonts w:hint="eastAsia" w:ascii="仿宋_GB2312" w:hAnsi="仿宋_GB2312" w:eastAsia="仿宋_GB2312" w:cs="仿宋_GB2312"/>
                <w:i w:val="0"/>
                <w:color w:val="auto"/>
                <w:sz w:val="13"/>
                <w:szCs w:val="13"/>
                <w:u w:val="none"/>
              </w:rPr>
              <w:t>招商签约项目个数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eastAsia="zh-CN"/>
              </w:rPr>
            </w:pPr>
            <w:r>
              <w:rPr>
                <w:rFonts w:hint="eastAsia" w:ascii="仿宋_GB2312" w:hAnsi="仿宋_GB2312" w:eastAsia="仿宋_GB2312" w:cs="仿宋_GB2312"/>
                <w:i w:val="0"/>
                <w:color w:val="auto"/>
                <w:sz w:val="13"/>
                <w:szCs w:val="13"/>
                <w:u w:val="none"/>
              </w:rPr>
              <w:t>≥1</w:t>
            </w:r>
            <w:r>
              <w:rPr>
                <w:rFonts w:hint="eastAsia" w:ascii="仿宋_GB2312" w:hAnsi="仿宋_GB2312" w:eastAsia="仿宋_GB2312" w:cs="仿宋_GB2312"/>
                <w:i w:val="0"/>
                <w:color w:val="auto"/>
                <w:sz w:val="13"/>
                <w:szCs w:val="13"/>
                <w:u w:val="none"/>
                <w:lang w:eastAsia="zh-CN"/>
              </w:rPr>
              <w:t>个</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val="en-US" w:eastAsia="zh-CN"/>
              </w:rPr>
            </w:pPr>
            <w:r>
              <w:rPr>
                <w:rFonts w:hint="eastAsia" w:ascii="仿宋_GB2312" w:hAnsi="仿宋_GB2312" w:eastAsia="仿宋_GB2312" w:cs="仿宋_GB2312"/>
                <w:i w:val="0"/>
                <w:color w:val="auto"/>
                <w:sz w:val="13"/>
                <w:szCs w:val="13"/>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rPr>
            </w:pPr>
            <w:r>
              <w:rPr>
                <w:rFonts w:hint="eastAsia" w:ascii="仿宋_GB2312" w:hAnsi="仿宋_GB2312" w:eastAsia="仿宋_GB2312" w:cs="仿宋_GB2312"/>
                <w:i w:val="0"/>
                <w:color w:val="auto"/>
                <w:sz w:val="13"/>
                <w:szCs w:val="13"/>
                <w:u w:val="none"/>
              </w:rPr>
              <w:t>招商到位资金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rPr>
            </w:pPr>
            <w:r>
              <w:rPr>
                <w:rFonts w:hint="eastAsia" w:ascii="仿宋_GB2312" w:hAnsi="仿宋_GB2312" w:eastAsia="仿宋_GB2312" w:cs="仿宋_GB2312"/>
                <w:i w:val="0"/>
                <w:color w:val="auto"/>
                <w:sz w:val="13"/>
                <w:szCs w:val="13"/>
                <w:u w:val="none"/>
              </w:rPr>
              <w:t>≥</w:t>
            </w:r>
            <w:r>
              <w:rPr>
                <w:rFonts w:hint="eastAsia" w:ascii="仿宋_GB2312" w:hAnsi="仿宋_GB2312" w:eastAsia="仿宋_GB2312" w:cs="仿宋_GB2312"/>
                <w:i w:val="0"/>
                <w:color w:val="auto"/>
                <w:sz w:val="13"/>
                <w:szCs w:val="13"/>
                <w:u w:val="none"/>
                <w:lang w:val="en-US" w:eastAsia="zh-CN"/>
              </w:rPr>
              <w:t>5</w:t>
            </w:r>
            <w:r>
              <w:rPr>
                <w:rFonts w:hint="eastAsia" w:ascii="仿宋_GB2312" w:hAnsi="仿宋_GB2312" w:eastAsia="仿宋_GB2312" w:cs="仿宋_GB2312"/>
                <w:i w:val="0"/>
                <w:color w:val="auto"/>
                <w:sz w:val="13"/>
                <w:szCs w:val="13"/>
                <w:u w:val="none"/>
              </w:rPr>
              <w:t>00万元</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3"/>
                <w:szCs w:val="13"/>
                <w:u w:val="none"/>
                <w:lang w:val="en-US" w:eastAsia="zh-CN"/>
              </w:rPr>
            </w:pPr>
            <w:r>
              <w:rPr>
                <w:rFonts w:hint="eastAsia" w:ascii="仿宋_GB2312" w:hAnsi="仿宋_GB2312" w:eastAsia="仿宋_GB2312" w:cs="仿宋_GB2312"/>
                <w:i w:val="0"/>
                <w:color w:val="auto"/>
                <w:sz w:val="13"/>
                <w:szCs w:val="13"/>
                <w:u w:val="none"/>
                <w:lang w:val="en-US" w:eastAsia="zh-CN"/>
              </w:rPr>
              <w:t>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eastAsia="zh-CN"/>
              </w:rPr>
            </w:pPr>
            <w:r>
              <w:rPr>
                <w:rFonts w:hint="eastAsia" w:ascii="仿宋_GB2312" w:hAnsi="仿宋_GB2312" w:eastAsia="仿宋_GB2312" w:cs="仿宋_GB2312"/>
                <w:i w:val="0"/>
                <w:color w:val="auto"/>
                <w:sz w:val="13"/>
                <w:szCs w:val="13"/>
                <w:u w:val="none"/>
                <w:lang w:eastAsia="zh-CN"/>
              </w:rPr>
              <w:t>落地企业运行情况</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eastAsia="zh-CN"/>
              </w:rPr>
            </w:pPr>
            <w:r>
              <w:rPr>
                <w:rFonts w:hint="eastAsia" w:ascii="仿宋_GB2312" w:hAnsi="仿宋_GB2312" w:eastAsia="仿宋_GB2312" w:cs="仿宋_GB2312"/>
                <w:i w:val="0"/>
                <w:color w:val="auto"/>
                <w:sz w:val="13"/>
                <w:szCs w:val="13"/>
                <w:u w:val="none"/>
                <w:lang w:eastAsia="zh-CN"/>
              </w:rPr>
              <w:t>良好</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eastAsia="zh-CN"/>
              </w:rPr>
            </w:pPr>
            <w:r>
              <w:rPr>
                <w:rFonts w:hint="eastAsia" w:ascii="仿宋_GB2312" w:hAnsi="仿宋_GB2312" w:eastAsia="仿宋_GB2312" w:cs="仿宋_GB2312"/>
                <w:i w:val="0"/>
                <w:color w:val="auto"/>
                <w:sz w:val="13"/>
                <w:szCs w:val="13"/>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rPr>
            </w:pPr>
            <w:r>
              <w:rPr>
                <w:rFonts w:hint="eastAsia" w:ascii="仿宋_GB2312" w:hAnsi="仿宋_GB2312" w:eastAsia="仿宋_GB2312" w:cs="仿宋_GB2312"/>
                <w:i w:val="0"/>
                <w:color w:val="auto"/>
                <w:sz w:val="13"/>
                <w:szCs w:val="13"/>
                <w:u w:val="none"/>
              </w:rPr>
              <w:t>工作成效影响时间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rPr>
            </w:pPr>
            <w:r>
              <w:rPr>
                <w:rFonts w:hint="eastAsia" w:ascii="仿宋_GB2312" w:hAnsi="仿宋_GB2312" w:eastAsia="仿宋_GB2312" w:cs="仿宋_GB2312"/>
                <w:i w:val="0"/>
                <w:color w:val="auto"/>
                <w:sz w:val="13"/>
                <w:szCs w:val="13"/>
                <w:u w:val="none"/>
              </w:rPr>
              <w:t>≥3年</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val="en-US" w:eastAsia="zh-CN"/>
              </w:rPr>
            </w:pPr>
            <w:r>
              <w:rPr>
                <w:rFonts w:hint="eastAsia" w:ascii="仿宋_GB2312" w:hAnsi="仿宋_GB2312" w:eastAsia="仿宋_GB2312" w:cs="仿宋_GB2312"/>
                <w:i w:val="0"/>
                <w:color w:val="auto"/>
                <w:sz w:val="13"/>
                <w:szCs w:val="13"/>
                <w:u w:val="none"/>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eastAsia="zh-CN"/>
              </w:rPr>
            </w:pPr>
            <w:r>
              <w:rPr>
                <w:rFonts w:hint="default" w:ascii="仿宋_GB2312" w:hAnsi="仿宋_GB2312" w:eastAsia="仿宋_GB2312" w:cs="仿宋_GB2312"/>
                <w:i w:val="0"/>
                <w:color w:val="auto"/>
                <w:sz w:val="15"/>
                <w:szCs w:val="15"/>
                <w:u w:val="none"/>
                <w:lang w:val="en-US" w:eastAsia="zh-CN"/>
              </w:rPr>
              <w:t>解决招商工作经费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val="en-US" w:eastAsia="zh-CN"/>
              </w:rPr>
              <w:t>2.5万元</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val="en-US" w:eastAsia="zh-CN"/>
              </w:rPr>
              <w:t>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rPr>
            </w:pPr>
            <w:r>
              <w:rPr>
                <w:rFonts w:hint="eastAsia" w:ascii="仿宋_GB2312" w:hAnsi="仿宋_GB2312" w:eastAsia="仿宋_GB2312" w:cs="仿宋_GB2312"/>
                <w:i w:val="0"/>
                <w:color w:val="auto"/>
                <w:sz w:val="15"/>
                <w:szCs w:val="15"/>
                <w:u w:val="none"/>
              </w:rPr>
              <w:t>景区群众收入</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eastAsia="zh-CN"/>
              </w:rPr>
            </w:pPr>
            <w:r>
              <w:rPr>
                <w:rFonts w:hint="eastAsia" w:ascii="仿宋_GB2312" w:hAnsi="仿宋_GB2312" w:eastAsia="仿宋_GB2312" w:cs="仿宋_GB2312"/>
                <w:i w:val="0"/>
                <w:color w:val="auto"/>
                <w:sz w:val="15"/>
                <w:szCs w:val="15"/>
                <w:u w:val="none"/>
                <w:lang w:eastAsia="zh-CN"/>
              </w:rPr>
              <w:t>明显提高</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eastAsia="zh-CN"/>
              </w:rPr>
            </w:pPr>
            <w:r>
              <w:rPr>
                <w:rFonts w:hint="eastAsia" w:ascii="仿宋_GB2312" w:hAnsi="仿宋_GB2312" w:eastAsia="仿宋_GB2312" w:cs="仿宋_GB2312"/>
                <w:i w:val="0"/>
                <w:color w:val="auto"/>
                <w:sz w:val="15"/>
                <w:szCs w:val="15"/>
                <w:u w:val="none"/>
                <w:lang w:eastAsia="zh-CN"/>
              </w:rPr>
              <w:t>明显提高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rPr>
            </w:pPr>
            <w:r>
              <w:rPr>
                <w:rFonts w:hint="eastAsia" w:ascii="仿宋_GB2312" w:hAnsi="仿宋_GB2312" w:eastAsia="仿宋_GB2312" w:cs="仿宋_GB2312"/>
                <w:i w:val="0"/>
                <w:color w:val="auto"/>
                <w:sz w:val="15"/>
                <w:szCs w:val="15"/>
                <w:u w:val="none"/>
              </w:rPr>
              <w:t>受益带动乡镇个数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rPr>
            </w:pPr>
            <w:r>
              <w:rPr>
                <w:rFonts w:hint="eastAsia" w:ascii="仿宋_GB2312" w:hAnsi="仿宋_GB2312" w:eastAsia="仿宋_GB2312" w:cs="仿宋_GB2312"/>
                <w:i w:val="0"/>
                <w:color w:val="auto"/>
                <w:sz w:val="15"/>
                <w:szCs w:val="15"/>
                <w:u w:val="none"/>
              </w:rPr>
              <w:t>≥7个</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val="en-US" w:eastAsia="zh-CN"/>
              </w:rPr>
              <w:t>7个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rPr>
            </w:pPr>
            <w:r>
              <w:rPr>
                <w:rFonts w:hint="eastAsia" w:ascii="仿宋_GB2312" w:hAnsi="仿宋_GB2312" w:eastAsia="仿宋_GB2312" w:cs="仿宋_GB2312"/>
                <w:i w:val="0"/>
                <w:color w:val="auto"/>
                <w:sz w:val="15"/>
                <w:szCs w:val="15"/>
                <w:u w:val="none"/>
              </w:rPr>
              <w:t>受益带动</w:t>
            </w:r>
            <w:r>
              <w:rPr>
                <w:rFonts w:hint="eastAsia" w:ascii="仿宋_GB2312" w:hAnsi="仿宋_GB2312" w:eastAsia="仿宋_GB2312" w:cs="仿宋_GB2312"/>
                <w:i w:val="0"/>
                <w:color w:val="auto"/>
                <w:sz w:val="15"/>
                <w:szCs w:val="15"/>
                <w:u w:val="none"/>
                <w:lang w:eastAsia="zh-CN"/>
              </w:rPr>
              <w:t>群众人</w:t>
            </w:r>
            <w:r>
              <w:rPr>
                <w:rFonts w:hint="eastAsia" w:ascii="仿宋_GB2312" w:hAnsi="仿宋_GB2312" w:eastAsia="仿宋_GB2312" w:cs="仿宋_GB2312"/>
                <w:i w:val="0"/>
                <w:color w:val="auto"/>
                <w:sz w:val="15"/>
                <w:szCs w:val="15"/>
                <w:u w:val="none"/>
              </w:rPr>
              <w:t>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rPr>
            </w:pPr>
            <w:r>
              <w:rPr>
                <w:rFonts w:hint="eastAsia" w:ascii="仿宋_GB2312" w:hAnsi="仿宋_GB2312" w:eastAsia="仿宋_GB2312" w:cs="仿宋_GB2312"/>
                <w:i w:val="0"/>
                <w:color w:val="auto"/>
                <w:sz w:val="15"/>
                <w:szCs w:val="15"/>
                <w:u w:val="none"/>
              </w:rPr>
              <w:t>≥</w:t>
            </w:r>
            <w:r>
              <w:rPr>
                <w:rFonts w:hint="eastAsia" w:ascii="仿宋_GB2312" w:hAnsi="仿宋_GB2312" w:eastAsia="仿宋_GB2312" w:cs="仿宋_GB2312"/>
                <w:i w:val="0"/>
                <w:color w:val="auto"/>
                <w:sz w:val="15"/>
                <w:szCs w:val="15"/>
                <w:u w:val="none"/>
                <w:lang w:val="en-US" w:eastAsia="zh-CN"/>
              </w:rPr>
              <w:t>30人</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val="en-US" w:eastAsia="zh-CN"/>
              </w:rPr>
              <w:t>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rPr>
            </w:pPr>
            <w:r>
              <w:rPr>
                <w:rFonts w:hint="eastAsia" w:ascii="仿宋_GB2312" w:hAnsi="仿宋_GB2312" w:eastAsia="仿宋_GB2312" w:cs="仿宋_GB2312"/>
                <w:i w:val="0"/>
                <w:color w:val="auto"/>
                <w:sz w:val="15"/>
                <w:szCs w:val="15"/>
                <w:u w:val="none"/>
              </w:rPr>
              <w:t>景区群众</w:t>
            </w:r>
            <w:r>
              <w:rPr>
                <w:rFonts w:hint="eastAsia" w:ascii="仿宋_GB2312" w:hAnsi="仿宋_GB2312" w:eastAsia="仿宋_GB2312" w:cs="仿宋_GB2312"/>
                <w:i w:val="0"/>
                <w:color w:val="auto"/>
                <w:sz w:val="15"/>
                <w:szCs w:val="15"/>
                <w:u w:val="none"/>
                <w:lang w:eastAsia="zh-CN"/>
              </w:rPr>
              <w:t>和企业</w:t>
            </w:r>
            <w:r>
              <w:rPr>
                <w:rFonts w:hint="eastAsia" w:ascii="仿宋_GB2312" w:hAnsi="仿宋_GB2312" w:eastAsia="仿宋_GB2312" w:cs="仿宋_GB2312"/>
                <w:i w:val="0"/>
                <w:color w:val="auto"/>
                <w:sz w:val="15"/>
                <w:szCs w:val="15"/>
                <w:u w:val="none"/>
              </w:rPr>
              <w:t>满意度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rPr>
            </w:pPr>
            <w:r>
              <w:rPr>
                <w:rFonts w:hint="eastAsia" w:ascii="仿宋_GB2312" w:hAnsi="仿宋_GB2312" w:eastAsia="仿宋_GB2312" w:cs="仿宋_GB2312"/>
                <w:i w:val="0"/>
                <w:color w:val="auto"/>
                <w:sz w:val="15"/>
                <w:szCs w:val="15"/>
                <w:u w:val="none"/>
              </w:rPr>
              <w:t>≥90%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rPr>
            </w:pPr>
            <w:r>
              <w:rPr>
                <w:rFonts w:hint="eastAsia" w:ascii="仿宋_GB2312" w:hAnsi="仿宋_GB2312" w:eastAsia="仿宋_GB2312" w:cs="仿宋_GB2312"/>
                <w:i w:val="0"/>
                <w:color w:val="auto"/>
                <w:sz w:val="15"/>
                <w:szCs w:val="15"/>
                <w:u w:val="none"/>
              </w:rPr>
              <w:t>90%</w:t>
            </w:r>
          </w:p>
        </w:tc>
      </w:tr>
    </w:tbl>
    <w:p>
      <w:pPr>
        <w:spacing w:line="500" w:lineRule="exact"/>
        <w:jc w:val="left"/>
        <w:rPr>
          <w:rFonts w:hint="eastAsia" w:eastAsia="黑体" w:cs="Times New Roman"/>
          <w:sz w:val="32"/>
          <w:szCs w:val="32"/>
          <w:lang w:val="en-US" w:eastAsia="zh-CN"/>
        </w:rPr>
      </w:pPr>
      <w:r>
        <w:rPr>
          <w:rFonts w:hint="default" w:ascii="Times New Roman" w:hAnsi="Times New Roman" w:eastAsia="黑体" w:cs="Times New Roman"/>
          <w:sz w:val="32"/>
          <w:szCs w:val="32"/>
        </w:rPr>
        <w:t>附</w:t>
      </w:r>
      <w:r>
        <w:rPr>
          <w:rFonts w:hint="eastAsia" w:eastAsia="黑体" w:cs="Times New Roman"/>
          <w:sz w:val="32"/>
          <w:szCs w:val="32"/>
          <w:lang w:eastAsia="zh-CN"/>
        </w:rPr>
        <w:t>件</w:t>
      </w:r>
      <w:r>
        <w:rPr>
          <w:rFonts w:hint="eastAsia" w:eastAsia="黑体" w:cs="Times New Roman"/>
          <w:sz w:val="32"/>
          <w:szCs w:val="32"/>
          <w:lang w:val="en-US" w:eastAsia="zh-CN"/>
        </w:rPr>
        <w:t>4</w:t>
      </w:r>
    </w:p>
    <w:p>
      <w:pPr>
        <w:pStyle w:val="2"/>
        <w:rPr>
          <w:rFonts w:hint="eastAsia"/>
          <w:lang w:val="en-US" w:eastAsia="zh-CN"/>
        </w:rPr>
      </w:pPr>
    </w:p>
    <w:p>
      <w:pPr>
        <w:pStyle w:val="2"/>
        <w:rPr>
          <w:rFonts w:hint="default"/>
          <w:lang w:val="en-US" w:eastAsia="zh-CN"/>
        </w:rPr>
      </w:pPr>
    </w:p>
    <w:p>
      <w:pPr>
        <w:spacing w:line="600" w:lineRule="exact"/>
        <w:jc w:val="center"/>
        <w:outlineLvl w:val="0"/>
        <w:rPr>
          <w:rFonts w:hint="eastAsia" w:ascii="黑体" w:hAnsi="黑体" w:eastAsia="黑体"/>
          <w:color w:val="auto"/>
          <w:sz w:val="44"/>
          <w:szCs w:val="44"/>
          <w:highlight w:val="none"/>
          <w:lang w:eastAsia="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rPr>
          <w:rFonts w:hint="eastAsia"/>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仿宋_GB2312" w:hAnsi="仿宋_GB2312" w:eastAsia="黑体" w:cs="仿宋_GB2312"/>
          <w:color w:val="auto"/>
          <w:sz w:val="32"/>
          <w:szCs w:val="32"/>
          <w:highlight w:val="none"/>
          <w:lang w:val="en-US" w:eastAsia="zh-CN"/>
        </w:rPr>
      </w:pPr>
      <w:r>
        <w:rPr>
          <w:rFonts w:hint="eastAsia" w:ascii="仿宋_GB2312" w:hAnsi="仿宋_GB2312" w:eastAsia="黑体" w:cs="仿宋_GB2312"/>
          <w:color w:val="auto"/>
          <w:sz w:val="32"/>
          <w:szCs w:val="32"/>
          <w:highlight w:val="none"/>
          <w:lang w:val="en-US" w:eastAsia="zh-CN"/>
        </w:rPr>
        <w:t>附件5</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310"/>
        <w:gridCol w:w="1245"/>
        <w:gridCol w:w="226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 xml:space="preserve">2022年部门预算项目（虎跳亭子湖岸垃圾整治）绩效目标自评 </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sz w:val="24"/>
                <w:szCs w:val="24"/>
                <w:u w:val="none"/>
                <w:lang w:eastAsia="zh-CN"/>
              </w:rPr>
              <w:t>广元市昭化区亭子湖景区保护与发展中心</w:t>
            </w:r>
            <w:r>
              <w:rPr>
                <w:rFonts w:hint="eastAsia" w:ascii="宋体" w:hAnsi="宋体" w:cs="宋体"/>
                <w:i w:val="0"/>
                <w:color w:val="auto"/>
                <w:sz w:val="24"/>
                <w:szCs w:val="24"/>
                <w:u w:val="none"/>
                <w:lang w:val="en-US" w:eastAsia="zh-CN"/>
              </w:rPr>
              <w:t>356301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广元市昭化区亭子湖景区保护与发展中心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08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开展虎跳亭子湖岸垃圾整治，有效解决垃圾堆积问题，打造优美的亭子湖生态环境。</w:t>
            </w: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val="en-US" w:eastAsia="zh-CN"/>
              </w:rPr>
              <w:t xml:space="preserve"> 完成虎跳</w:t>
            </w:r>
            <w:r>
              <w:rPr>
                <w:rFonts w:hint="eastAsia" w:ascii="宋体" w:hAnsi="宋体" w:cs="宋体"/>
                <w:i w:val="0"/>
                <w:color w:val="auto"/>
                <w:sz w:val="24"/>
                <w:szCs w:val="24"/>
                <w:u w:val="none"/>
                <w:lang w:eastAsia="zh-CN"/>
              </w:rPr>
              <w:t>亭子湖岸</w:t>
            </w:r>
            <w:r>
              <w:rPr>
                <w:rFonts w:hint="eastAsia" w:ascii="宋体" w:hAnsi="宋体" w:cs="宋体"/>
                <w:i w:val="0"/>
                <w:color w:val="auto"/>
                <w:sz w:val="24"/>
                <w:szCs w:val="24"/>
                <w:u w:val="none"/>
                <w:lang w:val="en-US" w:eastAsia="zh-CN"/>
              </w:rPr>
              <w:t>460吨</w:t>
            </w:r>
            <w:r>
              <w:rPr>
                <w:rFonts w:hint="eastAsia" w:ascii="宋体" w:hAnsi="宋体" w:cs="宋体"/>
                <w:i w:val="0"/>
                <w:color w:val="auto"/>
                <w:sz w:val="24"/>
                <w:szCs w:val="24"/>
                <w:u w:val="none"/>
                <w:lang w:eastAsia="zh-CN"/>
              </w:rPr>
              <w:t>垃圾打捞、清运、处置。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63"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eastAsia="zh-CN"/>
              </w:rPr>
            </w:pPr>
            <w:r>
              <w:rPr>
                <w:rFonts w:hint="eastAsia" w:ascii="仿宋_GB2312" w:hAnsi="仿宋_GB2312" w:eastAsia="仿宋_GB2312" w:cs="仿宋_GB2312"/>
                <w:i w:val="0"/>
                <w:color w:val="auto"/>
                <w:sz w:val="13"/>
                <w:szCs w:val="13"/>
                <w:u w:val="none"/>
                <w:lang w:eastAsia="zh-CN"/>
              </w:rPr>
              <w:t>清运垃圾数量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3"/>
                <w:szCs w:val="13"/>
                <w:u w:val="none"/>
                <w:lang w:val="en-US" w:eastAsia="zh-CN"/>
              </w:rPr>
            </w:pPr>
            <w:r>
              <w:rPr>
                <w:rFonts w:hint="eastAsia" w:ascii="仿宋_GB2312" w:hAnsi="仿宋_GB2312" w:eastAsia="仿宋_GB2312" w:cs="仿宋_GB2312"/>
                <w:i w:val="0"/>
                <w:color w:val="auto"/>
                <w:sz w:val="13"/>
                <w:szCs w:val="13"/>
                <w:u w:val="none"/>
              </w:rPr>
              <w:t>≥</w:t>
            </w:r>
            <w:r>
              <w:rPr>
                <w:rFonts w:hint="eastAsia" w:ascii="仿宋_GB2312" w:hAnsi="仿宋_GB2312" w:eastAsia="仿宋_GB2312" w:cs="仿宋_GB2312"/>
                <w:i w:val="0"/>
                <w:color w:val="auto"/>
                <w:sz w:val="13"/>
                <w:szCs w:val="13"/>
                <w:u w:val="none"/>
                <w:lang w:val="en-US" w:eastAsia="zh-CN"/>
              </w:rPr>
              <w:t>450吨</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3"/>
                <w:szCs w:val="13"/>
                <w:u w:val="none"/>
                <w:lang w:val="en-US" w:eastAsia="zh-CN"/>
              </w:rPr>
            </w:pPr>
            <w:r>
              <w:rPr>
                <w:rFonts w:hint="eastAsia" w:ascii="仿宋_GB2312" w:hAnsi="仿宋_GB2312" w:eastAsia="仿宋_GB2312" w:cs="仿宋_GB2312"/>
                <w:i w:val="0"/>
                <w:color w:val="auto"/>
                <w:sz w:val="13"/>
                <w:szCs w:val="13"/>
                <w:u w:val="none"/>
                <w:lang w:val="en-US" w:eastAsia="zh-CN"/>
              </w:rPr>
              <w:t>460吨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eastAsia="zh-CN"/>
              </w:rPr>
            </w:pPr>
            <w:r>
              <w:rPr>
                <w:rFonts w:hint="eastAsia" w:ascii="仿宋_GB2312" w:hAnsi="仿宋_GB2312" w:eastAsia="仿宋_GB2312" w:cs="仿宋_GB2312"/>
                <w:i w:val="0"/>
                <w:color w:val="auto"/>
                <w:sz w:val="13"/>
                <w:szCs w:val="13"/>
                <w:u w:val="none"/>
                <w:lang w:eastAsia="zh-CN"/>
              </w:rPr>
              <w:t>亭子湖岸坡整洁度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eastAsia="zh-CN"/>
              </w:rPr>
            </w:pPr>
            <w:r>
              <w:rPr>
                <w:rFonts w:hint="eastAsia" w:ascii="仿宋_GB2312" w:hAnsi="仿宋_GB2312" w:eastAsia="仿宋_GB2312" w:cs="仿宋_GB2312"/>
                <w:i w:val="0"/>
                <w:color w:val="auto"/>
                <w:sz w:val="13"/>
                <w:szCs w:val="13"/>
                <w:u w:val="none"/>
                <w:lang w:eastAsia="zh-CN"/>
              </w:rPr>
              <w:t>整洁、无垃圾</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rPr>
            </w:pPr>
            <w:r>
              <w:rPr>
                <w:rFonts w:hint="eastAsia" w:ascii="仿宋_GB2312" w:hAnsi="仿宋_GB2312" w:eastAsia="仿宋_GB2312" w:cs="仿宋_GB2312"/>
                <w:i w:val="0"/>
                <w:color w:val="auto"/>
                <w:sz w:val="13"/>
                <w:szCs w:val="13"/>
                <w:u w:val="none"/>
                <w:lang w:eastAsia="zh-CN"/>
              </w:rPr>
              <w:t>整洁、无垃圾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62"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rPr>
            </w:pPr>
            <w:r>
              <w:rPr>
                <w:rFonts w:hint="eastAsia" w:ascii="仿宋_GB2312" w:hAnsi="仿宋_GB2312" w:eastAsia="仿宋_GB2312" w:cs="仿宋_GB2312"/>
                <w:i w:val="0"/>
                <w:color w:val="auto"/>
                <w:sz w:val="13"/>
                <w:szCs w:val="13"/>
                <w:u w:val="none"/>
                <w:lang w:eastAsia="zh-CN"/>
              </w:rPr>
              <w:t>影响</w:t>
            </w:r>
            <w:r>
              <w:rPr>
                <w:rFonts w:hint="eastAsia" w:ascii="仿宋_GB2312" w:hAnsi="仿宋_GB2312" w:eastAsia="仿宋_GB2312" w:cs="仿宋_GB2312"/>
                <w:i w:val="0"/>
                <w:color w:val="auto"/>
                <w:sz w:val="13"/>
                <w:szCs w:val="13"/>
                <w:u w:val="none"/>
              </w:rPr>
              <w:t>时间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val="en-US" w:eastAsia="zh-CN"/>
              </w:rPr>
            </w:pPr>
            <w:r>
              <w:rPr>
                <w:rFonts w:hint="eastAsia" w:ascii="仿宋_GB2312" w:hAnsi="仿宋_GB2312" w:eastAsia="仿宋_GB2312" w:cs="仿宋_GB2312"/>
                <w:i w:val="0"/>
                <w:color w:val="auto"/>
                <w:sz w:val="13"/>
                <w:szCs w:val="13"/>
                <w:u w:val="none"/>
              </w:rPr>
              <w:t>≥</w:t>
            </w:r>
            <w:r>
              <w:rPr>
                <w:rFonts w:hint="eastAsia" w:ascii="仿宋_GB2312" w:hAnsi="仿宋_GB2312" w:eastAsia="仿宋_GB2312" w:cs="仿宋_GB2312"/>
                <w:i w:val="0"/>
                <w:color w:val="auto"/>
                <w:sz w:val="13"/>
                <w:szCs w:val="13"/>
                <w:u w:val="none"/>
                <w:lang w:val="en-US" w:eastAsia="zh-CN"/>
              </w:rPr>
              <w:t>1年</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val="en-US" w:eastAsia="zh-CN"/>
              </w:rPr>
            </w:pPr>
            <w:r>
              <w:rPr>
                <w:rFonts w:hint="eastAsia" w:ascii="仿宋_GB2312" w:hAnsi="仿宋_GB2312" w:eastAsia="仿宋_GB2312" w:cs="仿宋_GB2312"/>
                <w:i w:val="0"/>
                <w:color w:val="auto"/>
                <w:sz w:val="13"/>
                <w:szCs w:val="13"/>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99"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eastAsia="zh-CN"/>
              </w:rPr>
            </w:pPr>
            <w:r>
              <w:rPr>
                <w:rFonts w:hint="default" w:ascii="仿宋_GB2312" w:hAnsi="仿宋_GB2312" w:eastAsia="仿宋_GB2312" w:cs="仿宋_GB2312"/>
                <w:i w:val="0"/>
                <w:color w:val="auto"/>
                <w:sz w:val="15"/>
                <w:szCs w:val="15"/>
                <w:u w:val="none"/>
                <w:lang w:val="en-US" w:eastAsia="zh-CN"/>
              </w:rPr>
              <w:t>工作经费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val="en-US" w:eastAsia="zh-CN"/>
              </w:rPr>
              <w:t>16万元</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val="en-US" w:eastAsia="zh-CN"/>
              </w:rPr>
              <w:t>16万元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892"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eastAsia="zh-CN"/>
              </w:rPr>
            </w:pPr>
            <w:r>
              <w:rPr>
                <w:rFonts w:hint="eastAsia" w:ascii="仿宋_GB2312" w:hAnsi="仿宋_GB2312" w:eastAsia="仿宋_GB2312" w:cs="仿宋_GB2312"/>
                <w:i w:val="0"/>
                <w:color w:val="auto"/>
                <w:sz w:val="15"/>
                <w:szCs w:val="15"/>
                <w:u w:val="none"/>
                <w:lang w:eastAsia="zh-CN"/>
              </w:rPr>
              <w:t>湖区旅游人数增加</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rPr>
              <w:t>≥</w:t>
            </w:r>
            <w:r>
              <w:rPr>
                <w:rFonts w:hint="eastAsia" w:ascii="仿宋_GB2312" w:hAnsi="仿宋_GB2312" w:eastAsia="仿宋_GB2312" w:cs="仿宋_GB2312"/>
                <w:i w:val="0"/>
                <w:color w:val="auto"/>
                <w:sz w:val="15"/>
                <w:szCs w:val="15"/>
                <w:u w:val="none"/>
                <w:lang w:val="en-US" w:eastAsia="zh-CN"/>
              </w:rPr>
              <w:t>50人</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val="en-US" w:eastAsia="zh-CN"/>
              </w:rPr>
              <w:t>60人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eastAsia="zh-CN"/>
              </w:rPr>
            </w:pPr>
            <w:r>
              <w:rPr>
                <w:rFonts w:hint="eastAsia" w:ascii="仿宋_GB2312" w:hAnsi="仿宋_GB2312" w:eastAsia="仿宋_GB2312" w:cs="仿宋_GB2312"/>
                <w:i w:val="0"/>
                <w:color w:val="auto"/>
                <w:sz w:val="15"/>
                <w:szCs w:val="15"/>
                <w:u w:val="none"/>
                <w:lang w:eastAsia="zh-CN"/>
              </w:rPr>
              <w:t>湖区旅游业态</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eastAsia="zh-CN"/>
              </w:rPr>
              <w:t>良好</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eastAsia="zh-CN"/>
              </w:rPr>
            </w:pPr>
            <w:r>
              <w:rPr>
                <w:rFonts w:hint="eastAsia" w:ascii="仿宋_GB2312" w:hAnsi="仿宋_GB2312" w:eastAsia="仿宋_GB2312" w:cs="仿宋_GB2312"/>
                <w:i w:val="0"/>
                <w:color w:val="auto"/>
                <w:sz w:val="15"/>
                <w:szCs w:val="15"/>
                <w:u w:val="none"/>
                <w:lang w:eastAsia="zh-CN"/>
              </w:rPr>
              <w:t>湖区环境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eastAsia="zh-CN"/>
              </w:rPr>
            </w:pPr>
            <w:r>
              <w:rPr>
                <w:rFonts w:hint="eastAsia" w:ascii="仿宋_GB2312" w:hAnsi="仿宋_GB2312" w:eastAsia="仿宋_GB2312" w:cs="仿宋_GB2312"/>
                <w:i w:val="0"/>
                <w:color w:val="auto"/>
                <w:sz w:val="15"/>
                <w:szCs w:val="15"/>
                <w:u w:val="none"/>
                <w:lang w:eastAsia="zh-CN"/>
              </w:rPr>
              <w:t>优美</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eastAsia="zh-CN"/>
              </w:rPr>
            </w:pPr>
            <w:r>
              <w:rPr>
                <w:rFonts w:hint="eastAsia" w:ascii="仿宋_GB2312" w:hAnsi="仿宋_GB2312" w:eastAsia="仿宋_GB2312" w:cs="仿宋_GB2312"/>
                <w:i w:val="0"/>
                <w:color w:val="auto"/>
                <w:sz w:val="15"/>
                <w:szCs w:val="15"/>
                <w:u w:val="none"/>
                <w:lang w:eastAsia="zh-CN"/>
              </w:rPr>
              <w:t>优美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rPr>
            </w:pPr>
            <w:r>
              <w:rPr>
                <w:rFonts w:hint="eastAsia" w:ascii="仿宋_GB2312" w:hAnsi="仿宋_GB2312" w:eastAsia="仿宋_GB2312" w:cs="仿宋_GB2312"/>
                <w:i w:val="0"/>
                <w:color w:val="auto"/>
                <w:sz w:val="15"/>
                <w:szCs w:val="15"/>
                <w:u w:val="none"/>
                <w:lang w:eastAsia="zh-CN"/>
              </w:rPr>
              <w:t>湖</w:t>
            </w:r>
            <w:r>
              <w:rPr>
                <w:rFonts w:hint="eastAsia" w:ascii="仿宋_GB2312" w:hAnsi="仿宋_GB2312" w:eastAsia="仿宋_GB2312" w:cs="仿宋_GB2312"/>
                <w:i w:val="0"/>
                <w:color w:val="auto"/>
                <w:sz w:val="15"/>
                <w:szCs w:val="15"/>
                <w:u w:val="none"/>
              </w:rPr>
              <w:t>区群众</w:t>
            </w:r>
            <w:r>
              <w:rPr>
                <w:rFonts w:hint="eastAsia" w:ascii="仿宋_GB2312" w:hAnsi="仿宋_GB2312" w:eastAsia="仿宋_GB2312" w:cs="仿宋_GB2312"/>
                <w:i w:val="0"/>
                <w:color w:val="auto"/>
                <w:sz w:val="15"/>
                <w:szCs w:val="15"/>
                <w:u w:val="none"/>
                <w:lang w:eastAsia="zh-CN"/>
              </w:rPr>
              <w:t>和游客</w:t>
            </w:r>
            <w:r>
              <w:rPr>
                <w:rFonts w:hint="eastAsia" w:ascii="仿宋_GB2312" w:hAnsi="仿宋_GB2312" w:eastAsia="仿宋_GB2312" w:cs="仿宋_GB2312"/>
                <w:i w:val="0"/>
                <w:color w:val="auto"/>
                <w:sz w:val="15"/>
                <w:szCs w:val="15"/>
                <w:u w:val="none"/>
              </w:rPr>
              <w:t>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rPr>
            </w:pPr>
            <w:r>
              <w:rPr>
                <w:rFonts w:hint="eastAsia" w:ascii="仿宋_GB2312" w:hAnsi="仿宋_GB2312" w:eastAsia="仿宋_GB2312" w:cs="仿宋_GB2312"/>
                <w:i w:val="0"/>
                <w:color w:val="auto"/>
                <w:sz w:val="15"/>
                <w:szCs w:val="15"/>
                <w:u w:val="none"/>
              </w:rPr>
              <w:t>≥90%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rPr>
            </w:pPr>
            <w:r>
              <w:rPr>
                <w:rFonts w:hint="eastAsia" w:ascii="仿宋_GB2312" w:hAnsi="仿宋_GB2312" w:eastAsia="仿宋_GB2312" w:cs="仿宋_GB2312"/>
                <w:i w:val="0"/>
                <w:color w:val="auto"/>
                <w:sz w:val="15"/>
                <w:szCs w:val="15"/>
                <w:u w:val="none"/>
              </w:rPr>
              <w:t>90%</w:t>
            </w:r>
          </w:p>
        </w:tc>
      </w:tr>
    </w:tbl>
    <w:p>
      <w:pPr>
        <w:spacing w:line="600" w:lineRule="exact"/>
        <w:jc w:val="both"/>
        <w:outlineLvl w:val="0"/>
        <w:rPr>
          <w:rFonts w:hint="eastAsia" w:ascii="黑体" w:hAnsi="黑体" w:eastAsia="黑体"/>
          <w:color w:val="auto"/>
          <w:sz w:val="44"/>
          <w:szCs w:val="44"/>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310"/>
        <w:gridCol w:w="1245"/>
        <w:gridCol w:w="226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 xml:space="preserve">2022年部门预算项目（亭子湖景区保护和管理）绩效目标自评 </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sz w:val="24"/>
                <w:szCs w:val="24"/>
                <w:u w:val="none"/>
                <w:lang w:eastAsia="zh-CN"/>
              </w:rPr>
              <w:t>广元市昭化区亭子湖景区保护与发展中心</w:t>
            </w:r>
            <w:r>
              <w:rPr>
                <w:rFonts w:hint="eastAsia" w:ascii="宋体" w:hAnsi="宋体" w:cs="宋体"/>
                <w:i w:val="0"/>
                <w:color w:val="auto"/>
                <w:sz w:val="24"/>
                <w:szCs w:val="24"/>
                <w:u w:val="none"/>
                <w:lang w:val="en-US" w:eastAsia="zh-CN"/>
              </w:rPr>
              <w:t>356301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广元市昭化区亭子湖景区保护与发展中心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08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开展亭子湖景区资源保护、安全巡查；加强景区项目建设的管理和监督；推动休闲渔业健康发展，切实帮助景区群众增收。</w:t>
            </w: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 xml:space="preserve"> 开展安全巡查和资源保护12次，联合执法4次，举办文体活动1次，无安全事故，水质保持二类。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eastAsia="zh-CN"/>
              </w:rPr>
            </w:pPr>
            <w:r>
              <w:rPr>
                <w:rFonts w:hint="eastAsia" w:ascii="仿宋_GB2312" w:hAnsi="仿宋_GB2312" w:eastAsia="仿宋_GB2312" w:cs="仿宋_GB2312"/>
                <w:i w:val="0"/>
                <w:color w:val="auto"/>
                <w:sz w:val="13"/>
                <w:szCs w:val="13"/>
                <w:u w:val="none"/>
                <w:lang w:eastAsia="zh-CN"/>
              </w:rPr>
              <w:t>开展文虎体育活动次数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3"/>
                <w:szCs w:val="13"/>
                <w:u w:val="none"/>
                <w:lang w:val="en-US" w:eastAsia="zh-CN"/>
              </w:rPr>
            </w:pPr>
            <w:r>
              <w:rPr>
                <w:rFonts w:hint="eastAsia" w:ascii="仿宋_GB2312" w:hAnsi="仿宋_GB2312" w:eastAsia="仿宋_GB2312" w:cs="仿宋_GB2312"/>
                <w:i w:val="0"/>
                <w:color w:val="auto"/>
                <w:sz w:val="13"/>
                <w:szCs w:val="13"/>
                <w:u w:val="none"/>
              </w:rPr>
              <w:t>≥</w:t>
            </w:r>
            <w:r>
              <w:rPr>
                <w:rFonts w:hint="eastAsia" w:ascii="仿宋_GB2312" w:hAnsi="仿宋_GB2312" w:eastAsia="仿宋_GB2312" w:cs="仿宋_GB2312"/>
                <w:i w:val="0"/>
                <w:color w:val="auto"/>
                <w:sz w:val="13"/>
                <w:szCs w:val="13"/>
                <w:u w:val="none"/>
                <w:lang w:val="en-US" w:eastAsia="zh-CN"/>
              </w:rPr>
              <w:t>1次/年</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3"/>
                <w:szCs w:val="13"/>
                <w:u w:val="none"/>
                <w:lang w:val="en-US" w:eastAsia="zh-CN"/>
              </w:rPr>
            </w:pPr>
            <w:r>
              <w:rPr>
                <w:rFonts w:hint="eastAsia" w:ascii="仿宋_GB2312" w:hAnsi="仿宋_GB2312" w:eastAsia="仿宋_GB2312" w:cs="仿宋_GB2312"/>
                <w:i w:val="0"/>
                <w:color w:val="auto"/>
                <w:sz w:val="13"/>
                <w:szCs w:val="13"/>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eastAsia="zh-CN"/>
              </w:rPr>
            </w:pPr>
            <w:r>
              <w:rPr>
                <w:rFonts w:hint="eastAsia" w:ascii="仿宋_GB2312" w:hAnsi="仿宋_GB2312" w:eastAsia="仿宋_GB2312" w:cs="仿宋_GB2312"/>
                <w:i w:val="0"/>
                <w:color w:val="auto"/>
                <w:sz w:val="13"/>
                <w:szCs w:val="13"/>
                <w:u w:val="none"/>
                <w:lang w:eastAsia="zh-CN"/>
              </w:rPr>
              <w:t>安全事故率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eastAsia="zh-CN"/>
              </w:rPr>
            </w:pPr>
            <w:r>
              <w:rPr>
                <w:rFonts w:hint="eastAsia" w:ascii="仿宋_GB2312" w:hAnsi="仿宋_GB2312" w:eastAsia="仿宋_GB2312" w:cs="仿宋_GB2312"/>
                <w:i w:val="0"/>
                <w:color w:val="auto"/>
                <w:sz w:val="13"/>
                <w:szCs w:val="13"/>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rPr>
            </w:pPr>
            <w:r>
              <w:rPr>
                <w:rFonts w:hint="eastAsia" w:ascii="仿宋_GB2312" w:hAnsi="仿宋_GB2312" w:eastAsia="仿宋_GB2312" w:cs="仿宋_GB2312"/>
                <w:i w:val="0"/>
                <w:color w:val="auto"/>
                <w:sz w:val="13"/>
                <w:szCs w:val="13"/>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rPr>
            </w:pPr>
            <w:r>
              <w:rPr>
                <w:rFonts w:hint="eastAsia" w:ascii="仿宋_GB2312" w:hAnsi="仿宋_GB2312" w:eastAsia="仿宋_GB2312" w:cs="仿宋_GB2312"/>
                <w:i w:val="0"/>
                <w:color w:val="auto"/>
                <w:sz w:val="13"/>
                <w:szCs w:val="13"/>
                <w:u w:val="none"/>
                <w:lang w:eastAsia="zh-CN"/>
              </w:rPr>
              <w:t>安全及资源巡查次数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3"/>
                <w:szCs w:val="13"/>
                <w:u w:val="none"/>
                <w:lang w:val="en-US" w:eastAsia="zh-CN"/>
              </w:rPr>
            </w:pPr>
            <w:r>
              <w:rPr>
                <w:rFonts w:hint="eastAsia" w:ascii="仿宋_GB2312" w:hAnsi="仿宋_GB2312" w:eastAsia="仿宋_GB2312" w:cs="仿宋_GB2312"/>
                <w:i w:val="0"/>
                <w:color w:val="auto"/>
                <w:sz w:val="13"/>
                <w:szCs w:val="13"/>
                <w:u w:val="none"/>
              </w:rPr>
              <w:t>≥</w:t>
            </w:r>
            <w:r>
              <w:rPr>
                <w:rFonts w:hint="eastAsia" w:ascii="仿宋_GB2312" w:hAnsi="仿宋_GB2312" w:eastAsia="仿宋_GB2312" w:cs="仿宋_GB2312"/>
                <w:i w:val="0"/>
                <w:color w:val="auto"/>
                <w:sz w:val="13"/>
                <w:szCs w:val="13"/>
                <w:u w:val="none"/>
                <w:lang w:val="en-US" w:eastAsia="zh-CN"/>
              </w:rPr>
              <w:t>10次</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3"/>
                <w:szCs w:val="13"/>
                <w:u w:val="none"/>
                <w:lang w:val="en-US" w:eastAsia="zh-CN"/>
              </w:rPr>
            </w:pPr>
            <w:r>
              <w:rPr>
                <w:rFonts w:hint="eastAsia" w:ascii="仿宋_GB2312" w:hAnsi="仿宋_GB2312" w:eastAsia="仿宋_GB2312" w:cs="仿宋_GB2312"/>
                <w:i w:val="0"/>
                <w:color w:val="auto"/>
                <w:sz w:val="13"/>
                <w:szCs w:val="13"/>
                <w:u w:val="none"/>
                <w:lang w:val="en-US" w:eastAsia="zh-CN"/>
              </w:rPr>
              <w:t>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eastAsia="zh-CN"/>
              </w:rPr>
            </w:pPr>
            <w:r>
              <w:rPr>
                <w:rFonts w:hint="default" w:ascii="仿宋_GB2312" w:hAnsi="仿宋_GB2312" w:eastAsia="仿宋_GB2312" w:cs="仿宋_GB2312"/>
                <w:i w:val="0"/>
                <w:color w:val="auto"/>
                <w:sz w:val="15"/>
                <w:szCs w:val="15"/>
                <w:u w:val="none"/>
                <w:lang w:val="en-US" w:eastAsia="zh-CN"/>
              </w:rPr>
              <w:t>工作经费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val="en-US" w:eastAsia="zh-CN"/>
              </w:rPr>
              <w:t>10万元</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eastAsia="zh-CN"/>
              </w:rPr>
            </w:pPr>
            <w:r>
              <w:rPr>
                <w:rFonts w:hint="eastAsia" w:ascii="仿宋_GB2312" w:hAnsi="仿宋_GB2312" w:eastAsia="仿宋_GB2312" w:cs="仿宋_GB2312"/>
                <w:i w:val="0"/>
                <w:color w:val="auto"/>
                <w:sz w:val="15"/>
                <w:szCs w:val="15"/>
                <w:u w:val="none"/>
                <w:lang w:eastAsia="zh-CN"/>
              </w:rPr>
              <w:t>景区群众收入</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eastAsia="zh-CN"/>
              </w:rPr>
              <w:t>增加</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val="en-US" w:eastAsia="zh-CN"/>
              </w:rPr>
              <w:t>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eastAsia="zh-CN"/>
              </w:rPr>
            </w:pPr>
            <w:r>
              <w:rPr>
                <w:rFonts w:hint="eastAsia" w:ascii="仿宋_GB2312" w:hAnsi="仿宋_GB2312" w:eastAsia="仿宋_GB2312" w:cs="仿宋_GB2312"/>
                <w:i w:val="0"/>
                <w:color w:val="auto"/>
                <w:sz w:val="15"/>
                <w:szCs w:val="15"/>
                <w:u w:val="none"/>
                <w:lang w:eastAsia="zh-CN"/>
              </w:rPr>
              <w:t>受益带动镇个数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val="en-US" w:eastAsia="zh-CN"/>
              </w:rPr>
              <w:t>7个</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val="en-US" w:eastAsia="zh-CN"/>
              </w:rPr>
              <w:t>7个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eastAsia="zh-CN"/>
              </w:rPr>
            </w:pPr>
            <w:r>
              <w:rPr>
                <w:rFonts w:hint="eastAsia" w:ascii="仿宋_GB2312" w:hAnsi="仿宋_GB2312" w:eastAsia="仿宋_GB2312" w:cs="仿宋_GB2312"/>
                <w:i w:val="0"/>
                <w:color w:val="auto"/>
                <w:sz w:val="15"/>
                <w:szCs w:val="15"/>
                <w:u w:val="none"/>
                <w:lang w:eastAsia="zh-CN"/>
              </w:rPr>
              <w:t>水质标准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eastAsia="zh-CN"/>
              </w:rPr>
            </w:pPr>
            <w:r>
              <w:rPr>
                <w:rFonts w:hint="eastAsia" w:ascii="仿宋_GB2312" w:hAnsi="仿宋_GB2312" w:eastAsia="仿宋_GB2312" w:cs="仿宋_GB2312"/>
                <w:i w:val="0"/>
                <w:color w:val="auto"/>
                <w:sz w:val="15"/>
                <w:szCs w:val="15"/>
                <w:u w:val="none"/>
              </w:rPr>
              <w:t>≥</w:t>
            </w:r>
            <w:r>
              <w:rPr>
                <w:rFonts w:hint="eastAsia" w:ascii="宋体" w:hAnsi="宋体" w:eastAsia="宋体" w:cs="宋体"/>
                <w:i w:val="0"/>
                <w:color w:val="auto"/>
                <w:sz w:val="15"/>
                <w:szCs w:val="15"/>
                <w:u w:val="none"/>
              </w:rPr>
              <w:t>Ⅱ</w:t>
            </w:r>
            <w:r>
              <w:rPr>
                <w:rFonts w:hint="eastAsia" w:ascii="仿宋_GB2312" w:hAnsi="仿宋_GB2312" w:eastAsia="仿宋_GB2312" w:cs="仿宋_GB2312"/>
                <w:i w:val="0"/>
                <w:color w:val="auto"/>
                <w:sz w:val="15"/>
                <w:szCs w:val="15"/>
                <w:u w:val="none"/>
                <w:lang w:val="en-US" w:eastAsia="zh-CN"/>
              </w:rPr>
              <w:t>类</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eastAsia="zh-CN"/>
              </w:rPr>
            </w:pPr>
            <w:r>
              <w:rPr>
                <w:rFonts w:hint="eastAsia" w:ascii="宋体" w:hAnsi="宋体" w:eastAsia="宋体" w:cs="宋体"/>
                <w:i w:val="0"/>
                <w:color w:val="auto"/>
                <w:sz w:val="15"/>
                <w:szCs w:val="15"/>
                <w:u w:val="none"/>
                <w:lang w:val="en-US" w:eastAsia="zh-CN"/>
              </w:rPr>
              <w:t>Ⅱ</w:t>
            </w:r>
            <w:r>
              <w:rPr>
                <w:rFonts w:hint="eastAsia" w:ascii="仿宋_GB2312" w:hAnsi="仿宋_GB2312" w:eastAsia="仿宋_GB2312" w:cs="仿宋_GB2312"/>
                <w:i w:val="0"/>
                <w:color w:val="auto"/>
                <w:sz w:val="15"/>
                <w:szCs w:val="15"/>
                <w:u w:val="none"/>
                <w:lang w:val="en-US" w:eastAsia="zh-CN"/>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可持续影响指标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eastAsia="zh-CN"/>
              </w:rPr>
            </w:pPr>
            <w:r>
              <w:rPr>
                <w:rFonts w:hint="eastAsia" w:ascii="仿宋_GB2312" w:hAnsi="仿宋_GB2312" w:eastAsia="仿宋_GB2312" w:cs="仿宋_GB2312"/>
                <w:i w:val="0"/>
                <w:color w:val="auto"/>
                <w:sz w:val="15"/>
                <w:szCs w:val="15"/>
                <w:u w:val="none"/>
                <w:lang w:eastAsia="zh-CN"/>
              </w:rPr>
              <w:t>受益带动群众人数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rPr>
              <w:t>≥</w:t>
            </w:r>
            <w:r>
              <w:rPr>
                <w:rFonts w:hint="eastAsia" w:ascii="仿宋_GB2312" w:hAnsi="仿宋_GB2312" w:eastAsia="仿宋_GB2312" w:cs="仿宋_GB2312"/>
                <w:i w:val="0"/>
                <w:color w:val="auto"/>
                <w:sz w:val="15"/>
                <w:szCs w:val="15"/>
                <w:u w:val="none"/>
                <w:lang w:val="en-US" w:eastAsia="zh-CN"/>
              </w:rPr>
              <w:t>50人</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val="en-US" w:eastAsia="zh-CN"/>
              </w:rPr>
              <w:t>60人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rPr>
            </w:pPr>
            <w:r>
              <w:rPr>
                <w:rFonts w:hint="eastAsia" w:ascii="仿宋_GB2312" w:hAnsi="仿宋_GB2312" w:eastAsia="仿宋_GB2312" w:cs="仿宋_GB2312"/>
                <w:i w:val="0"/>
                <w:color w:val="auto"/>
                <w:sz w:val="15"/>
                <w:szCs w:val="15"/>
                <w:u w:val="none"/>
                <w:lang w:eastAsia="zh-CN"/>
              </w:rPr>
              <w:t>湖</w:t>
            </w:r>
            <w:r>
              <w:rPr>
                <w:rFonts w:hint="eastAsia" w:ascii="仿宋_GB2312" w:hAnsi="仿宋_GB2312" w:eastAsia="仿宋_GB2312" w:cs="仿宋_GB2312"/>
                <w:i w:val="0"/>
                <w:color w:val="auto"/>
                <w:sz w:val="15"/>
                <w:szCs w:val="15"/>
                <w:u w:val="none"/>
              </w:rPr>
              <w:t>区群众</w:t>
            </w:r>
            <w:r>
              <w:rPr>
                <w:rFonts w:hint="eastAsia" w:ascii="仿宋_GB2312" w:hAnsi="仿宋_GB2312" w:eastAsia="仿宋_GB2312" w:cs="仿宋_GB2312"/>
                <w:i w:val="0"/>
                <w:color w:val="auto"/>
                <w:sz w:val="15"/>
                <w:szCs w:val="15"/>
                <w:u w:val="none"/>
                <w:lang w:eastAsia="zh-CN"/>
              </w:rPr>
              <w:t>和镇</w:t>
            </w:r>
            <w:r>
              <w:rPr>
                <w:rFonts w:hint="eastAsia" w:ascii="仿宋_GB2312" w:hAnsi="仿宋_GB2312" w:eastAsia="仿宋_GB2312" w:cs="仿宋_GB2312"/>
                <w:i w:val="0"/>
                <w:color w:val="auto"/>
                <w:sz w:val="15"/>
                <w:szCs w:val="15"/>
                <w:u w:val="none"/>
              </w:rPr>
              <w:t>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rPr>
            </w:pPr>
            <w:r>
              <w:rPr>
                <w:rFonts w:hint="eastAsia" w:ascii="仿宋_GB2312" w:hAnsi="仿宋_GB2312" w:eastAsia="仿宋_GB2312" w:cs="仿宋_GB2312"/>
                <w:i w:val="0"/>
                <w:color w:val="auto"/>
                <w:sz w:val="15"/>
                <w:szCs w:val="15"/>
                <w:u w:val="none"/>
              </w:rPr>
              <w:t>≥90%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rPr>
            </w:pPr>
            <w:r>
              <w:rPr>
                <w:rFonts w:hint="eastAsia" w:ascii="仿宋_GB2312" w:hAnsi="仿宋_GB2312" w:eastAsia="仿宋_GB2312" w:cs="仿宋_GB2312"/>
                <w:i w:val="0"/>
                <w:color w:val="auto"/>
                <w:sz w:val="15"/>
                <w:szCs w:val="15"/>
                <w:u w:val="none"/>
              </w:rPr>
              <w:t>90%</w:t>
            </w:r>
          </w:p>
        </w:tc>
      </w:tr>
    </w:tbl>
    <w:p>
      <w:pPr>
        <w:spacing w:line="600" w:lineRule="exact"/>
        <w:jc w:val="left"/>
        <w:outlineLvl w:val="0"/>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eastAsia="zh-CN"/>
        </w:rPr>
        <w:t>附件</w:t>
      </w:r>
      <w:r>
        <w:rPr>
          <w:rFonts w:hint="eastAsia" w:ascii="黑体" w:hAnsi="黑体" w:eastAsia="黑体"/>
          <w:color w:val="auto"/>
          <w:sz w:val="32"/>
          <w:szCs w:val="32"/>
          <w:highlight w:val="none"/>
          <w:lang w:val="en-US" w:eastAsia="zh-CN"/>
        </w:rPr>
        <w:t>6</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仿宋_GB2312" w:hAnsi="仿宋_GB2312" w:eastAsia="黑体" w:cs="仿宋_GB2312"/>
          <w:color w:val="auto"/>
          <w:sz w:val="32"/>
          <w:szCs w:val="32"/>
          <w:highlight w:val="none"/>
          <w:lang w:val="en-US" w:eastAsia="zh-CN"/>
        </w:rPr>
      </w:pPr>
      <w:r>
        <w:rPr>
          <w:rFonts w:hint="eastAsia" w:ascii="仿宋_GB2312" w:hAnsi="仿宋_GB2312" w:eastAsia="黑体" w:cs="仿宋_GB2312"/>
          <w:color w:val="auto"/>
          <w:sz w:val="32"/>
          <w:szCs w:val="32"/>
          <w:highlight w:val="none"/>
          <w:lang w:val="en-US" w:eastAsia="zh-CN"/>
        </w:rPr>
        <w:t>附件7</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310"/>
        <w:gridCol w:w="1245"/>
        <w:gridCol w:w="226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2022年部门预算项目（</w:t>
            </w:r>
            <w:r>
              <w:rPr>
                <w:rFonts w:hint="eastAsia" w:ascii="宋体" w:hAnsi="宋体" w:cs="宋体"/>
                <w:b/>
                <w:i w:val="0"/>
                <w:color w:val="auto"/>
                <w:sz w:val="28"/>
                <w:szCs w:val="28"/>
                <w:u w:val="none"/>
                <w:lang w:val="en-US" w:eastAsia="zh-CN"/>
              </w:rPr>
              <w:t>白龙湖亭子湖侵入性垃圾打捞应急处置奖补资金</w:t>
            </w:r>
            <w:r>
              <w:rPr>
                <w:rFonts w:hint="eastAsia" w:ascii="宋体" w:hAnsi="宋体" w:cs="宋体"/>
                <w:b/>
                <w:i w:val="0"/>
                <w:color w:val="auto"/>
                <w:sz w:val="32"/>
                <w:szCs w:val="32"/>
                <w:u w:val="none"/>
                <w:lang w:val="en-US" w:eastAsia="zh-CN"/>
              </w:rPr>
              <w:t xml:space="preserve">）绩效目标自评 </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sz w:val="24"/>
                <w:szCs w:val="24"/>
                <w:u w:val="none"/>
                <w:lang w:eastAsia="zh-CN"/>
              </w:rPr>
              <w:t>广元市昭化区亭子湖景区保护与发展中心</w:t>
            </w:r>
            <w:r>
              <w:rPr>
                <w:rFonts w:hint="eastAsia" w:ascii="宋体" w:hAnsi="宋体" w:cs="宋体"/>
                <w:i w:val="0"/>
                <w:color w:val="auto"/>
                <w:sz w:val="24"/>
                <w:szCs w:val="24"/>
                <w:u w:val="none"/>
                <w:lang w:val="en-US" w:eastAsia="zh-CN"/>
              </w:rPr>
              <w:t>356301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广元市昭化区亭子湖景区保护与发展中心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08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开展亭子湖垃圾打捞、清运、处置，有效推进流域治理，改善流域生态环境。</w:t>
            </w: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val="en-US" w:eastAsia="zh-CN"/>
              </w:rPr>
              <w:t xml:space="preserve"> 完成亭子湖虎跳、青牛等段垃圾500吨的打捞、清运，处置，确保水质</w:t>
            </w:r>
            <w:r>
              <w:rPr>
                <w:rFonts w:hint="eastAsia" w:ascii="宋体" w:hAnsi="宋体" w:eastAsia="宋体" w:cs="宋体"/>
                <w:i w:val="0"/>
                <w:color w:val="auto"/>
                <w:sz w:val="24"/>
                <w:szCs w:val="24"/>
                <w:u w:val="none"/>
                <w:lang w:val="en-US" w:eastAsia="zh-CN"/>
              </w:rPr>
              <w:t>Ⅱ</w:t>
            </w:r>
            <w:r>
              <w:rPr>
                <w:rFonts w:hint="eastAsia" w:ascii="宋体" w:hAnsi="宋体" w:cs="宋体"/>
                <w:i w:val="0"/>
                <w:color w:val="auto"/>
                <w:sz w:val="24"/>
                <w:szCs w:val="24"/>
                <w:u w:val="none"/>
                <w:lang w:val="en-US" w:eastAsia="zh-CN"/>
              </w:rPr>
              <w:t>类，有效</w:t>
            </w:r>
            <w:r>
              <w:rPr>
                <w:rFonts w:hint="eastAsia" w:ascii="宋体" w:hAnsi="宋体" w:cs="宋体"/>
                <w:i w:val="0"/>
                <w:color w:val="auto"/>
                <w:sz w:val="24"/>
                <w:szCs w:val="24"/>
                <w:u w:val="none"/>
                <w:lang w:eastAsia="zh-CN"/>
              </w:rPr>
              <w:t>推进流域治理。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eastAsia="zh-CN"/>
              </w:rPr>
            </w:pPr>
            <w:r>
              <w:rPr>
                <w:rFonts w:hint="eastAsia" w:ascii="仿宋_GB2312" w:hAnsi="仿宋_GB2312" w:eastAsia="仿宋_GB2312" w:cs="仿宋_GB2312"/>
                <w:i w:val="0"/>
                <w:color w:val="auto"/>
                <w:sz w:val="13"/>
                <w:szCs w:val="13"/>
                <w:u w:val="none"/>
                <w:lang w:eastAsia="zh-CN"/>
              </w:rPr>
              <w:t>清运垃圾数量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3"/>
                <w:szCs w:val="13"/>
                <w:u w:val="none"/>
                <w:lang w:val="en-US" w:eastAsia="zh-CN"/>
              </w:rPr>
            </w:pPr>
            <w:r>
              <w:rPr>
                <w:rFonts w:hint="eastAsia" w:ascii="仿宋_GB2312" w:hAnsi="仿宋_GB2312" w:eastAsia="仿宋_GB2312" w:cs="仿宋_GB2312"/>
                <w:i w:val="0"/>
                <w:color w:val="auto"/>
                <w:sz w:val="13"/>
                <w:szCs w:val="13"/>
                <w:u w:val="none"/>
              </w:rPr>
              <w:t>≥</w:t>
            </w:r>
            <w:r>
              <w:rPr>
                <w:rFonts w:hint="eastAsia" w:ascii="仿宋_GB2312" w:hAnsi="仿宋_GB2312" w:eastAsia="仿宋_GB2312" w:cs="仿宋_GB2312"/>
                <w:i w:val="0"/>
                <w:color w:val="auto"/>
                <w:sz w:val="13"/>
                <w:szCs w:val="13"/>
                <w:u w:val="none"/>
                <w:lang w:val="en-US" w:eastAsia="zh-CN"/>
              </w:rPr>
              <w:t>500吨</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3"/>
                <w:szCs w:val="13"/>
                <w:u w:val="none"/>
                <w:lang w:val="en-US" w:eastAsia="zh-CN"/>
              </w:rPr>
            </w:pPr>
            <w:r>
              <w:rPr>
                <w:rFonts w:hint="eastAsia" w:ascii="仿宋_GB2312" w:hAnsi="仿宋_GB2312" w:eastAsia="仿宋_GB2312" w:cs="仿宋_GB2312"/>
                <w:i w:val="0"/>
                <w:color w:val="auto"/>
                <w:sz w:val="13"/>
                <w:szCs w:val="13"/>
                <w:u w:val="none"/>
                <w:lang w:val="en-US" w:eastAsia="zh-CN"/>
              </w:rPr>
              <w:t>500吨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eastAsia="zh-CN"/>
              </w:rPr>
            </w:pPr>
            <w:r>
              <w:rPr>
                <w:rFonts w:hint="eastAsia" w:ascii="仿宋_GB2312" w:hAnsi="仿宋_GB2312" w:eastAsia="仿宋_GB2312" w:cs="仿宋_GB2312"/>
                <w:i w:val="0"/>
                <w:color w:val="auto"/>
                <w:sz w:val="13"/>
                <w:szCs w:val="13"/>
                <w:u w:val="none"/>
                <w:lang w:eastAsia="zh-CN"/>
              </w:rPr>
              <w:t>断面水质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val="en-US" w:eastAsia="zh-CN"/>
              </w:rPr>
            </w:pPr>
            <w:r>
              <w:rPr>
                <w:rFonts w:hint="eastAsia" w:ascii="仿宋_GB2312" w:hAnsi="仿宋_GB2312" w:eastAsia="仿宋_GB2312" w:cs="仿宋_GB2312"/>
                <w:i w:val="0"/>
                <w:color w:val="auto"/>
                <w:sz w:val="13"/>
                <w:szCs w:val="13"/>
                <w:u w:val="none"/>
              </w:rPr>
              <w:t>≥</w:t>
            </w:r>
            <w:r>
              <w:rPr>
                <w:rFonts w:hint="eastAsia" w:ascii="宋体" w:hAnsi="宋体" w:eastAsia="宋体" w:cs="宋体"/>
                <w:i w:val="0"/>
                <w:color w:val="auto"/>
                <w:sz w:val="13"/>
                <w:szCs w:val="13"/>
                <w:u w:val="none"/>
              </w:rPr>
              <w:t>Ⅱ</w:t>
            </w:r>
            <w:r>
              <w:rPr>
                <w:rFonts w:hint="eastAsia" w:ascii="仿宋_GB2312" w:hAnsi="仿宋_GB2312" w:eastAsia="仿宋_GB2312" w:cs="仿宋_GB2312"/>
                <w:i w:val="0"/>
                <w:color w:val="auto"/>
                <w:sz w:val="13"/>
                <w:szCs w:val="13"/>
                <w:u w:val="none"/>
                <w:lang w:eastAsia="zh-CN"/>
              </w:rPr>
              <w:t>类</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eastAsia="zh-CN"/>
              </w:rPr>
            </w:pPr>
            <w:r>
              <w:rPr>
                <w:rFonts w:hint="eastAsia" w:ascii="宋体" w:hAnsi="宋体" w:eastAsia="宋体" w:cs="宋体"/>
                <w:i w:val="0"/>
                <w:color w:val="auto"/>
                <w:sz w:val="13"/>
                <w:szCs w:val="13"/>
                <w:u w:val="none"/>
                <w:lang w:eastAsia="zh-CN"/>
              </w:rPr>
              <w:t>Ⅱ</w:t>
            </w:r>
            <w:r>
              <w:rPr>
                <w:rFonts w:hint="eastAsia" w:ascii="仿宋_GB2312" w:hAnsi="仿宋_GB2312" w:eastAsia="仿宋_GB2312" w:cs="仿宋_GB2312"/>
                <w:i w:val="0"/>
                <w:color w:val="auto"/>
                <w:sz w:val="13"/>
                <w:szCs w:val="13"/>
                <w:u w:val="none"/>
                <w:lang w:eastAsia="zh-CN"/>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rPr>
            </w:pPr>
            <w:r>
              <w:rPr>
                <w:rFonts w:hint="eastAsia" w:ascii="仿宋_GB2312" w:hAnsi="仿宋_GB2312" w:eastAsia="仿宋_GB2312" w:cs="仿宋_GB2312"/>
                <w:i w:val="0"/>
                <w:color w:val="auto"/>
                <w:sz w:val="13"/>
                <w:szCs w:val="13"/>
                <w:u w:val="none"/>
                <w:lang w:eastAsia="zh-CN"/>
              </w:rPr>
              <w:t>完成年度任务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val="en-US" w:eastAsia="zh-CN"/>
              </w:rPr>
            </w:pPr>
            <w:r>
              <w:rPr>
                <w:rFonts w:hint="eastAsia" w:ascii="仿宋_GB2312" w:hAnsi="仿宋_GB2312" w:eastAsia="仿宋_GB2312" w:cs="仿宋_GB2312"/>
                <w:i w:val="0"/>
                <w:color w:val="auto"/>
                <w:sz w:val="13"/>
                <w:szCs w:val="13"/>
                <w:u w:val="none"/>
                <w:lang w:val="en-US" w:eastAsia="zh-CN"/>
              </w:rPr>
              <w:t>=1年</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3"/>
                <w:szCs w:val="13"/>
                <w:u w:val="none"/>
                <w:lang w:val="en-US" w:eastAsia="zh-CN"/>
              </w:rPr>
            </w:pPr>
            <w:r>
              <w:rPr>
                <w:rFonts w:hint="eastAsia" w:ascii="仿宋_GB2312" w:hAnsi="仿宋_GB2312" w:eastAsia="仿宋_GB2312" w:cs="仿宋_GB2312"/>
                <w:i w:val="0"/>
                <w:color w:val="auto"/>
                <w:sz w:val="13"/>
                <w:szCs w:val="13"/>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eastAsia="zh-CN"/>
              </w:rPr>
            </w:pPr>
            <w:r>
              <w:rPr>
                <w:rFonts w:hint="default" w:ascii="仿宋_GB2312" w:hAnsi="仿宋_GB2312" w:eastAsia="仿宋_GB2312" w:cs="仿宋_GB2312"/>
                <w:i w:val="0"/>
                <w:color w:val="auto"/>
                <w:sz w:val="15"/>
                <w:szCs w:val="15"/>
                <w:u w:val="none"/>
                <w:lang w:val="en-US" w:eastAsia="zh-CN"/>
              </w:rPr>
              <w:t>工作经费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val="en-US" w:eastAsia="zh-CN"/>
              </w:rPr>
              <w:t>10万元</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eastAsia="zh-CN"/>
              </w:rPr>
            </w:pPr>
            <w:r>
              <w:rPr>
                <w:rFonts w:hint="eastAsia" w:ascii="仿宋_GB2312" w:hAnsi="仿宋_GB2312" w:eastAsia="仿宋_GB2312" w:cs="仿宋_GB2312"/>
                <w:i w:val="0"/>
                <w:color w:val="auto"/>
                <w:sz w:val="15"/>
                <w:szCs w:val="15"/>
                <w:u w:val="none"/>
                <w:lang w:eastAsia="zh-CN"/>
              </w:rPr>
              <w:t>流域绿色发展水平</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eastAsia="zh-CN"/>
              </w:rPr>
              <w:t>持续提高</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eastAsia="zh-CN"/>
              </w:rPr>
              <w:t>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eastAsia="zh-CN"/>
              </w:rPr>
            </w:pPr>
            <w:r>
              <w:rPr>
                <w:rFonts w:hint="eastAsia" w:ascii="仿宋_GB2312" w:hAnsi="仿宋_GB2312" w:eastAsia="仿宋_GB2312" w:cs="仿宋_GB2312"/>
                <w:i w:val="0"/>
                <w:color w:val="auto"/>
                <w:sz w:val="15"/>
                <w:szCs w:val="15"/>
                <w:u w:val="none"/>
                <w:lang w:eastAsia="zh-CN"/>
              </w:rPr>
              <w:t>持续推进流域治理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eastAsia="zh-CN"/>
              </w:rPr>
              <w:t>持续提高</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val="en-US" w:eastAsia="zh-CN"/>
              </w:rPr>
            </w:pPr>
            <w:r>
              <w:rPr>
                <w:rFonts w:hint="eastAsia" w:ascii="仿宋_GB2312" w:hAnsi="仿宋_GB2312" w:eastAsia="仿宋_GB2312" w:cs="仿宋_GB2312"/>
                <w:i w:val="0"/>
                <w:color w:val="auto"/>
                <w:sz w:val="15"/>
                <w:szCs w:val="15"/>
                <w:u w:val="none"/>
                <w:lang w:eastAsia="zh-CN"/>
              </w:rPr>
              <w:t>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eastAsia="zh-CN"/>
              </w:rPr>
            </w:pPr>
            <w:r>
              <w:rPr>
                <w:rFonts w:hint="eastAsia" w:ascii="仿宋_GB2312" w:hAnsi="仿宋_GB2312" w:eastAsia="仿宋_GB2312" w:cs="仿宋_GB2312"/>
                <w:i w:val="0"/>
                <w:color w:val="auto"/>
                <w:sz w:val="15"/>
                <w:szCs w:val="15"/>
                <w:u w:val="none"/>
                <w:lang w:eastAsia="zh-CN"/>
              </w:rPr>
              <w:t>改善流域环境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eastAsia="zh-CN"/>
              </w:rPr>
            </w:pPr>
            <w:r>
              <w:rPr>
                <w:rFonts w:hint="eastAsia" w:ascii="仿宋_GB2312" w:hAnsi="仿宋_GB2312" w:eastAsia="仿宋_GB2312" w:cs="仿宋_GB2312"/>
                <w:i w:val="0"/>
                <w:color w:val="auto"/>
                <w:sz w:val="15"/>
                <w:szCs w:val="15"/>
                <w:u w:val="none"/>
                <w:lang w:eastAsia="zh-CN"/>
              </w:rPr>
              <w:t>良好</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lang w:eastAsia="zh-CN"/>
              </w:rPr>
            </w:pPr>
            <w:r>
              <w:rPr>
                <w:rFonts w:hint="eastAsia" w:ascii="仿宋_GB2312" w:hAnsi="仿宋_GB2312" w:eastAsia="仿宋_GB2312" w:cs="仿宋_GB2312"/>
                <w:i w:val="0"/>
                <w:color w:val="auto"/>
                <w:sz w:val="15"/>
                <w:szCs w:val="15"/>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rPr>
            </w:pPr>
            <w:r>
              <w:rPr>
                <w:rFonts w:hint="eastAsia" w:ascii="仿宋_GB2312" w:hAnsi="仿宋_GB2312" w:eastAsia="仿宋_GB2312" w:cs="仿宋_GB2312"/>
                <w:i w:val="0"/>
                <w:color w:val="auto"/>
                <w:sz w:val="15"/>
                <w:szCs w:val="15"/>
                <w:u w:val="none"/>
                <w:lang w:eastAsia="zh-CN"/>
              </w:rPr>
              <w:t>受益</w:t>
            </w:r>
            <w:r>
              <w:rPr>
                <w:rFonts w:hint="eastAsia" w:ascii="仿宋_GB2312" w:hAnsi="仿宋_GB2312" w:eastAsia="仿宋_GB2312" w:cs="仿宋_GB2312"/>
                <w:i w:val="0"/>
                <w:color w:val="auto"/>
                <w:sz w:val="15"/>
                <w:szCs w:val="15"/>
                <w:u w:val="none"/>
              </w:rPr>
              <w:t>群众满意度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rPr>
            </w:pPr>
            <w:r>
              <w:rPr>
                <w:rFonts w:hint="eastAsia" w:ascii="仿宋_GB2312" w:hAnsi="仿宋_GB2312" w:eastAsia="仿宋_GB2312" w:cs="仿宋_GB2312"/>
                <w:i w:val="0"/>
                <w:color w:val="auto"/>
                <w:sz w:val="15"/>
                <w:szCs w:val="15"/>
                <w:u w:val="none"/>
              </w:rPr>
              <w:t>≥</w:t>
            </w:r>
            <w:r>
              <w:rPr>
                <w:rFonts w:hint="eastAsia" w:ascii="仿宋_GB2312" w:hAnsi="仿宋_GB2312" w:eastAsia="仿宋_GB2312" w:cs="仿宋_GB2312"/>
                <w:i w:val="0"/>
                <w:color w:val="auto"/>
                <w:sz w:val="15"/>
                <w:szCs w:val="15"/>
                <w:u w:val="none"/>
                <w:lang w:val="en-US" w:eastAsia="zh-CN"/>
              </w:rPr>
              <w:t>8</w:t>
            </w:r>
            <w:r>
              <w:rPr>
                <w:rFonts w:hint="eastAsia" w:ascii="仿宋_GB2312" w:hAnsi="仿宋_GB2312" w:eastAsia="仿宋_GB2312" w:cs="仿宋_GB2312"/>
                <w:i w:val="0"/>
                <w:color w:val="auto"/>
                <w:sz w:val="15"/>
                <w:szCs w:val="15"/>
                <w:u w:val="none"/>
              </w:rPr>
              <w:t>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15"/>
                <w:szCs w:val="15"/>
                <w:u w:val="none"/>
              </w:rPr>
            </w:pPr>
            <w:r>
              <w:rPr>
                <w:rFonts w:hint="eastAsia" w:ascii="仿宋_GB2312" w:hAnsi="仿宋_GB2312" w:eastAsia="仿宋_GB2312" w:cs="仿宋_GB2312"/>
                <w:i w:val="0"/>
                <w:color w:val="auto"/>
                <w:sz w:val="15"/>
                <w:szCs w:val="15"/>
                <w:u w:val="none"/>
              </w:rPr>
              <w:t>90%</w:t>
            </w:r>
          </w:p>
        </w:tc>
      </w:tr>
    </w:tbl>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pStyle w:val="2"/>
        <w:rPr>
          <w:rFonts w:hint="eastAsia" w:ascii="黑体" w:hAnsi="黑体" w:eastAsia="黑体" w:cs="黑体"/>
          <w:color w:val="auto"/>
          <w:sz w:val="32"/>
          <w:szCs w:val="32"/>
          <w:highlight w:val="none"/>
          <w:lang w:val="en-US" w:eastAsia="zh-CN"/>
        </w:rPr>
      </w:pPr>
      <w:r>
        <w:rPr>
          <w:rFonts w:hint="eastAsia" w:ascii="黑体" w:hAnsi="黑体" w:eastAsia="黑体"/>
          <w:color w:val="auto"/>
          <w:sz w:val="44"/>
          <w:szCs w:val="44"/>
          <w:highlight w:val="none"/>
          <w:lang w:val="en-US" w:eastAsia="zh-CN"/>
        </w:rPr>
        <w:t xml:space="preserve"> </w:t>
      </w:r>
    </w:p>
    <w:p>
      <w:pPr>
        <w:rPr>
          <w:rFonts w:hint="eastAsia"/>
          <w:lang w:val="en-US" w:eastAsia="zh-CN"/>
        </w:rPr>
      </w:pPr>
    </w:p>
    <w:p>
      <w:pPr>
        <w:spacing w:line="600" w:lineRule="exact"/>
        <w:jc w:val="both"/>
        <w:outlineLvl w:val="0"/>
        <w:rPr>
          <w:rFonts w:hint="eastAsia" w:ascii="黑体" w:hAnsi="黑体" w:eastAsia="黑体"/>
          <w:color w:val="auto"/>
          <w:sz w:val="44"/>
          <w:szCs w:val="44"/>
          <w:highlight w:val="none"/>
        </w:rPr>
      </w:pPr>
      <w:bookmarkStart w:id="53" w:name="_Toc15396618"/>
    </w:p>
    <w:p>
      <w:pPr>
        <w:spacing w:line="600" w:lineRule="exact"/>
        <w:jc w:val="center"/>
        <w:outlineLvl w:val="0"/>
        <w:rPr>
          <w:rStyle w:val="26"/>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52"/>
      <w:bookmarkEnd w:id="53"/>
      <w:bookmarkStart w:id="54" w:name="_Toc15396619"/>
    </w:p>
    <w:p>
      <w:pPr>
        <w:spacing w:line="600" w:lineRule="exact"/>
        <w:jc w:val="both"/>
        <w:outlineLvl w:val="0"/>
        <w:rPr>
          <w:rFonts w:ascii="仿宋" w:hAnsi="仿宋" w:eastAsia="仿宋"/>
          <w:color w:val="auto"/>
          <w:sz w:val="32"/>
          <w:szCs w:val="32"/>
          <w:highlight w:val="none"/>
        </w:rPr>
      </w:pPr>
      <w:r>
        <w:rPr>
          <w:rFonts w:hint="eastAsia" w:ascii="仿宋" w:hAnsi="仿宋" w:eastAsia="仿宋"/>
          <w:b w:val="0"/>
          <w:color w:val="auto"/>
          <w:sz w:val="32"/>
          <w:szCs w:val="32"/>
          <w:highlight w:val="none"/>
        </w:rPr>
        <w:t>一、</w:t>
      </w:r>
      <w:r>
        <w:rPr>
          <w:rFonts w:hint="eastAsia" w:ascii="仿宋" w:hAnsi="仿宋" w:eastAsia="仿宋"/>
          <w:b w:val="0"/>
          <w:color w:val="auto"/>
          <w:sz w:val="32"/>
          <w:szCs w:val="32"/>
          <w:highlight w:val="none"/>
          <w:lang w:eastAsia="zh-CN"/>
        </w:rPr>
        <w:t>收</w:t>
      </w:r>
      <w:r>
        <w:rPr>
          <w:rStyle w:val="27"/>
          <w:rFonts w:hint="eastAsia" w:ascii="仿宋" w:hAnsi="仿宋" w:eastAsia="仿宋"/>
          <w:b w:val="0"/>
          <w:bCs w:val="0"/>
          <w:color w:val="auto"/>
          <w:sz w:val="32"/>
          <w:szCs w:val="32"/>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57"/>
    </w:p>
    <w:p>
      <w:pPr>
        <w:pStyle w:val="4"/>
        <w:rPr>
          <w:rStyle w:val="27"/>
          <w:rFonts w:ascii="仿宋" w:hAnsi="仿宋" w:eastAsia="仿宋"/>
          <w:b w:val="0"/>
          <w:bCs w:val="0"/>
          <w:color w:val="auto"/>
          <w:highlight w:val="none"/>
        </w:rPr>
      </w:pPr>
      <w:bookmarkStart w:id="58"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w:t>
      </w:r>
      <w:r>
        <w:rPr>
          <w:rStyle w:val="27"/>
          <w:rFonts w:hint="eastAsia" w:ascii="仿宋" w:hAnsi="仿宋" w:eastAsia="仿宋"/>
          <w:b w:val="0"/>
          <w:bCs w:val="0"/>
          <w:color w:val="auto"/>
          <w:highlight w:val="none"/>
          <w:lang w:eastAsia="zh-CN"/>
        </w:rPr>
        <w:t>明细</w:t>
      </w:r>
      <w:r>
        <w:rPr>
          <w:rStyle w:val="27"/>
          <w:rFonts w:hint="eastAsia" w:ascii="仿宋" w:hAnsi="仿宋" w:eastAsia="仿宋"/>
          <w:b w:val="0"/>
          <w:bCs w:val="0"/>
          <w:color w:val="auto"/>
          <w:highlight w:val="none"/>
        </w:rPr>
        <w:t>表</w:t>
      </w:r>
      <w:bookmarkEnd w:id="61"/>
    </w:p>
    <w:p>
      <w:pPr>
        <w:pStyle w:val="4"/>
        <w:rPr>
          <w:rFonts w:ascii="仿宋" w:hAnsi="仿宋" w:eastAsia="仿宋"/>
          <w:color w:val="auto"/>
          <w:highlight w:val="none"/>
        </w:rPr>
      </w:pPr>
      <w:bookmarkStart w:id="62"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62"/>
    </w:p>
    <w:p>
      <w:pPr>
        <w:pStyle w:val="4"/>
        <w:rPr>
          <w:rFonts w:hint="eastAsia" w:ascii="仿宋" w:hAnsi="仿宋" w:eastAsia="仿宋"/>
          <w:color w:val="auto"/>
          <w:highlight w:val="none"/>
          <w:lang w:eastAsia="zh-CN"/>
        </w:rPr>
      </w:pPr>
      <w:bookmarkStart w:id="63" w:name="_Toc15396629"/>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63"/>
    </w:p>
    <w:p>
      <w:pPr>
        <w:pStyle w:val="4"/>
        <w:rPr>
          <w:rStyle w:val="27"/>
          <w:rFonts w:hint="eastAsia" w:ascii="仿宋" w:hAnsi="仿宋" w:eastAsia="仿宋"/>
          <w:b w:val="0"/>
          <w:bCs w:val="0"/>
          <w:color w:val="auto"/>
          <w:highlight w:val="none"/>
        </w:rPr>
      </w:pPr>
      <w:bookmarkStart w:id="64" w:name="_Toc15396631"/>
      <w:r>
        <w:rPr>
          <w:rStyle w:val="27"/>
          <w:rFonts w:hint="eastAsia" w:ascii="仿宋" w:hAnsi="仿宋" w:eastAsia="仿宋"/>
          <w:b w:val="0"/>
          <w:bCs w:val="0"/>
          <w:color w:val="auto"/>
          <w:highlight w:val="none"/>
        </w:rPr>
        <w:t>十</w:t>
      </w:r>
      <w:r>
        <w:rPr>
          <w:rStyle w:val="27"/>
          <w:rFonts w:hint="eastAsia" w:ascii="仿宋" w:hAnsi="仿宋" w:eastAsia="仿宋"/>
          <w:b w:val="0"/>
          <w:bCs w:val="0"/>
          <w:color w:val="auto"/>
          <w:highlight w:val="none"/>
          <w:lang w:eastAsia="zh-CN"/>
        </w:rPr>
        <w:t>一</w:t>
      </w:r>
      <w:r>
        <w:rPr>
          <w:rStyle w:val="27"/>
          <w:rFonts w:hint="eastAsia" w:ascii="仿宋" w:hAnsi="仿宋" w:eastAsia="仿宋"/>
          <w:b w:val="0"/>
          <w:bCs w:val="0"/>
          <w:color w:val="auto"/>
          <w:highlight w:val="none"/>
        </w:rPr>
        <w:t>、</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64"/>
    </w:p>
    <w:p>
      <w:pPr>
        <w:rPr>
          <w:rStyle w:val="27"/>
          <w:rFonts w:hint="eastAsia" w:ascii="仿宋" w:hAnsi="仿宋" w:eastAsia="仿宋"/>
          <w:b w:val="0"/>
          <w:bCs w:val="0"/>
          <w:color w:val="auto"/>
          <w:highlight w:val="none"/>
          <w:lang w:eastAsia="zh-CN"/>
        </w:rPr>
      </w:pPr>
      <w:r>
        <w:rPr>
          <w:rStyle w:val="27"/>
          <w:rFonts w:hint="eastAsia" w:ascii="仿宋" w:hAnsi="仿宋" w:eastAsia="仿宋"/>
          <w:b w:val="0"/>
          <w:bCs w:val="0"/>
          <w:color w:val="auto"/>
          <w:highlight w:val="none"/>
          <w:lang w:eastAsia="zh-CN"/>
        </w:rPr>
        <w:t>十二、国有资本经营预算财政拨款支出决算表</w:t>
      </w:r>
    </w:p>
    <w:p>
      <w:pPr>
        <w:pStyle w:val="2"/>
        <w:rPr>
          <w:rFonts w:hint="eastAsia"/>
          <w:lang w:eastAsia="zh-CN"/>
        </w:rPr>
      </w:pPr>
    </w:p>
    <w:p>
      <w:pPr>
        <w:pStyle w:val="2"/>
        <w:ind w:left="0" w:leftChars="0" w:firstLine="0" w:firstLineChars="0"/>
        <w:rPr>
          <w:rFonts w:hint="default"/>
          <w:lang w:val="en-US" w:eastAsia="zh-CN"/>
        </w:rPr>
      </w:pPr>
      <w:r>
        <w:rPr>
          <w:rStyle w:val="27"/>
          <w:rFonts w:hint="eastAsia" w:ascii="仿宋" w:hAnsi="仿宋" w:eastAsia="仿宋"/>
          <w:b w:val="0"/>
          <w:bCs w:val="0"/>
          <w:color w:val="auto"/>
          <w:highlight w:val="none"/>
          <w:lang w:eastAsia="zh-CN"/>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B6D50B"/>
    <w:multiLevelType w:val="singleLevel"/>
    <w:tmpl w:val="B0B6D50B"/>
    <w:lvl w:ilvl="0" w:tentative="0">
      <w:start w:val="1"/>
      <w:numFmt w:val="chineseCounting"/>
      <w:suff w:val="nothing"/>
      <w:lvlText w:val="（%1）"/>
      <w:lvlJc w:val="left"/>
      <w:rPr>
        <w:rFonts w:hint="eastAsia" w:ascii="楷体" w:hAnsi="楷体" w:eastAsia="楷体" w:cs="Times New Roman"/>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F9BFA423"/>
    <w:multiLevelType w:val="singleLevel"/>
    <w:tmpl w:val="F9BFA423"/>
    <w:lvl w:ilvl="0" w:tentative="0">
      <w:start w:val="2"/>
      <w:numFmt w:val="decimal"/>
      <w:lvlText w:val="%1."/>
      <w:lvlJc w:val="left"/>
      <w:pPr>
        <w:tabs>
          <w:tab w:val="left" w:pos="312"/>
        </w:tabs>
        <w:ind w:left="800" w:leftChars="0" w:firstLine="0" w:firstLineChars="0"/>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930EA26"/>
    <w:multiLevelType w:val="singleLevel"/>
    <w:tmpl w:val="1930EA26"/>
    <w:lvl w:ilvl="0" w:tentative="0">
      <w:start w:val="1"/>
      <w:numFmt w:val="chineseCounting"/>
      <w:suff w:val="nothing"/>
      <w:lvlText w:val="%1、"/>
      <w:lvlJc w:val="left"/>
      <w:rPr>
        <w:rFonts w:hint="eastAsia"/>
      </w:rPr>
    </w:lvl>
  </w:abstractNum>
  <w:abstractNum w:abstractNumId="6">
    <w:nsid w:val="1B94354F"/>
    <w:multiLevelType w:val="multilevel"/>
    <w:tmpl w:val="1B94354F"/>
    <w:lvl w:ilvl="0" w:tentative="0">
      <w:start w:val="2"/>
      <w:numFmt w:val="japaneseCounting"/>
      <w:lvlText w:val="%1、"/>
      <w:lvlJc w:val="left"/>
      <w:pPr>
        <w:ind w:left="1360" w:hanging="720"/>
      </w:pPr>
      <w:rPr>
        <w:rFonts w:hint="default" w:cs="宋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5"/>
  </w:num>
  <w:num w:numId="2">
    <w:abstractNumId w:val="4"/>
  </w:num>
  <w:num w:numId="3">
    <w:abstractNumId w:val="1"/>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5ZDVmMWNkNDc4NTMyNDhjYzkxOWMxYmZmNDdkMG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CF32DE"/>
    <w:rsid w:val="044B1342"/>
    <w:rsid w:val="046643CE"/>
    <w:rsid w:val="05E05ABA"/>
    <w:rsid w:val="05EF03F3"/>
    <w:rsid w:val="06255BC2"/>
    <w:rsid w:val="067D155B"/>
    <w:rsid w:val="06DB44D3"/>
    <w:rsid w:val="0A2032A3"/>
    <w:rsid w:val="0A707F12"/>
    <w:rsid w:val="0B8A37D8"/>
    <w:rsid w:val="0D10137A"/>
    <w:rsid w:val="0E05490D"/>
    <w:rsid w:val="0E2624D8"/>
    <w:rsid w:val="0EC20452"/>
    <w:rsid w:val="0F0E3698"/>
    <w:rsid w:val="10C055FF"/>
    <w:rsid w:val="118107EC"/>
    <w:rsid w:val="11C73FD2"/>
    <w:rsid w:val="11DD6519"/>
    <w:rsid w:val="131531C5"/>
    <w:rsid w:val="13FF5CA5"/>
    <w:rsid w:val="14B7032D"/>
    <w:rsid w:val="14DC5FE6"/>
    <w:rsid w:val="16BB723D"/>
    <w:rsid w:val="18015F3F"/>
    <w:rsid w:val="1AC97C4C"/>
    <w:rsid w:val="1BE8440E"/>
    <w:rsid w:val="1D155CEE"/>
    <w:rsid w:val="1D880AB9"/>
    <w:rsid w:val="1DD7559C"/>
    <w:rsid w:val="1E6C6D6E"/>
    <w:rsid w:val="1E7053F8"/>
    <w:rsid w:val="1FA37E2C"/>
    <w:rsid w:val="1FD46237"/>
    <w:rsid w:val="20F57F95"/>
    <w:rsid w:val="23445482"/>
    <w:rsid w:val="240371BF"/>
    <w:rsid w:val="25C741E6"/>
    <w:rsid w:val="2610789E"/>
    <w:rsid w:val="26551754"/>
    <w:rsid w:val="26D1692E"/>
    <w:rsid w:val="27767BD4"/>
    <w:rsid w:val="27842671"/>
    <w:rsid w:val="29FD04D3"/>
    <w:rsid w:val="2ABE7A3E"/>
    <w:rsid w:val="2BE9542A"/>
    <w:rsid w:val="2DAD7099"/>
    <w:rsid w:val="2EFA178C"/>
    <w:rsid w:val="2FE9188B"/>
    <w:rsid w:val="30B46D73"/>
    <w:rsid w:val="319F7F4E"/>
    <w:rsid w:val="341E3ACD"/>
    <w:rsid w:val="344D7F0F"/>
    <w:rsid w:val="34C83F7C"/>
    <w:rsid w:val="36237179"/>
    <w:rsid w:val="36AD1847"/>
    <w:rsid w:val="39AE70AB"/>
    <w:rsid w:val="3A7C32FC"/>
    <w:rsid w:val="3ABC194A"/>
    <w:rsid w:val="3C0C0783"/>
    <w:rsid w:val="3CD47A89"/>
    <w:rsid w:val="3D874491"/>
    <w:rsid w:val="3E09134A"/>
    <w:rsid w:val="3F430F98"/>
    <w:rsid w:val="3F795B0E"/>
    <w:rsid w:val="3F9F3A96"/>
    <w:rsid w:val="40E83499"/>
    <w:rsid w:val="40F167F2"/>
    <w:rsid w:val="412F10C8"/>
    <w:rsid w:val="4555047F"/>
    <w:rsid w:val="48B819A3"/>
    <w:rsid w:val="490177EE"/>
    <w:rsid w:val="493C27E9"/>
    <w:rsid w:val="496F39ED"/>
    <w:rsid w:val="49FF41D3"/>
    <w:rsid w:val="4A185DC8"/>
    <w:rsid w:val="4BE068DB"/>
    <w:rsid w:val="4BF6002B"/>
    <w:rsid w:val="4D502AF2"/>
    <w:rsid w:val="4ECE2238"/>
    <w:rsid w:val="50205544"/>
    <w:rsid w:val="51DB4B86"/>
    <w:rsid w:val="543C3DD0"/>
    <w:rsid w:val="54CC1295"/>
    <w:rsid w:val="55333C3E"/>
    <w:rsid w:val="55FB7373"/>
    <w:rsid w:val="58BF6D7E"/>
    <w:rsid w:val="5A144EA7"/>
    <w:rsid w:val="5AB26B9A"/>
    <w:rsid w:val="5C6E4D42"/>
    <w:rsid w:val="6155027F"/>
    <w:rsid w:val="61C6117D"/>
    <w:rsid w:val="628F156F"/>
    <w:rsid w:val="62B229EB"/>
    <w:rsid w:val="639C03E7"/>
    <w:rsid w:val="63D538F9"/>
    <w:rsid w:val="64CA39A1"/>
    <w:rsid w:val="661A3845"/>
    <w:rsid w:val="6AEF704E"/>
    <w:rsid w:val="6C4A05C8"/>
    <w:rsid w:val="6CDA3D2E"/>
    <w:rsid w:val="6F2968A7"/>
    <w:rsid w:val="6FBE7937"/>
    <w:rsid w:val="722241AD"/>
    <w:rsid w:val="72734D90"/>
    <w:rsid w:val="736E51D0"/>
    <w:rsid w:val="74542618"/>
    <w:rsid w:val="74E366CA"/>
    <w:rsid w:val="750951B1"/>
    <w:rsid w:val="75976C60"/>
    <w:rsid w:val="766C3C49"/>
    <w:rsid w:val="76BA0E58"/>
    <w:rsid w:val="771A18F7"/>
    <w:rsid w:val="78A76CE4"/>
    <w:rsid w:val="798A5D96"/>
    <w:rsid w:val="79E7B28D"/>
    <w:rsid w:val="7AD4000F"/>
    <w:rsid w:val="7D2D3A06"/>
    <w:rsid w:val="7DC9372F"/>
    <w:rsid w:val="7F9F20EE"/>
    <w:rsid w:val="9E3A10E2"/>
    <w:rsid w:val="F2E1F9D4"/>
    <w:rsid w:val="F7880819"/>
    <w:rsid w:val="FDBDF9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semiHidden/>
    <w:qFormat/>
    <w:uiPriority w:val="0"/>
    <w:pPr>
      <w:ind w:left="200" w:leftChars="200" w:hanging="200" w:hangingChars="200"/>
    </w:p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32">
    <w:name w:val="No Spacing"/>
    <w:qFormat/>
    <w:uiPriority w:val="1"/>
    <w:pPr>
      <w:widowControl w:val="0"/>
      <w:jc w:val="both"/>
    </w:pPr>
    <w:rPr>
      <w:rFonts w:ascii="Times New Roman" w:hAnsi="Times New Roman"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1.xml"/><Relationship Id="rId1" Type="http://schemas.openxmlformats.org/officeDocument/2006/relationships/oleObject" Target="&#24037;&#20316;&#31807;2"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年度收、支总计</a:t>
            </a:r>
            <a:endParaRPr lang="en-US" altLang="zh-CN"/>
          </a:p>
        </c:rich>
      </c:tx>
      <c:layout>
        <c:manualLayout>
          <c:xMode val="edge"/>
          <c:yMode val="edge"/>
          <c:x val="0.31625"/>
          <c:y val="0.03029690971520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65.21</c:v>
                </c:pt>
                <c:pt idx="1">
                  <c:v>117.23</c:v>
                </c:pt>
              </c:numCache>
            </c:numRef>
          </c:val>
        </c:ser>
        <c:ser>
          <c:idx val="1"/>
          <c:order val="1"/>
          <c:tx>
            <c:strRef>
              <c:f>Sheet1!#REF!</c:f>
              <c:strCache>
                <c:ptCount val="1"/>
                <c:pt idx="0">
                  <c:v/>
                </c:pt>
              </c:strCache>
            </c:strRef>
          </c:tx>
          <c:spPr>
            <a:solidFill>
              <a:schemeClr val="accent2"/>
            </a:solidFill>
            <a:ln>
              <a:noFill/>
            </a:ln>
            <a:effectLst/>
          </c:spPr>
          <c:invertIfNegative val="0"/>
          <c:dPt>
            <c:idx val="0"/>
            <c:invertIfNegative val="0"/>
            <c:bubble3D val="0"/>
            <c:spPr>
              <a:solidFill>
                <a:schemeClr val="bg1"/>
              </a:solidFill>
              <a:ln>
                <a:noFill/>
              </a:ln>
              <a:effectLst/>
            </c:spPr>
          </c:dPt>
          <c:dLbls>
            <c:delete val="1"/>
          </c:dLbls>
          <c:cat>
            <c:strRef>
              <c:f>Sheet1!$A$2:$A$3</c:f>
              <c:strCache>
                <c:ptCount val="2"/>
                <c:pt idx="0">
                  <c:v>2021年</c:v>
                </c:pt>
                <c:pt idx="1">
                  <c:v>2022年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bg1"/>
            </a:solidFill>
            <a:ln>
              <a:noFill/>
            </a:ln>
            <a:effectLst/>
          </c:spPr>
          <c:invertIfNegative val="0"/>
          <c:dLbls>
            <c:delete val="1"/>
          </c:dLbls>
          <c:cat>
            <c:strRef>
              <c:f>Sheet1!$A$2:$A$3</c:f>
              <c:strCache>
                <c:ptCount val="2"/>
                <c:pt idx="0">
                  <c:v>2021年</c:v>
                </c:pt>
                <c:pt idx="1">
                  <c:v>2022年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982443211"/>
        <c:axId val="491467272"/>
      </c:barChart>
      <c:catAx>
        <c:axId val="982443211"/>
        <c:scaling>
          <c:orientation val="minMax"/>
        </c:scaling>
        <c:delete val="0"/>
        <c:axPos val="b"/>
        <c:majorTickMark val="none"/>
        <c:minorTickMark val="none"/>
        <c:tickLblPos val="nextTo"/>
        <c:spPr>
          <a:solidFill>
            <a:schemeClr val="bg1"/>
          </a:solid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1467272"/>
        <c:crosses val="autoZero"/>
        <c:auto val="1"/>
        <c:lblAlgn val="ctr"/>
        <c:lblOffset val="100"/>
        <c:noMultiLvlLbl val="0"/>
      </c:catAx>
      <c:valAx>
        <c:axId val="491467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2443211"/>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2</a:t>
            </a:r>
            <a:r>
              <a:t>年收入：一般公共预算财政拨款收入</a:t>
            </a:r>
          </a:p>
        </c:rich>
      </c:tx>
      <c:layout>
        <c:manualLayout>
          <c:xMode val="edge"/>
          <c:yMode val="edge"/>
          <c:x val="0.135904830569575"/>
          <c:y val="0.0882007056056448"/>
        </c:manualLayout>
      </c:layout>
      <c:overlay val="0"/>
      <c:spPr>
        <a:noFill/>
        <a:ln>
          <a:noFill/>
        </a:ln>
        <a:effectLst/>
      </c:spPr>
    </c:title>
    <c:autoTitleDeleted val="0"/>
    <c:plotArea>
      <c:layout/>
      <c:pieChart>
        <c:varyColors val="1"/>
        <c:ser>
          <c:idx val="0"/>
          <c:order val="0"/>
          <c:tx>
            <c:strRef>
              <c:f>Sheet1!$B$1</c:f>
              <c:strCache>
                <c:ptCount val="1"/>
                <c:pt idx="0">
                  <c:v>2022年收入合计</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单位：万元</c:v>
                </c:pt>
              </c:strCache>
            </c:strRef>
          </c:cat>
          <c:val>
            <c:numRef>
              <c:f>Sheet1!$B$2:$B$5</c:f>
              <c:numCache>
                <c:formatCode>General</c:formatCode>
                <c:ptCount val="4"/>
                <c:pt idx="0">
                  <c:v>117.23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2"/>
        <c:delete val="1"/>
      </c:legendEntry>
      <c:legendEntry>
        <c:idx val="3"/>
        <c:delete val="1"/>
      </c:legendEntry>
      <c:layout>
        <c:manualLayout>
          <c:xMode val="edge"/>
          <c:yMode val="edge"/>
          <c:x val="0.276568132660418"/>
          <c:y val="0.84594276754214"/>
          <c:w val="0.405335255948089"/>
          <c:h val="0.13053704429635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0" i="0" u="none" strike="noStrike" kern="1200" spc="0" baseline="0">
                <a:solidFill>
                  <a:schemeClr val="tx1">
                    <a:lumMod val="65000"/>
                    <a:lumOff val="35000"/>
                  </a:schemeClr>
                </a:solidFill>
                <a:latin typeface="+mn-lt"/>
                <a:ea typeface="+mn-ea"/>
                <a:cs typeface="+mn-cs"/>
              </a:defRPr>
            </a:pPr>
            <a:r>
              <a:rPr lang="en-US" altLang="zh-CN" sz="1440"/>
              <a:t>2022</a:t>
            </a:r>
            <a:r>
              <a:rPr altLang="en-US" sz="1440"/>
              <a:t>年支出合计</a:t>
            </a:r>
            <a:endParaRPr altLang="en-US" sz="1440"/>
          </a:p>
        </c:rich>
      </c:tx>
      <c:layout>
        <c:manualLayout>
          <c:xMode val="edge"/>
          <c:yMode val="edge"/>
          <c:x val="0.355555555555556"/>
          <c:y val="0.087731481481481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lumMod val="75000"/>
                            <a:lumOff val="25000"/>
                          </a:schemeClr>
                        </a:solidFill>
                        <a:latin typeface="+mn-lt"/>
                        <a:ea typeface="+mn-ea"/>
                        <a:cs typeface="+mn-cs"/>
                      </a:defRPr>
                    </a:pPr>
                    <a:r>
                      <a:rPr lang="en-US" altLang="zh-CN"/>
                      <a:t>78.73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lumMod val="75000"/>
                            <a:lumOff val="25000"/>
                          </a:schemeClr>
                        </a:solidFill>
                        <a:latin typeface="+mn-lt"/>
                        <a:ea typeface="+mn-ea"/>
                        <a:cs typeface="+mn-cs"/>
                      </a:defRPr>
                    </a:pPr>
                    <a:r>
                      <a:rPr lang="en-US" altLang="zh-CN"/>
                      <a:t>38</a:t>
                    </a:r>
                    <a:r>
                      <a:t>.5</a:t>
                    </a:r>
                    <a:r>
                      <a:rPr lang="en-US" altLang="zh-CN"/>
                      <a:t>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[工作簿1]Sheet1!$C$30:$C$31</c:f>
              <c:strCache>
                <c:ptCount val="2"/>
                <c:pt idx="0">
                  <c:v>基本支出</c:v>
                </c:pt>
                <c:pt idx="1">
                  <c:v>项目支出</c:v>
                </c:pt>
              </c:strCache>
            </c:strRef>
          </c:cat>
          <c:val>
            <c:numRef>
              <c:f>[工作簿1]Sheet1!$D$30:$D$31</c:f>
              <c:numCache>
                <c:formatCode>General</c:formatCode>
                <c:ptCount val="2"/>
                <c:pt idx="0">
                  <c:v>42.47</c:v>
                </c:pt>
                <c:pt idx="1">
                  <c:v>22.5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65.21</c:v>
                </c:pt>
                <c:pt idx="1">
                  <c:v>117.23</c:v>
                </c:pt>
              </c:numCache>
            </c:numRef>
          </c:val>
        </c:ser>
        <c:ser>
          <c:idx val="1"/>
          <c:order val="1"/>
          <c:tx>
            <c:strRef>
              <c:f>Sheet1!#REF!</c:f>
              <c:strCache>
                <c:ptCount val="1"/>
                <c:pt idx="0">
                  <c:v/>
                </c:pt>
              </c:strCache>
            </c:strRef>
          </c:tx>
          <c:spPr>
            <a:noFill/>
            <a:ln>
              <a:noFill/>
            </a:ln>
            <a:effectLst/>
          </c:spPr>
          <c:invertIfNegative val="0"/>
          <c:dLbls>
            <c:delete val="1"/>
          </c:dLbls>
          <c:cat>
            <c:strRef>
              <c:f>Sheet1!$A$2:$A$3</c:f>
              <c:strCache>
                <c:ptCount val="2"/>
                <c:pt idx="0">
                  <c:v>2021年</c:v>
                </c:pt>
                <c:pt idx="1">
                  <c:v>2022年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Pt>
            <c:idx val="0"/>
            <c:invertIfNegative val="0"/>
            <c:bubble3D val="0"/>
            <c:spPr>
              <a:noFill/>
              <a:ln>
                <a:noFill/>
              </a:ln>
              <a:effectLst/>
            </c:spPr>
          </c:dPt>
          <c:dLbls>
            <c:delete val="1"/>
          </c:dLbls>
          <c:cat>
            <c:strRef>
              <c:f>Sheet1!$A$2:$A$3</c:f>
              <c:strCache>
                <c:ptCount val="2"/>
                <c:pt idx="0">
                  <c:v>2021年</c:v>
                </c:pt>
                <c:pt idx="1">
                  <c:v>2022年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982443211"/>
        <c:axId val="491467272"/>
      </c:barChart>
      <c:catAx>
        <c:axId val="98244321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1467272"/>
        <c:crosses val="autoZero"/>
        <c:auto val="1"/>
        <c:lblAlgn val="ctr"/>
        <c:lblOffset val="100"/>
        <c:noMultiLvlLbl val="0"/>
      </c:catAx>
      <c:valAx>
        <c:axId val="491467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2443211"/>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72"/>
          <c:y val="0.173511072887551"/>
          <c:w val="0.91655"/>
          <c:h val="0.634358202537089"/>
        </c:manualLayout>
      </c:layout>
      <c:barChart>
        <c:barDir val="col"/>
        <c:grouping val="stacked"/>
        <c:varyColors val="0"/>
        <c:ser>
          <c:idx val="0"/>
          <c:order val="0"/>
          <c:tx>
            <c:strRef>
              <c:f>Sheet1!$B$1</c:f>
              <c:strCache>
                <c:ptCount val="1"/>
                <c:pt idx="0">
                  <c:v>单位：万元</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64.97</c:v>
                </c:pt>
                <c:pt idx="1">
                  <c:v>117.23</c:v>
                </c:pt>
              </c:numCache>
            </c:numRef>
          </c:val>
        </c:ser>
        <c:ser>
          <c:idx val="2"/>
          <c:order val="1"/>
          <c:tx>
            <c:strRef>
              <c:f>Sheet1!#REF!</c:f>
              <c:strCache>
                <c:ptCount val="1"/>
                <c:pt idx="0">
                  <c:v/>
                </c:pt>
              </c:strCache>
            </c:strRef>
          </c:tx>
          <c:spPr>
            <a:solidFill>
              <a:schemeClr val="bg1"/>
            </a:solidFill>
            <a:ln>
              <a:noFill/>
            </a:ln>
            <a:effectLst/>
          </c:spPr>
          <c:invertIfNegative val="0"/>
          <c:dLbls>
            <c:delete val="1"/>
          </c:dLbls>
          <c:cat>
            <c:strRef>
              <c:f>Sheet1!$A$2:$A$3</c:f>
              <c:strCache>
                <c:ptCount val="2"/>
                <c:pt idx="0">
                  <c:v>2021年</c:v>
                </c:pt>
                <c:pt idx="1">
                  <c:v>2022年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797229139"/>
        <c:axId val="331192832"/>
      </c:barChart>
      <c:catAx>
        <c:axId val="7972291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1192832"/>
        <c:crosses val="autoZero"/>
        <c:auto val="1"/>
        <c:lblAlgn val="ctr"/>
        <c:lblOffset val="100"/>
        <c:noMultiLvlLbl val="0"/>
      </c:catAx>
      <c:valAx>
        <c:axId val="33119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7229139"/>
        <c:crosses val="autoZero"/>
        <c:crossBetween val="between"/>
      </c:valAx>
      <c:spPr>
        <a:noFill/>
        <a:ln>
          <a:noFill/>
        </a:ln>
        <a:effectLst/>
      </c:spPr>
    </c:plotArea>
    <c:legend>
      <c:legendPos val="b"/>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mn-cs"/>
            </a:defRPr>
          </a:pPr>
        </a:p>
      </c:txPr>
    </c:title>
    <c:autoTitleDeleted val="0"/>
    <c:plotArea>
      <c:layout/>
      <c:pieChart>
        <c:varyColors val="1"/>
        <c:ser>
          <c:idx val="0"/>
          <c:order val="0"/>
          <c:spPr>
            <a:ln w="19050">
              <a:noFill/>
            </a:ln>
            <a:effectLst>
              <a:outerShdw blurRad="50800" dist="38100" dir="2700000" algn="tl" rotWithShape="0">
                <a:prstClr val="black">
                  <a:alpha val="40000"/>
                </a:prstClr>
              </a:outerShdw>
            </a:effectLst>
          </c:spPr>
          <c:explosion val="4"/>
          <c:dPt>
            <c:idx val="0"/>
            <c:bubble3D val="0"/>
            <c:explosion val="0"/>
            <c:spPr>
              <a:solidFill>
                <a:srgbClr val="C7C114"/>
              </a:solidFill>
              <a:ln w="19050">
                <a:noFill/>
              </a:ln>
              <a:effectLst>
                <a:outerShdw blurRad="50800" dist="38100" dir="2700000" algn="tl" rotWithShape="0">
                  <a:prstClr val="black">
                    <a:alpha val="40000"/>
                  </a:prstClr>
                </a:outerShdw>
              </a:effectLst>
            </c:spPr>
          </c:dPt>
          <c:dPt>
            <c:idx val="1"/>
            <c:bubble3D val="0"/>
            <c:explosion val="0"/>
            <c:spPr>
              <a:solidFill>
                <a:srgbClr val="77B50D"/>
              </a:solidFill>
              <a:ln w="19050">
                <a:noFill/>
              </a:ln>
              <a:effectLst>
                <a:outerShdw blurRad="50800" dist="38100" dir="2700000" algn="tl" rotWithShape="0">
                  <a:prstClr val="black">
                    <a:alpha val="40000"/>
                  </a:prstClr>
                </a:outerShdw>
              </a:effectLst>
            </c:spPr>
          </c:dPt>
          <c:dPt>
            <c:idx val="2"/>
            <c:bubble3D val="0"/>
            <c:explosion val="0"/>
            <c:spPr>
              <a:solidFill>
                <a:srgbClr val="2CA308"/>
              </a:solidFill>
              <a:ln w="19050">
                <a:noFill/>
              </a:ln>
              <a:effectLst>
                <a:outerShdw blurRad="50800" dist="38100" dir="2700000" algn="tl" rotWithShape="0">
                  <a:prstClr val="black">
                    <a:alpha val="40000"/>
                  </a:prstClr>
                </a:outerShdw>
              </a:effectLst>
            </c:spPr>
          </c:dPt>
          <c:dPt>
            <c:idx val="3"/>
            <c:bubble3D val="0"/>
            <c:explosion val="0"/>
            <c:spPr>
              <a:solidFill>
                <a:srgbClr val="03911B"/>
              </a:solidFill>
              <a:ln w="19050">
                <a:noFill/>
              </a:ln>
              <a:effectLst>
                <a:outerShdw blurRad="50800" dist="38100" dir="2700000" algn="tl" rotWithShape="0">
                  <a:prstClr val="black">
                    <a:alpha val="40000"/>
                  </a:prstClr>
                </a:outerShdw>
              </a:effectLst>
            </c:spPr>
          </c:dPt>
          <c:dPt>
            <c:idx val="4"/>
            <c:bubble3D val="0"/>
            <c:explosion val="0"/>
            <c:spPr>
              <a:solidFill>
                <a:srgbClr val="008248"/>
              </a:solidFill>
              <a:ln w="19050">
                <a:noFill/>
              </a:ln>
              <a:effectLst>
                <a:outerShdw blurRad="50800" dist="38100" dir="2700000" algn="tl" rotWithShape="0">
                  <a:prstClr val="black">
                    <a:alpha val="40000"/>
                  </a:prstClr>
                </a:outerShdw>
              </a:effectLst>
            </c:spPr>
          </c:dPt>
          <c:dPt>
            <c:idx val="5"/>
            <c:bubble3D val="0"/>
            <c:spPr>
              <a:solidFill>
                <a:schemeClr val="accent6"/>
              </a:solidFill>
              <a:ln w="19050">
                <a:noFill/>
              </a:ln>
              <a:effectLst>
                <a:outerShdw blurRad="50800" dist="38100" dir="2700000" algn="tl" rotWithShape="0">
                  <a:prstClr val="black">
                    <a:alpha val="40000"/>
                  </a:prstClr>
                </a:outerShdw>
              </a:effectLst>
            </c:spPr>
          </c:dPt>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charset="-122"/>
                    <a:ea typeface="微软雅黑" panose="020B0503020204020204" charset="-122"/>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[工作簿2]Sheet1!$A$2:$A$7</c:f>
              <c:strCache>
                <c:ptCount val="6"/>
                <c:pt idx="0">
                  <c:v>文化旅游体育和传媒类</c:v>
                </c:pt>
                <c:pt idx="1">
                  <c:v>社会保障和就业类</c:v>
                </c:pt>
                <c:pt idx="2">
                  <c:v>卫生健康类</c:v>
                </c:pt>
                <c:pt idx="3">
                  <c:v>节能环保类</c:v>
                </c:pt>
                <c:pt idx="4">
                  <c:v>城乡社区类</c:v>
                </c:pt>
                <c:pt idx="5">
                  <c:v>住房保障类</c:v>
                </c:pt>
              </c:strCache>
            </c:strRef>
          </c:cat>
          <c:val>
            <c:numRef>
              <c:f>[工作簿2]Sheet1!$B$2:$B$7</c:f>
              <c:numCache>
                <c:formatCode>0.0</c:formatCode>
                <c:ptCount val="6"/>
                <c:pt idx="0">
                  <c:v>73.1</c:v>
                </c:pt>
                <c:pt idx="1" c:formatCode="0.00">
                  <c:v>8.62</c:v>
                </c:pt>
                <c:pt idx="2" c:formatCode="0.00">
                  <c:v>3.23</c:v>
                </c:pt>
                <c:pt idx="3" c:formatCode="0">
                  <c:v>10</c:v>
                </c:pt>
                <c:pt idx="4" c:formatCode="0">
                  <c:v>16</c:v>
                </c:pt>
                <c:pt idx="5" c:formatCode="0.00">
                  <c:v>6.28</c:v>
                </c:pt>
              </c:numCache>
            </c:numRef>
          </c:val>
        </c:ser>
        <c:ser>
          <c:idx val="1"/>
          <c:order val="1"/>
          <c:spPr>
            <a:ln w="19050">
              <a:noFill/>
            </a:ln>
            <a:effectLst>
              <a:outerShdw blurRad="50800" dist="38100" dir="2700000" algn="tl" rotWithShape="0">
                <a:prstClr val="black">
                  <a:alpha val="40000"/>
                </a:prstClr>
              </a:outerShdw>
            </a:effectLst>
          </c:spPr>
          <c:explosion val="4"/>
          <c:dPt>
            <c:idx val="0"/>
            <c:bubble3D val="0"/>
            <c:explosion val="0"/>
            <c:spPr>
              <a:solidFill>
                <a:srgbClr val="C7C114"/>
              </a:solidFill>
              <a:ln w="19050">
                <a:noFill/>
              </a:ln>
              <a:effectLst>
                <a:outerShdw blurRad="50800" dist="38100" dir="2700000" algn="tl" rotWithShape="0">
                  <a:prstClr val="black">
                    <a:alpha val="40000"/>
                  </a:prstClr>
                </a:out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[工作簿2]Sheet1!$A$2:$A$7</c:f>
              <c:strCache>
                <c:ptCount val="6"/>
                <c:pt idx="0">
                  <c:v>文化旅游体育和传媒类</c:v>
                </c:pt>
                <c:pt idx="1">
                  <c:v>社会保障和就业类</c:v>
                </c:pt>
                <c:pt idx="2">
                  <c:v>卫生健康类</c:v>
                </c:pt>
                <c:pt idx="3">
                  <c:v>节能环保类</c:v>
                </c:pt>
                <c:pt idx="4">
                  <c:v>城乡社区类</c:v>
                </c:pt>
                <c:pt idx="5">
                  <c:v>住房保障类</c:v>
                </c:pt>
              </c:strCache>
            </c:strRef>
          </c:cat>
          <c:val>
            <c:numRef>
              <c:f>[工作簿2]Sheet1!#REF!</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gradFill flip="none" rotWithShape="1">
      <a:gsLst>
        <a:gs pos="0">
          <a:schemeClr val="bg1">
            <a:lumMod val="95000"/>
          </a:schemeClr>
        </a:gs>
        <a:gs pos="100000">
          <a:schemeClr val="bg1">
            <a:lumMod val="50000"/>
          </a:schemeClr>
        </a:gs>
      </a:gsLst>
      <a:path path="circle">
        <a:fillToRect l="50000" t="50000" r="50000" b="50000"/>
      </a:path>
      <a:tileRect/>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altLang="en-US"/>
              <a:t>年</a:t>
            </a:r>
            <a:r>
              <a:rPr lang="en-US" altLang="zh-CN"/>
              <a:t>“</a:t>
            </a:r>
            <a:r>
              <a:rPr altLang="en-US"/>
              <a:t>三公</a:t>
            </a:r>
            <a:r>
              <a:rPr lang="en-US" altLang="zh-CN"/>
              <a:t>”</a:t>
            </a:r>
            <a:r>
              <a:rPr altLang="en-US"/>
              <a:t>经费支出合计</a:t>
            </a:r>
            <a:r>
              <a:rPr lang="en-US" altLang="zh-CN"/>
              <a:t>0.54</a:t>
            </a:r>
            <a:r>
              <a:rPr altLang="en-US"/>
              <a:t>万元（其中：公务接待支出</a:t>
            </a:r>
            <a:r>
              <a:rPr lang="en-US" altLang="zh-CN"/>
              <a:t>0.54</a:t>
            </a:r>
            <a:r>
              <a:rPr altLang="en-US"/>
              <a:t>万元，占</a:t>
            </a:r>
            <a:r>
              <a:rPr lang="en-US" altLang="zh-CN"/>
              <a:t>100%</a:t>
            </a:r>
            <a:r>
              <a:rPr altLang="en-US"/>
              <a:t>）</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单位：万元</c:v>
                </c:pt>
              </c:strCache>
            </c:strRef>
          </c:cat>
          <c:val>
            <c:numRef>
              <c:f>Sheet1!$B$2:$B$5</c:f>
              <c:numCache>
                <c:formatCode>General</c:formatCode>
                <c:ptCount val="4"/>
                <c:pt idx="0">
                  <c:v>0.37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6987</Words>
  <Characters>7457</Characters>
  <Lines>61</Lines>
  <Paragraphs>17</Paragraphs>
  <TotalTime>1404</TotalTime>
  <ScaleCrop>false</ScaleCrop>
  <LinksUpToDate>false</LinksUpToDate>
  <CharactersWithSpaces>7545</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Administrator</cp:lastModifiedBy>
  <cp:lastPrinted>2022-08-06T10:23:00Z</cp:lastPrinted>
  <dcterms:modified xsi:type="dcterms:W3CDTF">2023-10-13T02:02:50Z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y fmtid="{D5CDD505-2E9C-101B-9397-08002B2CF9AE}" pid="3" name="ICV">
    <vt:lpwstr>18C4299B72334D3095585539B3212D20</vt:lpwstr>
  </property>
</Properties>
</file>