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default" w:ascii="Times New Roman" w:hAnsi="Times New Roman" w:eastAsia="方正小标宋简体" w:cs="Times New Roman"/>
          <w:b/>
          <w:bCs w:val="0"/>
          <w:spacing w:val="-20"/>
          <w:sz w:val="44"/>
          <w:szCs w:val="44"/>
          <w:highlight w:val="none"/>
        </w:rPr>
        <w:t>广元市昭化区</w:t>
      </w:r>
      <w:r>
        <w:rPr>
          <w:rFonts w:hint="default" w:ascii="Times New Roman" w:hAnsi="Times New Roman" w:eastAsia="方正小标宋简体" w:cs="Times New Roman"/>
          <w:b/>
          <w:bCs w:val="0"/>
          <w:spacing w:val="-20"/>
          <w:sz w:val="44"/>
          <w:szCs w:val="44"/>
          <w:highlight w:val="none"/>
          <w:lang w:eastAsia="zh-CN"/>
        </w:rPr>
        <w:t>人民代表大会常务委员会办公室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keepNext w:val="0"/>
        <w:keepLines w:val="0"/>
        <w:pageBreakBefore w:val="0"/>
        <w:kinsoku/>
        <w:wordWrap/>
        <w:overflowPunct/>
        <w:topLinePunct w:val="0"/>
        <w:autoSpaceDE/>
        <w:autoSpaceDN/>
        <w:bidi w:val="0"/>
        <w:adjustRightInd/>
        <w:snapToGrid/>
        <w:spacing w:line="660" w:lineRule="exact"/>
        <w:jc w:val="center"/>
        <w:textAlignment w:val="auto"/>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一、基本职能及主要工作..............................(2)</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（一）单位职能简介..................................(2)</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（二）单位2024年重点工作...........................(2)</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二、部门预算单位构成................................(3)</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三、收支预算情况说明................................(3)</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（一）收入预算情况..................................(3)</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（二）支出预算情况..................................(3)</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（三）一般公共预算当年拨款具体使用情况..............(4)</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六、一般公共预算基本支出情况说明....................(6)</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七、“三公”经费财政拨款预算安排情况说明............(7)</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八、政府性基金预算支出情况说明......................(7)</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九、国有资本经营预算支出情况说明....................(8)</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  ..(8)</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  .(8)</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rPr>
        <w:t>职能简介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color w:val="auto"/>
          <w:sz w:val="32"/>
          <w:szCs w:val="32"/>
          <w:highlight w:val="none"/>
          <w:lang w:val="en-US" w:eastAsia="zh-CN"/>
        </w:rPr>
        <w:t>根据宪法和地方组织法的规定：“地方各级人民代表大会是地方国家权力机关”、“县级以上的地方各级人民代表大会常务委员会是本级人民代表大会的常设机构”，《中华人民共和国宪法》第104条和新修订的《中华人民共和国地方各级人民代表大会和地方各级人民政府组织法》第50条赋予地方各级人大常委会在本级人民代表大会闭会期间，行使18项职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单位</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紧紧围绕</w:t>
      </w:r>
      <w:r>
        <w:rPr>
          <w:rFonts w:hint="default" w:ascii="Times New Roman" w:hAnsi="Times New Roman" w:eastAsia="仿宋_GB2312" w:cs="Times New Roman"/>
          <w:b w:val="0"/>
          <w:bCs w:val="0"/>
          <w:color w:val="000000"/>
          <w:spacing w:val="0"/>
          <w:sz w:val="32"/>
          <w:szCs w:val="32"/>
        </w:rPr>
        <w:t>全</w:t>
      </w:r>
      <w:r>
        <w:rPr>
          <w:rFonts w:hint="default" w:ascii="Times New Roman" w:hAnsi="Times New Roman" w:eastAsia="仿宋_GB2312" w:cs="Times New Roman"/>
          <w:b w:val="0"/>
          <w:bCs w:val="0"/>
          <w:color w:val="000000"/>
          <w:spacing w:val="0"/>
          <w:sz w:val="32"/>
          <w:szCs w:val="32"/>
          <w:lang w:val="en-US" w:eastAsia="zh-CN"/>
        </w:rPr>
        <w:t>区</w:t>
      </w:r>
      <w:r>
        <w:rPr>
          <w:rFonts w:hint="default" w:ascii="Times New Roman" w:hAnsi="Times New Roman" w:eastAsia="仿宋_GB2312" w:cs="Times New Roman"/>
          <w:b w:val="0"/>
          <w:bCs w:val="0"/>
          <w:color w:val="000000"/>
          <w:spacing w:val="0"/>
          <w:sz w:val="32"/>
          <w:szCs w:val="32"/>
        </w:rPr>
        <w:t>中心工作，</w:t>
      </w:r>
      <w:r>
        <w:rPr>
          <w:rFonts w:hint="default" w:ascii="Times New Roman" w:hAnsi="Times New Roman" w:eastAsia="仿宋_GB2312" w:cs="Times New Roman"/>
          <w:b w:val="0"/>
          <w:bCs w:val="0"/>
          <w:color w:val="000000"/>
          <w:spacing w:val="0"/>
          <w:sz w:val="32"/>
          <w:szCs w:val="32"/>
          <w:lang w:val="en-US" w:eastAsia="zh-CN"/>
        </w:rPr>
        <w:t>坚持正确监督、有效监督、依法监督</w:t>
      </w:r>
      <w:r>
        <w:rPr>
          <w:rFonts w:hint="default"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rPr>
        <w:t>围绕</w:t>
      </w:r>
      <w:r>
        <w:rPr>
          <w:rFonts w:hint="default" w:ascii="Times New Roman" w:hAnsi="Times New Roman" w:eastAsia="仿宋_GB2312" w:cs="Times New Roman"/>
          <w:b w:val="0"/>
          <w:bCs w:val="0"/>
          <w:color w:val="000000"/>
          <w:spacing w:val="0"/>
          <w:sz w:val="32"/>
          <w:szCs w:val="32"/>
          <w:lang w:val="en-US" w:eastAsia="zh-CN"/>
        </w:rPr>
        <w:t>促进</w:t>
      </w:r>
      <w:r>
        <w:rPr>
          <w:rFonts w:hint="default" w:ascii="Times New Roman" w:hAnsi="Times New Roman" w:eastAsia="仿宋_GB2312" w:cs="Times New Roman"/>
          <w:b w:val="0"/>
          <w:bCs w:val="0"/>
          <w:color w:val="000000"/>
          <w:spacing w:val="0"/>
          <w:sz w:val="32"/>
          <w:szCs w:val="32"/>
          <w:lang w:eastAsia="zh-CN"/>
        </w:rPr>
        <w:t>高质量</w:t>
      </w:r>
      <w:r>
        <w:rPr>
          <w:rFonts w:hint="default" w:ascii="Times New Roman" w:hAnsi="Times New Roman" w:eastAsia="仿宋_GB2312" w:cs="Times New Roman"/>
          <w:b w:val="0"/>
          <w:bCs w:val="0"/>
          <w:color w:val="000000"/>
          <w:spacing w:val="0"/>
          <w:sz w:val="32"/>
          <w:szCs w:val="32"/>
          <w:lang w:val="en-US" w:eastAsia="zh-CN"/>
        </w:rPr>
        <w:t>发展</w:t>
      </w:r>
      <w:r>
        <w:rPr>
          <w:rFonts w:hint="default" w:ascii="Times New Roman" w:hAnsi="Times New Roman" w:eastAsia="仿宋_GB2312" w:cs="Times New Roman"/>
          <w:b w:val="0"/>
          <w:bCs w:val="0"/>
          <w:color w:val="000000"/>
          <w:spacing w:val="0"/>
          <w:sz w:val="32"/>
          <w:szCs w:val="32"/>
        </w:rPr>
        <w:t>，听取审议关于计划、预算、决算、政府债务管理、国有资产管理、审计及审计</w:t>
      </w:r>
      <w:r>
        <w:rPr>
          <w:rFonts w:hint="default" w:ascii="Times New Roman" w:hAnsi="Times New Roman" w:eastAsia="仿宋_GB2312" w:cs="Times New Roman"/>
          <w:b w:val="0"/>
          <w:bCs w:val="0"/>
          <w:color w:val="000000"/>
          <w:spacing w:val="0"/>
          <w:sz w:val="32"/>
          <w:szCs w:val="32"/>
          <w:lang w:val="en-US" w:eastAsia="zh-CN"/>
        </w:rPr>
        <w:t>查出</w:t>
      </w:r>
      <w:r>
        <w:rPr>
          <w:rFonts w:hint="default" w:ascii="Times New Roman" w:hAnsi="Times New Roman" w:eastAsia="仿宋_GB2312" w:cs="Times New Roman"/>
          <w:b w:val="0"/>
          <w:bCs w:val="0"/>
          <w:color w:val="000000"/>
          <w:spacing w:val="0"/>
          <w:sz w:val="32"/>
          <w:szCs w:val="32"/>
        </w:rPr>
        <w:t>问题整改等工作报告</w:t>
      </w:r>
      <w:r>
        <w:rPr>
          <w:rFonts w:hint="default" w:ascii="Times New Roman" w:hAnsi="Times New Roman" w:eastAsia="仿宋_GB2312" w:cs="Times New Roman"/>
          <w:b w:val="0"/>
          <w:bCs w:val="0"/>
          <w:color w:val="000000"/>
          <w:spacing w:val="0"/>
          <w:sz w:val="32"/>
          <w:szCs w:val="32"/>
          <w:lang w:eastAsia="zh-CN"/>
        </w:rPr>
        <w:t>，</w:t>
      </w:r>
      <w:r>
        <w:rPr>
          <w:rFonts w:hint="default" w:ascii="Times New Roman" w:hAnsi="Times New Roman" w:eastAsia="仿宋_GB2312" w:cs="Times New Roman"/>
          <w:b w:val="0"/>
          <w:bCs w:val="0"/>
          <w:color w:val="000000"/>
          <w:spacing w:val="0"/>
          <w:sz w:val="32"/>
          <w:szCs w:val="32"/>
          <w:lang w:val="en-US" w:eastAsia="zh-CN"/>
        </w:rPr>
        <w:t>对全区现代服务业发展开展视察。</w:t>
      </w:r>
      <w:r>
        <w:rPr>
          <w:rFonts w:hint="default" w:ascii="Times New Roman" w:hAnsi="Times New Roman" w:eastAsia="仿宋_GB2312" w:cs="Times New Roman"/>
          <w:b w:val="0"/>
          <w:bCs w:val="0"/>
          <w:color w:val="000000"/>
          <w:spacing w:val="0"/>
          <w:sz w:val="32"/>
          <w:szCs w:val="32"/>
        </w:rPr>
        <w:t>围绕保障和改善民生，</w:t>
      </w:r>
      <w:r>
        <w:rPr>
          <w:rFonts w:hint="default" w:ascii="Times New Roman" w:hAnsi="Times New Roman" w:eastAsia="仿宋_GB2312" w:cs="Times New Roman"/>
          <w:b w:val="0"/>
          <w:bCs w:val="0"/>
          <w:color w:val="000000"/>
          <w:spacing w:val="0"/>
          <w:sz w:val="32"/>
          <w:szCs w:val="32"/>
          <w:lang w:val="en-US" w:eastAsia="zh-CN"/>
        </w:rPr>
        <w:t>听取审议全民健身、青少年和学校体育工作情况报告，</w:t>
      </w:r>
      <w:r>
        <w:rPr>
          <w:rFonts w:hint="eastAsia" w:eastAsia="仿宋_GB2312" w:cs="Times New Roman"/>
          <w:b w:val="0"/>
          <w:bCs w:val="0"/>
          <w:color w:val="000000"/>
          <w:spacing w:val="0"/>
          <w:sz w:val="32"/>
          <w:szCs w:val="32"/>
          <w:lang w:val="en-US" w:eastAsia="zh-CN"/>
        </w:rPr>
        <w:t>专题调研全区推进义务教育优质均衡发展情况，</w:t>
      </w:r>
      <w:r>
        <w:rPr>
          <w:rFonts w:hint="default" w:ascii="Times New Roman" w:hAnsi="Times New Roman" w:eastAsia="仿宋_GB2312" w:cs="Times New Roman"/>
          <w:b w:val="0"/>
          <w:bCs w:val="0"/>
          <w:color w:val="000000"/>
          <w:spacing w:val="0"/>
          <w:sz w:val="32"/>
          <w:szCs w:val="32"/>
          <w:lang w:val="en-US" w:eastAsia="zh-CN"/>
        </w:rPr>
        <w:t>听取代表意见建议办理、民生实事项目完成情况报告，专题调研全区公益性岗位开发及管理工作，组织代表对民生实事开展集中视察。围绕促进乡村振兴，听取审议年度乡村振兴促进工作报告、全区大中型水利水电工程库区发展情况报告、2023年度水利发展资金使用绩效和2024年资金安排情况报告，对全区高标准农田建设、巩固拓展健康扶贫与乡村振兴有效衔接工作开展视察，跟踪监督乡村振兴</w:t>
      </w:r>
      <w:r>
        <w:rPr>
          <w:rFonts w:hint="eastAsia" w:eastAsia="仿宋_GB2312" w:cs="Times New Roman"/>
          <w:b w:val="0"/>
          <w:bCs w:val="0"/>
          <w:color w:val="000000"/>
          <w:spacing w:val="0"/>
          <w:sz w:val="32"/>
          <w:szCs w:val="32"/>
          <w:lang w:val="en-US" w:eastAsia="zh-CN"/>
        </w:rPr>
        <w:t>促进工作</w:t>
      </w:r>
      <w:r>
        <w:rPr>
          <w:rFonts w:hint="default" w:ascii="Times New Roman" w:hAnsi="Times New Roman" w:eastAsia="仿宋_GB2312" w:cs="Times New Roman"/>
          <w:b w:val="0"/>
          <w:bCs w:val="0"/>
          <w:color w:val="000000"/>
          <w:spacing w:val="0"/>
          <w:sz w:val="32"/>
          <w:szCs w:val="32"/>
          <w:lang w:val="en-US" w:eastAsia="zh-CN"/>
        </w:rPr>
        <w:t>审议意见落实情况。围绕全面提升生态品质，听取审议年度环境状况和环境保护目标完成情况报告，开展四川省古树名木保护条例执法检查，对全区生态环境问题整改开展视察，专题调研</w:t>
      </w:r>
      <w:r>
        <w:rPr>
          <w:rFonts w:hint="default" w:ascii="Times New Roman" w:hAnsi="Times New Roman" w:eastAsia="仿宋_GB2312" w:cs="Times New Roman"/>
          <w:b w:val="0"/>
          <w:bCs w:val="0"/>
          <w:color w:val="000000"/>
          <w:spacing w:val="0"/>
          <w:sz w:val="32"/>
          <w:szCs w:val="32"/>
          <w:lang w:val="zh-CN"/>
        </w:rPr>
        <w:t>全区污水处理设施运维及黑臭水体治理情况</w:t>
      </w:r>
      <w:r>
        <w:rPr>
          <w:rFonts w:hint="default" w:ascii="Times New Roman" w:hAnsi="Times New Roman" w:eastAsia="仿宋_GB2312" w:cs="Times New Roman"/>
          <w:b w:val="0"/>
          <w:bCs w:val="0"/>
          <w:color w:val="000000"/>
          <w:spacing w:val="0"/>
          <w:sz w:val="32"/>
          <w:szCs w:val="32"/>
          <w:lang w:val="en-US" w:eastAsia="zh-CN"/>
        </w:rPr>
        <w:t>。围绕提升社会治理法治化水平，听取审议八五普法中期实施、法治政府建设、“两院”工作、未成年人检察工作、应急管理工作等报告，开展退役军人保障法贯彻落实情况执法检查，调研基层立法点建设，加强规范性文件备案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lang w:eastAsia="zh-CN"/>
        </w:rPr>
        <w:t>广元市昭化区人大常委会办公室</w:t>
      </w:r>
      <w:r>
        <w:rPr>
          <w:rFonts w:hint="eastAsia" w:ascii="Times New Roman" w:hAnsi="Times New Roman" w:eastAsia="仿宋_GB2312" w:cs="Times New Roman"/>
          <w:color w:val="auto"/>
          <w:sz w:val="32"/>
          <w:szCs w:val="32"/>
          <w:lang w:eastAsia="zh-CN"/>
        </w:rPr>
        <w:t>为一级预算单位，</w:t>
      </w:r>
      <w:r>
        <w:rPr>
          <w:rFonts w:hint="eastAsia" w:ascii="仿宋_GB2312" w:hAnsi="仿宋_GB2312" w:eastAsia="仿宋_GB2312" w:cs="仿宋_GB2312"/>
          <w:sz w:val="32"/>
          <w:szCs w:val="32"/>
          <w:lang w:val="en-US" w:eastAsia="zh-CN"/>
        </w:rPr>
        <w:t>无二级预算单位。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我单位所有收入和支出均纳入部门预算管理。收入包括：一般公共预算拨款收入。支出包括：一般公共服务支出、社会保障和就业支出、卫生健康支出、住房保障支出。我单位2024年收支预算总数1299.44万元,比2023年收支预算总数增加1.68万元，主要原因是</w:t>
      </w:r>
      <w:r>
        <w:rPr>
          <w:rFonts w:hint="eastAsia"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导致预算收支相应增加。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我单位2024年收入预算1299.44万元，其中：一般公共预算拨款收入1299.44万元，占100%。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我单位2024年支出预算1299.44万元，其中：基本支出924.80万元，占71.17%；项目支出374.64万元，占28.83%</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我单位2024年财政拨款收支预算总数1299.44万元,比2023年财政拨款收支预算总数增加1.68万元，主要原因是</w:t>
      </w:r>
      <w:r>
        <w:rPr>
          <w:rFonts w:hint="eastAsia"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导致预算收支相应增加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收入包括：本年一般公共预算拨款收入1299.44万元；支出包括：一般公共服务支出1028万元、社会保障和就业支出173.64万元、卫生健康支出30.8万元、住房保障支出67万元。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我单位2024年一般公共预算当年拨款1299.44万元，比2023年预算数增加1.68万元，主要原因是</w:t>
      </w:r>
      <w:r>
        <w:rPr>
          <w:rFonts w:hint="eastAsia" w:ascii="Times New Roman" w:hAnsi="Times New Roman" w:eastAsia="仿宋_GB2312" w:cs="Times New Roman"/>
          <w:sz w:val="32"/>
          <w:szCs w:val="32"/>
          <w:lang w:val="en-US" w:eastAsia="zh-CN"/>
        </w:rPr>
        <w:t>人员变动</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导致预算收支相应增加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一般公共服务支出1028万元，占79.11%；社会保障和就业支出173.6万元，占13.4%；卫生健康支出30.8万元，占2.4%；住房保障支出67万元，占5.16%。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spacing w:line="600" w:lineRule="exact"/>
        <w:ind w:firstLine="645"/>
        <w:rPr>
          <w:rFonts w:hint="eastAsia" w:ascii="仿宋_GB2312" w:hAnsi="仿宋_GB2312" w:eastAsia="仿宋_GB2312" w:cs="仿宋_GB2312"/>
          <w:sz w:val="32"/>
          <w:szCs w:val="32"/>
          <w:lang w:val="en-US" w:eastAsia="zh-CN"/>
        </w:rPr>
      </w:pPr>
      <w:r>
        <w:rPr>
          <w:rStyle w:val="15"/>
          <w:rFonts w:ascii="仿宋" w:hAnsi="仿宋" w:eastAsia="仿宋"/>
          <w:bCs/>
          <w:sz w:val="32"/>
          <w:szCs w:val="32"/>
        </w:rPr>
        <w:t>1.</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人大事务（款）行政运行（项）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633.27万元，主要用于：按规定由单位承担的公务员基本工资、津贴补贴、奖金、机关事业单位基本养老保险缴费、职业年金缴费、退休费、抚恤金、生活补助、奖励金、住房公积金及办公费、印刷费、邮电费、差旅费、维修（护）费、租赁费、会议费、公务接待费、工会经费、其他商品和服务支出。</w:t>
      </w:r>
    </w:p>
    <w:p>
      <w:pPr>
        <w:spacing w:line="600" w:lineRule="exact"/>
        <w:ind w:firstLine="643" w:firstLineChars="200"/>
        <w:rPr>
          <w:rFonts w:hint="eastAsia" w:ascii="仿宋_GB2312" w:hAnsi="仿宋_GB2312" w:eastAsia="仿宋_GB2312" w:cs="仿宋_GB2312"/>
          <w:sz w:val="32"/>
          <w:szCs w:val="32"/>
          <w:lang w:val="en-US" w:eastAsia="zh-CN"/>
        </w:rPr>
      </w:pPr>
      <w:r>
        <w:rPr>
          <w:rStyle w:val="15"/>
          <w:rFonts w:hint="eastAsia" w:ascii="仿宋" w:hAnsi="仿宋" w:eastAsia="仿宋"/>
          <w:bCs/>
          <w:sz w:val="32"/>
          <w:szCs w:val="32"/>
          <w:lang w:val="en-US" w:eastAsia="zh-CN"/>
        </w:rPr>
        <w:t>2</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人大事务（款）机关服务（项）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2024年预算数为38.5万元，主要用于：按规定由单位承担的《人大志》编撰、对32名退休干部的管理及3名临聘人员的相关支出。</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sz w:val="32"/>
          <w:szCs w:val="32"/>
          <w:lang w:val="en-US" w:eastAsia="zh-CN"/>
        </w:rPr>
        <w:t>3</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人大事务（款）人大会议（项）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2024年预算数为59.12万元，主要用于：区人民代表大会、区人大常委会、主任会议、市人民代表大会、省市人大工作研讨会等支出</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sz w:val="32"/>
          <w:szCs w:val="32"/>
          <w:lang w:val="en-US" w:eastAsia="zh-CN"/>
        </w:rPr>
        <w:t>4</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人大事务（款）人大监督（项）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2024年预算数为147.6万元，主要用于：人大监督、视察、调研、执法检查、全省预算执行在线监督、15个专委会工作、信访工作等相关工作支出</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Cs/>
          <w:sz w:val="32"/>
          <w:szCs w:val="32"/>
        </w:rPr>
      </w:pPr>
      <w:r>
        <w:rPr>
          <w:rStyle w:val="15"/>
          <w:rFonts w:hint="eastAsia" w:ascii="仿宋" w:hAnsi="仿宋" w:eastAsia="仿宋"/>
          <w:bCs/>
          <w:sz w:val="32"/>
          <w:szCs w:val="32"/>
          <w:lang w:val="en-US" w:eastAsia="zh-CN"/>
        </w:rPr>
        <w:t>5</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人大事务（款）代表工作（项）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2024年预算数为85万元，主要用于：代表履职能力提升及平台建设、异地人大代表联络站、民生实事项目人大代表票决制等工作支出</w:t>
      </w:r>
      <w:r>
        <w:rPr>
          <w:rStyle w:val="15"/>
          <w:rFonts w:hint="eastAsia" w:ascii="仿宋" w:hAnsi="仿宋" w:eastAsia="仿宋"/>
          <w:b w:val="0"/>
          <w:bCs/>
          <w:color w:val="000000"/>
          <w:sz w:val="32"/>
          <w:szCs w:val="32"/>
        </w:rPr>
        <w:t>。</w:t>
      </w:r>
    </w:p>
    <w:p>
      <w:pPr>
        <w:spacing w:line="600" w:lineRule="exact"/>
        <w:ind w:firstLine="643" w:firstLineChars="200"/>
        <w:rPr>
          <w:rFonts w:hint="eastAsia" w:ascii="仿宋_GB2312" w:hAnsi="仿宋_GB2312" w:eastAsia="仿宋_GB2312" w:cs="仿宋_GB2312"/>
          <w:sz w:val="32"/>
          <w:szCs w:val="32"/>
          <w:lang w:val="en-US" w:eastAsia="zh-CN"/>
        </w:rPr>
      </w:pPr>
      <w:r>
        <w:rPr>
          <w:rStyle w:val="15"/>
          <w:rFonts w:hint="eastAsia" w:ascii="仿宋" w:hAnsi="仿宋" w:eastAsia="仿宋"/>
          <w:bCs/>
          <w:sz w:val="32"/>
          <w:szCs w:val="32"/>
        </w:rPr>
        <w:t>6</w:t>
      </w:r>
      <w:r>
        <w:rPr>
          <w:rStyle w:val="15"/>
          <w:rFonts w:ascii="仿宋" w:hAnsi="仿宋" w:eastAsia="仿宋"/>
          <w:bCs/>
          <w:sz w:val="32"/>
          <w:szCs w:val="32"/>
        </w:rPr>
        <w:t>.</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人大事务（款）事业运行（项）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39.5万元，主要用于：按规定由单位承担的事业人员的基本工资、津贴补贴、奖金、绩效工资、机关事业单位基本养老保险缴费、职业年金缴费、住房公积金及办公费、印刷费、邮电费、差旅费、会议费、工会经费等。</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sz w:val="32"/>
          <w:szCs w:val="32"/>
          <w:lang w:val="en-US" w:eastAsia="zh-CN"/>
        </w:rPr>
        <w:t>7</w:t>
      </w:r>
      <w:r>
        <w:rPr>
          <w:rStyle w:val="15"/>
          <w:rFonts w:hint="eastAsia" w:ascii="仿宋" w:hAnsi="仿宋" w:eastAsia="仿宋"/>
          <w:bCs/>
          <w:sz w:val="32"/>
          <w:szCs w:val="32"/>
        </w:rPr>
        <w:t>.一般公共服务（类）</w:t>
      </w:r>
      <w:r>
        <w:rPr>
          <w:rStyle w:val="15"/>
          <w:rFonts w:hint="eastAsia" w:ascii="仿宋" w:hAnsi="仿宋" w:eastAsia="仿宋"/>
          <w:bCs/>
          <w:color w:val="000000"/>
          <w:sz w:val="32"/>
          <w:szCs w:val="32"/>
        </w:rPr>
        <w:t>人大事务（款）其他人大事务支出（项）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2024年预算数为25万元，主要用于：其他人大事务性及两个立法点建设工作相关支出</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Cs/>
          <w:sz w:val="32"/>
          <w:szCs w:val="32"/>
          <w:lang w:val="en-US" w:eastAsia="zh-CN"/>
        </w:rPr>
      </w:pPr>
      <w:r>
        <w:rPr>
          <w:rStyle w:val="15"/>
          <w:rFonts w:hint="eastAsia" w:ascii="仿宋" w:hAnsi="仿宋" w:eastAsia="仿宋"/>
          <w:bCs/>
          <w:sz w:val="32"/>
          <w:szCs w:val="32"/>
          <w:lang w:val="en-US" w:eastAsia="zh-CN"/>
        </w:rPr>
        <w:t>8</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w:t>
      </w:r>
      <w:r>
        <w:rPr>
          <w:rStyle w:val="15"/>
          <w:rFonts w:hint="eastAsia" w:ascii="仿宋" w:hAnsi="仿宋" w:eastAsia="仿宋"/>
          <w:bCs/>
          <w:sz w:val="32"/>
          <w:szCs w:val="32"/>
          <w:lang w:eastAsia="zh-CN"/>
        </w:rPr>
        <w:t>行政单位离退休</w:t>
      </w:r>
      <w:r>
        <w:rPr>
          <w:rStyle w:val="15"/>
          <w:rFonts w:hint="eastAsia" w:ascii="仿宋" w:hAnsi="仿宋" w:eastAsia="仿宋"/>
          <w:bCs/>
          <w:sz w:val="32"/>
          <w:szCs w:val="32"/>
        </w:rPr>
        <w:t>（项）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2024年预算数为64万元，主要用于：按规定由单位承担的离退休人员经费支出。</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sz w:val="32"/>
          <w:szCs w:val="32"/>
          <w:lang w:val="en-US" w:eastAsia="zh-CN"/>
        </w:rPr>
        <w:t>9</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社会保障和就业（类）行政事业单位养老支出（款）机关事业单位基本养老保险缴费支出（项）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2024年预算数为90.22万元，主要用于：实施养老保险制度由单位缴纳的基本养老保险支出</w:t>
      </w:r>
      <w:r>
        <w:rPr>
          <w:rStyle w:val="15"/>
          <w:rFonts w:hint="eastAsia" w:ascii="仿宋" w:hAnsi="仿宋" w:eastAsia="仿宋"/>
          <w:b w:val="0"/>
          <w:bCs/>
          <w:color w:val="000000"/>
          <w:sz w:val="32"/>
          <w:szCs w:val="32"/>
        </w:rPr>
        <w:t>。</w:t>
      </w:r>
    </w:p>
    <w:p>
      <w:pPr>
        <w:spacing w:line="600" w:lineRule="exact"/>
        <w:ind w:firstLine="643" w:firstLineChars="200"/>
        <w:rPr>
          <w:rStyle w:val="15"/>
          <w:rFonts w:hint="eastAsia" w:ascii="仿宋" w:hAnsi="仿宋" w:eastAsia="仿宋"/>
          <w:bCs/>
          <w:sz w:val="32"/>
          <w:szCs w:val="32"/>
          <w:lang w:val="en-US" w:eastAsia="zh-CN"/>
        </w:rPr>
      </w:pPr>
      <w:r>
        <w:rPr>
          <w:rStyle w:val="15"/>
          <w:rFonts w:hint="eastAsia" w:ascii="仿宋" w:hAnsi="仿宋" w:eastAsia="仿宋"/>
          <w:bCs/>
          <w:sz w:val="32"/>
          <w:szCs w:val="32"/>
          <w:lang w:val="en-US" w:eastAsia="zh-CN"/>
        </w:rPr>
        <w:t>10</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社会保障和就业（类）行政事业单位养老支出（款）机关事业单位</w:t>
      </w:r>
      <w:r>
        <w:rPr>
          <w:rStyle w:val="15"/>
          <w:rFonts w:hint="eastAsia" w:ascii="仿宋" w:hAnsi="仿宋" w:eastAsia="仿宋"/>
          <w:bCs/>
          <w:sz w:val="32"/>
          <w:szCs w:val="32"/>
          <w:lang w:eastAsia="zh-CN"/>
        </w:rPr>
        <w:t>职业年金缴费支出</w:t>
      </w:r>
      <w:r>
        <w:rPr>
          <w:rStyle w:val="15"/>
          <w:rFonts w:hint="eastAsia" w:ascii="仿宋" w:hAnsi="仿宋" w:eastAsia="仿宋"/>
          <w:bCs/>
          <w:sz w:val="32"/>
          <w:szCs w:val="32"/>
        </w:rPr>
        <w:t>（项）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2024年预算数为19.42万元，主要用于：实施养老保险制度由单位缴纳的职业年金支出。</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sz w:val="32"/>
          <w:szCs w:val="32"/>
          <w:lang w:val="en-US" w:eastAsia="zh-CN"/>
        </w:rPr>
        <w:t>11</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（类）行政事业单位医疗（款）行政事业单位医疗（项）</w:t>
      </w:r>
      <w:r>
        <w:rPr>
          <w:rStyle w:val="15"/>
          <w:rFonts w:ascii="仿宋" w:hAnsi="仿宋" w:eastAsia="仿宋"/>
          <w:bCs/>
          <w:sz w:val="32"/>
          <w:szCs w:val="32"/>
        </w:rPr>
        <w:t>:</w:t>
      </w:r>
      <w:r>
        <w:rPr>
          <w:rFonts w:hint="eastAsia" w:ascii="仿宋_GB2312" w:hAnsi="仿宋_GB2312" w:eastAsia="仿宋_GB2312" w:cs="仿宋_GB2312"/>
          <w:sz w:val="32"/>
          <w:szCs w:val="32"/>
          <w:lang w:val="en-US" w:eastAsia="zh-CN"/>
        </w:rPr>
        <w:t>2024年预算数为30.8万元，主要用于：按规定由单位缴纳的基本医疗保险支出</w:t>
      </w:r>
      <w:r>
        <w:rPr>
          <w:rStyle w:val="15"/>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Style w:val="15"/>
          <w:rFonts w:hint="eastAsia" w:ascii="仿宋" w:hAnsi="仿宋" w:eastAsia="仿宋"/>
          <w:bCs/>
          <w:color w:val="000000"/>
          <w:sz w:val="32"/>
          <w:szCs w:val="32"/>
          <w:lang w:val="en-US" w:eastAsia="zh-CN"/>
        </w:rPr>
        <w:t>12</w:t>
      </w:r>
      <w:r>
        <w:rPr>
          <w:rStyle w:val="15"/>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5"/>
          <w:rFonts w:hint="eastAsia" w:ascii="仿宋" w:hAnsi="仿宋" w:eastAsia="仿宋"/>
          <w:bCs/>
          <w:color w:val="000000"/>
          <w:sz w:val="32"/>
          <w:szCs w:val="32"/>
        </w:rPr>
        <w:t>（类）住房改革支出（款）住房公积金（项）</w:t>
      </w:r>
      <w:r>
        <w:rPr>
          <w:rStyle w:val="15"/>
          <w:rFonts w:ascii="仿宋" w:hAnsi="仿宋" w:eastAsia="仿宋"/>
          <w:bCs/>
          <w:color w:val="000000"/>
          <w:sz w:val="32"/>
          <w:szCs w:val="32"/>
        </w:rPr>
        <w:t>:</w:t>
      </w:r>
      <w:r>
        <w:rPr>
          <w:rFonts w:hint="eastAsia" w:ascii="仿宋_GB2312" w:hAnsi="仿宋_GB2312" w:eastAsia="仿宋_GB2312" w:cs="仿宋_GB2312"/>
          <w:sz w:val="32"/>
          <w:szCs w:val="32"/>
          <w:lang w:val="en-US" w:eastAsia="zh-CN"/>
        </w:rPr>
        <w:t>2024年预算数为67万元，主要用于：按规定为职工缴纳的住房公积金支出</w:t>
      </w:r>
      <w:r>
        <w:rPr>
          <w:rStyle w:val="15"/>
          <w:rFonts w:hint="eastAsia" w:ascii="仿宋" w:hAnsi="仿宋" w:eastAsia="仿宋"/>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我单位2024年一般公共预算基本支出924.8万元，其中：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人员经费813.77万元，主要包括：基本工资、津贴补贴、奖金、社会保险缴费、住房公积金等支出。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公用经费111.02万元，主要包括：办公费、维修（护）费、会议费、培训费、公务接待费、工会经费、其他交通费用等支出。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我单位2024年“三公”经费财政拨款预算数12.6万元，其中：公务接待费12.6万元，公务用车购置及运行维护费0万元，因公出国（境）经费0万元。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w:t>
      </w:r>
      <w:r>
        <w:rPr>
          <w:rFonts w:hint="eastAsia" w:ascii="仿宋_GB2312" w:eastAsia="仿宋_GB2312"/>
          <w:sz w:val="32"/>
          <w:szCs w:val="32"/>
        </w:rPr>
        <w:t>主要用于开展</w:t>
      </w:r>
      <w:r>
        <w:rPr>
          <w:rFonts w:hint="eastAsia" w:ascii="仿宋_GB2312" w:hAnsi="仿宋_GB2312" w:eastAsia="仿宋_GB2312" w:cs="仿宋_GB2312"/>
          <w:sz w:val="32"/>
          <w:szCs w:val="32"/>
          <w:lang w:val="en-US" w:eastAsia="zh-CN"/>
        </w:rPr>
        <w:t>考察调研、检查指导</w:t>
      </w:r>
      <w:r>
        <w:rPr>
          <w:rFonts w:hint="eastAsia" w:ascii="仿宋_GB2312" w:eastAsia="仿宋_GB2312"/>
          <w:sz w:val="32"/>
          <w:szCs w:val="32"/>
          <w:lang w:eastAsia="zh-CN"/>
        </w:rPr>
        <w:t>等</w:t>
      </w:r>
      <w:r>
        <w:rPr>
          <w:rFonts w:hint="eastAsia" w:ascii="仿宋_GB2312" w:eastAsia="仿宋_GB2312"/>
          <w:sz w:val="32"/>
          <w:szCs w:val="32"/>
        </w:rPr>
        <w:t>业务活动开支的交通费、住宿费、用餐费等。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单位现有公务用车0辆。2024年安排公务用车购置费0万元，拟购置公务用车0辆。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2024年，我单位的机关运行经费财政拨款预算为111.02万元，比2023年预算减少6.9万元，下降6%。主要原因人员变动导致相应减少。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本单位本年度无政府采购预算。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截至</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2023</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年底，我单位共有车辆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辆。单位价值</w:t>
      </w:r>
      <w:r>
        <w:rPr>
          <w:rFonts w:hint="eastAsia" w:ascii="Times New Roman" w:hAnsi="Times New Roman" w:eastAsia="仿宋_GB2312" w:cs="仿宋_GB2312"/>
          <w:i w:val="0"/>
          <w:caps w:val="0"/>
          <w:color w:val="333333"/>
          <w:spacing w:val="0"/>
          <w:kern w:val="0"/>
          <w:sz w:val="32"/>
          <w:szCs w:val="32"/>
          <w:shd w:val="clear" w:color="auto" w:fill="FFFFFF"/>
          <w:lang w:val="en-US" w:eastAsia="zh-CN" w:bidi="ar"/>
        </w:rPr>
        <w:t>200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台（套）。</w:t>
      </w:r>
    </w:p>
    <w:p>
      <w:pPr>
        <w:keepNext w:val="0"/>
        <w:keepLines w:val="0"/>
        <w:pageBreakBefore w:val="0"/>
        <w:widowControl w:val="0"/>
        <w:kinsoku/>
        <w:wordWrap/>
        <w:overflowPunct w:val="0"/>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年部门预算安排车辆购置经费及大型设备购置经费0万元。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单位开展绩效目标管理的项目8个，涉及预算485.66万元。其中：人员类项目1个，涉及预算19.42万元；运转类项目7个，涉及预算466.24万元；特定目标类项目0个，涉及预算0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一般公共预算拨款收入：指</w:t>
      </w:r>
      <w:r>
        <w:rPr>
          <w:rFonts w:hint="eastAsia" w:ascii="仿宋_GB2312" w:hAnsi="仿宋_GB2312" w:eastAsia="仿宋_GB2312" w:cs="仿宋_GB2312"/>
          <w:sz w:val="32"/>
          <w:szCs w:val="32"/>
          <w:lang w:val="en-US" w:eastAsia="zh-CN"/>
        </w:rPr>
        <w:t>区财政当</w:t>
      </w:r>
      <w:r>
        <w:rPr>
          <w:rFonts w:hint="default" w:ascii="仿宋_GB2312" w:hAnsi="仿宋_GB2312" w:eastAsia="仿宋_GB2312" w:cs="仿宋_GB2312"/>
          <w:sz w:val="32"/>
          <w:szCs w:val="32"/>
          <w:lang w:val="en-US" w:eastAsia="zh-CN"/>
        </w:rPr>
        <w:t>年拨付的资金。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w:t>
      </w:r>
      <w:r>
        <w:rPr>
          <w:rFonts w:hint="default" w:ascii="仿宋_GB2312" w:hAnsi="仿宋_GB2312" w:eastAsia="仿宋_GB2312" w:cs="仿宋_GB2312"/>
          <w:sz w:val="32"/>
          <w:szCs w:val="32"/>
          <w:lang w:val="en-US" w:eastAsia="zh-CN"/>
        </w:rPr>
        <w:t>（款）行政运行（项）：指</w:t>
      </w:r>
      <w:r>
        <w:rPr>
          <w:rFonts w:hint="eastAsia" w:ascii="仿宋_GB2312" w:hAnsi="仿宋_GB2312" w:eastAsia="仿宋_GB2312" w:cs="仿宋_GB2312"/>
          <w:sz w:val="32"/>
          <w:szCs w:val="32"/>
          <w:lang w:val="en-US" w:eastAsia="zh-CN"/>
        </w:rPr>
        <w:t>人大机关机关</w:t>
      </w:r>
      <w:r>
        <w:rPr>
          <w:rFonts w:hint="default" w:ascii="仿宋_GB2312" w:hAnsi="仿宋_GB2312" w:eastAsia="仿宋_GB2312" w:cs="仿宋_GB2312"/>
          <w:sz w:val="32"/>
          <w:szCs w:val="32"/>
          <w:lang w:val="en-US" w:eastAsia="zh-CN"/>
        </w:rPr>
        <w:t>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人大事务支出</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人大会议</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：是指</w:t>
      </w:r>
      <w:r>
        <w:rPr>
          <w:rFonts w:hint="default" w:ascii="仿宋_GB2312" w:hAnsi="仿宋_GB2312" w:eastAsia="仿宋_GB2312" w:cs="仿宋_GB2312"/>
          <w:sz w:val="32"/>
          <w:szCs w:val="32"/>
          <w:lang w:val="en-US" w:eastAsia="zh-CN"/>
        </w:rPr>
        <w:t>召开人民代表大会、</w:t>
      </w:r>
      <w:r>
        <w:rPr>
          <w:rFonts w:hint="eastAsia" w:ascii="仿宋_GB2312" w:hAnsi="仿宋_GB2312" w:eastAsia="仿宋_GB2312" w:cs="仿宋_GB2312"/>
          <w:sz w:val="32"/>
          <w:szCs w:val="32"/>
          <w:lang w:val="en-US" w:eastAsia="zh-CN"/>
        </w:rPr>
        <w:t>参加市人民代表大会、</w:t>
      </w:r>
      <w:r>
        <w:rPr>
          <w:rFonts w:hint="default" w:ascii="仿宋_GB2312" w:hAnsi="仿宋_GB2312" w:eastAsia="仿宋_GB2312" w:cs="仿宋_GB2312"/>
          <w:sz w:val="32"/>
          <w:szCs w:val="32"/>
          <w:lang w:val="en-US" w:eastAsia="zh-CN"/>
        </w:rPr>
        <w:t>人大常委会例会及主任会议、省市人大工作研讨会等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人大事务支出</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人大监督</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主要用于：人大监督、视察、调研、执法检查、全省预算执行在线监督、15个专委会工作、信访</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人大事务支出</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代表工作</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lang w:val="en-US" w:eastAsia="zh-CN"/>
        </w:rPr>
        <w:t>用于</w:t>
      </w:r>
      <w:r>
        <w:rPr>
          <w:rFonts w:hint="default" w:ascii="仿宋_GB2312" w:hAnsi="仿宋_GB2312" w:eastAsia="仿宋_GB2312" w:cs="仿宋_GB2312"/>
          <w:sz w:val="32"/>
          <w:szCs w:val="32"/>
          <w:lang w:val="en-US" w:eastAsia="zh-CN"/>
        </w:rPr>
        <w:t>：代表履职能力提</w:t>
      </w:r>
      <w:bookmarkStart w:id="0" w:name="_GoBack"/>
      <w:bookmarkEnd w:id="0"/>
      <w:r>
        <w:rPr>
          <w:rFonts w:hint="default" w:ascii="仿宋_GB2312" w:hAnsi="仿宋_GB2312" w:eastAsia="仿宋_GB2312" w:cs="仿宋_GB2312"/>
          <w:sz w:val="32"/>
          <w:szCs w:val="32"/>
          <w:lang w:val="en-US" w:eastAsia="zh-CN"/>
        </w:rPr>
        <w:t>升及平台建设、异地人大代表联络站、民生实事项目人大代表票决制等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一般公共服务（类）</w:t>
      </w:r>
      <w:r>
        <w:rPr>
          <w:rFonts w:hint="eastAsia" w:ascii="仿宋_GB2312" w:hAnsi="仿宋_GB2312" w:eastAsia="仿宋_GB2312" w:cs="仿宋_GB2312"/>
          <w:sz w:val="32"/>
          <w:szCs w:val="32"/>
          <w:lang w:val="en-US" w:eastAsia="zh-CN"/>
        </w:rPr>
        <w:t>人大事务支出</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机关服务</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主要用于：退休老干部管理、《人大志》编撰及临聘人员经费</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w:t>
      </w:r>
      <w:r>
        <w:rPr>
          <w:rFonts w:hint="default" w:ascii="仿宋_GB2312" w:hAnsi="仿宋_GB2312" w:eastAsia="仿宋_GB2312" w:cs="仿宋_GB2312"/>
          <w:color w:val="auto"/>
          <w:sz w:val="32"/>
          <w:szCs w:val="32"/>
          <w:lang w:val="en-US" w:eastAsia="zh-CN"/>
        </w:rPr>
        <w:t>一般公共服务（类）</w:t>
      </w:r>
      <w:r>
        <w:rPr>
          <w:rFonts w:hint="eastAsia" w:ascii="仿宋_GB2312" w:hAnsi="仿宋_GB2312" w:eastAsia="仿宋_GB2312" w:cs="仿宋_GB2312"/>
          <w:color w:val="auto"/>
          <w:sz w:val="32"/>
          <w:szCs w:val="32"/>
          <w:lang w:val="en-US" w:eastAsia="zh-CN"/>
        </w:rPr>
        <w:t>人大事务支出</w:t>
      </w:r>
      <w:r>
        <w:rPr>
          <w:rFonts w:hint="default" w:ascii="仿宋_GB2312" w:hAnsi="仿宋_GB2312" w:eastAsia="仿宋_GB2312" w:cs="仿宋_GB2312"/>
          <w:color w:val="auto"/>
          <w:sz w:val="32"/>
          <w:szCs w:val="32"/>
          <w:lang w:val="en-US" w:eastAsia="zh-CN"/>
        </w:rPr>
        <w:t>（款）</w:t>
      </w:r>
      <w:r>
        <w:rPr>
          <w:rFonts w:hint="eastAsia" w:ascii="仿宋_GB2312" w:hAnsi="仿宋_GB2312" w:eastAsia="仿宋_GB2312" w:cs="仿宋_GB2312"/>
          <w:color w:val="auto"/>
          <w:sz w:val="32"/>
          <w:szCs w:val="32"/>
          <w:lang w:val="en-US" w:eastAsia="zh-CN"/>
        </w:rPr>
        <w:t>其他人大事务</w:t>
      </w:r>
      <w:r>
        <w:rPr>
          <w:rFonts w:hint="default" w:ascii="仿宋_GB2312" w:hAnsi="仿宋_GB2312" w:eastAsia="仿宋_GB2312" w:cs="仿宋_GB2312"/>
          <w:color w:val="auto"/>
          <w:sz w:val="32"/>
          <w:szCs w:val="32"/>
          <w:lang w:val="en-US" w:eastAsia="zh-CN"/>
        </w:rPr>
        <w:t>（项）主要用于：其它人大事务性</w:t>
      </w:r>
      <w:r>
        <w:rPr>
          <w:rFonts w:hint="eastAsia" w:ascii="仿宋_GB2312" w:hAnsi="仿宋_GB2312" w:eastAsia="仿宋_GB2312" w:cs="仿宋_GB2312"/>
          <w:color w:val="auto"/>
          <w:sz w:val="32"/>
          <w:szCs w:val="32"/>
          <w:lang w:val="en-US" w:eastAsia="zh-CN"/>
        </w:rPr>
        <w:t>及2个立法点工作</w:t>
      </w:r>
      <w:r>
        <w:rPr>
          <w:rFonts w:hint="default"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default" w:ascii="仿宋_GB2312" w:hAnsi="仿宋_GB2312" w:eastAsia="仿宋_GB2312" w:cs="仿宋_GB2312"/>
          <w:sz w:val="32"/>
          <w:szCs w:val="32"/>
          <w:lang w:val="en-US" w:eastAsia="zh-CN"/>
        </w:rPr>
        <w:t>社会保障和就业（类）行政事业单位养老支出（款）机关事业单位基本养老保险缴费支出（项）：指部门实施养老保险制度由单位缴纳的养老保险费的支出。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卫生健康（类）行政事业单位医疗（款）行政单位医疗（项）：指</w:t>
      </w:r>
      <w:r>
        <w:rPr>
          <w:rFonts w:hint="eastAsia" w:ascii="仿宋_GB2312" w:hAnsi="仿宋_GB2312" w:eastAsia="仿宋_GB2312" w:cs="仿宋_GB2312"/>
          <w:sz w:val="32"/>
          <w:szCs w:val="32"/>
          <w:lang w:val="en-US" w:eastAsia="zh-CN"/>
        </w:rPr>
        <w:t>机关事业</w:t>
      </w:r>
      <w:r>
        <w:rPr>
          <w:rFonts w:hint="default" w:ascii="仿宋_GB2312" w:hAnsi="仿宋_GB2312" w:eastAsia="仿宋_GB2312" w:cs="仿宋_GB2312"/>
          <w:sz w:val="32"/>
          <w:szCs w:val="32"/>
          <w:lang w:val="en-US" w:eastAsia="zh-CN"/>
        </w:rPr>
        <w:t>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十</w:t>
      </w:r>
      <w:r>
        <w:rPr>
          <w:rFonts w:hint="default" w:ascii="仿宋_GB2312" w:hAnsi="仿宋_GB2312" w:eastAsia="仿宋_GB2312" w:cs="仿宋_GB2312"/>
          <w:sz w:val="32"/>
          <w:szCs w:val="32"/>
          <w:lang w:val="en-US" w:eastAsia="zh-CN"/>
        </w:rPr>
        <w:t>）卫生健康（类）行政事业单位医疗（款）事业单位医疗（项）：指事业单位用于单位应缴纳基本医疗保险支出。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lang w:val="en-US" w:eastAsia="zh-CN"/>
        </w:rPr>
        <w:t>）住房保障（类）住房改革支出（款）住房公积金（项）：指按照《住房公积金管理条例》的规定，由单位及其在职职工缴存的长期住房储金。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十四</w:t>
      </w:r>
      <w:r>
        <w:rPr>
          <w:rFonts w:hint="default" w:ascii="仿宋_GB2312" w:hAnsi="仿宋_GB2312" w:eastAsia="仿宋_GB2312" w:cs="仿宋_GB2312"/>
          <w:sz w:val="32"/>
          <w:szCs w:val="32"/>
          <w:lang w:val="en-US" w:eastAsia="zh-CN"/>
        </w:rPr>
        <w:t>）“三公”经费：纳入</w:t>
      </w:r>
      <w:r>
        <w:rPr>
          <w:rFonts w:hint="eastAsia" w:ascii="仿宋_GB2312" w:hAnsi="仿宋_GB2312" w:eastAsia="仿宋_GB2312" w:cs="仿宋_GB2312"/>
          <w:sz w:val="32"/>
          <w:szCs w:val="32"/>
          <w:lang w:val="en-US" w:eastAsia="zh-CN"/>
        </w:rPr>
        <w:t>本单位</w:t>
      </w:r>
      <w:r>
        <w:rPr>
          <w:rFonts w:hint="default" w:ascii="仿宋_GB2312" w:hAnsi="仿宋_GB2312" w:eastAsia="仿宋_GB2312" w:cs="仿宋_GB2312"/>
          <w:sz w:val="32"/>
          <w:szCs w:val="32"/>
          <w:lang w:val="en-US" w:eastAsia="zh-CN"/>
        </w:rPr>
        <w:t>预算管理的“三公”经费，是指部门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）机关运行经费：为保障行政</w:t>
      </w:r>
      <w:r>
        <w:rPr>
          <w:rFonts w:hint="eastAsia" w:ascii="仿宋_GB2312" w:hAnsi="仿宋_GB2312" w:eastAsia="仿宋_GB2312" w:cs="仿宋_GB2312"/>
          <w:sz w:val="32"/>
          <w:szCs w:val="32"/>
          <w:lang w:val="en-US" w:eastAsia="zh-CN"/>
        </w:rPr>
        <w:t>事业</w:t>
      </w:r>
      <w:r>
        <w:rPr>
          <w:rFonts w:hint="default" w:ascii="仿宋_GB2312" w:hAnsi="仿宋_GB2312" w:eastAsia="仿宋_GB2312" w:cs="仿宋_GB2312"/>
          <w:sz w:val="32"/>
          <w:szCs w:val="32"/>
          <w:lang w:val="en-US" w:eastAsia="zh-CN"/>
        </w:rPr>
        <w:t>单位运行用于购买货物和服务的各项资金，包括办公及印刷费、邮电费、差旅费、</w:t>
      </w:r>
      <w:r>
        <w:rPr>
          <w:rFonts w:hint="eastAsia" w:ascii="仿宋_GB2312" w:hAnsi="仿宋_GB2312" w:eastAsia="仿宋_GB2312" w:cs="仿宋_GB2312"/>
          <w:sz w:val="32"/>
          <w:szCs w:val="32"/>
          <w:lang w:val="en-US" w:eastAsia="zh-CN"/>
        </w:rPr>
        <w:t>维护费、</w:t>
      </w:r>
      <w:r>
        <w:rPr>
          <w:rFonts w:hint="default" w:ascii="仿宋_GB2312" w:hAnsi="仿宋_GB2312" w:eastAsia="仿宋_GB2312" w:cs="仿宋_GB2312"/>
          <w:sz w:val="32"/>
          <w:szCs w:val="32"/>
          <w:lang w:val="en-US" w:eastAsia="zh-CN"/>
        </w:rPr>
        <w:t>会议费、培训费、日常维修费、</w:t>
      </w:r>
      <w:r>
        <w:rPr>
          <w:rFonts w:hint="eastAsia" w:ascii="仿宋_GB2312" w:hAnsi="仿宋_GB2312" w:eastAsia="仿宋_GB2312" w:cs="仿宋_GB2312"/>
          <w:sz w:val="32"/>
          <w:szCs w:val="32"/>
          <w:lang w:val="en-US" w:eastAsia="zh-CN"/>
        </w:rPr>
        <w:t>零星办公</w:t>
      </w:r>
      <w:r>
        <w:rPr>
          <w:rFonts w:hint="default" w:ascii="仿宋_GB2312" w:hAnsi="仿宋_GB2312" w:eastAsia="仿宋_GB2312" w:cs="仿宋_GB2312"/>
          <w:sz w:val="32"/>
          <w:szCs w:val="32"/>
          <w:lang w:val="en-US" w:eastAsia="zh-CN"/>
        </w:rPr>
        <w:t>设备购置费</w:t>
      </w:r>
      <w:r>
        <w:rPr>
          <w:rFonts w:hint="eastAsia" w:ascii="仿宋_GB2312" w:hAnsi="仿宋_GB2312" w:eastAsia="仿宋_GB2312" w:cs="仿宋_GB2312"/>
          <w:sz w:val="32"/>
          <w:szCs w:val="32"/>
          <w:lang w:val="en-US" w:eastAsia="zh-CN"/>
        </w:rPr>
        <w:t>、其他交通费用</w:t>
      </w:r>
      <w:r>
        <w:rPr>
          <w:rFonts w:hint="default" w:ascii="仿宋_GB2312" w:hAnsi="仿宋_GB2312" w:eastAsia="仿宋_GB2312" w:cs="仿宋_GB2312"/>
          <w:sz w:val="32"/>
          <w:szCs w:val="32"/>
          <w:lang w:val="en-US" w:eastAsia="zh-CN"/>
        </w:rPr>
        <w:t>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6EA11"/>
    <w:multiLevelType w:val="singleLevel"/>
    <w:tmpl w:val="1AD6EA11"/>
    <w:lvl w:ilvl="0" w:tentative="0">
      <w:start w:val="2"/>
      <w:numFmt w:val="chineseCounting"/>
      <w:suff w:val="nothing"/>
      <w:lvlText w:val="（%1）"/>
      <w:lvlJc w:val="left"/>
      <w:rPr>
        <w:rFonts w:hint="eastAsia"/>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DAwZmVjYjkwMTNmNjAwN2ZjYWE5NzQxZjFjMWYifQ=="/>
  </w:docVars>
  <w:rsids>
    <w:rsidRoot w:val="00000000"/>
    <w:rsid w:val="012352D1"/>
    <w:rsid w:val="104B47EC"/>
    <w:rsid w:val="1A6F4FF0"/>
    <w:rsid w:val="1F7BF06F"/>
    <w:rsid w:val="1FEE4B73"/>
    <w:rsid w:val="23CE9849"/>
    <w:rsid w:val="39F304DD"/>
    <w:rsid w:val="4B2330B1"/>
    <w:rsid w:val="54244390"/>
    <w:rsid w:val="54662A63"/>
    <w:rsid w:val="556C4518"/>
    <w:rsid w:val="58064E12"/>
    <w:rsid w:val="5B982F90"/>
    <w:rsid w:val="5BFEE015"/>
    <w:rsid w:val="63EDCF55"/>
    <w:rsid w:val="63FBFBCF"/>
    <w:rsid w:val="669360FD"/>
    <w:rsid w:val="68FF6A83"/>
    <w:rsid w:val="6FBBC9CF"/>
    <w:rsid w:val="72BDE561"/>
    <w:rsid w:val="78462278"/>
    <w:rsid w:val="7997EA6C"/>
    <w:rsid w:val="7AEAE675"/>
    <w:rsid w:val="7BAFCE5D"/>
    <w:rsid w:val="7C523723"/>
    <w:rsid w:val="7CD11E4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autoRedefine/>
    <w:qFormat/>
    <w:uiPriority w:val="0"/>
    <w:pPr>
      <w:ind w:left="200" w:leftChars="200" w:hanging="200" w:hangingChars="200"/>
    </w:pPr>
  </w:style>
  <w:style w:type="paragraph" w:styleId="3">
    <w:name w:val="Normal Indent"/>
    <w:basedOn w:val="1"/>
    <w:autoRedefine/>
    <w:qFormat/>
    <w:uiPriority w:val="99"/>
    <w:pPr>
      <w:ind w:firstLine="420" w:firstLineChars="200"/>
    </w:p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Body Text"/>
    <w:basedOn w:val="1"/>
    <w:next w:val="1"/>
    <w:autoRedefine/>
    <w:qFormat/>
    <w:uiPriority w:val="0"/>
    <w:pPr>
      <w:spacing w:before="0" w:after="140" w:line="276" w:lineRule="auto"/>
    </w:pPr>
  </w:style>
  <w:style w:type="paragraph" w:styleId="6">
    <w:name w:val="Body Text Indent"/>
    <w:basedOn w:val="1"/>
    <w:autoRedefine/>
    <w:qFormat/>
    <w:uiPriority w:val="99"/>
    <w:pPr>
      <w:ind w:firstLine="630"/>
      <w:jc w:val="left"/>
    </w:pPr>
    <w:rPr>
      <w:rFonts w:eastAsia="黑体"/>
      <w:sz w:val="32"/>
      <w:szCs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5"/>
    <w:autoRedefine/>
    <w:qFormat/>
    <w:uiPriority w:val="0"/>
  </w:style>
  <w:style w:type="paragraph" w:styleId="10">
    <w:name w:val="Normal (Web)"/>
    <w:basedOn w:val="1"/>
    <w:next w:val="11"/>
    <w:autoRedefine/>
    <w:qFormat/>
    <w:uiPriority w:val="0"/>
    <w:rPr>
      <w:sz w:val="24"/>
    </w:rPr>
  </w:style>
  <w:style w:type="paragraph" w:styleId="11">
    <w:name w:val="Body Text First Indent"/>
    <w:basedOn w:val="5"/>
    <w:autoRedefine/>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12">
    <w:name w:val="Body Text First Indent 2"/>
    <w:basedOn w:val="6"/>
    <w:next w:val="1"/>
    <w:autoRedefine/>
    <w:qFormat/>
    <w:uiPriority w:val="99"/>
    <w:pPr>
      <w:spacing w:after="120"/>
      <w:ind w:left="420" w:leftChars="200" w:firstLine="420"/>
    </w:pPr>
  </w:style>
  <w:style w:type="character" w:styleId="15">
    <w:name w:val="Strong"/>
    <w:basedOn w:val="14"/>
    <w:qFormat/>
    <w:uiPriority w:val="99"/>
    <w:rPr>
      <w:b/>
    </w:rPr>
  </w:style>
  <w:style w:type="character" w:customStyle="1" w:styleId="16">
    <w:name w:val="默认段落字体1"/>
    <w:autoRedefine/>
    <w:qFormat/>
    <w:uiPriority w:val="0"/>
  </w:style>
  <w:style w:type="paragraph" w:customStyle="1" w:styleId="17">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WPS_1482196198</cp:lastModifiedBy>
  <dcterms:modified xsi:type="dcterms:W3CDTF">2024-03-28T03:38:40Z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96081F72B7444D3C8C1C7DDAED24732C_13</vt:lpwstr>
  </property>
</Properties>
</file>