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800" w:lineRule="exact"/>
        <w:jc w:val="center"/>
        <w:outlineLvl w:val="0"/>
        <w:rPr>
          <w:rFonts w:ascii="方正小标宋简体" w:hAnsi="宋体" w:eastAsia="方正小标宋简体"/>
          <w:sz w:val="72"/>
          <w:szCs w:val="72"/>
        </w:rPr>
      </w:pPr>
    </w:p>
    <w:p>
      <w:pPr>
        <w:adjustRightInd w:val="0"/>
        <w:snapToGrid w:val="0"/>
        <w:spacing w:line="1000" w:lineRule="exact"/>
        <w:jc w:val="center"/>
        <w:outlineLvl w:val="0"/>
        <w:rPr>
          <w:rFonts w:hint="eastAsia" w:ascii="方正小标宋简体" w:hAnsi="宋体" w:eastAsia="方正小标宋简体"/>
          <w:color w:val="000000"/>
          <w:sz w:val="72"/>
          <w:szCs w:val="72"/>
        </w:rPr>
      </w:pPr>
      <w:bookmarkStart w:id="1" w:name="_Toc15377193"/>
      <w:bookmarkStart w:id="2" w:name="_Toc15377425"/>
      <w:bookmarkStart w:id="3" w:name="_Toc15396475"/>
      <w:bookmarkStart w:id="4" w:name="_Toc15396597"/>
      <w:bookmarkStart w:id="5" w:name="_Toc15378441"/>
      <w:r>
        <w:rPr>
          <w:rFonts w:hint="eastAsia" w:ascii="方正小标宋简体" w:hAnsi="宋体" w:eastAsia="方正小标宋简体"/>
          <w:color w:val="000000"/>
          <w:sz w:val="72"/>
          <w:szCs w:val="72"/>
        </w:rPr>
        <w:t>2022年度</w:t>
      </w:r>
      <w:bookmarkEnd w:id="1"/>
      <w:bookmarkEnd w:id="2"/>
      <w:bookmarkEnd w:id="3"/>
      <w:bookmarkEnd w:id="4"/>
      <w:bookmarkEnd w:id="5"/>
    </w:p>
    <w:bookmarkEnd w:id="0"/>
    <w:p>
      <w:pPr>
        <w:adjustRightInd w:val="0"/>
        <w:snapToGrid w:val="0"/>
        <w:spacing w:line="1000" w:lineRule="exact"/>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7194"/>
      <w:bookmarkStart w:id="9" w:name="_Toc15306268"/>
      <w:bookmarkStart w:id="10" w:name="_Toc15378442"/>
      <w:bookmarkStart w:id="11" w:name="_Toc15396598"/>
      <w:r>
        <w:rPr>
          <w:rFonts w:hint="eastAsia" w:ascii="方正小标宋简体" w:hAnsi="宋体" w:eastAsia="方正小标宋简体"/>
          <w:color w:val="000000"/>
          <w:sz w:val="72"/>
          <w:szCs w:val="72"/>
        </w:rPr>
        <w:t>四川省广元市昭化区人民代表大会常务委员会办公</w:t>
      </w:r>
    </w:p>
    <w:p>
      <w:pPr>
        <w:adjustRightInd w:val="0"/>
        <w:snapToGrid w:val="0"/>
        <w:spacing w:line="1000" w:lineRule="exact"/>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室部门决算</w:t>
      </w:r>
      <w:bookmarkEnd w:id="6"/>
      <w:bookmarkEnd w:id="7"/>
      <w:bookmarkEnd w:id="8"/>
      <w:bookmarkEnd w:id="9"/>
      <w:bookmarkEnd w:id="10"/>
      <w:bookmarkEnd w:id="11"/>
    </w:p>
    <w:p>
      <w:pPr>
        <w:pStyle w:val="2"/>
      </w:pPr>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pStyle w:val="12"/>
        <w:keepNext w:val="0"/>
        <w:keepLines w:val="0"/>
        <w:pageBreakBefore w:val="0"/>
        <w:widowControl w:val="0"/>
        <w:kinsoku/>
        <w:wordWrap/>
        <w:overflowPunct/>
        <w:topLinePunct w:val="0"/>
        <w:autoSpaceDE/>
        <w:autoSpaceDN/>
        <w:bidi w:val="0"/>
        <w:adjustRightInd w:val="0"/>
        <w:snapToGrid w:val="0"/>
        <w:spacing w:before="0" w:line="460" w:lineRule="exact"/>
        <w:jc w:val="left"/>
        <w:textAlignment w:val="auto"/>
        <w:rPr>
          <w:rFonts w:hint="eastAsia"/>
          <w:sz w:val="24"/>
        </w:rPr>
      </w:pPr>
    </w:p>
    <w:p>
      <w:pPr>
        <w:pStyle w:val="12"/>
        <w:keepNext w:val="0"/>
        <w:keepLines w:val="0"/>
        <w:pageBreakBefore w:val="0"/>
        <w:widowControl w:val="0"/>
        <w:kinsoku/>
        <w:wordWrap/>
        <w:overflowPunct/>
        <w:topLinePunct w:val="0"/>
        <w:autoSpaceDE/>
        <w:autoSpaceDN/>
        <w:bidi w:val="0"/>
        <w:adjustRightInd w:val="0"/>
        <w:snapToGrid w:val="0"/>
        <w:spacing w:before="0" w:line="460" w:lineRule="exact"/>
        <w:jc w:val="left"/>
        <w:textAlignment w:val="auto"/>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...................................................1</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sz w:val="24"/>
          <w:lang w:val="en-US"/>
        </w:rPr>
      </w:pPr>
      <w:r>
        <w:rPr>
          <w:rFonts w:hint="eastAsia"/>
          <w:sz w:val="24"/>
        </w:rPr>
        <w:t>一、部门职责</w:t>
      </w:r>
      <w:r>
        <w:rPr>
          <w:rFonts w:hint="eastAsia"/>
          <w:sz w:val="24"/>
          <w:lang w:val="en-US" w:eastAsia="zh-CN"/>
        </w:rPr>
        <w:t>……………………………………………………………………1</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cstheme="minorBidi"/>
          <w:sz w:val="24"/>
          <w:lang w:val="en-US"/>
        </w:rPr>
      </w:pPr>
      <w:r>
        <w:rPr>
          <w:rFonts w:hint="eastAsia"/>
          <w:sz w:val="24"/>
        </w:rPr>
        <w:t>二、机构设置</w:t>
      </w:r>
      <w:r>
        <w:rPr>
          <w:rFonts w:hint="eastAsia"/>
          <w:sz w:val="24"/>
          <w:lang w:val="en-US" w:eastAsia="zh-CN"/>
        </w:rPr>
        <w:t>……………………………………………………………………1</w:t>
      </w:r>
    </w:p>
    <w:p>
      <w:pPr>
        <w:pStyle w:val="12"/>
        <w:keepNext w:val="0"/>
        <w:keepLines w:val="0"/>
        <w:pageBreakBefore w:val="0"/>
        <w:widowControl w:val="0"/>
        <w:kinsoku/>
        <w:wordWrap/>
        <w:overflowPunct/>
        <w:topLinePunct w:val="0"/>
        <w:autoSpaceDE/>
        <w:autoSpaceDN/>
        <w:bidi w:val="0"/>
        <w:adjustRightInd w:val="0"/>
        <w:snapToGrid w:val="0"/>
        <w:spacing w:before="0" w:line="460" w:lineRule="exact"/>
        <w:jc w:val="left"/>
        <w:textAlignment w:val="auto"/>
        <w:rPr>
          <w:rFonts w:hint="default"/>
          <w:sz w:val="24"/>
          <w:szCs w:val="24"/>
          <w:lang w:val="en-US"/>
        </w:rPr>
      </w:pPr>
      <w:r>
        <w:rPr>
          <w:rFonts w:hint="eastAsia"/>
          <w:sz w:val="24"/>
        </w:rPr>
        <w:t>第二部分 2022年度部门决算情况说明</w:t>
      </w:r>
      <w:r>
        <w:rPr>
          <w:rFonts w:hint="eastAsia"/>
          <w:sz w:val="24"/>
          <w:lang w:val="en-US" w:eastAsia="zh-CN"/>
        </w:rPr>
        <w:t>..................................1</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仿宋" w:hAnsi="仿宋" w:eastAsia="仿宋" w:cstheme="minorBidi"/>
          <w:sz w:val="24"/>
        </w:rPr>
      </w:pPr>
      <w:r>
        <w:rPr>
          <w:rFonts w:hint="eastAsia"/>
          <w:sz w:val="24"/>
        </w:rPr>
        <w:t>一、收入支出决算总体情况说明</w:t>
      </w:r>
      <w:r>
        <w:rPr>
          <w:rFonts w:hint="eastAsia"/>
          <w:sz w:val="24"/>
          <w:lang w:val="en-US" w:eastAsia="zh-CN"/>
        </w:rPr>
        <w:t>………………………………………………1</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cstheme="minorBidi"/>
          <w:sz w:val="24"/>
          <w:lang w:val="en-US"/>
        </w:rPr>
      </w:pPr>
      <w:r>
        <w:rPr>
          <w:rFonts w:hint="eastAsia"/>
          <w:sz w:val="24"/>
        </w:rPr>
        <w:t>二、收入决算情况说明</w:t>
      </w:r>
      <w:r>
        <w:rPr>
          <w:rFonts w:hint="eastAsia"/>
          <w:sz w:val="24"/>
          <w:lang w:val="en-US" w:eastAsia="zh-CN"/>
        </w:rPr>
        <w:t>…………………………………………………………2</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仿宋" w:hAnsi="仿宋" w:eastAsia="仿宋" w:cstheme="minorBidi"/>
          <w:sz w:val="24"/>
        </w:rPr>
      </w:pPr>
      <w:r>
        <w:rPr>
          <w:rFonts w:hint="eastAsia"/>
          <w:sz w:val="24"/>
        </w:rPr>
        <w:t>三、支出决算情况说明</w:t>
      </w:r>
      <w:r>
        <w:rPr>
          <w:rFonts w:hint="eastAsia"/>
          <w:sz w:val="24"/>
          <w:lang w:val="en-US" w:eastAsia="zh-CN"/>
        </w:rPr>
        <w:t>…………………………………………………………2</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cstheme="minorBidi"/>
          <w:sz w:val="24"/>
          <w:lang w:val="en-US"/>
        </w:rPr>
      </w:pPr>
      <w:r>
        <w:rPr>
          <w:rFonts w:hint="eastAsia"/>
          <w:sz w:val="24"/>
        </w:rPr>
        <w:t>四、财政拨款收入支出决算总体情况说明</w:t>
      </w:r>
      <w:r>
        <w:rPr>
          <w:rFonts w:hint="eastAsia"/>
          <w:sz w:val="24"/>
          <w:lang w:val="en-US" w:eastAsia="zh-CN"/>
        </w:rPr>
        <w:t>……………………………………3</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cstheme="minorBidi"/>
          <w:sz w:val="24"/>
          <w:lang w:val="en-US"/>
        </w:rPr>
      </w:pPr>
      <w:r>
        <w:rPr>
          <w:rFonts w:hint="eastAsia"/>
          <w:sz w:val="24"/>
        </w:rPr>
        <w:t>五、一般公共预算财政拨款支出决算情况说明</w:t>
      </w:r>
      <w:r>
        <w:rPr>
          <w:rFonts w:hint="eastAsia"/>
          <w:sz w:val="24"/>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cstheme="minorBidi"/>
          <w:sz w:val="24"/>
          <w:lang w:val="en-US"/>
        </w:rPr>
      </w:pPr>
      <w:r>
        <w:rPr>
          <w:rFonts w:hint="eastAsia"/>
          <w:sz w:val="24"/>
        </w:rPr>
        <w:t>六、一般公共预算财政拨款基本支出决算情况说明</w:t>
      </w:r>
      <w:r>
        <w:rPr>
          <w:rFonts w:hint="eastAsia"/>
          <w:sz w:val="24"/>
          <w:lang w:val="en-US" w:eastAsia="zh-CN"/>
        </w:rPr>
        <w:t>…………………………6</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cstheme="minorBidi"/>
          <w:sz w:val="24"/>
          <w:lang w:val="en-US"/>
        </w:rPr>
      </w:pPr>
      <w:r>
        <w:rPr>
          <w:rFonts w:hint="eastAsia"/>
          <w:sz w:val="24"/>
        </w:rPr>
        <w:t>七、财政拨款“三公”经费支出决算情况说明</w:t>
      </w:r>
      <w:r>
        <w:rPr>
          <w:rFonts w:hint="eastAsia"/>
          <w:sz w:val="24"/>
          <w:lang w:val="en-US" w:eastAsia="zh-CN"/>
        </w:rPr>
        <w:t>………………………………7</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仿宋" w:hAnsi="仿宋" w:eastAsia="仿宋" w:cstheme="minorBidi"/>
          <w:sz w:val="24"/>
          <w:lang w:val="en-US"/>
        </w:rPr>
      </w:pPr>
      <w:r>
        <w:rPr>
          <w:rFonts w:hint="eastAsia"/>
          <w:sz w:val="24"/>
        </w:rPr>
        <w:t>八、政府性基金预算支出决算情况说明</w:t>
      </w:r>
      <w:r>
        <w:rPr>
          <w:rFonts w:hint="eastAsia"/>
          <w:sz w:val="24"/>
          <w:lang w:val="en-US" w:eastAsia="zh-CN"/>
        </w:rPr>
        <w:t>………………………………………8</w:t>
      </w:r>
    </w:p>
    <w:p>
      <w:pPr>
        <w:pStyle w:val="13"/>
        <w:keepNext w:val="0"/>
        <w:keepLines w:val="0"/>
        <w:pageBreakBefore w:val="0"/>
        <w:widowControl w:val="0"/>
        <w:kinsoku/>
        <w:wordWrap/>
        <w:overflowPunct/>
        <w:topLinePunct w:val="0"/>
        <w:autoSpaceDE/>
        <w:autoSpaceDN/>
        <w:bidi w:val="0"/>
        <w:adjustRightInd w:val="0"/>
        <w:snapToGrid w:val="0"/>
        <w:spacing w:line="460" w:lineRule="exact"/>
        <w:ind w:leftChars="0"/>
        <w:jc w:val="left"/>
        <w:textAlignment w:val="auto"/>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……………………………………8</w:t>
      </w:r>
    </w:p>
    <w:p>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175"/>
        <w:jc w:val="left"/>
        <w:textAlignment w:val="auto"/>
        <w:rPr>
          <w:rFonts w:hint="default" w:asciiTheme="minorEastAsia" w:hAnsiTheme="minorEastAsia" w:eastAsiaTheme="minorEastAsia" w:cstheme="minorEastAsia"/>
          <w:sz w:val="24"/>
          <w:lang w:val="en-US"/>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sz w:val="24"/>
          <w:lang w:val="en-US" w:eastAsia="zh-CN"/>
        </w:rPr>
        <w:t>…………………………………………………9</w:t>
      </w:r>
    </w:p>
    <w:p>
      <w:pPr>
        <w:pStyle w:val="12"/>
        <w:keepNext w:val="0"/>
        <w:keepLines w:val="0"/>
        <w:pageBreakBefore w:val="0"/>
        <w:widowControl w:val="0"/>
        <w:kinsoku/>
        <w:wordWrap/>
        <w:overflowPunct/>
        <w:topLinePunct w:val="0"/>
        <w:autoSpaceDE/>
        <w:autoSpaceDN/>
        <w:bidi w:val="0"/>
        <w:adjustRightInd w:val="0"/>
        <w:snapToGrid w:val="0"/>
        <w:spacing w:before="0" w:line="460" w:lineRule="exact"/>
        <w:jc w:val="left"/>
        <w:textAlignment w:val="auto"/>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sz w:val="24"/>
          <w:lang w:val="en-US" w:eastAsia="zh-CN"/>
        </w:rPr>
        <w:t>..................................................11</w:t>
      </w:r>
    </w:p>
    <w:p>
      <w:pPr>
        <w:pStyle w:val="12"/>
        <w:keepNext w:val="0"/>
        <w:keepLines w:val="0"/>
        <w:pageBreakBefore w:val="0"/>
        <w:widowControl w:val="0"/>
        <w:kinsoku/>
        <w:wordWrap/>
        <w:overflowPunct/>
        <w:topLinePunct w:val="0"/>
        <w:autoSpaceDE/>
        <w:autoSpaceDN/>
        <w:bidi w:val="0"/>
        <w:adjustRightInd w:val="0"/>
        <w:snapToGrid w:val="0"/>
        <w:spacing w:before="0" w:line="460" w:lineRule="exact"/>
        <w:jc w:val="left"/>
        <w:textAlignment w:val="auto"/>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sz w:val="24"/>
          <w:lang w:val="en-US" w:eastAsia="zh-CN"/>
        </w:rPr>
        <w:t>......................................................13</w:t>
      </w:r>
    </w:p>
    <w:p>
      <w:pPr>
        <w:pStyle w:val="12"/>
        <w:keepNext w:val="0"/>
        <w:keepLines w:val="0"/>
        <w:pageBreakBefore w:val="0"/>
        <w:widowControl w:val="0"/>
        <w:kinsoku/>
        <w:wordWrap/>
        <w:overflowPunct/>
        <w:topLinePunct w:val="0"/>
        <w:autoSpaceDE/>
        <w:autoSpaceDN/>
        <w:bidi w:val="0"/>
        <w:adjustRightInd w:val="0"/>
        <w:snapToGrid w:val="0"/>
        <w:spacing w:before="0" w:line="460" w:lineRule="exact"/>
        <w:jc w:val="left"/>
        <w:textAlignment w:val="auto"/>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一、收入支出决算总表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二、收入决算表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三、支出决算表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四、财政拨款收入支出决算总表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五、财政拨款支出决算明细表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六、一般公共预算财政拨款支出决算表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七、一般公共预算财政拨款支出决算明细表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八、一般公共预算财政拨款基本支出决算明细表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九、一般公共预算财政拨款项目支出决算</w:t>
      </w:r>
      <w:r>
        <w:rPr>
          <w:rFonts w:hint="eastAsia"/>
          <w:sz w:val="24"/>
          <w:lang w:eastAsia="zh-CN"/>
        </w:rPr>
        <w:t>明细</w:t>
      </w:r>
      <w:r>
        <w:rPr>
          <w:rFonts w:hint="eastAsia"/>
          <w:sz w:val="24"/>
        </w:rPr>
        <w:t>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十、政府性基金预算财政拨款收入支出决算表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十一、国有资本经营预算财政拨款收入支出决算表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sz w:val="24"/>
          <w:lang w:val="en-US"/>
        </w:rPr>
      </w:pPr>
      <w:r>
        <w:rPr>
          <w:rFonts w:hint="eastAsia"/>
          <w:sz w:val="24"/>
        </w:rPr>
        <w:t>十二、国有资本经营预算财政拨款支出决算表</w:t>
      </w:r>
      <w:r>
        <w:rPr>
          <w:rFonts w:hint="eastAsia"/>
          <w:sz w:val="24"/>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default" w:asciiTheme="minorEastAsia" w:hAnsiTheme="minorEastAsia" w:eastAsiaTheme="minorEastAsia" w:cstheme="minorEastAsia"/>
          <w:sz w:val="24"/>
          <w:lang w:val="en-US"/>
        </w:rPr>
      </w:pPr>
      <w:r>
        <w:rPr>
          <w:rFonts w:hint="eastAsia"/>
          <w:sz w:val="24"/>
        </w:rPr>
        <w:t>十三、财政拨款“三公”经费支出决算表</w:t>
      </w:r>
      <w:r>
        <w:rPr>
          <w:rFonts w:hint="eastAsia"/>
          <w:sz w:val="24"/>
          <w:lang w:val="en-US" w:eastAsia="zh-CN"/>
        </w:rPr>
        <w:t>……………………………………34</w:t>
      </w:r>
    </w:p>
    <w:p>
      <w:pPr>
        <w:widowControl/>
        <w:adjustRightInd w:val="0"/>
        <w:snapToGrid w:val="0"/>
        <w:spacing w:line="440" w:lineRule="exact"/>
        <w:ind w:firstLine="1320" w:firstLineChars="550"/>
        <w:jc w:val="left"/>
        <w:rPr>
          <w:rFonts w:ascii="仿宋" w:hAnsi="仿宋" w:eastAsia="仿宋"/>
          <w:sz w:val="24"/>
        </w:rPr>
      </w:pPr>
    </w:p>
    <w:p>
      <w:pPr>
        <w:pStyle w:val="4"/>
        <w:spacing w:line="560" w:lineRule="exact"/>
        <w:jc w:val="center"/>
        <w:rPr>
          <w:rFonts w:hint="eastAsia" w:ascii="黑体" w:hAnsi="黑体" w:eastAsia="黑体"/>
          <w:b w:val="0"/>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bookmarkStart w:id="12" w:name="_Toc15377196"/>
      <w:bookmarkStart w:id="13" w:name="_Toc15396599"/>
    </w:p>
    <w:p>
      <w:pPr>
        <w:pStyle w:val="4"/>
        <w:spacing w:line="560" w:lineRule="exact"/>
        <w:jc w:val="center"/>
        <w:rPr>
          <w:rStyle w:val="28"/>
          <w:rFonts w:ascii="黑体" w:hAnsi="黑体" w:eastAsia="黑体"/>
          <w:b/>
          <w:bCs w:val="0"/>
        </w:rPr>
      </w:pPr>
      <w:r>
        <w:rPr>
          <w:rFonts w:hint="eastAsia" w:ascii="黑体" w:hAnsi="黑体" w:eastAsia="黑体"/>
          <w:b w:val="0"/>
        </w:rPr>
        <w:t>第一部分 部门</w:t>
      </w:r>
      <w:r>
        <w:rPr>
          <w:rStyle w:val="28"/>
          <w:rFonts w:hint="eastAsia" w:ascii="黑体" w:hAnsi="黑体" w:eastAsia="黑体"/>
          <w:b w:val="0"/>
          <w:bCs w:val="0"/>
        </w:rPr>
        <w:t>概况</w:t>
      </w:r>
      <w:bookmarkEnd w:id="12"/>
      <w:bookmarkEnd w:id="13"/>
    </w:p>
    <w:p>
      <w:pPr>
        <w:pStyle w:val="5"/>
        <w:spacing w:before="0" w:after="0" w:line="560" w:lineRule="exact"/>
        <w:ind w:firstLine="640" w:firstLineChars="200"/>
        <w:rPr>
          <w:rFonts w:eastAsia="黑体"/>
        </w:rPr>
      </w:pPr>
      <w:bookmarkStart w:id="14" w:name="_Toc15396600"/>
      <w:bookmarkStart w:id="15" w:name="_Toc15377197"/>
      <w:r>
        <w:rPr>
          <w:rStyle w:val="29"/>
          <w:rFonts w:hint="eastAsia" w:ascii="黑体" w:hAnsi="黑体" w:eastAsia="黑体"/>
          <w:b w:val="0"/>
          <w:bCs w:val="0"/>
        </w:rPr>
        <w:t>一、部门职责</w:t>
      </w:r>
    </w:p>
    <w:p>
      <w:pPr>
        <w:pStyle w:val="14"/>
        <w:widowControl/>
        <w:shd w:val="clear" w:color="auto" w:fill="FFFFFF"/>
        <w:spacing w:line="560" w:lineRule="exact"/>
        <w:ind w:firstLine="640" w:firstLineChars="200"/>
        <w:rPr>
          <w:rFonts w:ascii="黑体" w:hAnsi="黑体" w:eastAsia="黑体"/>
        </w:rPr>
      </w:pPr>
      <w:r>
        <w:rPr>
          <w:rFonts w:eastAsia="仿宋_GB2312"/>
          <w:sz w:val="32"/>
          <w:szCs w:val="32"/>
        </w:rPr>
        <w:t>根据宪法和地方组织法的规定：“地方各级人民代表大会是地方国家权力机关”、“县级以上的地方各级人民代表大会常务委员会是本级人民代表大会的常设机构”，《中华人民共和国宪法》第104条和新修订的《中华人民共和国地方各级人民代表大会和地方各级人民政府组织法》第50条赋予地方各级人大常委会在本级人民代表大会闭会期间，行使18项职权。</w:t>
      </w:r>
    </w:p>
    <w:p>
      <w:pPr>
        <w:pStyle w:val="5"/>
        <w:spacing w:before="0" w:after="0" w:line="560" w:lineRule="exact"/>
        <w:ind w:firstLine="640" w:firstLineChars="200"/>
        <w:rPr>
          <w:rFonts w:ascii="黑体" w:hAnsi="黑体" w:eastAsia="黑体"/>
          <w:b w:val="0"/>
        </w:rPr>
      </w:pPr>
      <w:r>
        <w:rPr>
          <w:rFonts w:hint="eastAsia" w:ascii="黑体" w:hAnsi="黑体" w:eastAsia="黑体"/>
          <w:b w:val="0"/>
        </w:rPr>
        <w:t>二、机构设置</w:t>
      </w:r>
    </w:p>
    <w:p>
      <w:pPr>
        <w:pBdr>
          <w:bottom w:val="single" w:color="FFFFFF" w:sz="8" w:space="31"/>
        </w:pBdr>
        <w:shd w:val="clear" w:color="auto" w:fill="FFFFFF"/>
        <w:spacing w:line="576" w:lineRule="exact"/>
        <w:ind w:firstLine="640" w:firstLineChars="200"/>
      </w:pPr>
      <w:r>
        <w:rPr>
          <w:rFonts w:hint="eastAsia" w:eastAsia="仿宋_GB2312"/>
          <w:color w:val="333333"/>
          <w:kern w:val="0"/>
          <w:sz w:val="32"/>
          <w:szCs w:val="32"/>
          <w:shd w:val="clear" w:color="auto" w:fill="FFFFFF"/>
          <w:lang w:bidi="ar"/>
        </w:rPr>
        <w:t>昭化区人大常委会办公室为一级预算单位，</w:t>
      </w:r>
      <w:r>
        <w:rPr>
          <w:rFonts w:hint="eastAsia" w:eastAsia="仿宋_GB2312"/>
          <w:kern w:val="0"/>
          <w:sz w:val="32"/>
          <w:szCs w:val="32"/>
        </w:rPr>
        <w:t>单位性质为行政单位，执行行政单位会计制度，</w:t>
      </w:r>
      <w:r>
        <w:rPr>
          <w:rFonts w:hint="eastAsia" w:eastAsia="仿宋_GB2312"/>
          <w:color w:val="333333"/>
          <w:kern w:val="0"/>
          <w:sz w:val="32"/>
          <w:szCs w:val="32"/>
          <w:shd w:val="clear" w:color="auto" w:fill="FFFFFF"/>
          <w:lang w:bidi="ar"/>
        </w:rPr>
        <w:t>下属二级预算单位0个。</w:t>
      </w:r>
      <w:r>
        <w:rPr>
          <w:rFonts w:eastAsia="仿宋_GB2312"/>
          <w:sz w:val="32"/>
          <w:szCs w:val="32"/>
        </w:rPr>
        <w:t>202</w:t>
      </w:r>
      <w:r>
        <w:rPr>
          <w:rFonts w:hint="eastAsia" w:eastAsia="仿宋_GB2312"/>
          <w:sz w:val="32"/>
          <w:szCs w:val="32"/>
        </w:rPr>
        <w:t>2</w:t>
      </w:r>
      <w:r>
        <w:rPr>
          <w:rFonts w:eastAsia="仿宋_GB2312"/>
          <w:sz w:val="32"/>
          <w:szCs w:val="32"/>
        </w:rPr>
        <w:t>年</w:t>
      </w:r>
      <w:r>
        <w:rPr>
          <w:rFonts w:hint="eastAsia" w:eastAsia="仿宋_GB2312"/>
          <w:sz w:val="32"/>
          <w:szCs w:val="32"/>
        </w:rPr>
        <w:t>决算</w:t>
      </w:r>
      <w:r>
        <w:rPr>
          <w:rFonts w:eastAsia="仿宋_GB2312"/>
          <w:sz w:val="32"/>
          <w:szCs w:val="32"/>
        </w:rPr>
        <w:t>实有在职编制内人员</w:t>
      </w:r>
      <w:r>
        <w:rPr>
          <w:rFonts w:hint="eastAsia" w:eastAsia="仿宋_GB2312"/>
          <w:sz w:val="32"/>
          <w:szCs w:val="32"/>
        </w:rPr>
        <w:t>47</w:t>
      </w:r>
      <w:r>
        <w:rPr>
          <w:rFonts w:eastAsia="仿宋_GB2312"/>
          <w:sz w:val="32"/>
          <w:szCs w:val="32"/>
        </w:rPr>
        <w:t>人，其中：行政人员</w:t>
      </w:r>
      <w:r>
        <w:rPr>
          <w:rFonts w:hint="eastAsia" w:eastAsia="仿宋_GB2312"/>
          <w:sz w:val="32"/>
          <w:szCs w:val="32"/>
        </w:rPr>
        <w:t>44</w:t>
      </w:r>
      <w:r>
        <w:rPr>
          <w:rFonts w:eastAsia="仿宋_GB2312"/>
          <w:sz w:val="32"/>
          <w:szCs w:val="32"/>
        </w:rPr>
        <w:t>人，事业人员</w:t>
      </w:r>
      <w:r>
        <w:rPr>
          <w:rFonts w:hint="eastAsia" w:eastAsia="仿宋_GB2312"/>
          <w:sz w:val="32"/>
          <w:szCs w:val="32"/>
        </w:rPr>
        <w:t>3</w:t>
      </w:r>
      <w:r>
        <w:rPr>
          <w:rFonts w:eastAsia="仿宋_GB2312"/>
          <w:sz w:val="32"/>
          <w:szCs w:val="32"/>
        </w:rPr>
        <w:t>人。按财政供给率分，均为财政全额供给。退休人员</w:t>
      </w:r>
      <w:r>
        <w:rPr>
          <w:rFonts w:hint="eastAsia" w:eastAsia="仿宋_GB2312"/>
          <w:sz w:val="32"/>
          <w:szCs w:val="32"/>
        </w:rPr>
        <w:t>27</w:t>
      </w:r>
      <w:r>
        <w:rPr>
          <w:rFonts w:eastAsia="仿宋_GB2312"/>
          <w:sz w:val="32"/>
          <w:szCs w:val="32"/>
        </w:rPr>
        <w:t>人，均为行政人员。</w:t>
      </w:r>
    </w:p>
    <w:bookmarkEnd w:id="14"/>
    <w:bookmarkEnd w:id="15"/>
    <w:p>
      <w:pPr>
        <w:pStyle w:val="4"/>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2022年度部门</w:t>
      </w:r>
      <w:r>
        <w:rPr>
          <w:rStyle w:val="28"/>
          <w:rFonts w:hint="eastAsia" w:ascii="黑体" w:hAnsi="黑体" w:eastAsia="黑体"/>
          <w:b w:val="0"/>
          <w:bCs/>
        </w:rPr>
        <w:t>决算情况说明</w:t>
      </w:r>
      <w:bookmarkEnd w:id="16"/>
      <w:bookmarkEnd w:id="17"/>
    </w:p>
    <w:p/>
    <w:p>
      <w:pPr>
        <w:pStyle w:val="27"/>
        <w:numPr>
          <w:ilvl w:val="0"/>
          <w:numId w:val="1"/>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2022年度收入总计1336.38万元、支出总计1336.21万元。与2021年相比，收、支总计各增加431.86万元、431.69万元，</w:t>
      </w:r>
      <w:r>
        <w:rPr>
          <w:rFonts w:hint="eastAsia" w:ascii="仿宋" w:hAnsi="仿宋" w:eastAsia="仿宋"/>
          <w:color w:val="000000" w:themeColor="text1"/>
          <w:sz w:val="32"/>
          <w:szCs w:val="32"/>
          <w:highlight w:val="none"/>
          <w14:textFill>
            <w14:solidFill>
              <w14:schemeClr w14:val="tx1"/>
            </w14:solidFill>
          </w14:textFill>
        </w:rPr>
        <w:t>均增长4</w:t>
      </w:r>
      <w:r>
        <w:rPr>
          <w:rFonts w:hint="eastAsia" w:ascii="仿宋" w:hAnsi="仿宋" w:eastAsia="仿宋"/>
          <w:color w:val="000000" w:themeColor="text1"/>
          <w:sz w:val="32"/>
          <w:szCs w:val="32"/>
          <w:highlight w:val="none"/>
          <w:lang w:val="en-US" w:eastAsia="zh-CN"/>
          <w14:textFill>
            <w14:solidFill>
              <w14:schemeClr w14:val="tx1"/>
            </w14:solidFill>
          </w14:textFill>
        </w:rPr>
        <w:t>8</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w:t>
      </w:r>
      <w:r>
        <w:rPr>
          <w:rFonts w:hint="eastAsia" w:ascii="仿宋" w:hAnsi="仿宋" w:eastAsia="仿宋"/>
          <w:sz w:val="32"/>
          <w:szCs w:val="32"/>
          <w:highlight w:val="none"/>
        </w:rPr>
        <w:t>要</w:t>
      </w:r>
      <w:r>
        <w:rPr>
          <w:rFonts w:hint="eastAsia" w:ascii="仿宋" w:hAnsi="仿宋" w:eastAsia="仿宋"/>
          <w:sz w:val="32"/>
          <w:szCs w:val="32"/>
        </w:rPr>
        <w:t>变动原因是换届人员调整导致。</w:t>
      </w:r>
    </w:p>
    <w:p>
      <w:pPr>
        <w:pStyle w:val="7"/>
        <w:spacing w:before="93"/>
        <w:rPr>
          <w:rFonts w:hint="eastAsia"/>
        </w:rPr>
      </w:pPr>
      <w:r>
        <w:drawing>
          <wp:inline distT="0" distB="0" distL="0" distR="0">
            <wp:extent cx="5274310" cy="3076575"/>
            <wp:effectExtent l="0" t="0"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pPr>
      <w:r>
        <w:rPr>
          <w:rFonts w:hint="eastAsia"/>
        </w:rPr>
        <w:t>图1：收、支决算总计变动情况图（单位：万元）</w:t>
      </w:r>
    </w:p>
    <w:p>
      <w:pPr>
        <w:pStyle w:val="27"/>
        <w:numPr>
          <w:ilvl w:val="0"/>
          <w:numId w:val="1"/>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2022年本年收入合计1336.38万元，其中：一般公共预算财政拨款收入1336.38万元，占100</w:t>
      </w:r>
      <w:r>
        <w:rPr>
          <w:rFonts w:ascii="仿宋" w:hAnsi="仿宋" w:eastAsia="仿宋"/>
          <w:sz w:val="32"/>
          <w:szCs w:val="32"/>
        </w:rPr>
        <w:t>%</w:t>
      </w:r>
      <w:r>
        <w:rPr>
          <w:rFonts w:hint="eastAsia" w:ascii="仿宋" w:hAnsi="仿宋" w:eastAsia="仿宋"/>
          <w:sz w:val="32"/>
          <w:szCs w:val="32"/>
          <w:lang w:eastAsia="zh-CN"/>
        </w:rPr>
        <w:t>。</w:t>
      </w:r>
    </w:p>
    <w:p>
      <w:pPr>
        <w:pStyle w:val="7"/>
        <w:spacing w:before="93"/>
        <w:rPr>
          <w:rFonts w:hint="eastAsia"/>
        </w:rPr>
      </w:pPr>
      <w:r>
        <w:drawing>
          <wp:inline distT="0" distB="0" distL="0" distR="0">
            <wp:extent cx="5890260" cy="2720340"/>
            <wp:effectExtent l="0" t="0" r="15240"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pPr>
      <w:r>
        <w:rPr>
          <w:rFonts w:hint="eastAsia"/>
        </w:rPr>
        <w:t>图2：收入决算结构图（单位：万元）</w:t>
      </w:r>
    </w:p>
    <w:p>
      <w:pPr>
        <w:pStyle w:val="27"/>
        <w:numPr>
          <w:ilvl w:val="0"/>
          <w:numId w:val="1"/>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2022年本年支出合计1336.21万元，其中：基本支出1092.99万元，占81</w:t>
      </w:r>
      <w:r>
        <w:rPr>
          <w:rFonts w:ascii="仿宋" w:hAnsi="仿宋" w:eastAsia="仿宋"/>
          <w:sz w:val="32"/>
          <w:szCs w:val="32"/>
        </w:rPr>
        <w:t>%</w:t>
      </w:r>
      <w:r>
        <w:rPr>
          <w:rFonts w:hint="eastAsia" w:ascii="仿宋" w:hAnsi="仿宋" w:eastAsia="仿宋"/>
          <w:sz w:val="32"/>
          <w:szCs w:val="32"/>
        </w:rPr>
        <w:t>；项目支出243.22万元，占19</w:t>
      </w:r>
      <w:r>
        <w:rPr>
          <w:rFonts w:ascii="仿宋" w:hAnsi="仿宋" w:eastAsia="仿宋"/>
          <w:sz w:val="32"/>
          <w:szCs w:val="32"/>
        </w:rPr>
        <w:t>%</w:t>
      </w:r>
      <w:r>
        <w:rPr>
          <w:rFonts w:hint="eastAsia" w:ascii="仿宋" w:hAnsi="仿宋" w:eastAsia="仿宋"/>
          <w:sz w:val="32"/>
          <w:szCs w:val="32"/>
          <w:lang w:eastAsia="zh-CN"/>
        </w:rPr>
        <w:t>。</w:t>
      </w:r>
    </w:p>
    <w:p>
      <w:pPr>
        <w:pStyle w:val="7"/>
        <w:spacing w:before="93"/>
        <w:rPr>
          <w:rFonts w:hint="eastAsia"/>
        </w:rPr>
      </w:pPr>
      <w:r>
        <w:drawing>
          <wp:inline distT="0" distB="0" distL="0" distR="0">
            <wp:extent cx="5274310" cy="3076575"/>
            <wp:effectExtent l="0" t="0" r="2159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pPr>
      <w:r>
        <w:rPr>
          <w:rFonts w:hint="eastAsia"/>
        </w:rPr>
        <w:t>图3：支出决算结构图（单位：万元）</w:t>
      </w:r>
    </w:p>
    <w:p>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rPr>
      </w:pPr>
      <w:r>
        <w:rPr>
          <w:rFonts w:hint="eastAsia" w:ascii="仿宋" w:hAnsi="仿宋" w:eastAsia="仿宋"/>
          <w:sz w:val="32"/>
          <w:szCs w:val="32"/>
        </w:rPr>
        <w:t>2022年财政拨款收入总计1336.38万元、支总计1336.21万元。与2021年相比，财政拨款收入增加431.86、支出总计增加431.69万元</w:t>
      </w:r>
      <w:r>
        <w:rPr>
          <w:rFonts w:hint="eastAsia" w:ascii="仿宋" w:hAnsi="仿宋" w:eastAsia="仿宋"/>
          <w:color w:val="auto"/>
          <w:sz w:val="32"/>
          <w:szCs w:val="32"/>
          <w:highlight w:val="none"/>
        </w:rPr>
        <w:t>，均增长48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sz w:val="32"/>
          <w:szCs w:val="32"/>
        </w:rPr>
        <w:t>主要变动原因是换届人员调整导致。</w:t>
      </w:r>
    </w:p>
    <w:p>
      <w:pPr>
        <w:pStyle w:val="7"/>
        <w:spacing w:before="93"/>
        <w:rPr>
          <w:rFonts w:hint="eastAsia"/>
        </w:rPr>
      </w:pPr>
      <w:r>
        <w:drawing>
          <wp:inline distT="0" distB="0" distL="0" distR="0">
            <wp:extent cx="5274310" cy="3076575"/>
            <wp:effectExtent l="0" t="0" r="2159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rPr>
      </w:pPr>
      <w:r>
        <w:rPr>
          <w:rFonts w:hint="eastAsia"/>
        </w:rPr>
        <w:t>图4：财政拨款收、支决算总计变动情况（单位：万元）</w:t>
      </w:r>
    </w:p>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2022年一般公共预算财政拨款支出1336.21万元，占本年支出合计的100</w:t>
      </w:r>
      <w:r>
        <w:rPr>
          <w:rFonts w:ascii="仿宋" w:hAnsi="仿宋" w:eastAsia="仿宋"/>
          <w:sz w:val="32"/>
          <w:szCs w:val="32"/>
        </w:rPr>
        <w:t>%</w:t>
      </w:r>
      <w:r>
        <w:rPr>
          <w:rFonts w:hint="eastAsia" w:ascii="仿宋" w:hAnsi="仿宋" w:eastAsia="仿宋"/>
          <w:sz w:val="32"/>
          <w:szCs w:val="32"/>
        </w:rPr>
        <w:t>。与2021年相比，一般公共预算财政拨款支出增加431.69万元，增长4</w:t>
      </w:r>
      <w:r>
        <w:rPr>
          <w:rFonts w:hint="eastAsia" w:ascii="仿宋" w:hAnsi="仿宋" w:eastAsia="仿宋"/>
          <w:sz w:val="32"/>
          <w:szCs w:val="32"/>
          <w:lang w:val="en-US" w:eastAsia="zh-CN"/>
        </w:rPr>
        <w:t>8</w:t>
      </w:r>
      <w:r>
        <w:rPr>
          <w:rFonts w:hint="eastAsia" w:ascii="仿宋" w:hAnsi="仿宋" w:eastAsia="仿宋"/>
          <w:sz w:val="32"/>
          <w:szCs w:val="32"/>
        </w:rPr>
        <w:t>%。主要变动原因是换届人员调整导致。</w:t>
      </w:r>
    </w:p>
    <w:p>
      <w:pPr>
        <w:pStyle w:val="7"/>
        <w:spacing w:before="93"/>
        <w:rPr>
          <w:rFonts w:hint="eastAsia"/>
        </w:rPr>
      </w:pPr>
      <w:r>
        <w:drawing>
          <wp:inline distT="0" distB="0" distL="0" distR="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eastAsia"/>
        </w:rPr>
      </w:pPr>
      <w:r>
        <w:rPr>
          <w:rFonts w:hint="eastAsia"/>
        </w:rPr>
        <w:t>图5：一般公共预算财政拨款支出决算变动情况（单位：万元）</w:t>
      </w:r>
    </w:p>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hint="eastAsia" w:ascii="仿宋" w:hAnsi="仿宋" w:eastAsia="仿宋"/>
          <w:sz w:val="32"/>
          <w:szCs w:val="32"/>
        </w:rPr>
      </w:pPr>
      <w:r>
        <w:rPr>
          <w:rFonts w:hint="eastAsia" w:ascii="仿宋" w:hAnsi="仿宋" w:eastAsia="仿宋"/>
          <w:sz w:val="32"/>
          <w:szCs w:val="32"/>
        </w:rPr>
        <w:t>2022年一般公共预算财政拨款支出1336.21万元，主要用于以下方面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支出1087.24万元，占80.9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支出145.4万元，占11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35.88万元，占3</w:t>
      </w:r>
      <w:r>
        <w:rPr>
          <w:rFonts w:ascii="仿宋" w:hAnsi="仿宋" w:eastAsia="仿宋"/>
          <w:sz w:val="32"/>
          <w:szCs w:val="32"/>
        </w:rPr>
        <w:t>%</w:t>
      </w:r>
      <w:r>
        <w:rPr>
          <w:rFonts w:hint="eastAsia" w:ascii="仿宋" w:hAnsi="仿宋" w:eastAsia="仿宋"/>
          <w:sz w:val="32"/>
          <w:szCs w:val="32"/>
        </w:rPr>
        <w:t>；住房保障支出67.7万元，占5.1</w:t>
      </w:r>
      <w:r>
        <w:rPr>
          <w:rFonts w:ascii="仿宋" w:hAnsi="仿宋" w:eastAsia="仿宋"/>
          <w:sz w:val="32"/>
          <w:szCs w:val="32"/>
        </w:rPr>
        <w:t>%</w:t>
      </w:r>
      <w:r>
        <w:rPr>
          <w:rFonts w:hint="eastAsia" w:ascii="仿宋" w:hAnsi="仿宋" w:eastAsia="仿宋"/>
          <w:sz w:val="32"/>
          <w:szCs w:val="32"/>
        </w:rPr>
        <w:t>。</w:t>
      </w:r>
    </w:p>
    <w:p>
      <w:pPr>
        <w:pStyle w:val="7"/>
        <w:spacing w:before="93"/>
        <w:rPr>
          <w:rFonts w:hint="eastAsia"/>
        </w:rPr>
      </w:pPr>
      <w:r>
        <w:drawing>
          <wp:inline distT="0" distB="0" distL="0" distR="0">
            <wp:extent cx="5273040" cy="2087880"/>
            <wp:effectExtent l="0" t="0" r="22860" b="266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pPr>
      <w:r>
        <w:rPr>
          <w:rFonts w:hint="eastAsia"/>
        </w:rPr>
        <w:t>图6：一般公共预算财政拨款支出决算结构（单位：万元）</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2022年一般公共预算支出决算数为1336.21</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color w:val="000000"/>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人大事务（款）行政运行（项）</w:t>
      </w:r>
      <w:r>
        <w:rPr>
          <w:rStyle w:val="18"/>
          <w:rFonts w:ascii="仿宋" w:hAnsi="仿宋" w:eastAsia="仿宋"/>
          <w:bCs/>
          <w:sz w:val="32"/>
          <w:szCs w:val="32"/>
        </w:rPr>
        <w:t>:</w:t>
      </w:r>
      <w:r>
        <w:rPr>
          <w:rStyle w:val="18"/>
          <w:rFonts w:hint="eastAsia" w:ascii="仿宋" w:hAnsi="仿宋" w:eastAsia="仿宋"/>
          <w:b w:val="0"/>
          <w:bCs/>
          <w:sz w:val="32"/>
          <w:szCs w:val="32"/>
        </w:rPr>
        <w:t>支出决算为827.78万元，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人大事务（款）人大立法（项）</w:t>
      </w:r>
      <w:r>
        <w:rPr>
          <w:rStyle w:val="18"/>
          <w:rFonts w:ascii="仿宋" w:hAnsi="仿宋" w:eastAsia="仿宋"/>
          <w:bCs/>
          <w:sz w:val="32"/>
          <w:szCs w:val="32"/>
        </w:rPr>
        <w:t>:</w:t>
      </w:r>
      <w:r>
        <w:rPr>
          <w:rStyle w:val="18"/>
          <w:rFonts w:hint="eastAsia" w:ascii="仿宋" w:hAnsi="仿宋" w:eastAsia="仿宋"/>
          <w:b w:val="0"/>
          <w:bCs/>
          <w:sz w:val="32"/>
          <w:szCs w:val="32"/>
        </w:rPr>
        <w:t>支出决算为10万元，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3</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人大事务（款）人大监督（项）</w:t>
      </w:r>
      <w:r>
        <w:rPr>
          <w:rStyle w:val="18"/>
          <w:rFonts w:ascii="仿宋" w:hAnsi="仿宋" w:eastAsia="仿宋"/>
          <w:bCs/>
          <w:sz w:val="32"/>
          <w:szCs w:val="32"/>
        </w:rPr>
        <w:t>:</w:t>
      </w:r>
      <w:r>
        <w:rPr>
          <w:rStyle w:val="18"/>
          <w:rFonts w:hint="eastAsia" w:ascii="仿宋" w:hAnsi="仿宋" w:eastAsia="仿宋"/>
          <w:b w:val="0"/>
          <w:bCs/>
          <w:sz w:val="32"/>
          <w:szCs w:val="32"/>
        </w:rPr>
        <w:t>支出决算为22.2万元，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4</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人大事务（款）人大代表履职能力提升（项）</w:t>
      </w:r>
      <w:r>
        <w:rPr>
          <w:rStyle w:val="18"/>
          <w:rFonts w:ascii="仿宋" w:hAnsi="仿宋" w:eastAsia="仿宋"/>
          <w:bCs/>
          <w:sz w:val="32"/>
          <w:szCs w:val="32"/>
        </w:rPr>
        <w:t>:</w:t>
      </w:r>
      <w:r>
        <w:rPr>
          <w:rStyle w:val="18"/>
          <w:rFonts w:hint="eastAsia" w:ascii="仿宋" w:hAnsi="仿宋" w:eastAsia="仿宋"/>
          <w:b w:val="0"/>
          <w:bCs/>
          <w:sz w:val="32"/>
          <w:szCs w:val="32"/>
        </w:rPr>
        <w:t>支出决算为40万元，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5</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人大事务（款）人大信访（项）</w:t>
      </w:r>
      <w:r>
        <w:rPr>
          <w:rStyle w:val="18"/>
          <w:rFonts w:ascii="仿宋" w:hAnsi="仿宋" w:eastAsia="仿宋"/>
          <w:bCs/>
          <w:sz w:val="32"/>
          <w:szCs w:val="32"/>
        </w:rPr>
        <w:t>:</w:t>
      </w:r>
      <w:r>
        <w:rPr>
          <w:rStyle w:val="18"/>
          <w:rFonts w:hint="eastAsia" w:ascii="仿宋" w:hAnsi="仿宋" w:eastAsia="仿宋"/>
          <w:b w:val="0"/>
          <w:bCs/>
          <w:sz w:val="32"/>
          <w:szCs w:val="32"/>
        </w:rPr>
        <w:t>支出决算为8万元，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6</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人大事务（款）事业运行（项）</w:t>
      </w:r>
      <w:r>
        <w:rPr>
          <w:rStyle w:val="18"/>
          <w:rFonts w:ascii="仿宋" w:hAnsi="仿宋" w:eastAsia="仿宋"/>
          <w:bCs/>
          <w:sz w:val="32"/>
          <w:szCs w:val="32"/>
        </w:rPr>
        <w:t>:</w:t>
      </w:r>
      <w:r>
        <w:rPr>
          <w:rStyle w:val="18"/>
          <w:rFonts w:hint="eastAsia" w:ascii="仿宋" w:hAnsi="仿宋" w:eastAsia="仿宋"/>
          <w:b w:val="0"/>
          <w:bCs/>
          <w:sz w:val="32"/>
          <w:szCs w:val="32"/>
        </w:rPr>
        <w:t>支出决算为16.24万元，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7</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人大事务（款）人大会议（项）</w:t>
      </w:r>
      <w:r>
        <w:rPr>
          <w:rStyle w:val="18"/>
          <w:rFonts w:ascii="仿宋" w:hAnsi="仿宋" w:eastAsia="仿宋"/>
          <w:bCs/>
          <w:sz w:val="32"/>
          <w:szCs w:val="32"/>
        </w:rPr>
        <w:t>:</w:t>
      </w:r>
      <w:r>
        <w:rPr>
          <w:rStyle w:val="18"/>
          <w:rFonts w:hint="eastAsia" w:ascii="仿宋" w:hAnsi="仿宋" w:eastAsia="仿宋"/>
          <w:b w:val="0"/>
          <w:bCs/>
          <w:sz w:val="32"/>
          <w:szCs w:val="32"/>
        </w:rPr>
        <w:t>支出决算为65.6万元，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8</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人大事务（款）代表工作（项）</w:t>
      </w:r>
      <w:r>
        <w:rPr>
          <w:rStyle w:val="18"/>
          <w:rFonts w:ascii="仿宋" w:hAnsi="仿宋" w:eastAsia="仿宋"/>
          <w:bCs/>
          <w:sz w:val="32"/>
          <w:szCs w:val="32"/>
        </w:rPr>
        <w:t>:</w:t>
      </w:r>
      <w:r>
        <w:rPr>
          <w:rStyle w:val="18"/>
          <w:rFonts w:hint="eastAsia" w:ascii="仿宋" w:hAnsi="仿宋" w:eastAsia="仿宋"/>
          <w:b w:val="0"/>
          <w:bCs/>
          <w:sz w:val="32"/>
          <w:szCs w:val="32"/>
        </w:rPr>
        <w:t>支出决算为57.4万元，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9</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人大事务（款）机关服务（项）</w:t>
      </w:r>
      <w:r>
        <w:rPr>
          <w:rStyle w:val="18"/>
          <w:rFonts w:ascii="仿宋" w:hAnsi="仿宋" w:eastAsia="仿宋"/>
          <w:bCs/>
          <w:sz w:val="32"/>
          <w:szCs w:val="32"/>
        </w:rPr>
        <w:t>:</w:t>
      </w:r>
      <w:r>
        <w:rPr>
          <w:rStyle w:val="18"/>
          <w:rFonts w:hint="eastAsia" w:ascii="仿宋" w:hAnsi="仿宋" w:eastAsia="仿宋"/>
          <w:b w:val="0"/>
          <w:bCs/>
          <w:sz w:val="32"/>
          <w:szCs w:val="32"/>
        </w:rPr>
        <w:t>支出决算为10万元，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10.一般公共服务（类）</w:t>
      </w:r>
      <w:r>
        <w:rPr>
          <w:rStyle w:val="18"/>
          <w:rFonts w:hint="eastAsia" w:ascii="仿宋" w:hAnsi="仿宋" w:eastAsia="仿宋"/>
          <w:bCs/>
          <w:color w:val="000000"/>
          <w:sz w:val="32"/>
          <w:szCs w:val="32"/>
        </w:rPr>
        <w:t>人大事务（款）其他人大事务支出（项）</w:t>
      </w:r>
      <w:r>
        <w:rPr>
          <w:rStyle w:val="18"/>
          <w:rFonts w:ascii="仿宋" w:hAnsi="仿宋" w:eastAsia="仿宋"/>
          <w:bCs/>
          <w:sz w:val="32"/>
          <w:szCs w:val="32"/>
        </w:rPr>
        <w:t>:</w:t>
      </w:r>
      <w:r>
        <w:rPr>
          <w:rStyle w:val="18"/>
          <w:rFonts w:hint="eastAsia" w:ascii="仿宋" w:hAnsi="仿宋" w:eastAsia="仿宋"/>
          <w:b w:val="0"/>
          <w:bCs/>
          <w:sz w:val="32"/>
          <w:szCs w:val="32"/>
        </w:rPr>
        <w:t>支出决算为30万元，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11</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社会保障和就业（类）行政事业单位养老支出（款）机关事业单位基本养老保险缴费支出（项）</w:t>
      </w:r>
      <w:r>
        <w:rPr>
          <w:rStyle w:val="18"/>
          <w:rFonts w:ascii="仿宋" w:hAnsi="仿宋" w:eastAsia="仿宋"/>
          <w:bCs/>
          <w:sz w:val="32"/>
          <w:szCs w:val="32"/>
        </w:rPr>
        <w:t>:</w:t>
      </w:r>
      <w:r>
        <w:rPr>
          <w:rStyle w:val="18"/>
          <w:rFonts w:hint="eastAsia" w:ascii="仿宋" w:hAnsi="仿宋" w:eastAsia="仿宋"/>
          <w:b w:val="0"/>
          <w:bCs/>
          <w:sz w:val="32"/>
          <w:szCs w:val="32"/>
        </w:rPr>
        <w:t>支出决算为145.4万元，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sz w:val="32"/>
          <w:szCs w:val="32"/>
        </w:rPr>
        <w:t>12</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（类）行政事业单位医疗（款）行政事业单位医疗（项）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支出决算为35.88万元，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13</w:t>
      </w:r>
      <w:r>
        <w:rPr>
          <w:rStyle w:val="18"/>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8"/>
          <w:rFonts w:hint="eastAsia" w:ascii="仿宋" w:hAnsi="仿宋" w:eastAsia="仿宋"/>
          <w:bCs/>
          <w:color w:val="000000"/>
          <w:sz w:val="32"/>
          <w:szCs w:val="32"/>
        </w:rPr>
        <w:t>（类）住房改革支出（款）住房公积金（项）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支出决算为67.7万元，完成预算100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2022年一般公共预算财政拨款基本支出1093万元，其中：</w:t>
      </w:r>
    </w:p>
    <w:p>
      <w:pPr>
        <w:spacing w:line="600" w:lineRule="exact"/>
        <w:ind w:firstLine="645"/>
        <w:rPr>
          <w:rFonts w:ascii="仿宋" w:hAnsi="仿宋" w:eastAsia="仿宋"/>
          <w:sz w:val="32"/>
          <w:szCs w:val="32"/>
        </w:rPr>
      </w:pPr>
      <w:r>
        <w:rPr>
          <w:rFonts w:hint="eastAsia" w:ascii="仿宋" w:hAnsi="仿宋" w:eastAsia="仿宋"/>
          <w:sz w:val="32"/>
          <w:szCs w:val="32"/>
          <w:highlight w:val="none"/>
        </w:rPr>
        <w:t>人员经费938.</w:t>
      </w:r>
      <w:r>
        <w:rPr>
          <w:rFonts w:hint="eastAsia" w:ascii="仿宋" w:hAnsi="仿宋" w:eastAsia="仿宋"/>
          <w:sz w:val="32"/>
          <w:szCs w:val="32"/>
          <w:highlight w:val="none"/>
          <w:lang w:val="en-US" w:eastAsia="zh-CN"/>
        </w:rPr>
        <w:t>49</w:t>
      </w:r>
      <w:r>
        <w:rPr>
          <w:rFonts w:hint="eastAsia" w:ascii="仿宋" w:hAnsi="仿宋" w:eastAsia="仿宋"/>
          <w:sz w:val="32"/>
          <w:szCs w:val="32"/>
          <w:highlight w:val="none"/>
        </w:rPr>
        <w:t>万元，主</w:t>
      </w:r>
      <w:r>
        <w:rPr>
          <w:rFonts w:hint="eastAsia" w:ascii="仿宋" w:hAnsi="仿宋" w:eastAsia="仿宋"/>
          <w:sz w:val="32"/>
          <w:szCs w:val="32"/>
        </w:rPr>
        <w:t>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154.5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highlight w:val="none"/>
        </w:rPr>
      </w:pPr>
      <w:r>
        <w:rPr>
          <w:rFonts w:hint="eastAsia" w:ascii="仿宋" w:hAnsi="仿宋" w:eastAsia="仿宋"/>
          <w:sz w:val="32"/>
          <w:szCs w:val="32"/>
        </w:rPr>
        <w:t>2022年“三公”经费财政拨款支出决算为12.63万元，完成预算100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减少0.17万元，下降1.3%。</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坚持厉行节约，严格控制“三公”经费支出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hint="eastAsia" w:ascii="仿宋" w:hAnsi="仿宋" w:eastAsia="仿宋"/>
          <w:sz w:val="32"/>
          <w:szCs w:val="32"/>
        </w:rPr>
        <w:t>2022年“三公”经费财政拨款支出决算中，因公出国（境）费支出决算0万元；公务用车购置及运行维护费支出决算0万元；公务接待费支出决算12.63万元，占100</w:t>
      </w:r>
      <w:r>
        <w:rPr>
          <w:rFonts w:ascii="仿宋" w:hAnsi="仿宋" w:eastAsia="仿宋"/>
          <w:sz w:val="32"/>
          <w:szCs w:val="32"/>
        </w:rPr>
        <w:t>%</w:t>
      </w:r>
      <w:r>
        <w:rPr>
          <w:rFonts w:hint="eastAsia" w:ascii="仿宋" w:hAnsi="仿宋" w:eastAsia="仿宋"/>
          <w:sz w:val="32"/>
          <w:szCs w:val="32"/>
        </w:rPr>
        <w:t>。具体情况如下：</w:t>
      </w:r>
    </w:p>
    <w:p>
      <w:pPr>
        <w:pStyle w:val="7"/>
        <w:spacing w:before="93"/>
        <w:jc w:val="center"/>
        <w:rPr>
          <w:rFonts w:hint="eastAsia"/>
        </w:rPr>
      </w:pPr>
      <w:r>
        <w:drawing>
          <wp:inline distT="0" distB="0" distL="0" distR="0">
            <wp:extent cx="5273040" cy="2247900"/>
            <wp:effectExtent l="0" t="0" r="2286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pPr>
      <w:r>
        <w:rPr>
          <w:rFonts w:hint="eastAsia"/>
        </w:rPr>
        <w:t>图7：“三公”经费财政拨款支出结构（单位：万元）</w:t>
      </w:r>
    </w:p>
    <w:p>
      <w:pPr>
        <w:numPr>
          <w:ilvl w:val="0"/>
          <w:numId w:val="2"/>
        </w:numPr>
        <w:spacing w:line="600" w:lineRule="exact"/>
        <w:ind w:firstLine="640"/>
        <w:rPr>
          <w:rFonts w:ascii="仿宋" w:hAnsi="仿宋" w:eastAsia="仿宋"/>
          <w:bCs/>
          <w:sz w:val="32"/>
          <w:szCs w:val="32"/>
        </w:rPr>
      </w:pP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 w:hAnsi="仿宋" w:eastAsia="仿宋"/>
          <w:bCs/>
          <w:sz w:val="32"/>
          <w:szCs w:val="32"/>
        </w:rPr>
        <w:t>年初未安排预算，因公出国</w:t>
      </w:r>
      <w:r>
        <w:rPr>
          <w:rFonts w:hint="eastAsia" w:ascii="仿宋_GB2312" w:eastAsia="仿宋_GB2312"/>
          <w:bCs/>
          <w:sz w:val="32"/>
          <w:szCs w:val="32"/>
        </w:rPr>
        <w:t>（境）</w:t>
      </w:r>
      <w:r>
        <w:rPr>
          <w:rFonts w:hint="eastAsia" w:ascii="仿宋" w:hAnsi="仿宋" w:eastAsia="仿宋"/>
          <w:bCs/>
          <w:sz w:val="32"/>
          <w:szCs w:val="32"/>
        </w:rPr>
        <w:t>支出决算较2021年无变化。</w:t>
      </w:r>
    </w:p>
    <w:p>
      <w:pPr>
        <w:spacing w:line="576"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 w:hAnsi="仿宋" w:eastAsia="仿宋"/>
          <w:bCs/>
          <w:sz w:val="32"/>
          <w:szCs w:val="32"/>
        </w:rPr>
        <w:t>年初未安排预算，因公出国</w:t>
      </w:r>
      <w:r>
        <w:rPr>
          <w:rFonts w:hint="eastAsia" w:ascii="仿宋_GB2312" w:eastAsia="仿宋_GB2312"/>
          <w:bCs/>
          <w:sz w:val="32"/>
          <w:szCs w:val="32"/>
        </w:rPr>
        <w:t>（境）</w:t>
      </w:r>
      <w:r>
        <w:rPr>
          <w:rFonts w:hint="eastAsia" w:ascii="仿宋" w:hAnsi="仿宋" w:eastAsia="仿宋"/>
          <w:bCs/>
          <w:sz w:val="32"/>
          <w:szCs w:val="32"/>
        </w:rPr>
        <w:t>支出决算较2021年无变化</w:t>
      </w:r>
      <w:r>
        <w:rPr>
          <w:rFonts w:hint="eastAsia" w:ascii="仿宋" w:hAnsi="仿宋" w:eastAsia="仿宋"/>
          <w:b/>
          <w:sz w:val="32"/>
          <w:szCs w:val="32"/>
        </w:rPr>
        <w:t>。</w:t>
      </w:r>
      <w:r>
        <w:rPr>
          <w:rFonts w:hint="eastAsia" w:ascii="仿宋_GB2312" w:eastAsia="仿宋_GB2312"/>
          <w:sz w:val="32"/>
          <w:szCs w:val="32"/>
        </w:rPr>
        <w:t>在公务用车制度改革后，不允许单位购买公务用车。因公出差向机关事务局申请公务用车，公务用车有保障。</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12.63万元，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公务接待费支出决算比2021年略有下降。主要原因</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坚持厉行节约，严格控制“三公”经费支出</w:t>
      </w:r>
      <w:r>
        <w:rPr>
          <w:rFonts w:hint="eastAsia" w:ascii="仿宋" w:hAnsi="仿宋" w:eastAsia="仿宋"/>
          <w:color w:val="auto"/>
          <w:sz w:val="32"/>
          <w:szCs w:val="32"/>
          <w:highlight w:val="none"/>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12.63</w:t>
      </w:r>
      <w:r>
        <w:rPr>
          <w:rFonts w:hint="eastAsia" w:ascii="仿宋_GB2312" w:eastAsia="仿宋_GB2312"/>
          <w:sz w:val="32"/>
          <w:szCs w:val="32"/>
        </w:rPr>
        <w:t>万元，主要用于开展业务活动开支的交通费、住宿费、用餐费等。国内公务接待153批次，1609人次（不包括陪同人员），共计支出12.63万元。</w:t>
      </w:r>
    </w:p>
    <w:p>
      <w:pPr>
        <w:spacing w:line="600" w:lineRule="exact"/>
        <w:ind w:firstLine="640"/>
        <w:outlineLvl w:val="1"/>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万元，无外市接待支出。</w:t>
      </w:r>
      <w:bookmarkStart w:id="40" w:name="_Toc15377218"/>
      <w:bookmarkStart w:id="41" w:name="_Toc15396610"/>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2022年政府性基金预算财政拨款支出0万元。</w:t>
      </w:r>
    </w:p>
    <w:p>
      <w:pPr>
        <w:numPr>
          <w:ilvl w:val="0"/>
          <w:numId w:val="3"/>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2022年国有资本经营预算财政拨款支出0万元。</w:t>
      </w:r>
    </w:p>
    <w:p>
      <w:pPr>
        <w:spacing w:line="600" w:lineRule="exact"/>
        <w:ind w:firstLine="640" w:firstLineChars="20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十</w:t>
      </w:r>
      <w:r>
        <w:rPr>
          <w:rFonts w:hint="eastAsia" w:ascii="仿宋_GB2312" w:hAnsi="仿宋_GB2312" w:eastAsia="仿宋_GB2312" w:cs="仿宋_GB2312"/>
          <w:sz w:val="32"/>
          <w:szCs w:val="32"/>
        </w:rPr>
        <w:t>、</w:t>
      </w:r>
      <w:r>
        <w:rPr>
          <w:rStyle w:val="29"/>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2022年，区人大常委会办公室机关运行经费支出154.5万元，比2021年减少30万元，下降58</w:t>
      </w:r>
      <w:r>
        <w:rPr>
          <w:rFonts w:ascii="仿宋_GB2312" w:eastAsia="仿宋_GB2312"/>
          <w:sz w:val="32"/>
          <w:szCs w:val="32"/>
        </w:rPr>
        <w:t>%</w:t>
      </w:r>
      <w:r>
        <w:rPr>
          <w:rFonts w:hint="eastAsia" w:ascii="仿宋_GB2312" w:eastAsia="仿宋_GB2312"/>
          <w:sz w:val="32"/>
          <w:szCs w:val="32"/>
        </w:rPr>
        <w:t>。主要原因是换届人员调整导致。</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2022年，本单位政府采购支出总额0万元，</w:t>
      </w:r>
      <w:r>
        <w:rPr>
          <w:rFonts w:hint="eastAsia" w:ascii="仿宋" w:hAnsi="仿宋" w:eastAsia="仿宋"/>
          <w:bCs/>
          <w:sz w:val="32"/>
          <w:szCs w:val="32"/>
        </w:rPr>
        <w:t>年初未安排预算。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spacing w:line="600" w:lineRule="exact"/>
        <w:ind w:firstLine="640"/>
        <w:rPr>
          <w:rFonts w:ascii="仿宋_GB2312" w:eastAsia="仿宋_GB2312"/>
          <w:color w:val="000000"/>
          <w:sz w:val="32"/>
          <w:szCs w:val="32"/>
        </w:rPr>
      </w:pPr>
      <w:r>
        <w:rPr>
          <w:rFonts w:hint="eastAsia" w:ascii="仿宋_GB2312" w:eastAsia="仿宋_GB2312"/>
          <w:sz w:val="32"/>
          <w:szCs w:val="32"/>
        </w:rPr>
        <w:t>截至2022年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无国有资产占有使用情况。</w:t>
      </w:r>
    </w:p>
    <w:p>
      <w:pPr>
        <w:spacing w:line="600" w:lineRule="exact"/>
        <w:ind w:firstLine="640" w:firstLineChars="200"/>
        <w:outlineLvl w:val="1"/>
        <w:rPr>
          <w:rStyle w:val="29"/>
          <w:rFonts w:ascii="黑体" w:hAnsi="黑体" w:eastAsia="黑体"/>
          <w:b w:val="0"/>
        </w:rPr>
      </w:pPr>
      <w:r>
        <w:rPr>
          <w:rStyle w:val="29"/>
          <w:rFonts w:hint="eastAsia" w:ascii="黑体" w:hAnsi="黑体" w:eastAsia="黑体"/>
          <w:b w:val="0"/>
        </w:rPr>
        <w:t>（四）预算绩效管理情况</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2022年度预算编制阶段，对部门整体和所有项目（政策）支出编制了绩效目标，预算执行中，按照财政要求全面开展了绩效运行监控；组织对2022年度一般公共预算支出开展了绩效自评，形成了广元市昭化区</w:t>
      </w:r>
      <w:r>
        <w:rPr>
          <w:rFonts w:hint="eastAsia" w:ascii="仿宋_GB2312" w:hAnsi="仿宋_GB2312" w:eastAsia="仿宋_GB2312" w:cs="仿宋_GB2312"/>
          <w:sz w:val="32"/>
          <w:szCs w:val="32"/>
          <w:lang w:eastAsia="zh-CN"/>
        </w:rPr>
        <w:t>人大常委会办公室</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整体支出</w:t>
      </w:r>
      <w:r>
        <w:rPr>
          <w:rFonts w:hint="eastAsia" w:ascii="仿宋_GB2312" w:hAnsi="仿宋_GB2312" w:eastAsia="仿宋_GB2312" w:cs="仿宋_GB2312"/>
          <w:sz w:val="32"/>
          <w:szCs w:val="32"/>
        </w:rPr>
        <w:t>绩效自评报告（表)、广元市昭化区</w:t>
      </w:r>
      <w:r>
        <w:rPr>
          <w:rFonts w:hint="eastAsia" w:ascii="仿宋_GB2312" w:hAnsi="仿宋_GB2312" w:eastAsia="仿宋_GB2312" w:cs="仿宋_GB2312"/>
          <w:sz w:val="32"/>
          <w:szCs w:val="32"/>
          <w:lang w:eastAsia="zh-CN"/>
        </w:rPr>
        <w:t>人大常委会办公室</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人大会议经费人大代表经费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个项目支出绩效自评报告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，其中，部门整体绩效自评得分为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人大会议</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，人大代表</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，人大业务</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，机关管理</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，乡村振兴及其他人大事务</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分。《广元市昭化区</w:t>
      </w:r>
      <w:r>
        <w:rPr>
          <w:rFonts w:hint="eastAsia" w:ascii="仿宋_GB2312" w:hAnsi="仿宋_GB2312" w:eastAsia="仿宋_GB2312" w:cs="仿宋_GB2312"/>
          <w:sz w:val="32"/>
          <w:szCs w:val="32"/>
          <w:lang w:eastAsia="zh-CN"/>
        </w:rPr>
        <w:t>人大常委会办公室</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部门整体绩效自评报告（表）》和《广元市昭化区</w:t>
      </w:r>
      <w:r>
        <w:rPr>
          <w:rFonts w:hint="eastAsia" w:ascii="仿宋_GB2312" w:hAnsi="仿宋_GB2312" w:eastAsia="仿宋_GB2312" w:cs="仿宋_GB2312"/>
          <w:sz w:val="32"/>
          <w:szCs w:val="32"/>
          <w:lang w:eastAsia="zh-CN"/>
        </w:rPr>
        <w:t>人大常委会办公室</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人大会议经费人大代表经费等</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rPr>
        <w:t>项目支出绩效自评报告（表）》详见附件。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left"/>
        <w:textAlignment w:val="auto"/>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一般公共服务（类）人大事务（款）行政运行（项）：指人大机关开展会议、监督、调研、视察等工作需要用于购买货物和服务的各项支出。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社会保障和就业（类）行政事业单位养老支出（款）机关事业单位基本养老保险缴费支出（项）：</w:t>
      </w:r>
      <w:r>
        <w:rPr>
          <w:rFonts w:hint="eastAsia" w:ascii="仿宋_GB2312" w:eastAsia="仿宋_GB2312"/>
          <w:color w:val="000000"/>
          <w:sz w:val="32"/>
          <w:szCs w:val="32"/>
        </w:rPr>
        <w:t>指机关事业单位实施养老保险制度由单位缴纳的基本养老保险费支出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医疗卫生与计划生育（类）</w:t>
      </w:r>
      <w:r>
        <w:rPr>
          <w:rFonts w:hint="eastAsia" w:ascii="仿宋_GB2312" w:eastAsia="仿宋_GB2312"/>
          <w:color w:val="000000"/>
          <w:sz w:val="32"/>
          <w:szCs w:val="32"/>
        </w:rPr>
        <w:t>行政事业单位医疗</w:t>
      </w:r>
      <w:r>
        <w:rPr>
          <w:rFonts w:hint="eastAsia" w:ascii="仿宋_GB2312" w:eastAsia="仿宋_GB2312"/>
          <w:sz w:val="32"/>
          <w:szCs w:val="32"/>
        </w:rPr>
        <w:t>（款）</w:t>
      </w:r>
      <w:r>
        <w:rPr>
          <w:rFonts w:hint="eastAsia" w:ascii="仿宋_GB2312" w:eastAsia="仿宋_GB2312"/>
          <w:color w:val="000000"/>
          <w:sz w:val="32"/>
          <w:szCs w:val="32"/>
        </w:rPr>
        <w:t>行政事业单位医疗</w:t>
      </w:r>
      <w:r>
        <w:rPr>
          <w:rFonts w:hint="eastAsia" w:ascii="仿宋_GB2312" w:eastAsia="仿宋_GB2312"/>
          <w:sz w:val="32"/>
          <w:szCs w:val="32"/>
        </w:rPr>
        <w:t>（项）：指</w:t>
      </w:r>
      <w:r>
        <w:rPr>
          <w:rFonts w:hint="eastAsia" w:ascii="仿宋_GB2312" w:eastAsia="仿宋_GB2312"/>
          <w:color w:val="000000"/>
          <w:sz w:val="32"/>
          <w:szCs w:val="32"/>
        </w:rPr>
        <w:t>财政部门安排的行政事业单位基本医疗保险缴费经费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color w:val="000000"/>
          <w:sz w:val="32"/>
          <w:szCs w:val="32"/>
        </w:rPr>
        <w:t>住房改革支出</w:t>
      </w:r>
      <w:r>
        <w:rPr>
          <w:rFonts w:hint="eastAsia" w:ascii="仿宋_GB2312" w:eastAsia="仿宋_GB2312"/>
          <w:sz w:val="32"/>
          <w:szCs w:val="32"/>
        </w:rPr>
        <w:t>（款）</w:t>
      </w:r>
      <w:r>
        <w:rPr>
          <w:rFonts w:hint="eastAsia" w:ascii="仿宋_GB2312" w:eastAsia="仿宋_GB2312"/>
          <w:color w:val="000000"/>
          <w:sz w:val="32"/>
          <w:szCs w:val="32"/>
        </w:rPr>
        <w:t>住房公积金</w:t>
      </w:r>
      <w:r>
        <w:rPr>
          <w:rFonts w:hint="eastAsia" w:ascii="仿宋_GB2312" w:eastAsia="仿宋_GB2312"/>
          <w:sz w:val="32"/>
          <w:szCs w:val="32"/>
        </w:rPr>
        <w:t>（项）：指</w:t>
      </w:r>
      <w:r>
        <w:rPr>
          <w:rFonts w:hint="eastAsia" w:ascii="仿宋_GB2312" w:eastAsia="仿宋_GB2312"/>
          <w:color w:val="000000"/>
          <w:sz w:val="32"/>
          <w:szCs w:val="32"/>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Fonts w:ascii="宋体"/>
          <w:b/>
          <w:sz w:val="44"/>
          <w:szCs w:val="44"/>
        </w:rPr>
      </w:pPr>
      <w:bookmarkStart w:id="51" w:name="_Toc15377226"/>
      <w:r>
        <w:rPr>
          <w:rFonts w:ascii="宋体"/>
          <w:b/>
          <w:sz w:val="44"/>
          <w:szCs w:val="44"/>
        </w:rPr>
        <w:br w:type="page"/>
      </w:r>
      <w:bookmarkStart w:id="52" w:name="_Toc15396618"/>
    </w:p>
    <w:p>
      <w:pPr>
        <w:spacing w:line="600" w:lineRule="exact"/>
        <w:jc w:val="center"/>
        <w:outlineLvl w:val="0"/>
        <w:rPr>
          <w:rStyle w:val="28"/>
          <w:rFonts w:ascii="黑体" w:hAnsi="黑体" w:eastAsia="黑体"/>
          <w:b w:val="0"/>
        </w:rPr>
      </w:pPr>
      <w:bookmarkStart w:id="53" w:name="_Toc15396614"/>
      <w:r>
        <w:rPr>
          <w:rFonts w:hint="eastAsia" w:ascii="黑体" w:hAnsi="黑体" w:eastAsia="黑体"/>
          <w:sz w:val="44"/>
          <w:szCs w:val="44"/>
        </w:rPr>
        <w:t>第</w:t>
      </w:r>
      <w:r>
        <w:rPr>
          <w:rStyle w:val="28"/>
          <w:rFonts w:hint="eastAsia" w:ascii="黑体" w:hAnsi="黑体" w:eastAsia="黑体"/>
          <w:b w:val="0"/>
        </w:rPr>
        <w:t>四部分 附件</w:t>
      </w:r>
      <w:bookmarkEnd w:id="53"/>
    </w:p>
    <w:p>
      <w:pPr>
        <w:keepNext w:val="0"/>
        <w:keepLines w:val="0"/>
        <w:pageBreakBefore w:val="0"/>
        <w:widowControl w:val="0"/>
        <w:kinsoku/>
        <w:wordWrap/>
        <w:overflowPunct/>
        <w:topLinePunct w:val="0"/>
        <w:autoSpaceDE/>
        <w:autoSpaceDN/>
        <w:bidi w:val="0"/>
        <w:spacing w:beforeAutospacing="0" w:line="576" w:lineRule="exact"/>
        <w:ind w:left="0" w:leftChars="0" w:right="0" w:firstLine="0" w:firstLine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spacing w:beforeAutospacing="0" w:line="576" w:lineRule="exact"/>
        <w:ind w:left="0" w:leftChars="0" w:right="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广元市昭化区</w:t>
      </w:r>
      <w:r>
        <w:rPr>
          <w:rFonts w:hint="eastAsia" w:ascii="方正小标宋简体" w:hAnsi="方正小标宋简体" w:eastAsia="方正小标宋简体" w:cs="方正小标宋简体"/>
          <w:b w:val="0"/>
          <w:bCs/>
          <w:sz w:val="44"/>
          <w:szCs w:val="44"/>
          <w:lang w:eastAsia="zh-CN"/>
        </w:rPr>
        <w:t>人大常委会办公室</w:t>
      </w:r>
    </w:p>
    <w:p>
      <w:pPr>
        <w:keepNext w:val="0"/>
        <w:keepLines w:val="0"/>
        <w:pageBreakBefore w:val="0"/>
        <w:widowControl w:val="0"/>
        <w:kinsoku/>
        <w:wordWrap/>
        <w:overflowPunct/>
        <w:topLinePunct w:val="0"/>
        <w:autoSpaceDE/>
        <w:autoSpaceDN/>
        <w:bidi w:val="0"/>
        <w:spacing w:beforeAutospacing="0" w:line="576" w:lineRule="exact"/>
        <w:ind w:left="0" w:leftChars="0" w:right="0" w:firstLine="0" w:firstLineChars="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sz w:val="44"/>
          <w:szCs w:val="44"/>
          <w:lang w:val="en-US" w:eastAsia="zh-CN"/>
        </w:rPr>
        <w:t>关于2022年</w:t>
      </w:r>
      <w:r>
        <w:rPr>
          <w:rFonts w:hint="eastAsia" w:ascii="方正小标宋简体" w:hAnsi="方正小标宋简体" w:eastAsia="方正小标宋简体" w:cs="方正小标宋简体"/>
          <w:b w:val="0"/>
          <w:bCs/>
          <w:sz w:val="44"/>
          <w:szCs w:val="44"/>
        </w:rPr>
        <w:t>部门</w:t>
      </w:r>
      <w:r>
        <w:rPr>
          <w:rFonts w:hint="eastAsia" w:ascii="方正小标宋简体" w:hAnsi="方正小标宋简体" w:eastAsia="方正小标宋简体" w:cs="方正小标宋简体"/>
          <w:b w:val="0"/>
          <w:bCs/>
          <w:sz w:val="44"/>
          <w:szCs w:val="44"/>
          <w:lang w:eastAsia="zh-CN"/>
        </w:rPr>
        <w:t>整体支出</w:t>
      </w:r>
      <w:r>
        <w:rPr>
          <w:rFonts w:hint="eastAsia" w:ascii="方正小标宋简体" w:hAnsi="方正小标宋简体" w:eastAsia="方正小标宋简体" w:cs="方正小标宋简体"/>
          <w:b w:val="0"/>
          <w:bCs/>
          <w:sz w:val="44"/>
          <w:szCs w:val="44"/>
        </w:rPr>
        <w:t>绩效自评报告</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eastAsia" w:ascii="仿宋_GB2312" w:hAnsi="仿宋" w:eastAsia="仿宋_GB2312" w:cs="Times New Roman"/>
          <w:color w:val="000000"/>
          <w:kern w:val="2"/>
          <w:sz w:val="32"/>
          <w:szCs w:val="32"/>
        </w:rPr>
      </w:pP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40" w:lineRule="exact"/>
        <w:ind w:left="0" w:leftChars="0" w:right="0" w:firstLine="0" w:firstLineChars="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区财政局：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根据《广元市昭化区财政局关于开展</w:t>
      </w:r>
      <w:r>
        <w:rPr>
          <w:rFonts w:hint="default" w:ascii="Times New Roman" w:hAnsi="Times New Roman" w:eastAsia="仿宋_GB2312" w:cs="Times New Roman"/>
          <w:color w:val="000000"/>
          <w:kern w:val="2"/>
          <w:sz w:val="32"/>
          <w:szCs w:val="32"/>
          <w:lang w:val="en-US" w:eastAsia="zh-CN"/>
        </w:rPr>
        <w:t>202</w:t>
      </w:r>
      <w:r>
        <w:rPr>
          <w:rFonts w:hint="eastAsia" w:ascii="Times New Roman" w:hAnsi="Times New Roman" w:eastAsia="仿宋_GB2312" w:cs="Times New Roman"/>
          <w:color w:val="000000"/>
          <w:kern w:val="2"/>
          <w:sz w:val="32"/>
          <w:szCs w:val="32"/>
          <w:lang w:val="en-US" w:eastAsia="zh-CN"/>
        </w:rPr>
        <w:t>3</w:t>
      </w:r>
      <w:r>
        <w:rPr>
          <w:rFonts w:hint="default" w:ascii="Times New Roman" w:hAnsi="Times New Roman" w:eastAsia="仿宋_GB2312" w:cs="Times New Roman"/>
          <w:color w:val="000000"/>
          <w:kern w:val="2"/>
          <w:sz w:val="32"/>
          <w:szCs w:val="32"/>
          <w:lang w:val="en-US" w:eastAsia="zh-CN"/>
        </w:rPr>
        <w:t>年</w:t>
      </w:r>
      <w:r>
        <w:rPr>
          <w:rFonts w:hint="default" w:ascii="Times New Roman" w:hAnsi="Times New Roman" w:eastAsia="仿宋_GB2312" w:cs="Times New Roman"/>
          <w:color w:val="000000"/>
          <w:kern w:val="2"/>
          <w:sz w:val="32"/>
          <w:szCs w:val="32"/>
        </w:rPr>
        <w:t>财</w:t>
      </w:r>
      <w:r>
        <w:rPr>
          <w:rFonts w:hint="default" w:ascii="Times New Roman" w:hAnsi="Times New Roman" w:eastAsia="仿宋_GB2312" w:cs="Times New Roman"/>
          <w:color w:val="000000"/>
          <w:kern w:val="2"/>
          <w:sz w:val="32"/>
          <w:szCs w:val="32"/>
          <w:lang w:eastAsia="zh-CN"/>
        </w:rPr>
        <w:t>政</w:t>
      </w:r>
      <w:r>
        <w:rPr>
          <w:rFonts w:hint="default" w:ascii="Times New Roman" w:hAnsi="Times New Roman" w:eastAsia="仿宋_GB2312" w:cs="Times New Roman"/>
          <w:color w:val="000000"/>
          <w:kern w:val="2"/>
          <w:sz w:val="32"/>
          <w:szCs w:val="32"/>
        </w:rPr>
        <w:t>绩效评价</w:t>
      </w:r>
      <w:r>
        <w:rPr>
          <w:rFonts w:hint="default" w:ascii="Times New Roman" w:hAnsi="Times New Roman" w:eastAsia="仿宋_GB2312" w:cs="Times New Roman"/>
          <w:color w:val="000000"/>
          <w:kern w:val="2"/>
          <w:sz w:val="32"/>
          <w:szCs w:val="32"/>
          <w:lang w:eastAsia="zh-CN"/>
        </w:rPr>
        <w:t>工作</w:t>
      </w:r>
      <w:r>
        <w:rPr>
          <w:rFonts w:hint="default" w:ascii="Times New Roman" w:hAnsi="Times New Roman" w:eastAsia="仿宋_GB2312" w:cs="Times New Roman"/>
          <w:color w:val="000000"/>
          <w:kern w:val="2"/>
          <w:sz w:val="32"/>
          <w:szCs w:val="32"/>
        </w:rPr>
        <w:t>的通知》</w:t>
      </w:r>
      <w:r>
        <w:rPr>
          <w:rFonts w:hint="default" w:ascii="Times New Roman" w:hAnsi="Times New Roman" w:eastAsia="仿宋_GB2312" w:cs="Times New Roman"/>
          <w:color w:val="000000"/>
          <w:kern w:val="2"/>
          <w:sz w:val="32"/>
          <w:szCs w:val="32"/>
          <w:lang w:val="en-US" w:eastAsia="zh-CN"/>
        </w:rPr>
        <w:t>(昭财〔202</w:t>
      </w:r>
      <w:r>
        <w:rPr>
          <w:rFonts w:hint="eastAsia" w:ascii="Times New Roman" w:hAnsi="Times New Roman" w:eastAsia="仿宋_GB2312" w:cs="Times New Roman"/>
          <w:color w:val="000000"/>
          <w:kern w:val="2"/>
          <w:sz w:val="32"/>
          <w:szCs w:val="32"/>
          <w:lang w:val="en-US" w:eastAsia="zh-CN"/>
        </w:rPr>
        <w:t>3</w:t>
      </w:r>
      <w:r>
        <w:rPr>
          <w:rFonts w:hint="default" w:ascii="Times New Roman" w:hAnsi="Times New Roman" w:eastAsia="仿宋_GB2312" w:cs="Times New Roman"/>
          <w:color w:val="000000"/>
          <w:kern w:val="2"/>
          <w:sz w:val="32"/>
          <w:szCs w:val="32"/>
          <w:lang w:val="en-US" w:eastAsia="zh-CN"/>
        </w:rPr>
        <w:t>〕</w:t>
      </w:r>
      <w:r>
        <w:rPr>
          <w:rFonts w:hint="eastAsia" w:ascii="Times New Roman" w:hAnsi="Times New Roman" w:eastAsia="仿宋_GB2312" w:cs="Times New Roman"/>
          <w:color w:val="000000"/>
          <w:kern w:val="2"/>
          <w:sz w:val="32"/>
          <w:szCs w:val="32"/>
          <w:lang w:val="en-US" w:eastAsia="zh-CN"/>
        </w:rPr>
        <w:t>12</w:t>
      </w:r>
      <w:r>
        <w:rPr>
          <w:rFonts w:hint="default" w:ascii="Times New Roman" w:hAnsi="Times New Roman" w:eastAsia="仿宋_GB2312" w:cs="Times New Roman"/>
          <w:color w:val="000000"/>
          <w:kern w:val="2"/>
          <w:sz w:val="32"/>
          <w:szCs w:val="32"/>
          <w:lang w:val="en-US" w:eastAsia="zh-CN"/>
        </w:rPr>
        <w:t>号)</w:t>
      </w:r>
      <w:r>
        <w:rPr>
          <w:rFonts w:hint="default" w:ascii="Times New Roman" w:hAnsi="Times New Roman" w:eastAsia="仿宋_GB2312" w:cs="Times New Roman"/>
          <w:color w:val="000000"/>
          <w:kern w:val="2"/>
          <w:sz w:val="32"/>
          <w:szCs w:val="32"/>
        </w:rPr>
        <w:t>要求，</w:t>
      </w:r>
      <w:r>
        <w:rPr>
          <w:rFonts w:hint="default" w:ascii="Times New Roman" w:hAnsi="Times New Roman" w:eastAsia="仿宋_GB2312" w:cs="Times New Roman"/>
          <w:sz w:val="32"/>
          <w:szCs w:val="32"/>
          <w:lang w:val="zh-CN"/>
        </w:rPr>
        <w:t>结合我办</w:t>
      </w:r>
      <w:r>
        <w:rPr>
          <w:rFonts w:hint="default" w:ascii="Times New Roman" w:hAnsi="Times New Roman" w:eastAsia="仿宋_GB2312" w:cs="Times New Roman"/>
          <w:color w:val="000000"/>
          <w:kern w:val="2"/>
          <w:sz w:val="32"/>
          <w:szCs w:val="32"/>
          <w:lang w:val="zh-CN" w:eastAsia="zh-CN"/>
        </w:rPr>
        <w:t>202</w:t>
      </w:r>
      <w:r>
        <w:rPr>
          <w:rFonts w:hint="eastAsia" w:ascii="Times New Roman" w:hAnsi="Times New Roman" w:eastAsia="仿宋_GB2312"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lang w:val="zh-CN" w:eastAsia="zh-CN"/>
        </w:rPr>
        <w:t>年部门预算管理、项目的实施情况等，现将我办202</w:t>
      </w:r>
      <w:r>
        <w:rPr>
          <w:rFonts w:hint="eastAsia" w:ascii="Times New Roman" w:hAnsi="Times New Roman" w:eastAsia="仿宋_GB2312"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lang w:val="zh-CN" w:eastAsia="zh-CN"/>
        </w:rPr>
        <w:t>年开展</w:t>
      </w:r>
      <w:r>
        <w:rPr>
          <w:rFonts w:hint="default" w:ascii="Times New Roman" w:hAnsi="Times New Roman" w:eastAsia="仿宋_GB2312" w:cs="Times New Roman"/>
          <w:color w:val="000000"/>
          <w:kern w:val="2"/>
          <w:sz w:val="32"/>
          <w:szCs w:val="32"/>
          <w:lang w:val="en-US" w:eastAsia="zh-CN"/>
        </w:rPr>
        <w:t>部门整</w:t>
      </w:r>
      <w:r>
        <w:rPr>
          <w:rFonts w:hint="default" w:ascii="Times New Roman" w:hAnsi="Times New Roman" w:eastAsia="仿宋_GB2312" w:cs="Times New Roman"/>
          <w:sz w:val="32"/>
          <w:szCs w:val="32"/>
        </w:rPr>
        <w:t>体支出绩效自评报告如下：</w:t>
      </w:r>
    </w:p>
    <w:p>
      <w:pPr>
        <w:keepNext w:val="0"/>
        <w:keepLines w:val="0"/>
        <w:pageBreakBefore w:val="0"/>
        <w:widowControl w:val="0"/>
        <w:kinsoku/>
        <w:wordWrap/>
        <w:overflowPunct/>
        <w:topLinePunct w:val="0"/>
        <w:autoSpaceDE/>
        <w:autoSpaceDN/>
        <w:bidi w:val="0"/>
        <w:spacing w:beforeAutospacing="0" w:line="540" w:lineRule="exact"/>
        <w:ind w:left="0" w:leftChars="0"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w:t>
      </w:r>
      <w:r>
        <w:rPr>
          <w:rFonts w:hint="eastAsia" w:ascii="Times New Roman" w:hAnsi="Times New Roman" w:eastAsia="黑体" w:cs="Times New Roman"/>
          <w:b w:val="0"/>
          <w:bCs/>
          <w:sz w:val="32"/>
          <w:szCs w:val="32"/>
          <w:lang w:eastAsia="zh-CN"/>
        </w:rPr>
        <w:t>单位</w:t>
      </w:r>
      <w:r>
        <w:rPr>
          <w:rFonts w:hint="default" w:ascii="Times New Roman" w:hAnsi="Times New Roman" w:eastAsia="黑体" w:cs="Times New Roman"/>
          <w:b w:val="0"/>
          <w:bCs/>
          <w:sz w:val="32"/>
          <w:szCs w:val="32"/>
        </w:rPr>
        <w:t>概况</w:t>
      </w:r>
    </w:p>
    <w:p>
      <w:pPr>
        <w:pStyle w:val="7"/>
        <w:keepNext w:val="0"/>
        <w:keepLines w:val="0"/>
        <w:pageBreakBefore w:val="0"/>
        <w:widowControl w:val="0"/>
        <w:kinsoku/>
        <w:wordWrap/>
        <w:overflowPunct/>
        <w:topLinePunct w:val="0"/>
        <w:autoSpaceDE w:val="0"/>
        <w:autoSpaceDN w:val="0"/>
        <w:bidi w:val="0"/>
        <w:adjustRightInd/>
        <w:snapToGrid/>
        <w:spacing w:before="0" w:beforeLines="0" w:line="540" w:lineRule="exact"/>
        <w:ind w:right="431"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（一）机构组成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区人大常委会有6个正科级专门委员会（区人大财政经济委员会、区人大监察和司法委员会、区人大社会建设委员会、区人大农业与农村委员会、区人大教育科学文化卫生委员会、区人大城乡建设环境资源保护委员会），正科级办事工作机构8个（区人大常委会办公室、区人大常委会法制工作委员会、区人大常委会财政经济工作委员会（加挂区人大常委会预算工作委员会牌子）、区人大常委会农业工作委员会、区人大常委会人事代表工作委员会、区人大常委会教科文卫工作委员会、区人大常委会城环资工作委员会、区人大常委会信访工作办公室），副科级工作机构1个（区人大常委会机关党委），事业机构1个（区人大常委会预算联网审查监督中心）。</w:t>
      </w:r>
    </w:p>
    <w:p>
      <w:pPr>
        <w:pStyle w:val="7"/>
        <w:keepNext w:val="0"/>
        <w:keepLines w:val="0"/>
        <w:pageBreakBefore w:val="0"/>
        <w:widowControl w:val="0"/>
        <w:kinsoku/>
        <w:wordWrap/>
        <w:overflowPunct/>
        <w:topLinePunct w:val="0"/>
        <w:autoSpaceDE w:val="0"/>
        <w:autoSpaceDN w:val="0"/>
        <w:bidi w:val="0"/>
        <w:adjustRightInd/>
        <w:snapToGrid/>
        <w:spacing w:before="0" w:beforeLines="0" w:line="540" w:lineRule="exact"/>
        <w:ind w:right="431" w:firstLine="640" w:firstLineChars="200"/>
        <w:textAlignment w:val="auto"/>
        <w:rPr>
          <w:rFonts w:hint="default"/>
        </w:rPr>
      </w:pPr>
      <w:r>
        <w:rPr>
          <w:rFonts w:hint="eastAsia" w:ascii="Times New Roman" w:hAnsi="Times New Roman" w:eastAsia="仿宋_GB2312" w:cs="Times New Roman"/>
          <w:kern w:val="0"/>
          <w:sz w:val="32"/>
          <w:szCs w:val="32"/>
          <w:lang w:val="en-US" w:eastAsia="zh-CN" w:bidi="ar-SA"/>
        </w:rPr>
        <w:t>区人大常委会办公室为一级预算单位，单位性质为行政单位，执行行政单位会计制度。</w:t>
      </w:r>
    </w:p>
    <w:p>
      <w:pPr>
        <w:keepNext w:val="0"/>
        <w:keepLines w:val="0"/>
        <w:pageBreakBefore w:val="0"/>
        <w:widowControl w:val="0"/>
        <w:kinsoku/>
        <w:wordWrap/>
        <w:overflowPunct/>
        <w:topLinePunct w:val="0"/>
        <w:autoSpaceDE/>
        <w:autoSpaceDN/>
        <w:bidi w:val="0"/>
        <w:spacing w:line="54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二</w:t>
      </w:r>
      <w:r>
        <w:rPr>
          <w:rFonts w:hint="default" w:ascii="Times New Roman" w:hAnsi="Times New Roman" w:eastAsia="仿宋_GB2312" w:cs="Times New Roman"/>
          <w:kern w:val="0"/>
          <w:sz w:val="32"/>
          <w:szCs w:val="32"/>
          <w:lang w:val="en-US" w:eastAsia="zh-CN" w:bidi="ar-SA"/>
        </w:rPr>
        <w:t>）机构职能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根据宪法和地方组织法的规定：“地方各级人民代表大会是地方国家权力机关”、“县级以上的地方各级人民代表大会常务委员会是本级人民代表大会的常设机构”，《中华人民共和国宪法》第104条和新修订的《中华人民共和国地方各级人民代表大会和地方各级人民政府组织法》第50条赋予地方各级人大常委会在本级人民代表大会闭会期间，行使18项职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三</w:t>
      </w:r>
      <w:r>
        <w:rPr>
          <w:rFonts w:hint="default" w:ascii="Times New Roman" w:hAnsi="Times New Roman" w:eastAsia="仿宋_GB2312" w:cs="Times New Roman"/>
          <w:kern w:val="0"/>
          <w:sz w:val="32"/>
          <w:szCs w:val="32"/>
          <w:lang w:val="en-US" w:eastAsia="zh-CN" w:bidi="ar-SA"/>
        </w:rPr>
        <w:t>）人员概况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年底决算实有在职编制内人员</w:t>
      </w:r>
      <w:r>
        <w:rPr>
          <w:rFonts w:hint="eastAsia" w:ascii="Times New Roman" w:hAnsi="Times New Roman" w:eastAsia="仿宋_GB2312" w:cs="Times New Roman"/>
          <w:kern w:val="0"/>
          <w:sz w:val="32"/>
          <w:szCs w:val="32"/>
          <w:lang w:val="en-US" w:eastAsia="zh-CN" w:bidi="ar-SA"/>
        </w:rPr>
        <w:t>47</w:t>
      </w:r>
      <w:r>
        <w:rPr>
          <w:rFonts w:hint="default" w:ascii="Times New Roman" w:hAnsi="Times New Roman" w:eastAsia="仿宋_GB2312" w:cs="Times New Roman"/>
          <w:kern w:val="0"/>
          <w:sz w:val="32"/>
          <w:szCs w:val="32"/>
          <w:lang w:val="en-US" w:eastAsia="zh-CN" w:bidi="ar-SA"/>
        </w:rPr>
        <w:t>人，较去年</w:t>
      </w:r>
      <w:r>
        <w:rPr>
          <w:rFonts w:hint="eastAsia" w:ascii="Times New Roman" w:hAnsi="Times New Roman" w:eastAsia="仿宋_GB2312" w:cs="Times New Roman"/>
          <w:kern w:val="0"/>
          <w:sz w:val="32"/>
          <w:szCs w:val="32"/>
          <w:lang w:val="en-US" w:eastAsia="zh-CN" w:bidi="ar-SA"/>
        </w:rPr>
        <w:t>35</w:t>
      </w:r>
      <w:r>
        <w:rPr>
          <w:rFonts w:hint="default" w:ascii="Times New Roman" w:hAnsi="Times New Roman" w:eastAsia="仿宋_GB2312" w:cs="Times New Roman"/>
          <w:kern w:val="0"/>
          <w:sz w:val="32"/>
          <w:szCs w:val="32"/>
          <w:lang w:val="en-US" w:eastAsia="zh-CN" w:bidi="ar-SA"/>
        </w:rPr>
        <w:t>人</w:t>
      </w:r>
      <w:r>
        <w:rPr>
          <w:rFonts w:hint="eastAsia" w:ascii="Times New Roman" w:hAnsi="Times New Roman" w:eastAsia="仿宋_GB2312" w:cs="Times New Roman"/>
          <w:kern w:val="0"/>
          <w:sz w:val="32"/>
          <w:szCs w:val="32"/>
          <w:lang w:val="en-US" w:eastAsia="zh-CN" w:bidi="ar-SA"/>
        </w:rPr>
        <w:t>增加了12</w:t>
      </w:r>
      <w:r>
        <w:rPr>
          <w:rFonts w:hint="default" w:ascii="Times New Roman" w:hAnsi="Times New Roman" w:eastAsia="仿宋_GB2312" w:cs="Times New Roman"/>
          <w:kern w:val="0"/>
          <w:sz w:val="32"/>
          <w:szCs w:val="32"/>
          <w:lang w:val="en-US" w:eastAsia="zh-CN" w:bidi="ar-SA"/>
        </w:rPr>
        <w:t>人，其中：行政人员</w:t>
      </w:r>
      <w:r>
        <w:rPr>
          <w:rFonts w:hint="eastAsia" w:ascii="Times New Roman" w:hAnsi="Times New Roman" w:eastAsia="仿宋_GB2312" w:cs="Times New Roman"/>
          <w:kern w:val="0"/>
          <w:sz w:val="32"/>
          <w:szCs w:val="32"/>
          <w:lang w:val="en-US" w:eastAsia="zh-CN" w:bidi="ar-SA"/>
        </w:rPr>
        <w:t>44</w:t>
      </w:r>
      <w:r>
        <w:rPr>
          <w:rFonts w:hint="default" w:ascii="Times New Roman" w:hAnsi="Times New Roman" w:eastAsia="仿宋_GB2312" w:cs="Times New Roman"/>
          <w:kern w:val="0"/>
          <w:sz w:val="32"/>
          <w:szCs w:val="32"/>
          <w:lang w:val="en-US" w:eastAsia="zh-CN" w:bidi="ar-SA"/>
        </w:rPr>
        <w:t>人，其他事业人员</w:t>
      </w:r>
      <w:r>
        <w:rPr>
          <w:rFonts w:hint="eastAsia"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val="en-US" w:eastAsia="zh-CN" w:bidi="ar-SA"/>
        </w:rPr>
        <w:t>人。</w:t>
      </w:r>
    </w:p>
    <w:p>
      <w:pPr>
        <w:keepNext w:val="0"/>
        <w:keepLines w:val="0"/>
        <w:pageBreakBefore w:val="0"/>
        <w:widowControl w:val="0"/>
        <w:numPr>
          <w:ilvl w:val="0"/>
          <w:numId w:val="5"/>
        </w:numPr>
        <w:kinsoku/>
        <w:wordWrap/>
        <w:overflowPunct/>
        <w:topLinePunct w:val="0"/>
        <w:autoSpaceDE/>
        <w:autoSpaceDN/>
        <w:bidi w:val="0"/>
        <w:spacing w:beforeAutospacing="0" w:line="540" w:lineRule="exact"/>
        <w:ind w:left="0" w:leftChars="0" w:right="0" w:firstLine="640" w:firstLineChars="200"/>
        <w:jc w:val="both"/>
        <w:textAlignment w:val="auto"/>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eastAsia="zh-CN"/>
        </w:rPr>
        <w:t>单位</w:t>
      </w:r>
      <w:r>
        <w:rPr>
          <w:rFonts w:hint="default" w:ascii="Times New Roman" w:hAnsi="Times New Roman" w:eastAsia="黑体" w:cs="Times New Roman"/>
          <w:b w:val="0"/>
          <w:bCs/>
          <w:sz w:val="32"/>
          <w:szCs w:val="32"/>
        </w:rPr>
        <w:t>财政</w:t>
      </w:r>
      <w:r>
        <w:rPr>
          <w:rFonts w:hint="eastAsia" w:ascii="Times New Roman" w:hAnsi="Times New Roman" w:eastAsia="黑体" w:cs="Times New Roman"/>
          <w:b w:val="0"/>
          <w:bCs/>
          <w:sz w:val="32"/>
          <w:szCs w:val="32"/>
          <w:lang w:eastAsia="zh-CN"/>
        </w:rPr>
        <w:t>收支</w:t>
      </w:r>
      <w:r>
        <w:rPr>
          <w:rFonts w:hint="default" w:ascii="Times New Roman" w:hAnsi="Times New Roman" w:eastAsia="黑体" w:cs="Times New Roman"/>
          <w:b w:val="0"/>
          <w:bCs/>
          <w:sz w:val="32"/>
          <w:szCs w:val="32"/>
        </w:rPr>
        <w:t>情况</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（一）单位财政资金收入情况</w:t>
      </w:r>
    </w:p>
    <w:p>
      <w:pPr>
        <w:pStyle w:val="14"/>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2022</w:t>
      </w:r>
      <w:r>
        <w:rPr>
          <w:rFonts w:hint="eastAsia" w:ascii="Times New Roman" w:hAnsi="Times New Roman" w:eastAsia="仿宋_GB2312" w:cs="Times New Roman"/>
          <w:kern w:val="0"/>
          <w:sz w:val="32"/>
          <w:szCs w:val="32"/>
          <w:lang w:val="en-US" w:eastAsia="zh-CN" w:bidi="ar-SA"/>
        </w:rPr>
        <w:t>年初财政批复预算收入1247.43万元（其中：基本支出938.21万元、项目支出309.22万元）；年度执行中追加工作经费88.57万元，全年收入合计1336万元，其中：基本支出1026.78万元，项目支出309.22万元。</w:t>
      </w:r>
    </w:p>
    <w:p>
      <w:pPr>
        <w:keepNext w:val="0"/>
        <w:keepLines w:val="0"/>
        <w:pageBreakBefore w:val="0"/>
        <w:widowControl w:val="0"/>
        <w:numPr>
          <w:ilvl w:val="0"/>
          <w:numId w:val="0"/>
        </w:numPr>
        <w:kinsoku/>
        <w:wordWrap/>
        <w:overflowPunct w:val="0"/>
        <w:topLinePunct w:val="0"/>
        <w:autoSpaceDE/>
        <w:autoSpaceDN/>
        <w:bidi w:val="0"/>
        <w:spacing w:line="54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（二）单位财政支出情况</w:t>
      </w:r>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kern w:val="0"/>
          <w:sz w:val="32"/>
          <w:szCs w:val="32"/>
          <w:lang w:val="en-US" w:eastAsia="zh-CN" w:bidi="ar-SA"/>
        </w:rPr>
        <w:t>2022</w:t>
      </w:r>
      <w:r>
        <w:rPr>
          <w:rFonts w:hint="eastAsia" w:ascii="Times New Roman" w:hAnsi="Times New Roman" w:eastAsia="仿宋_GB2312" w:cs="Times New Roman"/>
          <w:kern w:val="0"/>
          <w:sz w:val="32"/>
          <w:szCs w:val="32"/>
          <w:lang w:val="en-US" w:eastAsia="zh-CN" w:bidi="ar-SA"/>
        </w:rPr>
        <w:t>年度本年支出合计1336万元，其中：基本支出1026.78万元，项目支出309.22万元</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主要用于以下</w:t>
      </w:r>
      <w:r>
        <w:rPr>
          <w:rFonts w:hint="eastAsia" w:ascii="Times New Roman" w:hAnsi="Times New Roman" w:eastAsia="仿宋_GB2312" w:cs="Times New Roman"/>
          <w:color w:val="000000"/>
          <w:kern w:val="2"/>
          <w:sz w:val="32"/>
          <w:szCs w:val="32"/>
          <w:lang w:val="en-US" w:eastAsia="zh-CN" w:bidi="ar-SA"/>
        </w:rPr>
        <w:t>方面</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行使好决定权、监督权、任免权等职能职权；做好人大会议、信访、调研、视察，</w:t>
      </w:r>
      <w:r>
        <w:rPr>
          <w:rFonts w:hint="eastAsia" w:ascii="Times New Roman" w:hAnsi="Times New Roman" w:eastAsia="仿宋_GB2312" w:cs="Times New Roman"/>
          <w:color w:val="auto"/>
          <w:kern w:val="2"/>
          <w:sz w:val="32"/>
          <w:szCs w:val="32"/>
          <w:highlight w:val="none"/>
          <w:lang w:val="en-US" w:eastAsia="zh-CN" w:bidi="ar-SA"/>
        </w:rPr>
        <w:t>执法检查、民生实事项目、</w:t>
      </w:r>
      <w:r>
        <w:rPr>
          <w:rFonts w:hint="default" w:ascii="Times New Roman" w:hAnsi="Times New Roman" w:eastAsia="仿宋_GB2312" w:cs="Times New Roman"/>
          <w:color w:val="auto"/>
          <w:kern w:val="2"/>
          <w:sz w:val="32"/>
          <w:szCs w:val="32"/>
          <w:highlight w:val="none"/>
          <w:lang w:val="en-US" w:eastAsia="zh-CN" w:bidi="ar-SA"/>
        </w:rPr>
        <w:t>人大代表管理，退休干部管理</w:t>
      </w:r>
      <w:r>
        <w:rPr>
          <w:rFonts w:hint="eastAsia" w:ascii="Times New Roman" w:hAnsi="Times New Roman" w:eastAsia="仿宋_GB2312" w:cs="Times New Roman"/>
          <w:color w:val="auto"/>
          <w:kern w:val="2"/>
          <w:sz w:val="32"/>
          <w:szCs w:val="32"/>
          <w:highlight w:val="none"/>
          <w:lang w:val="en-US" w:eastAsia="zh-CN" w:bidi="ar-SA"/>
        </w:rPr>
        <w:t>、乡村振兴</w:t>
      </w:r>
      <w:r>
        <w:rPr>
          <w:rFonts w:hint="default" w:ascii="Times New Roman" w:hAnsi="Times New Roman" w:eastAsia="仿宋_GB2312" w:cs="Times New Roman"/>
          <w:color w:val="auto"/>
          <w:kern w:val="2"/>
          <w:sz w:val="32"/>
          <w:szCs w:val="32"/>
          <w:highlight w:val="none"/>
          <w:lang w:val="en-US" w:eastAsia="zh-CN" w:bidi="ar-SA"/>
        </w:rPr>
        <w:t>等工作。</w:t>
      </w:r>
    </w:p>
    <w:p>
      <w:pPr>
        <w:pStyle w:val="7"/>
        <w:keepNext w:val="0"/>
        <w:keepLines w:val="0"/>
        <w:pageBreakBefore w:val="0"/>
        <w:widowControl w:val="0"/>
        <w:kinsoku/>
        <w:wordWrap/>
        <w:overflowPunct/>
        <w:topLinePunct w:val="0"/>
        <w:autoSpaceDE w:val="0"/>
        <w:autoSpaceDN w:val="0"/>
        <w:bidi w:val="0"/>
        <w:adjustRightInd/>
        <w:snapToGrid/>
        <w:spacing w:before="0" w:beforeLines="0" w:line="540" w:lineRule="exact"/>
        <w:ind w:left="0" w:right="0" w:firstLine="5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三、部门整体预算绩效管理情况</w:t>
      </w:r>
    </w:p>
    <w:p>
      <w:pPr>
        <w:pStyle w:val="7"/>
        <w:keepNext w:val="0"/>
        <w:keepLines w:val="0"/>
        <w:pageBreakBefore w:val="0"/>
        <w:widowControl w:val="0"/>
        <w:kinsoku/>
        <w:wordWrap/>
        <w:overflowPunct/>
        <w:topLinePunct w:val="0"/>
        <w:autoSpaceDE w:val="0"/>
        <w:autoSpaceDN w:val="0"/>
        <w:bidi w:val="0"/>
        <w:adjustRightInd/>
        <w:snapToGrid/>
        <w:spacing w:before="0" w:beforeLines="0" w:line="540" w:lineRule="exact"/>
        <w:ind w:left="74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（一）部门预算项目绩效管理</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b w:val="0"/>
          <w:bCs w:val="0"/>
          <w:sz w:val="32"/>
          <w:szCs w:val="32"/>
          <w:lang w:val="en-US" w:eastAsia="zh-CN"/>
        </w:rPr>
        <w:t>1</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部门绩效目标制定其情况</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kern w:val="0"/>
          <w:sz w:val="32"/>
          <w:szCs w:val="32"/>
          <w:lang w:val="en-US" w:eastAsia="zh-CN" w:bidi="ar-SA"/>
        </w:rPr>
        <w:t>我办高度重视预算绩效管理工作，</w:t>
      </w:r>
      <w:r>
        <w:rPr>
          <w:rFonts w:hint="default" w:ascii="Times New Roman" w:hAnsi="Times New Roman" w:eastAsia="仿宋_GB2312" w:cs="Times New Roman"/>
          <w:kern w:val="0"/>
          <w:sz w:val="32"/>
          <w:szCs w:val="32"/>
          <w:lang w:val="en-US" w:eastAsia="zh-CN" w:bidi="ar-SA"/>
        </w:rPr>
        <w:t>依据</w:t>
      </w:r>
      <w:r>
        <w:rPr>
          <w:rFonts w:hint="eastAsia" w:ascii="Times New Roman" w:hAnsi="Times New Roman" w:eastAsia="仿宋_GB2312" w:cs="Times New Roman"/>
          <w:kern w:val="0"/>
          <w:sz w:val="32"/>
          <w:szCs w:val="32"/>
          <w:lang w:val="en-US" w:eastAsia="zh-CN" w:bidi="ar-SA"/>
        </w:rPr>
        <w:t>区委区政府下达的年度综合目标任务结合我办职能职责，从产出指标、效益指标、满意度指标等方面制定了绩效目标，全面实现了要素完整、指标细化量化的具体要求，机关党组会议讨论通过后进行了申报。</w:t>
      </w:r>
      <w:r>
        <w:rPr>
          <w:rFonts w:hint="default" w:ascii="Times New Roman" w:hAnsi="Times New Roman" w:eastAsia="仿宋_GB2312" w:cs="Times New Roman"/>
          <w:color w:val="auto"/>
          <w:kern w:val="2"/>
          <w:sz w:val="32"/>
          <w:szCs w:val="32"/>
          <w:highlight w:val="none"/>
          <w:lang w:val="en-US" w:eastAsia="zh-CN" w:bidi="ar-SA"/>
        </w:rPr>
        <w:t>部门预算项目绩效稳步推进，保障了工作的正常运转，在工作中继续发挥</w:t>
      </w:r>
      <w:r>
        <w:rPr>
          <w:rFonts w:hint="eastAsia" w:ascii="Times New Roman" w:hAnsi="Times New Roman" w:eastAsia="仿宋_GB2312" w:cs="Times New Roman"/>
          <w:color w:val="auto"/>
          <w:kern w:val="2"/>
          <w:sz w:val="32"/>
          <w:szCs w:val="32"/>
          <w:highlight w:val="none"/>
          <w:lang w:val="en-US" w:eastAsia="zh-CN" w:bidi="ar-SA"/>
        </w:rPr>
        <w:t>人大</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立法权、决定权、任免权和监督权等几</w:t>
      </w:r>
      <w:r>
        <w:rPr>
          <w:rFonts w:hint="default" w:ascii="Times New Roman" w:hAnsi="Times New Roman" w:eastAsia="仿宋_GB2312" w:cs="Times New Roman"/>
          <w:color w:val="auto"/>
          <w:kern w:val="2"/>
          <w:sz w:val="32"/>
          <w:szCs w:val="32"/>
          <w:highlight w:val="none"/>
          <w:lang w:val="en-US" w:eastAsia="zh-CN" w:bidi="ar-SA"/>
        </w:rPr>
        <w:t>大职能，组织和引导</w:t>
      </w:r>
      <w:r>
        <w:rPr>
          <w:rFonts w:hint="eastAsia" w:ascii="Times New Roman" w:hAnsi="Times New Roman" w:eastAsia="仿宋_GB2312" w:cs="Times New Roman"/>
          <w:color w:val="auto"/>
          <w:kern w:val="2"/>
          <w:sz w:val="32"/>
          <w:szCs w:val="32"/>
          <w:highlight w:val="none"/>
          <w:lang w:val="en-US" w:eastAsia="zh-CN" w:bidi="ar-SA"/>
        </w:rPr>
        <w:t>人大代表</w:t>
      </w:r>
      <w:r>
        <w:rPr>
          <w:rFonts w:hint="default" w:ascii="Times New Roman" w:hAnsi="Times New Roman" w:eastAsia="仿宋_GB2312" w:cs="Times New Roman"/>
          <w:color w:val="auto"/>
          <w:kern w:val="2"/>
          <w:sz w:val="32"/>
          <w:szCs w:val="32"/>
          <w:highlight w:val="none"/>
          <w:lang w:val="en-US" w:eastAsia="zh-CN" w:bidi="ar-SA"/>
        </w:rPr>
        <w:t>对全区重要举措以及经济建设、政治建设、文化建设、社会建设、生态文明建设中的重要问题，通过提出建议</w:t>
      </w:r>
      <w:r>
        <w:rPr>
          <w:rFonts w:hint="eastAsia" w:ascii="Times New Roman" w:hAnsi="Times New Roman" w:eastAsia="仿宋_GB2312" w:cs="Times New Roman"/>
          <w:color w:val="auto"/>
          <w:kern w:val="2"/>
          <w:sz w:val="32"/>
          <w:szCs w:val="32"/>
          <w:highlight w:val="none"/>
          <w:lang w:val="en-US" w:eastAsia="zh-CN" w:bidi="ar-SA"/>
        </w:rPr>
        <w:t>、表决、质询、提案等</w:t>
      </w:r>
      <w:r>
        <w:rPr>
          <w:rFonts w:hint="default" w:ascii="Times New Roman" w:hAnsi="Times New Roman" w:eastAsia="仿宋_GB2312" w:cs="Times New Roman"/>
          <w:color w:val="auto"/>
          <w:kern w:val="2"/>
          <w:sz w:val="32"/>
          <w:szCs w:val="32"/>
          <w:highlight w:val="none"/>
          <w:lang w:val="en-US" w:eastAsia="zh-CN" w:bidi="ar-SA"/>
        </w:rPr>
        <w:t>方式进行</w:t>
      </w:r>
      <w:r>
        <w:rPr>
          <w:rFonts w:hint="eastAsia" w:ascii="Times New Roman" w:hAnsi="Times New Roman" w:eastAsia="仿宋_GB2312" w:cs="Times New Roman"/>
          <w:color w:val="auto"/>
          <w:kern w:val="2"/>
          <w:sz w:val="32"/>
          <w:szCs w:val="32"/>
          <w:highlight w:val="none"/>
          <w:lang w:val="en-US" w:eastAsia="zh-CN" w:bidi="ar-SA"/>
        </w:rPr>
        <w:t>监督</w:t>
      </w:r>
      <w:r>
        <w:rPr>
          <w:rFonts w:hint="default" w:ascii="Times New Roman" w:hAnsi="Times New Roman" w:eastAsia="仿宋_GB2312" w:cs="Times New Roman"/>
          <w:color w:val="auto"/>
          <w:kern w:val="2"/>
          <w:sz w:val="32"/>
          <w:szCs w:val="32"/>
          <w:highlight w:val="none"/>
          <w:lang w:val="en-US" w:eastAsia="zh-CN" w:bidi="ar-SA"/>
        </w:rPr>
        <w:t>。围绕年初重点工作计划组织</w:t>
      </w:r>
      <w:r>
        <w:rPr>
          <w:rFonts w:hint="eastAsia" w:ascii="Times New Roman" w:hAnsi="Times New Roman" w:eastAsia="仿宋_GB2312" w:cs="Times New Roman"/>
          <w:color w:val="auto"/>
          <w:kern w:val="2"/>
          <w:sz w:val="32"/>
          <w:szCs w:val="32"/>
          <w:highlight w:val="none"/>
          <w:lang w:val="en-US" w:eastAsia="zh-CN" w:bidi="ar-SA"/>
        </w:rPr>
        <w:t>人大代表</w:t>
      </w:r>
      <w:r>
        <w:rPr>
          <w:rFonts w:hint="default" w:ascii="Times New Roman" w:hAnsi="Times New Roman" w:eastAsia="仿宋_GB2312" w:cs="Times New Roman"/>
          <w:color w:val="auto"/>
          <w:kern w:val="2"/>
          <w:sz w:val="32"/>
          <w:szCs w:val="32"/>
          <w:highlight w:val="none"/>
          <w:lang w:val="en-US" w:eastAsia="zh-CN" w:bidi="ar-SA"/>
        </w:rPr>
        <w:t>开展视察调研活动，收集</w:t>
      </w:r>
      <w:r>
        <w:rPr>
          <w:rFonts w:hint="eastAsia" w:ascii="Times New Roman" w:hAnsi="Times New Roman" w:eastAsia="仿宋_GB2312" w:cs="Times New Roman"/>
          <w:color w:val="auto"/>
          <w:kern w:val="2"/>
          <w:sz w:val="32"/>
          <w:szCs w:val="32"/>
          <w:highlight w:val="none"/>
          <w:lang w:val="en-US" w:eastAsia="zh-CN" w:bidi="ar-SA"/>
        </w:rPr>
        <w:t>意见建议</w:t>
      </w:r>
      <w:r>
        <w:rPr>
          <w:rFonts w:hint="default" w:ascii="Times New Roman" w:hAnsi="Times New Roman" w:eastAsia="仿宋_GB2312" w:cs="Times New Roman"/>
          <w:color w:val="auto"/>
          <w:kern w:val="2"/>
          <w:sz w:val="32"/>
          <w:szCs w:val="32"/>
          <w:highlight w:val="none"/>
          <w:lang w:val="en-US" w:eastAsia="zh-CN" w:bidi="ar-SA"/>
        </w:rPr>
        <w:t>，积极为昭化区经济社会的发展建言献策，不断提高社会对</w:t>
      </w:r>
      <w:r>
        <w:rPr>
          <w:rFonts w:hint="eastAsia" w:ascii="Times New Roman" w:hAnsi="Times New Roman" w:eastAsia="仿宋_GB2312" w:cs="Times New Roman"/>
          <w:color w:val="auto"/>
          <w:kern w:val="2"/>
          <w:sz w:val="32"/>
          <w:szCs w:val="32"/>
          <w:highlight w:val="none"/>
          <w:lang w:val="en-US" w:eastAsia="zh-CN" w:bidi="ar-SA"/>
        </w:rPr>
        <w:t>人大</w:t>
      </w:r>
      <w:r>
        <w:rPr>
          <w:rFonts w:hint="default" w:ascii="Times New Roman" w:hAnsi="Times New Roman" w:eastAsia="仿宋_GB2312" w:cs="Times New Roman"/>
          <w:color w:val="auto"/>
          <w:kern w:val="2"/>
          <w:sz w:val="32"/>
          <w:szCs w:val="32"/>
          <w:highlight w:val="none"/>
          <w:lang w:val="en-US" w:eastAsia="zh-CN" w:bidi="ar-SA"/>
        </w:rPr>
        <w:t>工作的满意度。部门预算项目绩效管理有序，资金分配严格按照财政预算及实际工作需要，按照项目的进度情况，合理安排，资金使用严格按照规范程序申请、管理和使用。通过项目的实施，充分保障了各项工作需求，提高干部职工的工作积极性，确保</w:t>
      </w:r>
      <w:r>
        <w:rPr>
          <w:rFonts w:hint="eastAsia" w:ascii="Times New Roman" w:hAnsi="Times New Roman" w:eastAsia="仿宋_GB2312" w:cs="Times New Roman"/>
          <w:color w:val="auto"/>
          <w:kern w:val="2"/>
          <w:sz w:val="32"/>
          <w:szCs w:val="32"/>
          <w:highlight w:val="none"/>
          <w:lang w:val="en-US" w:eastAsia="zh-CN" w:bidi="ar-SA"/>
        </w:rPr>
        <w:t>人大机会议、视察、调研、监督、执法检查、信访、专委会、民生实事项目、代表联络等</w:t>
      </w:r>
      <w:r>
        <w:rPr>
          <w:rFonts w:hint="default" w:ascii="Times New Roman" w:hAnsi="Times New Roman" w:eastAsia="仿宋_GB2312" w:cs="Times New Roman"/>
          <w:color w:val="auto"/>
          <w:kern w:val="2"/>
          <w:sz w:val="32"/>
          <w:szCs w:val="32"/>
          <w:highlight w:val="none"/>
          <w:lang w:val="en-US" w:eastAsia="zh-CN" w:bidi="ar-SA"/>
        </w:rPr>
        <w:t>工作任务的落实，有效推动了全区经济社会发展。</w:t>
      </w:r>
    </w:p>
    <w:p>
      <w:pPr>
        <w:pStyle w:val="27"/>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40" w:lineRule="exact"/>
        <w:ind w:right="0" w:rightChars="0" w:firstLine="640" w:firstLineChars="200"/>
        <w:jc w:val="left"/>
        <w:textAlignment w:val="auto"/>
        <w:rPr>
          <w:rFonts w:hint="eastAsia" w:ascii="Times New Roman" w:hAnsi="Times New Roman" w:eastAsia="仿宋_GB2312" w:cs="Times New Roman"/>
          <w:kern w:val="0"/>
          <w:sz w:val="32"/>
          <w:lang w:eastAsia="zh-CN"/>
        </w:rPr>
      </w:pPr>
      <w:r>
        <w:rPr>
          <w:rFonts w:hint="eastAsia" w:ascii="Times New Roman" w:hAnsi="Times New Roman" w:eastAsia="仿宋_GB2312" w:cs="Times New Roman"/>
          <w:color w:val="auto"/>
          <w:kern w:val="2"/>
          <w:sz w:val="32"/>
          <w:szCs w:val="32"/>
          <w:highlight w:val="none"/>
          <w:lang w:val="en-US" w:eastAsia="zh-CN" w:bidi="ar-SA"/>
        </w:rPr>
        <w:t>2.部门绩效目标实现情况。一是人员类绩效目标实现情况，人员类支出953.28万元，主要包括:基本工资、津贴补贴、奖金、机关事业单位基本养老保险缴费、职业年金缴费、职工基本医疗保险缴费、其他社会保障缴费、住房公积金、其他工资福利支出和对个人和家庭的补助。该项经费有效保障了干部职工</w:t>
      </w:r>
      <w:r>
        <w:rPr>
          <w:rFonts w:hint="eastAsia" w:ascii="仿宋_GB2312" w:hAnsi="仿宋_GB2312" w:eastAsia="仿宋_GB2312" w:cs="仿宋_GB2312"/>
          <w:b w:val="0"/>
          <w:bCs w:val="0"/>
          <w:sz w:val="32"/>
          <w:szCs w:val="32"/>
          <w:highlight w:val="none"/>
          <w:lang w:val="en-US" w:eastAsia="zh-CN"/>
        </w:rPr>
        <w:t>的工资福利和对个人家庭的补助资金，人员经费发放及时</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单位职工满意度为100%，圆满完成了人员经费的绩效目标任务。二是运转类经费绩效目标实现情况，单位定额公用经费及其他运转类经费，共计支出73.5万元，主要用于保障单位运转及工作开展的水电、办公、打印、差旅等费用支出，</w:t>
      </w:r>
      <w:r>
        <w:rPr>
          <w:rFonts w:hint="eastAsia" w:ascii="仿宋_GB2312" w:hAnsi="仿宋_GB2312" w:eastAsia="仿宋_GB2312" w:cs="仿宋_GB2312"/>
          <w:b w:val="0"/>
          <w:bCs w:val="0"/>
          <w:sz w:val="32"/>
          <w:szCs w:val="32"/>
          <w:highlight w:val="none"/>
          <w:lang w:eastAsia="zh-CN"/>
        </w:rPr>
        <w:t>部门</w:t>
      </w:r>
      <w:r>
        <w:rPr>
          <w:rFonts w:hint="eastAsia" w:ascii="仿宋_GB2312" w:hAnsi="仿宋_GB2312" w:eastAsia="仿宋_GB2312" w:cs="仿宋_GB2312"/>
          <w:b w:val="0"/>
          <w:bCs w:val="0"/>
          <w:sz w:val="32"/>
          <w:szCs w:val="32"/>
          <w:highlight w:val="none"/>
          <w:lang w:val="en-US" w:eastAsia="zh-CN"/>
        </w:rPr>
        <w:t>运转类目标绩效</w:t>
      </w:r>
      <w:r>
        <w:rPr>
          <w:rFonts w:hint="eastAsia" w:ascii="仿宋_GB2312" w:hAnsi="仿宋_GB2312" w:eastAsia="仿宋_GB2312" w:cs="仿宋_GB2312"/>
          <w:b w:val="0"/>
          <w:bCs w:val="0"/>
          <w:sz w:val="32"/>
          <w:szCs w:val="32"/>
          <w:highlight w:val="none"/>
          <w:lang w:eastAsia="zh-CN"/>
        </w:rPr>
        <w:t>良好，各项指标均达到预期效果。</w:t>
      </w:r>
      <w:r>
        <w:rPr>
          <w:rFonts w:hint="eastAsia" w:ascii="仿宋_GB2312" w:hAnsi="仿宋_GB2312" w:eastAsia="仿宋_GB2312" w:cs="仿宋_GB2312"/>
          <w:b w:val="0"/>
          <w:bCs w:val="0"/>
          <w:sz w:val="32"/>
          <w:szCs w:val="32"/>
          <w:highlight w:val="none"/>
          <w:lang w:val="en-US" w:eastAsia="zh-CN"/>
        </w:rPr>
        <w:t>三是项目类绩效目标实现情况，项目类支出309.22万元。</w:t>
      </w:r>
      <w:r>
        <w:rPr>
          <w:rFonts w:hint="eastAsia" w:ascii="仿宋_GB2312" w:hAnsi="仿宋_GB2312" w:eastAsia="仿宋_GB2312" w:cs="仿宋_GB2312"/>
          <w:b w:val="0"/>
          <w:bCs w:val="0"/>
          <w:sz w:val="32"/>
          <w:szCs w:val="32"/>
          <w:highlight w:val="none"/>
          <w:lang w:eastAsia="zh-CN"/>
        </w:rPr>
        <w:t>人大会议、人大业务、人大代表、机关管理、乡村振兴等工作开展顺利开展。</w:t>
      </w:r>
      <w:r>
        <w:rPr>
          <w:rFonts w:hint="default" w:ascii="仿宋_GB2312" w:hAnsi="仿宋_GB2312" w:eastAsia="仿宋_GB2312" w:cs="仿宋_GB2312"/>
          <w:b w:val="0"/>
          <w:bCs w:val="0"/>
          <w:sz w:val="32"/>
          <w:szCs w:val="32"/>
          <w:highlight w:val="none"/>
          <w:lang w:val="en-US" w:eastAsia="zh-CN"/>
        </w:rPr>
        <w:t>项目具有良好的经济、社会、生态效益</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广大群众满意度较高。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0"/>
          <w:sz w:val="32"/>
          <w:lang w:val="en-US" w:eastAsia="zh-CN"/>
        </w:rPr>
        <w:t>3.</w:t>
      </w:r>
      <w:r>
        <w:rPr>
          <w:rFonts w:hint="eastAsia" w:ascii="仿宋_GB2312" w:hAnsi="仿宋_GB2312" w:eastAsia="仿宋_GB2312" w:cs="仿宋_GB2312"/>
          <w:b w:val="0"/>
          <w:bCs w:val="0"/>
          <w:sz w:val="32"/>
          <w:szCs w:val="32"/>
        </w:rPr>
        <w:t>支出控制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部门预算日常公用经费、其他运转类中“办公费、印刷费、</w:t>
      </w:r>
      <w:r>
        <w:rPr>
          <w:rFonts w:hint="eastAsia" w:ascii="仿宋_GB2312" w:hAnsi="仿宋_GB2312" w:eastAsia="仿宋_GB2312" w:cs="仿宋_GB2312"/>
          <w:sz w:val="32"/>
          <w:szCs w:val="32"/>
          <w:lang w:eastAsia="zh-CN"/>
        </w:rPr>
        <w:t>差旅费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会议费、培训费、公务接待费</w:t>
      </w:r>
      <w:r>
        <w:rPr>
          <w:rFonts w:hint="eastAsia" w:ascii="仿宋_GB2312" w:hAnsi="仿宋_GB2312" w:eastAsia="仿宋_GB2312" w:cs="仿宋_GB2312"/>
          <w:sz w:val="32"/>
          <w:szCs w:val="32"/>
        </w:rPr>
        <w:t>”等科目预算数分别为：</w:t>
      </w:r>
      <w:r>
        <w:rPr>
          <w:rFonts w:hint="eastAsia" w:ascii="仿宋_GB2312" w:hAnsi="仿宋_GB2312" w:eastAsia="仿宋_GB2312" w:cs="仿宋_GB2312"/>
          <w:sz w:val="32"/>
          <w:szCs w:val="32"/>
          <w:lang w:val="en-US" w:eastAsia="zh-CN"/>
        </w:rPr>
        <w:t>89.3万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16.4万</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lang w:val="en-US" w:eastAsia="zh-CN"/>
        </w:rPr>
        <w:t>83万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68.82万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22万元、12.7万元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决算数分别为：</w:t>
      </w:r>
      <w:r>
        <w:rPr>
          <w:rFonts w:hint="eastAsia" w:ascii="仿宋_GB2312" w:hAnsi="仿宋_GB2312" w:eastAsia="仿宋_GB2312" w:cs="仿宋_GB2312"/>
          <w:sz w:val="32"/>
          <w:szCs w:val="32"/>
          <w:lang w:val="en-US" w:eastAsia="zh-CN"/>
        </w:rPr>
        <w:t>76.6万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23.9万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87万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69万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22.4万元、12.6万元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按照权重不同综合计算，预决算偏差度为0.25%。我办绩效监控调整取消额与结余注销额均为零。</w:t>
      </w:r>
    </w:p>
    <w:p>
      <w:pPr>
        <w:pStyle w:val="27"/>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4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lang w:val="en-US" w:eastAsia="zh-CN"/>
        </w:rPr>
        <w:t>4.</w:t>
      </w:r>
      <w:r>
        <w:rPr>
          <w:rFonts w:hint="eastAsia" w:ascii="仿宋_GB2312" w:hAnsi="仿宋_GB2312" w:eastAsia="仿宋_GB2312" w:cs="仿宋_GB2312"/>
          <w:b w:val="0"/>
          <w:bCs w:val="0"/>
          <w:sz w:val="32"/>
          <w:szCs w:val="32"/>
        </w:rPr>
        <w:t>及时处置和执行进度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部门预算执行进度在6、9、11月达到序时进度的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0%、90%，即实际支出进度达到40%、6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5%、82.5%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6、9、11月部门预算执行进度达到量化指标。本部门预算项目年终12月预算执行进度达到100%。部门预算项目资金无结余。依据评价年度审计监督、财政检查结果，本单位预算管理方面无违纪违规问题。</w:t>
      </w:r>
    </w:p>
    <w:p>
      <w:pPr>
        <w:pStyle w:val="7"/>
        <w:keepNext w:val="0"/>
        <w:keepLines w:val="0"/>
        <w:pageBreakBefore w:val="0"/>
        <w:widowControl w:val="0"/>
        <w:kinsoku/>
        <w:wordWrap/>
        <w:overflowPunct/>
        <w:topLinePunct w:val="0"/>
        <w:autoSpaceDE w:val="0"/>
        <w:autoSpaceDN w:val="0"/>
        <w:bidi w:val="0"/>
        <w:adjustRightInd/>
        <w:snapToGrid/>
        <w:spacing w:before="0" w:beforeLines="0" w:line="540" w:lineRule="exact"/>
        <w:ind w:left="747"/>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（二）结果应用公开情况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内部应用：我</w:t>
      </w:r>
      <w:r>
        <w:rPr>
          <w:rFonts w:hint="eastAsia" w:cs="Times New Roman"/>
          <w:sz w:val="32"/>
          <w:szCs w:val="32"/>
          <w:lang w:val="en-US" w:eastAsia="zh-CN"/>
        </w:rPr>
        <w:t>办</w:t>
      </w:r>
      <w:r>
        <w:rPr>
          <w:rFonts w:hint="eastAsia" w:ascii="Times New Roman" w:hAnsi="Times New Roman" w:eastAsia="仿宋_GB2312" w:cs="Times New Roman"/>
          <w:sz w:val="32"/>
          <w:szCs w:val="32"/>
          <w:lang w:val="en-US" w:eastAsia="zh-CN"/>
        </w:rPr>
        <w:t>制定了《</w:t>
      </w:r>
      <w:r>
        <w:rPr>
          <w:rFonts w:hint="eastAsia" w:ascii="仿宋_GB2312" w:hAnsi="仿宋_GB2312" w:eastAsia="仿宋_GB2312" w:cs="仿宋_GB2312"/>
          <w:kern w:val="2"/>
          <w:sz w:val="32"/>
          <w:szCs w:val="32"/>
          <w:lang w:val="en-US" w:eastAsia="zh-CN" w:bidi="ar-SA"/>
        </w:rPr>
        <w:t>预算项目</w:t>
      </w:r>
      <w:r>
        <w:rPr>
          <w:rFonts w:hint="eastAsia" w:ascii="Times New Roman" w:hAnsi="Times New Roman" w:eastAsia="仿宋_GB2312" w:cs="Times New Roman"/>
          <w:sz w:val="32"/>
          <w:szCs w:val="32"/>
          <w:lang w:val="en-US" w:eastAsia="zh-CN"/>
        </w:rPr>
        <w:t>绩效管理制度及考核办法》，根据单位年度总体绩效目标，按照</w:t>
      </w:r>
      <w:r>
        <w:rPr>
          <w:rFonts w:hint="eastAsia" w:cs="Times New Roman"/>
          <w:sz w:val="32"/>
          <w:szCs w:val="32"/>
          <w:lang w:val="en-US" w:eastAsia="zh-CN"/>
        </w:rPr>
        <w:t>各</w:t>
      </w:r>
      <w:r>
        <w:rPr>
          <w:rFonts w:hint="eastAsia" w:ascii="Times New Roman" w:hAnsi="Times New Roman" w:eastAsia="仿宋_GB2312" w:cs="Times New Roman"/>
          <w:sz w:val="32"/>
          <w:szCs w:val="32"/>
          <w:lang w:val="en-US" w:eastAsia="zh-CN"/>
        </w:rPr>
        <w:t>委室的分工不同，我单位对各委室设定了绩效目标，制定了相匹配的考核办法，并在年终考核汇总后，成为单位绩效目标完成情况的基础。并为下年的绩效目标申报提供了可参考的指标。</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自评公开：按区财政局照财政统一安排，我</w:t>
      </w:r>
      <w:r>
        <w:rPr>
          <w:rFonts w:hint="eastAsia" w:cs="Times New Roman"/>
          <w:sz w:val="32"/>
          <w:szCs w:val="32"/>
          <w:lang w:val="en-US" w:eastAsia="zh-CN"/>
        </w:rPr>
        <w:t>办</w:t>
      </w:r>
      <w:r>
        <w:rPr>
          <w:rFonts w:hint="eastAsia" w:ascii="Times New Roman" w:hAnsi="Times New Roman" w:eastAsia="仿宋_GB2312" w:cs="Times New Roman"/>
          <w:sz w:val="32"/>
          <w:szCs w:val="32"/>
          <w:lang w:val="en-US" w:eastAsia="zh-CN"/>
        </w:rPr>
        <w:t>将相关绩效信息随同预算、决算公开在政府门户网站进行了公开</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topLinePunct w:val="0"/>
        <w:bidi w:val="0"/>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问题整改:根据上年度第三方绩效评价提出的项目实施进度缓慢的情况，我办加强了和项目方的对接，确保项目施工进度。  </w:t>
      </w:r>
    </w:p>
    <w:p>
      <w:pPr>
        <w:keepNext w:val="0"/>
        <w:keepLines w:val="0"/>
        <w:pageBreakBefore w:val="0"/>
        <w:widowControl w:val="0"/>
        <w:kinsoku/>
        <w:topLinePunct w:val="0"/>
        <w:bidi w:val="0"/>
        <w:spacing w:line="540" w:lineRule="exact"/>
        <w:ind w:firstLine="640" w:firstLineChars="200"/>
        <w:textAlignment w:val="auto"/>
        <w:rPr>
          <w:rFonts w:hint="eastAsia"/>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应用反馈:根据自评及第三方现场评价发现的问题及情况，我办及时进行了完善整改，目前单位绩效目标设置合理规范，绩效管理高效有序，绩效运行监督机制运行流畅。</w:t>
      </w:r>
    </w:p>
    <w:p>
      <w:pPr>
        <w:pStyle w:val="7"/>
        <w:keepNext w:val="0"/>
        <w:keepLines w:val="0"/>
        <w:pageBreakBefore w:val="0"/>
        <w:widowControl w:val="0"/>
        <w:kinsoku/>
        <w:wordWrap/>
        <w:overflowPunct/>
        <w:topLinePunct w:val="0"/>
        <w:autoSpaceDE w:val="0"/>
        <w:autoSpaceDN w:val="0"/>
        <w:bidi w:val="0"/>
        <w:adjustRightInd/>
        <w:snapToGrid/>
        <w:spacing w:before="0" w:beforeLines="0" w:line="540" w:lineRule="exact"/>
        <w:ind w:left="747"/>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（三）自评质量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按照2022年单位预算收支执行情况及单位绩效目标的编制、实施过程及完成情况，</w:t>
      </w:r>
      <w:r>
        <w:rPr>
          <w:rFonts w:hint="default" w:ascii="Times New Roman" w:hAnsi="Times New Roman" w:eastAsia="仿宋_GB2312" w:cs="Times New Roman"/>
          <w:kern w:val="2"/>
          <w:sz w:val="32"/>
          <w:szCs w:val="32"/>
          <w:lang w:val="en-US" w:eastAsia="zh-CN" w:bidi="ar-SA"/>
        </w:rPr>
        <w:t>强化管理，不断建立健全内部管理制度，梳理内部管理流程，整体支出管理水平得到提升，各项指标均达到了预期效果</w:t>
      </w:r>
      <w:r>
        <w:rPr>
          <w:rFonts w:hint="eastAsia" w:ascii="Times New Roman" w:hAnsi="Times New Roman" w:eastAsia="仿宋_GB2312" w:cs="Times New Roman"/>
          <w:kern w:val="2"/>
          <w:sz w:val="32"/>
          <w:szCs w:val="32"/>
          <w:lang w:val="en-US" w:eastAsia="zh-CN" w:bidi="ar-SA"/>
        </w:rPr>
        <w:t>，我办对绩效管理工作做了客观合理的自评。</w:t>
      </w:r>
    </w:p>
    <w:p>
      <w:pPr>
        <w:keepNext w:val="0"/>
        <w:keepLines w:val="0"/>
        <w:pageBreakBefore w:val="0"/>
        <w:widowControl w:val="0"/>
        <w:kinsoku/>
        <w:wordWrap/>
        <w:overflowPunct/>
        <w:topLinePunct w:val="0"/>
        <w:autoSpaceDE/>
        <w:autoSpaceDN/>
        <w:bidi w:val="0"/>
        <w:spacing w:beforeAutospacing="0" w:line="54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四、评价结论及建议</w:t>
      </w:r>
    </w:p>
    <w:p>
      <w:pPr>
        <w:keepNext w:val="0"/>
        <w:keepLines w:val="0"/>
        <w:pageBreakBefore w:val="0"/>
        <w:widowControl w:val="0"/>
        <w:kinsoku/>
        <w:wordWrap/>
        <w:overflowPunct/>
        <w:topLinePunct w:val="0"/>
        <w:autoSpaceDE/>
        <w:autoSpaceDN/>
        <w:bidi w:val="0"/>
        <w:spacing w:line="540" w:lineRule="exact"/>
        <w:ind w:left="0" w:leftChars="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（一）自评结论</w:t>
      </w:r>
    </w:p>
    <w:p>
      <w:pPr>
        <w:keepNext w:val="0"/>
        <w:keepLines w:val="0"/>
        <w:pageBreakBefore w:val="0"/>
        <w:widowControl w:val="0"/>
        <w:kinsoku/>
        <w:wordWrap/>
        <w:overflowPunct/>
        <w:topLinePunct w:val="0"/>
        <w:autoSpaceDE/>
        <w:autoSpaceDN/>
        <w:bidi w:val="0"/>
        <w:spacing w:before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年通过各项经费的使用，保障了干部职工的基本利益，提高了干部职工的工作积极性和责任心，保障了各项工作的高效进行，为单位高效运转提供了坚定保障，实现</w:t>
      </w:r>
      <w:r>
        <w:rPr>
          <w:rFonts w:hint="default" w:ascii="Times New Roman" w:hAnsi="Times New Roman" w:eastAsia="仿宋_GB2312" w:cs="Times New Roman"/>
          <w:color w:val="000000"/>
          <w:kern w:val="2"/>
          <w:sz w:val="32"/>
          <w:szCs w:val="32"/>
          <w:lang w:val="en-US" w:eastAsia="zh-CN" w:bidi="ar-SA"/>
        </w:rPr>
        <w:t>了年初制定的目标任务。从完成效果来看，较好的达到了预期目标。因此，从项目决策、项目管理、项目完成和项目效果来看，都较好地达到了预期的效果。经自评，我单位202</w:t>
      </w: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年部门整体支出绩效</w:t>
      </w:r>
      <w:r>
        <w:rPr>
          <w:rFonts w:hint="eastAsia" w:ascii="Times New Roman" w:hAnsi="Times New Roman" w:eastAsia="仿宋_GB2312" w:cs="Times New Roman"/>
          <w:color w:val="000000"/>
          <w:kern w:val="2"/>
          <w:sz w:val="32"/>
          <w:szCs w:val="32"/>
          <w:lang w:val="en-US" w:eastAsia="zh-CN" w:bidi="ar-SA"/>
        </w:rPr>
        <w:t>自评</w:t>
      </w:r>
      <w:r>
        <w:rPr>
          <w:rFonts w:hint="default" w:ascii="Times New Roman" w:hAnsi="Times New Roman" w:eastAsia="仿宋_GB2312" w:cs="Times New Roman"/>
          <w:color w:val="000000"/>
          <w:kern w:val="2"/>
          <w:sz w:val="32"/>
          <w:szCs w:val="32"/>
          <w:lang w:val="en-US" w:eastAsia="zh-CN" w:bidi="ar-SA"/>
        </w:rPr>
        <w:t>得分为95分，因此我单位202</w:t>
      </w: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年部门整体支出绩效</w:t>
      </w:r>
      <w:r>
        <w:rPr>
          <w:rFonts w:hint="eastAsia" w:ascii="Times New Roman" w:hAnsi="Times New Roman" w:eastAsia="仿宋_GB2312" w:cs="Times New Roman"/>
          <w:color w:val="000000"/>
          <w:kern w:val="2"/>
          <w:sz w:val="32"/>
          <w:szCs w:val="32"/>
          <w:lang w:val="en-US" w:eastAsia="zh-CN" w:bidi="ar-SA"/>
        </w:rPr>
        <w:t>自评结果</w:t>
      </w:r>
      <w:r>
        <w:rPr>
          <w:rFonts w:hint="default" w:ascii="Times New Roman" w:hAnsi="Times New Roman" w:eastAsia="仿宋_GB2312" w:cs="Times New Roman"/>
          <w:color w:val="000000"/>
          <w:kern w:val="2"/>
          <w:sz w:val="32"/>
          <w:szCs w:val="32"/>
          <w:lang w:val="en-US" w:eastAsia="zh-CN" w:bidi="ar-SA"/>
        </w:rPr>
        <w:t>为优秀。</w:t>
      </w:r>
    </w:p>
    <w:p>
      <w:pPr>
        <w:keepNext w:val="0"/>
        <w:keepLines w:val="0"/>
        <w:pageBreakBefore w:val="0"/>
        <w:widowControl w:val="0"/>
        <w:kinsoku/>
        <w:wordWrap/>
        <w:overflowPunct/>
        <w:topLinePunct w:val="0"/>
        <w:autoSpaceDE/>
        <w:autoSpaceDN/>
        <w:bidi w:val="0"/>
        <w:spacing w:line="540" w:lineRule="exact"/>
        <w:ind w:left="0" w:leftChars="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存在问题</w:t>
      </w:r>
    </w:p>
    <w:p>
      <w:pPr>
        <w:keepNext w:val="0"/>
        <w:keepLines w:val="0"/>
        <w:pageBreakBefore w:val="0"/>
        <w:widowControl w:val="0"/>
        <w:kinsoku/>
        <w:wordWrap/>
        <w:overflowPunct/>
        <w:topLinePunct w:val="0"/>
        <w:autoSpaceDE/>
        <w:autoSpaceDN/>
        <w:bidi w:val="0"/>
        <w:spacing w:before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预算编制精准性还有待进一步提高。在预算编制过程中与业务股室沟通不够，造成在开展过程中应急性时间较多，造成预算与实际支出费用存在偏差，在支出时也还存在申报计划是功能科目与实际支出不一致的情况，从而造成预算编制不够精确。</w:t>
      </w:r>
    </w:p>
    <w:p>
      <w:pPr>
        <w:keepNext w:val="0"/>
        <w:keepLines w:val="0"/>
        <w:pageBreakBefore w:val="0"/>
        <w:widowControl w:val="0"/>
        <w:kinsoku/>
        <w:wordWrap/>
        <w:overflowPunct/>
        <w:topLinePunct w:val="0"/>
        <w:autoSpaceDE/>
        <w:autoSpaceDN/>
        <w:bidi w:val="0"/>
        <w:spacing w:line="540" w:lineRule="exact"/>
        <w:ind w:left="0" w:leftChars="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改进建议</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一是加强财务管理。</w:t>
      </w:r>
      <w:r>
        <w:rPr>
          <w:rFonts w:hint="default" w:ascii="Times New Roman" w:hAnsi="Times New Roman" w:eastAsia="仿宋_GB2312" w:cs="Times New Roman"/>
          <w:color w:val="000000"/>
          <w:kern w:val="2"/>
          <w:sz w:val="32"/>
          <w:szCs w:val="32"/>
          <w:lang w:eastAsia="zh-CN"/>
        </w:rPr>
        <w:t>二是强化预算执行。三是优化绩效管理。四是确保</w:t>
      </w:r>
      <w:r>
        <w:rPr>
          <w:rFonts w:hint="default" w:ascii="Times New Roman" w:hAnsi="Times New Roman" w:eastAsia="仿宋_GB2312" w:cs="Times New Roman"/>
          <w:color w:val="000000"/>
          <w:kern w:val="2"/>
          <w:sz w:val="32"/>
          <w:szCs w:val="32"/>
        </w:rPr>
        <w:t>绩效目标</w:t>
      </w:r>
      <w:r>
        <w:rPr>
          <w:rFonts w:hint="default" w:ascii="Times New Roman" w:hAnsi="Times New Roman" w:eastAsia="仿宋_GB2312" w:cs="Times New Roman"/>
          <w:color w:val="000000"/>
          <w:kern w:val="2"/>
          <w:sz w:val="32"/>
          <w:szCs w:val="32"/>
          <w:lang w:eastAsia="zh-CN"/>
        </w:rPr>
        <w:t>。五是保障</w:t>
      </w:r>
      <w:r>
        <w:rPr>
          <w:rFonts w:hint="default" w:ascii="Times New Roman" w:hAnsi="Times New Roman" w:eastAsia="仿宋_GB2312" w:cs="Times New Roman"/>
          <w:color w:val="000000"/>
          <w:kern w:val="2"/>
          <w:sz w:val="32"/>
          <w:szCs w:val="32"/>
        </w:rPr>
        <w:t>资金安全。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附件:区人大常委会办公室2022年部门整体支出绩效自评表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kern w:val="0"/>
          <w:sz w:val="32"/>
        </w:rPr>
      </w:pP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rPr>
      </w:pPr>
    </w:p>
    <w:p>
      <w:r>
        <w:br w:type="page"/>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pPr>
    </w:p>
    <w:tbl>
      <w:tblPr>
        <w:tblStyle w:val="16"/>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584"/>
        <w:gridCol w:w="420"/>
        <w:gridCol w:w="1368"/>
        <w:gridCol w:w="929"/>
        <w:gridCol w:w="1052"/>
        <w:gridCol w:w="1219"/>
        <w:gridCol w:w="503"/>
        <w:gridCol w:w="1274"/>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932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广元市昭化区人民代表大会常务委员会办公室                  2022年部门整体支出绩效目标自评表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9320" w:type="dxa"/>
            <w:gridSpan w:val="10"/>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广元市昭化区人民代表大会常务委员会办公室</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1173"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78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0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全年预</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算数</w:t>
            </w:r>
          </w:p>
        </w:tc>
        <w:tc>
          <w:tcPr>
            <w:tcW w:w="12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1247.43</w:t>
            </w: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9"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17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92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9" w:type="dxa"/>
            <w:gridSpan w:val="3"/>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jc w:val="center"/>
        </w:trPr>
        <w:tc>
          <w:tcPr>
            <w:tcW w:w="5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3"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落实中央人大工作会议精神，在区委的坚强领导下，自觉担负起新时代赋予人大的历史使命，主动作为，奋发进取，坚定不移发展全过程人民民主，切实增强监督实效，强化代表履职担当，持之以恒建设“四个机关”，奋力谱写人大工作崭新篇章，为全面建设“四城新区”作出更大贡献。高质量完成区八届二次人代会、人大常委会、主任会议等的筹备、服务保障、会议召开及宣传工作；行使好决定权、监督权、任免权等职能职权；做好人大信访、调研、视察，人大代表管理，退休干部管理等工作。会议按期完成及时率达到100%，各项工作按期完成及时率达到100%，确保各部门及参会人员满意度均达到100%。</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通过各项经费的使用，保障了干部职工的基本利益，提高了干部职工的工作积极性和责任心，保障了各项工作的高效进行，为单位高效运转提供了坚定保障，实现了年初制定的目标任务。从完成效果来看，较好的达到了预期目标。因此，从项目决策、项目管理、项目完成和项目效果来看，都较好地达到了预期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5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部门整体绩效指标</w:t>
            </w:r>
          </w:p>
        </w:tc>
        <w:tc>
          <w:tcPr>
            <w:tcW w:w="100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人大常委会例会、主任会议次数</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12次</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异地人大代表工作站数量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预算执行在线监督一级预算单位数量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在职干部数量</w:t>
            </w:r>
          </w:p>
        </w:tc>
        <w:tc>
          <w:tcPr>
            <w:tcW w:w="172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专委会、委室数量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12个</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12个</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5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部门整体绩效指标</w:t>
            </w:r>
          </w:p>
        </w:tc>
        <w:tc>
          <w:tcPr>
            <w:tcW w:w="1004" w:type="dxa"/>
            <w:gridSpan w:val="2"/>
            <w:vMerge w:val="restart"/>
            <w:tcBorders>
              <w:top w:val="single" w:color="000000" w:sz="4" w:space="0"/>
              <w:left w:val="nil"/>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各项工作完成率</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left w:val="nil"/>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各项工作完成时间2022年1月至2022年12月</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资金拨付及时情况</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通过调研、视察等工作方式为民解难题办实事，助力产业发展，助农增收</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人大各项工作为改革发展稳定的重大问题、人民群众普遍关注的热点、难点问题，乡村振兴问题等提供有效数据</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各部门满意度</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单位日常公用保障成本控制额</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≤735000元</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≤735000元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人大会议、人大会议、业务、代表等工作成本控制</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≤3092160元</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≤3092160元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8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人员经费保障成本控制额</w:t>
            </w:r>
          </w:p>
        </w:tc>
        <w:tc>
          <w:tcPr>
            <w:tcW w:w="172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≤8647108.84元</w:t>
            </w:r>
          </w:p>
        </w:tc>
        <w:tc>
          <w:tcPr>
            <w:tcW w:w="12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≤8647108.84元</w:t>
            </w:r>
          </w:p>
        </w:tc>
        <w:tc>
          <w:tcPr>
            <w:tcW w:w="13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93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  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pPr>
        <w:pStyle w:val="7"/>
      </w:pPr>
    </w:p>
    <w:p/>
    <w:p>
      <w:pPr>
        <w:pStyle w:val="7"/>
      </w:pPr>
    </w:p>
    <w:p/>
    <w:p>
      <w:pPr>
        <w:pStyle w:val="7"/>
      </w:pPr>
    </w:p>
    <w:p/>
    <w:p>
      <w:pPr>
        <w:pStyle w:val="7"/>
      </w:pPr>
    </w:p>
    <w:p/>
    <w:p>
      <w:pPr>
        <w:pStyle w:val="7"/>
      </w:pPr>
    </w:p>
    <w:p/>
    <w:p>
      <w:pPr>
        <w:pStyle w:val="7"/>
        <w:keepNext w:val="0"/>
        <w:keepLines w:val="0"/>
        <w:pageBreakBefore w:val="0"/>
        <w:widowControl w:val="0"/>
        <w:kinsoku/>
        <w:wordWrap/>
        <w:overflowPunct/>
        <w:topLinePunct w:val="0"/>
        <w:bidi w:val="0"/>
        <w:adjustRightInd/>
        <w:snapToGrid/>
        <w:spacing w:before="5" w:line="560" w:lineRule="exact"/>
        <w:ind w:left="0"/>
        <w:textAlignment w:val="auto"/>
        <w:rPr>
          <w:rFonts w:ascii="Times New Roman"/>
          <w:sz w:val="8"/>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b w:val="0"/>
          <w:bCs/>
          <w:spacing w:val="0"/>
          <w:w w:val="100"/>
          <w:sz w:val="44"/>
          <w:szCs w:val="44"/>
          <w:lang w:eastAsia="zh-CN"/>
        </w:rPr>
      </w:pPr>
      <w:r>
        <w:rPr>
          <w:rFonts w:hint="eastAsia" w:ascii="方正小标宋简体" w:hAnsi="方正小标宋简体" w:eastAsia="方正小标宋简体" w:cs="方正小标宋简体"/>
          <w:b w:val="0"/>
          <w:bCs/>
          <w:spacing w:val="0"/>
          <w:w w:val="100"/>
          <w:sz w:val="44"/>
          <w:szCs w:val="44"/>
        </w:rPr>
        <w:t>广元市昭化区</w:t>
      </w:r>
      <w:r>
        <w:rPr>
          <w:rFonts w:hint="eastAsia" w:ascii="方正小标宋简体" w:hAnsi="方正小标宋简体" w:eastAsia="方正小标宋简体" w:cs="方正小标宋简体"/>
          <w:b w:val="0"/>
          <w:bCs/>
          <w:spacing w:val="0"/>
          <w:w w:val="100"/>
          <w:sz w:val="44"/>
          <w:szCs w:val="44"/>
          <w:lang w:eastAsia="zh-CN"/>
        </w:rPr>
        <w:t>人大常委会办公室</w:t>
      </w:r>
    </w:p>
    <w:p>
      <w:pPr>
        <w:keepNext w:val="0"/>
        <w:keepLines w:val="0"/>
        <w:pageBreakBefore w:val="0"/>
        <w:widowControl w:val="0"/>
        <w:tabs>
          <w:tab w:val="left" w:pos="8400"/>
        </w:tabs>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方正大标宋_GBK" w:hAnsi="方正大标宋_GBK" w:eastAsia="方正大标宋_GBK" w:cs="方正大标宋_GBK"/>
          <w:spacing w:val="0"/>
          <w:w w:val="100"/>
          <w:sz w:val="44"/>
          <w:szCs w:val="44"/>
        </w:rPr>
      </w:pPr>
      <w:r>
        <w:rPr>
          <w:rFonts w:hint="eastAsia" w:ascii="方正大标宋_GBK" w:hAnsi="方正大标宋_GBK" w:eastAsia="方正大标宋_GBK" w:cs="方正大标宋_GBK"/>
          <w:spacing w:val="0"/>
          <w:w w:val="100"/>
          <w:sz w:val="44"/>
          <w:szCs w:val="44"/>
        </w:rPr>
        <w:t>关于2022年</w:t>
      </w:r>
      <w:r>
        <w:rPr>
          <w:rFonts w:hint="eastAsia" w:ascii="方正大标宋_GBK" w:hAnsi="方正大标宋_GBK" w:eastAsia="方正大标宋_GBK" w:cs="方正大标宋_GBK"/>
          <w:spacing w:val="0"/>
          <w:w w:val="100"/>
          <w:sz w:val="44"/>
          <w:szCs w:val="44"/>
          <w:lang w:eastAsia="zh-CN"/>
        </w:rPr>
        <w:t>人大会议经费人大代表经费</w:t>
      </w:r>
      <w:r>
        <w:rPr>
          <w:rFonts w:hint="eastAsia" w:ascii="方正大标宋_GBK" w:hAnsi="方正大标宋_GBK" w:eastAsia="方正大标宋_GBK" w:cs="方正大标宋_GBK"/>
          <w:spacing w:val="0"/>
          <w:w w:val="100"/>
          <w:sz w:val="44"/>
          <w:szCs w:val="44"/>
        </w:rPr>
        <w:t>等</w:t>
      </w:r>
    </w:p>
    <w:p>
      <w:pPr>
        <w:keepNext w:val="0"/>
        <w:keepLines w:val="0"/>
        <w:pageBreakBefore w:val="0"/>
        <w:widowControl w:val="0"/>
        <w:tabs>
          <w:tab w:val="left" w:pos="8400"/>
        </w:tabs>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方正大标宋_GBK" w:hAnsi="方正大标宋_GBK" w:eastAsia="方正大标宋_GBK" w:cs="方正大标宋_GBK"/>
          <w:spacing w:val="0"/>
          <w:w w:val="100"/>
          <w:sz w:val="44"/>
          <w:szCs w:val="44"/>
        </w:rPr>
      </w:pPr>
      <w:r>
        <w:rPr>
          <w:rFonts w:hint="eastAsia" w:ascii="方正大标宋_GBK" w:hAnsi="方正大标宋_GBK" w:eastAsia="方正大标宋_GBK" w:cs="方正大标宋_GBK"/>
          <w:spacing w:val="0"/>
          <w:w w:val="100"/>
          <w:sz w:val="44"/>
          <w:szCs w:val="44"/>
          <w:lang w:val="en-US" w:eastAsia="zh-CN"/>
        </w:rPr>
        <w:t>5</w:t>
      </w:r>
      <w:r>
        <w:rPr>
          <w:rFonts w:hint="eastAsia" w:ascii="方正大标宋_GBK" w:hAnsi="方正大标宋_GBK" w:eastAsia="方正大标宋_GBK" w:cs="方正大标宋_GBK"/>
          <w:spacing w:val="0"/>
          <w:w w:val="100"/>
          <w:sz w:val="44"/>
          <w:szCs w:val="44"/>
        </w:rPr>
        <w:t>个项目支出绩效自评报告</w:t>
      </w:r>
    </w:p>
    <w:p>
      <w:pPr>
        <w:pStyle w:val="7"/>
        <w:keepNext w:val="0"/>
        <w:keepLines w:val="0"/>
        <w:pageBreakBefore w:val="0"/>
        <w:widowControl w:val="0"/>
        <w:kinsoku/>
        <w:wordWrap/>
        <w:overflowPunct/>
        <w:topLinePunct w:val="0"/>
        <w:bidi w:val="0"/>
        <w:adjustRightInd/>
        <w:snapToGrid/>
        <w:spacing w:beforeLines="0" w:line="560" w:lineRule="exact"/>
        <w:ind w:left="0"/>
        <w:jc w:val="both"/>
        <w:textAlignment w:val="auto"/>
        <w:rPr>
          <w:spacing w:val="0"/>
          <w:w w:val="100"/>
          <w:sz w:val="46"/>
        </w:rPr>
      </w:pP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108"/>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区财政局：</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为了进一步加强财政支付预算管理，提高财政资金使用效益，根据《关于开展2023年部门、政策和项目支出绩效评价工作的通知》(昭财发〔2023〕12号)的要求，现将我</w:t>
      </w:r>
      <w:r>
        <w:rPr>
          <w:rFonts w:hint="default" w:ascii="Times New Roman" w:hAnsi="Times New Roman" w:eastAsia="仿宋_GB2312" w:cs="Times New Roman"/>
          <w:spacing w:val="0"/>
          <w:w w:val="100"/>
          <w:sz w:val="32"/>
          <w:szCs w:val="32"/>
          <w:lang w:eastAsia="zh-CN"/>
        </w:rPr>
        <w:t>办</w:t>
      </w:r>
      <w:r>
        <w:rPr>
          <w:rFonts w:hint="default" w:ascii="Times New Roman" w:hAnsi="Times New Roman" w:eastAsia="仿宋_GB2312" w:cs="Times New Roman"/>
          <w:spacing w:val="0"/>
          <w:w w:val="100"/>
          <w:sz w:val="32"/>
          <w:szCs w:val="32"/>
        </w:rPr>
        <w:t>2022年</w:t>
      </w:r>
      <w:r>
        <w:rPr>
          <w:rFonts w:hint="default" w:ascii="Times New Roman" w:hAnsi="Times New Roman" w:eastAsia="仿宋_GB2312" w:cs="Times New Roman"/>
          <w:spacing w:val="0"/>
          <w:w w:val="100"/>
          <w:sz w:val="32"/>
          <w:szCs w:val="32"/>
          <w:lang w:eastAsia="zh-CN"/>
        </w:rPr>
        <w:t>人大会议经费人大会议经费</w:t>
      </w:r>
      <w:r>
        <w:rPr>
          <w:rFonts w:hint="default" w:ascii="Times New Roman" w:hAnsi="Times New Roman" w:eastAsia="仿宋_GB2312" w:cs="Times New Roman"/>
          <w:spacing w:val="0"/>
          <w:w w:val="100"/>
          <w:sz w:val="32"/>
          <w:szCs w:val="32"/>
        </w:rPr>
        <w:t>等</w:t>
      </w:r>
      <w:r>
        <w:rPr>
          <w:rFonts w:hint="default" w:ascii="Times New Roman" w:hAnsi="Times New Roman" w:eastAsia="仿宋_GB2312"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个项目支出绩效自评报告如下：</w:t>
      </w:r>
    </w:p>
    <w:p>
      <w:pPr>
        <w:pStyle w:val="7"/>
        <w:keepNext w:val="0"/>
        <w:keepLines w:val="0"/>
        <w:pageBreakBefore w:val="0"/>
        <w:widowControl w:val="0"/>
        <w:kinsoku/>
        <w:wordWrap/>
        <w:overflowPunct/>
        <w:topLinePunct w:val="0"/>
        <w:bidi w:val="0"/>
        <w:adjustRightInd/>
        <w:snapToGrid/>
        <w:spacing w:beforeLines="0" w:line="540" w:lineRule="exact"/>
        <w:ind w:left="0" w:right="0" w:firstLine="600" w:firstLineChars="200"/>
        <w:jc w:val="both"/>
        <w:textAlignment w:val="auto"/>
        <w:rPr>
          <w:rFonts w:hint="eastAsia" w:ascii="黑体" w:eastAsia="黑体"/>
          <w:spacing w:val="0"/>
          <w:w w:val="100"/>
        </w:rPr>
      </w:pPr>
      <w:r>
        <w:rPr>
          <w:rFonts w:hint="eastAsia" w:ascii="黑体" w:eastAsia="黑体"/>
          <w:spacing w:val="0"/>
          <w:w w:val="100"/>
        </w:rPr>
        <w:t>一、项目概况</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rPr>
        <w:t>本单位2022年预算的有</w:t>
      </w:r>
      <w:r>
        <w:rPr>
          <w:rFonts w:hint="eastAsia" w:ascii="Times New Roman" w:hAnsi="Times New Roman" w:eastAsia="仿宋_GB2312" w:cs="Times New Roman"/>
          <w:spacing w:val="0"/>
          <w:w w:val="100"/>
          <w:sz w:val="32"/>
          <w:szCs w:val="32"/>
          <w:lang w:eastAsia="zh-CN"/>
        </w:rPr>
        <w:t>人大会议经费、人大代表经费、人大业务经费、机关管理经费及乡村振兴及其它人大事务性经费等</w:t>
      </w:r>
      <w:r>
        <w:rPr>
          <w:rFonts w:hint="eastAsia" w:ascii="Times New Roman" w:hAnsi="Times New Roman" w:eastAsia="仿宋_GB2312" w:cs="Times New Roman"/>
          <w:spacing w:val="0"/>
          <w:w w:val="100"/>
          <w:sz w:val="32"/>
          <w:szCs w:val="32"/>
          <w:lang w:val="en-US" w:eastAsia="zh-CN"/>
        </w:rPr>
        <w:t>5</w:t>
      </w:r>
      <w:r>
        <w:rPr>
          <w:rFonts w:hint="eastAsia" w:ascii="Times New Roman" w:hAnsi="Times New Roman" w:eastAsia="仿宋_GB2312" w:cs="Times New Roman"/>
          <w:spacing w:val="0"/>
          <w:w w:val="100"/>
          <w:sz w:val="32"/>
          <w:szCs w:val="32"/>
        </w:rPr>
        <w:t>个项目，这些项目都是基本运转类项目。</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（一）项目资金申报及批复情况</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rPr>
        <w:t>该</w:t>
      </w:r>
      <w:r>
        <w:rPr>
          <w:rFonts w:hint="eastAsia" w:ascii="Times New Roman" w:hAnsi="Times New Roman" w:eastAsia="仿宋_GB2312" w:cs="Times New Roman"/>
          <w:spacing w:val="0"/>
          <w:w w:val="100"/>
          <w:sz w:val="32"/>
          <w:szCs w:val="32"/>
          <w:lang w:val="en-US" w:eastAsia="zh-CN"/>
        </w:rPr>
        <w:t>5</w:t>
      </w:r>
      <w:r>
        <w:rPr>
          <w:rFonts w:hint="eastAsia" w:ascii="Times New Roman" w:hAnsi="Times New Roman" w:eastAsia="仿宋_GB2312" w:cs="Times New Roman"/>
          <w:spacing w:val="0"/>
          <w:w w:val="100"/>
          <w:sz w:val="32"/>
          <w:szCs w:val="32"/>
        </w:rPr>
        <w:t>个项目均是2022年预算的项目，该项目长期使用，以2022年预算批复为准。</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（二）项目绩效目标</w:t>
      </w:r>
    </w:p>
    <w:p>
      <w:pPr>
        <w:pStyle w:val="27"/>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1.</w:t>
      </w:r>
      <w:r>
        <w:rPr>
          <w:rFonts w:hint="eastAsia" w:ascii="Times New Roman" w:hAnsi="Times New Roman" w:eastAsia="仿宋_GB2312" w:cs="Times New Roman"/>
          <w:spacing w:val="0"/>
          <w:w w:val="100"/>
          <w:kern w:val="0"/>
          <w:sz w:val="32"/>
          <w:szCs w:val="32"/>
          <w:lang w:val="en-US" w:eastAsia="en-US" w:bidi="ar-SA"/>
        </w:rPr>
        <w:t>人大会议经费（区人民代表大会、区人大常委会、主任会议、市人民代表大会、省市人大工作研讨会）。该项目资金主要用于确保区八届</w:t>
      </w:r>
      <w:r>
        <w:rPr>
          <w:rFonts w:hint="eastAsia" w:ascii="Times New Roman" w:hAnsi="Times New Roman" w:eastAsia="仿宋_GB2312" w:cs="Times New Roman"/>
          <w:spacing w:val="0"/>
          <w:w w:val="100"/>
          <w:kern w:val="0"/>
          <w:sz w:val="32"/>
          <w:szCs w:val="32"/>
          <w:lang w:val="en-US" w:eastAsia="zh-CN" w:bidi="ar-SA"/>
        </w:rPr>
        <w:t>二</w:t>
      </w:r>
      <w:r>
        <w:rPr>
          <w:rFonts w:hint="eastAsia" w:ascii="Times New Roman" w:hAnsi="Times New Roman" w:eastAsia="仿宋_GB2312" w:cs="Times New Roman"/>
          <w:spacing w:val="0"/>
          <w:w w:val="100"/>
          <w:kern w:val="0"/>
          <w:sz w:val="32"/>
          <w:szCs w:val="32"/>
          <w:lang w:val="en-US" w:eastAsia="en-US" w:bidi="ar-SA"/>
        </w:rPr>
        <w:t>次人代会，202</w:t>
      </w:r>
      <w:r>
        <w:rPr>
          <w:rFonts w:hint="eastAsia" w:ascii="Times New Roman" w:hAnsi="Times New Roman" w:eastAsia="仿宋_GB2312" w:cs="Times New Roman"/>
          <w:spacing w:val="0"/>
          <w:w w:val="100"/>
          <w:kern w:val="0"/>
          <w:sz w:val="32"/>
          <w:szCs w:val="32"/>
          <w:lang w:val="en-US" w:eastAsia="zh-CN" w:bidi="ar-SA"/>
        </w:rPr>
        <w:t>2</w:t>
      </w:r>
      <w:r>
        <w:rPr>
          <w:rFonts w:hint="eastAsia" w:ascii="Times New Roman" w:hAnsi="Times New Roman" w:eastAsia="仿宋_GB2312" w:cs="Times New Roman"/>
          <w:spacing w:val="0"/>
          <w:w w:val="100"/>
          <w:kern w:val="0"/>
          <w:sz w:val="32"/>
          <w:szCs w:val="32"/>
          <w:lang w:val="en-US" w:eastAsia="en-US" w:bidi="ar-SA"/>
        </w:rPr>
        <w:t>年度人大常委会8次例会、12次主任会议，参加省市人大工作研讨会，昭化代表团参加市八届</w:t>
      </w:r>
      <w:r>
        <w:rPr>
          <w:rFonts w:hint="eastAsia" w:ascii="Times New Roman" w:hAnsi="Times New Roman" w:eastAsia="仿宋_GB2312" w:cs="Times New Roman"/>
          <w:spacing w:val="0"/>
          <w:w w:val="100"/>
          <w:kern w:val="0"/>
          <w:sz w:val="32"/>
          <w:szCs w:val="32"/>
          <w:lang w:val="en-US" w:eastAsia="zh-CN" w:bidi="ar-SA"/>
        </w:rPr>
        <w:t>二</w:t>
      </w:r>
      <w:r>
        <w:rPr>
          <w:rFonts w:hint="eastAsia" w:ascii="Times New Roman" w:hAnsi="Times New Roman" w:eastAsia="仿宋_GB2312" w:cs="Times New Roman"/>
          <w:spacing w:val="0"/>
          <w:w w:val="100"/>
          <w:kern w:val="0"/>
          <w:sz w:val="32"/>
          <w:szCs w:val="32"/>
          <w:lang w:val="en-US" w:eastAsia="en-US" w:bidi="ar-SA"/>
        </w:rPr>
        <w:t>次人代会等会议工作圆满顺利完成，保障到位，会议达到预期效果，全面落实中央人大工作会议精神，在区委的坚强领导下，自觉担负起新时代赋予人大的历史使命，主动作为，奋发进取，坚定不移发展全过程人民民主，凝聚思想共识，交流履职体会，明确工作重点，强化上下对接，提振信心士气，切实增强监督实效，强化代表履职担当，持之以恒建设“四个机关”，奋力谱写人大工作崭新篇章，为全面建设“四城新区”作出更大贡献。</w:t>
      </w:r>
    </w:p>
    <w:p>
      <w:pPr>
        <w:pStyle w:val="27"/>
        <w:keepNext w:val="0"/>
        <w:keepLines w:val="0"/>
        <w:pageBreakBefore w:val="0"/>
        <w:widowControl w:val="0"/>
        <w:numPr>
          <w:ilvl w:val="0"/>
          <w:numId w:val="0"/>
        </w:numPr>
        <w:tabs>
          <w:tab w:val="left" w:pos="1069"/>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pacing w:val="0"/>
          <w:w w:val="10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2.</w:t>
      </w:r>
      <w:r>
        <w:rPr>
          <w:rFonts w:hint="eastAsia" w:ascii="Times New Roman" w:hAnsi="Times New Roman" w:eastAsia="仿宋_GB2312" w:cs="Times New Roman"/>
          <w:spacing w:val="0"/>
          <w:w w:val="100"/>
          <w:kern w:val="0"/>
          <w:sz w:val="32"/>
          <w:szCs w:val="32"/>
          <w:lang w:val="en-US" w:eastAsia="en-US" w:bidi="ar-SA"/>
        </w:rPr>
        <w:t>人大代表经费（代表履职能力提升及平台建设、异地人大代表联络站、民生实事项目人大代表票决制）。该项目主要用于确保区、镇代表履职能力提升及平台建设、异地人大代表联络站工作开展、镇村人大代表家站室建设、民生实事项目人大代表票决制等项目的高效运转。一是提高代表意识、提高代表写说能力、提高代表的学习水平、提高代表的调研能力、提高代表的审议能力、提高代表的群众工作水平等，使得人大代表履职能力提升按期完成率达到100%，履职能力提升培训合格率达到100%，各部门和人民群众的满意度达到100%。二是围绕全区范围内围绕国民经济和社会发展计划执行情况，改革发展稳定的重大问题、人民群众普遍关注的热点、难点问题，精准扶贫问题等进行调研视察，采取“走、看、听、评”等方法，按期完成代表视察工作，为改革发展稳定的重大问题、人民群众普遍关注的热点、难点问题，乡村振兴问题等提供有效数据，使得各部门及视察对象满意度均达到100%。三是确实保障我区在北京、重庆、广东、浙江建立的异地人大工作站更好的发挥作用。四是全面推进民生实事项目人大代表票决制工作，做到民生实事项目应办尽办，真正做到为民办实事、解难题，分民忧，确保各部门及服务对象满意度均达到100%。</w:t>
      </w:r>
    </w:p>
    <w:p>
      <w:pPr>
        <w:pStyle w:val="27"/>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3.</w:t>
      </w:r>
      <w:r>
        <w:rPr>
          <w:rFonts w:hint="eastAsia" w:ascii="Times New Roman" w:hAnsi="Times New Roman" w:eastAsia="仿宋_GB2312" w:cs="Times New Roman"/>
          <w:spacing w:val="0"/>
          <w:w w:val="100"/>
          <w:kern w:val="0"/>
          <w:sz w:val="32"/>
          <w:szCs w:val="32"/>
          <w:lang w:val="en-US" w:eastAsia="en-US" w:bidi="ar-SA"/>
        </w:rPr>
        <w:t>人大业务经费(人大监督、视察、调研、执法检查、全省预算执行在线监督、15个专委会工作、信访工作）</w:t>
      </w:r>
      <w:r>
        <w:rPr>
          <w:rFonts w:hint="eastAsia" w:ascii="Times New Roman" w:hAnsi="Times New Roman" w:eastAsia="仿宋_GB2312" w:cs="Times New Roman"/>
          <w:spacing w:val="0"/>
          <w:w w:val="100"/>
          <w:kern w:val="0"/>
          <w:sz w:val="32"/>
          <w:szCs w:val="32"/>
          <w:lang w:val="en-US" w:eastAsia="zh-CN" w:bidi="ar-SA"/>
        </w:rPr>
        <w:t>。</w:t>
      </w:r>
      <w:r>
        <w:rPr>
          <w:rFonts w:hint="eastAsia" w:ascii="Times New Roman" w:hAnsi="Times New Roman" w:eastAsia="仿宋_GB2312" w:cs="Times New Roman"/>
          <w:spacing w:val="0"/>
          <w:w w:val="100"/>
          <w:kern w:val="0"/>
          <w:sz w:val="32"/>
          <w:szCs w:val="32"/>
          <w:lang w:val="en-US" w:eastAsia="en-US" w:bidi="ar-SA"/>
        </w:rPr>
        <w:t>该项目主要</w:t>
      </w:r>
      <w:r>
        <w:rPr>
          <w:rFonts w:hint="eastAsia" w:ascii="Times New Roman" w:hAnsi="Times New Roman" w:eastAsia="仿宋_GB2312" w:cs="Times New Roman"/>
          <w:spacing w:val="0"/>
          <w:w w:val="100"/>
          <w:kern w:val="0"/>
          <w:sz w:val="32"/>
          <w:szCs w:val="32"/>
          <w:lang w:val="en-US" w:eastAsia="zh-CN" w:bidi="ar-SA"/>
        </w:rPr>
        <w:t>确保顺利开展</w:t>
      </w:r>
      <w:r>
        <w:rPr>
          <w:rFonts w:hint="eastAsia" w:ascii="Times New Roman" w:hAnsi="Times New Roman" w:eastAsia="仿宋_GB2312" w:cs="Times New Roman"/>
          <w:spacing w:val="0"/>
          <w:w w:val="100"/>
          <w:kern w:val="0"/>
          <w:sz w:val="32"/>
          <w:szCs w:val="32"/>
          <w:lang w:val="en-US" w:eastAsia="en-US" w:bidi="ar-SA"/>
        </w:rPr>
        <w:t>人大监督、视察、调研、执法检查、全省预算执行在线监督、15个专委会工作及信访等工作。自觉担负起新时代赋予人大的历史使命，主动作为，奋发进取，坚定不移发展全过程人民民主，切实增强监督实效，强化代表履职担当，加强对镇人大的指导，使全区人大工作水平得到整体提升；为改革发展稳定的重大问题、人民群众普遍关注的热点、难点问题，乡村振兴问题等提供有效数据。确保各项人大业务工作按期完成及时率达到100%，工作质量合格率达到100%，使得各部门和服务对象满意度均达到100%。</w:t>
      </w:r>
    </w:p>
    <w:p>
      <w:pPr>
        <w:pStyle w:val="27"/>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4.</w:t>
      </w:r>
      <w:r>
        <w:rPr>
          <w:rFonts w:hint="eastAsia" w:ascii="Times New Roman" w:hAnsi="Times New Roman" w:eastAsia="仿宋_GB2312" w:cs="Times New Roman"/>
          <w:spacing w:val="0"/>
          <w:w w:val="100"/>
          <w:kern w:val="0"/>
          <w:sz w:val="32"/>
          <w:szCs w:val="32"/>
          <w:lang w:val="en-US" w:eastAsia="en-US" w:bidi="ar-SA"/>
        </w:rPr>
        <w:t>机关管理经费(退休老干部管理、《人大志》编撰及临聘人员经费）</w:t>
      </w:r>
      <w:r>
        <w:rPr>
          <w:rFonts w:hint="eastAsia" w:ascii="Times New Roman" w:hAnsi="Times New Roman" w:eastAsia="仿宋_GB2312" w:cs="Times New Roman"/>
          <w:spacing w:val="0"/>
          <w:w w:val="100"/>
          <w:kern w:val="0"/>
          <w:sz w:val="32"/>
          <w:szCs w:val="32"/>
          <w:lang w:val="en-US" w:eastAsia="zh-CN" w:bidi="ar-SA"/>
        </w:rPr>
        <w:t>。</w:t>
      </w:r>
      <w:r>
        <w:rPr>
          <w:rFonts w:hint="eastAsia" w:ascii="Times New Roman" w:hAnsi="Times New Roman" w:eastAsia="仿宋_GB2312" w:cs="Times New Roman"/>
          <w:spacing w:val="0"/>
          <w:w w:val="100"/>
          <w:kern w:val="0"/>
          <w:sz w:val="32"/>
          <w:szCs w:val="32"/>
          <w:lang w:val="en-US" w:eastAsia="en-US" w:bidi="ar-SA"/>
        </w:rPr>
        <w:t>该项目一是完成对15年的人大工作进行编纂，形成《人大志》，编撰工作按期完成及时率达到100%，编撰成果质量效率达到100%；二是加强对</w:t>
      </w:r>
      <w:r>
        <w:rPr>
          <w:rFonts w:hint="eastAsia" w:ascii="Times New Roman" w:hAnsi="Times New Roman" w:eastAsia="仿宋_GB2312" w:cs="Times New Roman"/>
          <w:spacing w:val="0"/>
          <w:w w:val="100"/>
          <w:kern w:val="0"/>
          <w:sz w:val="32"/>
          <w:szCs w:val="32"/>
          <w:lang w:val="en-US" w:eastAsia="zh-CN" w:bidi="ar-SA"/>
        </w:rPr>
        <w:t>27</w:t>
      </w:r>
      <w:r>
        <w:rPr>
          <w:rFonts w:hint="eastAsia" w:ascii="Times New Roman" w:hAnsi="Times New Roman" w:eastAsia="仿宋_GB2312" w:cs="Times New Roman"/>
          <w:spacing w:val="0"/>
          <w:w w:val="100"/>
          <w:kern w:val="0"/>
          <w:sz w:val="32"/>
          <w:szCs w:val="32"/>
          <w:lang w:val="en-US" w:eastAsia="en-US" w:bidi="ar-SA"/>
        </w:rPr>
        <w:t>名退休干部的管理工作，包含会议、学习、参观、体检、慰问等工作</w:t>
      </w:r>
      <w:r>
        <w:rPr>
          <w:rFonts w:hint="eastAsia" w:ascii="Times New Roman" w:hAnsi="Times New Roman" w:eastAsia="仿宋_GB2312" w:cs="Times New Roman"/>
          <w:spacing w:val="0"/>
          <w:w w:val="100"/>
          <w:kern w:val="0"/>
          <w:sz w:val="32"/>
          <w:szCs w:val="32"/>
          <w:lang w:val="en-US" w:eastAsia="zh-CN" w:bidi="ar-SA"/>
        </w:rPr>
        <w:t>。</w:t>
      </w:r>
      <w:r>
        <w:rPr>
          <w:rFonts w:hint="eastAsia" w:ascii="Times New Roman" w:hAnsi="Times New Roman" w:eastAsia="仿宋_GB2312" w:cs="Times New Roman"/>
          <w:spacing w:val="0"/>
          <w:w w:val="100"/>
          <w:kern w:val="0"/>
          <w:sz w:val="32"/>
          <w:szCs w:val="32"/>
          <w:lang w:val="en-US" w:eastAsia="en-US" w:bidi="ar-SA"/>
        </w:rPr>
        <w:t>确保工作按期完成及时率达到100%、各部门及老干部自身满意度均达到100%。</w:t>
      </w:r>
    </w:p>
    <w:p>
      <w:pPr>
        <w:pStyle w:val="27"/>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zh-CN" w:bidi="ar-SA"/>
        </w:rPr>
      </w:pPr>
      <w:r>
        <w:rPr>
          <w:rFonts w:hint="eastAsia" w:ascii="Times New Roman" w:hAnsi="Times New Roman" w:eastAsia="仿宋_GB2312" w:cs="Times New Roman"/>
          <w:spacing w:val="0"/>
          <w:w w:val="100"/>
          <w:kern w:val="0"/>
          <w:sz w:val="32"/>
          <w:szCs w:val="32"/>
          <w:lang w:val="en-US" w:eastAsia="zh-CN" w:bidi="ar-SA"/>
        </w:rPr>
        <w:t>5.</w:t>
      </w:r>
      <w:r>
        <w:rPr>
          <w:rFonts w:hint="eastAsia" w:ascii="Times New Roman" w:hAnsi="Times New Roman" w:eastAsia="仿宋_GB2312" w:cs="Times New Roman"/>
          <w:spacing w:val="0"/>
          <w:w w:val="100"/>
          <w:kern w:val="0"/>
          <w:sz w:val="32"/>
          <w:szCs w:val="32"/>
          <w:lang w:val="en-US" w:eastAsia="en-US" w:bidi="ar-SA"/>
        </w:rPr>
        <w:t>乡村振兴及其它人大事务性经费。该项目为了认真贯彻落实区委《广元市昭化区乡村振兴战略规划（2018-2022）》略部署，紧紧围绕我区“三农”工作重点，认真履行宪法和法律赋予的职权，依法加强人大监督，更好地服务于新形势下的现代业产业发展。开展对沈家阁、石井铺2村的帮扶联系工作及其它事务性工作，工作按期完成及时率达到100%，工作成效提升率达到100%，切实为民解难题办实事，助力产业发展，助农增收，使得各部门及帮扶对象满意度均达到100%。</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（三）项目资金申报相符性</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lang w:val="en-US" w:eastAsia="en-US"/>
        </w:rPr>
      </w:pPr>
      <w:r>
        <w:rPr>
          <w:rFonts w:hint="eastAsia" w:ascii="Times New Roman" w:hAnsi="Times New Roman" w:eastAsia="仿宋_GB2312" w:cs="Times New Roman"/>
          <w:spacing w:val="0"/>
          <w:w w:val="100"/>
          <w:sz w:val="32"/>
          <w:szCs w:val="32"/>
          <w:lang w:val="en-US" w:eastAsia="en-US"/>
        </w:rPr>
        <w:t>该</w:t>
      </w:r>
      <w:r>
        <w:rPr>
          <w:rFonts w:hint="eastAsia" w:ascii="Times New Roman" w:hAnsi="Times New Roman" w:eastAsia="仿宋_GB2312" w:cs="Times New Roman"/>
          <w:spacing w:val="0"/>
          <w:w w:val="100"/>
          <w:sz w:val="32"/>
          <w:szCs w:val="32"/>
          <w:lang w:val="en-US" w:eastAsia="zh-CN"/>
        </w:rPr>
        <w:t>5</w:t>
      </w:r>
      <w:r>
        <w:rPr>
          <w:rFonts w:hint="eastAsia" w:ascii="Times New Roman" w:hAnsi="Times New Roman" w:eastAsia="仿宋_GB2312" w:cs="Times New Roman"/>
          <w:spacing w:val="0"/>
          <w:w w:val="100"/>
          <w:sz w:val="32"/>
          <w:szCs w:val="32"/>
          <w:lang w:val="en-US" w:eastAsia="en-US"/>
        </w:rPr>
        <w:t>个项目，每一笔经费开支在核定的支出限额和范围内实行据实凭票报账制，严格资金审批制度，附件完整齐全，经层层把关，审核签字，财务通过一体化平台支付款项。每笔资金都用于相关业务，申报内容与具体实施内容相符，申报目标具体量化、合理可行。</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b w:val="0"/>
          <w:bCs w:val="0"/>
          <w:spacing w:val="0"/>
          <w:w w:val="100"/>
          <w:kern w:val="0"/>
          <w:sz w:val="32"/>
          <w:szCs w:val="32"/>
          <w:lang w:val="en-US" w:eastAsia="en-US" w:bidi="ar-SA"/>
        </w:rPr>
      </w:pPr>
      <w:r>
        <w:rPr>
          <w:rFonts w:hint="eastAsia" w:ascii="楷体_GB2312" w:hAnsi="楷体_GB2312" w:eastAsia="楷体_GB2312" w:cs="楷体_GB2312"/>
          <w:b w:val="0"/>
          <w:bCs w:val="0"/>
          <w:spacing w:val="0"/>
          <w:w w:val="100"/>
          <w:kern w:val="0"/>
          <w:sz w:val="32"/>
          <w:szCs w:val="32"/>
          <w:lang w:val="en-US" w:eastAsia="en-US" w:bidi="ar-SA"/>
        </w:rPr>
        <w:t>（四）自评步骤及方法</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lang w:val="en-US" w:eastAsia="en-US"/>
        </w:rPr>
      </w:pPr>
      <w:r>
        <w:rPr>
          <w:rFonts w:hint="eastAsia" w:ascii="Times New Roman" w:hAnsi="Times New Roman" w:eastAsia="仿宋_GB2312" w:cs="Times New Roman"/>
          <w:spacing w:val="0"/>
          <w:w w:val="100"/>
          <w:sz w:val="32"/>
          <w:szCs w:val="32"/>
          <w:lang w:val="en-US" w:eastAsia="zh-CN"/>
        </w:rPr>
        <w:t>通过撰写自评报告、结合自评表和自评打分体系表打分，查漏补缺，</w:t>
      </w:r>
      <w:r>
        <w:rPr>
          <w:rFonts w:hint="eastAsia" w:ascii="Times New Roman" w:hAnsi="Times New Roman" w:eastAsia="仿宋_GB2312" w:cs="Times New Roman"/>
          <w:spacing w:val="0"/>
          <w:w w:val="100"/>
          <w:sz w:val="32"/>
          <w:szCs w:val="32"/>
          <w:lang w:val="en-US" w:eastAsia="en-US"/>
        </w:rPr>
        <w:t>做到有计划、有安排。按照</w:t>
      </w:r>
      <w:r>
        <w:rPr>
          <w:rFonts w:hint="eastAsia" w:ascii="Times New Roman" w:hAnsi="Times New Roman" w:eastAsia="仿宋_GB2312" w:cs="Times New Roman"/>
          <w:spacing w:val="0"/>
          <w:w w:val="100"/>
          <w:sz w:val="32"/>
          <w:szCs w:val="32"/>
          <w:lang w:val="en-US" w:eastAsia="zh-CN"/>
        </w:rPr>
        <w:t>区财政局</w:t>
      </w:r>
      <w:r>
        <w:rPr>
          <w:rFonts w:hint="eastAsia" w:ascii="Times New Roman" w:hAnsi="Times New Roman" w:eastAsia="仿宋_GB2312" w:cs="Times New Roman"/>
          <w:spacing w:val="0"/>
          <w:w w:val="100"/>
          <w:sz w:val="32"/>
          <w:szCs w:val="32"/>
          <w:lang w:val="en-US" w:eastAsia="en-US"/>
        </w:rPr>
        <w:t>下达的项目支出绩效评价指标体系，针对申报内容、实施情况、资金支付、财务管理、经济效益、社会效益等评价内容作出自我评价，形成自评报告，并向区财政局报送电子和纸质资料。</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00" w:firstLineChars="200"/>
        <w:jc w:val="both"/>
        <w:textAlignment w:val="auto"/>
        <w:rPr>
          <w:rFonts w:hint="eastAsia" w:ascii="黑体" w:eastAsia="黑体"/>
          <w:spacing w:val="0"/>
          <w:w w:val="100"/>
        </w:rPr>
      </w:pPr>
      <w:r>
        <w:rPr>
          <w:rFonts w:hint="eastAsia" w:ascii="黑体" w:eastAsia="黑体"/>
          <w:spacing w:val="0"/>
          <w:w w:val="100"/>
        </w:rPr>
        <w:t>二、项目实施及管理情况</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（一）资金计划、到位及使用情况</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lang w:val="en-US" w:eastAsia="en-US"/>
        </w:rPr>
      </w:pPr>
      <w:r>
        <w:rPr>
          <w:rFonts w:hint="eastAsia" w:ascii="Times New Roman" w:hAnsi="Times New Roman" w:eastAsia="仿宋_GB2312" w:cs="Times New Roman"/>
          <w:spacing w:val="0"/>
          <w:w w:val="100"/>
          <w:sz w:val="32"/>
          <w:szCs w:val="32"/>
          <w:lang w:val="en-US" w:eastAsia="en-US"/>
        </w:rPr>
        <w:t>2022年3月22日，资金预算批复全部到位，资金到位率100%、资金到位及时。</w:t>
      </w:r>
      <w:r>
        <w:rPr>
          <w:rFonts w:hint="eastAsia" w:ascii="Times New Roman" w:hAnsi="Times New Roman" w:eastAsia="仿宋_GB2312" w:cs="Times New Roman"/>
          <w:spacing w:val="0"/>
          <w:w w:val="100"/>
          <w:sz w:val="32"/>
          <w:szCs w:val="32"/>
        </w:rPr>
        <w:t>截止2022年12月31日支付机关管理经费（退休老干部管理、《人大志》编撰等）</w:t>
      </w:r>
      <w:r>
        <w:rPr>
          <w:rFonts w:hint="eastAsia" w:ascii="Times New Roman" w:hAnsi="Times New Roman" w:eastAsia="仿宋_GB2312" w:cs="Times New Roman"/>
          <w:spacing w:val="0"/>
          <w:w w:val="100"/>
          <w:sz w:val="32"/>
          <w:szCs w:val="32"/>
          <w:lang w:eastAsia="zh-CN"/>
        </w:rPr>
        <w:t>共计</w:t>
      </w:r>
      <w:r>
        <w:rPr>
          <w:rFonts w:hint="eastAsia" w:ascii="Times New Roman" w:hAnsi="Times New Roman" w:eastAsia="仿宋_GB2312" w:cs="Times New Roman"/>
          <w:spacing w:val="0"/>
          <w:w w:val="100"/>
          <w:sz w:val="32"/>
          <w:szCs w:val="32"/>
          <w:lang w:val="en-US" w:eastAsia="zh-CN"/>
        </w:rPr>
        <w:t>20万元；</w:t>
      </w:r>
      <w:r>
        <w:rPr>
          <w:rFonts w:hint="eastAsia" w:ascii="Times New Roman" w:hAnsi="Times New Roman" w:eastAsia="仿宋_GB2312" w:cs="Times New Roman"/>
          <w:spacing w:val="0"/>
          <w:w w:val="100"/>
          <w:sz w:val="32"/>
          <w:szCs w:val="32"/>
        </w:rPr>
        <w:t>人大会议经费（区人民代表大会、区人大常委会、主任会议、市人民代表大会、省市人大工作研讨会等）</w:t>
      </w:r>
      <w:r>
        <w:rPr>
          <w:rFonts w:hint="eastAsia" w:ascii="Times New Roman" w:hAnsi="Times New Roman" w:eastAsia="仿宋_GB2312" w:cs="Times New Roman"/>
          <w:spacing w:val="0"/>
          <w:w w:val="100"/>
          <w:sz w:val="32"/>
          <w:szCs w:val="32"/>
          <w:lang w:eastAsia="zh-CN"/>
        </w:rPr>
        <w:t>共计</w:t>
      </w:r>
      <w:r>
        <w:rPr>
          <w:rFonts w:hint="eastAsia" w:ascii="Times New Roman" w:hAnsi="Times New Roman" w:eastAsia="仿宋_GB2312" w:cs="Times New Roman"/>
          <w:spacing w:val="0"/>
          <w:w w:val="100"/>
          <w:sz w:val="32"/>
          <w:szCs w:val="32"/>
          <w:lang w:val="en-US" w:eastAsia="zh-CN"/>
        </w:rPr>
        <w:t>65.62万元；</w:t>
      </w:r>
      <w:r>
        <w:rPr>
          <w:rFonts w:hint="eastAsia" w:ascii="Times New Roman" w:hAnsi="Times New Roman" w:eastAsia="仿宋_GB2312" w:cs="Times New Roman"/>
          <w:spacing w:val="0"/>
          <w:w w:val="100"/>
          <w:sz w:val="32"/>
          <w:szCs w:val="32"/>
        </w:rPr>
        <w:t>人大代表经费（代表履职能力提升及平台建设、异地人大代表联络站、民生实事项目人大代表票决制</w:t>
      </w:r>
      <w:r>
        <w:rPr>
          <w:rFonts w:hint="eastAsia" w:ascii="Times New Roman" w:hAnsi="Times New Roman" w:eastAsia="仿宋_GB2312" w:cs="Times New Roman"/>
          <w:spacing w:val="0"/>
          <w:w w:val="100"/>
          <w:sz w:val="32"/>
          <w:szCs w:val="32"/>
          <w:lang w:eastAsia="zh-CN"/>
        </w:rPr>
        <w:t>等</w:t>
      </w:r>
      <w:r>
        <w:rPr>
          <w:rFonts w:hint="eastAsia" w:ascii="Times New Roman" w:hAnsi="Times New Roman" w:eastAsia="仿宋_GB2312" w:cs="Times New Roman"/>
          <w:spacing w:val="0"/>
          <w:w w:val="100"/>
          <w:sz w:val="32"/>
          <w:szCs w:val="32"/>
        </w:rPr>
        <w:t>）</w:t>
      </w:r>
      <w:r>
        <w:rPr>
          <w:rFonts w:hint="eastAsia" w:ascii="Times New Roman" w:hAnsi="Times New Roman" w:eastAsia="仿宋_GB2312" w:cs="Times New Roman"/>
          <w:spacing w:val="0"/>
          <w:w w:val="100"/>
          <w:sz w:val="32"/>
          <w:szCs w:val="32"/>
          <w:lang w:eastAsia="zh-CN"/>
        </w:rPr>
        <w:t>共计</w:t>
      </w:r>
      <w:r>
        <w:rPr>
          <w:rFonts w:hint="eastAsia" w:ascii="Times New Roman" w:hAnsi="Times New Roman" w:eastAsia="仿宋_GB2312" w:cs="Times New Roman"/>
          <w:spacing w:val="0"/>
          <w:w w:val="100"/>
          <w:sz w:val="32"/>
          <w:szCs w:val="32"/>
          <w:lang w:val="en-US" w:eastAsia="zh-CN"/>
        </w:rPr>
        <w:t>107.4万元；</w:t>
      </w:r>
      <w:r>
        <w:rPr>
          <w:rFonts w:hint="eastAsia" w:ascii="Times New Roman" w:hAnsi="Times New Roman" w:eastAsia="仿宋_GB2312" w:cs="Times New Roman"/>
          <w:spacing w:val="0"/>
          <w:w w:val="100"/>
          <w:sz w:val="32"/>
          <w:szCs w:val="32"/>
        </w:rPr>
        <w:t>人大业务经费（人大监督、视察、调研、执法检查、全省预算执行在线监督、信访工作、15个专委会</w:t>
      </w:r>
      <w:r>
        <w:rPr>
          <w:rFonts w:hint="eastAsia" w:ascii="Times New Roman" w:hAnsi="Times New Roman" w:eastAsia="仿宋_GB2312" w:cs="Times New Roman"/>
          <w:spacing w:val="0"/>
          <w:w w:val="100"/>
          <w:sz w:val="32"/>
          <w:szCs w:val="32"/>
          <w:lang w:eastAsia="zh-CN"/>
        </w:rPr>
        <w:t>等</w:t>
      </w:r>
      <w:r>
        <w:rPr>
          <w:rFonts w:hint="eastAsia" w:ascii="Times New Roman" w:hAnsi="Times New Roman" w:eastAsia="仿宋_GB2312" w:cs="Times New Roman"/>
          <w:spacing w:val="0"/>
          <w:w w:val="100"/>
          <w:sz w:val="32"/>
          <w:szCs w:val="32"/>
        </w:rPr>
        <w:t>）</w:t>
      </w:r>
      <w:r>
        <w:rPr>
          <w:rFonts w:hint="eastAsia" w:ascii="Times New Roman" w:hAnsi="Times New Roman" w:eastAsia="仿宋_GB2312" w:cs="Times New Roman"/>
          <w:spacing w:val="0"/>
          <w:w w:val="100"/>
          <w:sz w:val="32"/>
          <w:szCs w:val="32"/>
          <w:lang w:eastAsia="zh-CN"/>
        </w:rPr>
        <w:t>共计</w:t>
      </w:r>
      <w:r>
        <w:rPr>
          <w:rFonts w:hint="eastAsia" w:ascii="Times New Roman" w:hAnsi="Times New Roman" w:eastAsia="仿宋_GB2312" w:cs="Times New Roman"/>
          <w:spacing w:val="0"/>
          <w:w w:val="100"/>
          <w:sz w:val="32"/>
          <w:szCs w:val="32"/>
          <w:lang w:val="en-US" w:eastAsia="zh-CN"/>
        </w:rPr>
        <w:t>96.2万元；</w:t>
      </w:r>
      <w:r>
        <w:rPr>
          <w:rFonts w:hint="eastAsia" w:ascii="Times New Roman" w:hAnsi="Times New Roman" w:eastAsia="仿宋_GB2312" w:cs="Times New Roman"/>
          <w:spacing w:val="0"/>
          <w:w w:val="100"/>
          <w:sz w:val="32"/>
          <w:szCs w:val="32"/>
        </w:rPr>
        <w:t>乡村振兴及其他人大事务性经费</w:t>
      </w:r>
      <w:r>
        <w:rPr>
          <w:rFonts w:hint="eastAsia" w:ascii="Times New Roman" w:hAnsi="Times New Roman" w:eastAsia="仿宋_GB2312" w:cs="Times New Roman"/>
          <w:spacing w:val="0"/>
          <w:w w:val="100"/>
          <w:sz w:val="32"/>
          <w:szCs w:val="32"/>
          <w:lang w:eastAsia="zh-CN"/>
        </w:rPr>
        <w:t>共计</w:t>
      </w:r>
      <w:r>
        <w:rPr>
          <w:rFonts w:hint="eastAsia" w:ascii="Times New Roman" w:hAnsi="Times New Roman" w:eastAsia="仿宋_GB2312" w:cs="Times New Roman"/>
          <w:spacing w:val="0"/>
          <w:w w:val="100"/>
          <w:sz w:val="32"/>
          <w:szCs w:val="32"/>
          <w:lang w:val="en-US" w:eastAsia="zh-CN"/>
        </w:rPr>
        <w:t>20万元。</w:t>
      </w:r>
      <w:r>
        <w:rPr>
          <w:rFonts w:hint="eastAsia" w:ascii="Times New Roman" w:hAnsi="Times New Roman" w:eastAsia="仿宋_GB2312" w:cs="Times New Roman"/>
          <w:spacing w:val="0"/>
          <w:w w:val="100"/>
          <w:sz w:val="32"/>
          <w:szCs w:val="32"/>
          <w:lang w:val="en-US" w:eastAsia="en-US"/>
        </w:rPr>
        <w:t>支付依据合规合法，资金支付与预算、追加相符。严格审核费用的标准、范围及其合规性。对每一笔经费开支在核定的支出限额和范围内实行据实凭票报账制，严格资金审批制度，附件完整齐全，通过层层把关，审核签字，通过一体化平台支付款项，支出完成率达100%。</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（二）项目财务管理情况</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rPr>
        <w:t>严格按照财务规定和程序实行国库集中支付方式实施项目资金分配,并进行严格监督检查，在资金使用过程中无截留、挤占、挪用、虚列支出等情况，做到了专款专用，提高了资金使用效率，并在项目实施完成后及时开展绩效自评，按规定按月及时处理账务，账务核算规范准确。</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（三）项目组织实施情况</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rPr>
        <w:t>该</w:t>
      </w:r>
      <w:r>
        <w:rPr>
          <w:rFonts w:hint="eastAsia" w:ascii="Times New Roman" w:hAnsi="Times New Roman" w:eastAsia="仿宋_GB2312" w:cs="Times New Roman"/>
          <w:spacing w:val="0"/>
          <w:w w:val="100"/>
          <w:sz w:val="32"/>
          <w:szCs w:val="32"/>
          <w:lang w:val="en-US" w:eastAsia="zh-CN"/>
        </w:rPr>
        <w:t>5</w:t>
      </w:r>
      <w:r>
        <w:rPr>
          <w:rFonts w:hint="eastAsia" w:ascii="Times New Roman" w:hAnsi="Times New Roman" w:eastAsia="仿宋_GB2312" w:cs="Times New Roman"/>
          <w:spacing w:val="0"/>
          <w:w w:val="100"/>
          <w:sz w:val="32"/>
          <w:szCs w:val="32"/>
        </w:rPr>
        <w:t>个项目基本运转类项目，是长期使用的项目。这些项目</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rPr>
        <w:t>开始时间为2022年1月，完成时间2022年12月。根据项目申报有关要求，编制项目支出计划。在对各项目申报材料和项目支出预算合理性、可行性和必要性进行审核的基础上，并按照部门预算管理程序和要求编制项目支出预算。在项目组织的过程中</w:t>
      </w:r>
      <w:r>
        <w:rPr>
          <w:rFonts w:hint="eastAsia" w:ascii="Times New Roman" w:hAnsi="Times New Roman" w:eastAsia="仿宋_GB2312" w:cs="Times New Roman"/>
          <w:spacing w:val="0"/>
          <w:w w:val="100"/>
          <w:sz w:val="32"/>
          <w:szCs w:val="32"/>
          <w:lang w:eastAsia="zh-CN"/>
        </w:rPr>
        <w:t>，</w:t>
      </w:r>
      <w:r>
        <w:rPr>
          <w:rFonts w:hint="eastAsia" w:ascii="Times New Roman" w:hAnsi="Times New Roman" w:eastAsia="仿宋_GB2312" w:cs="Times New Roman"/>
          <w:spacing w:val="0"/>
          <w:w w:val="100"/>
          <w:sz w:val="32"/>
          <w:szCs w:val="32"/>
        </w:rPr>
        <w:t>能做到有依有据，合理合法，监管与审核并重，项目绩效与预决算一同在区人民政府网上公开。</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00" w:firstLineChars="200"/>
        <w:jc w:val="both"/>
        <w:textAlignment w:val="auto"/>
        <w:rPr>
          <w:rFonts w:hint="eastAsia" w:ascii="黑体" w:hAnsi="黑体" w:eastAsia="黑体" w:cs="黑体"/>
          <w:spacing w:val="0"/>
          <w:w w:val="100"/>
        </w:rPr>
      </w:pPr>
      <w:r>
        <w:rPr>
          <w:rFonts w:hint="eastAsia" w:ascii="黑体" w:hAnsi="黑体" w:eastAsia="黑体" w:cs="黑体"/>
          <w:spacing w:val="0"/>
          <w:w w:val="100"/>
        </w:rPr>
        <w:t>三、项目绩效情况</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（一）项目完成情况</w:t>
      </w:r>
    </w:p>
    <w:p>
      <w:pPr>
        <w:pStyle w:val="27"/>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1.</w:t>
      </w:r>
      <w:r>
        <w:rPr>
          <w:rFonts w:hint="eastAsia" w:ascii="Times New Roman" w:hAnsi="Times New Roman" w:eastAsia="仿宋_GB2312" w:cs="Times New Roman"/>
          <w:spacing w:val="0"/>
          <w:w w:val="100"/>
          <w:kern w:val="0"/>
          <w:sz w:val="32"/>
          <w:szCs w:val="32"/>
          <w:lang w:val="en-US" w:eastAsia="en-US" w:bidi="ar-SA"/>
        </w:rPr>
        <w:t>人大会议经费（区人民代表大会、区人大常委会、主任会议、市人民代表大会、省市人大工作研讨会）。</w:t>
      </w:r>
      <w:r>
        <w:rPr>
          <w:rFonts w:hint="eastAsia" w:ascii="Times New Roman" w:hAnsi="Times New Roman" w:eastAsia="仿宋_GB2312" w:cs="Times New Roman"/>
          <w:spacing w:val="0"/>
          <w:w w:val="100"/>
          <w:kern w:val="0"/>
          <w:sz w:val="32"/>
          <w:szCs w:val="32"/>
          <w:lang w:val="en-US" w:eastAsia="zh-CN" w:bidi="ar-SA"/>
        </w:rPr>
        <w:t>完成1次</w:t>
      </w:r>
      <w:r>
        <w:rPr>
          <w:rFonts w:hint="eastAsia" w:ascii="Times New Roman" w:hAnsi="Times New Roman" w:eastAsia="仿宋_GB2312" w:cs="Times New Roman"/>
          <w:spacing w:val="0"/>
          <w:w w:val="100"/>
          <w:kern w:val="0"/>
          <w:sz w:val="32"/>
          <w:szCs w:val="32"/>
          <w:lang w:val="en-US" w:eastAsia="en-US" w:bidi="ar-SA"/>
        </w:rPr>
        <w:t>区八届</w:t>
      </w:r>
      <w:r>
        <w:rPr>
          <w:rFonts w:hint="eastAsia" w:ascii="Times New Roman" w:hAnsi="Times New Roman" w:eastAsia="仿宋_GB2312" w:cs="Times New Roman"/>
          <w:spacing w:val="0"/>
          <w:w w:val="100"/>
          <w:kern w:val="0"/>
          <w:sz w:val="32"/>
          <w:szCs w:val="32"/>
          <w:lang w:val="en-US" w:eastAsia="zh-CN" w:bidi="ar-SA"/>
        </w:rPr>
        <w:t>二</w:t>
      </w:r>
      <w:r>
        <w:rPr>
          <w:rFonts w:hint="eastAsia" w:ascii="Times New Roman" w:hAnsi="Times New Roman" w:eastAsia="仿宋_GB2312" w:cs="Times New Roman"/>
          <w:spacing w:val="0"/>
          <w:w w:val="100"/>
          <w:kern w:val="0"/>
          <w:sz w:val="32"/>
          <w:szCs w:val="32"/>
          <w:lang w:val="en-US" w:eastAsia="en-US" w:bidi="ar-SA"/>
        </w:rPr>
        <w:t>次人代会，202</w:t>
      </w:r>
      <w:r>
        <w:rPr>
          <w:rFonts w:hint="eastAsia" w:ascii="Times New Roman" w:hAnsi="Times New Roman" w:eastAsia="仿宋_GB2312" w:cs="Times New Roman"/>
          <w:spacing w:val="0"/>
          <w:w w:val="100"/>
          <w:kern w:val="0"/>
          <w:sz w:val="32"/>
          <w:szCs w:val="32"/>
          <w:lang w:val="en-US" w:eastAsia="zh-CN" w:bidi="ar-SA"/>
        </w:rPr>
        <w:t>2</w:t>
      </w:r>
      <w:r>
        <w:rPr>
          <w:rFonts w:hint="eastAsia" w:ascii="Times New Roman" w:hAnsi="Times New Roman" w:eastAsia="仿宋_GB2312" w:cs="Times New Roman"/>
          <w:spacing w:val="0"/>
          <w:w w:val="100"/>
          <w:kern w:val="0"/>
          <w:sz w:val="32"/>
          <w:szCs w:val="32"/>
          <w:lang w:val="en-US" w:eastAsia="en-US" w:bidi="ar-SA"/>
        </w:rPr>
        <w:t>年度人大常委会8次例会、12次主任会议，参加</w:t>
      </w:r>
      <w:r>
        <w:rPr>
          <w:rFonts w:hint="eastAsia" w:ascii="Times New Roman" w:hAnsi="Times New Roman" w:eastAsia="仿宋_GB2312" w:cs="Times New Roman"/>
          <w:spacing w:val="0"/>
          <w:w w:val="100"/>
          <w:kern w:val="0"/>
          <w:sz w:val="32"/>
          <w:szCs w:val="32"/>
          <w:lang w:val="en-US" w:eastAsia="zh-CN" w:bidi="ar-SA"/>
        </w:rPr>
        <w:t>6此</w:t>
      </w:r>
      <w:r>
        <w:rPr>
          <w:rFonts w:hint="eastAsia" w:ascii="Times New Roman" w:hAnsi="Times New Roman" w:eastAsia="仿宋_GB2312" w:cs="Times New Roman"/>
          <w:spacing w:val="0"/>
          <w:w w:val="100"/>
          <w:kern w:val="0"/>
          <w:sz w:val="32"/>
          <w:szCs w:val="32"/>
          <w:lang w:val="en-US" w:eastAsia="en-US" w:bidi="ar-SA"/>
        </w:rPr>
        <w:t>省市人大工作研讨会，昭化代表团参加</w:t>
      </w:r>
      <w:r>
        <w:rPr>
          <w:rFonts w:hint="eastAsia" w:ascii="Times New Roman" w:hAnsi="Times New Roman" w:eastAsia="仿宋_GB2312" w:cs="Times New Roman"/>
          <w:spacing w:val="0"/>
          <w:w w:val="100"/>
          <w:kern w:val="0"/>
          <w:sz w:val="32"/>
          <w:szCs w:val="32"/>
          <w:lang w:val="en-US" w:eastAsia="zh-CN" w:bidi="ar-SA"/>
        </w:rPr>
        <w:t>1次</w:t>
      </w:r>
      <w:r>
        <w:rPr>
          <w:rFonts w:hint="eastAsia" w:ascii="Times New Roman" w:hAnsi="Times New Roman" w:eastAsia="仿宋_GB2312" w:cs="Times New Roman"/>
          <w:spacing w:val="0"/>
          <w:w w:val="100"/>
          <w:kern w:val="0"/>
          <w:sz w:val="32"/>
          <w:szCs w:val="32"/>
          <w:lang w:val="en-US" w:eastAsia="en-US" w:bidi="ar-SA"/>
        </w:rPr>
        <w:t>市八届</w:t>
      </w:r>
      <w:r>
        <w:rPr>
          <w:rFonts w:hint="eastAsia" w:ascii="Times New Roman" w:hAnsi="Times New Roman" w:eastAsia="仿宋_GB2312" w:cs="Times New Roman"/>
          <w:spacing w:val="0"/>
          <w:w w:val="100"/>
          <w:kern w:val="0"/>
          <w:sz w:val="32"/>
          <w:szCs w:val="32"/>
          <w:lang w:val="en-US" w:eastAsia="zh-CN" w:bidi="ar-SA"/>
        </w:rPr>
        <w:t>二</w:t>
      </w:r>
      <w:r>
        <w:rPr>
          <w:rFonts w:hint="eastAsia" w:ascii="Times New Roman" w:hAnsi="Times New Roman" w:eastAsia="仿宋_GB2312" w:cs="Times New Roman"/>
          <w:spacing w:val="0"/>
          <w:w w:val="100"/>
          <w:kern w:val="0"/>
          <w:sz w:val="32"/>
          <w:szCs w:val="32"/>
          <w:lang w:val="en-US" w:eastAsia="en-US" w:bidi="ar-SA"/>
        </w:rPr>
        <w:t>次人代会。</w:t>
      </w:r>
    </w:p>
    <w:p>
      <w:pPr>
        <w:pStyle w:val="27"/>
        <w:keepNext w:val="0"/>
        <w:keepLines w:val="0"/>
        <w:pageBreakBefore w:val="0"/>
        <w:widowControl w:val="0"/>
        <w:numPr>
          <w:ilvl w:val="0"/>
          <w:numId w:val="0"/>
        </w:numPr>
        <w:tabs>
          <w:tab w:val="left" w:pos="1069"/>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2.</w:t>
      </w:r>
      <w:r>
        <w:rPr>
          <w:rFonts w:hint="eastAsia" w:ascii="Times New Roman" w:hAnsi="Times New Roman" w:eastAsia="仿宋_GB2312" w:cs="Times New Roman"/>
          <w:spacing w:val="0"/>
          <w:w w:val="100"/>
          <w:kern w:val="0"/>
          <w:sz w:val="32"/>
          <w:szCs w:val="32"/>
          <w:lang w:val="en-US" w:eastAsia="en-US" w:bidi="ar-SA"/>
        </w:rPr>
        <w:t>人大代表经费（代表履职能力提升及平台建设、异地人大代表联络站、民生实事项目人大代表票决制）。确保</w:t>
      </w:r>
      <w:r>
        <w:rPr>
          <w:rFonts w:hint="eastAsia" w:ascii="Times New Roman" w:hAnsi="Times New Roman" w:eastAsia="仿宋_GB2312" w:cs="Times New Roman"/>
          <w:spacing w:val="0"/>
          <w:w w:val="100"/>
          <w:kern w:val="0"/>
          <w:sz w:val="32"/>
          <w:szCs w:val="32"/>
          <w:lang w:val="en-US" w:eastAsia="zh-CN" w:bidi="ar-SA"/>
        </w:rPr>
        <w:t>了</w:t>
      </w:r>
      <w:r>
        <w:rPr>
          <w:rFonts w:hint="eastAsia" w:ascii="Times New Roman" w:hAnsi="Times New Roman" w:eastAsia="仿宋_GB2312" w:cs="Times New Roman"/>
          <w:spacing w:val="0"/>
          <w:w w:val="100"/>
          <w:kern w:val="0"/>
          <w:sz w:val="32"/>
          <w:szCs w:val="32"/>
          <w:lang w:val="en-US" w:eastAsia="en-US" w:bidi="ar-SA"/>
        </w:rPr>
        <w:t>区、镇</w:t>
      </w:r>
      <w:r>
        <w:rPr>
          <w:rFonts w:hint="eastAsia" w:ascii="Times New Roman" w:hAnsi="Times New Roman" w:eastAsia="仿宋_GB2312" w:cs="Times New Roman"/>
          <w:spacing w:val="0"/>
          <w:w w:val="100"/>
          <w:kern w:val="0"/>
          <w:sz w:val="32"/>
          <w:szCs w:val="32"/>
          <w:lang w:val="en-US" w:eastAsia="zh-CN" w:bidi="ar-SA"/>
        </w:rPr>
        <w:t>12个</w:t>
      </w:r>
      <w:r>
        <w:rPr>
          <w:rFonts w:hint="eastAsia" w:ascii="Times New Roman" w:hAnsi="Times New Roman" w:eastAsia="仿宋_GB2312" w:cs="Times New Roman"/>
          <w:spacing w:val="0"/>
          <w:w w:val="100"/>
          <w:kern w:val="0"/>
          <w:sz w:val="32"/>
          <w:szCs w:val="32"/>
          <w:lang w:val="en-US" w:eastAsia="en-US" w:bidi="ar-SA"/>
        </w:rPr>
        <w:t>代表履职能力提升及平台建设、</w:t>
      </w:r>
      <w:r>
        <w:rPr>
          <w:rFonts w:hint="eastAsia" w:ascii="Times New Roman" w:hAnsi="Times New Roman" w:eastAsia="仿宋_GB2312" w:cs="Times New Roman"/>
          <w:spacing w:val="0"/>
          <w:w w:val="100"/>
          <w:kern w:val="0"/>
          <w:sz w:val="32"/>
          <w:szCs w:val="32"/>
          <w:lang w:val="en-US" w:eastAsia="zh-CN" w:bidi="ar-SA"/>
        </w:rPr>
        <w:t>保障了4个</w:t>
      </w:r>
      <w:r>
        <w:rPr>
          <w:rFonts w:hint="eastAsia" w:ascii="Times New Roman" w:hAnsi="Times New Roman" w:eastAsia="仿宋_GB2312" w:cs="Times New Roman"/>
          <w:spacing w:val="0"/>
          <w:w w:val="100"/>
          <w:kern w:val="0"/>
          <w:sz w:val="32"/>
          <w:szCs w:val="32"/>
          <w:lang w:val="en-US" w:eastAsia="en-US" w:bidi="ar-SA"/>
        </w:rPr>
        <w:t>异地人大代表联络站工作开展</w:t>
      </w:r>
      <w:r>
        <w:rPr>
          <w:rFonts w:hint="eastAsia" w:ascii="Times New Roman" w:hAnsi="Times New Roman" w:eastAsia="仿宋_GB2312" w:cs="Times New Roman"/>
          <w:spacing w:val="0"/>
          <w:w w:val="100"/>
          <w:kern w:val="0"/>
          <w:sz w:val="32"/>
          <w:szCs w:val="32"/>
          <w:lang w:val="en-US" w:eastAsia="zh-CN" w:bidi="ar-SA"/>
        </w:rPr>
        <w:t>，实现12件</w:t>
      </w:r>
      <w:r>
        <w:rPr>
          <w:rFonts w:hint="eastAsia" w:ascii="Times New Roman" w:hAnsi="Times New Roman" w:eastAsia="仿宋_GB2312" w:cs="Times New Roman"/>
          <w:spacing w:val="0"/>
          <w:w w:val="100"/>
          <w:kern w:val="0"/>
          <w:sz w:val="32"/>
          <w:szCs w:val="32"/>
          <w:lang w:val="en-US" w:eastAsia="en-US" w:bidi="ar-SA"/>
        </w:rPr>
        <w:t>民生实事项目</w:t>
      </w:r>
      <w:r>
        <w:rPr>
          <w:rFonts w:hint="eastAsia" w:ascii="Times New Roman" w:hAnsi="Times New Roman" w:eastAsia="仿宋_GB2312" w:cs="Times New Roman"/>
          <w:spacing w:val="0"/>
          <w:w w:val="100"/>
          <w:kern w:val="0"/>
          <w:sz w:val="32"/>
          <w:szCs w:val="32"/>
          <w:lang w:val="en-US" w:eastAsia="zh-CN" w:bidi="ar-SA"/>
        </w:rPr>
        <w:t>有效监督</w:t>
      </w:r>
      <w:r>
        <w:rPr>
          <w:rFonts w:hint="eastAsia" w:ascii="Times New Roman" w:hAnsi="Times New Roman" w:eastAsia="仿宋_GB2312" w:cs="Times New Roman"/>
          <w:spacing w:val="0"/>
          <w:w w:val="100"/>
          <w:kern w:val="0"/>
          <w:sz w:val="32"/>
          <w:szCs w:val="32"/>
          <w:lang w:val="en-US" w:eastAsia="en-US" w:bidi="ar-SA"/>
        </w:rPr>
        <w:t>。使得人大代表履职能力提升按期完成率达到100%，履职能力提升培训合格率达到100%，各部门和人民群众的满意度达到100%。</w:t>
      </w:r>
    </w:p>
    <w:p>
      <w:pPr>
        <w:pStyle w:val="27"/>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zh-CN" w:bidi="ar-SA"/>
        </w:rPr>
      </w:pPr>
      <w:r>
        <w:rPr>
          <w:rFonts w:hint="eastAsia" w:ascii="Times New Roman" w:hAnsi="Times New Roman" w:eastAsia="仿宋_GB2312" w:cs="Times New Roman"/>
          <w:spacing w:val="0"/>
          <w:w w:val="100"/>
          <w:kern w:val="0"/>
          <w:sz w:val="32"/>
          <w:szCs w:val="32"/>
          <w:lang w:val="en-US" w:eastAsia="zh-CN" w:bidi="ar-SA"/>
        </w:rPr>
        <w:t>3.</w:t>
      </w:r>
      <w:r>
        <w:rPr>
          <w:rFonts w:hint="eastAsia" w:ascii="Times New Roman" w:hAnsi="Times New Roman" w:eastAsia="仿宋_GB2312" w:cs="Times New Roman"/>
          <w:spacing w:val="0"/>
          <w:w w:val="100"/>
          <w:kern w:val="0"/>
          <w:sz w:val="32"/>
          <w:szCs w:val="32"/>
          <w:lang w:val="en-US" w:eastAsia="en-US" w:bidi="ar-SA"/>
        </w:rPr>
        <w:t>人大业务经费(人大监督、视察、调研、执法检查、全省预算执行在线监督、15个专委会工作、信访工作）</w:t>
      </w:r>
      <w:r>
        <w:rPr>
          <w:rFonts w:hint="eastAsia" w:ascii="Times New Roman" w:hAnsi="Times New Roman" w:eastAsia="仿宋_GB2312" w:cs="Times New Roman"/>
          <w:spacing w:val="0"/>
          <w:w w:val="100"/>
          <w:kern w:val="0"/>
          <w:sz w:val="32"/>
          <w:szCs w:val="32"/>
          <w:lang w:val="en-US" w:eastAsia="zh-CN" w:bidi="ar-SA"/>
        </w:rPr>
        <w:t>。</w:t>
      </w:r>
      <w:r>
        <w:rPr>
          <w:rFonts w:hint="eastAsia" w:ascii="Times New Roman" w:hAnsi="Times New Roman" w:eastAsia="仿宋_GB2312" w:cs="Times New Roman"/>
          <w:spacing w:val="0"/>
          <w:w w:val="100"/>
          <w:kern w:val="0"/>
          <w:sz w:val="32"/>
          <w:szCs w:val="32"/>
          <w:lang w:val="en-US" w:eastAsia="en-US" w:bidi="ar-SA"/>
        </w:rPr>
        <w:t>人大监督</w:t>
      </w:r>
      <w:r>
        <w:rPr>
          <w:rFonts w:hint="eastAsia" w:ascii="Times New Roman" w:hAnsi="Times New Roman" w:eastAsia="仿宋_GB2312" w:cs="Times New Roman"/>
          <w:spacing w:val="0"/>
          <w:w w:val="100"/>
          <w:kern w:val="0"/>
          <w:sz w:val="32"/>
          <w:szCs w:val="32"/>
          <w:lang w:val="en-US" w:eastAsia="zh-CN" w:bidi="ar-SA"/>
        </w:rPr>
        <w:t>有效监督百余次</w:t>
      </w:r>
      <w:r>
        <w:rPr>
          <w:rFonts w:hint="eastAsia" w:ascii="Times New Roman" w:hAnsi="Times New Roman" w:eastAsia="仿宋_GB2312" w:cs="Times New Roman"/>
          <w:spacing w:val="0"/>
          <w:w w:val="100"/>
          <w:kern w:val="0"/>
          <w:sz w:val="32"/>
          <w:szCs w:val="32"/>
          <w:lang w:val="en-US" w:eastAsia="en-US" w:bidi="ar-SA"/>
        </w:rPr>
        <w:t>、视察</w:t>
      </w:r>
      <w:r>
        <w:rPr>
          <w:rFonts w:hint="eastAsia" w:ascii="Times New Roman" w:hAnsi="Times New Roman" w:eastAsia="仿宋_GB2312" w:cs="Times New Roman"/>
          <w:spacing w:val="0"/>
          <w:w w:val="100"/>
          <w:kern w:val="0"/>
          <w:sz w:val="32"/>
          <w:szCs w:val="32"/>
          <w:lang w:val="en-US" w:eastAsia="zh-CN" w:bidi="ar-SA"/>
        </w:rPr>
        <w:t>12次</w:t>
      </w:r>
      <w:r>
        <w:rPr>
          <w:rFonts w:hint="eastAsia" w:ascii="Times New Roman" w:hAnsi="Times New Roman" w:eastAsia="仿宋_GB2312" w:cs="Times New Roman"/>
          <w:spacing w:val="0"/>
          <w:w w:val="100"/>
          <w:kern w:val="0"/>
          <w:sz w:val="32"/>
          <w:szCs w:val="32"/>
          <w:lang w:val="en-US" w:eastAsia="en-US" w:bidi="ar-SA"/>
        </w:rPr>
        <w:t>、调研</w:t>
      </w:r>
      <w:r>
        <w:rPr>
          <w:rFonts w:hint="eastAsia" w:ascii="Times New Roman" w:hAnsi="Times New Roman" w:eastAsia="仿宋_GB2312" w:cs="Times New Roman"/>
          <w:spacing w:val="0"/>
          <w:w w:val="100"/>
          <w:kern w:val="0"/>
          <w:sz w:val="32"/>
          <w:szCs w:val="32"/>
          <w:lang w:val="en-US" w:eastAsia="zh-CN" w:bidi="ar-SA"/>
        </w:rPr>
        <w:t>120余次</w:t>
      </w:r>
      <w:r>
        <w:rPr>
          <w:rFonts w:hint="eastAsia" w:ascii="Times New Roman" w:hAnsi="Times New Roman" w:eastAsia="仿宋_GB2312" w:cs="Times New Roman"/>
          <w:spacing w:val="0"/>
          <w:w w:val="100"/>
          <w:kern w:val="0"/>
          <w:sz w:val="32"/>
          <w:szCs w:val="32"/>
          <w:lang w:val="en-US" w:eastAsia="en-US" w:bidi="ar-SA"/>
        </w:rPr>
        <w:t>、执法检查</w:t>
      </w:r>
      <w:r>
        <w:rPr>
          <w:rFonts w:hint="eastAsia" w:ascii="Times New Roman" w:hAnsi="Times New Roman" w:eastAsia="仿宋_GB2312" w:cs="Times New Roman"/>
          <w:spacing w:val="0"/>
          <w:w w:val="100"/>
          <w:kern w:val="0"/>
          <w:sz w:val="32"/>
          <w:szCs w:val="32"/>
          <w:lang w:val="en-US" w:eastAsia="zh-CN" w:bidi="ar-SA"/>
        </w:rPr>
        <w:t>30次</w:t>
      </w:r>
      <w:r>
        <w:rPr>
          <w:rFonts w:hint="eastAsia" w:ascii="Times New Roman" w:hAnsi="Times New Roman" w:eastAsia="仿宋_GB2312" w:cs="Times New Roman"/>
          <w:spacing w:val="0"/>
          <w:w w:val="100"/>
          <w:kern w:val="0"/>
          <w:sz w:val="32"/>
          <w:szCs w:val="32"/>
          <w:lang w:val="en-US" w:eastAsia="en-US" w:bidi="ar-SA"/>
        </w:rPr>
        <w:t>、</w:t>
      </w:r>
      <w:r>
        <w:rPr>
          <w:rFonts w:hint="eastAsia" w:ascii="Times New Roman" w:hAnsi="Times New Roman" w:eastAsia="仿宋_GB2312" w:cs="Times New Roman"/>
          <w:spacing w:val="0"/>
          <w:w w:val="100"/>
          <w:kern w:val="0"/>
          <w:sz w:val="32"/>
          <w:szCs w:val="32"/>
          <w:lang w:val="en-US" w:eastAsia="zh-CN" w:bidi="ar-SA"/>
        </w:rPr>
        <w:t>78个一级预算单位</w:t>
      </w:r>
      <w:r>
        <w:rPr>
          <w:rFonts w:hint="eastAsia" w:ascii="Times New Roman" w:hAnsi="Times New Roman" w:eastAsia="仿宋_GB2312" w:cs="Times New Roman"/>
          <w:spacing w:val="0"/>
          <w:w w:val="100"/>
          <w:kern w:val="0"/>
          <w:sz w:val="32"/>
          <w:szCs w:val="32"/>
          <w:lang w:val="en-US" w:eastAsia="en-US" w:bidi="ar-SA"/>
        </w:rPr>
        <w:t>预算执行在线监督</w:t>
      </w:r>
      <w:r>
        <w:rPr>
          <w:rFonts w:hint="eastAsia" w:ascii="Times New Roman" w:hAnsi="Times New Roman" w:eastAsia="仿宋_GB2312" w:cs="Times New Roman"/>
          <w:spacing w:val="0"/>
          <w:w w:val="100"/>
          <w:kern w:val="0"/>
          <w:sz w:val="32"/>
          <w:szCs w:val="32"/>
          <w:lang w:val="en-US" w:eastAsia="zh-CN" w:bidi="ar-SA"/>
        </w:rPr>
        <w:t>全覆盖</w:t>
      </w:r>
      <w:r>
        <w:rPr>
          <w:rFonts w:hint="eastAsia" w:ascii="Times New Roman" w:hAnsi="Times New Roman" w:eastAsia="仿宋_GB2312" w:cs="Times New Roman"/>
          <w:spacing w:val="0"/>
          <w:w w:val="100"/>
          <w:kern w:val="0"/>
          <w:sz w:val="32"/>
          <w:szCs w:val="32"/>
          <w:lang w:val="en-US" w:eastAsia="en-US" w:bidi="ar-SA"/>
        </w:rPr>
        <w:t>、</w:t>
      </w:r>
      <w:r>
        <w:rPr>
          <w:rFonts w:hint="eastAsia" w:ascii="Times New Roman" w:hAnsi="Times New Roman" w:eastAsia="仿宋_GB2312" w:cs="Times New Roman"/>
          <w:spacing w:val="0"/>
          <w:w w:val="100"/>
          <w:kern w:val="0"/>
          <w:sz w:val="32"/>
          <w:szCs w:val="32"/>
          <w:lang w:val="en-US" w:eastAsia="zh-CN" w:bidi="ar-SA"/>
        </w:rPr>
        <w:t>保障了</w:t>
      </w:r>
      <w:r>
        <w:rPr>
          <w:rFonts w:hint="eastAsia" w:ascii="Times New Roman" w:hAnsi="Times New Roman" w:eastAsia="仿宋_GB2312" w:cs="Times New Roman"/>
          <w:spacing w:val="0"/>
          <w:w w:val="100"/>
          <w:kern w:val="0"/>
          <w:sz w:val="32"/>
          <w:szCs w:val="32"/>
          <w:lang w:val="en-US" w:eastAsia="en-US" w:bidi="ar-SA"/>
        </w:rPr>
        <w:t>15个专委会工作及信访等工作</w:t>
      </w:r>
      <w:r>
        <w:rPr>
          <w:rFonts w:hint="eastAsia" w:ascii="Times New Roman" w:hAnsi="Times New Roman" w:eastAsia="仿宋_GB2312" w:cs="Times New Roman"/>
          <w:spacing w:val="0"/>
          <w:w w:val="100"/>
          <w:kern w:val="0"/>
          <w:sz w:val="32"/>
          <w:szCs w:val="32"/>
          <w:lang w:val="en-US" w:eastAsia="zh-CN" w:bidi="ar-SA"/>
        </w:rPr>
        <w:t>顺利开展</w:t>
      </w:r>
      <w:r>
        <w:rPr>
          <w:rFonts w:hint="eastAsia" w:ascii="Times New Roman" w:hAnsi="Times New Roman" w:eastAsia="仿宋_GB2312" w:cs="Times New Roman"/>
          <w:spacing w:val="0"/>
          <w:w w:val="100"/>
          <w:kern w:val="0"/>
          <w:sz w:val="32"/>
          <w:szCs w:val="32"/>
          <w:lang w:val="en-US" w:eastAsia="en-US" w:bidi="ar-SA"/>
        </w:rPr>
        <w:t>。确保各项人大业务工作按期完成及时率达到100%</w:t>
      </w:r>
      <w:r>
        <w:rPr>
          <w:rFonts w:hint="eastAsia" w:ascii="Times New Roman" w:hAnsi="Times New Roman" w:eastAsia="仿宋_GB2312" w:cs="Times New Roman"/>
          <w:spacing w:val="0"/>
          <w:w w:val="100"/>
          <w:kern w:val="0"/>
          <w:sz w:val="32"/>
          <w:szCs w:val="32"/>
          <w:lang w:val="en-US" w:eastAsia="zh-CN" w:bidi="ar-SA"/>
        </w:rPr>
        <w:t>。</w:t>
      </w:r>
    </w:p>
    <w:p>
      <w:pPr>
        <w:pStyle w:val="27"/>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Times New Roman" w:hAnsi="Times New Roman" w:eastAsia="仿宋_GB2312" w:cs="Times New Roman"/>
          <w:spacing w:val="0"/>
          <w:w w:val="100"/>
          <w:kern w:val="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4.</w:t>
      </w:r>
      <w:r>
        <w:rPr>
          <w:rFonts w:hint="eastAsia" w:ascii="Times New Roman" w:hAnsi="Times New Roman" w:eastAsia="仿宋_GB2312" w:cs="Times New Roman"/>
          <w:spacing w:val="0"/>
          <w:w w:val="100"/>
          <w:kern w:val="0"/>
          <w:sz w:val="32"/>
          <w:szCs w:val="32"/>
          <w:lang w:val="en-US" w:eastAsia="en-US" w:bidi="ar-SA"/>
        </w:rPr>
        <w:t>机关管理经费(退休老干部管理、《人大志》编撰）</w:t>
      </w:r>
      <w:r>
        <w:rPr>
          <w:rFonts w:hint="eastAsia" w:ascii="Times New Roman" w:hAnsi="Times New Roman" w:eastAsia="仿宋_GB2312" w:cs="Times New Roman"/>
          <w:spacing w:val="0"/>
          <w:w w:val="100"/>
          <w:kern w:val="0"/>
          <w:sz w:val="32"/>
          <w:szCs w:val="32"/>
          <w:lang w:val="en-US" w:eastAsia="zh-CN" w:bidi="ar-SA"/>
        </w:rPr>
        <w:t>。</w:t>
      </w:r>
      <w:r>
        <w:rPr>
          <w:rFonts w:hint="eastAsia" w:ascii="Times New Roman" w:hAnsi="Times New Roman" w:eastAsia="仿宋_GB2312" w:cs="Times New Roman"/>
          <w:spacing w:val="0"/>
          <w:w w:val="100"/>
          <w:kern w:val="0"/>
          <w:sz w:val="32"/>
          <w:szCs w:val="32"/>
          <w:lang w:val="en-US" w:eastAsia="en-US" w:bidi="ar-SA"/>
        </w:rPr>
        <w:t>该项目一是完成对15年的人大工作进行编纂，形成《人大志》，编撰工作</w:t>
      </w:r>
      <w:r>
        <w:rPr>
          <w:rFonts w:hint="eastAsia" w:ascii="Times New Roman" w:hAnsi="Times New Roman" w:eastAsia="仿宋_GB2312" w:cs="Times New Roman"/>
          <w:spacing w:val="0"/>
          <w:w w:val="100"/>
          <w:kern w:val="0"/>
          <w:sz w:val="32"/>
          <w:szCs w:val="32"/>
          <w:lang w:val="en-US" w:eastAsia="zh-CN" w:bidi="ar-SA"/>
        </w:rPr>
        <w:t>完成30%</w:t>
      </w:r>
      <w:r>
        <w:rPr>
          <w:rFonts w:hint="eastAsia" w:ascii="Times New Roman" w:hAnsi="Times New Roman" w:eastAsia="仿宋_GB2312" w:cs="Times New Roman"/>
          <w:spacing w:val="0"/>
          <w:w w:val="100"/>
          <w:kern w:val="0"/>
          <w:sz w:val="32"/>
          <w:szCs w:val="32"/>
          <w:lang w:val="en-US" w:eastAsia="en-US" w:bidi="ar-SA"/>
        </w:rPr>
        <w:t>；二是加强对</w:t>
      </w:r>
      <w:r>
        <w:rPr>
          <w:rFonts w:hint="eastAsia" w:ascii="Times New Roman" w:hAnsi="Times New Roman" w:eastAsia="仿宋_GB2312" w:cs="Times New Roman"/>
          <w:spacing w:val="0"/>
          <w:w w:val="100"/>
          <w:kern w:val="0"/>
          <w:sz w:val="32"/>
          <w:szCs w:val="32"/>
          <w:lang w:val="en-US" w:eastAsia="zh-CN" w:bidi="ar-SA"/>
        </w:rPr>
        <w:t>27</w:t>
      </w:r>
      <w:r>
        <w:rPr>
          <w:rFonts w:hint="eastAsia" w:ascii="Times New Roman" w:hAnsi="Times New Roman" w:eastAsia="仿宋_GB2312" w:cs="Times New Roman"/>
          <w:spacing w:val="0"/>
          <w:w w:val="100"/>
          <w:kern w:val="0"/>
          <w:sz w:val="32"/>
          <w:szCs w:val="32"/>
          <w:lang w:val="en-US" w:eastAsia="en-US" w:bidi="ar-SA"/>
        </w:rPr>
        <w:t>名退休干部的管理工作，包含会议、学习、参观、体检、慰问等工作</w:t>
      </w:r>
      <w:r>
        <w:rPr>
          <w:rFonts w:hint="eastAsia" w:ascii="Times New Roman" w:hAnsi="Times New Roman" w:eastAsia="仿宋_GB2312" w:cs="Times New Roman"/>
          <w:spacing w:val="0"/>
          <w:w w:val="100"/>
          <w:kern w:val="0"/>
          <w:sz w:val="32"/>
          <w:szCs w:val="32"/>
          <w:lang w:val="en-US" w:eastAsia="zh-CN" w:bidi="ar-SA"/>
        </w:rPr>
        <w:t>，</w:t>
      </w:r>
      <w:r>
        <w:rPr>
          <w:rFonts w:hint="eastAsia" w:ascii="Times New Roman" w:hAnsi="Times New Roman" w:eastAsia="仿宋_GB2312" w:cs="Times New Roman"/>
          <w:spacing w:val="0"/>
          <w:w w:val="100"/>
          <w:kern w:val="0"/>
          <w:sz w:val="32"/>
          <w:szCs w:val="32"/>
          <w:lang w:val="en-US" w:eastAsia="en-US" w:bidi="ar-SA"/>
        </w:rPr>
        <w:t>各部门及老干部自身满意度均达到100%。</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leftChars="0" w:right="0" w:firstLine="640" w:firstLineChars="200"/>
        <w:jc w:val="both"/>
        <w:textAlignment w:val="auto"/>
        <w:rPr>
          <w:rFonts w:hint="eastAsia" w:ascii="Times New Roman" w:hAnsi="Times New Roman" w:eastAsia="仿宋_GB2312" w:cs="Times New Roman"/>
          <w:spacing w:val="0"/>
          <w:w w:val="100"/>
          <w:kern w:val="0"/>
          <w:sz w:val="32"/>
          <w:szCs w:val="32"/>
          <w:lang w:val="en-US" w:eastAsia="en-US" w:bidi="ar-SA"/>
        </w:rPr>
      </w:pPr>
      <w:r>
        <w:rPr>
          <w:rFonts w:hint="eastAsia" w:ascii="Times New Roman" w:hAnsi="Times New Roman" w:eastAsia="仿宋_GB2312" w:cs="Times New Roman"/>
          <w:spacing w:val="0"/>
          <w:w w:val="100"/>
          <w:kern w:val="0"/>
          <w:sz w:val="32"/>
          <w:szCs w:val="32"/>
          <w:lang w:val="en-US" w:eastAsia="zh-CN" w:bidi="ar-SA"/>
        </w:rPr>
        <w:t>5.</w:t>
      </w:r>
      <w:r>
        <w:rPr>
          <w:rFonts w:hint="eastAsia" w:ascii="Times New Roman" w:hAnsi="Times New Roman" w:eastAsia="仿宋_GB2312" w:cs="Times New Roman"/>
          <w:spacing w:val="0"/>
          <w:w w:val="100"/>
          <w:kern w:val="0"/>
          <w:sz w:val="32"/>
          <w:szCs w:val="32"/>
          <w:lang w:val="en-US" w:eastAsia="en-US" w:bidi="ar-SA"/>
        </w:rPr>
        <w:t>乡村振兴及其它人大事务性经费。</w:t>
      </w:r>
      <w:r>
        <w:rPr>
          <w:rFonts w:hint="eastAsia" w:ascii="Times New Roman" w:hAnsi="Times New Roman" w:eastAsia="仿宋_GB2312" w:cs="Times New Roman"/>
          <w:spacing w:val="0"/>
          <w:w w:val="100"/>
          <w:kern w:val="0"/>
          <w:sz w:val="32"/>
          <w:szCs w:val="32"/>
          <w:lang w:val="en-US" w:eastAsia="zh-CN" w:bidi="ar-SA"/>
        </w:rPr>
        <w:t>完成了对</w:t>
      </w:r>
      <w:r>
        <w:rPr>
          <w:rFonts w:hint="eastAsia" w:ascii="Times New Roman" w:hAnsi="Times New Roman" w:eastAsia="仿宋_GB2312" w:cs="Times New Roman"/>
          <w:spacing w:val="0"/>
          <w:w w:val="100"/>
          <w:kern w:val="0"/>
          <w:sz w:val="32"/>
          <w:szCs w:val="32"/>
          <w:lang w:val="en-US" w:eastAsia="en-US" w:bidi="ar-SA"/>
        </w:rPr>
        <w:t>沈家阁、石井铺2村的帮扶联系工作及其它事务性工作，工作按期完成及时率达到100%，工作成效提升率达到100%，切实为民解难题办实事，助力产业发展，助农增收，使得各部门及帮扶对象满意度均达到100%。</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SA"/>
        </w:rPr>
      </w:pPr>
      <w:r>
        <w:rPr>
          <w:rFonts w:hint="eastAsia" w:ascii="Times New Roman" w:hAnsi="Times New Roman" w:eastAsia="仿宋_GB2312" w:cs="Times New Roman"/>
          <w:spacing w:val="0"/>
          <w:w w:val="100"/>
          <w:kern w:val="0"/>
          <w:sz w:val="32"/>
          <w:szCs w:val="32"/>
          <w:lang w:val="en-US" w:eastAsia="en-US" w:bidi="ar-SA"/>
        </w:rPr>
        <w:t>通该项目实施后，使我</w:t>
      </w:r>
      <w:r>
        <w:rPr>
          <w:rFonts w:hint="eastAsia" w:ascii="Times New Roman" w:hAnsi="Times New Roman" w:eastAsia="仿宋_GB2312" w:cs="Times New Roman"/>
          <w:spacing w:val="0"/>
          <w:w w:val="100"/>
          <w:kern w:val="0"/>
          <w:sz w:val="32"/>
          <w:szCs w:val="32"/>
          <w:lang w:val="en-US" w:eastAsia="zh-CN" w:bidi="ar-SA"/>
        </w:rPr>
        <w:t>办</w:t>
      </w:r>
      <w:r>
        <w:rPr>
          <w:rFonts w:hint="eastAsia" w:ascii="Times New Roman" w:hAnsi="Times New Roman" w:eastAsia="仿宋_GB2312" w:cs="Times New Roman"/>
          <w:spacing w:val="0"/>
          <w:w w:val="100"/>
          <w:kern w:val="0"/>
          <w:sz w:val="32"/>
          <w:szCs w:val="32"/>
          <w:lang w:val="en-US" w:eastAsia="en-US" w:bidi="ar-SA"/>
        </w:rPr>
        <w:t>各项业务工作得到了较好保障，</w:t>
      </w:r>
      <w:r>
        <w:rPr>
          <w:rFonts w:hint="eastAsia" w:ascii="Times New Roman" w:hAnsi="Times New Roman" w:eastAsia="仿宋_GB2312" w:cs="Times New Roman"/>
          <w:spacing w:val="0"/>
          <w:w w:val="100"/>
          <w:kern w:val="0"/>
          <w:sz w:val="32"/>
          <w:szCs w:val="32"/>
          <w:lang w:val="en-US" w:eastAsia="zh-CN" w:bidi="ar-SA"/>
        </w:rPr>
        <w:t>人民代表</w:t>
      </w:r>
      <w:r>
        <w:rPr>
          <w:rFonts w:hint="eastAsia" w:ascii="Times New Roman" w:hAnsi="Times New Roman" w:eastAsia="仿宋_GB2312" w:cs="Times New Roman"/>
          <w:spacing w:val="0"/>
          <w:w w:val="100"/>
          <w:kern w:val="0"/>
          <w:sz w:val="32"/>
          <w:szCs w:val="32"/>
          <w:lang w:val="en-US" w:eastAsia="en-US" w:bidi="ar-SA"/>
        </w:rPr>
        <w:t>的职能作用得到更充分发挥，</w:t>
      </w:r>
      <w:r>
        <w:rPr>
          <w:rFonts w:hint="default" w:ascii="Times New Roman" w:hAnsi="Times New Roman" w:eastAsia="仿宋_GB2312" w:cs="Times New Roman"/>
          <w:spacing w:val="0"/>
          <w:w w:val="100"/>
          <w:kern w:val="0"/>
          <w:sz w:val="32"/>
          <w:szCs w:val="32"/>
          <w:lang w:val="en-US" w:eastAsia="zh-CN" w:bidi="ar-SA"/>
        </w:rPr>
        <w:t>从经济效益分析，圆满完成全年工作目标，为昭化的高质量发展贡献了智慧和力量。从社会效益分析，了解民意，体察民情，集中民智，民从满意。从生态效益分析，助推了城乡环境的改善。从可持续影响分析，进一步丰富拓展了</w:t>
      </w:r>
      <w:r>
        <w:rPr>
          <w:rFonts w:hint="eastAsia" w:ascii="Times New Roman" w:hAnsi="Times New Roman" w:eastAsia="仿宋_GB2312" w:cs="Times New Roman"/>
          <w:spacing w:val="0"/>
          <w:w w:val="100"/>
          <w:kern w:val="0"/>
          <w:sz w:val="32"/>
          <w:szCs w:val="32"/>
          <w:lang w:val="en-US" w:eastAsia="zh-CN" w:bidi="ar-SA"/>
        </w:rPr>
        <w:t>人民当家</w:t>
      </w:r>
      <w:r>
        <w:rPr>
          <w:rFonts w:hint="eastAsia" w:eastAsia="仿宋_GB2312" w:cs="Times New Roman"/>
          <w:spacing w:val="0"/>
          <w:w w:val="100"/>
          <w:kern w:val="0"/>
          <w:sz w:val="32"/>
          <w:szCs w:val="32"/>
          <w:lang w:val="en-US" w:eastAsia="zh-CN" w:bidi="ar-SA"/>
        </w:rPr>
        <w:t>作</w:t>
      </w:r>
      <w:r>
        <w:rPr>
          <w:rFonts w:hint="eastAsia" w:ascii="Times New Roman" w:hAnsi="Times New Roman" w:eastAsia="仿宋_GB2312" w:cs="Times New Roman"/>
          <w:spacing w:val="0"/>
          <w:w w:val="100"/>
          <w:kern w:val="0"/>
          <w:sz w:val="32"/>
          <w:szCs w:val="32"/>
          <w:lang w:val="en-US" w:eastAsia="zh-CN" w:bidi="ar-SA"/>
        </w:rPr>
        <w:t>主</w:t>
      </w:r>
      <w:r>
        <w:rPr>
          <w:rFonts w:hint="default" w:ascii="Times New Roman" w:hAnsi="Times New Roman" w:eastAsia="仿宋_GB2312" w:cs="Times New Roman"/>
          <w:spacing w:val="0"/>
          <w:w w:val="100"/>
          <w:kern w:val="0"/>
          <w:sz w:val="32"/>
          <w:szCs w:val="32"/>
          <w:lang w:val="en-US" w:eastAsia="zh-CN" w:bidi="ar-SA"/>
        </w:rPr>
        <w:t>的途径和方式，提升了各项工作水平。</w:t>
      </w:r>
      <w:r>
        <w:rPr>
          <w:rFonts w:hint="eastAsia" w:ascii="Times New Roman" w:hAnsi="Times New Roman" w:eastAsia="仿宋_GB2312" w:cs="Times New Roman"/>
          <w:spacing w:val="0"/>
          <w:w w:val="100"/>
          <w:kern w:val="0"/>
          <w:sz w:val="32"/>
          <w:szCs w:val="32"/>
          <w:lang w:val="en-US" w:eastAsia="zh-CN" w:bidi="ar-SA"/>
        </w:rPr>
        <w:t>各项工作按期完成率达到100%，各部门及群众满意度100%。</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黑体" w:hAnsi="黑体" w:eastAsia="黑体" w:cs="黑体"/>
          <w:spacing w:val="0"/>
          <w:w w:val="100"/>
          <w:sz w:val="32"/>
          <w:szCs w:val="32"/>
          <w:lang w:val="en-US" w:eastAsia="en-US" w:bidi="ar-SA"/>
        </w:rPr>
      </w:pPr>
      <w:r>
        <w:rPr>
          <w:rFonts w:hint="eastAsia" w:ascii="黑体" w:hAnsi="黑体" w:eastAsia="黑体" w:cs="黑体"/>
          <w:spacing w:val="0"/>
          <w:w w:val="100"/>
          <w:sz w:val="32"/>
          <w:szCs w:val="32"/>
          <w:lang w:val="en-US" w:eastAsia="en-US" w:bidi="ar-SA"/>
        </w:rPr>
        <w:t>四、评价结论及问题建议</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lang w:val="en-US" w:eastAsia="en-US"/>
        </w:rPr>
      </w:pPr>
      <w:r>
        <w:rPr>
          <w:rFonts w:hint="eastAsia" w:ascii="楷体_GB2312" w:hAnsi="楷体_GB2312" w:eastAsia="楷体_GB2312" w:cs="楷体_GB2312"/>
          <w:spacing w:val="0"/>
          <w:w w:val="100"/>
          <w:sz w:val="32"/>
          <w:szCs w:val="32"/>
          <w:lang w:val="en-US" w:eastAsia="en-US"/>
        </w:rPr>
        <w:t>（一）评价结论</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default" w:ascii="Times New Roman" w:hAnsi="Times New Roman" w:eastAsia="仿宋_GB2312" w:cs="Times New Roman"/>
          <w:spacing w:val="0"/>
          <w:w w:val="100"/>
          <w:sz w:val="32"/>
          <w:szCs w:val="32"/>
          <w:lang w:val="en-US"/>
        </w:rPr>
      </w:pPr>
      <w:r>
        <w:rPr>
          <w:rFonts w:hint="default" w:ascii="Times New Roman" w:hAnsi="Times New Roman" w:eastAsia="仿宋_GB2312" w:cs="Times New Roman"/>
          <w:spacing w:val="0"/>
          <w:w w:val="100"/>
          <w:sz w:val="32"/>
          <w:szCs w:val="32"/>
          <w:lang w:val="en-US" w:eastAsia="zh-CN"/>
        </w:rPr>
        <w:t>通过对2022年度项目工作经费的使用，实施绩效进行了评价，各项项目工作经费为</w:t>
      </w:r>
      <w:r>
        <w:rPr>
          <w:rFonts w:hint="eastAsia" w:ascii="Times New Roman" w:hAnsi="Times New Roman" w:eastAsia="仿宋_GB2312" w:cs="Times New Roman"/>
          <w:spacing w:val="0"/>
          <w:w w:val="100"/>
          <w:sz w:val="32"/>
          <w:szCs w:val="32"/>
          <w:lang w:val="en-US" w:eastAsia="zh-CN"/>
        </w:rPr>
        <w:t>人大</w:t>
      </w:r>
      <w:r>
        <w:rPr>
          <w:rFonts w:hint="default" w:ascii="Times New Roman" w:hAnsi="Times New Roman" w:eastAsia="仿宋_GB2312" w:cs="Times New Roman"/>
          <w:spacing w:val="0"/>
          <w:w w:val="100"/>
          <w:sz w:val="32"/>
          <w:szCs w:val="32"/>
          <w:lang w:val="en-US" w:eastAsia="zh-CN"/>
        </w:rPr>
        <w:t>事业的发展提供了有效资金保障，</w:t>
      </w:r>
      <w:r>
        <w:rPr>
          <w:rFonts w:hint="eastAsia" w:ascii="Times New Roman" w:hAnsi="Times New Roman" w:eastAsia="仿宋_GB2312" w:cs="Times New Roman"/>
          <w:spacing w:val="0"/>
          <w:w w:val="100"/>
          <w:sz w:val="32"/>
          <w:szCs w:val="32"/>
        </w:rPr>
        <w:t>超额</w:t>
      </w:r>
      <w:r>
        <w:rPr>
          <w:rFonts w:hint="eastAsia" w:ascii="Times New Roman" w:hAnsi="Times New Roman" w:eastAsia="仿宋_GB2312" w:cs="Times New Roman"/>
          <w:spacing w:val="0"/>
          <w:w w:val="100"/>
          <w:sz w:val="32"/>
          <w:szCs w:val="32"/>
          <w:lang w:eastAsia="zh-CN"/>
        </w:rPr>
        <w:t>完成</w:t>
      </w:r>
      <w:r>
        <w:rPr>
          <w:rFonts w:hint="eastAsia" w:ascii="Times New Roman" w:hAnsi="Times New Roman" w:eastAsia="仿宋_GB2312" w:cs="Times New Roman"/>
          <w:spacing w:val="0"/>
          <w:w w:val="100"/>
          <w:sz w:val="32"/>
          <w:szCs w:val="32"/>
        </w:rPr>
        <w:t>全年各项工作</w:t>
      </w:r>
      <w:r>
        <w:rPr>
          <w:rFonts w:hint="eastAsia" w:ascii="Times New Roman" w:hAnsi="Times New Roman" w:eastAsia="仿宋_GB2312" w:cs="Times New Roman"/>
          <w:spacing w:val="0"/>
          <w:w w:val="100"/>
          <w:sz w:val="32"/>
          <w:szCs w:val="32"/>
          <w:lang w:eastAsia="zh-CN"/>
        </w:rPr>
        <w:t>，</w:t>
      </w:r>
      <w:r>
        <w:rPr>
          <w:rFonts w:hint="eastAsia" w:ascii="Times New Roman" w:hAnsi="Times New Roman" w:eastAsia="仿宋_GB2312" w:cs="Times New Roman"/>
          <w:spacing w:val="0"/>
          <w:w w:val="100"/>
          <w:sz w:val="32"/>
          <w:szCs w:val="32"/>
        </w:rPr>
        <w:t>运转正常，</w:t>
      </w:r>
      <w:r>
        <w:rPr>
          <w:rFonts w:hint="eastAsia" w:ascii="Times New Roman" w:hAnsi="Times New Roman" w:eastAsia="仿宋_GB2312" w:cs="Times New Roman"/>
          <w:spacing w:val="0"/>
          <w:w w:val="100"/>
          <w:sz w:val="32"/>
          <w:szCs w:val="32"/>
          <w:lang w:val="en-US" w:eastAsia="zh-CN"/>
        </w:rPr>
        <w:t>代表</w:t>
      </w:r>
      <w:r>
        <w:rPr>
          <w:rFonts w:hint="default" w:ascii="Times New Roman" w:hAnsi="Times New Roman" w:eastAsia="仿宋_GB2312" w:cs="Times New Roman"/>
          <w:spacing w:val="0"/>
          <w:w w:val="100"/>
          <w:sz w:val="32"/>
          <w:szCs w:val="32"/>
          <w:lang w:val="en-US" w:eastAsia="zh-CN"/>
        </w:rPr>
        <w:t>及群众满意度达100%，</w:t>
      </w:r>
      <w:r>
        <w:rPr>
          <w:rFonts w:hint="eastAsia" w:ascii="Times New Roman" w:hAnsi="Times New Roman" w:eastAsia="仿宋_GB2312" w:cs="Times New Roman"/>
          <w:spacing w:val="0"/>
          <w:w w:val="100"/>
          <w:sz w:val="32"/>
          <w:szCs w:val="32"/>
          <w:lang w:val="en-US" w:eastAsia="zh-CN"/>
        </w:rPr>
        <w:t>自评平均得分9</w:t>
      </w:r>
      <w:r>
        <w:rPr>
          <w:rFonts w:hint="eastAsia" w:ascii="Times New Roman" w:cs="Times New Roman"/>
          <w:spacing w:val="0"/>
          <w:w w:val="100"/>
          <w:sz w:val="32"/>
          <w:szCs w:val="32"/>
          <w:lang w:val="en-US" w:eastAsia="zh-CN"/>
        </w:rPr>
        <w:t>7.6</w:t>
      </w:r>
      <w:r>
        <w:rPr>
          <w:rFonts w:hint="eastAsia" w:ascii="Times New Roman" w:hAnsi="Times New Roman" w:eastAsia="仿宋_GB2312" w:cs="Times New Roman"/>
          <w:spacing w:val="0"/>
          <w:w w:val="100"/>
          <w:sz w:val="32"/>
          <w:szCs w:val="32"/>
          <w:lang w:val="en-US" w:eastAsia="zh-CN"/>
        </w:rPr>
        <w:t>分。</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（二）存在的</w:t>
      </w:r>
      <w:bookmarkStart w:id="67" w:name="_GoBack"/>
      <w:bookmarkEnd w:id="67"/>
      <w:r>
        <w:rPr>
          <w:rFonts w:hint="eastAsia" w:ascii="楷体_GB2312" w:hAnsi="楷体_GB2312" w:eastAsia="楷体_GB2312" w:cs="楷体_GB2312"/>
          <w:spacing w:val="0"/>
          <w:w w:val="100"/>
          <w:sz w:val="32"/>
          <w:szCs w:val="32"/>
        </w:rPr>
        <w:t>问题</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eastAsia="zh-CN"/>
        </w:rPr>
        <w:t>绩效目标编制</w:t>
      </w:r>
      <w:r>
        <w:rPr>
          <w:rFonts w:hint="eastAsia" w:ascii="Times New Roman" w:hAnsi="Times New Roman" w:eastAsia="仿宋_GB2312" w:cs="Times New Roman"/>
          <w:spacing w:val="0"/>
          <w:w w:val="100"/>
          <w:sz w:val="32"/>
          <w:szCs w:val="32"/>
          <w:lang w:eastAsia="zh-CN"/>
        </w:rPr>
        <w:t>质量</w:t>
      </w:r>
      <w:r>
        <w:rPr>
          <w:rFonts w:hint="default" w:ascii="Times New Roman" w:hAnsi="Times New Roman" w:eastAsia="仿宋_GB2312" w:cs="Times New Roman"/>
          <w:spacing w:val="0"/>
          <w:w w:val="100"/>
          <w:sz w:val="32"/>
          <w:szCs w:val="32"/>
          <w:lang w:eastAsia="zh-CN"/>
        </w:rPr>
        <w:t>有待进一步</w:t>
      </w:r>
      <w:r>
        <w:rPr>
          <w:rFonts w:hint="eastAsia" w:ascii="Times New Roman" w:hAnsi="Times New Roman" w:eastAsia="仿宋_GB2312" w:cs="Times New Roman"/>
          <w:spacing w:val="0"/>
          <w:w w:val="100"/>
          <w:sz w:val="32"/>
          <w:szCs w:val="32"/>
          <w:lang w:eastAsia="zh-CN"/>
        </w:rPr>
        <w:t>提高。</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（三）相关措施建议</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lang w:eastAsia="zh-CN"/>
        </w:rPr>
        <w:t>建议</w:t>
      </w:r>
      <w:r>
        <w:rPr>
          <w:rFonts w:hint="eastAsia" w:ascii="Times New Roman" w:hAnsi="Times New Roman" w:eastAsia="仿宋_GB2312" w:cs="Times New Roman"/>
          <w:spacing w:val="0"/>
          <w:w w:val="100"/>
          <w:sz w:val="32"/>
          <w:szCs w:val="32"/>
        </w:rPr>
        <w:t>加强对项目绩效评价工作的指导和培训，使项目编制更加符合绩效评价相关要求。</w:t>
      </w: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rPr>
          <w:rFonts w:hint="eastAsia" w:ascii="Times New Roman" w:hAnsi="Times New Roman" w:eastAsia="仿宋_GB2312" w:cs="Times New Roman"/>
          <w:spacing w:val="0"/>
          <w:w w:val="100"/>
          <w:sz w:val="32"/>
          <w:szCs w:val="32"/>
        </w:rPr>
      </w:pPr>
    </w:p>
    <w:p>
      <w:pPr>
        <w:pStyle w:val="7"/>
        <w:keepNext w:val="0"/>
        <w:keepLines w:val="0"/>
        <w:pageBreakBefore w:val="0"/>
        <w:widowControl w:val="0"/>
        <w:kinsoku/>
        <w:wordWrap/>
        <w:overflowPunct/>
        <w:topLinePunct w:val="0"/>
        <w:autoSpaceDE w:val="0"/>
        <w:autoSpaceDN w:val="0"/>
        <w:bidi w:val="0"/>
        <w:adjustRightInd/>
        <w:snapToGrid/>
        <w:spacing w:beforeLines="0" w:line="540" w:lineRule="exact"/>
        <w:ind w:left="0" w:right="0" w:firstLine="640" w:firstLineChars="200"/>
        <w:jc w:val="both"/>
        <w:textAlignment w:val="auto"/>
      </w:pPr>
      <w:r>
        <w:rPr>
          <w:rFonts w:hint="eastAsia" w:ascii="Times New Roman" w:hAnsi="Times New Roman" w:eastAsia="仿宋_GB2312" w:cs="Times New Roman"/>
          <w:spacing w:val="0"/>
          <w:w w:val="100"/>
          <w:sz w:val="32"/>
          <w:szCs w:val="32"/>
          <w:lang w:val="en-US" w:eastAsia="zh-CN"/>
        </w:rPr>
        <w:t>附件：广元市昭化区2022年度财政项目（政策）支出绩效自评表</w:t>
      </w:r>
    </w:p>
    <w:p>
      <w:pPr>
        <w:rPr>
          <w:rFonts w:hint="eastAsia" w:ascii="黑体" w:hAnsi="黑体" w:eastAsia="黑体"/>
          <w:sz w:val="44"/>
          <w:szCs w:val="44"/>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textAlignment w:val="auto"/>
        <w:rPr>
          <w:rFonts w:hint="eastAsia" w:ascii="黑体" w:hAnsi="黑体" w:eastAsia="黑体"/>
          <w:sz w:val="44"/>
          <w:szCs w:val="44"/>
        </w:rPr>
      </w:pPr>
    </w:p>
    <w:tbl>
      <w:tblPr>
        <w:tblStyle w:val="16"/>
        <w:tblW w:w="15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758"/>
        <w:gridCol w:w="1890"/>
        <w:gridCol w:w="5850"/>
        <w:gridCol w:w="1020"/>
        <w:gridCol w:w="893"/>
        <w:gridCol w:w="931"/>
        <w:gridCol w:w="2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广元市昭化区2022年度财政项目（政策）支出绩效自评表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人大会议经费（区人民代表大会、区人大常委会、主任会议、市人民代表大会、省市人大工作研讨会）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c>
          <w:tcPr>
            <w:tcW w:w="93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区八届二次人代会，2022年度人大常委会8次例会、12次主任会议，参加省市人大工作研讨会，昭化代表团参加市八届二次人代会等会议工作圆满顺利完成，保障到位，会议达到预期效果，全面落实中央人大工作会议精神，在区委的坚强领导下，自觉担负起新时代赋予人大的历史使命，主动作为，奋发进取，坚定不移发展全过程人民民主，凝聚思想共识，交流履职体会，明确工作重点，强化上下对接，提振信心士气，切实增强监督实效，强化代表履职担当，持之以恒建设“四个机关”，奋力谱写人大工作崭新篇章，为全面建设“四城新区”作出更大贡献。</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完成1次区八届二次人代会，2022年度人大常委会8次例会、12次主任会议，参加6此省市人大工作研讨会，昭化代表团参加1次市八届二次人代会。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预计省市人大工作研讨会次数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预计人大常委会例会、主任会议次数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推动工作、提高解决问题的效果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发挥代表主题作用，持续提升履职水平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切实增强监督实效，强化代表履职担当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各种会议工作成本控制额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656200</w:t>
            </w: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656200</w:t>
            </w:r>
          </w:p>
        </w:tc>
        <w:tc>
          <w:tcPr>
            <w:tcW w:w="22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广元市昭化区2022年度财政项目（政策）支出绩效自评表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人大业务经费(人大监督、视察、调研、执法检查、全省预算执行在线监督、12个专委会工作、信访工作）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业务工作主要包含人大监督、视察、调研、执法检查、全省预算执行在线监督、12个专委会工作及信访等工作。自觉担负起新时代赋予人大的历史使命，主动作为，奋发进取，坚定不移发展全过程人民民主，切实增强监督实效，强化代表履职担当，加强对镇人大的指导，使全区人大工作水平得到整体提升；为改革发展稳定的重大问题、人民群众普遍关注的热点、难点问题，乡村振兴问题等提供有效数据。确保各项人大业务工作按期完成及时率达到100%，工作质量合格率达到100%，使得各部门和服务对象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人大监督有效监督百余次、视察12次、调研120余次、执法检查30次、78个一级预算单位预算执行在线监督全覆盖、保障了15个专委会工作及信访等工作顺利开展。确保各项人大业务工作按期完成及时率达到100%。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8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预算执行在线有效监督一级预算单位数量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选择开展省市区人大代表视察活动的点位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人大专委会数量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把握监督重点，突出监督实效，有效监督完成情况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通过视察、调研、执法检查，为改革发展稳定的重大问题、人民群众普遍关注的热点、难点问题，乡村振兴问题等提供有效数据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把监督和法治教育贯穿信访全过程，引导和支持人民群众理性表达诉求，依法维护权益，做到自觉守法、办事依法。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开展预算执行在线监督、人大代表视察、人大立法调研、人大执法检查、人大信访、人大监督等工作成本控制额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1336000</w:t>
            </w: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1336000</w:t>
            </w:r>
          </w:p>
        </w:tc>
        <w:tc>
          <w:tcPr>
            <w:tcW w:w="22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广元市昭化区2022年度财政项目（政策）支出绩效自评表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人大代表经费（代表履职能力提升及平台建设、异地人大代表联络站、民生实事项目人大代表票决制）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确保区、镇代表履职能力提升及平台建设、异地人大代表联络站工作开展、镇村人大代表家站室建设、民生实事项目人大代表票决制等项目的高效运转。一是提高代表意识、提高代表写说能力、提高代表的学习水平、提高代表的调研能力、提高代表的审议能力、提高代表的群众工作水平等，使得人大代表履职能力提升按期完成率达到100%，履职能力提升培训合格率达到100%，各部门和人民群众的满意度达到100%。二是围绕全区范围内围绕国民经济和社会发展计划执行情况，改革发展稳定的重大问题、人民群众普遍关注的热点、难点问题，精准扶贫问题等进行调研视察，采取“走、看、听、评”等方法，按期完成代表视察工作，为改革发展稳定的重大问题、人民群众普遍关注的热点、难点问题，乡村振兴问题等提供有效数据，使得各部门及视察对象满意度均达到100%。三是确实保障我区在北京、重庆、广东、浙江建立的异地人大工作站更好的发挥作用。四是全面推进民生实事项目人大代表票决制工作，做到民生实事项目应办尽办，真正做到为民办实事、解难题，分民忧，确保各部门及服务对象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确保了区、镇12个代表履职能力提升及平台建设、保障了4个异地人大代表联络站工作开展，实现12件民生实事项目有效监督。使得人大代表履职能力提升按期完成率达到100%，履职能力提升培训合格率达到100%，各部门和人民群众的满意度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8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000000"/>
                <w:sz w:val="16"/>
                <w:szCs w:val="16"/>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000000"/>
                <w:sz w:val="16"/>
                <w:szCs w:val="16"/>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000000"/>
                <w:sz w:val="16"/>
                <w:szCs w:val="16"/>
                <w:u w:val="none"/>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w:t>
            </w:r>
            <w:r>
              <w:rPr>
                <w:rFonts w:ascii="宋体" w:hAnsi="宋体" w:eastAsia="宋体" w:cs="宋体"/>
                <w:i w:val="0"/>
                <w:iCs w:val="0"/>
                <w:color w:val="000000"/>
                <w:kern w:val="0"/>
                <w:sz w:val="18"/>
                <w:szCs w:val="18"/>
                <w:u w:val="none"/>
                <w:lang w:val="en-US" w:eastAsia="zh-CN" w:bidi="ar"/>
              </w:rPr>
              <w:t>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异地人大代表联络站数量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履职平台建设数量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民生实事项目人大代表票决制工作涉及乡镇数量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保证民生实事项目的可行性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通过视察为改革发展稳定的重大问题、人民群众普遍关注的热点、难点问题，乡村振兴问题等提供有效数据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更好的行使宪法赋予的职权，促进社会和谐发展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人大代表履职能力提升工作成本控制额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民生实事项目人大代表票决制工作成本控制额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异地人大代表联络站工作成本控制额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人大代表履职平台建设工作成本控制额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2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广元市昭化区2022年度财政项目（政策）支出绩效自评表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机关管理经费(退休老干部管理、《人大志》编撰）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完成对15年的人大工作进行编纂，形成《人大志》，编撰工作按期完成及时率达到100%，编撰成果质量效率达到100%；二是加强对27名退休干部的管理工作，包含会议、学习、参观、体检、慰问等工作；确保工作按期完成及时率达到100%、各部门及老干部自身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该项目一是完成对15年的人大工作进行编纂，形成《人大志》，编撰工作完成30%；二是加强对27名退休干部的管理工作，包含会议、学习、参观、体检、慰问等工作，各部门及老干部自身满意度均达到100%。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8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管理老干部的数量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《人大志》编撰涉及年限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丰富老干部的生活质量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再现人大制度不断完善发展的生动实践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使退休老干部在党的关怀下，继续发挥其先锋模范作用，有效指导、监督工作，广泛宣传，继续发光发热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临聘人员的满意度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退休干部满意度指标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老干部管理、《人大志编撰》及临聘人员工作成本控制额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2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广元市昭化区2022年度财政项目（政策）支出绩效自评表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乡村振兴及其它人大事务性经费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5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653"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75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认真贯彻落实区委《广元市昭化区乡村振兴战略规划（2018-2022）》战略部署，紧紧围绕我区“三农”工作重点，认真履行宪法和法律赋予的职权，依法加强人大监督，更好地服务于新形势下的现代农业产业发展。开展对沈家阁、石井铺2村的帮扶联系工作及其它事务性工作，工作按期完成及时率达到100%，工作成效提升率达到100%，切实为民解难题办实事，助力产业发展，助农增收，使得各部门及帮扶对象满意度均达到100%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对沈家阁、石井铺2村的帮扶联系工作及其它事务性工作，工作按期完成及时率达到100%，工作成效提升率达到100%，切实为民解难题办实事，助力产业发展，助农增收，使得各部门及帮扶对象满意度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帮扶联系工作涉及的村（沈家阁、石井铺）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对乡村振兴联系工作完成情况的考核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该项目计划从1月起，12月结束。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为民解难题办实事，助力产业发展，助农增收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为民解难题办实事、促进和谐稳定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解难题，分民忧，助力脱贫攻坚与乡村振兴的有效衔接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联系帮扶对象的满意度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完成该项工作的成本控制额</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2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    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bl>
    <w:p>
      <w:pPr>
        <w:rPr>
          <w:rFonts w:hint="eastAsia"/>
        </w:rPr>
        <w:sectPr>
          <w:pgSz w:w="16838" w:h="11906" w:orient="landscape"/>
          <w:pgMar w:top="1803" w:right="1440" w:bottom="1803" w:left="1440" w:header="851" w:footer="992" w:gutter="0"/>
          <w:pgNumType w:fmt="decimal"/>
          <w:cols w:space="0" w:num="1"/>
          <w:titlePg/>
          <w:rtlGutter w:val="0"/>
          <w:docGrid w:type="lines" w:linePitch="319" w:charSpace="0"/>
        </w:sectPr>
      </w:pPr>
    </w:p>
    <w:p>
      <w:pPr>
        <w:rPr>
          <w:rFonts w:hint="eastAsia" w:ascii="黑体" w:hAnsi="黑体" w:eastAsia="黑体"/>
          <w:sz w:val="44"/>
          <w:szCs w:val="44"/>
        </w:rPr>
      </w:pPr>
    </w:p>
    <w:p>
      <w:pPr>
        <w:numPr>
          <w:ilvl w:val="0"/>
          <w:numId w:val="0"/>
        </w:numPr>
        <w:spacing w:line="600" w:lineRule="exact"/>
        <w:ind w:leftChars="150"/>
        <w:jc w:val="center"/>
        <w:outlineLvl w:val="0"/>
        <w:rPr>
          <w:rStyle w:val="28"/>
          <w:rFonts w:hint="eastAsia" w:ascii="黑体" w:hAnsi="黑体" w:eastAsia="黑体"/>
          <w:b w:val="0"/>
        </w:rPr>
      </w:pPr>
      <w:r>
        <w:rPr>
          <w:rStyle w:val="28"/>
          <w:rFonts w:hint="eastAsia" w:ascii="黑体" w:hAnsi="黑体" w:eastAsia="黑体"/>
          <w:b w:val="0"/>
          <w:lang w:eastAsia="zh-CN"/>
        </w:rPr>
        <w:t>第五部分</w:t>
      </w:r>
      <w:r>
        <w:rPr>
          <w:rStyle w:val="28"/>
          <w:rFonts w:hint="eastAsia" w:ascii="黑体" w:hAnsi="黑体" w:eastAsia="黑体"/>
          <w:b w:val="0"/>
          <w:lang w:val="en-US" w:eastAsia="zh-CN"/>
        </w:rPr>
        <w:t xml:space="preserve"> </w:t>
      </w:r>
      <w:r>
        <w:rPr>
          <w:rStyle w:val="28"/>
          <w:rFonts w:hint="eastAsia" w:ascii="黑体" w:hAnsi="黑体" w:eastAsia="黑体"/>
          <w:b w:val="0"/>
        </w:rPr>
        <w:t>附表</w:t>
      </w:r>
      <w:bookmarkEnd w:id="51"/>
      <w:bookmarkEnd w:id="52"/>
      <w:bookmarkStart w:id="54" w:name="_Toc15396619"/>
    </w:p>
    <w:p>
      <w:pPr>
        <w:pStyle w:val="5"/>
        <w:rPr>
          <w:rFonts w:hint="eastAsia" w:ascii="仿宋" w:hAnsi="仿宋" w:eastAsia="仿宋"/>
          <w:b w:val="0"/>
        </w:rPr>
      </w:pPr>
      <w:r>
        <w:rPr>
          <w:rFonts w:hint="eastAsia" w:ascii="仿宋" w:hAnsi="仿宋" w:eastAsia="仿宋"/>
          <w:b w:val="0"/>
        </w:rPr>
        <w:t>一、收入支出决算总表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5"/>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5"/>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w:t>
      </w:r>
      <w:r>
        <w:rPr>
          <w:rStyle w:val="29"/>
          <w:rFonts w:hint="eastAsia" w:ascii="仿宋" w:hAnsi="仿宋" w:eastAsia="仿宋"/>
          <w:b w:val="0"/>
          <w:bCs w:val="0"/>
          <w:lang w:eastAsia="zh-CN"/>
        </w:rPr>
        <w:t>明细</w:t>
      </w:r>
      <w:r>
        <w:rPr>
          <w:rStyle w:val="29"/>
          <w:rFonts w:hint="eastAsia" w:ascii="仿宋" w:hAnsi="仿宋" w:eastAsia="仿宋"/>
          <w:b w:val="0"/>
          <w:bCs w:val="0"/>
        </w:rPr>
        <w:t>表</w:t>
      </w:r>
      <w:bookmarkEnd w:id="61"/>
    </w:p>
    <w:p>
      <w:pPr>
        <w:pStyle w:val="5"/>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9"/>
      <w:r>
        <w:rPr>
          <w:rStyle w:val="29"/>
          <w:rFonts w:hint="eastAsia" w:ascii="仿宋" w:hAnsi="仿宋" w:eastAsia="仿宋"/>
          <w:b w:val="0"/>
          <w:bCs w:val="0"/>
        </w:rPr>
        <w:t>十、</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63"/>
    </w:p>
    <w:p>
      <w:pPr>
        <w:pStyle w:val="5"/>
        <w:rPr>
          <w:rStyle w:val="29"/>
          <w:rFonts w:ascii="仿宋" w:hAnsi="仿宋" w:eastAsia="仿宋"/>
          <w:b w:val="0"/>
          <w:bCs w:val="0"/>
        </w:rPr>
      </w:pPr>
      <w:bookmarkStart w:id="64" w:name="_Toc15396630"/>
      <w:r>
        <w:rPr>
          <w:rStyle w:val="29"/>
          <w:rFonts w:hint="eastAsia" w:ascii="仿宋" w:hAnsi="仿宋" w:eastAsia="仿宋"/>
          <w:b w:val="0"/>
          <w:bCs w:val="0"/>
        </w:rPr>
        <w:t>十</w:t>
      </w:r>
      <w:bookmarkEnd w:id="64"/>
      <w:bookmarkStart w:id="65" w:name="_Toc15396631"/>
      <w:r>
        <w:rPr>
          <w:rStyle w:val="29"/>
          <w:rFonts w:hint="eastAsia" w:ascii="仿宋" w:hAnsi="仿宋" w:eastAsia="仿宋"/>
          <w:b w:val="0"/>
          <w:bCs w:val="0"/>
          <w:lang w:eastAsia="zh-CN"/>
        </w:rPr>
        <w:t>一、</w:t>
      </w:r>
      <w:r>
        <w:rPr>
          <w:rFonts w:hint="eastAsia" w:ascii="仿宋" w:hAnsi="仿宋" w:eastAsia="仿宋"/>
          <w:b w:val="0"/>
        </w:rPr>
        <w:t>国</w:t>
      </w:r>
      <w:r>
        <w:rPr>
          <w:rStyle w:val="29"/>
          <w:rFonts w:hint="eastAsia" w:ascii="仿宋" w:hAnsi="仿宋" w:eastAsia="仿宋"/>
          <w:b w:val="0"/>
          <w:bCs w:val="0"/>
        </w:rPr>
        <w:t>有资本经</w:t>
      </w:r>
      <w:bookmarkStart w:id="66" w:name="_Toc15396628"/>
      <w:r>
        <w:rPr>
          <w:rStyle w:val="29"/>
          <w:rFonts w:hint="eastAsia" w:ascii="仿宋" w:hAnsi="仿宋" w:eastAsia="仿宋"/>
          <w:b w:val="0"/>
          <w:bCs w:val="0"/>
        </w:rPr>
        <w:t>营预算财政拨款收入支出决算表</w:t>
      </w:r>
    </w:p>
    <w:p>
      <w:pPr>
        <w:pStyle w:val="5"/>
        <w:rPr>
          <w:rStyle w:val="29"/>
          <w:rFonts w:hint="eastAsia" w:ascii="仿宋" w:hAnsi="仿宋" w:eastAsia="仿宋"/>
          <w:b w:val="0"/>
          <w:bCs w:val="0"/>
        </w:rPr>
      </w:pPr>
      <w:r>
        <w:rPr>
          <w:rStyle w:val="29"/>
          <w:rFonts w:hint="eastAsia" w:ascii="仿宋" w:hAnsi="仿宋" w:eastAsia="仿宋"/>
          <w:b w:val="0"/>
          <w:bCs w:val="0"/>
        </w:rPr>
        <w:t>十</w:t>
      </w:r>
      <w:r>
        <w:rPr>
          <w:rStyle w:val="29"/>
          <w:rFonts w:hint="eastAsia" w:ascii="仿宋" w:hAnsi="仿宋" w:eastAsia="仿宋"/>
          <w:b w:val="0"/>
          <w:bCs w:val="0"/>
          <w:lang w:eastAsia="zh-CN"/>
        </w:rPr>
        <w:t>二</w:t>
      </w:r>
      <w:r>
        <w:rPr>
          <w:rStyle w:val="29"/>
          <w:rFonts w:hint="eastAsia" w:ascii="仿宋" w:hAnsi="仿宋" w:eastAsia="仿宋"/>
          <w:b w:val="0"/>
          <w:bCs w:val="0"/>
        </w:rPr>
        <w:t>、国有资本经营预算财政拨款支出决算表</w:t>
      </w:r>
    </w:p>
    <w:p>
      <w:pPr>
        <w:pStyle w:val="5"/>
        <w:rPr>
          <w:rFonts w:ascii="仿宋" w:hAnsi="仿宋" w:eastAsia="仿宋"/>
        </w:rPr>
      </w:pPr>
      <w:r>
        <w:rPr>
          <w:rFonts w:hint="eastAsia" w:ascii="仿宋" w:hAnsi="仿宋" w:eastAsia="仿宋"/>
          <w:b w:val="0"/>
          <w:lang w:eastAsia="zh-CN"/>
        </w:rPr>
        <w:t>十三、</w:t>
      </w:r>
      <w:r>
        <w:rPr>
          <w:rStyle w:val="29"/>
          <w:rFonts w:hint="eastAsia" w:ascii="仿宋" w:hAnsi="仿宋" w:eastAsia="仿宋"/>
          <w:b w:val="0"/>
          <w:bCs w:val="0"/>
        </w:rPr>
        <w:t>财政拨款“三公”经费支出决算表</w:t>
      </w:r>
      <w:bookmarkEnd w:id="66"/>
    </w:p>
    <w:bookmarkEnd w:id="65"/>
    <w:p>
      <w:pPr>
        <w:rPr>
          <w:rFonts w:eastAsia="仿宋"/>
        </w:rPr>
      </w:pPr>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p>
                    <w:pPr>
                      <w:pStyle w:val="2"/>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p>
                    <w:pPr>
                      <w:pStyle w:val="2"/>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F6208"/>
    <w:multiLevelType w:val="singleLevel"/>
    <w:tmpl w:val="A50F6208"/>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5522622"/>
    <w:multiLevelType w:val="singleLevel"/>
    <w:tmpl w:val="F5522622"/>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01B6"/>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35DC5"/>
    <w:rsid w:val="00245AA8"/>
    <w:rsid w:val="00260C38"/>
    <w:rsid w:val="002616C0"/>
    <w:rsid w:val="00265372"/>
    <w:rsid w:val="002662AA"/>
    <w:rsid w:val="00280496"/>
    <w:rsid w:val="00294DC9"/>
    <w:rsid w:val="00295495"/>
    <w:rsid w:val="002A31DE"/>
    <w:rsid w:val="002B2613"/>
    <w:rsid w:val="002D6D05"/>
    <w:rsid w:val="002F1818"/>
    <w:rsid w:val="002F567B"/>
    <w:rsid w:val="003216A9"/>
    <w:rsid w:val="0032227B"/>
    <w:rsid w:val="00335A74"/>
    <w:rsid w:val="003631C6"/>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183B"/>
    <w:rsid w:val="006E53B6"/>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61D"/>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1758F"/>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B7714"/>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412B"/>
    <w:rsid w:val="00B77EA6"/>
    <w:rsid w:val="00B81598"/>
    <w:rsid w:val="00B841F1"/>
    <w:rsid w:val="00B944D6"/>
    <w:rsid w:val="00BB4DF0"/>
    <w:rsid w:val="00BC289F"/>
    <w:rsid w:val="00BC2D50"/>
    <w:rsid w:val="00BC5361"/>
    <w:rsid w:val="00BC5460"/>
    <w:rsid w:val="00BC6B50"/>
    <w:rsid w:val="00BD0E25"/>
    <w:rsid w:val="00BE4B70"/>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C2"/>
    <w:rsid w:val="00F602DF"/>
    <w:rsid w:val="00F754A1"/>
    <w:rsid w:val="00F81FD9"/>
    <w:rsid w:val="00F841AA"/>
    <w:rsid w:val="00F84A94"/>
    <w:rsid w:val="00F87E96"/>
    <w:rsid w:val="00FA23E8"/>
    <w:rsid w:val="00FD3CC1"/>
    <w:rsid w:val="00FF1E02"/>
    <w:rsid w:val="00FF30B4"/>
    <w:rsid w:val="09F13DD1"/>
    <w:rsid w:val="0A2032A3"/>
    <w:rsid w:val="0B8A37D8"/>
    <w:rsid w:val="0E64041B"/>
    <w:rsid w:val="10C055FF"/>
    <w:rsid w:val="11741B0C"/>
    <w:rsid w:val="118107EC"/>
    <w:rsid w:val="11DD6519"/>
    <w:rsid w:val="16BB723D"/>
    <w:rsid w:val="18015F3F"/>
    <w:rsid w:val="1BE8440E"/>
    <w:rsid w:val="1D155CEE"/>
    <w:rsid w:val="20F57F95"/>
    <w:rsid w:val="218628BE"/>
    <w:rsid w:val="23557B18"/>
    <w:rsid w:val="240371BF"/>
    <w:rsid w:val="25C741E6"/>
    <w:rsid w:val="26DA48D0"/>
    <w:rsid w:val="27842671"/>
    <w:rsid w:val="29FD04D3"/>
    <w:rsid w:val="2ABE7A3E"/>
    <w:rsid w:val="2C733783"/>
    <w:rsid w:val="2CCA433A"/>
    <w:rsid w:val="2EFA178C"/>
    <w:rsid w:val="2F1B2230"/>
    <w:rsid w:val="30B46D73"/>
    <w:rsid w:val="319F7F4E"/>
    <w:rsid w:val="32B8241C"/>
    <w:rsid w:val="36AB36ED"/>
    <w:rsid w:val="383B1971"/>
    <w:rsid w:val="39AE70AB"/>
    <w:rsid w:val="3C0C0783"/>
    <w:rsid w:val="3CF4158A"/>
    <w:rsid w:val="3F795B0E"/>
    <w:rsid w:val="3F9F3A96"/>
    <w:rsid w:val="3FE45DFB"/>
    <w:rsid w:val="448036D3"/>
    <w:rsid w:val="493C27E9"/>
    <w:rsid w:val="496F39ED"/>
    <w:rsid w:val="49FF41D3"/>
    <w:rsid w:val="4A185DC8"/>
    <w:rsid w:val="4AC23A7B"/>
    <w:rsid w:val="4BE068DB"/>
    <w:rsid w:val="4BF6002B"/>
    <w:rsid w:val="4ECE2238"/>
    <w:rsid w:val="4EF00E33"/>
    <w:rsid w:val="4F363A7C"/>
    <w:rsid w:val="51DB4B86"/>
    <w:rsid w:val="55333C3E"/>
    <w:rsid w:val="5A9E6088"/>
    <w:rsid w:val="603C4CA5"/>
    <w:rsid w:val="64267186"/>
    <w:rsid w:val="64CA39A1"/>
    <w:rsid w:val="65D1504D"/>
    <w:rsid w:val="6C4A05C8"/>
    <w:rsid w:val="6CBD4F61"/>
    <w:rsid w:val="72734D90"/>
    <w:rsid w:val="74E366CA"/>
    <w:rsid w:val="79E7B28D"/>
    <w:rsid w:val="79EA0792"/>
    <w:rsid w:val="7F77EE5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spacing w:after="120"/>
      <w:ind w:left="420" w:leftChars="200" w:firstLine="420"/>
    </w:pPr>
  </w:style>
  <w:style w:type="paragraph" w:styleId="3">
    <w:name w:val="Body Text Indent"/>
    <w:basedOn w:val="1"/>
    <w:qFormat/>
    <w:uiPriority w:val="99"/>
    <w:pPr>
      <w:ind w:firstLine="630"/>
      <w:jc w:val="left"/>
    </w:pPr>
    <w:rPr>
      <w:rFonts w:eastAsia="黑体"/>
      <w:sz w:val="32"/>
      <w:szCs w:val="32"/>
    </w:rPr>
  </w:style>
  <w:style w:type="paragraph" w:styleId="7">
    <w:name w:val="Body Text"/>
    <w:basedOn w:val="1"/>
    <w:next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next w:val="15"/>
    <w:qFormat/>
    <w:uiPriority w:val="0"/>
    <w:rPr>
      <w:sz w:val="24"/>
    </w:rPr>
  </w:style>
  <w:style w:type="paragraph" w:styleId="15">
    <w:name w:val="Body Text First Indent"/>
    <w:basedOn w:val="7"/>
    <w:qFormat/>
    <w:uiPriority w:val="0"/>
    <w:pPr>
      <w:spacing w:after="120"/>
      <w:ind w:firstLine="420" w:firstLineChars="100"/>
    </w:pPr>
    <w:rPr>
      <w:rFonts w:ascii="Times New Roman" w:eastAsia="宋体"/>
      <w:kern w:val="2"/>
      <w:sz w:val="21"/>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Normal (Web)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收、支决算总计变动情况</a:t>
            </a:r>
            <a:endParaRPr lang="zh-CN" altLang="en-US"/>
          </a:p>
        </c:rich>
      </c:tx>
      <c:layout/>
      <c:overlay val="0"/>
    </c:title>
    <c:autoTitleDeleted val="0"/>
    <c:plotArea>
      <c:layout/>
      <c:barChart>
        <c:barDir val="col"/>
        <c:grouping val="clustered"/>
        <c:varyColors val="0"/>
        <c:ser>
          <c:idx val="0"/>
          <c:order val="0"/>
          <c:tx>
            <c:strRef>
              <c:f>Sheet1!$B$1</c:f>
              <c:strCache>
                <c:ptCount val="1"/>
                <c:pt idx="0">
                  <c:v>2021</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904.52</c:v>
                </c:pt>
                <c:pt idx="1">
                  <c:v>904.52</c:v>
                </c:pt>
              </c:numCache>
            </c:numRef>
          </c:val>
        </c:ser>
        <c:ser>
          <c:idx val="1"/>
          <c:order val="1"/>
          <c:tx>
            <c:strRef>
              <c:f>Sheet1!$C$1</c:f>
              <c:strCache>
                <c:ptCount val="1"/>
                <c:pt idx="0">
                  <c:v>2022</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1336.8</c:v>
                </c:pt>
                <c:pt idx="1">
                  <c:v>1336.21</c:v>
                </c:pt>
              </c:numCache>
            </c:numRef>
          </c:val>
        </c:ser>
        <c:dLbls>
          <c:showLegendKey val="0"/>
          <c:showVal val="0"/>
          <c:showCatName val="0"/>
          <c:showSerName val="0"/>
          <c:showPercent val="0"/>
          <c:showBubbleSize val="0"/>
        </c:dLbls>
        <c:gapWidth val="150"/>
        <c:axId val="431388160"/>
        <c:axId val="432632192"/>
      </c:barChart>
      <c:catAx>
        <c:axId val="4313881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2632192"/>
        <c:crosses val="autoZero"/>
        <c:auto val="1"/>
        <c:lblAlgn val="ctr"/>
        <c:lblOffset val="100"/>
        <c:noMultiLvlLbl val="0"/>
      </c:catAx>
      <c:valAx>
        <c:axId val="43263219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3881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收入决算结构</a:t>
            </a:r>
            <a:endParaRPr lang="zh-CN" altLang="en-US"/>
          </a:p>
        </c:rich>
      </c:tx>
      <c:layout/>
      <c:overlay val="0"/>
    </c:title>
    <c:autoTitleDeleted val="0"/>
    <c:plotArea>
      <c:layout/>
      <c:pieChart>
        <c:varyColors val="1"/>
        <c:ser>
          <c:idx val="0"/>
          <c:order val="0"/>
          <c:tx>
            <c:strRef>
              <c:f>Sheet1!$B$1</c:f>
              <c:strCache>
                <c:ptCount val="1"/>
                <c:pt idx="0">
                  <c:v>收入决算情况说明</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1336.8</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6842414426528"/>
          <c:y val="0.152906882214944"/>
          <c:w val="0.344869158251845"/>
          <c:h val="0.72153311718388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支出决算结构</a:t>
            </a:r>
            <a:endParaRPr lang="zh-CN" altLang="en-US"/>
          </a:p>
        </c:rich>
      </c:tx>
      <c:layout/>
      <c:overlay val="0"/>
    </c:title>
    <c:autoTitleDeleted val="0"/>
    <c:plotArea>
      <c:layout/>
      <c:pieChart>
        <c:varyColors val="1"/>
        <c:ser>
          <c:idx val="0"/>
          <c:order val="0"/>
          <c:tx>
            <c:strRef>
              <c:f>Sheet1!$B$1</c:f>
              <c:strCache>
                <c:ptCount val="1"/>
                <c:pt idx="0">
                  <c:v>支出决算情况说明</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对附属单位补助支出</c:v>
                </c:pt>
                <c:pt idx="4">
                  <c:v>经营支出</c:v>
                </c:pt>
              </c:strCache>
            </c:strRef>
          </c:cat>
          <c:val>
            <c:numRef>
              <c:f>Sheet1!$B$2:$B$6</c:f>
              <c:numCache>
                <c:formatCode>General</c:formatCode>
                <c:ptCount val="5"/>
                <c:pt idx="0">
                  <c:v>1092.99</c:v>
                </c:pt>
                <c:pt idx="1">
                  <c:v>243.22</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财政拨款收、支决算总计变动情况</a:t>
            </a:r>
            <a:endParaRPr lang="zh-CN" altLang="en-US"/>
          </a:p>
        </c:rich>
      </c:tx>
      <c:layout/>
      <c:overlay val="0"/>
    </c:title>
    <c:autoTitleDeleted val="0"/>
    <c:plotArea>
      <c:layout/>
      <c:barChart>
        <c:barDir val="col"/>
        <c:grouping val="clustered"/>
        <c:varyColors val="0"/>
        <c:ser>
          <c:idx val="0"/>
          <c:order val="0"/>
          <c:tx>
            <c:strRef>
              <c:f>Sheet1!$B$1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904.94</c:v>
                </c:pt>
                <c:pt idx="1">
                  <c:v>904.52</c:v>
                </c:pt>
              </c:numCache>
            </c:numRef>
          </c:val>
        </c:ser>
        <c:ser>
          <c:idx val="1"/>
          <c:order val="1"/>
          <c:tx>
            <c:strRef>
              <c:f>Sheet1!$C$1</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1336.8</c:v>
                </c:pt>
                <c:pt idx="1">
                  <c:v>1336.21</c:v>
                </c:pt>
              </c:numCache>
            </c:numRef>
          </c:val>
        </c:ser>
        <c:dLbls>
          <c:showLegendKey val="0"/>
          <c:showVal val="1"/>
          <c:showCatName val="0"/>
          <c:showSerName val="0"/>
          <c:showPercent val="0"/>
          <c:showBubbleSize val="0"/>
        </c:dLbls>
        <c:gapWidth val="150"/>
        <c:overlap val="-25"/>
        <c:axId val="431665536"/>
        <c:axId val="431667072"/>
      </c:barChart>
      <c:catAx>
        <c:axId val="43166553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667072"/>
        <c:crosses val="autoZero"/>
        <c:auto val="1"/>
        <c:lblAlgn val="ctr"/>
        <c:lblOffset val="100"/>
        <c:noMultiLvlLbl val="0"/>
      </c:catAx>
      <c:valAx>
        <c:axId val="4316670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665536"/>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一般公共预算财政拨款支出决算变动情况</a:t>
            </a:r>
            <a:endParaRPr lang="zh-CN" altLang="en-US"/>
          </a:p>
        </c:rich>
      </c:tx>
      <c:layout/>
      <c:overlay val="0"/>
    </c:title>
    <c:autoTitleDeleted val="0"/>
    <c:plotArea>
      <c:layout/>
      <c:barChart>
        <c:barDir val="col"/>
        <c:grouping val="clustered"/>
        <c:varyColors val="0"/>
        <c:ser>
          <c:idx val="0"/>
          <c:order val="0"/>
          <c:tx>
            <c:strRef>
              <c:f>Sheet1!$B$1</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2021</c:v>
                </c:pt>
                <c:pt idx="1">
                  <c:v>2022</c:v>
                </c:pt>
              </c:numCache>
            </c:numRef>
          </c:cat>
          <c:val>
            <c:numRef>
              <c:f>Sheet1!$B$2:$B$3</c:f>
              <c:numCache>
                <c:formatCode>General</c:formatCode>
                <c:ptCount val="2"/>
                <c:pt idx="0">
                  <c:v>904.52</c:v>
                </c:pt>
                <c:pt idx="1">
                  <c:v>1336.21</c:v>
                </c:pt>
              </c:numCache>
            </c:numRef>
          </c:val>
        </c:ser>
        <c:dLbls>
          <c:showLegendKey val="0"/>
          <c:showVal val="1"/>
          <c:showCatName val="0"/>
          <c:showSerName val="0"/>
          <c:showPercent val="0"/>
          <c:showBubbleSize val="0"/>
        </c:dLbls>
        <c:gapWidth val="150"/>
        <c:overlap val="-25"/>
        <c:axId val="431684224"/>
        <c:axId val="431825280"/>
      </c:barChart>
      <c:catAx>
        <c:axId val="43168422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825280"/>
        <c:crosses val="autoZero"/>
        <c:auto val="1"/>
        <c:lblAlgn val="ctr"/>
        <c:lblOffset val="100"/>
        <c:noMultiLvlLbl val="0"/>
      </c:catAx>
      <c:valAx>
        <c:axId val="431825280"/>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684224"/>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一般公共服务（类）支出</c:v>
                </c:pt>
                <c:pt idx="1">
                  <c:v>教育支出（类）支出</c:v>
                </c:pt>
                <c:pt idx="2">
                  <c:v>科学技术（类）支出</c:v>
                </c:pt>
                <c:pt idx="3">
                  <c:v>文化旅游体育与传媒（类）支出</c:v>
                </c:pt>
                <c:pt idx="4">
                  <c:v>社会保障和就业（类）支出</c:v>
                </c:pt>
                <c:pt idx="5">
                  <c:v>卫生健康支出</c:v>
                </c:pt>
                <c:pt idx="6">
                  <c:v>住房保障支出</c:v>
                </c:pt>
              </c:strCache>
            </c:strRef>
          </c:cat>
          <c:val>
            <c:numRef>
              <c:f>Sheet1!$B$2:$B$8</c:f>
              <c:numCache>
                <c:formatCode>General</c:formatCode>
                <c:ptCount val="7"/>
                <c:pt idx="0">
                  <c:v>1087.24</c:v>
                </c:pt>
                <c:pt idx="1">
                  <c:v>0</c:v>
                </c:pt>
                <c:pt idx="2">
                  <c:v>0</c:v>
                </c:pt>
                <c:pt idx="3">
                  <c:v>0</c:v>
                </c:pt>
                <c:pt idx="4">
                  <c:v>145.4</c:v>
                </c:pt>
                <c:pt idx="5">
                  <c:v>35.88</c:v>
                </c:pt>
                <c:pt idx="6">
                  <c:v>67.7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“三公”经费财政拨款支出结构</a:t>
            </a:r>
            <a:endParaRPr lang="zh-CN" altLang="en-US"/>
          </a:p>
        </c:rich>
      </c:tx>
      <c:layout/>
      <c:overlay val="0"/>
    </c:title>
    <c:autoTitleDeleted val="0"/>
    <c:plotArea>
      <c:layout/>
      <c:pieChart>
        <c:varyColors val="1"/>
        <c:ser>
          <c:idx val="0"/>
          <c:order val="0"/>
          <c:tx>
            <c:strRef>
              <c:f>Sheet1!$B$1</c:f>
              <c:strCache>
                <c:ptCount val="1"/>
                <c:pt idx="0">
                  <c:v>“三公”经费财政拨款支出决算具体情况</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12.63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17130</Words>
  <Characters>18924</Characters>
  <Lines>43</Lines>
  <Paragraphs>12</Paragraphs>
  <TotalTime>27</TotalTime>
  <ScaleCrop>false</ScaleCrop>
  <LinksUpToDate>false</LinksUpToDate>
  <CharactersWithSpaces>18991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2023-09-25T10:09:00Z</dcterms:created>
  <dc:creator>曹颖</dc:creator>
  <cp:lastModifiedBy>DELL</cp:lastModifiedBy>
  <cp:lastPrinted>2023-09-26T17:45:00Z</cp:lastPrinted>
  <dcterms:modified xsi:type="dcterms:W3CDTF">2023-09-28T11:19:54Z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0BF1EBD0F03E4FBEA3DE41DBE9136435_13</vt:lpwstr>
  </property>
</Properties>
</file>