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spacing w:line="800" w:lineRule="exact"/>
        <w:jc w:val="center"/>
        <w:textAlignment w:val="auto"/>
        <w:outlineLvl w:val="0"/>
        <w:rPr>
          <w:rFonts w:ascii="方正小标宋简体" w:hAnsi="宋体" w:eastAsia="方正小标宋简体"/>
          <w:color w:val="auto"/>
          <w:sz w:val="72"/>
          <w:szCs w:val="72"/>
          <w:highlight w:val="none"/>
        </w:rPr>
      </w:pPr>
    </w:p>
    <w:p>
      <w:pPr>
        <w:keepNext w:val="0"/>
        <w:keepLines w:val="0"/>
        <w:pageBreakBefore w:val="0"/>
        <w:widowControl w:val="0"/>
        <w:kinsoku/>
        <w:wordWrap/>
        <w:overflowPunct/>
        <w:topLinePunct w:val="0"/>
        <w:autoSpaceDE/>
        <w:autoSpaceDN/>
        <w:bidi w:val="0"/>
        <w:spacing w:line="1000" w:lineRule="exact"/>
        <w:jc w:val="center"/>
        <w:textAlignment w:val="auto"/>
        <w:outlineLvl w:val="0"/>
        <w:rPr>
          <w:rFonts w:hint="eastAsia" w:ascii="方正舒体" w:hAnsi="方正舒体" w:eastAsia="方正舒体" w:cs="方正舒体"/>
          <w:color w:val="auto"/>
          <w:sz w:val="72"/>
          <w:szCs w:val="72"/>
          <w:highlight w:val="none"/>
        </w:rPr>
      </w:pPr>
      <w:bookmarkStart w:id="1" w:name="_Toc15377193"/>
      <w:bookmarkStart w:id="2" w:name="_Toc15377425"/>
      <w:bookmarkStart w:id="3" w:name="_Toc15396597"/>
      <w:bookmarkStart w:id="4" w:name="_Toc15378441"/>
      <w:bookmarkStart w:id="5" w:name="_Toc15396475"/>
      <w:r>
        <w:rPr>
          <w:rFonts w:hint="eastAsia" w:ascii="方正舒体" w:hAnsi="方正舒体" w:eastAsia="方正舒体" w:cs="方正舒体"/>
          <w:color w:val="000000"/>
          <w:sz w:val="72"/>
          <w:szCs w:val="72"/>
        </w:rPr>
        <w:t>20</w:t>
      </w:r>
      <w:r>
        <w:rPr>
          <w:rFonts w:hint="eastAsia" w:ascii="方正舒体" w:hAnsi="方正舒体" w:eastAsia="方正舒体" w:cs="方正舒体"/>
          <w:color w:val="000000"/>
          <w:sz w:val="72"/>
          <w:szCs w:val="72"/>
          <w:lang w:val="en-US" w:eastAsia="zh-CN"/>
        </w:rPr>
        <w:t>21</w:t>
      </w:r>
      <w:r>
        <w:rPr>
          <w:rFonts w:hint="eastAsia" w:ascii="方正舒体" w:hAnsi="方正舒体" w:eastAsia="方正舒体" w:cs="方正舒体"/>
          <w:color w:val="000000"/>
          <w:sz w:val="72"/>
          <w:szCs w:val="72"/>
        </w:rPr>
        <w:t>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hint="eastAsia" w:ascii="方正舒体" w:hAnsi="方正舒体" w:eastAsia="方正舒体" w:cs="方正舒体"/>
          <w:color w:val="000000"/>
          <w:sz w:val="72"/>
          <w:szCs w:val="72"/>
          <w:lang w:val="en-US" w:eastAsia="zh-CN"/>
        </w:rPr>
      </w:pPr>
      <w:bookmarkStart w:id="6" w:name="_Toc15377426"/>
      <w:bookmarkStart w:id="7" w:name="_Toc15378442"/>
      <w:bookmarkStart w:id="8" w:name="_Toc15396476"/>
      <w:bookmarkStart w:id="9" w:name="_Toc15377194"/>
      <w:bookmarkStart w:id="10" w:name="_Toc15396598"/>
      <w:bookmarkStart w:id="11" w:name="_Toc15306268"/>
      <w:r>
        <w:rPr>
          <w:rFonts w:hint="eastAsia" w:ascii="方正舒体" w:hAnsi="方正舒体" w:eastAsia="方正舒体" w:cs="方正舒体"/>
          <w:color w:val="000000"/>
          <w:sz w:val="72"/>
          <w:szCs w:val="72"/>
          <w:lang w:val="en-US" w:eastAsia="zh-CN"/>
        </w:rPr>
        <w:t>广元市昭化区人民代表大会常务委员会办公室</w:t>
      </w:r>
    </w:p>
    <w:p>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outlineLvl w:val="0"/>
        <w:rPr>
          <w:rFonts w:ascii="方正小标宋简体" w:hAnsi="宋体" w:eastAsia="方正小标宋简体"/>
          <w:color w:val="000000"/>
          <w:sz w:val="72"/>
          <w:szCs w:val="72"/>
        </w:rPr>
      </w:pPr>
      <w:r>
        <w:rPr>
          <w:rFonts w:hint="eastAsia" w:ascii="方正舒体" w:hAnsi="方正舒体" w:eastAsia="方正舒体" w:cs="方正舒体"/>
          <w:color w:val="000000"/>
          <w:sz w:val="72"/>
          <w:szCs w:val="72"/>
        </w:rPr>
        <w:t>部门决算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黑体" w:hAnsi="黑体"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黑体" w:eastAsia="黑体"/>
          <w:color w:val="auto"/>
          <w:sz w:val="48"/>
          <w:szCs w:val="48"/>
          <w:highlight w:val="none"/>
        </w:rPr>
      </w:pP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pPr>
        <w:pStyle w:val="12"/>
        <w:keepNext w:val="0"/>
        <w:keepLines w:val="0"/>
        <w:pageBreakBefore w:val="0"/>
        <w:kinsoku/>
        <w:wordWrap/>
        <w:overflowPunct/>
        <w:topLinePunct w:val="0"/>
        <w:autoSpaceDE/>
        <w:autoSpaceDN/>
        <w:bidi w:val="0"/>
        <w:adjustRightInd w:val="0"/>
        <w:snapToGrid w:val="0"/>
        <w:spacing w:before="0" w:line="360" w:lineRule="exact"/>
        <w:jc w:val="left"/>
        <w:textAlignment w:val="auto"/>
        <w:rPr>
          <w:rFonts w:ascii="Times New Roman" w:hAnsi="Times New Roman" w:eastAsia="黑体"/>
        </w:rPr>
      </w:pPr>
      <w:bookmarkStart w:id="12" w:name="_Toc15396599"/>
      <w:bookmarkStart w:id="13" w:name="_Toc15377196"/>
      <w:r>
        <w:rPr>
          <w:rFonts w:ascii="Times New Roman" w:hAnsi="黑体" w:eastAsia="黑体"/>
        </w:rPr>
        <w:t>第一部分</w:t>
      </w:r>
      <w:r>
        <w:rPr>
          <w:rFonts w:ascii="Times New Roman" w:hAnsi="Times New Roman" w:eastAsia="黑体"/>
        </w:rPr>
        <w:t xml:space="preserve">  </w:t>
      </w:r>
      <w:r>
        <w:rPr>
          <w:rFonts w:ascii="Times New Roman" w:hAnsi="黑体" w:eastAsia="黑体"/>
        </w:rPr>
        <w:t>单位概况</w:t>
      </w:r>
      <w:r>
        <w:rPr>
          <w:rFonts w:ascii="Times New Roman" w:hAnsi="Times New Roman" w:eastAsia="黑体"/>
        </w:rPr>
        <w:tab/>
      </w:r>
      <w:r>
        <w:rPr>
          <w:rFonts w:ascii="Times New Roman" w:hAnsi="Times New Roman" w:eastAsia="黑体"/>
        </w:rPr>
        <w:t>1</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eastAsia="仿宋_GB2312"/>
          <w:sz w:val="28"/>
          <w:szCs w:val="28"/>
          <w:lang w:eastAsia="zh-CN"/>
        </w:rPr>
      </w:pPr>
      <w:r>
        <w:rPr>
          <w:rFonts w:eastAsia="仿宋_GB2312"/>
          <w:sz w:val="28"/>
          <w:szCs w:val="28"/>
        </w:rPr>
        <w:t>一、职能简介</w:t>
      </w:r>
      <w:r>
        <w:rPr>
          <w:rFonts w:eastAsia="仿宋_GB2312"/>
          <w:sz w:val="28"/>
          <w:szCs w:val="28"/>
        </w:rPr>
        <w:tab/>
      </w:r>
      <w:r>
        <w:rPr>
          <w:rFonts w:hint="eastAsia" w:eastAsia="仿宋_GB2312"/>
          <w:sz w:val="28"/>
          <w:szCs w:val="28"/>
          <w:lang w:val="en-US" w:eastAsia="zh-CN"/>
        </w:rPr>
        <w:t>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eastAsia" w:eastAsia="仿宋_GB2312"/>
          <w:sz w:val="28"/>
          <w:szCs w:val="28"/>
          <w:lang w:eastAsia="zh-CN"/>
        </w:rPr>
      </w:pPr>
      <w:r>
        <w:rPr>
          <w:rFonts w:eastAsia="仿宋_GB2312"/>
          <w:sz w:val="28"/>
          <w:szCs w:val="28"/>
        </w:rPr>
        <w:t>二、2021年重点工作完成情况</w:t>
      </w:r>
      <w:r>
        <w:rPr>
          <w:rFonts w:eastAsia="仿宋_GB2312"/>
          <w:sz w:val="28"/>
          <w:szCs w:val="28"/>
        </w:rPr>
        <w:tab/>
      </w:r>
      <w:r>
        <w:rPr>
          <w:rFonts w:hint="eastAsia" w:eastAsia="仿宋_GB2312"/>
          <w:sz w:val="28"/>
          <w:szCs w:val="28"/>
          <w:lang w:val="en-US" w:eastAsia="zh-CN"/>
        </w:rPr>
        <w:t>2</w:t>
      </w:r>
    </w:p>
    <w:p>
      <w:pPr>
        <w:pStyle w:val="12"/>
        <w:keepNext w:val="0"/>
        <w:keepLines w:val="0"/>
        <w:pageBreakBefore w:val="0"/>
        <w:kinsoku/>
        <w:wordWrap/>
        <w:overflowPunct/>
        <w:topLinePunct w:val="0"/>
        <w:autoSpaceDE/>
        <w:autoSpaceDN/>
        <w:bidi w:val="0"/>
        <w:adjustRightInd w:val="0"/>
        <w:snapToGrid w:val="0"/>
        <w:spacing w:before="0" w:line="360" w:lineRule="exact"/>
        <w:jc w:val="left"/>
        <w:textAlignment w:val="auto"/>
        <w:rPr>
          <w:rFonts w:hint="default" w:ascii="Times New Roman" w:hAnsi="Times New Roman" w:eastAsia="黑体"/>
          <w:lang w:val="en-US" w:eastAsia="zh-CN"/>
        </w:rPr>
      </w:pPr>
      <w:r>
        <w:rPr>
          <w:rFonts w:ascii="Times New Roman" w:hAnsi="黑体" w:eastAsia="黑体"/>
        </w:rPr>
        <w:t>第二部分</w:t>
      </w:r>
      <w:r>
        <w:rPr>
          <w:rFonts w:ascii="Times New Roman" w:hAnsi="Times New Roman" w:eastAsia="黑体"/>
        </w:rPr>
        <w:t xml:space="preserve">  2021</w:t>
      </w:r>
      <w:r>
        <w:rPr>
          <w:rFonts w:ascii="Times New Roman" w:hAnsi="黑体" w:eastAsia="黑体"/>
        </w:rPr>
        <w:t>年度单位决算情况说明</w:t>
      </w:r>
      <w:r>
        <w:rPr>
          <w:rFonts w:ascii="Times New Roman" w:hAnsi="Times New Roman" w:eastAsia="黑体"/>
        </w:rPr>
        <w:tab/>
      </w:r>
      <w:r>
        <w:rPr>
          <w:rFonts w:hint="eastAsia" w:ascii="Times New Roman" w:hAnsi="Times New Roman" w:eastAsia="黑体"/>
          <w:lang w:val="en-US" w:eastAsia="zh-CN"/>
        </w:rPr>
        <w:t>10</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一、收入支出决算总体情况说明</w:t>
      </w:r>
      <w:r>
        <w:rPr>
          <w:rFonts w:eastAsia="仿宋_GB2312"/>
          <w:sz w:val="28"/>
          <w:szCs w:val="28"/>
        </w:rPr>
        <w:tab/>
      </w:r>
      <w:r>
        <w:rPr>
          <w:rFonts w:hint="eastAsia" w:eastAsia="仿宋_GB2312"/>
          <w:sz w:val="28"/>
          <w:szCs w:val="28"/>
          <w:lang w:val="en-US" w:eastAsia="zh-CN"/>
        </w:rPr>
        <w:t>10</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二、收入决算情况说明</w:t>
      </w:r>
      <w:r>
        <w:rPr>
          <w:rFonts w:eastAsia="仿宋_GB2312"/>
          <w:sz w:val="28"/>
          <w:szCs w:val="28"/>
        </w:rPr>
        <w:tab/>
      </w:r>
      <w:r>
        <w:rPr>
          <w:rFonts w:hint="eastAsia" w:eastAsia="仿宋_GB2312"/>
          <w:sz w:val="28"/>
          <w:szCs w:val="28"/>
          <w:lang w:val="en-US" w:eastAsia="zh-CN"/>
        </w:rPr>
        <w:t>10</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三、支出决算情况说明</w:t>
      </w:r>
      <w:r>
        <w:rPr>
          <w:rFonts w:eastAsia="仿宋_GB2312"/>
          <w:sz w:val="28"/>
          <w:szCs w:val="28"/>
        </w:rPr>
        <w:tab/>
      </w:r>
      <w:r>
        <w:rPr>
          <w:rFonts w:hint="eastAsia" w:eastAsia="仿宋_GB2312"/>
          <w:sz w:val="28"/>
          <w:szCs w:val="28"/>
          <w:lang w:val="en-US" w:eastAsia="zh-CN"/>
        </w:rPr>
        <w:t>11</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四、财政拨款收入支出决算总体情况说明</w:t>
      </w:r>
      <w:r>
        <w:rPr>
          <w:rFonts w:eastAsia="仿宋_GB2312"/>
          <w:sz w:val="28"/>
          <w:szCs w:val="28"/>
        </w:rPr>
        <w:tab/>
      </w:r>
      <w:r>
        <w:rPr>
          <w:rFonts w:hint="eastAsia" w:eastAsia="仿宋_GB2312"/>
          <w:sz w:val="28"/>
          <w:szCs w:val="28"/>
          <w:lang w:val="en-US" w:eastAsia="zh-CN"/>
        </w:rPr>
        <w:t>12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五、一般公共预算财政拨款支出决算情况说明</w:t>
      </w:r>
      <w:r>
        <w:rPr>
          <w:rFonts w:eastAsia="仿宋_GB2312"/>
          <w:sz w:val="28"/>
          <w:szCs w:val="28"/>
        </w:rPr>
        <w:tab/>
      </w:r>
      <w:r>
        <w:rPr>
          <w:rFonts w:hint="eastAsia" w:eastAsia="仿宋_GB2312"/>
          <w:sz w:val="28"/>
          <w:szCs w:val="28"/>
          <w:lang w:val="en-US" w:eastAsia="zh-CN"/>
        </w:rPr>
        <w:t>12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六、一般公共预算财政拨款基本支出决算情况说明</w:t>
      </w:r>
      <w:r>
        <w:rPr>
          <w:rFonts w:eastAsia="仿宋_GB2312"/>
          <w:sz w:val="28"/>
          <w:szCs w:val="28"/>
        </w:rPr>
        <w:tab/>
      </w:r>
      <w:r>
        <w:rPr>
          <w:rFonts w:hint="eastAsia" w:eastAsia="仿宋_GB2312"/>
          <w:sz w:val="28"/>
          <w:szCs w:val="28"/>
          <w:lang w:val="en-US" w:eastAsia="zh-CN"/>
        </w:rPr>
        <w:t>15</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七、“三公”经费财政拨款支出决算情况说明</w:t>
      </w:r>
      <w:r>
        <w:rPr>
          <w:rFonts w:eastAsia="仿宋_GB2312"/>
          <w:sz w:val="28"/>
          <w:szCs w:val="28"/>
        </w:rPr>
        <w:tab/>
      </w:r>
      <w:r>
        <w:rPr>
          <w:rFonts w:hint="eastAsia" w:eastAsia="仿宋_GB2312"/>
          <w:sz w:val="28"/>
          <w:szCs w:val="28"/>
          <w:lang w:val="en-US" w:eastAsia="zh-CN"/>
        </w:rPr>
        <w:t>15</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八、政府性基金预算支出决算情况说明</w:t>
      </w:r>
      <w:r>
        <w:rPr>
          <w:rFonts w:eastAsia="仿宋_GB2312"/>
          <w:sz w:val="28"/>
          <w:szCs w:val="28"/>
        </w:rPr>
        <w:tab/>
      </w:r>
      <w:r>
        <w:rPr>
          <w:rFonts w:hint="eastAsia" w:eastAsia="仿宋_GB2312"/>
          <w:sz w:val="28"/>
          <w:szCs w:val="28"/>
          <w:lang w:val="en-US" w:eastAsia="zh-CN"/>
        </w:rPr>
        <w:t>17</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九、国有资本经营预算支出决算情况说明</w:t>
      </w:r>
      <w:r>
        <w:rPr>
          <w:rFonts w:eastAsia="仿宋_GB2312"/>
          <w:sz w:val="28"/>
          <w:szCs w:val="28"/>
        </w:rPr>
        <w:tab/>
      </w:r>
      <w:r>
        <w:rPr>
          <w:rFonts w:hint="eastAsia" w:eastAsia="仿宋_GB2312"/>
          <w:sz w:val="28"/>
          <w:szCs w:val="28"/>
          <w:lang w:val="en-US" w:eastAsia="zh-CN"/>
        </w:rPr>
        <w:t>17</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十、预算绩效管理情况</w:t>
      </w:r>
      <w:r>
        <w:rPr>
          <w:rFonts w:eastAsia="仿宋_GB2312"/>
          <w:sz w:val="28"/>
          <w:szCs w:val="28"/>
        </w:rPr>
        <w:tab/>
      </w:r>
      <w:r>
        <w:rPr>
          <w:rFonts w:hint="eastAsia" w:eastAsia="仿宋_GB2312"/>
          <w:sz w:val="28"/>
          <w:szCs w:val="28"/>
          <w:lang w:val="en-US" w:eastAsia="zh-CN"/>
        </w:rPr>
        <w:t>17</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十一、其他重要事项的情况说明</w:t>
      </w:r>
      <w:r>
        <w:rPr>
          <w:rFonts w:eastAsia="仿宋_GB2312"/>
          <w:sz w:val="28"/>
          <w:szCs w:val="28"/>
        </w:rPr>
        <w:tab/>
      </w:r>
      <w:r>
        <w:rPr>
          <w:rFonts w:hint="eastAsia" w:eastAsia="仿宋_GB2312"/>
          <w:sz w:val="28"/>
          <w:szCs w:val="28"/>
          <w:lang w:val="en-US" w:eastAsia="zh-CN"/>
        </w:rPr>
        <w:t>17</w:t>
      </w:r>
    </w:p>
    <w:p>
      <w:pPr>
        <w:pStyle w:val="12"/>
        <w:keepNext w:val="0"/>
        <w:keepLines w:val="0"/>
        <w:pageBreakBefore w:val="0"/>
        <w:kinsoku/>
        <w:wordWrap/>
        <w:overflowPunct/>
        <w:topLinePunct w:val="0"/>
        <w:autoSpaceDE/>
        <w:autoSpaceDN/>
        <w:bidi w:val="0"/>
        <w:adjustRightInd w:val="0"/>
        <w:snapToGrid w:val="0"/>
        <w:spacing w:before="0" w:line="360" w:lineRule="exact"/>
        <w:jc w:val="left"/>
        <w:textAlignment w:val="auto"/>
        <w:rPr>
          <w:rFonts w:hint="default" w:ascii="Times New Roman" w:hAnsi="Times New Roman" w:eastAsia="黑体"/>
          <w:lang w:val="en-US" w:eastAsia="zh-CN"/>
        </w:rPr>
      </w:pPr>
      <w:r>
        <w:rPr>
          <w:rFonts w:ascii="Times New Roman" w:hAnsi="黑体" w:eastAsia="黑体"/>
        </w:rPr>
        <w:t>第三部分</w:t>
      </w:r>
      <w:r>
        <w:rPr>
          <w:rFonts w:ascii="Times New Roman" w:hAnsi="Times New Roman" w:eastAsia="黑体"/>
        </w:rPr>
        <w:t xml:space="preserve">  </w:t>
      </w:r>
      <w:r>
        <w:rPr>
          <w:rFonts w:ascii="Times New Roman" w:hAnsi="黑体" w:eastAsia="黑体"/>
        </w:rPr>
        <w:t>名词解释</w:t>
      </w:r>
      <w:r>
        <w:rPr>
          <w:rFonts w:ascii="Times New Roman" w:hAnsi="Times New Roman" w:eastAsia="黑体"/>
        </w:rPr>
        <w:tab/>
      </w:r>
      <w:r>
        <w:rPr>
          <w:rFonts w:hint="eastAsia" w:ascii="Times New Roman" w:hAnsi="Times New Roman" w:eastAsia="黑体"/>
          <w:lang w:val="en-US" w:eastAsia="zh-CN"/>
        </w:rPr>
        <w:t>19</w:t>
      </w:r>
    </w:p>
    <w:p>
      <w:pPr>
        <w:pStyle w:val="12"/>
        <w:keepNext w:val="0"/>
        <w:keepLines w:val="0"/>
        <w:pageBreakBefore w:val="0"/>
        <w:kinsoku/>
        <w:wordWrap/>
        <w:overflowPunct/>
        <w:topLinePunct w:val="0"/>
        <w:autoSpaceDE/>
        <w:autoSpaceDN/>
        <w:bidi w:val="0"/>
        <w:adjustRightInd w:val="0"/>
        <w:snapToGrid w:val="0"/>
        <w:spacing w:before="0" w:line="360" w:lineRule="exact"/>
        <w:jc w:val="left"/>
        <w:textAlignment w:val="auto"/>
        <w:rPr>
          <w:rFonts w:hint="default" w:ascii="Times New Roman" w:hAnsi="Times New Roman" w:eastAsia="黑体"/>
          <w:lang w:val="en-US" w:eastAsia="zh-CN"/>
        </w:rPr>
      </w:pPr>
      <w:r>
        <w:rPr>
          <w:rFonts w:ascii="Times New Roman" w:hAnsi="黑体" w:eastAsia="黑体"/>
        </w:rPr>
        <w:t>第四部分</w:t>
      </w:r>
      <w:r>
        <w:rPr>
          <w:rFonts w:ascii="Times New Roman" w:hAnsi="Times New Roman" w:eastAsia="黑体"/>
        </w:rPr>
        <w:t xml:space="preserve">  </w:t>
      </w:r>
      <w:r>
        <w:rPr>
          <w:rFonts w:ascii="Times New Roman" w:hAnsi="黑体" w:eastAsia="黑体"/>
        </w:rPr>
        <w:t>附件</w:t>
      </w:r>
      <w:r>
        <w:rPr>
          <w:rFonts w:ascii="Times New Roman" w:hAnsi="Times New Roman" w:eastAsia="黑体"/>
        </w:rPr>
        <w:tab/>
      </w:r>
      <w:r>
        <w:rPr>
          <w:rFonts w:hint="eastAsia" w:ascii="Times New Roman" w:hAnsi="Times New Roman" w:eastAsia="黑体"/>
          <w:lang w:val="en-US" w:eastAsia="zh-CN"/>
        </w:rPr>
        <w:t>21</w:t>
      </w:r>
    </w:p>
    <w:p>
      <w:pPr>
        <w:pStyle w:val="12"/>
        <w:keepNext w:val="0"/>
        <w:keepLines w:val="0"/>
        <w:pageBreakBefore w:val="0"/>
        <w:kinsoku/>
        <w:wordWrap/>
        <w:overflowPunct/>
        <w:topLinePunct w:val="0"/>
        <w:autoSpaceDE/>
        <w:autoSpaceDN/>
        <w:bidi w:val="0"/>
        <w:adjustRightInd w:val="0"/>
        <w:snapToGrid w:val="0"/>
        <w:spacing w:before="0" w:line="360" w:lineRule="exact"/>
        <w:jc w:val="left"/>
        <w:textAlignment w:val="auto"/>
        <w:rPr>
          <w:rFonts w:hint="default" w:ascii="Times New Roman" w:hAnsi="Times New Roman" w:eastAsia="黑体"/>
          <w:lang w:val="en-US" w:eastAsia="zh-CN"/>
        </w:rPr>
      </w:pPr>
      <w:r>
        <w:rPr>
          <w:rFonts w:ascii="Times New Roman" w:hAnsi="黑体" w:eastAsia="黑体"/>
        </w:rPr>
        <w:t>第五部分</w:t>
      </w:r>
      <w:r>
        <w:rPr>
          <w:rFonts w:ascii="Times New Roman" w:hAnsi="Times New Roman" w:eastAsia="黑体"/>
        </w:rPr>
        <w:t xml:space="preserve">  </w:t>
      </w:r>
      <w:r>
        <w:rPr>
          <w:rFonts w:ascii="Times New Roman" w:hAnsi="黑体" w:eastAsia="黑体"/>
        </w:rPr>
        <w:t>附表</w:t>
      </w:r>
      <w:r>
        <w:rPr>
          <w:rFonts w:ascii="Times New Roman" w:hAnsi="Times New Roman" w:eastAsia="黑体"/>
        </w:rPr>
        <w:tab/>
      </w:r>
      <w:r>
        <w:rPr>
          <w:rFonts w:hint="eastAsia" w:ascii="Times New Roman" w:hAnsi="Times New Roman" w:eastAsia="黑体"/>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一、收入支出决算总表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二、收入决算表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三、支出决算表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四、财政拨款收入支出决算总表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五、财政拨款支出决算明细表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六、一般公共预算财政拨款支出决算表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七、一般公共预算财政拨款支出决算明细表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八、一般公共预算财政拨款基本支出决算表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九、一般公共预算财政拨款项目支出决算表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十、一般公共预算财政拨款“三公”经费支出决算表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十一、政府性基金预算财政拨款收入支出决算表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十二、政府性基金预算财政拨款“三公”经费支出决算表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十三、国有资本经营预算财政拨款收入支出决算表</w:t>
      </w:r>
      <w:r>
        <w:rPr>
          <w:rFonts w:eastAsia="仿宋_GB2312"/>
          <w:sz w:val="28"/>
          <w:szCs w:val="28"/>
        </w:rPr>
        <w:tab/>
      </w:r>
      <w:r>
        <w:rPr>
          <w:rFonts w:hint="eastAsia" w:eastAsia="仿宋_GB2312"/>
          <w:sz w:val="28"/>
          <w:szCs w:val="28"/>
          <w:lang w:val="en-US" w:eastAsia="zh-CN"/>
        </w:rPr>
        <w:t>22</w:t>
      </w:r>
    </w:p>
    <w:p>
      <w:pPr>
        <w:pStyle w:val="13"/>
        <w:keepNext w:val="0"/>
        <w:keepLines w:val="0"/>
        <w:pageBreakBefore w:val="0"/>
        <w:kinsoku/>
        <w:wordWrap/>
        <w:overflowPunct/>
        <w:topLinePunct w:val="0"/>
        <w:autoSpaceDE/>
        <w:autoSpaceDN/>
        <w:bidi w:val="0"/>
        <w:adjustRightInd w:val="0"/>
        <w:snapToGrid w:val="0"/>
        <w:spacing w:line="360" w:lineRule="exact"/>
        <w:jc w:val="left"/>
        <w:textAlignment w:val="auto"/>
        <w:rPr>
          <w:rFonts w:hint="default" w:eastAsia="仿宋_GB2312"/>
          <w:sz w:val="28"/>
          <w:szCs w:val="28"/>
          <w:lang w:val="en-US" w:eastAsia="zh-CN"/>
        </w:rPr>
      </w:pPr>
      <w:r>
        <w:rPr>
          <w:rFonts w:eastAsia="仿宋_GB2312"/>
          <w:sz w:val="28"/>
          <w:szCs w:val="28"/>
        </w:rPr>
        <w:t>十四、国有资本经营预算财政拨款支出决算表</w:t>
      </w:r>
      <w:r>
        <w:rPr>
          <w:rFonts w:eastAsia="仿宋_GB2312"/>
          <w:sz w:val="28"/>
          <w:szCs w:val="28"/>
        </w:rPr>
        <w:tab/>
      </w:r>
      <w:r>
        <w:rPr>
          <w:rFonts w:hint="eastAsia" w:eastAsia="仿宋_GB2312"/>
          <w:sz w:val="28"/>
          <w:szCs w:val="28"/>
          <w:lang w:val="en-US" w:eastAsia="zh-CN"/>
        </w:rPr>
        <w:t>22</w:t>
      </w:r>
    </w:p>
    <w:p/>
    <w:p>
      <w:pPr>
        <w:pStyle w:val="3"/>
        <w:keepNext w:val="0"/>
        <w:keepLines w:val="0"/>
        <w:pageBreakBefore w:val="0"/>
        <w:widowControl w:val="0"/>
        <w:kinsoku/>
        <w:wordWrap/>
        <w:overflowPunct/>
        <w:topLinePunct w:val="0"/>
        <w:autoSpaceDE/>
        <w:autoSpaceDN/>
        <w:bidi w:val="0"/>
        <w:adjustRightInd/>
        <w:snapToGrid/>
        <w:spacing w:before="0" w:after="0" w:line="576" w:lineRule="exact"/>
        <w:jc w:val="center"/>
        <w:textAlignment w:val="auto"/>
        <w:rPr>
          <w:rStyle w:val="29"/>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bookmarkEnd w:id="12"/>
      <w:bookmarkEnd w:id="13"/>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color w:val="auto"/>
          <w:highlight w:val="none"/>
        </w:rPr>
      </w:pPr>
      <w:bookmarkStart w:id="14" w:name="_Toc15377197"/>
      <w:bookmarkStart w:id="15" w:name="_Toc15396600"/>
      <w:r>
        <w:rPr>
          <w:rStyle w:val="30"/>
          <w:rFonts w:hint="eastAsia" w:ascii="黑体" w:hAnsi="黑体" w:eastAsia="黑体"/>
          <w:b w:val="0"/>
          <w:bCs w:val="0"/>
          <w:color w:val="auto"/>
          <w:highlight w:val="none"/>
          <w:lang w:eastAsia="zh-CN"/>
        </w:rPr>
        <w:t>一、</w:t>
      </w:r>
      <w:r>
        <w:rPr>
          <w:rStyle w:val="30"/>
          <w:rFonts w:hint="eastAsia" w:ascii="黑体" w:hAnsi="黑体" w:eastAsia="黑体"/>
          <w:b w:val="0"/>
          <w:bCs w:val="0"/>
          <w:color w:val="auto"/>
          <w:highlight w:val="none"/>
        </w:rPr>
        <w:t>职能</w:t>
      </w:r>
      <w:r>
        <w:rPr>
          <w:rStyle w:val="30"/>
          <w:rFonts w:hint="eastAsia" w:ascii="黑体" w:hAnsi="黑体" w:eastAsia="黑体"/>
          <w:b w:val="0"/>
          <w:bCs w:val="0"/>
          <w:color w:val="auto"/>
          <w:highlight w:val="none"/>
          <w:lang w:eastAsia="zh-CN"/>
        </w:rPr>
        <w:t>简介</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（一）主要职能</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宪法和地方组织法的规定：“地方各级人民代表大会是地方国家权力机关”、“县级以上的地方各级人民代表大会常务委员会是本级人民代表大会的常设机构”，《中华人民共和国宪法》第104条和新修订的《中华人民共和国地方各级人民代表大会和地方各级人民政府组织法》第50条赋予地方各级人大常委会在本级人民代表大会闭会期间，行使18项职权。</w:t>
      </w:r>
    </w:p>
    <w:p>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firstLine="640" w:firstLineChars="200"/>
        <w:jc w:val="both"/>
        <w:textAlignment w:val="auto"/>
        <w:rPr>
          <w:rFonts w:hint="eastAsia" w:ascii="黑体" w:hAnsi="黑体" w:eastAsia="黑体"/>
          <w:b w:val="0"/>
          <w:color w:val="auto"/>
          <w:highlight w:val="none"/>
          <w:lang w:val="en-US" w:eastAsia="zh-CN"/>
        </w:rPr>
      </w:pPr>
      <w:r>
        <w:rPr>
          <w:rFonts w:hint="eastAsia" w:ascii="楷体" w:hAnsi="楷体" w:eastAsia="楷体" w:cs="楷体"/>
          <w:color w:val="auto"/>
          <w:sz w:val="32"/>
          <w:szCs w:val="32"/>
          <w:highlight w:val="none"/>
          <w:lang w:val="en-US" w:eastAsia="zh-CN"/>
        </w:rPr>
        <w:t>（二）机构设置</w:t>
      </w:r>
    </w:p>
    <w:p>
      <w:pPr>
        <w:keepNext w:val="0"/>
        <w:keepLines w:val="0"/>
        <w:pageBreakBefore w:val="0"/>
        <w:widowControl w:val="0"/>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昭化区人大常委会办公室</w:t>
      </w:r>
      <w:r>
        <w:rPr>
          <w:rFonts w:hint="eastAsia" w:ascii="仿宋" w:hAnsi="仿宋" w:eastAsia="仿宋" w:cs="仿宋"/>
          <w:i w:val="0"/>
          <w:iCs w:val="0"/>
          <w:caps w:val="0"/>
          <w:color w:val="000000"/>
          <w:spacing w:val="0"/>
          <w:sz w:val="28"/>
          <w:szCs w:val="28"/>
        </w:rPr>
        <w:t>为</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一级预算单位，</w:t>
      </w:r>
      <w:r>
        <w:rPr>
          <w:rFonts w:hint="eastAsia" w:ascii="Times New Roman" w:hAnsi="Times New Roman" w:eastAsia="仿宋_GB2312" w:cs="Times New Roman"/>
          <w:kern w:val="0"/>
          <w:sz w:val="32"/>
          <w:szCs w:val="32"/>
          <w:lang w:val="en-US" w:eastAsia="zh-CN" w:bidi="ar-SA"/>
        </w:rPr>
        <w:t>单位性质为行政单位，执行行政单位会计制度，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ar"/>
        </w:rPr>
        <w:t>下属二级预算单位0个。</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决算</w:t>
      </w:r>
      <w:r>
        <w:rPr>
          <w:rFonts w:hint="default" w:ascii="Times New Roman" w:hAnsi="Times New Roman" w:eastAsia="仿宋_GB2312" w:cs="Times New Roman"/>
          <w:sz w:val="32"/>
          <w:szCs w:val="32"/>
        </w:rPr>
        <w:t>实有在职编制内人员</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其中：行政人员</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lang w:val="en-US" w:eastAsia="zh-CN"/>
        </w:rPr>
        <w:t>，事业人员</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人。按财政供给率分，</w:t>
      </w:r>
      <w:r>
        <w:rPr>
          <w:rFonts w:hint="default" w:ascii="Times New Roman" w:hAnsi="Times New Roman" w:eastAsia="仿宋_GB2312" w:cs="Times New Roman"/>
          <w:sz w:val="32"/>
          <w:szCs w:val="32"/>
        </w:rPr>
        <w:t>均为财政全额供给。退休</w:t>
      </w:r>
      <w:r>
        <w:rPr>
          <w:rFonts w:hint="default"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，均为行政人员</w:t>
      </w:r>
      <w:r>
        <w:rPr>
          <w:rFonts w:hint="default" w:ascii="Times New Roman" w:hAnsi="Times New Roman" w:eastAsia="仿宋_GB2312" w:cs="Times New Roman"/>
          <w:sz w:val="32"/>
          <w:szCs w:val="32"/>
          <w:lang w:val="en-US" w:eastAsia="zh-CN"/>
        </w:rPr>
        <w:t>。</w:t>
      </w:r>
    </w:p>
    <w:p>
      <w:pPr>
        <w:keepNext w:val="0"/>
        <w:keepLines w:val="0"/>
        <w:pageBreakBefore w:val="0"/>
        <w:widowControl w:val="0"/>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40" w:firstLineChars="200"/>
        <w:jc w:val="both"/>
        <w:textAlignment w:val="auto"/>
        <w:rPr>
          <w:rStyle w:val="30"/>
          <w:rFonts w:hint="eastAsia" w:ascii="黑体" w:hAnsi="黑体" w:eastAsia="黑体"/>
          <w:b w:val="0"/>
          <w:bCs w:val="0"/>
          <w:color w:val="auto"/>
          <w:highlight w:val="none"/>
          <w:lang w:val="en-US" w:eastAsia="zh-CN" w:bidi="ar-SA"/>
        </w:rPr>
      </w:pPr>
      <w:r>
        <w:rPr>
          <w:rStyle w:val="30"/>
          <w:rFonts w:hint="eastAsia" w:ascii="黑体" w:hAnsi="黑体" w:eastAsia="黑体"/>
          <w:b w:val="0"/>
          <w:bCs w:val="0"/>
          <w:color w:val="auto"/>
          <w:highlight w:val="none"/>
          <w:lang w:val="en-US" w:eastAsia="zh-CN" w:bidi="ar-SA"/>
        </w:rPr>
        <w:t>二、2021年重点工作</w:t>
      </w:r>
      <w:bookmarkEnd w:id="14"/>
      <w:bookmarkEnd w:id="15"/>
      <w:r>
        <w:rPr>
          <w:rStyle w:val="30"/>
          <w:rFonts w:hint="eastAsia" w:ascii="黑体" w:hAnsi="黑体" w:eastAsia="黑体"/>
          <w:b w:val="0"/>
          <w:bCs w:val="0"/>
          <w:color w:val="auto"/>
          <w:highlight w:val="none"/>
          <w:lang w:val="en-US" w:eastAsia="zh-CN" w:bidi="ar-SA"/>
        </w:rPr>
        <w:t>完成情况</w:t>
      </w:r>
    </w:p>
    <w:p>
      <w:pPr>
        <w:keepNext w:val="0"/>
        <w:keepLines w:val="0"/>
        <w:pageBreakBefore w:val="0"/>
        <w:widowControl w:val="0"/>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00" w:firstLineChars="200"/>
        <w:jc w:val="both"/>
        <w:textAlignment w:val="auto"/>
        <w:rPr>
          <w:rFonts w:hint="eastAsia" w:ascii="仿宋" w:hAnsi="仿宋" w:eastAsia="仿宋" w:cs="仿宋"/>
          <w:b w:val="0"/>
          <w:bCs w:val="0"/>
          <w:color w:val="auto"/>
          <w:spacing w:val="0"/>
          <w:sz w:val="30"/>
          <w:szCs w:val="30"/>
          <w:highlight w:val="none"/>
          <w:lang w:val="en-US" w:eastAsia="zh-CN" w:bidi="ar-SA"/>
        </w:rPr>
      </w:pPr>
      <w:r>
        <w:rPr>
          <w:rFonts w:hint="eastAsia" w:ascii="仿宋" w:hAnsi="仿宋" w:eastAsia="仿宋" w:cs="仿宋"/>
          <w:b w:val="0"/>
          <w:bCs w:val="0"/>
          <w:color w:val="auto"/>
          <w:spacing w:val="0"/>
          <w:sz w:val="30"/>
          <w:szCs w:val="30"/>
          <w:highlight w:val="none"/>
          <w:lang w:bidi="ar-SA"/>
        </w:rPr>
        <w:t>202</w:t>
      </w:r>
      <w:r>
        <w:rPr>
          <w:rFonts w:hint="eastAsia" w:ascii="仿宋" w:hAnsi="仿宋" w:eastAsia="仿宋" w:cs="仿宋"/>
          <w:b w:val="0"/>
          <w:bCs w:val="0"/>
          <w:color w:val="auto"/>
          <w:spacing w:val="0"/>
          <w:sz w:val="30"/>
          <w:szCs w:val="30"/>
          <w:highlight w:val="none"/>
          <w:lang w:val="en-US" w:eastAsia="zh-CN" w:bidi="ar-SA"/>
        </w:rPr>
        <w:t>1</w:t>
      </w:r>
      <w:r>
        <w:rPr>
          <w:rFonts w:hint="eastAsia" w:ascii="仿宋" w:hAnsi="仿宋" w:eastAsia="仿宋" w:cs="仿宋"/>
          <w:b w:val="0"/>
          <w:bCs w:val="0"/>
          <w:color w:val="auto"/>
          <w:spacing w:val="0"/>
          <w:sz w:val="30"/>
          <w:szCs w:val="30"/>
          <w:highlight w:val="none"/>
          <w:lang w:bidi="ar-SA"/>
        </w:rPr>
        <w:t>年</w:t>
      </w:r>
      <w:r>
        <w:rPr>
          <w:rFonts w:hint="eastAsia" w:ascii="仿宋" w:hAnsi="仿宋" w:eastAsia="仿宋" w:cs="仿宋"/>
          <w:b w:val="0"/>
          <w:bCs w:val="0"/>
          <w:color w:val="auto"/>
          <w:spacing w:val="0"/>
          <w:sz w:val="30"/>
          <w:szCs w:val="30"/>
          <w:highlight w:val="none"/>
          <w:lang w:eastAsia="zh-CN" w:bidi="ar-SA"/>
        </w:rPr>
        <w:t>是</w:t>
      </w:r>
      <w:r>
        <w:rPr>
          <w:rFonts w:hint="eastAsia" w:ascii="仿宋" w:hAnsi="仿宋" w:eastAsia="仿宋" w:cs="仿宋"/>
          <w:b w:val="0"/>
          <w:bCs w:val="0"/>
          <w:color w:val="auto"/>
          <w:spacing w:val="0"/>
          <w:sz w:val="30"/>
          <w:szCs w:val="30"/>
          <w:highlight w:val="none"/>
          <w:lang w:val="en-US" w:eastAsia="zh-CN" w:bidi="ar-SA"/>
        </w:rPr>
        <w:t>昭化发展史上极为重要的一年。</w:t>
      </w:r>
      <w:r>
        <w:rPr>
          <w:rFonts w:hint="eastAsia" w:ascii="仿宋" w:hAnsi="仿宋" w:eastAsia="仿宋" w:cs="仿宋"/>
          <w:b w:val="0"/>
          <w:bCs w:val="0"/>
          <w:color w:val="auto"/>
          <w:spacing w:val="0"/>
          <w:sz w:val="30"/>
          <w:szCs w:val="30"/>
          <w:highlight w:val="none"/>
          <w:lang w:eastAsia="zh-CN" w:bidi="ar-SA"/>
        </w:rPr>
        <w:t>一年来，</w:t>
      </w:r>
      <w:r>
        <w:rPr>
          <w:rFonts w:hint="eastAsia" w:ascii="仿宋" w:hAnsi="仿宋" w:eastAsia="仿宋" w:cs="仿宋"/>
          <w:b w:val="0"/>
          <w:bCs w:val="0"/>
          <w:color w:val="auto"/>
          <w:spacing w:val="0"/>
          <w:sz w:val="30"/>
          <w:szCs w:val="30"/>
          <w:highlight w:val="none"/>
          <w:lang w:bidi="ar-SA"/>
        </w:rPr>
        <w:t>区人大常委会</w:t>
      </w:r>
      <w:r>
        <w:rPr>
          <w:rFonts w:hint="eastAsia" w:ascii="仿宋" w:hAnsi="仿宋" w:eastAsia="仿宋" w:cs="仿宋"/>
          <w:b w:val="0"/>
          <w:bCs w:val="0"/>
          <w:color w:val="auto"/>
          <w:spacing w:val="0"/>
          <w:sz w:val="30"/>
          <w:szCs w:val="30"/>
          <w:highlight w:val="none"/>
          <w:lang w:eastAsia="zh-CN" w:bidi="ar-SA"/>
        </w:rPr>
        <w:t>在区委的坚强领导下，坚持</w:t>
      </w:r>
      <w:r>
        <w:rPr>
          <w:rFonts w:hint="eastAsia" w:ascii="仿宋" w:hAnsi="仿宋" w:eastAsia="仿宋" w:cs="仿宋"/>
          <w:b w:val="0"/>
          <w:bCs w:val="0"/>
          <w:color w:val="auto"/>
          <w:spacing w:val="0"/>
          <w:sz w:val="30"/>
          <w:szCs w:val="30"/>
          <w:highlight w:val="none"/>
          <w:lang w:bidi="ar-SA"/>
        </w:rPr>
        <w:t>以习近平新时代中国特色社会主义思想为指导，</w:t>
      </w:r>
      <w:r>
        <w:rPr>
          <w:rFonts w:hint="eastAsia" w:ascii="仿宋" w:hAnsi="仿宋" w:eastAsia="仿宋" w:cs="仿宋"/>
          <w:b w:val="0"/>
          <w:bCs w:val="0"/>
          <w:color w:val="auto"/>
          <w:spacing w:val="0"/>
          <w:sz w:val="30"/>
          <w:szCs w:val="30"/>
          <w:highlight w:val="none"/>
          <w:lang w:eastAsia="zh-CN" w:bidi="ar-SA"/>
        </w:rPr>
        <w:t>深入</w:t>
      </w:r>
      <w:r>
        <w:rPr>
          <w:rFonts w:hint="eastAsia" w:ascii="仿宋" w:hAnsi="仿宋" w:eastAsia="仿宋" w:cs="仿宋"/>
          <w:b w:val="0"/>
          <w:bCs w:val="0"/>
          <w:i w:val="0"/>
          <w:iCs w:val="0"/>
          <w:caps w:val="0"/>
          <w:color w:val="auto"/>
          <w:spacing w:val="0"/>
          <w:sz w:val="30"/>
          <w:szCs w:val="30"/>
          <w:shd w:val="clear" w:fill="FFFFFF"/>
          <w:lang w:val="en-US" w:eastAsia="zh-CN"/>
        </w:rPr>
        <w:t>学习贯彻习近平法治思想、</w:t>
      </w:r>
      <w:r>
        <w:rPr>
          <w:rFonts w:hint="eastAsia" w:ascii="仿宋" w:hAnsi="仿宋" w:eastAsia="仿宋" w:cs="仿宋"/>
          <w:b w:val="0"/>
          <w:bCs w:val="0"/>
          <w:color w:val="auto"/>
          <w:spacing w:val="0"/>
          <w:sz w:val="30"/>
          <w:szCs w:val="30"/>
          <w:highlight w:val="none"/>
          <w:lang w:eastAsia="zh-CN" w:bidi="ar-SA"/>
        </w:rPr>
        <w:t>习近平</w:t>
      </w:r>
      <w:r>
        <w:rPr>
          <w:rFonts w:hint="eastAsia" w:ascii="仿宋" w:hAnsi="仿宋" w:eastAsia="仿宋" w:cs="仿宋"/>
          <w:b w:val="0"/>
          <w:bCs w:val="0"/>
          <w:color w:val="auto"/>
          <w:spacing w:val="0"/>
          <w:sz w:val="30"/>
          <w:szCs w:val="30"/>
          <w:highlight w:val="none"/>
          <w:lang w:bidi="ar-SA"/>
        </w:rPr>
        <w:t>总书记关于坚持和完善人民代表大会制度重要思想</w:t>
      </w:r>
      <w:r>
        <w:rPr>
          <w:rFonts w:hint="eastAsia" w:ascii="仿宋" w:hAnsi="仿宋" w:eastAsia="仿宋" w:cs="仿宋"/>
          <w:b w:val="0"/>
          <w:bCs w:val="0"/>
          <w:color w:val="auto"/>
          <w:spacing w:val="0"/>
          <w:sz w:val="30"/>
          <w:szCs w:val="30"/>
          <w:highlight w:val="none"/>
          <w:lang w:eastAsia="zh-CN" w:bidi="ar-SA"/>
        </w:rPr>
        <w:t>，</w:t>
      </w:r>
      <w:r>
        <w:rPr>
          <w:rFonts w:hint="eastAsia" w:ascii="仿宋" w:hAnsi="仿宋" w:eastAsia="仿宋" w:cs="仿宋"/>
          <w:b w:val="0"/>
          <w:bCs w:val="0"/>
          <w:color w:val="auto"/>
          <w:spacing w:val="0"/>
          <w:sz w:val="30"/>
          <w:szCs w:val="30"/>
          <w:highlight w:val="none"/>
          <w:lang w:val="en-US" w:eastAsia="zh-CN" w:bidi="ar-SA"/>
        </w:rPr>
        <w:t>弘扬伟大建党精神，恪守对党绝对忠诚</w:t>
      </w:r>
      <w:r>
        <w:rPr>
          <w:rFonts w:hint="eastAsia" w:ascii="仿宋" w:hAnsi="仿宋" w:eastAsia="仿宋" w:cs="仿宋"/>
          <w:b w:val="0"/>
          <w:bCs w:val="0"/>
          <w:color w:val="auto"/>
          <w:spacing w:val="0"/>
          <w:sz w:val="30"/>
          <w:szCs w:val="30"/>
          <w:highlight w:val="none"/>
          <w:lang w:eastAsia="zh-CN" w:bidi="ar-SA"/>
        </w:rPr>
        <w:t>，</w:t>
      </w:r>
      <w:r>
        <w:rPr>
          <w:rFonts w:hint="eastAsia" w:ascii="仿宋" w:hAnsi="仿宋" w:eastAsia="仿宋" w:cs="仿宋"/>
          <w:b w:val="0"/>
          <w:bCs w:val="0"/>
          <w:color w:val="auto"/>
          <w:spacing w:val="0"/>
          <w:sz w:val="30"/>
          <w:szCs w:val="30"/>
          <w:highlight w:val="none"/>
          <w:lang w:val="en-US" w:eastAsia="zh-CN" w:bidi="ar-SA"/>
        </w:rPr>
        <w:t>紧紧围绕</w:t>
      </w:r>
      <w:r>
        <w:rPr>
          <w:rFonts w:hint="eastAsia" w:ascii="仿宋" w:hAnsi="仿宋" w:eastAsia="仿宋" w:cs="仿宋"/>
          <w:b w:val="0"/>
          <w:bCs w:val="0"/>
          <w:color w:val="auto"/>
          <w:spacing w:val="0"/>
          <w:sz w:val="30"/>
          <w:szCs w:val="30"/>
          <w:highlight w:val="none"/>
          <w:lang w:eastAsia="zh-CN" w:bidi="ar-SA"/>
        </w:rPr>
        <w:t>区委部署，</w:t>
      </w:r>
      <w:r>
        <w:rPr>
          <w:rFonts w:hint="eastAsia" w:ascii="仿宋" w:hAnsi="仿宋" w:eastAsia="仿宋" w:cs="仿宋"/>
          <w:b w:val="0"/>
          <w:bCs w:val="0"/>
          <w:color w:val="auto"/>
          <w:spacing w:val="0"/>
          <w:sz w:val="30"/>
          <w:szCs w:val="30"/>
          <w:highlight w:val="none"/>
          <w:lang w:val="en-US" w:eastAsia="zh-CN" w:bidi="ar-SA"/>
        </w:rPr>
        <w:t>坚定</w:t>
      </w:r>
      <w:r>
        <w:rPr>
          <w:rFonts w:hint="eastAsia" w:ascii="仿宋" w:hAnsi="仿宋" w:eastAsia="仿宋" w:cs="仿宋"/>
          <w:b w:val="0"/>
          <w:bCs w:val="0"/>
          <w:i w:val="0"/>
          <w:iCs w:val="0"/>
          <w:caps w:val="0"/>
          <w:color w:val="auto"/>
          <w:spacing w:val="0"/>
          <w:sz w:val="30"/>
          <w:szCs w:val="30"/>
          <w:shd w:val="clear" w:fill="FFFFFF"/>
          <w:lang w:eastAsia="zh-CN"/>
        </w:rPr>
        <w:t>依法履职尽责。</w:t>
      </w:r>
      <w:r>
        <w:rPr>
          <w:rFonts w:hint="eastAsia" w:ascii="仿宋" w:hAnsi="仿宋" w:eastAsia="仿宋" w:cs="仿宋"/>
          <w:b w:val="0"/>
          <w:bCs w:val="0"/>
          <w:color w:val="auto"/>
          <w:spacing w:val="0"/>
          <w:sz w:val="30"/>
          <w:szCs w:val="30"/>
          <w:highlight w:val="none"/>
          <w:lang w:val="en-US" w:eastAsia="zh-CN" w:bidi="ar-SA"/>
        </w:rPr>
        <w:t>全年听取和审议专项工作报告35个，开展执法检查2项、满意度测评2次</w:t>
      </w:r>
      <w:r>
        <w:rPr>
          <w:rFonts w:hint="eastAsia" w:ascii="仿宋" w:hAnsi="仿宋" w:eastAsia="仿宋" w:cs="仿宋"/>
          <w:b w:val="0"/>
          <w:bCs w:val="0"/>
          <w:color w:val="FF0000"/>
          <w:spacing w:val="0"/>
          <w:sz w:val="30"/>
          <w:szCs w:val="30"/>
          <w:highlight w:val="none"/>
          <w:lang w:val="en-US" w:eastAsia="zh-CN" w:bidi="ar-SA"/>
        </w:rPr>
        <w:t>、</w:t>
      </w:r>
      <w:r>
        <w:rPr>
          <w:rFonts w:hint="eastAsia" w:ascii="仿宋" w:hAnsi="仿宋" w:eastAsia="仿宋" w:cs="仿宋"/>
          <w:b w:val="0"/>
          <w:bCs w:val="0"/>
          <w:i w:val="0"/>
          <w:iCs w:val="0"/>
          <w:caps w:val="0"/>
          <w:color w:val="auto"/>
          <w:spacing w:val="0"/>
          <w:sz w:val="30"/>
          <w:szCs w:val="30"/>
          <w:shd w:val="clear" w:fill="FFFFFF"/>
        </w:rPr>
        <w:t>视察调研</w:t>
      </w:r>
      <w:r>
        <w:rPr>
          <w:rFonts w:hint="eastAsia" w:ascii="仿宋" w:hAnsi="仿宋" w:eastAsia="仿宋" w:cs="仿宋"/>
          <w:b w:val="0"/>
          <w:bCs w:val="0"/>
          <w:i w:val="0"/>
          <w:iCs w:val="0"/>
          <w:caps w:val="0"/>
          <w:color w:val="auto"/>
          <w:spacing w:val="0"/>
          <w:sz w:val="30"/>
          <w:szCs w:val="30"/>
          <w:shd w:val="clear" w:fill="FFFFFF"/>
          <w:lang w:eastAsia="zh-CN"/>
        </w:rPr>
        <w:t>1</w:t>
      </w:r>
      <w:r>
        <w:rPr>
          <w:rFonts w:hint="eastAsia" w:ascii="仿宋" w:hAnsi="仿宋" w:eastAsia="仿宋" w:cs="仿宋"/>
          <w:b w:val="0"/>
          <w:bCs w:val="0"/>
          <w:i w:val="0"/>
          <w:iCs w:val="0"/>
          <w:caps w:val="0"/>
          <w:color w:val="auto"/>
          <w:spacing w:val="0"/>
          <w:sz w:val="30"/>
          <w:szCs w:val="30"/>
          <w:shd w:val="clear" w:fill="FFFFFF"/>
          <w:lang w:val="en-US" w:eastAsia="zh-CN"/>
        </w:rPr>
        <w:t>0</w:t>
      </w:r>
      <w:r>
        <w:rPr>
          <w:rFonts w:hint="eastAsia" w:ascii="仿宋" w:hAnsi="仿宋" w:eastAsia="仿宋" w:cs="仿宋"/>
          <w:b w:val="0"/>
          <w:bCs w:val="0"/>
          <w:i w:val="0"/>
          <w:iCs w:val="0"/>
          <w:caps w:val="0"/>
          <w:color w:val="auto"/>
          <w:spacing w:val="0"/>
          <w:sz w:val="30"/>
          <w:szCs w:val="30"/>
          <w:shd w:val="clear" w:fill="FFFFFF"/>
          <w:lang w:eastAsia="zh-CN"/>
        </w:rPr>
        <w:t>次，</w:t>
      </w:r>
      <w:r>
        <w:rPr>
          <w:rFonts w:hint="eastAsia" w:ascii="仿宋" w:hAnsi="仿宋" w:eastAsia="仿宋" w:cs="仿宋"/>
          <w:b w:val="0"/>
          <w:bCs w:val="0"/>
          <w:i w:val="0"/>
          <w:iCs w:val="0"/>
          <w:caps w:val="0"/>
          <w:color w:val="auto"/>
          <w:spacing w:val="0"/>
          <w:sz w:val="30"/>
          <w:szCs w:val="30"/>
          <w:shd w:val="clear" w:fill="FFFFFF"/>
        </w:rPr>
        <w:t>作出决议决定</w:t>
      </w:r>
      <w:r>
        <w:rPr>
          <w:rFonts w:hint="eastAsia" w:ascii="仿宋" w:hAnsi="仿宋" w:eastAsia="仿宋" w:cs="仿宋"/>
          <w:b w:val="0"/>
          <w:bCs w:val="0"/>
          <w:i w:val="0"/>
          <w:iCs w:val="0"/>
          <w:caps w:val="0"/>
          <w:color w:val="auto"/>
          <w:spacing w:val="0"/>
          <w:sz w:val="30"/>
          <w:szCs w:val="30"/>
          <w:shd w:val="clear" w:fill="FFFFFF"/>
          <w:lang w:val="en-US" w:eastAsia="zh-CN"/>
        </w:rPr>
        <w:t>18</w:t>
      </w:r>
      <w:r>
        <w:rPr>
          <w:rFonts w:hint="eastAsia" w:ascii="仿宋" w:hAnsi="仿宋" w:eastAsia="仿宋" w:cs="仿宋"/>
          <w:b w:val="0"/>
          <w:bCs w:val="0"/>
          <w:i w:val="0"/>
          <w:iCs w:val="0"/>
          <w:caps w:val="0"/>
          <w:color w:val="auto"/>
          <w:spacing w:val="0"/>
          <w:sz w:val="30"/>
          <w:szCs w:val="30"/>
          <w:shd w:val="clear" w:fill="FFFFFF"/>
          <w:lang w:eastAsia="zh-CN"/>
        </w:rPr>
        <w:t>项</w:t>
      </w:r>
      <w:r>
        <w:rPr>
          <w:rFonts w:hint="eastAsia" w:ascii="仿宋" w:hAnsi="仿宋" w:eastAsia="仿宋" w:cs="仿宋"/>
          <w:b w:val="0"/>
          <w:bCs w:val="0"/>
          <w:i w:val="0"/>
          <w:iCs w:val="0"/>
          <w:caps w:val="0"/>
          <w:color w:val="auto"/>
          <w:spacing w:val="0"/>
          <w:sz w:val="30"/>
          <w:szCs w:val="30"/>
          <w:shd w:val="clear" w:fill="FFFFFF"/>
        </w:rPr>
        <w:t>，任免国家机关工作人员</w:t>
      </w:r>
      <w:r>
        <w:rPr>
          <w:rFonts w:hint="eastAsia" w:ascii="仿宋" w:hAnsi="仿宋" w:eastAsia="仿宋" w:cs="仿宋"/>
          <w:b w:val="0"/>
          <w:bCs w:val="0"/>
          <w:color w:val="auto"/>
          <w:spacing w:val="0"/>
          <w:sz w:val="30"/>
          <w:szCs w:val="30"/>
          <w:highlight w:val="none"/>
          <w:lang w:val="en-US" w:eastAsia="zh-CN" w:bidi="ar-SA"/>
        </w:rPr>
        <w:t>93人次</w:t>
      </w:r>
      <w:r>
        <w:rPr>
          <w:rFonts w:hint="eastAsia" w:ascii="仿宋" w:hAnsi="仿宋" w:eastAsia="仿宋" w:cs="仿宋"/>
          <w:b w:val="0"/>
          <w:bCs w:val="0"/>
          <w:i w:val="0"/>
          <w:iCs w:val="0"/>
          <w:caps w:val="0"/>
          <w:color w:val="auto"/>
          <w:spacing w:val="0"/>
          <w:sz w:val="30"/>
          <w:szCs w:val="30"/>
          <w:shd w:val="clear" w:fill="FFFFFF"/>
        </w:rPr>
        <w:t>，组织宪法宣誓</w:t>
      </w:r>
      <w:r>
        <w:rPr>
          <w:rFonts w:hint="eastAsia" w:ascii="仿宋" w:hAnsi="仿宋" w:eastAsia="仿宋" w:cs="仿宋"/>
          <w:b w:val="0"/>
          <w:bCs w:val="0"/>
          <w:i w:val="0"/>
          <w:iCs w:val="0"/>
          <w:caps w:val="0"/>
          <w:color w:val="auto"/>
          <w:spacing w:val="0"/>
          <w:sz w:val="30"/>
          <w:szCs w:val="30"/>
          <w:shd w:val="clear" w:fill="FFFFFF"/>
          <w:lang w:val="en-US" w:eastAsia="zh-CN"/>
        </w:rPr>
        <w:t>7</w:t>
      </w:r>
      <w:r>
        <w:rPr>
          <w:rFonts w:hint="eastAsia" w:ascii="仿宋" w:hAnsi="仿宋" w:eastAsia="仿宋" w:cs="仿宋"/>
          <w:b w:val="0"/>
          <w:bCs w:val="0"/>
          <w:i w:val="0"/>
          <w:iCs w:val="0"/>
          <w:caps w:val="0"/>
          <w:color w:val="auto"/>
          <w:spacing w:val="0"/>
          <w:sz w:val="30"/>
          <w:szCs w:val="30"/>
          <w:shd w:val="clear" w:fill="FFFFFF"/>
        </w:rPr>
        <w:t>次</w:t>
      </w:r>
      <w:r>
        <w:rPr>
          <w:rFonts w:hint="eastAsia" w:ascii="仿宋" w:hAnsi="仿宋" w:eastAsia="仿宋" w:cs="仿宋"/>
          <w:b w:val="0"/>
          <w:bCs w:val="0"/>
          <w:i w:val="0"/>
          <w:iCs w:val="0"/>
          <w:caps w:val="0"/>
          <w:color w:val="auto"/>
          <w:spacing w:val="0"/>
          <w:sz w:val="30"/>
          <w:szCs w:val="30"/>
          <w:shd w:val="clear" w:fill="FFFFFF"/>
          <w:lang w:eastAsia="zh-CN"/>
        </w:rPr>
        <w:t>，</w:t>
      </w:r>
      <w:r>
        <w:rPr>
          <w:rFonts w:hint="eastAsia" w:ascii="仿宋" w:hAnsi="仿宋" w:eastAsia="仿宋" w:cs="仿宋"/>
          <w:b w:val="0"/>
          <w:bCs w:val="0"/>
          <w:color w:val="auto"/>
          <w:spacing w:val="0"/>
          <w:sz w:val="30"/>
          <w:szCs w:val="30"/>
          <w:highlight w:val="none"/>
          <w:lang w:val="en-US" w:eastAsia="zh-CN" w:bidi="ar-SA"/>
        </w:rPr>
        <w:t>备案审查规范性文件7项，各项工作取得新成效，</w:t>
      </w:r>
      <w:r>
        <w:rPr>
          <w:rFonts w:hint="eastAsia" w:ascii="仿宋" w:hAnsi="仿宋" w:eastAsia="仿宋" w:cs="仿宋"/>
          <w:b w:val="0"/>
          <w:bCs w:val="0"/>
          <w:i w:val="0"/>
          <w:iCs w:val="0"/>
          <w:caps w:val="0"/>
          <w:color w:val="auto"/>
          <w:spacing w:val="0"/>
          <w:sz w:val="30"/>
          <w:szCs w:val="30"/>
          <w:shd w:val="clear" w:fill="FFFFFF"/>
          <w:lang w:eastAsia="zh-CN"/>
        </w:rPr>
        <w:t>为</w:t>
      </w:r>
      <w:r>
        <w:rPr>
          <w:rFonts w:hint="eastAsia" w:ascii="仿宋" w:hAnsi="仿宋" w:eastAsia="仿宋" w:cs="仿宋"/>
          <w:b w:val="0"/>
          <w:bCs w:val="0"/>
          <w:color w:val="auto"/>
          <w:spacing w:val="0"/>
          <w:sz w:val="30"/>
          <w:szCs w:val="30"/>
          <w:highlight w:val="none"/>
          <w:lang w:val="en-US" w:eastAsia="zh-CN" w:bidi="ar-SA"/>
        </w:rPr>
        <w:t>“十四五”起好步、开好局，开启社会主义现代化四城新区建设作出了积极贡献。</w:t>
      </w:r>
    </w:p>
    <w:p>
      <w:pPr>
        <w:keepNext w:val="0"/>
        <w:keepLines w:val="0"/>
        <w:pageBreakBefore w:val="0"/>
        <w:widowControl w:val="0"/>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left="0" w:right="0" w:firstLine="600" w:firstLineChars="200"/>
        <w:jc w:val="both"/>
        <w:textAlignment w:val="auto"/>
        <w:rPr>
          <w:rFonts w:hint="default" w:ascii="Times New Roman" w:hAnsi="Times New Roman" w:eastAsia="黑体" w:cs="Times New Roman"/>
          <w:b w:val="0"/>
          <w:bCs w:val="0"/>
          <w:color w:val="000000" w:themeColor="text1"/>
          <w:spacing w:val="0"/>
          <w:kern w:val="0"/>
          <w:sz w:val="30"/>
          <w:szCs w:val="30"/>
          <w:highlight w:val="none"/>
          <w:lang w:val="en-US" w:eastAsia="zh-CN" w:bidi="ar-SA"/>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0"/>
          <w:szCs w:val="30"/>
          <w:highlight w:val="none"/>
          <w:lang w:val="en-US" w:eastAsia="zh-CN" w:bidi="ar-SA"/>
          <w14:textFill>
            <w14:solidFill>
              <w14:schemeClr w14:val="tx1"/>
            </w14:solidFill>
          </w14:textFill>
        </w:rPr>
        <w:t>切实</w:t>
      </w:r>
      <w:r>
        <w:rPr>
          <w:rFonts w:hint="default" w:eastAsia="黑体" w:cs="Times New Roman"/>
          <w:b w:val="0"/>
          <w:bCs w:val="0"/>
          <w:color w:val="000000" w:themeColor="text1"/>
          <w:spacing w:val="0"/>
          <w:kern w:val="0"/>
          <w:sz w:val="30"/>
          <w:szCs w:val="30"/>
          <w:highlight w:val="none"/>
          <w:lang w:val="en-US" w:eastAsia="zh-CN" w:bidi="ar-SA"/>
          <w14:textFill>
            <w14:solidFill>
              <w14:schemeClr w14:val="tx1"/>
            </w14:solidFill>
          </w14:textFill>
        </w:rPr>
        <w:t>筑牢</w:t>
      </w:r>
      <w:r>
        <w:rPr>
          <w:rFonts w:hint="default" w:ascii="Times New Roman" w:hAnsi="Times New Roman" w:eastAsia="黑体" w:cs="Times New Roman"/>
          <w:b w:val="0"/>
          <w:bCs w:val="0"/>
          <w:color w:val="000000" w:themeColor="text1"/>
          <w:spacing w:val="0"/>
          <w:kern w:val="0"/>
          <w:sz w:val="30"/>
          <w:szCs w:val="30"/>
          <w:highlight w:val="none"/>
          <w:lang w:val="en-US" w:eastAsia="zh-CN" w:bidi="ar-SA"/>
          <w14:textFill>
            <w14:solidFill>
              <w14:schemeClr w14:val="tx1"/>
            </w14:solidFill>
          </w14:textFill>
        </w:rPr>
        <w:t>人大工作政治根基</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color w:val="auto"/>
          <w:sz w:val="30"/>
          <w:szCs w:val="30"/>
          <w:highlight w:val="none"/>
          <w:lang w:val="en-US" w:eastAsia="zh-CN" w:bidi="ar-SA"/>
        </w:rPr>
      </w:pPr>
      <w:r>
        <w:rPr>
          <w:rFonts w:hint="eastAsia" w:ascii="华文楷体" w:hAnsi="华文楷体" w:eastAsia="华文楷体" w:cs="华文楷体"/>
          <w:b w:val="0"/>
          <w:bCs w:val="0"/>
          <w:i w:val="0"/>
          <w:iCs w:val="0"/>
          <w:caps w:val="0"/>
          <w:color w:val="auto"/>
          <w:spacing w:val="0"/>
          <w:sz w:val="32"/>
          <w:szCs w:val="32"/>
          <w:lang w:val="en-US" w:eastAsia="zh-CN"/>
        </w:rPr>
        <w:t>始终把牢政治方向。</w:t>
      </w:r>
      <w:r>
        <w:rPr>
          <w:rFonts w:hint="eastAsia" w:ascii="仿宋" w:hAnsi="仿宋" w:eastAsia="仿宋" w:cs="仿宋"/>
          <w:b w:val="0"/>
          <w:bCs w:val="0"/>
          <w:i w:val="0"/>
          <w:iCs w:val="0"/>
          <w:caps w:val="0"/>
          <w:color w:val="auto"/>
          <w:spacing w:val="0"/>
          <w:sz w:val="30"/>
          <w:szCs w:val="30"/>
          <w:highlight w:val="none"/>
          <w:lang w:val="en-US" w:eastAsia="zh-CN" w:bidi="ar-SA"/>
        </w:rPr>
        <w:t>强化</w:t>
      </w:r>
      <w:r>
        <w:rPr>
          <w:rFonts w:hint="eastAsia" w:ascii="仿宋" w:hAnsi="仿宋" w:eastAsia="仿宋" w:cs="仿宋"/>
          <w:b w:val="0"/>
          <w:bCs w:val="0"/>
          <w:i w:val="0"/>
          <w:iCs w:val="0"/>
          <w:caps w:val="0"/>
          <w:color w:val="auto"/>
          <w:spacing w:val="0"/>
          <w:sz w:val="30"/>
          <w:szCs w:val="30"/>
          <w:highlight w:val="none"/>
          <w:lang w:eastAsia="zh-CN" w:bidi="ar-SA"/>
        </w:rPr>
        <w:t>政治机关建设，切实增强“四个意识”、坚定“四个自信”、做到“两个维护”，不断提高政治判断力、政治领悟力、政治执行力。</w:t>
      </w:r>
      <w:r>
        <w:rPr>
          <w:rFonts w:hint="eastAsia" w:ascii="仿宋" w:hAnsi="仿宋" w:eastAsia="仿宋" w:cs="仿宋"/>
          <w:b w:val="0"/>
          <w:bCs w:val="0"/>
          <w:color w:val="auto"/>
          <w:spacing w:val="0"/>
          <w:sz w:val="30"/>
          <w:szCs w:val="30"/>
          <w:highlight w:val="none"/>
          <w:lang w:eastAsia="zh-CN" w:bidi="ar-SA"/>
        </w:rPr>
        <w:t>深刻</w:t>
      </w:r>
      <w:r>
        <w:rPr>
          <w:rFonts w:hint="eastAsia" w:ascii="仿宋" w:hAnsi="仿宋" w:eastAsia="仿宋" w:cs="仿宋"/>
          <w:b w:val="0"/>
          <w:bCs w:val="0"/>
          <w:color w:val="auto"/>
          <w:spacing w:val="0"/>
          <w:sz w:val="30"/>
          <w:szCs w:val="30"/>
          <w:highlight w:val="none"/>
          <w:lang w:val="en-US" w:eastAsia="zh-CN" w:bidi="ar-SA"/>
        </w:rPr>
        <w:t>领会</w:t>
      </w:r>
      <w:r>
        <w:rPr>
          <w:rFonts w:hint="eastAsia" w:ascii="仿宋" w:hAnsi="仿宋" w:eastAsia="仿宋" w:cs="仿宋"/>
          <w:b w:val="0"/>
          <w:bCs w:val="0"/>
          <w:color w:val="auto"/>
          <w:spacing w:val="0"/>
          <w:sz w:val="30"/>
          <w:szCs w:val="30"/>
          <w:highlight w:val="none"/>
          <w:lang w:eastAsia="zh-CN" w:bidi="ar-SA"/>
        </w:rPr>
        <w:t>“两个确立”的决定性意义，自觉做“两个确立”的坚决拥护者和“两个维护”的坚定践行者。</w:t>
      </w:r>
      <w:r>
        <w:rPr>
          <w:rFonts w:hint="eastAsia" w:ascii="仿宋" w:hAnsi="仿宋" w:eastAsia="仿宋" w:cs="仿宋"/>
          <w:b w:val="0"/>
          <w:bCs w:val="0"/>
          <w:i w:val="0"/>
          <w:iCs w:val="0"/>
          <w:caps w:val="0"/>
          <w:color w:val="auto"/>
          <w:spacing w:val="0"/>
          <w:sz w:val="30"/>
          <w:szCs w:val="30"/>
          <w:highlight w:val="none"/>
          <w:shd w:val="clear" w:fill="auto"/>
          <w:lang w:val="en-US" w:eastAsia="zh-CN" w:bidi="ar-SA"/>
        </w:rPr>
        <w:t>组织</w:t>
      </w:r>
      <w:r>
        <w:rPr>
          <w:rFonts w:hint="eastAsia" w:ascii="仿宋" w:hAnsi="仿宋" w:eastAsia="仿宋" w:cs="仿宋"/>
          <w:b w:val="0"/>
          <w:bCs w:val="0"/>
          <w:i w:val="0"/>
          <w:iCs w:val="0"/>
          <w:caps w:val="0"/>
          <w:color w:val="auto"/>
          <w:spacing w:val="0"/>
          <w:sz w:val="30"/>
          <w:szCs w:val="30"/>
          <w:highlight w:val="none"/>
          <w:shd w:val="clear" w:fill="auto"/>
          <w:lang w:eastAsia="zh-CN" w:bidi="ar-SA"/>
        </w:rPr>
        <w:t>常委会会议、党组会议、主任会议</w:t>
      </w:r>
      <w:r>
        <w:rPr>
          <w:rFonts w:hint="eastAsia" w:ascii="仿宋" w:hAnsi="仿宋" w:eastAsia="仿宋" w:cs="仿宋"/>
          <w:b w:val="0"/>
          <w:bCs w:val="0"/>
          <w:i w:val="0"/>
          <w:iCs w:val="0"/>
          <w:caps w:val="0"/>
          <w:color w:val="auto"/>
          <w:spacing w:val="0"/>
          <w:sz w:val="30"/>
          <w:szCs w:val="30"/>
          <w:highlight w:val="none"/>
          <w:shd w:val="clear" w:fill="auto"/>
          <w:lang w:val="en-US" w:eastAsia="zh-CN" w:bidi="ar-SA"/>
        </w:rPr>
        <w:t>集中学习28次，</w:t>
      </w:r>
      <w:r>
        <w:rPr>
          <w:rFonts w:hint="eastAsia" w:ascii="仿宋" w:hAnsi="仿宋" w:eastAsia="仿宋" w:cs="仿宋"/>
          <w:b w:val="0"/>
          <w:bCs w:val="0"/>
          <w:color w:val="auto"/>
          <w:sz w:val="30"/>
          <w:szCs w:val="30"/>
          <w:highlight w:val="none"/>
          <w:shd w:val="clear" w:fill="auto"/>
          <w:lang w:val="en-US" w:eastAsia="zh-CN" w:bidi="ar-SA"/>
        </w:rPr>
        <w:t>深入学习</w:t>
      </w:r>
      <w:r>
        <w:rPr>
          <w:rFonts w:hint="eastAsia" w:ascii="仿宋" w:hAnsi="仿宋" w:eastAsia="仿宋" w:cs="仿宋"/>
          <w:b w:val="0"/>
          <w:bCs w:val="0"/>
          <w:i w:val="0"/>
          <w:iCs w:val="0"/>
          <w:caps w:val="0"/>
          <w:color w:val="auto"/>
          <w:spacing w:val="0"/>
          <w:sz w:val="30"/>
          <w:szCs w:val="30"/>
          <w:highlight w:val="none"/>
          <w:shd w:val="clear" w:fill="auto"/>
          <w:lang w:bidi="ar-SA"/>
        </w:rPr>
        <w:t>习近平新时代中国特色社会主义思想</w:t>
      </w:r>
      <w:r>
        <w:rPr>
          <w:rFonts w:hint="eastAsia" w:ascii="仿宋" w:hAnsi="仿宋" w:eastAsia="仿宋" w:cs="仿宋"/>
          <w:b w:val="0"/>
          <w:bCs w:val="0"/>
          <w:i w:val="0"/>
          <w:iCs w:val="0"/>
          <w:caps w:val="0"/>
          <w:color w:val="auto"/>
          <w:spacing w:val="0"/>
          <w:sz w:val="30"/>
          <w:szCs w:val="30"/>
          <w:highlight w:val="none"/>
          <w:shd w:val="clear" w:fill="auto"/>
          <w:lang w:val="en-US" w:eastAsia="zh-CN" w:bidi="ar-SA"/>
        </w:rPr>
        <w:t>的丰富内涵和核心要义、</w:t>
      </w:r>
      <w:r>
        <w:rPr>
          <w:rFonts w:hint="eastAsia" w:ascii="仿宋" w:hAnsi="仿宋" w:eastAsia="仿宋" w:cs="仿宋"/>
          <w:b w:val="0"/>
          <w:bCs w:val="0"/>
          <w:color w:val="auto"/>
          <w:spacing w:val="0"/>
          <w:sz w:val="30"/>
          <w:szCs w:val="30"/>
          <w:highlight w:val="none"/>
          <w:lang w:eastAsia="zh-CN" w:bidi="ar-SA"/>
        </w:rPr>
        <w:t>党的十九大和十九届历次全会精神</w:t>
      </w:r>
      <w:r>
        <w:rPr>
          <w:rFonts w:hint="eastAsia" w:ascii="仿宋" w:hAnsi="仿宋" w:eastAsia="仿宋" w:cs="仿宋"/>
          <w:b w:val="0"/>
          <w:bCs w:val="0"/>
          <w:i w:val="0"/>
          <w:iCs w:val="0"/>
          <w:caps w:val="0"/>
          <w:color w:val="auto"/>
          <w:spacing w:val="0"/>
          <w:sz w:val="30"/>
          <w:szCs w:val="30"/>
          <w:highlight w:val="none"/>
          <w:shd w:val="clear" w:fill="auto"/>
          <w:lang w:val="en-US" w:eastAsia="zh-CN" w:bidi="ar-SA"/>
        </w:rPr>
        <w:t>，</w:t>
      </w:r>
      <w:r>
        <w:rPr>
          <w:rFonts w:hint="eastAsia" w:ascii="仿宋" w:hAnsi="仿宋" w:eastAsia="仿宋" w:cs="仿宋"/>
          <w:b w:val="0"/>
          <w:bCs w:val="0"/>
          <w:color w:val="auto"/>
          <w:kern w:val="2"/>
          <w:sz w:val="30"/>
          <w:szCs w:val="30"/>
          <w:highlight w:val="none"/>
          <w:lang w:eastAsia="zh-CN" w:bidi="ar-SA"/>
        </w:rPr>
        <w:t>深悟践行</w:t>
      </w:r>
      <w:r>
        <w:rPr>
          <w:rFonts w:hint="eastAsia" w:ascii="仿宋" w:hAnsi="仿宋" w:eastAsia="仿宋" w:cs="仿宋"/>
          <w:b w:val="0"/>
          <w:bCs w:val="0"/>
          <w:color w:val="auto"/>
          <w:sz w:val="30"/>
          <w:szCs w:val="30"/>
          <w:highlight w:val="none"/>
          <w:lang w:val="en-US" w:eastAsia="zh-CN" w:bidi="ar-SA"/>
        </w:rPr>
        <w:t>习近平总书记在中央人大工作会议上的重要讲话精神，</w:t>
      </w:r>
      <w:r>
        <w:rPr>
          <w:rFonts w:hint="eastAsia" w:ascii="仿宋" w:hAnsi="仿宋" w:eastAsia="仿宋" w:cs="仿宋"/>
          <w:b w:val="0"/>
          <w:bCs w:val="0"/>
          <w:i w:val="0"/>
          <w:iCs w:val="0"/>
          <w:caps w:val="0"/>
          <w:color w:val="auto"/>
          <w:spacing w:val="0"/>
          <w:sz w:val="30"/>
          <w:szCs w:val="30"/>
          <w:highlight w:val="none"/>
          <w:shd w:val="clear" w:fill="auto"/>
          <w:lang w:val="en-US" w:eastAsia="zh-CN" w:bidi="ar-SA"/>
        </w:rPr>
        <w:t>坚持把习近平法治思想、</w:t>
      </w:r>
      <w:r>
        <w:rPr>
          <w:rFonts w:hint="eastAsia" w:ascii="仿宋" w:hAnsi="仿宋" w:eastAsia="仿宋" w:cs="仿宋"/>
          <w:b w:val="0"/>
          <w:bCs w:val="0"/>
          <w:color w:val="auto"/>
          <w:spacing w:val="0"/>
          <w:sz w:val="30"/>
          <w:szCs w:val="30"/>
          <w:highlight w:val="none"/>
          <w:lang w:eastAsia="zh-CN" w:bidi="ar-SA"/>
        </w:rPr>
        <w:t>习近平</w:t>
      </w:r>
      <w:r>
        <w:rPr>
          <w:rFonts w:hint="eastAsia" w:ascii="仿宋" w:hAnsi="仿宋" w:eastAsia="仿宋" w:cs="仿宋"/>
          <w:b w:val="0"/>
          <w:bCs w:val="0"/>
          <w:color w:val="auto"/>
          <w:spacing w:val="0"/>
          <w:sz w:val="30"/>
          <w:szCs w:val="30"/>
          <w:highlight w:val="none"/>
          <w:lang w:bidi="ar-SA"/>
        </w:rPr>
        <w:t>总书记关于坚持和完善人民代表大会制度重要思想</w:t>
      </w:r>
      <w:r>
        <w:rPr>
          <w:rFonts w:hint="eastAsia" w:ascii="仿宋" w:hAnsi="仿宋" w:eastAsia="仿宋" w:cs="仿宋"/>
          <w:b w:val="0"/>
          <w:bCs w:val="0"/>
          <w:color w:val="auto"/>
          <w:spacing w:val="0"/>
          <w:sz w:val="30"/>
          <w:szCs w:val="30"/>
          <w:highlight w:val="none"/>
          <w:lang w:eastAsia="zh-CN" w:bidi="ar-SA"/>
        </w:rPr>
        <w:t>作为指导和推动新时代人大工作的行动指南，跟进学习</w:t>
      </w:r>
      <w:r>
        <w:rPr>
          <w:rFonts w:hint="eastAsia" w:ascii="仿宋" w:hAnsi="仿宋" w:eastAsia="仿宋" w:cs="仿宋"/>
          <w:b w:val="0"/>
          <w:bCs w:val="0"/>
          <w:color w:val="auto"/>
          <w:spacing w:val="0"/>
          <w:sz w:val="30"/>
          <w:szCs w:val="30"/>
          <w:highlight w:val="none"/>
          <w:shd w:val="clear" w:fill="auto"/>
          <w:lang w:eastAsia="zh-CN" w:bidi="ar-SA"/>
        </w:rPr>
        <w:t>省委十一届十次全会和市、区第八次党代会精神，</w:t>
      </w:r>
      <w:r>
        <w:rPr>
          <w:rFonts w:hint="eastAsia" w:ascii="仿宋" w:hAnsi="仿宋" w:eastAsia="仿宋" w:cs="仿宋"/>
          <w:b w:val="0"/>
          <w:bCs w:val="0"/>
          <w:color w:val="auto"/>
          <w:kern w:val="2"/>
          <w:sz w:val="30"/>
          <w:szCs w:val="30"/>
          <w:highlight w:val="none"/>
          <w:lang w:val="en-US" w:eastAsia="zh-CN" w:bidi="ar-SA"/>
        </w:rPr>
        <w:t>承办</w:t>
      </w:r>
      <w:r>
        <w:rPr>
          <w:rFonts w:hint="eastAsia" w:ascii="仿宋" w:hAnsi="仿宋" w:eastAsia="仿宋" w:cs="仿宋"/>
          <w:b w:val="0"/>
          <w:bCs w:val="0"/>
          <w:i w:val="0"/>
          <w:iCs w:val="0"/>
          <w:caps w:val="0"/>
          <w:color w:val="auto"/>
          <w:spacing w:val="0"/>
          <w:sz w:val="30"/>
          <w:szCs w:val="30"/>
          <w:highlight w:val="none"/>
          <w:lang w:val="en-US" w:eastAsia="zh-CN" w:bidi="ar-SA"/>
        </w:rPr>
        <w:t>召开区委人大工作会议，明确推进新时期人大创新发展</w:t>
      </w:r>
      <w:r>
        <w:rPr>
          <w:rFonts w:hint="eastAsia" w:ascii="仿宋" w:hAnsi="仿宋" w:eastAsia="仿宋" w:cs="仿宋"/>
          <w:b w:val="0"/>
          <w:bCs w:val="0"/>
          <w:color w:val="auto"/>
          <w:sz w:val="30"/>
          <w:szCs w:val="30"/>
          <w:highlight w:val="none"/>
          <w:lang w:eastAsia="zh-CN" w:bidi="ar-SA"/>
        </w:rPr>
        <w:t>措施</w:t>
      </w:r>
      <w:r>
        <w:rPr>
          <w:rFonts w:hint="eastAsia" w:ascii="仿宋" w:hAnsi="仿宋" w:eastAsia="仿宋" w:cs="仿宋"/>
          <w:b w:val="0"/>
          <w:bCs w:val="0"/>
          <w:color w:val="auto"/>
          <w:sz w:val="30"/>
          <w:szCs w:val="30"/>
          <w:highlight w:val="none"/>
          <w:lang w:val="en-US" w:eastAsia="zh-CN" w:bidi="ar-SA"/>
        </w:rPr>
        <w:t>12条。</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color w:val="auto"/>
          <w:sz w:val="30"/>
          <w:szCs w:val="30"/>
          <w:highlight w:val="none"/>
          <w:lang w:val="en-US" w:eastAsia="zh-CN" w:bidi="ar-SA"/>
        </w:rPr>
      </w:pPr>
      <w:r>
        <w:rPr>
          <w:rFonts w:hint="eastAsia" w:ascii="华文楷体" w:hAnsi="华文楷体" w:eastAsia="华文楷体" w:cs="华文楷体"/>
          <w:b w:val="0"/>
          <w:bCs w:val="0"/>
          <w:color w:val="auto"/>
          <w:kern w:val="0"/>
          <w:sz w:val="32"/>
          <w:szCs w:val="32"/>
          <w:lang w:val="en-US" w:eastAsia="zh-CN" w:bidi="ar-SA"/>
        </w:rPr>
        <w:t>坚持党的全面领导。</w:t>
      </w:r>
      <w:r>
        <w:rPr>
          <w:rFonts w:hint="eastAsia" w:ascii="仿宋" w:hAnsi="仿宋" w:eastAsia="仿宋" w:cs="仿宋"/>
          <w:b w:val="0"/>
          <w:bCs w:val="0"/>
          <w:i w:val="0"/>
          <w:caps w:val="0"/>
          <w:color w:val="auto"/>
          <w:spacing w:val="0"/>
          <w:sz w:val="30"/>
          <w:szCs w:val="30"/>
          <w:highlight w:val="none"/>
          <w:lang w:val="en-US" w:eastAsia="zh-CN" w:bidi="ar-SA"/>
        </w:rPr>
        <w:t>坚持把落实区委重大决策部署作为头等大事，</w:t>
      </w:r>
      <w:r>
        <w:rPr>
          <w:rFonts w:hint="eastAsia" w:ascii="仿宋" w:hAnsi="仿宋" w:eastAsia="仿宋" w:cs="仿宋"/>
          <w:b w:val="0"/>
          <w:bCs w:val="0"/>
          <w:i w:val="0"/>
          <w:caps w:val="0"/>
          <w:color w:val="auto"/>
          <w:spacing w:val="0"/>
          <w:sz w:val="30"/>
          <w:szCs w:val="30"/>
          <w:highlight w:val="none"/>
          <w:lang w:bidi="ar-SA"/>
        </w:rPr>
        <w:t>依法保证</w:t>
      </w:r>
      <w:r>
        <w:rPr>
          <w:rFonts w:hint="eastAsia" w:ascii="仿宋" w:hAnsi="仿宋" w:eastAsia="仿宋" w:cs="仿宋"/>
          <w:b w:val="0"/>
          <w:bCs w:val="0"/>
          <w:i w:val="0"/>
          <w:caps w:val="0"/>
          <w:color w:val="auto"/>
          <w:spacing w:val="0"/>
          <w:sz w:val="30"/>
          <w:szCs w:val="30"/>
          <w:highlight w:val="none"/>
          <w:lang w:val="en-US" w:eastAsia="zh-CN" w:bidi="ar-SA"/>
        </w:rPr>
        <w:t>区</w:t>
      </w:r>
      <w:r>
        <w:rPr>
          <w:rFonts w:hint="eastAsia" w:ascii="仿宋" w:hAnsi="仿宋" w:eastAsia="仿宋" w:cs="仿宋"/>
          <w:b w:val="0"/>
          <w:bCs w:val="0"/>
          <w:i w:val="0"/>
          <w:caps w:val="0"/>
          <w:color w:val="auto"/>
          <w:spacing w:val="0"/>
          <w:sz w:val="30"/>
          <w:szCs w:val="30"/>
          <w:highlight w:val="none"/>
          <w:lang w:bidi="ar-SA"/>
        </w:rPr>
        <w:t>委的决策主张、人事安排通过法定程序顺利实现</w:t>
      </w:r>
      <w:r>
        <w:rPr>
          <w:rFonts w:hint="eastAsia" w:ascii="仿宋" w:hAnsi="仿宋" w:eastAsia="仿宋" w:cs="仿宋"/>
          <w:b w:val="0"/>
          <w:bCs w:val="0"/>
          <w:i w:val="0"/>
          <w:caps w:val="0"/>
          <w:color w:val="auto"/>
          <w:spacing w:val="0"/>
          <w:sz w:val="30"/>
          <w:szCs w:val="30"/>
          <w:highlight w:val="none"/>
          <w:lang w:eastAsia="zh-CN" w:bidi="ar-SA"/>
        </w:rPr>
        <w:t>；</w:t>
      </w:r>
      <w:r>
        <w:rPr>
          <w:rFonts w:hint="eastAsia" w:ascii="仿宋" w:hAnsi="仿宋" w:eastAsia="仿宋" w:cs="仿宋"/>
          <w:b w:val="0"/>
          <w:bCs w:val="0"/>
          <w:color w:val="auto"/>
          <w:spacing w:val="0"/>
          <w:kern w:val="2"/>
          <w:sz w:val="30"/>
          <w:szCs w:val="30"/>
          <w:highlight w:val="none"/>
          <w:shd w:val="clear" w:fill="auto"/>
          <w:lang w:val="en-US" w:eastAsia="zh-CN" w:bidi="ar-SA"/>
        </w:rPr>
        <w:t>坚定围绕区第八次党代会擘画的宏伟蓝图谋划和开展各项工作</w:t>
      </w:r>
      <w:r>
        <w:rPr>
          <w:rFonts w:hint="eastAsia" w:ascii="仿宋" w:hAnsi="仿宋" w:eastAsia="仿宋" w:cs="仿宋"/>
          <w:b w:val="0"/>
          <w:bCs w:val="0"/>
          <w:i w:val="0"/>
          <w:iCs w:val="0"/>
          <w:caps w:val="0"/>
          <w:color w:val="auto"/>
          <w:spacing w:val="0"/>
          <w:sz w:val="30"/>
          <w:szCs w:val="30"/>
          <w:highlight w:val="none"/>
          <w:shd w:val="clear"/>
          <w:lang w:eastAsia="zh-CN" w:bidi="ar-SA"/>
        </w:rPr>
        <w:t>；</w:t>
      </w:r>
      <w:r>
        <w:rPr>
          <w:rFonts w:hint="eastAsia" w:ascii="仿宋" w:hAnsi="仿宋" w:eastAsia="仿宋" w:cs="仿宋"/>
          <w:b w:val="0"/>
          <w:bCs w:val="0"/>
          <w:i w:val="0"/>
          <w:caps w:val="0"/>
          <w:color w:val="auto"/>
          <w:spacing w:val="0"/>
          <w:sz w:val="30"/>
          <w:szCs w:val="30"/>
          <w:highlight w:val="none"/>
          <w:lang w:bidi="ar-SA"/>
        </w:rPr>
        <w:t>坚决执行重大事项向</w:t>
      </w:r>
      <w:r>
        <w:rPr>
          <w:rFonts w:hint="eastAsia" w:ascii="仿宋" w:hAnsi="仿宋" w:eastAsia="仿宋" w:cs="仿宋"/>
          <w:b w:val="0"/>
          <w:bCs w:val="0"/>
          <w:i w:val="0"/>
          <w:caps w:val="0"/>
          <w:color w:val="auto"/>
          <w:spacing w:val="0"/>
          <w:sz w:val="30"/>
          <w:szCs w:val="30"/>
          <w:highlight w:val="none"/>
          <w:lang w:val="en-US" w:eastAsia="zh-CN" w:bidi="ar-SA"/>
        </w:rPr>
        <w:t>区</w:t>
      </w:r>
      <w:r>
        <w:rPr>
          <w:rFonts w:hint="eastAsia" w:ascii="仿宋" w:hAnsi="仿宋" w:eastAsia="仿宋" w:cs="仿宋"/>
          <w:b w:val="0"/>
          <w:bCs w:val="0"/>
          <w:i w:val="0"/>
          <w:caps w:val="0"/>
          <w:color w:val="auto"/>
          <w:spacing w:val="0"/>
          <w:sz w:val="30"/>
          <w:szCs w:val="30"/>
          <w:highlight w:val="none"/>
          <w:lang w:bidi="ar-SA"/>
        </w:rPr>
        <w:t>委报告制度，重要会议、重要工作、重大事项及时向</w:t>
      </w:r>
      <w:r>
        <w:rPr>
          <w:rFonts w:hint="eastAsia" w:ascii="仿宋" w:hAnsi="仿宋" w:eastAsia="仿宋" w:cs="仿宋"/>
          <w:b w:val="0"/>
          <w:bCs w:val="0"/>
          <w:i w:val="0"/>
          <w:caps w:val="0"/>
          <w:color w:val="auto"/>
          <w:spacing w:val="0"/>
          <w:sz w:val="30"/>
          <w:szCs w:val="30"/>
          <w:highlight w:val="none"/>
          <w:lang w:val="en-US" w:eastAsia="zh-CN" w:bidi="ar-SA"/>
        </w:rPr>
        <w:t>区</w:t>
      </w:r>
      <w:r>
        <w:rPr>
          <w:rFonts w:hint="eastAsia" w:ascii="仿宋" w:hAnsi="仿宋" w:eastAsia="仿宋" w:cs="仿宋"/>
          <w:b w:val="0"/>
          <w:bCs w:val="0"/>
          <w:i w:val="0"/>
          <w:caps w:val="0"/>
          <w:color w:val="auto"/>
          <w:spacing w:val="0"/>
          <w:sz w:val="30"/>
          <w:szCs w:val="30"/>
          <w:highlight w:val="none"/>
          <w:lang w:bidi="ar-SA"/>
        </w:rPr>
        <w:t>委请示报告</w:t>
      </w:r>
      <w:r>
        <w:rPr>
          <w:rFonts w:hint="eastAsia" w:ascii="仿宋" w:hAnsi="仿宋" w:eastAsia="仿宋" w:cs="仿宋"/>
          <w:b w:val="0"/>
          <w:bCs w:val="0"/>
          <w:i w:val="0"/>
          <w:caps w:val="0"/>
          <w:color w:val="auto"/>
          <w:spacing w:val="0"/>
          <w:sz w:val="30"/>
          <w:szCs w:val="30"/>
          <w:highlight w:val="none"/>
          <w:lang w:eastAsia="zh-CN" w:bidi="ar-SA"/>
        </w:rPr>
        <w:t>。</w:t>
      </w:r>
      <w:r>
        <w:rPr>
          <w:rFonts w:hint="eastAsia" w:ascii="仿宋" w:hAnsi="仿宋" w:eastAsia="仿宋" w:cs="仿宋"/>
          <w:b w:val="0"/>
          <w:bCs w:val="0"/>
          <w:i w:val="0"/>
          <w:caps w:val="0"/>
          <w:color w:val="auto"/>
          <w:spacing w:val="0"/>
          <w:sz w:val="30"/>
          <w:szCs w:val="30"/>
          <w:highlight w:val="none"/>
          <w:lang w:val="en-US" w:eastAsia="zh-CN" w:bidi="ar-SA"/>
        </w:rPr>
        <w:t>常委会班子成员</w:t>
      </w:r>
      <w:r>
        <w:rPr>
          <w:rFonts w:hint="eastAsia" w:ascii="仿宋" w:hAnsi="仿宋" w:eastAsia="仿宋" w:cs="仿宋"/>
          <w:b w:val="0"/>
          <w:bCs w:val="0"/>
          <w:color w:val="auto"/>
          <w:sz w:val="30"/>
          <w:szCs w:val="30"/>
          <w:highlight w:val="none"/>
          <w:lang w:eastAsia="zh-CN" w:bidi="ar-SA"/>
        </w:rPr>
        <w:t>围绕中心、服务大局，在推进乡村振兴、疫情防控、项目建设等方面，主动深入到联系的</w:t>
      </w:r>
      <w:r>
        <w:rPr>
          <w:rFonts w:hint="eastAsia" w:ascii="仿宋" w:hAnsi="仿宋" w:eastAsia="仿宋" w:cs="仿宋"/>
          <w:b w:val="0"/>
          <w:bCs w:val="0"/>
          <w:color w:val="auto"/>
          <w:sz w:val="30"/>
          <w:szCs w:val="30"/>
          <w:highlight w:val="none"/>
          <w:lang w:val="en-US" w:eastAsia="zh-CN" w:bidi="ar-SA"/>
        </w:rPr>
        <w:t>镇、协会商会、重大项目、重点企业协调解决具体问题。</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color w:val="auto"/>
          <w:spacing w:val="0"/>
          <w:kern w:val="2"/>
          <w:sz w:val="30"/>
          <w:szCs w:val="30"/>
          <w:highlight w:val="none"/>
          <w:lang w:val="en-US" w:eastAsia="zh-CN" w:bidi="ar-SA"/>
        </w:rPr>
      </w:pPr>
      <w:r>
        <w:rPr>
          <w:rFonts w:hint="eastAsia" w:ascii="华文楷体" w:hAnsi="华文楷体" w:eastAsia="华文楷体" w:cs="华文楷体"/>
          <w:b w:val="0"/>
          <w:bCs w:val="0"/>
          <w:i w:val="0"/>
          <w:iCs w:val="0"/>
          <w:caps w:val="0"/>
          <w:color w:val="auto"/>
          <w:spacing w:val="0"/>
          <w:sz w:val="32"/>
          <w:szCs w:val="32"/>
          <w:shd w:val="clear" w:fill="auto"/>
          <w:lang w:val="en-US" w:eastAsia="zh-CN" w:bidi="ar-SA"/>
        </w:rPr>
        <w:t>深度赓续红色血脉。</w:t>
      </w:r>
      <w:r>
        <w:rPr>
          <w:rFonts w:hint="eastAsia" w:ascii="仿宋" w:hAnsi="仿宋" w:eastAsia="仿宋" w:cs="仿宋"/>
          <w:b w:val="0"/>
          <w:bCs w:val="0"/>
          <w:i w:val="0"/>
          <w:iCs w:val="0"/>
          <w:caps w:val="0"/>
          <w:color w:val="auto"/>
          <w:spacing w:val="0"/>
          <w:kern w:val="2"/>
          <w:sz w:val="30"/>
          <w:szCs w:val="30"/>
          <w:highlight w:val="none"/>
          <w:shd w:val="clear" w:fill="auto"/>
          <w:lang w:val="en-US" w:eastAsia="zh-CN" w:bidi="ar-SA"/>
        </w:rPr>
        <w:t>坚持一体推进党史学习教育和庆祝建党100周年活动，</w:t>
      </w:r>
      <w:r>
        <w:rPr>
          <w:rFonts w:hint="eastAsia" w:ascii="仿宋" w:hAnsi="仿宋" w:eastAsia="仿宋" w:cs="仿宋"/>
          <w:b w:val="0"/>
          <w:bCs w:val="0"/>
          <w:i w:val="0"/>
          <w:iCs w:val="0"/>
          <w:caps w:val="0"/>
          <w:color w:val="auto"/>
          <w:spacing w:val="0"/>
          <w:sz w:val="30"/>
          <w:szCs w:val="30"/>
          <w:highlight w:val="none"/>
          <w:shd w:val="clear" w:fill="auto"/>
          <w:lang w:val="en-US" w:eastAsia="zh-CN" w:bidi="ar-SA"/>
        </w:rPr>
        <w:t>把</w:t>
      </w:r>
      <w:r>
        <w:rPr>
          <w:rFonts w:hint="eastAsia" w:ascii="仿宋" w:hAnsi="仿宋" w:eastAsia="仿宋" w:cs="仿宋"/>
          <w:b w:val="0"/>
          <w:bCs w:val="0"/>
          <w:color w:val="auto"/>
          <w:spacing w:val="0"/>
          <w:kern w:val="2"/>
          <w:sz w:val="30"/>
          <w:szCs w:val="30"/>
          <w:highlight w:val="none"/>
          <w:lang w:val="en-US" w:eastAsia="zh-CN" w:bidi="ar-SA"/>
        </w:rPr>
        <w:t>学习</w:t>
      </w:r>
      <w:r>
        <w:rPr>
          <w:rFonts w:hint="eastAsia" w:ascii="仿宋" w:hAnsi="仿宋" w:eastAsia="仿宋" w:cs="仿宋"/>
          <w:b w:val="0"/>
          <w:bCs w:val="0"/>
          <w:i w:val="0"/>
          <w:iCs w:val="0"/>
          <w:caps w:val="0"/>
          <w:color w:val="auto"/>
          <w:spacing w:val="0"/>
          <w:sz w:val="30"/>
          <w:szCs w:val="30"/>
          <w:highlight w:val="none"/>
          <w:shd w:val="clear" w:fill="auto"/>
          <w:lang w:bidi="ar-SA"/>
        </w:rPr>
        <w:t>“四史”</w:t>
      </w:r>
      <w:r>
        <w:rPr>
          <w:rFonts w:hint="eastAsia" w:ascii="仿宋" w:hAnsi="仿宋" w:eastAsia="仿宋" w:cs="仿宋"/>
          <w:b w:val="0"/>
          <w:bCs w:val="0"/>
          <w:color w:val="auto"/>
          <w:spacing w:val="0"/>
          <w:kern w:val="2"/>
          <w:sz w:val="30"/>
          <w:szCs w:val="30"/>
          <w:highlight w:val="none"/>
          <w:lang w:val="en-US" w:eastAsia="zh-CN" w:bidi="ar-SA"/>
        </w:rPr>
        <w:t>与学习人民代表大会制度发展史相结合，将昭化英雄——李化武、“家门口”的红色资源——太公红军山</w:t>
      </w:r>
      <w:r>
        <w:rPr>
          <w:rFonts w:hint="eastAsia" w:ascii="仿宋" w:hAnsi="仿宋" w:eastAsia="仿宋" w:cs="仿宋"/>
          <w:b w:val="0"/>
          <w:bCs w:val="0"/>
          <w:i w:val="0"/>
          <w:iCs w:val="0"/>
          <w:caps w:val="0"/>
          <w:color w:val="auto"/>
          <w:spacing w:val="0"/>
          <w:sz w:val="30"/>
          <w:szCs w:val="30"/>
          <w:highlight w:val="none"/>
          <w:shd w:val="clear" w:fill="auto"/>
          <w:lang w:bidi="ar-SA"/>
        </w:rPr>
        <w:t>作为最鲜活的党史教材</w:t>
      </w:r>
      <w:r>
        <w:rPr>
          <w:rFonts w:hint="eastAsia" w:ascii="仿宋" w:hAnsi="仿宋" w:eastAsia="仿宋" w:cs="仿宋"/>
          <w:b w:val="0"/>
          <w:bCs w:val="0"/>
          <w:i w:val="0"/>
          <w:iCs w:val="0"/>
          <w:caps w:val="0"/>
          <w:color w:val="auto"/>
          <w:spacing w:val="0"/>
          <w:sz w:val="30"/>
          <w:szCs w:val="30"/>
          <w:highlight w:val="none"/>
          <w:shd w:val="clear" w:fill="auto"/>
          <w:lang w:eastAsia="zh-CN" w:bidi="ar-SA"/>
        </w:rPr>
        <w:t>，</w:t>
      </w:r>
      <w:r>
        <w:rPr>
          <w:rFonts w:hint="eastAsia" w:ascii="仿宋" w:hAnsi="仿宋" w:eastAsia="仿宋" w:cs="仿宋"/>
          <w:b w:val="0"/>
          <w:bCs w:val="0"/>
          <w:color w:val="auto"/>
          <w:spacing w:val="0"/>
          <w:kern w:val="2"/>
          <w:sz w:val="30"/>
          <w:szCs w:val="30"/>
          <w:highlight w:val="none"/>
          <w:lang w:val="en-US" w:eastAsia="zh-CN" w:bidi="ar-SA"/>
        </w:rPr>
        <w:t>感悟思想伟力，</w:t>
      </w:r>
      <w:r>
        <w:rPr>
          <w:rFonts w:hint="eastAsia" w:ascii="仿宋" w:hAnsi="仿宋" w:eastAsia="仿宋" w:cs="仿宋"/>
          <w:b w:val="0"/>
          <w:bCs w:val="0"/>
          <w:i w:val="0"/>
          <w:iCs w:val="0"/>
          <w:caps w:val="0"/>
          <w:color w:val="auto"/>
          <w:spacing w:val="0"/>
          <w:sz w:val="30"/>
          <w:szCs w:val="30"/>
          <w:highlight w:val="none"/>
          <w:shd w:val="clear" w:fill="auto"/>
          <w:lang w:eastAsia="zh-CN" w:bidi="ar-SA"/>
        </w:rPr>
        <w:t>聆听英雄故事，重温入党誓词，</w:t>
      </w:r>
      <w:r>
        <w:rPr>
          <w:rFonts w:hint="eastAsia" w:ascii="仿宋" w:hAnsi="仿宋" w:eastAsia="仿宋" w:cs="仿宋"/>
          <w:b w:val="0"/>
          <w:bCs w:val="0"/>
          <w:i w:val="0"/>
          <w:iCs w:val="0"/>
          <w:caps w:val="0"/>
          <w:color w:val="auto"/>
          <w:spacing w:val="0"/>
          <w:sz w:val="30"/>
          <w:szCs w:val="30"/>
          <w:highlight w:val="none"/>
          <w:shd w:val="clear" w:fill="auto"/>
          <w:lang w:bidi="ar-SA"/>
        </w:rPr>
        <w:t>汲取奋进力量</w:t>
      </w:r>
      <w:r>
        <w:rPr>
          <w:rFonts w:hint="eastAsia" w:ascii="仿宋" w:hAnsi="仿宋" w:eastAsia="仿宋" w:cs="仿宋"/>
          <w:b w:val="0"/>
          <w:bCs w:val="0"/>
          <w:i w:val="0"/>
          <w:iCs w:val="0"/>
          <w:caps w:val="0"/>
          <w:color w:val="auto"/>
          <w:spacing w:val="0"/>
          <w:sz w:val="30"/>
          <w:szCs w:val="30"/>
          <w:highlight w:val="none"/>
          <w:shd w:val="clear" w:fill="auto"/>
          <w:lang w:eastAsia="zh-CN" w:bidi="ar-SA"/>
        </w:rPr>
        <w:t>。</w:t>
      </w:r>
      <w:r>
        <w:rPr>
          <w:rFonts w:hint="eastAsia" w:ascii="仿宋" w:hAnsi="仿宋" w:eastAsia="仿宋" w:cs="仿宋"/>
          <w:b w:val="0"/>
          <w:bCs w:val="0"/>
          <w:color w:val="auto"/>
          <w:sz w:val="30"/>
          <w:szCs w:val="30"/>
          <w:highlight w:val="none"/>
          <w:lang w:eastAsia="zh-CN" w:bidi="ar-SA"/>
        </w:rPr>
        <w:t>举办</w:t>
      </w:r>
      <w:r>
        <w:rPr>
          <w:rFonts w:hint="eastAsia" w:ascii="仿宋" w:hAnsi="仿宋" w:eastAsia="仿宋" w:cs="仿宋"/>
          <w:b w:val="0"/>
          <w:bCs w:val="0"/>
          <w:color w:val="auto"/>
          <w:sz w:val="30"/>
          <w:szCs w:val="30"/>
          <w:highlight w:val="none"/>
          <w:lang w:bidi="ar-SA"/>
        </w:rPr>
        <w:t>“百年荣光守初心</w:t>
      </w:r>
      <w:r>
        <w:rPr>
          <w:rFonts w:hint="eastAsia" w:ascii="仿宋" w:hAnsi="仿宋" w:eastAsia="仿宋" w:cs="仿宋"/>
          <w:b w:val="0"/>
          <w:bCs w:val="0"/>
          <w:color w:val="auto"/>
          <w:sz w:val="30"/>
          <w:szCs w:val="30"/>
          <w:highlight w:val="none"/>
          <w:lang w:eastAsia="zh-CN" w:bidi="ar-SA"/>
        </w:rPr>
        <w:t>、</w:t>
      </w:r>
      <w:r>
        <w:rPr>
          <w:rFonts w:hint="eastAsia" w:ascii="仿宋" w:hAnsi="仿宋" w:eastAsia="仿宋" w:cs="仿宋"/>
          <w:b w:val="0"/>
          <w:bCs w:val="0"/>
          <w:color w:val="auto"/>
          <w:sz w:val="30"/>
          <w:szCs w:val="30"/>
          <w:highlight w:val="none"/>
          <w:lang w:bidi="ar-SA"/>
        </w:rPr>
        <w:t>爱党为党践使命”</w:t>
      </w:r>
      <w:r>
        <w:rPr>
          <w:rFonts w:hint="eastAsia" w:ascii="仿宋" w:hAnsi="仿宋" w:eastAsia="仿宋" w:cs="仿宋"/>
          <w:b w:val="0"/>
          <w:bCs w:val="0"/>
          <w:color w:val="auto"/>
          <w:sz w:val="30"/>
          <w:szCs w:val="30"/>
          <w:highlight w:val="none"/>
          <w:lang w:eastAsia="zh-CN" w:bidi="ar-SA"/>
        </w:rPr>
        <w:t>系列活动，创新</w:t>
      </w:r>
      <w:r>
        <w:rPr>
          <w:rFonts w:hint="eastAsia" w:ascii="仿宋" w:hAnsi="仿宋" w:eastAsia="仿宋" w:cs="仿宋"/>
          <w:b w:val="0"/>
          <w:bCs w:val="0"/>
          <w:i w:val="0"/>
          <w:iCs w:val="0"/>
          <w:caps w:val="0"/>
          <w:color w:val="auto"/>
          <w:spacing w:val="0"/>
          <w:sz w:val="30"/>
          <w:szCs w:val="30"/>
          <w:highlight w:val="none"/>
          <w:shd w:val="clear" w:fill="auto"/>
          <w:lang w:eastAsia="zh-CN" w:bidi="ar-SA"/>
        </w:rPr>
        <w:t>开展</w:t>
      </w:r>
      <w:r>
        <w:rPr>
          <w:rFonts w:hint="eastAsia" w:ascii="仿宋" w:hAnsi="仿宋" w:eastAsia="仿宋" w:cs="仿宋"/>
          <w:b w:val="0"/>
          <w:bCs w:val="0"/>
          <w:color w:val="auto"/>
          <w:spacing w:val="0"/>
          <w:kern w:val="2"/>
          <w:sz w:val="30"/>
          <w:szCs w:val="30"/>
          <w:highlight w:val="none"/>
          <w:lang w:val="en-US" w:eastAsia="zh-CN" w:bidi="ar-SA"/>
        </w:rPr>
        <w:t>“党史天天学，党史故事天天讲”，并被人民权力报等报道。深入推进“我为群众办实事”实践活动，梳理出16项具体任务，常委会领导带头领办，用心解民忧、真心办实事，党史学习教育取得实实在在的成效。</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00" w:firstLineChars="200"/>
        <w:jc w:val="both"/>
        <w:textAlignment w:val="auto"/>
        <w:rPr>
          <w:rFonts w:hint="default" w:ascii="Times New Roman" w:hAnsi="Times New Roman" w:eastAsia="黑体" w:cs="Times New Roman"/>
          <w:b w:val="0"/>
          <w:bCs w:val="0"/>
          <w:color w:val="000000" w:themeColor="text1"/>
          <w:spacing w:val="0"/>
          <w:kern w:val="0"/>
          <w:sz w:val="30"/>
          <w:szCs w:val="30"/>
          <w:highlight w:val="none"/>
          <w:lang w:val="en-US" w:eastAsia="zh-CN" w:bidi="ar-SA"/>
          <w14:textFill>
            <w14:solidFill>
              <w14:schemeClr w14:val="tx1"/>
            </w14:solidFill>
          </w14:textFill>
        </w:rPr>
      </w:pPr>
      <w:r>
        <w:rPr>
          <w:rFonts w:hint="eastAsia" w:eastAsia="黑体" w:cs="Times New Roman"/>
          <w:b w:val="0"/>
          <w:bCs w:val="0"/>
          <w:color w:val="000000" w:themeColor="text1"/>
          <w:spacing w:val="0"/>
          <w:kern w:val="0"/>
          <w:sz w:val="30"/>
          <w:szCs w:val="30"/>
          <w:highlight w:val="none"/>
          <w:lang w:eastAsia="zh-CN" w:bidi="ar-SA"/>
          <w14:textFill>
            <w14:solidFill>
              <w14:schemeClr w14:val="tx1"/>
            </w14:solidFill>
          </w14:textFill>
        </w:rPr>
        <w:t>（二）</w:t>
      </w:r>
      <w:r>
        <w:rPr>
          <w:rFonts w:hint="default" w:ascii="Times New Roman" w:hAnsi="Times New Roman" w:eastAsia="黑体" w:cs="Times New Roman"/>
          <w:b w:val="0"/>
          <w:bCs w:val="0"/>
          <w:color w:val="000000" w:themeColor="text1"/>
          <w:spacing w:val="0"/>
          <w:kern w:val="0"/>
          <w:sz w:val="30"/>
          <w:szCs w:val="30"/>
          <w:highlight w:val="none"/>
          <w:lang w:val="en-US" w:eastAsia="zh-CN" w:bidi="ar-SA"/>
          <w14:textFill>
            <w14:solidFill>
              <w14:schemeClr w14:val="tx1"/>
            </w14:solidFill>
          </w14:textFill>
        </w:rPr>
        <w:t>务实有效助推</w:t>
      </w:r>
      <w:r>
        <w:rPr>
          <w:rFonts w:hint="default" w:eastAsia="黑体" w:cs="Times New Roman"/>
          <w:b w:val="0"/>
          <w:bCs w:val="0"/>
          <w:color w:val="000000" w:themeColor="text1"/>
          <w:spacing w:val="0"/>
          <w:kern w:val="0"/>
          <w:sz w:val="30"/>
          <w:szCs w:val="30"/>
          <w:highlight w:val="none"/>
          <w:lang w:val="en-US" w:eastAsia="zh-CN" w:bidi="ar-SA"/>
          <w14:textFill>
            <w14:solidFill>
              <w14:schemeClr w14:val="tx1"/>
            </w14:solidFill>
          </w14:textFill>
        </w:rPr>
        <w:t>经济社会</w:t>
      </w:r>
      <w:r>
        <w:rPr>
          <w:rFonts w:hint="default" w:ascii="Times New Roman" w:hAnsi="Times New Roman" w:eastAsia="黑体" w:cs="Times New Roman"/>
          <w:b w:val="0"/>
          <w:bCs w:val="0"/>
          <w:color w:val="000000" w:themeColor="text1"/>
          <w:spacing w:val="0"/>
          <w:kern w:val="0"/>
          <w:sz w:val="30"/>
          <w:szCs w:val="30"/>
          <w:highlight w:val="none"/>
          <w:lang w:val="en-US" w:eastAsia="zh-CN" w:bidi="ar-SA"/>
          <w14:textFill>
            <w14:solidFill>
              <w14:schemeClr w14:val="tx1"/>
            </w14:solidFill>
          </w14:textFill>
        </w:rPr>
        <w:t>发展</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i w:val="0"/>
          <w:iCs w:val="0"/>
          <w:caps w:val="0"/>
          <w:color w:val="auto"/>
          <w:spacing w:val="0"/>
          <w:sz w:val="30"/>
          <w:szCs w:val="30"/>
          <w:highlight w:val="none"/>
          <w:shd w:val="clear" w:fill="auto"/>
          <w:lang w:val="en-US" w:eastAsia="zh-CN" w:bidi="ar-SA"/>
        </w:rPr>
      </w:pPr>
      <w:r>
        <w:rPr>
          <w:rFonts w:hint="eastAsia" w:ascii="华文楷体" w:hAnsi="华文楷体" w:eastAsia="华文楷体" w:cs="华文楷体"/>
          <w:b w:val="0"/>
          <w:bCs w:val="0"/>
          <w:i w:val="0"/>
          <w:iCs w:val="0"/>
          <w:caps w:val="0"/>
          <w:color w:val="auto"/>
          <w:spacing w:val="0"/>
          <w:sz w:val="32"/>
          <w:szCs w:val="32"/>
          <w:shd w:val="clear" w:fill="auto"/>
          <w:lang w:val="en-US" w:eastAsia="zh-CN" w:bidi="ar-SA"/>
        </w:rPr>
        <w:t>聚焦聚力重大决策落地见效。</w:t>
      </w:r>
      <w:r>
        <w:rPr>
          <w:rFonts w:hint="eastAsia" w:ascii="仿宋" w:hAnsi="仿宋" w:eastAsia="仿宋" w:cs="仿宋"/>
          <w:b w:val="0"/>
          <w:bCs w:val="0"/>
          <w:i w:val="0"/>
          <w:iCs w:val="0"/>
          <w:caps w:val="0"/>
          <w:color w:val="auto"/>
          <w:spacing w:val="0"/>
          <w:sz w:val="30"/>
          <w:szCs w:val="30"/>
          <w:highlight w:val="none"/>
          <w:shd w:val="clear" w:fill="auto"/>
          <w:lang w:val="en-US" w:eastAsia="zh-CN" w:bidi="ar-SA"/>
        </w:rPr>
        <w:t>及时跟踪国民经济和社会发展第十四个五年规划和二〇三五年远景目标纲要及专项规划编制推进落实情况，听取和审议年度国民经济和社会发展计划执行情况报告，督促相关方面认真组织实施，推动区委决策和人代会决议落实落地。听取和审议东部新城昭化城区规划建设推进及房地产开发情况的报告，组织省市区人大代表集中视察家居产业城、亭子湖旅游环线和“栖平紫”旅游公路建设情况，专题调研和督导大蜀道文旅融合发展、重点企业生产经营等事项，提出切实可行的意见建议。听取和审议巩固拓展脱贫成果与乡村振兴有效衔接工作推进、全区高标准农田建设和利用情况的报告，专题调研全区耕地撂荒现状，督促各镇和部门采取创新机制、集中整治、增加投入、加强监管、保护农民种粮积极性等措施，着力把乡村振兴工作做实做细。</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i w:val="0"/>
          <w:iCs w:val="0"/>
          <w:caps w:val="0"/>
          <w:color w:val="auto"/>
          <w:spacing w:val="0"/>
          <w:sz w:val="30"/>
          <w:szCs w:val="30"/>
          <w:highlight w:val="none"/>
          <w:shd w:val="clear" w:fill="auto"/>
          <w:lang w:val="en-US" w:eastAsia="zh-CN" w:bidi="ar-SA"/>
        </w:rPr>
      </w:pPr>
      <w:r>
        <w:rPr>
          <w:rFonts w:hint="eastAsia" w:ascii="华文楷体" w:hAnsi="华文楷体" w:eastAsia="华文楷体" w:cs="华文楷体"/>
          <w:b w:val="0"/>
          <w:bCs w:val="0"/>
          <w:i w:val="0"/>
          <w:iCs w:val="0"/>
          <w:caps w:val="0"/>
          <w:color w:val="auto"/>
          <w:spacing w:val="0"/>
          <w:sz w:val="32"/>
          <w:szCs w:val="32"/>
          <w:shd w:val="clear" w:fill="auto"/>
          <w:lang w:val="en-US" w:eastAsia="zh-CN" w:bidi="ar-SA"/>
        </w:rPr>
        <w:t>毫不放松预算执行和国资监督。</w:t>
      </w:r>
      <w:r>
        <w:rPr>
          <w:rFonts w:hint="eastAsia" w:ascii="仿宋" w:hAnsi="仿宋" w:eastAsia="仿宋" w:cs="仿宋"/>
          <w:b w:val="0"/>
          <w:bCs w:val="0"/>
          <w:i w:val="0"/>
          <w:iCs w:val="0"/>
          <w:caps w:val="0"/>
          <w:color w:val="auto"/>
          <w:spacing w:val="0"/>
          <w:sz w:val="30"/>
          <w:szCs w:val="30"/>
          <w:highlight w:val="none"/>
          <w:shd w:val="clear" w:fill="auto"/>
          <w:lang w:val="en-US" w:eastAsia="zh-CN" w:bidi="ar-SA"/>
        </w:rPr>
        <w:t>实时监督减税降费政策兑现和预算执行过程，听取和审议年度预算执行、预算调整方案的报告，审查和批准2020年决算、2021年预算调整、政府债务限额等重要事项，专题开展预算绩效管理调研，督促优化支出结构、保障重点支出、均衡预算执行进度、强化资金使用监管、抓实绩效目标管理，努力实现三保一优一防工作要求。听取和审议全区国有资产管理、国有企业资产经营管理审议意见办理落实情况的报告，专题调研京兆集团经营管理，力促企业管好用好国有资产。听取和审议年度审计工作报告、审计查出问题整改情况报告，并进行满意度测评，合力督促相关部门将审计查出问题整改到位。与市人大同步开展政府采购法执法检查，促进政府采购依法依规运行。</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i w:val="0"/>
          <w:iCs w:val="0"/>
          <w:caps w:val="0"/>
          <w:color w:val="auto"/>
          <w:spacing w:val="0"/>
          <w:sz w:val="30"/>
          <w:szCs w:val="30"/>
          <w:highlight w:val="none"/>
          <w:lang w:eastAsia="zh-CN" w:bidi="ar-SA"/>
        </w:rPr>
      </w:pPr>
      <w:r>
        <w:rPr>
          <w:rFonts w:hint="eastAsia" w:ascii="华文楷体" w:hAnsi="华文楷体" w:eastAsia="华文楷体" w:cs="华文楷体"/>
          <w:b w:val="0"/>
          <w:bCs w:val="0"/>
          <w:color w:val="auto"/>
          <w:sz w:val="32"/>
          <w:szCs w:val="32"/>
          <w:lang w:val="en-US" w:eastAsia="zh-CN" w:bidi="ar-SA"/>
        </w:rPr>
        <w:t>全面促进各项民生民计工作落到实处。</w:t>
      </w:r>
      <w:r>
        <w:rPr>
          <w:rFonts w:hint="eastAsia" w:ascii="仿宋" w:hAnsi="仿宋" w:eastAsia="仿宋" w:cs="仿宋"/>
          <w:b w:val="0"/>
          <w:bCs w:val="0"/>
          <w:color w:val="auto"/>
          <w:sz w:val="30"/>
          <w:szCs w:val="30"/>
          <w:highlight w:val="none"/>
          <w:shd w:val="clear" w:fill="auto"/>
          <w:lang w:val="en-US" w:eastAsia="zh-CN" w:bidi="ar-SA"/>
        </w:rPr>
        <w:t>开展新冠肺炎疫情防控工作视察，督导压实防控责任、落实防控措施。听取保障农民工工资支付条例执法检查、基本医疗保障政策落实、学前教育改革和发展审议意见办理落实情况，推动把</w:t>
      </w:r>
      <w:r>
        <w:rPr>
          <w:rFonts w:hint="eastAsia" w:ascii="仿宋" w:hAnsi="仿宋" w:eastAsia="仿宋" w:cs="仿宋"/>
          <w:b w:val="0"/>
          <w:bCs w:val="0"/>
          <w:i w:val="0"/>
          <w:iCs w:val="0"/>
          <w:caps w:val="0"/>
          <w:color w:val="auto"/>
          <w:spacing w:val="0"/>
          <w:sz w:val="30"/>
          <w:szCs w:val="30"/>
          <w:highlight w:val="none"/>
          <w:shd w:val="clear" w:fill="auto"/>
          <w:lang w:bidi="ar-SA"/>
        </w:rPr>
        <w:t>普惠性、基础性民生</w:t>
      </w:r>
      <w:r>
        <w:rPr>
          <w:rFonts w:hint="eastAsia" w:ascii="仿宋" w:hAnsi="仿宋" w:eastAsia="仿宋" w:cs="仿宋"/>
          <w:b w:val="0"/>
          <w:bCs w:val="0"/>
          <w:i w:val="0"/>
          <w:iCs w:val="0"/>
          <w:caps w:val="0"/>
          <w:color w:val="auto"/>
          <w:spacing w:val="0"/>
          <w:sz w:val="30"/>
          <w:szCs w:val="30"/>
          <w:highlight w:val="none"/>
          <w:shd w:val="clear" w:fill="auto"/>
          <w:lang w:eastAsia="zh-CN" w:bidi="ar-SA"/>
        </w:rPr>
        <w:t>事项办好办实</w:t>
      </w:r>
      <w:r>
        <w:rPr>
          <w:rFonts w:hint="eastAsia" w:ascii="仿宋" w:hAnsi="仿宋" w:eastAsia="仿宋" w:cs="仿宋"/>
          <w:b w:val="0"/>
          <w:bCs w:val="0"/>
          <w:color w:val="auto"/>
          <w:sz w:val="30"/>
          <w:szCs w:val="30"/>
          <w:highlight w:val="none"/>
          <w:shd w:val="clear" w:fill="auto"/>
          <w:lang w:val="en-US" w:eastAsia="zh-CN" w:bidi="ar-SA"/>
        </w:rPr>
        <w:t>。开展未成年人保护法执法检查，保障未成年人身心健康和合法权益，促进全社会关心关爱未成年人</w:t>
      </w:r>
      <w:r>
        <w:rPr>
          <w:rFonts w:hint="eastAsia" w:ascii="仿宋" w:hAnsi="仿宋" w:eastAsia="仿宋" w:cs="仿宋"/>
          <w:b w:val="0"/>
          <w:bCs w:val="0"/>
          <w:color w:val="auto"/>
          <w:sz w:val="30"/>
          <w:szCs w:val="30"/>
          <w:highlight w:val="none"/>
          <w:lang w:val="en-US" w:eastAsia="zh-CN" w:bidi="ar-SA"/>
        </w:rPr>
        <w:t>。</w:t>
      </w:r>
      <w:r>
        <w:rPr>
          <w:rFonts w:hint="eastAsia" w:ascii="仿宋" w:hAnsi="仿宋" w:eastAsia="仿宋" w:cs="仿宋"/>
          <w:b w:val="0"/>
          <w:bCs w:val="0"/>
          <w:color w:val="auto"/>
          <w:sz w:val="30"/>
          <w:szCs w:val="30"/>
          <w:highlight w:val="none"/>
          <w:shd w:val="clear" w:fill="auto"/>
          <w:lang w:val="en-US" w:eastAsia="zh-CN" w:bidi="ar-SA"/>
        </w:rPr>
        <w:t>开展农村教育和卫生机构布局调整专题调研，助力写好两项改革教育卫生“后半篇”答卷。</w:t>
      </w:r>
      <w:r>
        <w:rPr>
          <w:rFonts w:hint="eastAsia" w:ascii="仿宋" w:hAnsi="仿宋" w:eastAsia="仿宋" w:cs="仿宋"/>
          <w:b w:val="0"/>
          <w:bCs w:val="0"/>
          <w:i w:val="0"/>
          <w:iCs w:val="0"/>
          <w:caps w:val="0"/>
          <w:color w:val="auto"/>
          <w:spacing w:val="0"/>
          <w:sz w:val="30"/>
          <w:szCs w:val="30"/>
          <w:highlight w:val="none"/>
          <w:lang w:eastAsia="zh-CN" w:bidi="ar-SA"/>
        </w:rPr>
        <w:t>听取和审议年度环境状况和环境目标完成情况报告，以刚性举措守护昭化“绿水青山”，助推创建全国最干净城市</w:t>
      </w:r>
      <w:r>
        <w:rPr>
          <w:rFonts w:hint="eastAsia" w:ascii="仿宋" w:hAnsi="仿宋" w:eastAsia="仿宋" w:cs="仿宋"/>
          <w:b w:val="0"/>
          <w:bCs w:val="0"/>
          <w:color w:val="auto"/>
          <w:sz w:val="30"/>
          <w:szCs w:val="30"/>
          <w:highlight w:val="none"/>
          <w:lang w:eastAsia="zh-CN" w:bidi="ar-SA"/>
        </w:rPr>
        <w:t>。</w:t>
      </w:r>
      <w:r>
        <w:rPr>
          <w:rFonts w:hint="eastAsia" w:ascii="仿宋" w:hAnsi="仿宋" w:eastAsia="仿宋" w:cs="仿宋"/>
          <w:b w:val="0"/>
          <w:bCs w:val="0"/>
          <w:i w:val="0"/>
          <w:iCs w:val="0"/>
          <w:caps w:val="0"/>
          <w:color w:val="auto"/>
          <w:spacing w:val="0"/>
          <w:sz w:val="30"/>
          <w:szCs w:val="30"/>
          <w:highlight w:val="none"/>
          <w:lang w:eastAsia="zh-CN" w:bidi="ar-SA"/>
        </w:rPr>
        <w:t>针</w:t>
      </w:r>
      <w:r>
        <w:rPr>
          <w:rFonts w:hint="eastAsia" w:ascii="仿宋" w:hAnsi="仿宋" w:eastAsia="仿宋" w:cs="仿宋"/>
          <w:b w:val="0"/>
          <w:bCs w:val="0"/>
          <w:i w:val="0"/>
          <w:iCs w:val="0"/>
          <w:caps w:val="0"/>
          <w:color w:val="auto"/>
          <w:spacing w:val="0"/>
          <w:sz w:val="30"/>
          <w:szCs w:val="30"/>
          <w:highlight w:val="none"/>
          <w:lang w:bidi="ar-SA"/>
        </w:rPr>
        <w:t>对</w:t>
      </w:r>
      <w:r>
        <w:rPr>
          <w:rFonts w:hint="eastAsia" w:ascii="仿宋" w:hAnsi="仿宋" w:eastAsia="仿宋" w:cs="仿宋"/>
          <w:b w:val="0"/>
          <w:bCs w:val="0"/>
          <w:i w:val="0"/>
          <w:iCs w:val="0"/>
          <w:caps w:val="0"/>
          <w:color w:val="auto"/>
          <w:spacing w:val="0"/>
          <w:sz w:val="30"/>
          <w:szCs w:val="30"/>
          <w:highlight w:val="none"/>
          <w:lang w:eastAsia="zh-CN" w:bidi="ar-SA"/>
        </w:rPr>
        <w:t>亭子湖生态环保、城镇污水处理等</w:t>
      </w:r>
      <w:r>
        <w:rPr>
          <w:rFonts w:hint="eastAsia" w:ascii="仿宋" w:hAnsi="仿宋" w:eastAsia="仿宋" w:cs="仿宋"/>
          <w:b w:val="0"/>
          <w:bCs w:val="0"/>
          <w:i w:val="0"/>
          <w:iCs w:val="0"/>
          <w:caps w:val="0"/>
          <w:color w:val="auto"/>
          <w:spacing w:val="0"/>
          <w:sz w:val="30"/>
          <w:szCs w:val="30"/>
          <w:highlight w:val="none"/>
          <w:lang w:bidi="ar-SA"/>
        </w:rPr>
        <w:t>群众关注</w:t>
      </w:r>
      <w:r>
        <w:rPr>
          <w:rFonts w:hint="eastAsia" w:ascii="仿宋" w:hAnsi="仿宋" w:eastAsia="仿宋" w:cs="仿宋"/>
          <w:b w:val="0"/>
          <w:bCs w:val="0"/>
          <w:i w:val="0"/>
          <w:iCs w:val="0"/>
          <w:caps w:val="0"/>
          <w:color w:val="auto"/>
          <w:spacing w:val="0"/>
          <w:sz w:val="30"/>
          <w:szCs w:val="30"/>
          <w:highlight w:val="none"/>
          <w:lang w:eastAsia="zh-CN" w:bidi="ar-SA"/>
        </w:rPr>
        <w:t>度较高的问题，</w:t>
      </w:r>
      <w:r>
        <w:rPr>
          <w:rFonts w:hint="eastAsia" w:ascii="仿宋" w:hAnsi="仿宋" w:eastAsia="仿宋" w:cs="仿宋"/>
          <w:b w:val="0"/>
          <w:bCs w:val="0"/>
          <w:i w:val="0"/>
          <w:iCs w:val="0"/>
          <w:caps w:val="0"/>
          <w:color w:val="auto"/>
          <w:spacing w:val="0"/>
          <w:sz w:val="30"/>
          <w:szCs w:val="30"/>
          <w:highlight w:val="none"/>
          <w:lang w:bidi="ar-SA"/>
        </w:rPr>
        <w:t>组织开展专项监督，</w:t>
      </w:r>
      <w:r>
        <w:rPr>
          <w:rFonts w:hint="eastAsia" w:ascii="仿宋" w:hAnsi="仿宋" w:eastAsia="仿宋" w:cs="仿宋"/>
          <w:b w:val="0"/>
          <w:bCs w:val="0"/>
          <w:i w:val="0"/>
          <w:iCs w:val="0"/>
          <w:caps w:val="0"/>
          <w:color w:val="auto"/>
          <w:spacing w:val="0"/>
          <w:sz w:val="30"/>
          <w:szCs w:val="30"/>
          <w:highlight w:val="none"/>
          <w:lang w:eastAsia="zh-CN" w:bidi="ar-SA"/>
        </w:rPr>
        <w:t>提出进一步健全体制机制、落实主体责任、市场化运行等建议，促进有关方面完善制度。</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i w:val="0"/>
          <w:iCs w:val="0"/>
          <w:caps w:val="0"/>
          <w:color w:val="auto"/>
          <w:spacing w:val="0"/>
          <w:sz w:val="30"/>
          <w:szCs w:val="30"/>
          <w:highlight w:val="none"/>
          <w:shd w:val="clear" w:fill="auto"/>
          <w:lang w:eastAsia="zh-CN" w:bidi="ar-SA"/>
        </w:rPr>
      </w:pPr>
      <w:r>
        <w:rPr>
          <w:rFonts w:hint="eastAsia" w:ascii="华文楷体" w:hAnsi="华文楷体" w:eastAsia="华文楷体" w:cs="华文楷体"/>
          <w:b w:val="0"/>
          <w:bCs w:val="0"/>
          <w:color w:val="auto"/>
          <w:sz w:val="32"/>
          <w:szCs w:val="32"/>
          <w:lang w:val="en-US" w:eastAsia="zh-CN" w:bidi="ar-SA"/>
        </w:rPr>
        <w:t>不断强化依法行政和公正司法</w:t>
      </w:r>
      <w:r>
        <w:rPr>
          <w:rFonts w:hint="eastAsia" w:ascii="华文楷体" w:hAnsi="华文楷体" w:eastAsia="华文楷体" w:cs="华文楷体"/>
          <w:b w:val="0"/>
          <w:bCs w:val="0"/>
          <w:color w:val="auto"/>
          <w:sz w:val="32"/>
          <w:szCs w:val="32"/>
          <w:lang w:eastAsia="zh-CN" w:bidi="ar-SA"/>
        </w:rPr>
        <w:t>。</w:t>
      </w:r>
      <w:r>
        <w:rPr>
          <w:rFonts w:hint="eastAsia" w:ascii="仿宋" w:hAnsi="仿宋" w:eastAsia="仿宋" w:cs="仿宋"/>
          <w:b w:val="0"/>
          <w:bCs w:val="0"/>
          <w:color w:val="auto"/>
          <w:sz w:val="30"/>
          <w:szCs w:val="30"/>
          <w:highlight w:val="none"/>
          <w:lang w:eastAsia="zh-CN" w:bidi="ar-SA"/>
        </w:rPr>
        <w:t>听取和审议法治政府建设情况报告，组织开展“</w:t>
      </w:r>
      <w:r>
        <w:rPr>
          <w:rFonts w:hint="eastAsia" w:ascii="仿宋" w:hAnsi="仿宋" w:eastAsia="仿宋" w:cs="仿宋"/>
          <w:b w:val="0"/>
          <w:bCs w:val="0"/>
          <w:color w:val="auto"/>
          <w:sz w:val="30"/>
          <w:szCs w:val="30"/>
          <w:highlight w:val="none"/>
          <w:lang w:val="en-US" w:eastAsia="zh-CN" w:bidi="ar-SA"/>
        </w:rPr>
        <w:t>12.4</w:t>
      </w:r>
      <w:r>
        <w:rPr>
          <w:rFonts w:hint="eastAsia" w:ascii="仿宋" w:hAnsi="仿宋" w:eastAsia="仿宋" w:cs="仿宋"/>
          <w:b w:val="0"/>
          <w:bCs w:val="0"/>
          <w:color w:val="auto"/>
          <w:sz w:val="30"/>
          <w:szCs w:val="30"/>
          <w:highlight w:val="none"/>
          <w:lang w:eastAsia="zh-CN" w:bidi="ar-SA"/>
        </w:rPr>
        <w:t>国家宪法日”和“宪法宣传周”活动。</w:t>
      </w:r>
      <w:r>
        <w:rPr>
          <w:rFonts w:hint="eastAsia" w:ascii="仿宋" w:hAnsi="仿宋" w:eastAsia="仿宋" w:cs="仿宋"/>
          <w:b w:val="0"/>
          <w:bCs w:val="0"/>
          <w:i w:val="0"/>
          <w:iCs w:val="0"/>
          <w:caps w:val="0"/>
          <w:color w:val="auto"/>
          <w:spacing w:val="0"/>
          <w:sz w:val="30"/>
          <w:szCs w:val="30"/>
          <w:highlight w:val="none"/>
          <w:lang w:eastAsia="zh-CN" w:bidi="ar-SA"/>
        </w:rPr>
        <w:t>积极配合重庆人大和省人大开展</w:t>
      </w:r>
      <w:r>
        <w:rPr>
          <w:rFonts w:hint="eastAsia" w:ascii="仿宋" w:hAnsi="仿宋" w:eastAsia="仿宋" w:cs="仿宋"/>
          <w:b w:val="0"/>
          <w:bCs w:val="0"/>
          <w:i w:val="0"/>
          <w:iCs w:val="0"/>
          <w:caps w:val="0"/>
          <w:color w:val="auto"/>
          <w:spacing w:val="0"/>
          <w:sz w:val="30"/>
          <w:szCs w:val="30"/>
          <w:highlight w:val="none"/>
          <w:shd w:val="clear" w:fill="auto"/>
          <w:lang w:eastAsia="zh-CN" w:bidi="ar-SA"/>
        </w:rPr>
        <w:t>嘉陵江流域生态环境保护条例立法调研，参与市人大</w:t>
      </w:r>
      <w:r>
        <w:rPr>
          <w:rFonts w:hint="eastAsia" w:ascii="仿宋" w:hAnsi="仿宋" w:eastAsia="仿宋" w:cs="仿宋"/>
          <w:b w:val="0"/>
          <w:bCs w:val="0"/>
          <w:color w:val="auto"/>
          <w:spacing w:val="0"/>
          <w:sz w:val="30"/>
          <w:szCs w:val="30"/>
          <w:highlight w:val="none"/>
          <w:shd w:val="clear" w:fill="auto"/>
          <w:lang w:bidi="ar-SA"/>
        </w:rPr>
        <w:t>剑门蜀道保护条例</w:t>
      </w:r>
      <w:r>
        <w:rPr>
          <w:rFonts w:hint="eastAsia" w:ascii="仿宋" w:hAnsi="仿宋" w:eastAsia="仿宋" w:cs="仿宋"/>
          <w:b w:val="0"/>
          <w:bCs w:val="0"/>
          <w:color w:val="auto"/>
          <w:spacing w:val="0"/>
          <w:sz w:val="30"/>
          <w:szCs w:val="30"/>
          <w:highlight w:val="none"/>
          <w:shd w:val="clear" w:fill="auto"/>
          <w:lang w:eastAsia="zh-CN" w:bidi="ar-SA"/>
        </w:rPr>
        <w:t>、</w:t>
      </w:r>
      <w:r>
        <w:rPr>
          <w:rFonts w:hint="eastAsia" w:ascii="仿宋" w:hAnsi="仿宋" w:eastAsia="仿宋" w:cs="仿宋"/>
          <w:b w:val="0"/>
          <w:bCs w:val="0"/>
          <w:i w:val="0"/>
          <w:iCs w:val="0"/>
          <w:caps w:val="0"/>
          <w:color w:val="auto"/>
          <w:spacing w:val="0"/>
          <w:sz w:val="30"/>
          <w:szCs w:val="30"/>
          <w:highlight w:val="none"/>
          <w:shd w:val="clear" w:fill="auto"/>
          <w:lang w:eastAsia="zh-CN" w:bidi="ar-SA"/>
        </w:rPr>
        <w:t>广元市城市文明条例立法调研。</w:t>
      </w:r>
      <w:r>
        <w:rPr>
          <w:rFonts w:hint="eastAsia" w:ascii="仿宋" w:hAnsi="仿宋" w:eastAsia="仿宋" w:cs="仿宋"/>
          <w:b w:val="0"/>
          <w:bCs w:val="0"/>
          <w:color w:val="auto"/>
          <w:sz w:val="30"/>
          <w:szCs w:val="30"/>
          <w:highlight w:val="none"/>
          <w:lang w:val="en-US" w:eastAsia="zh-CN" w:bidi="ar-SA"/>
        </w:rPr>
        <w:t>听取</w:t>
      </w:r>
      <w:r>
        <w:rPr>
          <w:rFonts w:hint="eastAsia" w:ascii="仿宋" w:hAnsi="仿宋" w:eastAsia="仿宋" w:cs="仿宋"/>
          <w:b w:val="0"/>
          <w:bCs w:val="0"/>
          <w:color w:val="auto"/>
          <w:sz w:val="30"/>
          <w:szCs w:val="30"/>
          <w:highlight w:val="none"/>
          <w:u w:val="none"/>
          <w:lang w:val="en-US" w:eastAsia="zh-CN" w:bidi="ar-SA"/>
        </w:rPr>
        <w:t>野生动物保护“一法一决定”审议意见办理情况，</w:t>
      </w:r>
      <w:r>
        <w:rPr>
          <w:rFonts w:hint="eastAsia" w:ascii="仿宋" w:hAnsi="仿宋" w:eastAsia="仿宋" w:cs="仿宋"/>
          <w:b w:val="0"/>
          <w:bCs w:val="0"/>
          <w:i w:val="0"/>
          <w:iCs w:val="0"/>
          <w:caps w:val="0"/>
          <w:color w:val="auto"/>
          <w:spacing w:val="0"/>
          <w:sz w:val="30"/>
          <w:szCs w:val="30"/>
          <w:highlight w:val="none"/>
          <w:shd w:val="clear" w:fill="auto"/>
          <w:lang w:eastAsia="zh-CN" w:bidi="ar-SA"/>
        </w:rPr>
        <w:t>开展消防法执法调研和全区社会信用体系建设专题调研。</w:t>
      </w:r>
      <w:r>
        <w:rPr>
          <w:rFonts w:hint="eastAsia" w:ascii="仿宋" w:hAnsi="仿宋" w:eastAsia="仿宋" w:cs="仿宋"/>
          <w:b w:val="0"/>
          <w:bCs w:val="0"/>
          <w:color w:val="auto"/>
          <w:sz w:val="30"/>
          <w:szCs w:val="30"/>
          <w:highlight w:val="none"/>
          <w:lang w:eastAsia="zh-CN" w:bidi="ar-SA"/>
        </w:rPr>
        <w:t>听取和审议“两项”改革运行情况报告，</w:t>
      </w:r>
      <w:r>
        <w:rPr>
          <w:rFonts w:hint="eastAsia" w:ascii="仿宋" w:hAnsi="仿宋" w:eastAsia="仿宋" w:cs="仿宋"/>
          <w:b w:val="0"/>
          <w:bCs w:val="0"/>
          <w:color w:val="auto"/>
          <w:sz w:val="30"/>
          <w:szCs w:val="30"/>
          <w:highlight w:val="none"/>
          <w:lang w:val="en-US" w:eastAsia="zh-CN" w:bidi="ar-SA"/>
        </w:rPr>
        <w:t>听取“一府两院”办理落实营造法治化营商环境审议意见情况报告，</w:t>
      </w:r>
      <w:r>
        <w:rPr>
          <w:rFonts w:hint="eastAsia" w:ascii="仿宋" w:hAnsi="仿宋" w:eastAsia="仿宋" w:cs="仿宋"/>
          <w:b w:val="0"/>
          <w:bCs w:val="0"/>
          <w:i w:val="0"/>
          <w:iCs w:val="0"/>
          <w:caps w:val="0"/>
          <w:color w:val="auto"/>
          <w:spacing w:val="0"/>
          <w:sz w:val="30"/>
          <w:szCs w:val="30"/>
          <w:highlight w:val="none"/>
          <w:shd w:val="clear" w:fill="auto"/>
          <w:lang w:eastAsia="zh-CN" w:bidi="ar-SA"/>
        </w:rPr>
        <w:t>组织视察市场监管规范执法优化营商环境工作</w:t>
      </w:r>
      <w:r>
        <w:rPr>
          <w:rFonts w:hint="eastAsia" w:ascii="仿宋" w:hAnsi="仿宋" w:eastAsia="仿宋" w:cs="仿宋"/>
          <w:b w:val="0"/>
          <w:bCs w:val="0"/>
          <w:color w:val="auto"/>
          <w:sz w:val="30"/>
          <w:szCs w:val="30"/>
          <w:highlight w:val="none"/>
          <w:lang w:val="en-US" w:eastAsia="zh-CN" w:bidi="ar-SA"/>
        </w:rPr>
        <w:t>。</w:t>
      </w:r>
      <w:r>
        <w:rPr>
          <w:rFonts w:hint="eastAsia" w:ascii="仿宋" w:hAnsi="仿宋" w:eastAsia="仿宋" w:cs="仿宋"/>
          <w:b w:val="0"/>
          <w:bCs w:val="0"/>
          <w:i w:val="0"/>
          <w:iCs w:val="0"/>
          <w:caps w:val="0"/>
          <w:color w:val="auto"/>
          <w:spacing w:val="0"/>
          <w:sz w:val="30"/>
          <w:szCs w:val="30"/>
          <w:highlight w:val="none"/>
          <w:shd w:val="clear" w:fill="auto"/>
          <w:lang w:eastAsia="zh-CN" w:bidi="ar-SA"/>
        </w:rPr>
        <w:t>听取区法院诉源治理工作审议意见办理落实情况报告、区检察院</w:t>
      </w:r>
      <w:r>
        <w:rPr>
          <w:rFonts w:hint="eastAsia" w:ascii="仿宋" w:hAnsi="仿宋" w:eastAsia="仿宋" w:cs="仿宋"/>
          <w:b w:val="0"/>
          <w:bCs w:val="0"/>
          <w:color w:val="auto"/>
          <w:sz w:val="30"/>
          <w:szCs w:val="30"/>
          <w:highlight w:val="none"/>
          <w:lang w:eastAsia="zh-CN" w:bidi="ar-SA"/>
        </w:rPr>
        <w:t>适用认罪认罚从宽制度工作情况报告，</w:t>
      </w:r>
      <w:r>
        <w:rPr>
          <w:rFonts w:hint="eastAsia" w:ascii="仿宋" w:hAnsi="仿宋" w:eastAsia="仿宋" w:cs="仿宋"/>
          <w:b w:val="0"/>
          <w:bCs w:val="0"/>
          <w:i w:val="0"/>
          <w:iCs w:val="0"/>
          <w:caps w:val="0"/>
          <w:color w:val="auto"/>
          <w:spacing w:val="0"/>
          <w:sz w:val="30"/>
          <w:szCs w:val="30"/>
          <w:highlight w:val="none"/>
          <w:shd w:val="clear" w:fill="auto"/>
          <w:lang w:eastAsia="zh-CN" w:bidi="ar-SA"/>
        </w:rPr>
        <w:t>参加公益诉讼案件公正评价听证会，监督和支持后续整治工作</w:t>
      </w:r>
      <w:r>
        <w:rPr>
          <w:rFonts w:hint="eastAsia" w:ascii="仿宋" w:hAnsi="仿宋" w:eastAsia="仿宋" w:cs="仿宋"/>
          <w:b w:val="0"/>
          <w:bCs w:val="0"/>
          <w:color w:val="auto"/>
          <w:sz w:val="30"/>
          <w:szCs w:val="30"/>
          <w:highlight w:val="none"/>
          <w:lang w:eastAsia="zh-CN" w:bidi="ar-SA"/>
        </w:rPr>
        <w:t>，</w:t>
      </w:r>
      <w:r>
        <w:rPr>
          <w:rFonts w:hint="eastAsia" w:ascii="仿宋" w:hAnsi="仿宋" w:eastAsia="仿宋" w:cs="仿宋"/>
          <w:b w:val="0"/>
          <w:bCs w:val="0"/>
          <w:color w:val="auto"/>
          <w:sz w:val="30"/>
          <w:szCs w:val="30"/>
          <w:highlight w:val="none"/>
          <w:lang w:val="en-US" w:eastAsia="zh-CN" w:bidi="ar-SA"/>
        </w:rPr>
        <w:t>推动平安昭化、法治昭化建设再上新台阶</w:t>
      </w:r>
      <w:r>
        <w:rPr>
          <w:rFonts w:hint="eastAsia" w:ascii="仿宋" w:hAnsi="仿宋" w:eastAsia="仿宋" w:cs="仿宋"/>
          <w:b w:val="0"/>
          <w:bCs w:val="0"/>
          <w:i w:val="0"/>
          <w:iCs w:val="0"/>
          <w:caps w:val="0"/>
          <w:color w:val="auto"/>
          <w:spacing w:val="0"/>
          <w:sz w:val="30"/>
          <w:szCs w:val="30"/>
          <w:highlight w:val="none"/>
          <w:shd w:val="clear" w:fill="auto"/>
          <w:lang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00" w:firstLineChars="200"/>
        <w:jc w:val="both"/>
        <w:textAlignment w:val="auto"/>
        <w:rPr>
          <w:rStyle w:val="18"/>
          <w:rFonts w:hint="default" w:ascii="Times New Roman" w:hAnsi="Times New Roman" w:eastAsia="黑体" w:cs="Times New Roman"/>
          <w:b w:val="0"/>
          <w:bCs w:val="0"/>
          <w:color w:val="000000" w:themeColor="text1"/>
          <w:kern w:val="0"/>
          <w:sz w:val="30"/>
          <w:szCs w:val="30"/>
          <w:lang w:val="en-US" w:eastAsia="zh-CN" w:bidi="ar-SA"/>
          <w14:textFill>
            <w14:solidFill>
              <w14:schemeClr w14:val="tx1"/>
            </w14:solidFill>
          </w14:textFill>
        </w:rPr>
      </w:pPr>
      <w:r>
        <w:rPr>
          <w:rFonts w:hint="eastAsia" w:eastAsia="黑体" w:cs="Times New Roman"/>
          <w:b w:val="0"/>
          <w:bCs w:val="0"/>
          <w:i w:val="0"/>
          <w:iCs w:val="0"/>
          <w:caps w:val="0"/>
          <w:color w:val="000000" w:themeColor="text1"/>
          <w:spacing w:val="0"/>
          <w:kern w:val="0"/>
          <w:sz w:val="30"/>
          <w:szCs w:val="30"/>
          <w:shd w:val="clear" w:fill="auto"/>
          <w:lang w:val="en-US" w:eastAsia="zh-CN" w:bidi="ar-SA"/>
          <w14:textFill>
            <w14:solidFill>
              <w14:schemeClr w14:val="tx1"/>
            </w14:solidFill>
          </w14:textFill>
        </w:rPr>
        <w:t>（三）</w:t>
      </w:r>
      <w:r>
        <w:rPr>
          <w:rStyle w:val="18"/>
          <w:rFonts w:hint="default" w:ascii="Times New Roman" w:hAnsi="Times New Roman" w:eastAsia="黑体" w:cs="Times New Roman"/>
          <w:b w:val="0"/>
          <w:bCs w:val="0"/>
          <w:color w:val="000000" w:themeColor="text1"/>
          <w:kern w:val="0"/>
          <w:sz w:val="30"/>
          <w:szCs w:val="30"/>
          <w:lang w:val="en-US" w:eastAsia="zh-CN" w:bidi="ar-SA"/>
          <w14:textFill>
            <w14:solidFill>
              <w14:schemeClr w14:val="tx1"/>
            </w14:solidFill>
          </w14:textFill>
        </w:rPr>
        <w:t>为民履职</w:t>
      </w:r>
      <w:r>
        <w:rPr>
          <w:rStyle w:val="18"/>
          <w:rFonts w:hint="default" w:ascii="Times New Roman" w:hAnsi="Times New Roman" w:eastAsia="黑体" w:cs="Times New Roman"/>
          <w:b w:val="0"/>
          <w:bCs w:val="0"/>
          <w:color w:val="000000" w:themeColor="text1"/>
          <w:kern w:val="0"/>
          <w:sz w:val="30"/>
          <w:szCs w:val="30"/>
          <w:lang w:eastAsia="zh-CN" w:bidi="ar-SA"/>
          <w14:textFill>
            <w14:solidFill>
              <w14:schemeClr w14:val="tx1"/>
            </w14:solidFill>
          </w14:textFill>
        </w:rPr>
        <w:t>作用</w:t>
      </w:r>
      <w:r>
        <w:rPr>
          <w:rStyle w:val="18"/>
          <w:rFonts w:hint="default" w:ascii="Times New Roman" w:hAnsi="Times New Roman" w:eastAsia="黑体" w:cs="Times New Roman"/>
          <w:b w:val="0"/>
          <w:bCs w:val="0"/>
          <w:color w:val="000000" w:themeColor="text1"/>
          <w:kern w:val="0"/>
          <w:sz w:val="30"/>
          <w:szCs w:val="30"/>
          <w:lang w:val="en-US" w:eastAsia="zh-CN" w:bidi="ar-SA"/>
          <w14:textFill>
            <w14:solidFill>
              <w14:schemeClr w14:val="tx1"/>
            </w14:solidFill>
          </w14:textFill>
        </w:rPr>
        <w:t>充分发挥</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i w:val="0"/>
          <w:iCs w:val="0"/>
          <w:caps w:val="0"/>
          <w:color w:val="auto"/>
          <w:spacing w:val="0"/>
          <w:kern w:val="2"/>
          <w:sz w:val="30"/>
          <w:szCs w:val="30"/>
          <w:highlight w:val="none"/>
          <w:shd w:val="clear" w:fill="auto"/>
          <w:lang w:val="en-US" w:eastAsia="zh-CN" w:bidi="ar-SA"/>
        </w:rPr>
      </w:pPr>
      <w:r>
        <w:rPr>
          <w:rFonts w:hint="eastAsia" w:ascii="华文楷体" w:hAnsi="华文楷体" w:eastAsia="华文楷体" w:cs="华文楷体"/>
          <w:b w:val="0"/>
          <w:bCs w:val="0"/>
          <w:color w:val="auto"/>
          <w:spacing w:val="0"/>
          <w:kern w:val="2"/>
          <w:sz w:val="32"/>
          <w:szCs w:val="32"/>
          <w:highlight w:val="none"/>
          <w:lang w:val="en-US" w:eastAsia="zh-CN" w:bidi="ar-SA"/>
        </w:rPr>
        <w:t>圆满完成换届选举工作。</w:t>
      </w:r>
      <w:r>
        <w:rPr>
          <w:rFonts w:hint="eastAsia" w:ascii="仿宋" w:hAnsi="仿宋" w:eastAsia="仿宋" w:cs="仿宋"/>
          <w:b w:val="0"/>
          <w:bCs w:val="0"/>
          <w:i w:val="0"/>
          <w:iCs w:val="0"/>
          <w:caps w:val="0"/>
          <w:color w:val="auto"/>
          <w:spacing w:val="0"/>
          <w:kern w:val="2"/>
          <w:sz w:val="30"/>
          <w:szCs w:val="30"/>
          <w:highlight w:val="none"/>
          <w:shd w:val="clear" w:fill="auto"/>
          <w:lang w:bidi="ar-SA"/>
        </w:rPr>
        <w:t>把坚持党的领导、充分发扬民主、严格依法办事贯穿</w:t>
      </w:r>
      <w:r>
        <w:rPr>
          <w:rFonts w:hint="eastAsia" w:ascii="仿宋" w:hAnsi="仿宋" w:eastAsia="仿宋" w:cs="仿宋"/>
          <w:b w:val="0"/>
          <w:bCs w:val="0"/>
          <w:i w:val="0"/>
          <w:iCs w:val="0"/>
          <w:caps w:val="0"/>
          <w:color w:val="auto"/>
          <w:spacing w:val="0"/>
          <w:kern w:val="2"/>
          <w:sz w:val="30"/>
          <w:szCs w:val="30"/>
          <w:highlight w:val="none"/>
          <w:shd w:val="clear" w:fill="auto"/>
          <w:lang w:val="en-US" w:eastAsia="zh-CN" w:bidi="ar-SA"/>
        </w:rPr>
        <w:t>换届选举</w:t>
      </w:r>
      <w:r>
        <w:rPr>
          <w:rFonts w:hint="eastAsia" w:ascii="仿宋" w:hAnsi="仿宋" w:eastAsia="仿宋" w:cs="仿宋"/>
          <w:b w:val="0"/>
          <w:bCs w:val="0"/>
          <w:i w:val="0"/>
          <w:iCs w:val="0"/>
          <w:caps w:val="0"/>
          <w:color w:val="auto"/>
          <w:spacing w:val="0"/>
          <w:kern w:val="2"/>
          <w:sz w:val="30"/>
          <w:szCs w:val="30"/>
          <w:highlight w:val="none"/>
          <w:shd w:val="clear" w:fill="auto"/>
          <w:lang w:bidi="ar-SA"/>
        </w:rPr>
        <w:t>始终</w:t>
      </w:r>
      <w:r>
        <w:rPr>
          <w:rFonts w:hint="eastAsia" w:ascii="仿宋" w:hAnsi="仿宋" w:eastAsia="仿宋" w:cs="仿宋"/>
          <w:b w:val="0"/>
          <w:bCs w:val="0"/>
          <w:i w:val="0"/>
          <w:iCs w:val="0"/>
          <w:caps w:val="0"/>
          <w:color w:val="auto"/>
          <w:spacing w:val="0"/>
          <w:kern w:val="2"/>
          <w:sz w:val="30"/>
          <w:szCs w:val="30"/>
          <w:highlight w:val="none"/>
          <w:shd w:val="clear" w:fill="auto"/>
          <w:lang w:eastAsia="zh-CN" w:bidi="ar-SA"/>
        </w:rPr>
        <w:t>，</w:t>
      </w:r>
      <w:r>
        <w:rPr>
          <w:rFonts w:hint="eastAsia" w:ascii="仿宋" w:hAnsi="仿宋" w:eastAsia="仿宋" w:cs="仿宋"/>
          <w:b w:val="0"/>
          <w:bCs w:val="0"/>
          <w:i w:val="0"/>
          <w:iCs w:val="0"/>
          <w:caps w:val="0"/>
          <w:color w:val="auto"/>
          <w:spacing w:val="0"/>
          <w:kern w:val="2"/>
          <w:sz w:val="30"/>
          <w:szCs w:val="30"/>
          <w:highlight w:val="none"/>
          <w:shd w:val="clear" w:fill="auto"/>
          <w:lang w:val="en-US" w:eastAsia="zh-CN" w:bidi="ar-SA"/>
        </w:rPr>
        <w:t>认真落实区委关于区镇两级人大换届选举工作安排意见，依法作出换届选举</w:t>
      </w:r>
      <w:r>
        <w:rPr>
          <w:rFonts w:hint="eastAsia" w:ascii="仿宋" w:hAnsi="仿宋" w:eastAsia="仿宋" w:cs="仿宋"/>
          <w:b w:val="0"/>
          <w:bCs w:val="0"/>
          <w:i w:val="0"/>
          <w:iCs w:val="0"/>
          <w:caps w:val="0"/>
          <w:color w:val="auto"/>
          <w:spacing w:val="0"/>
          <w:kern w:val="2"/>
          <w:sz w:val="30"/>
          <w:szCs w:val="30"/>
          <w:highlight w:val="none"/>
          <w:shd w:val="clear" w:fill="auto"/>
          <w:lang w:bidi="ar-SA"/>
        </w:rPr>
        <w:t>有关决定</w:t>
      </w:r>
      <w:r>
        <w:rPr>
          <w:rFonts w:hint="eastAsia" w:ascii="仿宋" w:hAnsi="仿宋" w:eastAsia="仿宋" w:cs="仿宋"/>
          <w:b w:val="0"/>
          <w:bCs w:val="0"/>
          <w:i w:val="0"/>
          <w:iCs w:val="0"/>
          <w:caps w:val="0"/>
          <w:color w:val="auto"/>
          <w:spacing w:val="0"/>
          <w:kern w:val="2"/>
          <w:sz w:val="30"/>
          <w:szCs w:val="30"/>
          <w:highlight w:val="none"/>
          <w:shd w:val="clear" w:fill="auto"/>
          <w:lang w:eastAsia="zh-CN" w:bidi="ar-SA"/>
        </w:rPr>
        <w:t>。</w:t>
      </w:r>
      <w:r>
        <w:rPr>
          <w:rFonts w:hint="eastAsia" w:ascii="仿宋" w:hAnsi="仿宋" w:eastAsia="仿宋" w:cs="仿宋"/>
          <w:b w:val="0"/>
          <w:bCs w:val="0"/>
          <w:color w:val="auto"/>
          <w:spacing w:val="0"/>
          <w:kern w:val="2"/>
          <w:sz w:val="30"/>
          <w:szCs w:val="30"/>
          <w:highlight w:val="none"/>
          <w:lang w:val="en-US" w:eastAsia="zh-CN" w:bidi="ar-SA"/>
        </w:rPr>
        <w:t>签订严肃换届纪律承诺书，</w:t>
      </w:r>
      <w:r>
        <w:rPr>
          <w:rFonts w:hint="eastAsia" w:ascii="仿宋" w:hAnsi="仿宋" w:eastAsia="仿宋" w:cs="仿宋"/>
          <w:b w:val="0"/>
          <w:bCs w:val="0"/>
          <w:i w:val="0"/>
          <w:iCs w:val="0"/>
          <w:caps w:val="0"/>
          <w:color w:val="auto"/>
          <w:spacing w:val="0"/>
          <w:kern w:val="2"/>
          <w:sz w:val="30"/>
          <w:szCs w:val="30"/>
          <w:highlight w:val="none"/>
          <w:shd w:val="clear" w:fill="auto"/>
          <w:lang w:val="en-US" w:eastAsia="zh-CN" w:bidi="ar-SA"/>
        </w:rPr>
        <w:t>组建4个选举工作指导组，严把代表“入口关”，</w:t>
      </w:r>
      <w:r>
        <w:rPr>
          <w:rFonts w:hint="eastAsia" w:ascii="仿宋" w:hAnsi="仿宋" w:eastAsia="仿宋" w:cs="仿宋"/>
          <w:b w:val="0"/>
          <w:bCs w:val="0"/>
          <w:color w:val="auto"/>
          <w:spacing w:val="0"/>
          <w:kern w:val="2"/>
          <w:sz w:val="30"/>
          <w:szCs w:val="30"/>
          <w:highlight w:val="none"/>
          <w:lang w:val="en-US" w:eastAsia="zh-CN" w:bidi="ar-SA"/>
        </w:rPr>
        <w:t>依法选出新一届</w:t>
      </w:r>
      <w:r>
        <w:rPr>
          <w:rFonts w:hint="eastAsia" w:ascii="仿宋" w:hAnsi="仿宋" w:eastAsia="仿宋" w:cs="仿宋"/>
          <w:b w:val="0"/>
          <w:bCs w:val="0"/>
          <w:i w:val="0"/>
          <w:iCs w:val="0"/>
          <w:caps w:val="0"/>
          <w:color w:val="auto"/>
          <w:spacing w:val="0"/>
          <w:kern w:val="2"/>
          <w:sz w:val="30"/>
          <w:szCs w:val="30"/>
          <w:highlight w:val="none"/>
          <w:shd w:val="clear" w:fill="auto"/>
          <w:lang w:val="en-US" w:eastAsia="zh-CN" w:bidi="ar-SA"/>
        </w:rPr>
        <w:t>区人大代表187名、</w:t>
      </w:r>
      <w:r>
        <w:rPr>
          <w:rFonts w:hint="eastAsia" w:ascii="仿宋" w:hAnsi="仿宋" w:eastAsia="仿宋" w:cs="仿宋"/>
          <w:b w:val="0"/>
          <w:bCs w:val="0"/>
          <w:color w:val="auto"/>
          <w:kern w:val="2"/>
          <w:sz w:val="30"/>
          <w:szCs w:val="30"/>
          <w:highlight w:val="none"/>
          <w:shd w:val="clear" w:color="auto" w:fill="auto"/>
          <w:lang w:val="en-US" w:eastAsia="zh-CN" w:bidi="ar-SA"/>
        </w:rPr>
        <w:t>镇人大代表690名。</w:t>
      </w:r>
      <w:r>
        <w:rPr>
          <w:rFonts w:hint="eastAsia" w:ascii="仿宋" w:hAnsi="仿宋" w:eastAsia="仿宋" w:cs="仿宋"/>
          <w:b w:val="0"/>
          <w:bCs w:val="0"/>
          <w:i w:val="0"/>
          <w:iCs w:val="0"/>
          <w:caps w:val="0"/>
          <w:color w:val="auto"/>
          <w:spacing w:val="0"/>
          <w:kern w:val="2"/>
          <w:sz w:val="30"/>
          <w:szCs w:val="30"/>
          <w:highlight w:val="none"/>
          <w:shd w:val="clear" w:fill="auto"/>
          <w:lang w:val="en-US" w:eastAsia="zh-CN" w:bidi="ar-SA"/>
        </w:rPr>
        <w:t>4名在外省创业农民工领头人首次当选市、区人大代表，区代表中专技人员、基层一线和非公有制代表比例分别提高11%、7.5%和3.1%，代表的素质更高、结构更优。成功召开区、镇新一届人民代表大会，选举产生了出席市八届人大一次会议的代表和新一届区、镇两级国家机关领导人员。及时召开八届人大常委会一次会议，依法任免“一府一委两院”国家机关工作人员。</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color w:val="auto"/>
          <w:spacing w:val="0"/>
          <w:kern w:val="2"/>
          <w:sz w:val="30"/>
          <w:szCs w:val="30"/>
          <w:highlight w:val="none"/>
          <w:lang w:val="en-US" w:eastAsia="zh-CN" w:bidi="ar-SA"/>
        </w:rPr>
      </w:pPr>
      <w:r>
        <w:rPr>
          <w:rFonts w:hint="eastAsia" w:ascii="华文楷体" w:hAnsi="华文楷体" w:eastAsia="华文楷体" w:cs="华文楷体"/>
          <w:b w:val="0"/>
          <w:bCs w:val="0"/>
          <w:color w:val="auto"/>
          <w:spacing w:val="0"/>
          <w:kern w:val="2"/>
          <w:sz w:val="32"/>
          <w:szCs w:val="32"/>
          <w:highlight w:val="none"/>
          <w:lang w:val="en-US" w:eastAsia="zh-CN" w:bidi="ar"/>
        </w:rPr>
        <w:t>落实落细代表建议办理工作。</w:t>
      </w:r>
      <w:r>
        <w:rPr>
          <w:rFonts w:hint="eastAsia" w:ascii="仿宋" w:hAnsi="仿宋" w:eastAsia="仿宋" w:cs="仿宋"/>
          <w:b w:val="0"/>
          <w:bCs w:val="0"/>
          <w:color w:val="auto"/>
          <w:spacing w:val="0"/>
          <w:kern w:val="2"/>
          <w:sz w:val="30"/>
          <w:szCs w:val="30"/>
          <w:highlight w:val="none"/>
          <w:lang w:val="en-US" w:eastAsia="zh-CN" w:bidi="ar-SA"/>
        </w:rPr>
        <w:t>建立“全链条”代表建议办理机制，紧盯交办、督办关键环节，确保代表建议件件有着落、事事有回音。区七届人大六次会议代表所提40件建议和八届人大一次会议代表所提104件建议全部按期办复，深化“放管服”改革、服务群众“最后一公里”、加宽部分通村道路和有效利用水利设施等意见建议得到较好落实，推动解决了一些群众看得见、摸得着、有成效的实事好事。</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color w:val="auto"/>
          <w:spacing w:val="0"/>
          <w:kern w:val="2"/>
          <w:sz w:val="30"/>
          <w:szCs w:val="30"/>
          <w:highlight w:val="none"/>
          <w:lang w:bidi="ar-SA"/>
        </w:rPr>
      </w:pPr>
      <w:r>
        <w:rPr>
          <w:rFonts w:hint="eastAsia" w:ascii="华文楷体" w:hAnsi="华文楷体" w:eastAsia="华文楷体" w:cs="华文楷体"/>
          <w:b w:val="0"/>
          <w:bCs w:val="0"/>
          <w:color w:val="auto"/>
          <w:spacing w:val="0"/>
          <w:kern w:val="2"/>
          <w:sz w:val="32"/>
          <w:szCs w:val="32"/>
          <w:highlight w:val="none"/>
          <w:lang w:val="en-US" w:eastAsia="zh-CN" w:bidi="ar"/>
        </w:rPr>
        <w:t>努力推进代表活动常态化。</w:t>
      </w:r>
      <w:r>
        <w:rPr>
          <w:rFonts w:hint="eastAsia" w:ascii="仿宋" w:hAnsi="仿宋" w:eastAsia="仿宋" w:cs="仿宋"/>
          <w:b w:val="0"/>
          <w:bCs w:val="0"/>
          <w:color w:val="auto"/>
          <w:spacing w:val="0"/>
          <w:kern w:val="2"/>
          <w:sz w:val="30"/>
          <w:szCs w:val="30"/>
          <w:highlight w:val="none"/>
          <w:lang w:val="en-US" w:eastAsia="zh-CN" w:bidi="ar-SA"/>
        </w:rPr>
        <w:t>按照代表居住状况和所属行业原则，划分代表小组45个，常委会组成人员常态化联系81名基层区人大代表，有序推进代表“五进”和“双联系”工作。邀请省、市、区人大代表111人次列席常委会和参加调研、执法检查、视察等活动。开展“我为群众办实事—人大代表再行动”活动，各级人大代表为群众办实事1200余件，收集意见建议260余条，密切代表与人民群众的经常性联系，畅通反映和表达社情民意渠道</w:t>
      </w:r>
      <w:r>
        <w:rPr>
          <w:rFonts w:hint="eastAsia" w:ascii="仿宋" w:hAnsi="仿宋" w:eastAsia="仿宋" w:cs="仿宋"/>
          <w:b w:val="0"/>
          <w:bCs w:val="0"/>
          <w:color w:val="auto"/>
          <w:spacing w:val="0"/>
          <w:kern w:val="2"/>
          <w:sz w:val="30"/>
          <w:szCs w:val="30"/>
          <w:highlight w:val="none"/>
          <w:lang w:bidi="ar-SA"/>
        </w:rPr>
        <w:t>。</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00" w:firstLineChars="200"/>
        <w:jc w:val="both"/>
        <w:textAlignment w:val="auto"/>
        <w:rPr>
          <w:rStyle w:val="18"/>
          <w:rFonts w:hint="default" w:ascii="Times New Roman" w:hAnsi="Times New Roman" w:eastAsia="黑体" w:cs="Times New Roman"/>
          <w:b w:val="0"/>
          <w:bCs w:val="0"/>
          <w:color w:val="000000" w:themeColor="text1"/>
          <w:kern w:val="0"/>
          <w:sz w:val="30"/>
          <w:szCs w:val="30"/>
          <w:lang w:val="en-US" w:eastAsia="zh-CN" w:bidi="ar-SA"/>
          <w14:textFill>
            <w14:solidFill>
              <w14:schemeClr w14:val="tx1"/>
            </w14:solidFill>
          </w14:textFill>
        </w:rPr>
      </w:pPr>
      <w:r>
        <w:rPr>
          <w:rStyle w:val="18"/>
          <w:rFonts w:hint="eastAsia" w:eastAsia="黑体" w:cs="Times New Roman"/>
          <w:b w:val="0"/>
          <w:bCs w:val="0"/>
          <w:color w:val="000000" w:themeColor="text1"/>
          <w:kern w:val="0"/>
          <w:sz w:val="30"/>
          <w:szCs w:val="30"/>
          <w:lang w:eastAsia="zh-CN" w:bidi="ar-SA"/>
          <w14:textFill>
            <w14:solidFill>
              <w14:schemeClr w14:val="tx1"/>
            </w14:solidFill>
          </w14:textFill>
        </w:rPr>
        <w:t>（四）</w:t>
      </w:r>
      <w:r>
        <w:rPr>
          <w:rStyle w:val="18"/>
          <w:rFonts w:hint="default" w:eastAsia="黑体" w:cs="Times New Roman"/>
          <w:b w:val="0"/>
          <w:bCs w:val="0"/>
          <w:color w:val="000000" w:themeColor="text1"/>
          <w:kern w:val="0"/>
          <w:sz w:val="30"/>
          <w:szCs w:val="30"/>
          <w:lang w:val="en-US" w:eastAsia="zh-CN" w:bidi="ar-SA"/>
          <w14:textFill>
            <w14:solidFill>
              <w14:schemeClr w14:val="tx1"/>
            </w14:solidFill>
          </w14:textFill>
        </w:rPr>
        <w:t>班子队伍</w:t>
      </w:r>
      <w:r>
        <w:rPr>
          <w:rStyle w:val="18"/>
          <w:rFonts w:hint="default" w:ascii="Times New Roman" w:hAnsi="Times New Roman" w:eastAsia="黑体" w:cs="Times New Roman"/>
          <w:b w:val="0"/>
          <w:bCs w:val="0"/>
          <w:color w:val="000000" w:themeColor="text1"/>
          <w:kern w:val="0"/>
          <w:sz w:val="30"/>
          <w:szCs w:val="30"/>
          <w:lang w:val="en-US" w:eastAsia="zh-CN" w:bidi="ar-SA"/>
          <w14:textFill>
            <w14:solidFill>
              <w14:schemeClr w14:val="tx1"/>
            </w14:solidFill>
          </w14:textFill>
        </w:rPr>
        <w:t>建设</w:t>
      </w:r>
      <w:r>
        <w:rPr>
          <w:rStyle w:val="18"/>
          <w:rFonts w:hint="default" w:eastAsia="黑体" w:cs="Times New Roman"/>
          <w:b w:val="0"/>
          <w:bCs w:val="0"/>
          <w:color w:val="000000" w:themeColor="text1"/>
          <w:kern w:val="0"/>
          <w:sz w:val="30"/>
          <w:szCs w:val="30"/>
          <w:lang w:val="en-US" w:eastAsia="zh-CN" w:bidi="ar-SA"/>
          <w14:textFill>
            <w14:solidFill>
              <w14:schemeClr w14:val="tx1"/>
            </w14:solidFill>
          </w14:textFill>
        </w:rPr>
        <w:t>稳步</w:t>
      </w:r>
      <w:r>
        <w:rPr>
          <w:rStyle w:val="18"/>
          <w:rFonts w:hint="default" w:ascii="Times New Roman" w:hAnsi="Times New Roman" w:eastAsia="黑体" w:cs="Times New Roman"/>
          <w:b w:val="0"/>
          <w:bCs w:val="0"/>
          <w:color w:val="000000" w:themeColor="text1"/>
          <w:kern w:val="0"/>
          <w:sz w:val="30"/>
          <w:szCs w:val="30"/>
          <w:lang w:val="en-US" w:eastAsia="zh-CN" w:bidi="ar-SA"/>
          <w14:textFill>
            <w14:solidFill>
              <w14:schemeClr w14:val="tx1"/>
            </w14:solidFill>
          </w14:textFill>
        </w:rPr>
        <w:t>提升</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color w:val="auto"/>
          <w:sz w:val="30"/>
          <w:szCs w:val="30"/>
          <w:highlight w:val="none"/>
          <w:lang w:eastAsia="zh-CN" w:bidi="ar-SA"/>
        </w:rPr>
      </w:pPr>
      <w:r>
        <w:rPr>
          <w:rFonts w:hint="eastAsia" w:ascii="华文楷体" w:hAnsi="华文楷体" w:eastAsia="华文楷体" w:cs="华文楷体"/>
          <w:b w:val="0"/>
          <w:bCs w:val="0"/>
          <w:color w:val="auto"/>
          <w:spacing w:val="0"/>
          <w:kern w:val="2"/>
          <w:sz w:val="32"/>
          <w:szCs w:val="32"/>
          <w:highlight w:val="none"/>
          <w:lang w:val="en-US" w:eastAsia="zh-CN" w:bidi="ar-SA"/>
        </w:rPr>
        <w:t>管党治党责任全面落实。</w:t>
      </w:r>
      <w:r>
        <w:rPr>
          <w:rFonts w:hint="eastAsia" w:ascii="仿宋" w:hAnsi="仿宋" w:eastAsia="仿宋" w:cs="仿宋"/>
          <w:b w:val="0"/>
          <w:bCs w:val="0"/>
          <w:color w:val="auto"/>
          <w:spacing w:val="0"/>
          <w:kern w:val="2"/>
          <w:sz w:val="30"/>
          <w:szCs w:val="30"/>
          <w:highlight w:val="none"/>
          <w:lang w:val="en-US" w:eastAsia="zh-CN" w:bidi="ar-SA"/>
        </w:rPr>
        <w:t>认真执行党委（党组）落实全面从严治党主体责任规定，严格落实第一责任人责任和“一岗双责”制度，执行中央、省委、市委决策和区委要求态度坚决、不打折扣、不搞变通。</w:t>
      </w:r>
      <w:r>
        <w:rPr>
          <w:rFonts w:hint="eastAsia" w:ascii="仿宋" w:hAnsi="仿宋" w:eastAsia="仿宋" w:cs="仿宋"/>
          <w:b w:val="0"/>
          <w:bCs w:val="0"/>
          <w:color w:val="auto"/>
          <w:sz w:val="30"/>
          <w:szCs w:val="30"/>
          <w:highlight w:val="none"/>
          <w:lang w:eastAsia="zh-CN" w:bidi="ar-SA"/>
        </w:rPr>
        <w:t>严肃党内政治生活，严格执行党员领导干部双重组织生活会制度。</w:t>
      </w:r>
      <w:r>
        <w:rPr>
          <w:rFonts w:hint="eastAsia" w:ascii="仿宋" w:hAnsi="仿宋" w:eastAsia="仿宋" w:cs="仿宋"/>
          <w:b w:val="0"/>
          <w:bCs w:val="0"/>
          <w:color w:val="auto"/>
          <w:sz w:val="30"/>
          <w:szCs w:val="30"/>
          <w:highlight w:val="none"/>
          <w:lang w:bidi="ar-SA"/>
        </w:rPr>
        <w:t>加强对机关</w:t>
      </w:r>
      <w:r>
        <w:rPr>
          <w:rFonts w:hint="eastAsia" w:ascii="仿宋" w:hAnsi="仿宋" w:eastAsia="仿宋" w:cs="仿宋"/>
          <w:b w:val="0"/>
          <w:bCs w:val="0"/>
          <w:color w:val="auto"/>
          <w:sz w:val="30"/>
          <w:szCs w:val="30"/>
          <w:highlight w:val="none"/>
          <w:lang w:val="en-US" w:eastAsia="zh-CN" w:bidi="ar-SA"/>
        </w:rPr>
        <w:t>党组和</w:t>
      </w:r>
      <w:r>
        <w:rPr>
          <w:rFonts w:hint="eastAsia" w:ascii="仿宋" w:hAnsi="仿宋" w:eastAsia="仿宋" w:cs="仿宋"/>
          <w:b w:val="0"/>
          <w:bCs w:val="0"/>
          <w:color w:val="auto"/>
          <w:sz w:val="30"/>
          <w:szCs w:val="30"/>
          <w:highlight w:val="none"/>
          <w:lang w:bidi="ar-SA"/>
        </w:rPr>
        <w:t>党建工作的</w:t>
      </w:r>
      <w:r>
        <w:rPr>
          <w:rFonts w:hint="eastAsia" w:ascii="仿宋" w:hAnsi="仿宋" w:eastAsia="仿宋" w:cs="仿宋"/>
          <w:b w:val="0"/>
          <w:bCs w:val="0"/>
          <w:color w:val="auto"/>
          <w:sz w:val="30"/>
          <w:szCs w:val="30"/>
          <w:highlight w:val="none"/>
          <w:lang w:eastAsia="zh-CN" w:bidi="ar-SA"/>
        </w:rPr>
        <w:t>领导</w:t>
      </w:r>
      <w:r>
        <w:rPr>
          <w:rFonts w:hint="eastAsia" w:ascii="仿宋" w:hAnsi="仿宋" w:eastAsia="仿宋" w:cs="仿宋"/>
          <w:b w:val="0"/>
          <w:bCs w:val="0"/>
          <w:color w:val="auto"/>
          <w:sz w:val="30"/>
          <w:szCs w:val="30"/>
          <w:highlight w:val="none"/>
          <w:lang w:bidi="ar-SA"/>
        </w:rPr>
        <w:t>，</w:t>
      </w:r>
      <w:r>
        <w:rPr>
          <w:rFonts w:hint="eastAsia" w:ascii="仿宋" w:hAnsi="仿宋" w:eastAsia="仿宋" w:cs="仿宋"/>
          <w:b w:val="0"/>
          <w:bCs w:val="0"/>
          <w:color w:val="auto"/>
          <w:sz w:val="30"/>
          <w:szCs w:val="30"/>
          <w:highlight w:val="none"/>
          <w:lang w:eastAsia="zh-CN" w:bidi="ar-SA"/>
        </w:rPr>
        <w:t>深化“活力人大”建设，</w:t>
      </w:r>
      <w:r>
        <w:rPr>
          <w:rFonts w:hint="eastAsia" w:ascii="仿宋" w:hAnsi="仿宋" w:eastAsia="仿宋" w:cs="仿宋"/>
          <w:b w:val="0"/>
          <w:bCs w:val="0"/>
          <w:color w:val="auto"/>
          <w:kern w:val="2"/>
          <w:sz w:val="30"/>
          <w:szCs w:val="30"/>
          <w:highlight w:val="none"/>
          <w:lang w:eastAsia="zh-CN" w:bidi="ar-SA"/>
        </w:rPr>
        <w:t>关心关怀退休</w:t>
      </w:r>
      <w:r>
        <w:rPr>
          <w:rFonts w:hint="eastAsia" w:ascii="仿宋" w:hAnsi="仿宋" w:eastAsia="仿宋" w:cs="仿宋"/>
          <w:b w:val="0"/>
          <w:bCs w:val="0"/>
          <w:color w:val="auto"/>
          <w:kern w:val="2"/>
          <w:sz w:val="30"/>
          <w:szCs w:val="30"/>
          <w:highlight w:val="none"/>
          <w:lang w:bidi="ar-SA"/>
        </w:rPr>
        <w:t>老干部，</w:t>
      </w:r>
      <w:r>
        <w:rPr>
          <w:rFonts w:hint="eastAsia" w:ascii="仿宋" w:hAnsi="仿宋" w:eastAsia="仿宋" w:cs="仿宋"/>
          <w:b w:val="0"/>
          <w:bCs w:val="0"/>
          <w:color w:val="auto"/>
          <w:sz w:val="30"/>
          <w:szCs w:val="30"/>
          <w:highlight w:val="none"/>
          <w:lang w:eastAsia="zh-CN" w:bidi="ar-SA"/>
        </w:rPr>
        <w:t>及时改选机关党委和三个党支部、工会、妇委会，组建机关</w:t>
      </w:r>
      <w:r>
        <w:rPr>
          <w:rFonts w:hint="eastAsia" w:ascii="仿宋" w:hAnsi="仿宋" w:eastAsia="仿宋" w:cs="仿宋"/>
          <w:b w:val="0"/>
          <w:bCs w:val="0"/>
          <w:color w:val="auto"/>
          <w:sz w:val="30"/>
          <w:szCs w:val="30"/>
          <w:highlight w:val="none"/>
          <w:lang w:bidi="ar-SA"/>
        </w:rPr>
        <w:t>青年学习小组，</w:t>
      </w:r>
      <w:r>
        <w:rPr>
          <w:rFonts w:hint="eastAsia" w:ascii="仿宋" w:hAnsi="仿宋" w:eastAsia="仿宋" w:cs="仿宋"/>
          <w:b w:val="0"/>
          <w:bCs w:val="0"/>
          <w:color w:val="auto"/>
          <w:sz w:val="30"/>
          <w:szCs w:val="30"/>
          <w:highlight w:val="none"/>
          <w:lang w:eastAsia="zh-CN" w:bidi="ar-SA"/>
        </w:rPr>
        <w:t>充分发挥好各方面的积极作用。</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i w:val="0"/>
          <w:iCs w:val="0"/>
          <w:caps w:val="0"/>
          <w:color w:val="auto"/>
          <w:spacing w:val="0"/>
          <w:sz w:val="30"/>
          <w:szCs w:val="30"/>
          <w:highlight w:val="none"/>
          <w:lang w:val="en-US" w:eastAsia="zh-CN" w:bidi="ar-SA"/>
        </w:rPr>
      </w:pPr>
      <w:r>
        <w:rPr>
          <w:rFonts w:hint="eastAsia" w:ascii="华文楷体" w:hAnsi="华文楷体" w:eastAsia="华文楷体" w:cs="华文楷体"/>
          <w:b w:val="0"/>
          <w:bCs w:val="0"/>
          <w:color w:val="auto"/>
          <w:spacing w:val="0"/>
          <w:kern w:val="2"/>
          <w:sz w:val="32"/>
          <w:szCs w:val="32"/>
          <w:highlight w:val="none"/>
          <w:lang w:val="en-US" w:eastAsia="zh-CN" w:bidi="ar-SA"/>
        </w:rPr>
        <w:t>履职效能建设持续加强。</w:t>
      </w:r>
      <w:r>
        <w:rPr>
          <w:rFonts w:hint="eastAsia" w:ascii="仿宋" w:hAnsi="仿宋" w:eastAsia="仿宋" w:cs="仿宋"/>
          <w:b w:val="0"/>
          <w:bCs w:val="0"/>
          <w:color w:val="auto"/>
          <w:spacing w:val="0"/>
          <w:kern w:val="2"/>
          <w:sz w:val="30"/>
          <w:szCs w:val="30"/>
          <w:highlight w:val="none"/>
          <w:lang w:val="en-US" w:eastAsia="zh-CN" w:bidi="ar-SA"/>
        </w:rPr>
        <w:t>区八届人大常委会领导班子和组成人员底气足、激情高，依法履职、勤勉工作，</w:t>
      </w:r>
      <w:r>
        <w:rPr>
          <w:rFonts w:hint="eastAsia" w:ascii="仿宋" w:hAnsi="仿宋" w:eastAsia="仿宋" w:cs="仿宋"/>
          <w:b w:val="0"/>
          <w:bCs w:val="0"/>
          <w:color w:val="auto"/>
          <w:sz w:val="30"/>
          <w:szCs w:val="30"/>
          <w:highlight w:val="none"/>
          <w:lang w:eastAsia="zh-CN" w:bidi="ar-SA"/>
        </w:rPr>
        <w:t>严格执行常委会议事规则等制度，</w:t>
      </w:r>
      <w:r>
        <w:rPr>
          <w:rFonts w:hint="eastAsia" w:ascii="仿宋" w:hAnsi="仿宋" w:eastAsia="仿宋" w:cs="仿宋"/>
          <w:b w:val="0"/>
          <w:bCs w:val="0"/>
          <w:color w:val="auto"/>
          <w:sz w:val="30"/>
          <w:szCs w:val="30"/>
          <w:highlight w:val="none"/>
          <w:lang w:bidi="ar-SA"/>
        </w:rPr>
        <w:t>确保各项工作运行形成闭环</w:t>
      </w:r>
      <w:r>
        <w:rPr>
          <w:rFonts w:hint="eastAsia" w:ascii="仿宋" w:hAnsi="仿宋" w:eastAsia="仿宋" w:cs="仿宋"/>
          <w:b w:val="0"/>
          <w:bCs w:val="0"/>
          <w:color w:val="auto"/>
          <w:sz w:val="30"/>
          <w:szCs w:val="30"/>
          <w:highlight w:val="none"/>
          <w:lang w:eastAsia="zh-CN" w:bidi="ar-SA"/>
        </w:rPr>
        <w:t>，</w:t>
      </w:r>
      <w:r>
        <w:rPr>
          <w:rFonts w:hint="eastAsia" w:ascii="仿宋" w:hAnsi="仿宋" w:eastAsia="仿宋" w:cs="仿宋"/>
          <w:b w:val="0"/>
          <w:bCs w:val="0"/>
          <w:color w:val="auto"/>
          <w:spacing w:val="0"/>
          <w:kern w:val="2"/>
          <w:sz w:val="30"/>
          <w:szCs w:val="30"/>
          <w:highlight w:val="none"/>
          <w:lang w:val="en-US" w:eastAsia="zh-CN" w:bidi="ar-SA"/>
        </w:rPr>
        <w:t>每一次会议、每一项议程、每一个决定决议都符合宪法法律规定和法定程序，都与区委保持高度一致，与“一府一委两院”高度契合。配齐配强了3个专委会组成人员和常委会各委室人员，</w:t>
      </w:r>
      <w:r>
        <w:rPr>
          <w:rFonts w:hint="eastAsia" w:ascii="仿宋" w:hAnsi="仿宋" w:eastAsia="仿宋" w:cs="仿宋"/>
          <w:b w:val="0"/>
          <w:bCs w:val="0"/>
          <w:color w:val="auto"/>
          <w:sz w:val="30"/>
          <w:szCs w:val="30"/>
          <w:highlight w:val="none"/>
          <w:lang w:eastAsia="zh-CN" w:bidi="ar-SA"/>
        </w:rPr>
        <w:t>成立区预算联网审查监督中心。</w:t>
      </w:r>
      <w:r>
        <w:rPr>
          <w:rFonts w:hint="eastAsia" w:ascii="仿宋" w:hAnsi="仿宋" w:eastAsia="仿宋" w:cs="仿宋"/>
          <w:b w:val="0"/>
          <w:bCs w:val="0"/>
          <w:color w:val="auto"/>
          <w:spacing w:val="0"/>
          <w:kern w:val="2"/>
          <w:sz w:val="30"/>
          <w:szCs w:val="30"/>
          <w:highlight w:val="none"/>
          <w:lang w:val="en-US" w:eastAsia="zh-CN" w:bidi="ar-SA"/>
        </w:rPr>
        <w:t>通过专家讲授、集体研学、会前领学等方式，</w:t>
      </w:r>
      <w:r>
        <w:rPr>
          <w:rFonts w:hint="eastAsia" w:ascii="仿宋" w:hAnsi="仿宋" w:eastAsia="仿宋" w:cs="仿宋"/>
          <w:b w:val="0"/>
          <w:bCs w:val="0"/>
          <w:color w:val="auto"/>
          <w:sz w:val="30"/>
          <w:szCs w:val="30"/>
          <w:highlight w:val="none"/>
          <w:lang w:val="en-US" w:eastAsia="zh-CN" w:bidi="ar-SA"/>
        </w:rPr>
        <w:t>经常性</w:t>
      </w:r>
      <w:r>
        <w:rPr>
          <w:rFonts w:hint="eastAsia" w:ascii="仿宋" w:hAnsi="仿宋" w:eastAsia="仿宋" w:cs="仿宋"/>
          <w:b w:val="0"/>
          <w:bCs w:val="0"/>
          <w:color w:val="auto"/>
          <w:sz w:val="30"/>
          <w:szCs w:val="30"/>
          <w:highlight w:val="none"/>
          <w:lang w:eastAsia="zh-CN" w:bidi="ar-SA"/>
        </w:rPr>
        <w:t>开展</w:t>
      </w:r>
      <w:r>
        <w:rPr>
          <w:rFonts w:hint="eastAsia" w:ascii="仿宋" w:hAnsi="仿宋" w:eastAsia="仿宋" w:cs="仿宋"/>
          <w:b w:val="0"/>
          <w:bCs w:val="0"/>
          <w:color w:val="auto"/>
          <w:sz w:val="30"/>
          <w:szCs w:val="30"/>
          <w:highlight w:val="none"/>
          <w:lang w:val="en-US" w:eastAsia="zh-CN" w:bidi="ar-SA"/>
        </w:rPr>
        <w:t>履职</w:t>
      </w:r>
      <w:r>
        <w:rPr>
          <w:rFonts w:hint="eastAsia" w:ascii="仿宋" w:hAnsi="仿宋" w:eastAsia="仿宋" w:cs="仿宋"/>
          <w:b w:val="0"/>
          <w:bCs w:val="0"/>
          <w:color w:val="auto"/>
          <w:sz w:val="30"/>
          <w:szCs w:val="30"/>
          <w:highlight w:val="none"/>
          <w:lang w:eastAsia="zh-CN" w:bidi="ar-SA"/>
        </w:rPr>
        <w:t>培训，</w:t>
      </w:r>
      <w:r>
        <w:rPr>
          <w:rFonts w:hint="eastAsia" w:ascii="仿宋" w:hAnsi="仿宋" w:eastAsia="仿宋" w:cs="仿宋"/>
          <w:b w:val="0"/>
          <w:bCs w:val="0"/>
          <w:color w:val="auto"/>
          <w:sz w:val="30"/>
          <w:szCs w:val="30"/>
          <w:highlight w:val="none"/>
          <w:lang w:val="en-US" w:eastAsia="zh-CN" w:bidi="ar-SA"/>
        </w:rPr>
        <w:t>有力提升人大干部的</w:t>
      </w:r>
      <w:r>
        <w:rPr>
          <w:rFonts w:hint="eastAsia" w:ascii="仿宋" w:hAnsi="仿宋" w:eastAsia="仿宋" w:cs="仿宋"/>
          <w:b w:val="0"/>
          <w:bCs w:val="0"/>
          <w:color w:val="auto"/>
          <w:sz w:val="30"/>
          <w:szCs w:val="30"/>
          <w:highlight w:val="none"/>
          <w:lang w:eastAsia="zh-CN" w:bidi="ar-SA"/>
        </w:rPr>
        <w:t>政治理论水平和业务能力。</w:t>
      </w:r>
      <w:r>
        <w:rPr>
          <w:rFonts w:hint="eastAsia" w:ascii="仿宋" w:hAnsi="仿宋" w:eastAsia="仿宋" w:cs="仿宋"/>
          <w:b w:val="0"/>
          <w:bCs w:val="0"/>
          <w:i w:val="0"/>
          <w:iCs w:val="0"/>
          <w:caps w:val="0"/>
          <w:color w:val="auto"/>
          <w:spacing w:val="0"/>
          <w:sz w:val="30"/>
          <w:szCs w:val="30"/>
          <w:highlight w:val="none"/>
          <w:shd w:val="clear" w:fill="auto"/>
          <w:lang w:eastAsia="zh-CN" w:bidi="ar-SA"/>
        </w:rPr>
        <w:t>严格落实</w:t>
      </w:r>
      <w:r>
        <w:rPr>
          <w:rFonts w:hint="eastAsia" w:ascii="仿宋" w:hAnsi="仿宋" w:eastAsia="仿宋" w:cs="仿宋"/>
          <w:b w:val="0"/>
          <w:bCs w:val="0"/>
          <w:i w:val="0"/>
          <w:iCs w:val="0"/>
          <w:caps w:val="0"/>
          <w:color w:val="auto"/>
          <w:spacing w:val="0"/>
          <w:sz w:val="30"/>
          <w:szCs w:val="30"/>
          <w:highlight w:val="none"/>
          <w:shd w:val="clear" w:fill="auto"/>
          <w:lang w:bidi="ar-SA"/>
        </w:rPr>
        <w:t>意识形态工作</w:t>
      </w:r>
      <w:r>
        <w:rPr>
          <w:rFonts w:hint="eastAsia" w:ascii="仿宋" w:hAnsi="仿宋" w:eastAsia="仿宋" w:cs="仿宋"/>
          <w:b w:val="0"/>
          <w:bCs w:val="0"/>
          <w:i w:val="0"/>
          <w:iCs w:val="0"/>
          <w:caps w:val="0"/>
          <w:color w:val="auto"/>
          <w:spacing w:val="0"/>
          <w:sz w:val="30"/>
          <w:szCs w:val="30"/>
          <w:highlight w:val="none"/>
          <w:shd w:val="clear" w:fill="auto"/>
          <w:lang w:eastAsia="zh-CN" w:bidi="ar-SA"/>
        </w:rPr>
        <w:t>责任制，管好用好宣传阵地，</w:t>
      </w:r>
      <w:r>
        <w:rPr>
          <w:rFonts w:hint="eastAsia" w:ascii="仿宋" w:hAnsi="仿宋" w:eastAsia="仿宋" w:cs="仿宋"/>
          <w:b w:val="0"/>
          <w:bCs w:val="0"/>
          <w:color w:val="auto"/>
          <w:spacing w:val="0"/>
          <w:sz w:val="30"/>
          <w:szCs w:val="30"/>
          <w:highlight w:val="none"/>
          <w:lang w:eastAsia="zh-CN" w:bidi="ar-SA"/>
        </w:rPr>
        <w:t>制作了人大代表之歌</w:t>
      </w:r>
      <w:r>
        <w:rPr>
          <w:rFonts w:hint="eastAsia" w:ascii="仿宋" w:hAnsi="仿宋" w:eastAsia="仿宋" w:cs="仿宋"/>
          <w:b w:val="0"/>
          <w:bCs w:val="0"/>
          <w:color w:val="auto"/>
          <w:spacing w:val="0"/>
          <w:sz w:val="30"/>
          <w:szCs w:val="30"/>
          <w:highlight w:val="none"/>
          <w:lang w:bidi="ar-SA"/>
        </w:rPr>
        <w:t>MV</w:t>
      </w:r>
      <w:r>
        <w:rPr>
          <w:rFonts w:hint="eastAsia" w:ascii="仿宋" w:hAnsi="仿宋" w:eastAsia="仿宋" w:cs="仿宋"/>
          <w:b w:val="0"/>
          <w:bCs w:val="0"/>
          <w:color w:val="auto"/>
          <w:spacing w:val="0"/>
          <w:sz w:val="30"/>
          <w:szCs w:val="30"/>
          <w:highlight w:val="none"/>
          <w:lang w:eastAsia="zh-CN" w:bidi="ar-SA"/>
        </w:rPr>
        <w:t>，</w:t>
      </w:r>
      <w:r>
        <w:rPr>
          <w:rFonts w:hint="eastAsia" w:ascii="仿宋" w:hAnsi="仿宋" w:eastAsia="仿宋" w:cs="仿宋"/>
          <w:b w:val="0"/>
          <w:bCs w:val="0"/>
          <w:color w:val="auto"/>
          <w:spacing w:val="0"/>
          <w:kern w:val="2"/>
          <w:sz w:val="30"/>
          <w:szCs w:val="30"/>
          <w:highlight w:val="none"/>
          <w:lang w:val="en-US" w:eastAsia="zh-CN" w:bidi="ar-SA"/>
        </w:rPr>
        <w:t>宣传人大代表事迹16人次，30余篇稿件在省市媒体发表，</w:t>
      </w:r>
      <w:r>
        <w:rPr>
          <w:rFonts w:hint="eastAsia" w:ascii="仿宋" w:hAnsi="仿宋" w:eastAsia="仿宋" w:cs="仿宋"/>
          <w:b w:val="0"/>
          <w:bCs w:val="0"/>
          <w:color w:val="auto"/>
          <w:spacing w:val="0"/>
          <w:sz w:val="30"/>
          <w:szCs w:val="30"/>
          <w:highlight w:val="none"/>
          <w:lang w:eastAsia="zh-CN" w:bidi="ar-SA"/>
        </w:rPr>
        <w:t>被省人大常委会办公厅评为宣传民主法治建设工作先进单位。</w:t>
      </w:r>
      <w:r>
        <w:rPr>
          <w:rFonts w:hint="eastAsia" w:ascii="仿宋" w:hAnsi="仿宋" w:eastAsia="仿宋" w:cs="仿宋"/>
          <w:b w:val="0"/>
          <w:bCs w:val="0"/>
          <w:color w:val="auto"/>
          <w:spacing w:val="0"/>
          <w:kern w:val="2"/>
          <w:sz w:val="30"/>
          <w:szCs w:val="30"/>
          <w:highlight w:val="none"/>
          <w:lang w:val="en-US" w:eastAsia="zh-CN" w:bidi="ar-SA"/>
        </w:rPr>
        <w:t>受理群众来信来访</w:t>
      </w:r>
      <w:r>
        <w:rPr>
          <w:rFonts w:hint="eastAsia" w:ascii="仿宋" w:hAnsi="仿宋" w:eastAsia="仿宋" w:cs="仿宋"/>
          <w:b w:val="0"/>
          <w:bCs w:val="0"/>
          <w:i w:val="0"/>
          <w:iCs w:val="0"/>
          <w:caps w:val="0"/>
          <w:color w:val="auto"/>
          <w:spacing w:val="0"/>
          <w:sz w:val="30"/>
          <w:szCs w:val="30"/>
          <w:highlight w:val="none"/>
          <w:lang w:eastAsia="zh-CN" w:bidi="ar-SA"/>
        </w:rPr>
        <w:t>1</w:t>
      </w:r>
      <w:r>
        <w:rPr>
          <w:rFonts w:hint="eastAsia" w:ascii="仿宋" w:hAnsi="仿宋" w:eastAsia="仿宋" w:cs="仿宋"/>
          <w:b w:val="0"/>
          <w:bCs w:val="0"/>
          <w:i w:val="0"/>
          <w:iCs w:val="0"/>
          <w:caps w:val="0"/>
          <w:color w:val="auto"/>
          <w:spacing w:val="0"/>
          <w:sz w:val="30"/>
          <w:szCs w:val="30"/>
          <w:highlight w:val="none"/>
          <w:lang w:val="en-US" w:eastAsia="zh-CN" w:bidi="ar-SA"/>
        </w:rPr>
        <w:t>4</w:t>
      </w:r>
      <w:r>
        <w:rPr>
          <w:rFonts w:hint="eastAsia" w:ascii="仿宋" w:hAnsi="仿宋" w:eastAsia="仿宋" w:cs="仿宋"/>
          <w:b w:val="0"/>
          <w:bCs w:val="0"/>
          <w:i w:val="0"/>
          <w:iCs w:val="0"/>
          <w:caps w:val="0"/>
          <w:color w:val="auto"/>
          <w:spacing w:val="0"/>
          <w:sz w:val="30"/>
          <w:szCs w:val="30"/>
          <w:highlight w:val="none"/>
          <w:lang w:eastAsia="zh-CN" w:bidi="ar-SA"/>
        </w:rPr>
        <w:t>件、1</w:t>
      </w:r>
      <w:r>
        <w:rPr>
          <w:rFonts w:hint="eastAsia" w:ascii="仿宋" w:hAnsi="仿宋" w:eastAsia="仿宋" w:cs="仿宋"/>
          <w:b w:val="0"/>
          <w:bCs w:val="0"/>
          <w:i w:val="0"/>
          <w:iCs w:val="0"/>
          <w:caps w:val="0"/>
          <w:color w:val="auto"/>
          <w:spacing w:val="0"/>
          <w:sz w:val="30"/>
          <w:szCs w:val="30"/>
          <w:highlight w:val="none"/>
          <w:lang w:val="en-US" w:eastAsia="zh-CN" w:bidi="ar-SA"/>
        </w:rPr>
        <w:t>8</w:t>
      </w:r>
      <w:r>
        <w:rPr>
          <w:rFonts w:hint="eastAsia" w:ascii="仿宋" w:hAnsi="仿宋" w:eastAsia="仿宋" w:cs="仿宋"/>
          <w:b w:val="0"/>
          <w:bCs w:val="0"/>
          <w:i w:val="0"/>
          <w:iCs w:val="0"/>
          <w:caps w:val="0"/>
          <w:color w:val="auto"/>
          <w:spacing w:val="0"/>
          <w:sz w:val="30"/>
          <w:szCs w:val="30"/>
          <w:highlight w:val="none"/>
          <w:lang w:eastAsia="zh-CN" w:bidi="ar-SA"/>
        </w:rPr>
        <w:t>人次，推动依法及时解决群众合理诉求</w:t>
      </w:r>
      <w:r>
        <w:rPr>
          <w:rFonts w:hint="eastAsia" w:ascii="仿宋" w:hAnsi="仿宋" w:eastAsia="仿宋" w:cs="仿宋"/>
          <w:b w:val="0"/>
          <w:bCs w:val="0"/>
          <w:i w:val="0"/>
          <w:iCs w:val="0"/>
          <w:caps w:val="0"/>
          <w:color w:val="auto"/>
          <w:spacing w:val="0"/>
          <w:sz w:val="30"/>
          <w:szCs w:val="30"/>
          <w:highlight w:val="none"/>
          <w:lang w:val="en-US" w:eastAsia="zh-CN" w:bidi="ar-SA"/>
        </w:rPr>
        <w:t>。</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rPr>
          <w:rFonts w:hint="eastAsia" w:ascii="仿宋" w:hAnsi="仿宋" w:eastAsia="仿宋" w:cs="仿宋"/>
          <w:b w:val="0"/>
          <w:bCs w:val="0"/>
          <w:color w:val="auto"/>
          <w:kern w:val="2"/>
          <w:sz w:val="30"/>
          <w:szCs w:val="30"/>
          <w:highlight w:val="none"/>
          <w:lang w:eastAsia="zh-CN" w:bidi="ar-SA"/>
        </w:rPr>
      </w:pPr>
      <w:r>
        <w:rPr>
          <w:rFonts w:hint="eastAsia" w:ascii="华文楷体" w:hAnsi="华文楷体" w:eastAsia="华文楷体" w:cs="华文楷体"/>
          <w:b w:val="0"/>
          <w:bCs w:val="0"/>
          <w:color w:val="auto"/>
          <w:spacing w:val="0"/>
          <w:kern w:val="2"/>
          <w:sz w:val="32"/>
          <w:szCs w:val="32"/>
          <w:highlight w:val="none"/>
          <w:lang w:val="en-US" w:eastAsia="zh-CN" w:bidi="ar-SA"/>
        </w:rPr>
        <w:t>纪律作风整顿深入开展。</w:t>
      </w:r>
      <w:r>
        <w:rPr>
          <w:rFonts w:hint="eastAsia" w:ascii="仿宋" w:hAnsi="仿宋" w:eastAsia="仿宋" w:cs="仿宋"/>
          <w:b w:val="0"/>
          <w:bCs w:val="0"/>
          <w:color w:val="auto"/>
          <w:spacing w:val="0"/>
          <w:kern w:val="2"/>
          <w:sz w:val="30"/>
          <w:szCs w:val="30"/>
          <w:highlight w:val="none"/>
          <w:lang w:val="en-US" w:eastAsia="zh-CN" w:bidi="ar-SA"/>
        </w:rPr>
        <w:t>坚持高标准、严要求，扎实开展</w:t>
      </w:r>
      <w:r>
        <w:rPr>
          <w:rFonts w:hint="eastAsia" w:ascii="仿宋" w:hAnsi="仿宋" w:eastAsia="仿宋" w:cs="仿宋"/>
          <w:b w:val="0"/>
          <w:bCs w:val="0"/>
          <w:color w:val="auto"/>
          <w:spacing w:val="0"/>
          <w:kern w:val="2"/>
          <w:sz w:val="30"/>
          <w:szCs w:val="30"/>
          <w:highlight w:val="none"/>
          <w:shd w:val="clear" w:fill="auto"/>
          <w:lang w:val="en-US" w:eastAsia="zh-CN" w:bidi="ar-SA"/>
        </w:rPr>
        <w:t>纪律作风整顿，</w:t>
      </w:r>
      <w:r>
        <w:rPr>
          <w:rFonts w:hint="eastAsia" w:ascii="仿宋" w:hAnsi="仿宋" w:eastAsia="仿宋" w:cs="仿宋"/>
          <w:b w:val="0"/>
          <w:bCs w:val="0"/>
          <w:color w:val="auto"/>
          <w:spacing w:val="0"/>
          <w:sz w:val="30"/>
          <w:szCs w:val="30"/>
          <w:highlight w:val="none"/>
          <w:shd w:val="clear" w:fill="auto"/>
          <w:lang w:eastAsia="zh-CN" w:bidi="ar-SA"/>
        </w:rPr>
        <w:t>聚焦“小进即满”等</w:t>
      </w:r>
      <w:r>
        <w:rPr>
          <w:rFonts w:hint="eastAsia" w:ascii="仿宋" w:hAnsi="仿宋" w:eastAsia="仿宋" w:cs="仿宋"/>
          <w:b w:val="0"/>
          <w:bCs w:val="0"/>
          <w:color w:val="auto"/>
          <w:spacing w:val="0"/>
          <w:sz w:val="30"/>
          <w:szCs w:val="30"/>
          <w:highlight w:val="none"/>
          <w:shd w:val="clear" w:fill="auto"/>
          <w:lang w:val="en-US" w:eastAsia="zh-CN" w:bidi="ar-SA"/>
        </w:rPr>
        <w:t>12方面</w:t>
      </w:r>
      <w:r>
        <w:rPr>
          <w:rFonts w:hint="eastAsia" w:ascii="仿宋" w:hAnsi="仿宋" w:eastAsia="仿宋" w:cs="仿宋"/>
          <w:b w:val="0"/>
          <w:bCs w:val="0"/>
          <w:color w:val="auto"/>
          <w:spacing w:val="0"/>
          <w:sz w:val="30"/>
          <w:szCs w:val="30"/>
          <w:highlight w:val="none"/>
          <w:shd w:val="clear" w:fill="auto"/>
          <w:lang w:bidi="ar-SA"/>
        </w:rPr>
        <w:t>查找问题</w:t>
      </w:r>
      <w:r>
        <w:rPr>
          <w:rFonts w:hint="eastAsia" w:ascii="仿宋" w:hAnsi="仿宋" w:eastAsia="仿宋" w:cs="仿宋"/>
          <w:b w:val="0"/>
          <w:bCs w:val="0"/>
          <w:color w:val="auto"/>
          <w:spacing w:val="0"/>
          <w:sz w:val="30"/>
          <w:szCs w:val="30"/>
          <w:highlight w:val="none"/>
          <w:shd w:val="clear" w:fill="auto"/>
          <w:lang w:val="en-US" w:eastAsia="zh-CN" w:bidi="ar-SA"/>
        </w:rPr>
        <w:t>35</w:t>
      </w:r>
      <w:r>
        <w:rPr>
          <w:rFonts w:hint="eastAsia" w:ascii="仿宋" w:hAnsi="仿宋" w:eastAsia="仿宋" w:cs="仿宋"/>
          <w:b w:val="0"/>
          <w:bCs w:val="0"/>
          <w:color w:val="auto"/>
          <w:spacing w:val="0"/>
          <w:sz w:val="30"/>
          <w:szCs w:val="30"/>
          <w:highlight w:val="none"/>
          <w:shd w:val="clear" w:fill="auto"/>
          <w:lang w:eastAsia="zh-CN" w:bidi="ar-SA"/>
        </w:rPr>
        <w:t>个，列出清单、建立台账，</w:t>
      </w:r>
      <w:r>
        <w:rPr>
          <w:rFonts w:hint="eastAsia" w:ascii="仿宋" w:hAnsi="仿宋" w:eastAsia="仿宋" w:cs="仿宋"/>
          <w:b w:val="0"/>
          <w:bCs w:val="0"/>
          <w:color w:val="auto"/>
          <w:spacing w:val="0"/>
          <w:sz w:val="30"/>
          <w:szCs w:val="30"/>
          <w:highlight w:val="none"/>
          <w:shd w:val="clear" w:fill="auto"/>
          <w:lang w:bidi="ar-SA"/>
        </w:rPr>
        <w:t>制定</w:t>
      </w:r>
      <w:r>
        <w:rPr>
          <w:rFonts w:hint="eastAsia" w:ascii="仿宋" w:hAnsi="仿宋" w:eastAsia="仿宋" w:cs="仿宋"/>
          <w:b w:val="0"/>
          <w:bCs w:val="0"/>
          <w:color w:val="auto"/>
          <w:spacing w:val="0"/>
          <w:sz w:val="30"/>
          <w:szCs w:val="30"/>
          <w:highlight w:val="none"/>
          <w:shd w:val="clear" w:fill="auto"/>
          <w:lang w:val="en-US" w:eastAsia="zh-CN" w:bidi="ar-SA"/>
        </w:rPr>
        <w:t>40个</w:t>
      </w:r>
      <w:r>
        <w:rPr>
          <w:rFonts w:hint="eastAsia" w:ascii="仿宋" w:hAnsi="仿宋" w:eastAsia="仿宋" w:cs="仿宋"/>
          <w:b w:val="0"/>
          <w:bCs w:val="0"/>
          <w:color w:val="auto"/>
          <w:spacing w:val="0"/>
          <w:sz w:val="30"/>
          <w:szCs w:val="30"/>
          <w:highlight w:val="none"/>
          <w:shd w:val="clear" w:fill="auto"/>
          <w:lang w:bidi="ar-SA"/>
        </w:rPr>
        <w:t>整改措施，</w:t>
      </w:r>
      <w:r>
        <w:rPr>
          <w:rFonts w:hint="eastAsia" w:ascii="仿宋" w:hAnsi="仿宋" w:eastAsia="仿宋" w:cs="仿宋"/>
          <w:b w:val="0"/>
          <w:bCs w:val="0"/>
          <w:color w:val="auto"/>
          <w:spacing w:val="0"/>
          <w:sz w:val="30"/>
          <w:szCs w:val="30"/>
          <w:highlight w:val="none"/>
          <w:shd w:val="clear" w:fill="auto"/>
          <w:lang w:eastAsia="zh-CN" w:bidi="ar-SA"/>
        </w:rPr>
        <w:t>逐项整改落实</w:t>
      </w:r>
      <w:r>
        <w:rPr>
          <w:rFonts w:hint="eastAsia" w:ascii="仿宋" w:hAnsi="仿宋" w:eastAsia="仿宋" w:cs="仿宋"/>
          <w:b w:val="0"/>
          <w:bCs w:val="0"/>
          <w:color w:val="auto"/>
          <w:spacing w:val="0"/>
          <w:sz w:val="30"/>
          <w:szCs w:val="30"/>
          <w:highlight w:val="none"/>
          <w:shd w:val="clear" w:fill="auto"/>
          <w:lang w:bidi="ar-SA"/>
        </w:rPr>
        <w:t>，推动作风转变、</w:t>
      </w:r>
      <w:r>
        <w:rPr>
          <w:rFonts w:hint="eastAsia" w:ascii="仿宋" w:hAnsi="仿宋" w:eastAsia="仿宋" w:cs="仿宋"/>
          <w:b w:val="0"/>
          <w:bCs w:val="0"/>
          <w:color w:val="auto"/>
          <w:spacing w:val="0"/>
          <w:sz w:val="30"/>
          <w:szCs w:val="30"/>
          <w:highlight w:val="none"/>
          <w:shd w:val="clear" w:fill="auto"/>
          <w:lang w:eastAsia="zh-CN" w:bidi="ar-SA"/>
        </w:rPr>
        <w:t>工作质效</w:t>
      </w:r>
      <w:r>
        <w:rPr>
          <w:rFonts w:hint="eastAsia" w:ascii="仿宋" w:hAnsi="仿宋" w:eastAsia="仿宋" w:cs="仿宋"/>
          <w:b w:val="0"/>
          <w:bCs w:val="0"/>
          <w:color w:val="auto"/>
          <w:spacing w:val="0"/>
          <w:sz w:val="30"/>
          <w:szCs w:val="30"/>
          <w:highlight w:val="none"/>
          <w:shd w:val="clear" w:fill="auto"/>
          <w:lang w:bidi="ar-SA"/>
        </w:rPr>
        <w:t>提升。</w:t>
      </w:r>
      <w:r>
        <w:rPr>
          <w:rFonts w:hint="eastAsia" w:ascii="仿宋" w:hAnsi="仿宋" w:eastAsia="仿宋" w:cs="仿宋"/>
          <w:b w:val="0"/>
          <w:bCs w:val="0"/>
          <w:color w:val="auto"/>
          <w:spacing w:val="0"/>
          <w:sz w:val="30"/>
          <w:szCs w:val="30"/>
          <w:highlight w:val="none"/>
          <w:shd w:val="clear" w:fill="auto"/>
          <w:lang w:eastAsia="zh-CN" w:bidi="ar-SA"/>
        </w:rPr>
        <w:t>以</w:t>
      </w:r>
      <w:r>
        <w:rPr>
          <w:rFonts w:hint="eastAsia" w:ascii="仿宋" w:hAnsi="仿宋" w:eastAsia="仿宋" w:cs="仿宋"/>
          <w:b w:val="0"/>
          <w:bCs w:val="0"/>
          <w:color w:val="auto"/>
          <w:kern w:val="2"/>
          <w:sz w:val="30"/>
          <w:szCs w:val="30"/>
          <w:highlight w:val="none"/>
          <w:lang w:eastAsia="zh-CN" w:bidi="ar-SA"/>
        </w:rPr>
        <w:t>开展</w:t>
      </w:r>
      <w:r>
        <w:rPr>
          <w:rFonts w:hint="eastAsia" w:ascii="仿宋" w:hAnsi="仿宋" w:eastAsia="仿宋" w:cs="仿宋"/>
          <w:b w:val="0"/>
          <w:bCs w:val="0"/>
          <w:color w:val="auto"/>
          <w:kern w:val="2"/>
          <w:sz w:val="30"/>
          <w:szCs w:val="30"/>
          <w:highlight w:val="none"/>
          <w:lang w:bidi="ar-SA"/>
        </w:rPr>
        <w:t>省委第三巡视</w:t>
      </w:r>
      <w:r>
        <w:rPr>
          <w:rFonts w:hint="eastAsia" w:ascii="仿宋" w:hAnsi="仿宋" w:eastAsia="仿宋" w:cs="仿宋"/>
          <w:b w:val="0"/>
          <w:bCs w:val="0"/>
          <w:color w:val="auto"/>
          <w:kern w:val="2"/>
          <w:sz w:val="30"/>
          <w:szCs w:val="30"/>
          <w:highlight w:val="none"/>
          <w:lang w:eastAsia="zh-CN" w:bidi="ar-SA"/>
        </w:rPr>
        <w:t>组巡视反馈</w:t>
      </w:r>
      <w:r>
        <w:rPr>
          <w:rFonts w:hint="eastAsia" w:ascii="仿宋" w:hAnsi="仿宋" w:eastAsia="仿宋" w:cs="仿宋"/>
          <w:b w:val="0"/>
          <w:bCs w:val="0"/>
          <w:color w:val="auto"/>
          <w:kern w:val="2"/>
          <w:sz w:val="30"/>
          <w:szCs w:val="30"/>
          <w:highlight w:val="none"/>
          <w:lang w:val="en-US" w:eastAsia="zh-CN" w:bidi="ar-SA"/>
        </w:rPr>
        <w:t>问题</w:t>
      </w:r>
      <w:r>
        <w:rPr>
          <w:rFonts w:hint="eastAsia" w:ascii="仿宋" w:hAnsi="仿宋" w:eastAsia="仿宋" w:cs="仿宋"/>
          <w:b w:val="0"/>
          <w:bCs w:val="0"/>
          <w:color w:val="auto"/>
          <w:kern w:val="2"/>
          <w:sz w:val="30"/>
          <w:szCs w:val="30"/>
          <w:highlight w:val="none"/>
          <w:lang w:bidi="ar-SA"/>
        </w:rPr>
        <w:t>整改</w:t>
      </w:r>
      <w:r>
        <w:rPr>
          <w:rFonts w:hint="eastAsia" w:ascii="仿宋" w:hAnsi="仿宋" w:eastAsia="仿宋" w:cs="仿宋"/>
          <w:b w:val="0"/>
          <w:bCs w:val="0"/>
          <w:color w:val="auto"/>
          <w:kern w:val="2"/>
          <w:sz w:val="30"/>
          <w:szCs w:val="30"/>
          <w:highlight w:val="none"/>
          <w:lang w:eastAsia="zh-CN" w:bidi="ar-SA"/>
        </w:rPr>
        <w:t>落实</w:t>
      </w:r>
      <w:r>
        <w:rPr>
          <w:rFonts w:hint="eastAsia" w:ascii="仿宋" w:hAnsi="仿宋" w:eastAsia="仿宋" w:cs="仿宋"/>
          <w:b w:val="0"/>
          <w:bCs w:val="0"/>
          <w:color w:val="auto"/>
          <w:kern w:val="2"/>
          <w:sz w:val="30"/>
          <w:szCs w:val="30"/>
          <w:highlight w:val="none"/>
          <w:lang w:bidi="ar-SA"/>
        </w:rPr>
        <w:t>情况</w:t>
      </w:r>
      <w:r>
        <w:rPr>
          <w:rFonts w:hint="eastAsia" w:ascii="仿宋" w:hAnsi="仿宋" w:eastAsia="仿宋" w:cs="仿宋"/>
          <w:b w:val="0"/>
          <w:bCs w:val="0"/>
          <w:color w:val="auto"/>
          <w:kern w:val="2"/>
          <w:sz w:val="30"/>
          <w:szCs w:val="30"/>
          <w:highlight w:val="none"/>
          <w:lang w:eastAsia="zh-CN" w:bidi="ar-SA"/>
        </w:rPr>
        <w:t>“回头看”为契机，清理、</w:t>
      </w:r>
      <w:r>
        <w:rPr>
          <w:rFonts w:hint="eastAsia" w:ascii="仿宋" w:hAnsi="仿宋" w:eastAsia="仿宋" w:cs="仿宋"/>
          <w:b w:val="0"/>
          <w:bCs w:val="0"/>
          <w:color w:val="auto"/>
          <w:kern w:val="2"/>
          <w:sz w:val="30"/>
          <w:szCs w:val="30"/>
          <w:highlight w:val="none"/>
          <w:lang w:bidi="ar-SA"/>
        </w:rPr>
        <w:t>修订常委会</w:t>
      </w:r>
      <w:r>
        <w:rPr>
          <w:rFonts w:hint="eastAsia" w:ascii="仿宋" w:hAnsi="仿宋" w:eastAsia="仿宋" w:cs="仿宋"/>
          <w:b w:val="0"/>
          <w:bCs w:val="0"/>
          <w:color w:val="auto"/>
          <w:kern w:val="2"/>
          <w:sz w:val="30"/>
          <w:szCs w:val="30"/>
          <w:highlight w:val="none"/>
          <w:lang w:eastAsia="zh-CN" w:bidi="ar-SA"/>
        </w:rPr>
        <w:t>相关工作制度和</w:t>
      </w:r>
      <w:r>
        <w:rPr>
          <w:rFonts w:hint="eastAsia" w:ascii="仿宋" w:hAnsi="仿宋" w:eastAsia="仿宋" w:cs="仿宋"/>
          <w:b w:val="0"/>
          <w:bCs w:val="0"/>
          <w:color w:val="auto"/>
          <w:kern w:val="2"/>
          <w:sz w:val="30"/>
          <w:szCs w:val="30"/>
          <w:highlight w:val="none"/>
          <w:lang w:bidi="ar-SA"/>
        </w:rPr>
        <w:t>机关管理制度</w:t>
      </w:r>
      <w:r>
        <w:rPr>
          <w:rFonts w:hint="eastAsia" w:ascii="仿宋" w:hAnsi="仿宋" w:eastAsia="仿宋" w:cs="仿宋"/>
          <w:b w:val="0"/>
          <w:bCs w:val="0"/>
          <w:color w:val="auto"/>
          <w:kern w:val="2"/>
          <w:sz w:val="30"/>
          <w:szCs w:val="30"/>
          <w:highlight w:val="none"/>
          <w:lang w:eastAsia="zh-CN" w:bidi="ar-SA"/>
        </w:rPr>
        <w:t>。深入开展党风廉政建设，坚决落实</w:t>
      </w:r>
      <w:bookmarkStart w:id="67" w:name="_GoBack"/>
      <w:bookmarkEnd w:id="67"/>
      <w:r>
        <w:rPr>
          <w:rFonts w:hint="eastAsia" w:ascii="仿宋" w:hAnsi="仿宋" w:eastAsia="仿宋" w:cs="仿宋"/>
          <w:b w:val="0"/>
          <w:bCs w:val="0"/>
          <w:color w:val="auto"/>
          <w:kern w:val="2"/>
          <w:sz w:val="30"/>
          <w:szCs w:val="30"/>
          <w:highlight w:val="none"/>
          <w:lang w:eastAsia="zh-CN" w:bidi="ar-SA"/>
        </w:rPr>
        <w:t>中央八项规等精神，</w:t>
      </w:r>
      <w:r>
        <w:rPr>
          <w:rFonts w:hint="eastAsia" w:ascii="仿宋" w:hAnsi="仿宋" w:eastAsia="仿宋" w:cs="仿宋"/>
          <w:b w:val="0"/>
          <w:bCs w:val="0"/>
          <w:color w:val="auto"/>
          <w:sz w:val="30"/>
          <w:szCs w:val="30"/>
          <w:highlight w:val="none"/>
          <w:lang w:eastAsia="zh-CN" w:bidi="ar-SA"/>
        </w:rPr>
        <w:t>持续深化“以案促改”工作，支持派驻纪检监察组履行职责。</w:t>
      </w:r>
      <w:r>
        <w:rPr>
          <w:rFonts w:hint="eastAsia" w:ascii="仿宋" w:hAnsi="仿宋" w:eastAsia="仿宋" w:cs="仿宋"/>
          <w:b w:val="0"/>
          <w:bCs w:val="0"/>
          <w:color w:val="auto"/>
          <w:kern w:val="2"/>
          <w:sz w:val="30"/>
          <w:szCs w:val="30"/>
          <w:highlight w:val="none"/>
          <w:lang w:eastAsia="zh-CN" w:bidi="ar-SA"/>
        </w:rPr>
        <w:t>增强人大专委会与常委会委室沟通联动，着力推动工作更加制度化、规范化、标准化。</w:t>
      </w:r>
    </w:p>
    <w:p>
      <w:pPr>
        <w:widowControl/>
        <w:ind w:firstLine="640" w:firstLineChars="200"/>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keepNext w:val="0"/>
        <w:keepLines w:val="0"/>
        <w:pageBreakBefore w:val="0"/>
        <w:widowControl w:val="0"/>
        <w:tabs>
          <w:tab w:val="left" w:pos="8620"/>
          <w:tab w:val="left" w:pos="8820"/>
        </w:tabs>
        <w:kinsoku/>
        <w:wordWrap/>
        <w:overflowPunct/>
        <w:topLinePunct w:val="0"/>
        <w:autoSpaceDE/>
        <w:autoSpaceDN/>
        <w:bidi w:val="0"/>
        <w:adjustRightInd/>
        <w:snapToGrid/>
        <w:spacing w:before="0" w:after="0" w:line="576" w:lineRule="exact"/>
        <w:ind w:right="0"/>
        <w:jc w:val="center"/>
        <w:textAlignment w:val="auto"/>
        <w:rPr>
          <w:rStyle w:val="29"/>
          <w:rFonts w:ascii="黑体" w:hAnsi="黑体" w:eastAsia="黑体"/>
          <w:b w:val="0"/>
          <w:bCs/>
          <w:color w:val="auto"/>
          <w:highlight w:val="none"/>
        </w:rPr>
      </w:pPr>
      <w:bookmarkStart w:id="16" w:name="_Toc15396602"/>
      <w:bookmarkStart w:id="17"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bookmarkEnd w:id="16"/>
      <w:bookmarkEnd w:id="17"/>
    </w:p>
    <w:p>
      <w:pPr>
        <w:keepNext w:val="0"/>
        <w:keepLines w:val="0"/>
        <w:pageBreakBefore w:val="0"/>
        <w:widowControl w:val="0"/>
        <w:kinsoku/>
        <w:wordWrap/>
        <w:overflowPunct/>
        <w:topLinePunct w:val="0"/>
        <w:autoSpaceDE/>
        <w:autoSpaceDN/>
        <w:bidi w:val="0"/>
        <w:adjustRightInd/>
        <w:snapToGrid/>
        <w:spacing w:line="576" w:lineRule="exact"/>
        <w:textAlignment w:val="auto"/>
        <w:rPr>
          <w:color w:val="auto"/>
          <w:highlight w:val="none"/>
        </w:rPr>
      </w:pPr>
    </w:p>
    <w:p>
      <w:pPr>
        <w:pStyle w:val="28"/>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Chars="0"/>
        <w:textAlignment w:val="auto"/>
        <w:outlineLvl w:val="1"/>
        <w:rPr>
          <w:rStyle w:val="30"/>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18"/>
      <w:bookmarkEnd w:id="1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904.52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81.79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换届人员调整导致。</w:t>
      </w:r>
    </w:p>
    <w:p>
      <w:pPr>
        <w:pStyle w:val="16"/>
        <w:rPr>
          <w:rFonts w:hint="eastAsia"/>
          <w:lang w:val="en-US" w:eastAsia="zh-CN"/>
        </w:rPr>
      </w:pPr>
      <w:r>
        <w:rPr>
          <w:rFonts w:hint="eastAsia"/>
          <w:lang w:val="en-US" w:eastAsia="zh-CN"/>
        </w:rPr>
        <w:drawing>
          <wp:inline distT="0" distB="0" distL="114300" distR="114300">
            <wp:extent cx="4451985" cy="3338830"/>
            <wp:effectExtent l="4445" t="5080" r="20320" b="889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0"/>
      <w:bookmarkEnd w:id="21"/>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904.52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904.52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pStyle w:val="16"/>
        <w:rPr>
          <w:rFonts w:hint="eastAsia" w:eastAsia="黑体"/>
          <w:lang w:eastAsia="zh-CN"/>
        </w:rPr>
      </w:pPr>
      <w:r>
        <w:rPr>
          <w:rFonts w:hint="eastAsia" w:eastAsia="黑体"/>
          <w:lang w:eastAsia="zh-CN"/>
        </w:rPr>
        <w:drawing>
          <wp:inline distT="0" distB="0" distL="114300" distR="114300">
            <wp:extent cx="4017010" cy="3013075"/>
            <wp:effectExtent l="4445" t="4445" r="17145"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904.52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760.12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144.4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pStyle w:val="16"/>
        <w:rPr>
          <w:rFonts w:hint="eastAsia" w:eastAsia="仿宋"/>
          <w:lang w:eastAsia="zh-CN"/>
        </w:rPr>
      </w:pPr>
      <w:r>
        <w:rPr>
          <w:rFonts w:hint="eastAsia" w:eastAsia="仿宋"/>
          <w:lang w:eastAsia="zh-CN"/>
        </w:rPr>
        <w:drawing>
          <wp:inline distT="0" distB="0" distL="114300" distR="114300">
            <wp:extent cx="3785235" cy="2839085"/>
            <wp:effectExtent l="5080" t="4445" r="19685"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1"/>
        <w:rPr>
          <w:rStyle w:val="30"/>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24"/>
      <w:bookmarkEnd w:id="25"/>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904.52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81.79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换届人员调整导致。</w:t>
      </w:r>
    </w:p>
    <w:p>
      <w:pPr>
        <w:pStyle w:val="16"/>
      </w:pPr>
      <w:r>
        <w:drawing>
          <wp:inline distT="0" distB="0" distL="114300" distR="114300">
            <wp:extent cx="4229100" cy="3171825"/>
            <wp:effectExtent l="4445" t="4445" r="14605" b="508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0"/>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26"/>
      <w:bookmarkEnd w:id="27"/>
    </w:p>
    <w:p>
      <w:pPr>
        <w:spacing w:line="600" w:lineRule="exact"/>
        <w:ind w:firstLine="643"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904.52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81.79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换届人员调整导致。</w:t>
      </w:r>
    </w:p>
    <w:p>
      <w:pPr>
        <w:pStyle w:val="16"/>
      </w:pPr>
      <w:r>
        <w:drawing>
          <wp:inline distT="0" distB="0" distL="114300" distR="114300">
            <wp:extent cx="4008120" cy="2734310"/>
            <wp:effectExtent l="4445" t="4445" r="6985" b="234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904.52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780.35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教育支出（类）</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b/>
          <w:color w:val="auto"/>
          <w:sz w:val="32"/>
          <w:szCs w:val="32"/>
          <w:highlight w:val="none"/>
        </w:rPr>
        <w:t>科学技术（类）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b/>
          <w:bCs/>
          <w:color w:val="auto"/>
          <w:sz w:val="32"/>
          <w:szCs w:val="32"/>
          <w:highlight w:val="none"/>
        </w:rPr>
        <w:t>文化旅游体育与传媒（类）支出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49.92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color w:val="auto"/>
          <w:sz w:val="32"/>
          <w:szCs w:val="32"/>
          <w:highlight w:val="none"/>
        </w:rPr>
        <w:t>（类）</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26.61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；住房保障</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47.64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16"/>
        <w:rPr>
          <w:rFonts w:hint="eastAsia" w:eastAsia="仿宋"/>
          <w:lang w:eastAsia="zh-CN"/>
        </w:rPr>
      </w:pPr>
      <w:r>
        <w:rPr>
          <w:rFonts w:hint="eastAsia" w:eastAsia="仿宋"/>
          <w:lang w:eastAsia="zh-CN"/>
        </w:rPr>
        <w:drawing>
          <wp:anchor distT="0" distB="0" distL="114300" distR="114300" simplePos="0" relativeHeight="251659264" behindDoc="1" locked="0" layoutInCell="1" allowOverlap="1">
            <wp:simplePos x="0" y="0"/>
            <wp:positionH relativeFrom="column">
              <wp:posOffset>585470</wp:posOffset>
            </wp:positionH>
            <wp:positionV relativeFrom="paragraph">
              <wp:posOffset>133985</wp:posOffset>
            </wp:positionV>
            <wp:extent cx="3804285" cy="2579370"/>
            <wp:effectExtent l="4445" t="5080" r="20320" b="63500"/>
            <wp:wrapTight wrapText="bothSides">
              <wp:wrapPolygon>
                <wp:start x="-25" y="-43"/>
                <wp:lineTo x="-25" y="21494"/>
                <wp:lineTo x="21499" y="21494"/>
                <wp:lineTo x="21499" y="-43"/>
                <wp:lineTo x="-25" y="-43"/>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rPr>
          <w:rFonts w:hint="eastAsia"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br w:type="page"/>
      </w: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30"/>
    </w:p>
    <w:p>
      <w:pPr>
        <w:spacing w:line="600" w:lineRule="exact"/>
        <w:ind w:firstLine="643" w:firstLineChars="200"/>
        <w:outlineLvl w:val="2"/>
        <w:rPr>
          <w:rFonts w:ascii="仿宋" w:hAnsi="仿宋" w:eastAsia="仿宋"/>
          <w:color w:val="auto"/>
          <w:sz w:val="32"/>
          <w:szCs w:val="32"/>
          <w:highlight w:val="none"/>
        </w:rPr>
      </w:pPr>
      <w:bookmarkStart w:id="31" w:name="_Toc15377213"/>
      <w:bookmarkStart w:id="32" w:name="_Toc15378460"/>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904.52</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31"/>
      <w:bookmarkEnd w:id="32"/>
      <w:bookmarkEnd w:id="33"/>
    </w:p>
    <w:p>
      <w:pPr>
        <w:spacing w:line="600" w:lineRule="exact"/>
        <w:ind w:firstLine="643" w:firstLineChars="200"/>
        <w:rPr>
          <w:rFonts w:ascii="仿宋" w:hAnsi="仿宋" w:eastAsia="仿宋"/>
          <w:b/>
          <w:color w:val="000000"/>
          <w:sz w:val="32"/>
          <w:szCs w:val="32"/>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000000"/>
          <w:sz w:val="32"/>
          <w:szCs w:val="32"/>
          <w:lang w:eastAsia="zh-CN"/>
        </w:rPr>
        <w:t>人大事务</w:t>
      </w:r>
      <w:r>
        <w:rPr>
          <w:rStyle w:val="19"/>
          <w:rFonts w:hint="eastAsia" w:ascii="仿宋" w:hAnsi="仿宋" w:eastAsia="仿宋"/>
          <w:bCs/>
          <w:color w:val="000000"/>
          <w:sz w:val="32"/>
          <w:szCs w:val="32"/>
        </w:rPr>
        <w:t>（款）</w:t>
      </w:r>
      <w:r>
        <w:rPr>
          <w:rStyle w:val="19"/>
          <w:rFonts w:hint="eastAsia" w:ascii="仿宋" w:hAnsi="仿宋" w:eastAsia="仿宋"/>
          <w:bCs/>
          <w:color w:val="000000"/>
          <w:sz w:val="32"/>
          <w:szCs w:val="32"/>
          <w:lang w:eastAsia="zh-CN"/>
        </w:rPr>
        <w:t>行政运行</w:t>
      </w:r>
      <w:r>
        <w:rPr>
          <w:rStyle w:val="19"/>
          <w:rFonts w:hint="eastAsia" w:ascii="仿宋" w:hAnsi="仿宋" w:eastAsia="仿宋"/>
          <w:bCs/>
          <w:color w:val="000000"/>
          <w:sz w:val="32"/>
          <w:szCs w:val="32"/>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624.4</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auto"/>
          <w:sz w:val="32"/>
          <w:szCs w:val="32"/>
          <w:highlight w:val="none"/>
          <w:lang w:val="en-US" w:eastAsia="zh-CN"/>
        </w:rPr>
        <w:t>2</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000000"/>
          <w:sz w:val="32"/>
          <w:szCs w:val="32"/>
          <w:lang w:eastAsia="zh-CN"/>
        </w:rPr>
        <w:t>人大事务</w:t>
      </w:r>
      <w:r>
        <w:rPr>
          <w:rStyle w:val="19"/>
          <w:rFonts w:hint="eastAsia" w:ascii="仿宋" w:hAnsi="仿宋" w:eastAsia="仿宋"/>
          <w:bCs/>
          <w:color w:val="000000"/>
          <w:sz w:val="32"/>
          <w:szCs w:val="32"/>
        </w:rPr>
        <w:t>（款）</w:t>
      </w:r>
      <w:r>
        <w:rPr>
          <w:rStyle w:val="19"/>
          <w:rFonts w:hint="eastAsia" w:ascii="仿宋" w:hAnsi="仿宋" w:eastAsia="仿宋"/>
          <w:bCs/>
          <w:color w:val="000000"/>
          <w:sz w:val="32"/>
          <w:szCs w:val="32"/>
          <w:lang w:eastAsia="zh-CN"/>
        </w:rPr>
        <w:t>人大立法</w:t>
      </w:r>
      <w:r>
        <w:rPr>
          <w:rStyle w:val="19"/>
          <w:rFonts w:hint="eastAsia" w:ascii="仿宋" w:hAnsi="仿宋" w:eastAsia="仿宋"/>
          <w:bCs/>
          <w:color w:val="000000"/>
          <w:sz w:val="32"/>
          <w:szCs w:val="32"/>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15</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000000"/>
          <w:sz w:val="32"/>
          <w:szCs w:val="32"/>
          <w:lang w:eastAsia="zh-CN"/>
        </w:rPr>
        <w:t>人大事务</w:t>
      </w:r>
      <w:r>
        <w:rPr>
          <w:rStyle w:val="19"/>
          <w:rFonts w:hint="eastAsia" w:ascii="仿宋" w:hAnsi="仿宋" w:eastAsia="仿宋"/>
          <w:bCs/>
          <w:color w:val="000000"/>
          <w:sz w:val="32"/>
          <w:szCs w:val="32"/>
        </w:rPr>
        <w:t>（款）</w:t>
      </w:r>
      <w:r>
        <w:rPr>
          <w:rStyle w:val="19"/>
          <w:rFonts w:hint="eastAsia" w:ascii="仿宋" w:hAnsi="仿宋" w:eastAsia="仿宋"/>
          <w:bCs/>
          <w:color w:val="000000"/>
          <w:sz w:val="32"/>
          <w:szCs w:val="32"/>
          <w:lang w:eastAsia="zh-CN"/>
        </w:rPr>
        <w:t>人大监督</w:t>
      </w:r>
      <w:r>
        <w:rPr>
          <w:rStyle w:val="19"/>
          <w:rFonts w:hint="eastAsia" w:ascii="仿宋" w:hAnsi="仿宋" w:eastAsia="仿宋"/>
          <w:bCs/>
          <w:color w:val="000000"/>
          <w:sz w:val="32"/>
          <w:szCs w:val="32"/>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53.4</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000000"/>
          <w:sz w:val="32"/>
          <w:szCs w:val="32"/>
          <w:lang w:eastAsia="zh-CN"/>
        </w:rPr>
        <w:t>人大事务</w:t>
      </w:r>
      <w:r>
        <w:rPr>
          <w:rStyle w:val="19"/>
          <w:rFonts w:hint="eastAsia" w:ascii="仿宋" w:hAnsi="仿宋" w:eastAsia="仿宋"/>
          <w:bCs/>
          <w:color w:val="000000"/>
          <w:sz w:val="32"/>
          <w:szCs w:val="32"/>
        </w:rPr>
        <w:t>（款）</w:t>
      </w:r>
      <w:r>
        <w:rPr>
          <w:rStyle w:val="19"/>
          <w:rFonts w:hint="eastAsia" w:ascii="仿宋" w:hAnsi="仿宋" w:eastAsia="仿宋"/>
          <w:bCs/>
          <w:color w:val="000000"/>
          <w:sz w:val="32"/>
          <w:szCs w:val="32"/>
          <w:lang w:eastAsia="zh-CN"/>
        </w:rPr>
        <w:t>人大代表履职能力提升</w:t>
      </w:r>
      <w:r>
        <w:rPr>
          <w:rStyle w:val="19"/>
          <w:rFonts w:hint="eastAsia" w:ascii="仿宋" w:hAnsi="仿宋" w:eastAsia="仿宋"/>
          <w:bCs/>
          <w:color w:val="000000"/>
          <w:sz w:val="32"/>
          <w:szCs w:val="32"/>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39</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000000"/>
          <w:sz w:val="32"/>
          <w:szCs w:val="32"/>
          <w:lang w:eastAsia="zh-CN"/>
        </w:rPr>
        <w:t>人大事务</w:t>
      </w:r>
      <w:r>
        <w:rPr>
          <w:rStyle w:val="19"/>
          <w:rFonts w:hint="eastAsia" w:ascii="仿宋" w:hAnsi="仿宋" w:eastAsia="仿宋"/>
          <w:bCs/>
          <w:color w:val="000000"/>
          <w:sz w:val="32"/>
          <w:szCs w:val="32"/>
        </w:rPr>
        <w:t>（款）</w:t>
      </w:r>
      <w:r>
        <w:rPr>
          <w:rStyle w:val="19"/>
          <w:rFonts w:hint="eastAsia" w:ascii="仿宋" w:hAnsi="仿宋" w:eastAsia="仿宋"/>
          <w:bCs/>
          <w:color w:val="000000"/>
          <w:sz w:val="32"/>
          <w:szCs w:val="32"/>
          <w:lang w:eastAsia="zh-CN"/>
        </w:rPr>
        <w:t>人大信访</w:t>
      </w:r>
      <w:r>
        <w:rPr>
          <w:rStyle w:val="19"/>
          <w:rFonts w:hint="eastAsia" w:ascii="仿宋" w:hAnsi="仿宋" w:eastAsia="仿宋"/>
          <w:bCs/>
          <w:color w:val="000000"/>
          <w:sz w:val="32"/>
          <w:szCs w:val="32"/>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000000"/>
          <w:sz w:val="32"/>
          <w:szCs w:val="32"/>
          <w:lang w:eastAsia="zh-CN"/>
        </w:rPr>
        <w:t>人大事务</w:t>
      </w:r>
      <w:r>
        <w:rPr>
          <w:rStyle w:val="19"/>
          <w:rFonts w:hint="eastAsia" w:ascii="仿宋" w:hAnsi="仿宋" w:eastAsia="仿宋"/>
          <w:bCs/>
          <w:color w:val="000000"/>
          <w:sz w:val="32"/>
          <w:szCs w:val="32"/>
        </w:rPr>
        <w:t>（款）</w:t>
      </w:r>
      <w:r>
        <w:rPr>
          <w:rStyle w:val="19"/>
          <w:rFonts w:hint="eastAsia" w:ascii="仿宋" w:hAnsi="仿宋" w:eastAsia="仿宋"/>
          <w:bCs/>
          <w:color w:val="000000"/>
          <w:sz w:val="32"/>
          <w:szCs w:val="32"/>
          <w:lang w:eastAsia="zh-CN"/>
        </w:rPr>
        <w:t>事业运行</w:t>
      </w:r>
      <w:r>
        <w:rPr>
          <w:rStyle w:val="19"/>
          <w:rFonts w:hint="eastAsia" w:ascii="仿宋" w:hAnsi="仿宋" w:eastAsia="仿宋"/>
          <w:bCs/>
          <w:color w:val="000000"/>
          <w:sz w:val="32"/>
          <w:szCs w:val="32"/>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11.55</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auto"/>
          <w:sz w:val="32"/>
          <w:szCs w:val="32"/>
          <w:highlight w:val="none"/>
          <w:lang w:val="en-US" w:eastAsia="zh-CN"/>
        </w:rPr>
        <w:t>7</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000000"/>
          <w:sz w:val="32"/>
          <w:szCs w:val="32"/>
          <w:lang w:eastAsia="zh-CN"/>
        </w:rPr>
        <w:t>人大事务</w:t>
      </w:r>
      <w:r>
        <w:rPr>
          <w:rStyle w:val="19"/>
          <w:rFonts w:hint="eastAsia" w:ascii="仿宋" w:hAnsi="仿宋" w:eastAsia="仿宋"/>
          <w:bCs/>
          <w:color w:val="000000"/>
          <w:sz w:val="32"/>
          <w:szCs w:val="32"/>
        </w:rPr>
        <w:t>（款）</w:t>
      </w:r>
      <w:r>
        <w:rPr>
          <w:rStyle w:val="19"/>
          <w:rFonts w:hint="eastAsia" w:ascii="仿宋" w:hAnsi="仿宋" w:eastAsia="仿宋"/>
          <w:bCs/>
          <w:color w:val="000000"/>
          <w:sz w:val="32"/>
          <w:szCs w:val="32"/>
          <w:lang w:eastAsia="zh-CN"/>
        </w:rPr>
        <w:t>其他人大事务支出</w:t>
      </w:r>
      <w:r>
        <w:rPr>
          <w:rStyle w:val="19"/>
          <w:rFonts w:hint="eastAsia" w:ascii="仿宋" w:hAnsi="仿宋" w:eastAsia="仿宋"/>
          <w:bCs/>
          <w:color w:val="000000"/>
          <w:sz w:val="32"/>
          <w:szCs w:val="32"/>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29</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auto"/>
          <w:sz w:val="32"/>
          <w:szCs w:val="32"/>
          <w:highlight w:val="none"/>
          <w:lang w:val="en-US" w:eastAsia="zh-CN"/>
        </w:rPr>
        <w:t>8</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社会保障和就业（类）行政事业单位养老支出（款）机关事业单位基本养老保险缴费支出（项）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49.92</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auto"/>
          <w:sz w:val="32"/>
          <w:szCs w:val="32"/>
          <w:highlight w:val="none"/>
          <w:lang w:val="en-US" w:eastAsia="zh-CN"/>
        </w:rPr>
        <w:t>9</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（类）行政事业单位医疗（款）行政事业单位医疗（项）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26.61</w:t>
      </w:r>
      <w:r>
        <w:rPr>
          <w:rStyle w:val="19"/>
          <w:rFonts w:hint="eastAsia" w:ascii="仿宋" w:hAnsi="仿宋" w:eastAsia="仿宋"/>
          <w:b w:val="0"/>
          <w:bCs/>
          <w:color w:val="auto"/>
          <w:sz w:val="32"/>
          <w:szCs w:val="32"/>
          <w:highlight w:val="none"/>
        </w:rPr>
        <w:t>万元，</w:t>
      </w:r>
      <w:r>
        <w:rPr>
          <w:rStyle w:val="19"/>
          <w:rFonts w:hint="eastAsia" w:ascii="仿宋" w:hAnsi="仿宋" w:eastAsia="仿宋"/>
          <w:b w:val="0"/>
          <w:bCs/>
          <w:color w:val="000000"/>
          <w:sz w:val="32"/>
          <w:szCs w:val="32"/>
        </w:rPr>
        <w:t>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9"/>
          <w:rFonts w:hint="eastAsia" w:ascii="仿宋" w:hAnsi="仿宋" w:eastAsia="仿宋"/>
          <w:bCs/>
          <w:color w:val="000000"/>
          <w:sz w:val="32"/>
          <w:szCs w:val="32"/>
          <w:lang w:val="en-US" w:eastAsia="zh-CN"/>
        </w:rPr>
        <w:t>10</w:t>
      </w:r>
      <w:r>
        <w:rPr>
          <w:rStyle w:val="19"/>
          <w:rFonts w:ascii="仿宋" w:hAnsi="仿宋" w:eastAsia="仿宋"/>
          <w:bCs/>
          <w:color w:val="000000"/>
          <w:sz w:val="32"/>
          <w:szCs w:val="32"/>
        </w:rPr>
        <w:t>.</w:t>
      </w:r>
      <w:r>
        <w:rPr>
          <w:rFonts w:hint="eastAsia" w:ascii="仿宋" w:hAnsi="仿宋" w:eastAsia="仿宋"/>
          <w:b/>
          <w:bCs/>
          <w:color w:val="000000"/>
          <w:sz w:val="32"/>
          <w:szCs w:val="32"/>
          <w:lang w:val="en-US" w:eastAsia="zh-CN"/>
        </w:rPr>
        <w:t>住房保障支出</w:t>
      </w:r>
      <w:r>
        <w:rPr>
          <w:rStyle w:val="19"/>
          <w:rFonts w:hint="eastAsia" w:ascii="仿宋" w:hAnsi="仿宋" w:eastAsia="仿宋"/>
          <w:bCs/>
          <w:color w:val="000000"/>
          <w:sz w:val="32"/>
          <w:szCs w:val="32"/>
        </w:rPr>
        <w:t>（类）</w:t>
      </w:r>
      <w:r>
        <w:rPr>
          <w:rStyle w:val="19"/>
          <w:rFonts w:hint="eastAsia" w:ascii="仿宋" w:hAnsi="仿宋" w:eastAsia="仿宋"/>
          <w:bCs/>
          <w:color w:val="000000"/>
          <w:sz w:val="32"/>
          <w:szCs w:val="32"/>
          <w:lang w:val="en-US" w:eastAsia="zh-CN"/>
        </w:rPr>
        <w:t>住房改革支出</w:t>
      </w:r>
      <w:r>
        <w:rPr>
          <w:rStyle w:val="19"/>
          <w:rFonts w:hint="eastAsia" w:ascii="仿宋" w:hAnsi="仿宋" w:eastAsia="仿宋"/>
          <w:bCs/>
          <w:color w:val="000000"/>
          <w:sz w:val="32"/>
          <w:szCs w:val="32"/>
        </w:rPr>
        <w:t>（款）</w:t>
      </w:r>
      <w:r>
        <w:rPr>
          <w:rStyle w:val="19"/>
          <w:rFonts w:hint="eastAsia" w:ascii="仿宋" w:hAnsi="仿宋" w:eastAsia="仿宋"/>
          <w:bCs/>
          <w:color w:val="000000"/>
          <w:sz w:val="32"/>
          <w:szCs w:val="32"/>
          <w:lang w:val="en-US" w:eastAsia="zh-CN"/>
        </w:rPr>
        <w:t>住房公积金</w:t>
      </w:r>
      <w:r>
        <w:rPr>
          <w:rStyle w:val="19"/>
          <w:rFonts w:hint="eastAsia" w:ascii="仿宋" w:hAnsi="仿宋" w:eastAsia="仿宋"/>
          <w:bCs/>
          <w:color w:val="000000"/>
          <w:sz w:val="32"/>
          <w:szCs w:val="32"/>
        </w:rPr>
        <w:t>（项）</w:t>
      </w:r>
      <w:r>
        <w:rPr>
          <w:rStyle w:val="19"/>
          <w:rFonts w:ascii="仿宋" w:hAnsi="仿宋" w:eastAsia="仿宋"/>
          <w:bCs/>
          <w:color w:val="000000"/>
          <w:sz w:val="32"/>
          <w:szCs w:val="32"/>
        </w:rPr>
        <w:t>:</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47.64</w:t>
      </w:r>
      <w:r>
        <w:rPr>
          <w:rStyle w:val="19"/>
          <w:rFonts w:hint="eastAsia" w:ascii="仿宋" w:hAnsi="仿宋" w:eastAsia="仿宋"/>
          <w:b w:val="0"/>
          <w:bCs/>
          <w:color w:val="000000"/>
          <w:sz w:val="32"/>
          <w:szCs w:val="32"/>
        </w:rPr>
        <w:t>万元，完成预算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30"/>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34"/>
      <w:bookmarkEnd w:id="35"/>
      <w:r>
        <w:rPr>
          <w:rStyle w:val="3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760.12</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542.72</w:t>
      </w:r>
      <w:r>
        <w:rPr>
          <w:rFonts w:hint="eastAsia" w:ascii="仿宋" w:hAnsi="仿宋" w:eastAsia="仿宋"/>
          <w:color w:val="auto"/>
          <w:sz w:val="32"/>
          <w:szCs w:val="32"/>
          <w:highlight w:val="none"/>
        </w:rPr>
        <w:t>万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217.4</w:t>
      </w:r>
      <w:r>
        <w:rPr>
          <w:rFonts w:hint="eastAsia" w:ascii="仿宋" w:hAnsi="仿宋" w:eastAsia="仿宋"/>
          <w:color w:val="auto"/>
          <w:sz w:val="32"/>
          <w:szCs w:val="32"/>
          <w:highlight w:val="none"/>
        </w:rPr>
        <w:t>万元，主要包括：办公费、印刷费、手续费、邮电费、物业管理费、差旅费、维修（护）费、租赁费、会议费、培训费、公务接待费、劳务费、委托业务费、工会经费、其他交通费、其他商品和服务支出等。</w:t>
      </w:r>
    </w:p>
    <w:p>
      <w:pPr>
        <w:spacing w:line="600" w:lineRule="exact"/>
        <w:ind w:firstLine="640"/>
        <w:outlineLvl w:val="1"/>
        <w:rPr>
          <w:rStyle w:val="30"/>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三公”经费财政拨款支出决算情况说明</w:t>
      </w:r>
      <w:bookmarkEnd w:id="36"/>
      <w:bookmarkEnd w:id="37"/>
    </w:p>
    <w:p>
      <w:pPr>
        <w:spacing w:line="600"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12.8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12.8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16"/>
        <w:rPr>
          <w:rFonts w:hint="eastAsia" w:eastAsia="仿宋"/>
          <w:lang w:eastAsia="zh-CN"/>
        </w:rPr>
      </w:pPr>
      <w:r>
        <w:rPr>
          <w:rFonts w:hint="eastAsia" w:eastAsia="仿宋"/>
          <w:lang w:eastAsia="zh-CN"/>
        </w:rPr>
        <w:drawing>
          <wp:inline distT="0" distB="0" distL="114300" distR="114300">
            <wp:extent cx="4243070" cy="3182620"/>
            <wp:effectExtent l="4445" t="4445" r="19685"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ageBreakBefore w:val="0"/>
        <w:numPr>
          <w:ilvl w:val="0"/>
          <w:numId w:val="3"/>
        </w:numPr>
        <w:kinsoku/>
        <w:wordWrap/>
        <w:overflowPunct/>
        <w:topLinePunct w:val="0"/>
        <w:bidi w:val="0"/>
        <w:snapToGrid/>
        <w:spacing w:line="576" w:lineRule="exact"/>
        <w:ind w:firstLine="643" w:firstLineChars="200"/>
        <w:textAlignment w:val="auto"/>
        <w:rPr>
          <w:rFonts w:hint="eastAsia"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年初未安排预算。</w:t>
      </w:r>
      <w:r>
        <w:rPr>
          <w:rFonts w:hint="eastAsia" w:ascii="仿宋_GB2312" w:eastAsia="仿宋_GB2312"/>
          <w:color w:val="000000"/>
          <w:sz w:val="32"/>
          <w:szCs w:val="32"/>
        </w:rPr>
        <w:t>因公出国（境）支出决算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持平</w:t>
      </w:r>
      <w:r>
        <w:rPr>
          <w:rFonts w:hint="eastAsia" w:ascii="仿宋_GB2312" w:eastAsia="仿宋_GB2312"/>
          <w:color w:val="000000"/>
          <w:sz w:val="32"/>
          <w:szCs w:val="32"/>
        </w:rPr>
        <w:t>。</w:t>
      </w:r>
    </w:p>
    <w:p>
      <w:pPr>
        <w:pageBreakBefore w:val="0"/>
        <w:numPr>
          <w:ilvl w:val="0"/>
          <w:numId w:val="3"/>
        </w:numPr>
        <w:kinsoku/>
        <w:wordWrap/>
        <w:overflowPunct/>
        <w:topLinePunct w:val="0"/>
        <w:bidi w:val="0"/>
        <w:snapToGrid/>
        <w:spacing w:line="576" w:lineRule="exact"/>
        <w:ind w:left="0" w:leftChars="0" w:firstLine="643" w:firstLineChars="200"/>
        <w:textAlignment w:val="auto"/>
        <w:rPr>
          <w:rFonts w:hint="eastAsia" w:ascii="仿宋" w:hAnsi="仿宋" w:eastAsia="仿宋"/>
          <w:b/>
          <w:color w:val="auto"/>
          <w:sz w:val="32"/>
          <w:szCs w:val="32"/>
          <w:highlight w:val="none"/>
          <w:lang w:val="en-US" w:eastAsia="zh-CN"/>
        </w:rPr>
      </w:pP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lang w:val="en-US" w:eastAsia="zh-CN"/>
        </w:rPr>
        <w:t>年初未安排预算，</w:t>
      </w:r>
      <w:r>
        <w:rPr>
          <w:rStyle w:val="19"/>
          <w:rFonts w:hint="eastAsia" w:ascii="仿宋" w:hAnsi="仿宋" w:eastAsia="仿宋"/>
          <w:b w:val="0"/>
          <w:bCs/>
          <w:color w:val="000000"/>
          <w:sz w:val="32"/>
          <w:szCs w:val="32"/>
          <w:lang w:val="en-US" w:eastAsia="zh-CN"/>
        </w:rPr>
        <w:t>公务用车购置及运行维护费</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持平</w:t>
      </w:r>
      <w:r>
        <w:rPr>
          <w:rFonts w:hint="eastAsia" w:ascii="仿宋" w:hAnsi="仿宋" w:eastAsia="仿宋"/>
          <w:b/>
          <w:color w:val="auto"/>
          <w:sz w:val="32"/>
          <w:szCs w:val="32"/>
          <w:highlight w:val="none"/>
          <w:lang w:val="en-US" w:eastAsia="zh-CN"/>
        </w:rPr>
        <w:t>。</w:t>
      </w:r>
    </w:p>
    <w:p>
      <w:pPr>
        <w:pageBreakBefore w:val="0"/>
        <w:numPr>
          <w:ilvl w:val="0"/>
          <w:numId w:val="0"/>
        </w:numPr>
        <w:kinsoku/>
        <w:wordWrap/>
        <w:overflowPunct/>
        <w:topLinePunct w:val="0"/>
        <w:bidi w:val="0"/>
        <w:snapToGrid/>
        <w:spacing w:line="576" w:lineRule="exact"/>
        <w:ind w:firstLine="640" w:firstLineChars="200"/>
        <w:textAlignment w:val="auto"/>
      </w:pPr>
      <w:r>
        <w:rPr>
          <w:rFonts w:ascii="宋体" w:hAnsi="宋体" w:eastAsia="宋体" w:cs="宋体"/>
          <w:sz w:val="32"/>
          <w:szCs w:val="32"/>
        </w:rPr>
        <w:t>其中：</w:t>
      </w:r>
      <w:r>
        <w:rPr>
          <w:rFonts w:hint="eastAsia" w:ascii="仿宋_GB2312" w:eastAsia="仿宋_GB2312"/>
          <w:b/>
          <w:color w:val="000000"/>
          <w:sz w:val="32"/>
          <w:szCs w:val="32"/>
        </w:rPr>
        <w:t>公务用车购置</w:t>
      </w:r>
      <w:r>
        <w:rPr>
          <w:rFonts w:ascii="宋体" w:hAnsi="宋体" w:eastAsia="宋体" w:cs="宋体"/>
          <w:sz w:val="32"/>
          <w:szCs w:val="32"/>
        </w:rPr>
        <w:t>支出0万元，年初未安排预算</w:t>
      </w:r>
      <w:r>
        <w:rPr>
          <w:rFonts w:hint="eastAsia" w:ascii="宋体" w:hAnsi="宋体" w:cs="宋体"/>
          <w:sz w:val="32"/>
          <w:szCs w:val="32"/>
          <w:lang w:eastAsia="zh-CN"/>
        </w:rPr>
        <w:t>，</w:t>
      </w:r>
      <w:r>
        <w:rPr>
          <w:rFonts w:hint="eastAsia" w:ascii="宋体" w:hAnsi="宋体" w:cs="宋体"/>
          <w:sz w:val="32"/>
          <w:szCs w:val="32"/>
          <w:lang w:val="en-US" w:eastAsia="zh-CN"/>
        </w:rPr>
        <w:t>与2020年持平。全年按照规定更新购置公务用车0辆。截止2021年12月底，单位共有公务用车0辆。</w:t>
      </w:r>
      <w:r>
        <w:rPr>
          <w:rFonts w:hint="eastAsia" w:ascii="仿宋_GB2312" w:eastAsia="仿宋_GB2312"/>
          <w:color w:val="auto"/>
          <w:sz w:val="32"/>
          <w:szCs w:val="32"/>
          <w:highlight w:val="none"/>
          <w:lang w:val="en-US" w:eastAsia="zh-CN"/>
        </w:rPr>
        <w:t>在公务用车制度改革后，不允许单位购买公务用车。因公出差向机关事务局申请公务用车，公务用车有保障。</w:t>
      </w:r>
      <w:r>
        <w:rPr>
          <w:rFonts w:hint="eastAsia" w:ascii="仿宋_GB2312" w:eastAsia="仿宋_GB2312"/>
          <w:b/>
          <w:color w:val="000000"/>
          <w:sz w:val="32"/>
          <w:szCs w:val="32"/>
        </w:rPr>
        <w:t>公务用车运行维护费</w:t>
      </w:r>
      <w:r>
        <w:rPr>
          <w:rFonts w:ascii="宋体" w:hAnsi="宋体" w:eastAsia="宋体" w:cs="宋体"/>
          <w:sz w:val="32"/>
          <w:szCs w:val="32"/>
        </w:rPr>
        <w:t>支出0万元，年初未安排预算。</w:t>
      </w:r>
      <w:r>
        <w:rPr>
          <w:rStyle w:val="19"/>
          <w:rFonts w:hint="eastAsia" w:ascii="仿宋" w:hAnsi="仿宋" w:eastAsia="仿宋"/>
          <w:b w:val="0"/>
          <w:bCs/>
          <w:color w:val="000000"/>
          <w:sz w:val="32"/>
          <w:szCs w:val="32"/>
          <w:lang w:val="en-US" w:eastAsia="zh-CN"/>
        </w:rPr>
        <w:t>公务用车运行维护费</w:t>
      </w:r>
      <w:r>
        <w:rPr>
          <w:rFonts w:hint="eastAsia" w:ascii="仿宋_GB2312" w:eastAsia="仿宋_GB2312"/>
          <w:color w:val="000000"/>
          <w:sz w:val="32"/>
          <w:szCs w:val="32"/>
        </w:rPr>
        <w:t>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持平</w:t>
      </w:r>
      <w:r>
        <w:rPr>
          <w:rFonts w:hint="eastAsia" w:ascii="仿宋_GB2312" w:eastAsia="仿宋_GB2312"/>
          <w:color w:val="000000"/>
          <w:sz w:val="32"/>
          <w:szCs w:val="32"/>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12.8</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严格控制公务接待</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12.8</w:t>
      </w:r>
      <w:r>
        <w:rPr>
          <w:rFonts w:hint="eastAsia" w:ascii="仿宋_GB2312" w:eastAsia="仿宋_GB2312"/>
          <w:color w:val="auto"/>
          <w:sz w:val="32"/>
          <w:szCs w:val="32"/>
          <w:highlight w:val="none"/>
        </w:rPr>
        <w:t>万元，主要用于开展业务活动开支的交通费、住宿费、用餐费等。国内公务接待</w:t>
      </w:r>
      <w:r>
        <w:rPr>
          <w:rFonts w:hint="eastAsia" w:ascii="仿宋_GB2312" w:eastAsia="仿宋_GB2312"/>
          <w:color w:val="auto"/>
          <w:sz w:val="32"/>
          <w:szCs w:val="32"/>
          <w:highlight w:val="none"/>
          <w:lang w:val="en-US" w:eastAsia="zh-CN"/>
        </w:rPr>
        <w:t>155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1612</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12.8</w:t>
      </w:r>
      <w:r>
        <w:rPr>
          <w:rFonts w:hint="eastAsia" w:ascii="仿宋_GB2312" w:eastAsia="仿宋_GB2312"/>
          <w:color w:val="auto"/>
          <w:sz w:val="32"/>
          <w:szCs w:val="32"/>
          <w:highlight w:val="none"/>
        </w:rPr>
        <w:t>万元。</w:t>
      </w:r>
    </w:p>
    <w:p>
      <w:pPr>
        <w:spacing w:line="600" w:lineRule="exact"/>
        <w:ind w:firstLine="640"/>
        <w:outlineLvl w:val="1"/>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无外市接待支出。</w:t>
      </w:r>
      <w:bookmarkStart w:id="40" w:name="_Toc15377218"/>
      <w:bookmarkStart w:id="41" w:name="_Toc15396610"/>
    </w:p>
    <w:p>
      <w:pPr>
        <w:spacing w:line="600" w:lineRule="exact"/>
        <w:ind w:firstLine="640"/>
        <w:outlineLvl w:val="1"/>
        <w:rPr>
          <w:rStyle w:val="30"/>
          <w:rFonts w:ascii="黑体" w:hAnsi="黑体" w:eastAsia="黑体"/>
          <w:color w:val="auto"/>
          <w:highlight w:val="none"/>
        </w:rPr>
      </w:pPr>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40"/>
      <w:bookmarkEnd w:id="41"/>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30"/>
          <w:rFonts w:ascii="黑体" w:hAnsi="黑体" w:eastAsia="黑体"/>
          <w:b w:val="0"/>
          <w:color w:val="auto"/>
          <w:highlight w:val="none"/>
        </w:rPr>
      </w:pPr>
      <w:bookmarkStart w:id="42" w:name="_Toc15396611"/>
      <w:bookmarkStart w:id="43" w:name="_Toc15377219"/>
      <w:r>
        <w:rPr>
          <w:rStyle w:val="30"/>
          <w:rFonts w:hint="eastAsia" w:ascii="黑体" w:hAnsi="黑体" w:eastAsia="黑体"/>
          <w:b w:val="0"/>
          <w:color w:val="auto"/>
          <w:highlight w:val="none"/>
        </w:rPr>
        <w:t>国有资本经营预算支出决算情况说明</w:t>
      </w:r>
      <w:bookmarkEnd w:id="42"/>
      <w:bookmarkEnd w:id="43"/>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4"/>
        </w:numPr>
        <w:spacing w:line="600" w:lineRule="exact"/>
        <w:ind w:firstLine="640"/>
        <w:outlineLvl w:val="1"/>
        <w:rPr>
          <w:rStyle w:val="30"/>
          <w:rFonts w:hint="eastAsia" w:ascii="黑体" w:hAnsi="黑体" w:eastAsia="黑体"/>
          <w:b w:val="0"/>
          <w:color w:val="auto"/>
          <w:highlight w:val="none"/>
        </w:rPr>
      </w:pPr>
      <w:bookmarkStart w:id="44" w:name="_Toc15396612"/>
      <w:bookmarkStart w:id="45" w:name="_Toc15377221"/>
      <w:r>
        <w:rPr>
          <w:rStyle w:val="30"/>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0"/>
        </w:numPr>
        <w:spacing w:line="600" w:lineRule="exact"/>
        <w:ind w:firstLine="640" w:firstLineChars="200"/>
        <w:outlineLvl w:val="1"/>
        <w:rPr>
          <w:rStyle w:val="30"/>
          <w:rFonts w:hint="eastAsia" w:ascii="黑体" w:hAnsi="黑体" w:eastAsia="黑体"/>
          <w:b w:val="0"/>
          <w:color w:val="auto"/>
          <w:highlight w:val="none"/>
        </w:rPr>
      </w:pPr>
      <w:r>
        <w:rPr>
          <w:rStyle w:val="30"/>
          <w:rFonts w:hint="eastAsia" w:ascii="黑体" w:hAnsi="黑体" w:eastAsia="黑体"/>
          <w:b w:val="0"/>
          <w:color w:val="auto"/>
          <w:highlight w:val="none"/>
          <w:lang w:val="en-US" w:eastAsia="zh-CN"/>
        </w:rPr>
        <w:t>十一</w:t>
      </w:r>
      <w:r>
        <w:rPr>
          <w:rFonts w:hint="eastAsia" w:ascii="仿宋_GB2312" w:hAnsi="仿宋_GB2312" w:eastAsia="仿宋_GB2312" w:cs="仿宋_GB2312"/>
          <w:color w:val="auto"/>
          <w:sz w:val="32"/>
          <w:szCs w:val="32"/>
          <w:highlight w:val="none"/>
          <w:lang w:eastAsia="zh-CN"/>
        </w:rPr>
        <w:t>、</w:t>
      </w:r>
      <w:r>
        <w:rPr>
          <w:rStyle w:val="30"/>
          <w:rFonts w:hint="eastAsia" w:ascii="黑体" w:hAnsi="黑体" w:eastAsia="黑体"/>
          <w:b w:val="0"/>
          <w:color w:val="auto"/>
          <w:highlight w:val="none"/>
        </w:rPr>
        <w:t>其他重要事项的情况说明</w:t>
      </w:r>
      <w:bookmarkEnd w:id="44"/>
      <w:bookmarkEnd w:id="45"/>
    </w:p>
    <w:p>
      <w:pPr>
        <w:spacing w:line="600" w:lineRule="exact"/>
        <w:ind w:firstLine="643"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区人大常委会办公室</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361.8</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60</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换届人员调整导致。</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b w:val="0"/>
          <w:bCs/>
          <w:color w:val="auto"/>
          <w:sz w:val="32"/>
          <w:szCs w:val="32"/>
          <w:highlight w:val="none"/>
          <w:lang w:val="en-US" w:eastAsia="zh-CN"/>
        </w:rPr>
        <w:t>年初未安排预算。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spacing w:line="600" w:lineRule="exact"/>
        <w:ind w:firstLine="640"/>
        <w:rPr>
          <w:rFonts w:ascii="仿宋_GB2312" w:eastAsia="仿宋_GB2312"/>
          <w:color w:val="000000"/>
          <w:sz w:val="32"/>
          <w:szCs w:val="32"/>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000000"/>
          <w:sz w:val="32"/>
          <w:szCs w:val="32"/>
          <w:lang w:eastAsia="zh-CN"/>
        </w:rPr>
        <w:t>无国有资产占有使用情况</w:t>
      </w:r>
      <w:r>
        <w:rPr>
          <w:rFonts w:hint="eastAsia" w:ascii="仿宋_GB2312" w:eastAsia="仿宋_GB2312"/>
          <w:color w:val="000000"/>
          <w:sz w:val="32"/>
          <w:szCs w:val="32"/>
        </w:rPr>
        <w:t>。</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keepNext w:val="0"/>
        <w:keepLines w:val="0"/>
        <w:pageBreakBefore w:val="0"/>
        <w:widowControl w:val="0"/>
        <w:numPr>
          <w:ilvl w:val="0"/>
          <w:numId w:val="5"/>
        </w:numPr>
        <w:kinsoku/>
        <w:wordWrap/>
        <w:overflowPunct/>
        <w:topLinePunct w:val="0"/>
        <w:bidi w:val="0"/>
        <w:snapToGrid/>
        <w:spacing w:line="540" w:lineRule="exact"/>
        <w:ind w:firstLine="660" w:firstLineChars="150"/>
        <w:jc w:val="center"/>
        <w:textAlignment w:val="auto"/>
        <w:outlineLvl w:val="0"/>
        <w:rPr>
          <w:rStyle w:val="29"/>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49"/>
      <w:bookmarkEnd w:id="50"/>
    </w:p>
    <w:p>
      <w:pPr>
        <w:pStyle w:val="21"/>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一般公共服务（类）</w:t>
      </w:r>
      <w:r>
        <w:rPr>
          <w:rFonts w:hint="eastAsia" w:ascii="仿宋_GB2312" w:hAnsi="Times New Roman" w:eastAsia="仿宋_GB2312" w:cs="Times New Roman"/>
          <w:color w:val="auto"/>
          <w:sz w:val="32"/>
          <w:szCs w:val="32"/>
          <w:highlight w:val="none"/>
          <w:lang w:eastAsia="zh-CN"/>
        </w:rPr>
        <w:t>人大事务</w:t>
      </w:r>
      <w:r>
        <w:rPr>
          <w:rFonts w:hint="eastAsia" w:ascii="仿宋_GB2312" w:hAnsi="Times New Roman" w:eastAsia="仿宋_GB2312" w:cs="Times New Roman"/>
          <w:color w:val="auto"/>
          <w:sz w:val="32"/>
          <w:szCs w:val="32"/>
          <w:highlight w:val="none"/>
        </w:rPr>
        <w:t>（款）</w:t>
      </w:r>
      <w:r>
        <w:rPr>
          <w:rFonts w:hint="eastAsia" w:ascii="仿宋_GB2312" w:hAnsi="Times New Roman" w:eastAsia="仿宋_GB2312" w:cs="Times New Roman"/>
          <w:color w:val="auto"/>
          <w:sz w:val="32"/>
          <w:szCs w:val="32"/>
          <w:highlight w:val="none"/>
          <w:lang w:eastAsia="zh-CN"/>
        </w:rPr>
        <w:t>行政运行</w:t>
      </w:r>
      <w:r>
        <w:rPr>
          <w:rFonts w:hint="eastAsia" w:ascii="仿宋_GB2312" w:hAnsi="Times New Roman" w:eastAsia="仿宋_GB2312" w:cs="Times New Roman"/>
          <w:color w:val="auto"/>
          <w:sz w:val="32"/>
          <w:szCs w:val="32"/>
          <w:highlight w:val="none"/>
        </w:rPr>
        <w:t>（</w:t>
      </w:r>
      <w:r>
        <w:rPr>
          <w:rFonts w:hint="eastAsia" w:ascii="仿宋_GB2312" w:eastAsia="仿宋_GB2312"/>
          <w:color w:val="auto"/>
          <w:sz w:val="32"/>
          <w:szCs w:val="32"/>
          <w:highlight w:val="none"/>
        </w:rPr>
        <w:t>项）：指</w:t>
      </w:r>
      <w:r>
        <w:rPr>
          <w:rFonts w:hint="eastAsia" w:ascii="仿宋_GB2312" w:eastAsia="仿宋_GB2312"/>
          <w:color w:val="auto"/>
          <w:sz w:val="32"/>
          <w:szCs w:val="32"/>
          <w:highlight w:val="none"/>
          <w:lang w:eastAsia="zh-CN"/>
        </w:rPr>
        <w:t>人大机关开展会议、监督、调研、视察等工作需要</w:t>
      </w:r>
      <w:r>
        <w:rPr>
          <w:rFonts w:hint="eastAsia" w:ascii="仿宋_GB2312" w:eastAsia="仿宋_GB2312"/>
          <w:color w:val="auto"/>
          <w:sz w:val="32"/>
          <w:szCs w:val="32"/>
          <w:highlight w:val="none"/>
        </w:rPr>
        <w:t>用于购买货物和服务的各项</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社会保障和就业（类）行政事业单位养老支出（款）机关事业单位基本养老保险缴费支出（项）：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机关事业单位实施养老保险制度由单位缴纳的基本养老保险费支出</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医疗卫生与计划生育（类）</w:t>
      </w:r>
      <w:r>
        <w:rPr>
          <w:rFonts w:hint="eastAsia" w:ascii="仿宋_GB2312" w:eastAsia="仿宋_GB2312"/>
          <w:color w:val="000000"/>
          <w:sz w:val="32"/>
          <w:szCs w:val="32"/>
          <w:lang w:eastAsia="zh-CN"/>
        </w:rPr>
        <w:t>行政事业单位医疗</w:t>
      </w:r>
      <w:r>
        <w:rPr>
          <w:rFonts w:hint="eastAsia" w:ascii="仿宋_GB2312" w:eastAsia="仿宋_GB2312"/>
          <w:color w:val="auto"/>
          <w:sz w:val="32"/>
          <w:szCs w:val="32"/>
          <w:highlight w:val="none"/>
        </w:rPr>
        <w:t>（款）</w:t>
      </w:r>
      <w:r>
        <w:rPr>
          <w:rFonts w:hint="eastAsia" w:ascii="仿宋_GB2312" w:eastAsia="仿宋_GB2312"/>
          <w:color w:val="000000"/>
          <w:sz w:val="32"/>
          <w:szCs w:val="32"/>
          <w:lang w:eastAsia="zh-CN"/>
        </w:rPr>
        <w:t>行政事业单位医疗</w:t>
      </w:r>
      <w:r>
        <w:rPr>
          <w:rFonts w:hint="eastAsia" w:ascii="仿宋_GB2312" w:eastAsia="仿宋_GB2312"/>
          <w:color w:val="auto"/>
          <w:sz w:val="32"/>
          <w:szCs w:val="32"/>
          <w:highlight w:val="none"/>
        </w:rPr>
        <w:t>（项）：指</w:t>
      </w:r>
      <w:r>
        <w:rPr>
          <w:rFonts w:hint="eastAsia" w:ascii="仿宋_GB2312" w:eastAsia="仿宋_GB2312"/>
          <w:color w:val="000000"/>
          <w:sz w:val="32"/>
          <w:szCs w:val="32"/>
          <w:lang w:eastAsia="zh-CN"/>
        </w:rPr>
        <w:t>财政部门安排的行政事业单位基本医疗保险缴费经费</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w:t>
      </w:r>
      <w:r>
        <w:rPr>
          <w:rFonts w:hint="eastAsia" w:ascii="仿宋_GB2312" w:eastAsia="仿宋_GB2312"/>
          <w:color w:val="000000"/>
          <w:sz w:val="32"/>
          <w:szCs w:val="32"/>
          <w:lang w:eastAsia="zh-CN"/>
        </w:rPr>
        <w:t>住房改革支出</w:t>
      </w:r>
      <w:r>
        <w:rPr>
          <w:rFonts w:hint="eastAsia" w:ascii="仿宋_GB2312" w:eastAsia="仿宋_GB2312"/>
          <w:color w:val="auto"/>
          <w:sz w:val="32"/>
          <w:szCs w:val="32"/>
          <w:highlight w:val="none"/>
        </w:rPr>
        <w:t>（款）</w:t>
      </w:r>
      <w:r>
        <w:rPr>
          <w:rFonts w:hint="eastAsia" w:ascii="仿宋_GB2312" w:eastAsia="仿宋_GB2312"/>
          <w:color w:val="000000"/>
          <w:sz w:val="32"/>
          <w:szCs w:val="32"/>
          <w:lang w:eastAsia="zh-CN"/>
        </w:rPr>
        <w:t>住房公积金</w:t>
      </w:r>
      <w:r>
        <w:rPr>
          <w:rFonts w:hint="eastAsia" w:ascii="仿宋_GB2312" w:eastAsia="仿宋_GB2312"/>
          <w:color w:val="auto"/>
          <w:sz w:val="32"/>
          <w:szCs w:val="32"/>
          <w:highlight w:val="none"/>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1"/>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keepNext w:val="0"/>
        <w:keepLines w:val="0"/>
        <w:pageBreakBefore w:val="0"/>
        <w:widowControl w:val="0"/>
        <w:kinsoku/>
        <w:wordWrap/>
        <w:overflowPunct/>
        <w:topLinePunct w:val="0"/>
        <w:bidi w:val="0"/>
        <w:snapToGrid/>
        <w:spacing w:line="54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宋体"/>
          <w:b/>
          <w:color w:val="auto"/>
          <w:sz w:val="44"/>
          <w:szCs w:val="44"/>
          <w:highlight w:val="none"/>
        </w:rPr>
      </w:pPr>
      <w:bookmarkStart w:id="51" w:name="_Toc15377226"/>
      <w:r>
        <w:rPr>
          <w:rFonts w:ascii="宋体"/>
          <w:b/>
          <w:color w:val="auto"/>
          <w:sz w:val="44"/>
          <w:szCs w:val="44"/>
          <w:highlight w:val="none"/>
        </w:rPr>
        <w:br w:type="page"/>
      </w:r>
      <w:bookmarkStart w:id="52" w:name="_Toc15396618"/>
    </w:p>
    <w:p>
      <w:pPr>
        <w:spacing w:line="600" w:lineRule="exact"/>
        <w:jc w:val="center"/>
        <w:outlineLvl w:val="0"/>
        <w:rPr>
          <w:rStyle w:val="29"/>
          <w:rFonts w:ascii="黑体" w:hAnsi="黑体" w:eastAsia="黑体"/>
          <w:b w:val="0"/>
          <w:color w:val="auto"/>
          <w:highlight w:val="none"/>
        </w:rPr>
      </w:pPr>
      <w:bookmarkStart w:id="53" w:name="_Toc15396614"/>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53"/>
    </w:p>
    <w:p>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附件</w:t>
      </w:r>
    </w:p>
    <w:tbl>
      <w:tblPr>
        <w:tblStyle w:val="17"/>
        <w:tblpPr w:leftFromText="180" w:rightFromText="180" w:vertAnchor="text" w:horzAnchor="page" w:tblpX="1281" w:tblpY="660"/>
        <w:tblOverlap w:val="never"/>
        <w:tblW w:w="98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342"/>
        <w:gridCol w:w="1595"/>
        <w:gridCol w:w="1623"/>
        <w:gridCol w:w="1970"/>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649"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2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101101</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人大办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720" w:firstLineChars="300"/>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69"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4"/>
                <w:szCs w:val="24"/>
                <w:u w:val="none"/>
              </w:rPr>
            </w:pPr>
          </w:p>
        </w:tc>
        <w:tc>
          <w:tcPr>
            <w:tcW w:w="407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1"/>
                <w:szCs w:val="21"/>
                <w:u w:val="none"/>
              </w:rPr>
              <w:t>对</w:t>
            </w:r>
            <w:r>
              <w:rPr>
                <w:rFonts w:hint="eastAsia" w:ascii="宋体" w:hAnsi="宋体" w:cs="宋体"/>
                <w:i w:val="0"/>
                <w:color w:val="auto"/>
                <w:sz w:val="21"/>
                <w:szCs w:val="21"/>
                <w:u w:val="none"/>
                <w:lang w:eastAsia="zh-CN"/>
              </w:rPr>
              <w:t>昭化区辖区内</w:t>
            </w:r>
            <w:r>
              <w:rPr>
                <w:rFonts w:hint="eastAsia" w:ascii="宋体" w:hAnsi="宋体" w:cs="宋体"/>
                <w:i w:val="0"/>
                <w:color w:val="auto"/>
                <w:sz w:val="21"/>
                <w:szCs w:val="21"/>
                <w:u w:val="none"/>
                <w:lang w:val="en-US" w:eastAsia="zh-CN"/>
              </w:rPr>
              <w:t>84</w:t>
            </w:r>
            <w:r>
              <w:rPr>
                <w:rFonts w:hint="eastAsia" w:ascii="宋体" w:hAnsi="宋体" w:cs="宋体"/>
                <w:i w:val="0"/>
                <w:color w:val="auto"/>
                <w:sz w:val="21"/>
                <w:szCs w:val="21"/>
                <w:u w:val="none"/>
                <w:lang w:eastAsia="zh-CN"/>
              </w:rPr>
              <w:t>个一级预算单位的</w:t>
            </w:r>
            <w:r>
              <w:rPr>
                <w:rFonts w:hint="eastAsia" w:ascii="宋体" w:hAnsi="宋体" w:eastAsia="宋体" w:cs="宋体"/>
                <w:i w:val="0"/>
                <w:color w:val="auto"/>
                <w:sz w:val="21"/>
                <w:szCs w:val="21"/>
                <w:u w:val="none"/>
              </w:rPr>
              <w:t>预算执行进行有效</w:t>
            </w:r>
            <w:r>
              <w:rPr>
                <w:rFonts w:hint="eastAsia" w:ascii="宋体" w:hAnsi="宋体" w:cs="宋体"/>
                <w:i w:val="0"/>
                <w:color w:val="auto"/>
                <w:sz w:val="21"/>
                <w:szCs w:val="21"/>
                <w:u w:val="none"/>
                <w:lang w:eastAsia="zh-CN"/>
              </w:rPr>
              <w:t>监督</w:t>
            </w:r>
            <w:r>
              <w:rPr>
                <w:rFonts w:hint="eastAsia" w:ascii="宋体" w:hAnsi="宋体" w:eastAsia="宋体" w:cs="宋体"/>
                <w:i w:val="0"/>
                <w:color w:val="auto"/>
                <w:sz w:val="21"/>
                <w:szCs w:val="21"/>
                <w:u w:val="none"/>
              </w:rPr>
              <w:t>管理</w:t>
            </w:r>
          </w:p>
        </w:tc>
        <w:tc>
          <w:tcPr>
            <w:tcW w:w="359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color w:val="auto"/>
                <w:sz w:val="21"/>
                <w:szCs w:val="21"/>
                <w:u w:val="none"/>
              </w:rPr>
            </w:pPr>
            <w:r>
              <w:rPr>
                <w:rFonts w:hint="eastAsia" w:ascii="宋体" w:hAnsi="宋体" w:cs="宋体"/>
                <w:i w:val="0"/>
                <w:color w:val="auto"/>
                <w:sz w:val="21"/>
                <w:szCs w:val="21"/>
                <w:u w:val="none"/>
                <w:lang w:eastAsia="zh-CN"/>
              </w:rPr>
              <w:t>全名完成昭化区辖区内</w:t>
            </w:r>
            <w:r>
              <w:rPr>
                <w:rFonts w:hint="eastAsia" w:ascii="宋体" w:hAnsi="宋体" w:cs="宋体"/>
                <w:i w:val="0"/>
                <w:color w:val="auto"/>
                <w:sz w:val="21"/>
                <w:szCs w:val="21"/>
                <w:u w:val="none"/>
                <w:lang w:val="en-US" w:eastAsia="zh-CN"/>
              </w:rPr>
              <w:t>84</w:t>
            </w:r>
            <w:r>
              <w:rPr>
                <w:rFonts w:hint="eastAsia" w:ascii="宋体" w:hAnsi="宋体" w:cs="宋体"/>
                <w:i w:val="0"/>
                <w:color w:val="auto"/>
                <w:sz w:val="21"/>
                <w:szCs w:val="21"/>
                <w:u w:val="none"/>
                <w:lang w:eastAsia="zh-CN"/>
              </w:rPr>
              <w:t>个一级预算单位的</w:t>
            </w:r>
            <w:r>
              <w:rPr>
                <w:rFonts w:hint="eastAsia" w:ascii="宋体" w:hAnsi="宋体" w:eastAsia="宋体" w:cs="宋体"/>
                <w:i w:val="0"/>
                <w:color w:val="auto"/>
                <w:sz w:val="21"/>
                <w:szCs w:val="21"/>
                <w:u w:val="none"/>
              </w:rPr>
              <w:t>预算执行进行有效</w:t>
            </w:r>
            <w:r>
              <w:rPr>
                <w:rFonts w:hint="eastAsia" w:ascii="宋体" w:hAnsi="宋体" w:cs="宋体"/>
                <w:i w:val="0"/>
                <w:color w:val="auto"/>
                <w:sz w:val="21"/>
                <w:szCs w:val="21"/>
                <w:u w:val="none"/>
                <w:lang w:eastAsia="zh-CN"/>
              </w:rPr>
              <w:t>监督</w:t>
            </w:r>
            <w:r>
              <w:rPr>
                <w:rFonts w:hint="eastAsia" w:ascii="宋体" w:hAnsi="宋体" w:eastAsia="宋体" w:cs="宋体"/>
                <w:i w:val="0"/>
                <w:color w:val="auto"/>
                <w:sz w:val="21"/>
                <w:szCs w:val="21"/>
                <w:u w:val="none"/>
              </w:rPr>
              <w:t>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73"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编制84个预算编制表样</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rPr>
              <w:t>84个预算单位预算信息一致性</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eastAsia="zh-CN"/>
              </w:rPr>
              <w:t>全覆盖</w:t>
            </w:r>
            <w:r>
              <w:rPr>
                <w:rFonts w:hint="eastAsia" w:ascii="仿宋_GB2312" w:hAnsi="仿宋_GB2312" w:eastAsia="仿宋_GB2312" w:cs="仿宋_GB2312"/>
                <w:i w:val="0"/>
                <w:color w:val="auto"/>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年度预算执行全过程实行信息化管理</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rPr>
              <w:t>全面、准确、及时了解全区预算执行情况</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lang w:eastAsia="zh-CN"/>
              </w:rPr>
            </w:pPr>
            <w:r>
              <w:rPr>
                <w:rFonts w:hint="eastAsia" w:ascii="仿宋_GB2312" w:hAnsi="仿宋_GB2312" w:eastAsia="仿宋_GB2312" w:cs="仿宋_GB2312"/>
                <w:i w:val="0"/>
                <w:color w:val="auto"/>
                <w:sz w:val="18"/>
                <w:szCs w:val="18"/>
                <w:u w:val="none"/>
                <w:lang w:eastAsia="zh-CN"/>
              </w:rPr>
              <w:t>全覆盖监管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8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预算信息及时准确</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预算编制和实际执行的差异及其原因</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lang w:eastAsia="zh-CN"/>
              </w:rPr>
            </w:pPr>
            <w:r>
              <w:rPr>
                <w:rFonts w:hint="eastAsia" w:ascii="仿宋_GB2312" w:hAnsi="仿宋_GB2312" w:eastAsia="仿宋_GB2312" w:cs="仿宋_GB2312"/>
                <w:i w:val="0"/>
                <w:color w:val="auto"/>
                <w:sz w:val="18"/>
                <w:szCs w:val="18"/>
                <w:u w:val="none"/>
                <w:lang w:eastAsia="zh-CN"/>
              </w:rPr>
              <w:t>及时监管到位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改进预算编制方法，提高资金使用绩效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提高预算编制水平</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提高预算编制水平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财政资金使用更加规范有效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财政资金使用率提高、使用效益最大化</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eastAsia="zh-CN"/>
              </w:rPr>
              <w:t>效益大于</w:t>
            </w:r>
            <w:r>
              <w:rPr>
                <w:rFonts w:hint="eastAsia" w:ascii="仿宋_GB2312" w:hAnsi="仿宋_GB2312" w:eastAsia="仿宋_GB2312" w:cs="仿宋_GB2312"/>
                <w:i w:val="0"/>
                <w:color w:val="auto"/>
                <w:sz w:val="18"/>
                <w:szCs w:val="18"/>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财政资金使用公开透明，监管更加有力</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群众满意度提高</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lang w:eastAsia="zh-CN"/>
              </w:rPr>
              <w:t>效益大于</w:t>
            </w:r>
            <w:r>
              <w:rPr>
                <w:rFonts w:hint="eastAsia" w:ascii="仿宋_GB2312" w:hAnsi="仿宋_GB2312" w:eastAsia="仿宋_GB2312" w:cs="仿宋_GB2312"/>
                <w:i w:val="0"/>
                <w:color w:val="auto"/>
                <w:sz w:val="18"/>
                <w:szCs w:val="18"/>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预算编制科学透明，年度决算真实有效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方便快捷了解预算数据的变化</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lang w:eastAsia="zh-CN"/>
              </w:rPr>
            </w:pPr>
            <w:r>
              <w:rPr>
                <w:rFonts w:hint="eastAsia" w:ascii="仿宋_GB2312" w:hAnsi="仿宋_GB2312" w:eastAsia="仿宋_GB2312" w:cs="仿宋_GB2312"/>
                <w:i w:val="0"/>
                <w:color w:val="auto"/>
                <w:sz w:val="18"/>
                <w:szCs w:val="18"/>
                <w:u w:val="none"/>
                <w:lang w:eastAsia="zh-CN"/>
              </w:rPr>
              <w:t>长期高效运行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color w:val="auto"/>
                <w:sz w:val="28"/>
                <w:szCs w:val="2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预算执行重点突出，科学高效</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仿宋_GB2312" w:hAnsi="仿宋_GB2312" w:eastAsia="仿宋_GB2312" w:cs="仿宋_GB2312"/>
                <w:i w:val="0"/>
                <w:color w:val="auto"/>
                <w:sz w:val="18"/>
                <w:szCs w:val="18"/>
                <w:u w:val="none"/>
              </w:rPr>
            </w:pPr>
            <w:r>
              <w:rPr>
                <w:rFonts w:hint="eastAsia" w:ascii="仿宋_GB2312" w:hAnsi="仿宋_GB2312" w:eastAsia="仿宋_GB2312" w:cs="仿宋_GB2312"/>
                <w:i w:val="0"/>
                <w:color w:val="auto"/>
                <w:sz w:val="18"/>
                <w:szCs w:val="18"/>
                <w:u w:val="none"/>
              </w:rPr>
              <w:t>方便领导科学决策财政资金使用范围</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仿宋_GB2312" w:hAnsi="仿宋_GB2312" w:eastAsia="仿宋_GB2312" w:cs="仿宋_GB2312"/>
                <w:i w:val="0"/>
                <w:color w:val="auto"/>
                <w:sz w:val="18"/>
                <w:szCs w:val="18"/>
                <w:u w:val="none"/>
                <w:lang w:val="en-US" w:eastAsia="zh-CN"/>
              </w:rPr>
            </w:pPr>
            <w:r>
              <w:rPr>
                <w:rFonts w:hint="eastAsia" w:ascii="仿宋_GB2312" w:hAnsi="仿宋_GB2312" w:eastAsia="仿宋_GB2312" w:cs="仿宋_GB2312"/>
                <w:i w:val="0"/>
                <w:color w:val="auto"/>
                <w:sz w:val="18"/>
                <w:szCs w:val="18"/>
                <w:u w:val="none"/>
                <w:lang w:eastAsia="zh-CN"/>
              </w:rPr>
              <w:t>满意率大于</w:t>
            </w:r>
            <w:r>
              <w:rPr>
                <w:rFonts w:hint="eastAsia" w:ascii="仿宋_GB2312" w:hAnsi="仿宋_GB2312" w:eastAsia="仿宋_GB2312" w:cs="仿宋_GB2312"/>
                <w:i w:val="0"/>
                <w:color w:val="auto"/>
                <w:sz w:val="18"/>
                <w:szCs w:val="18"/>
                <w:u w:val="none"/>
                <w:lang w:val="en-US" w:eastAsia="zh-CN"/>
              </w:rPr>
              <w:t>95%</w:t>
            </w:r>
          </w:p>
        </w:tc>
      </w:tr>
    </w:tbl>
    <w:p>
      <w:pPr>
        <w:spacing w:line="600" w:lineRule="exact"/>
        <w:jc w:val="center"/>
        <w:outlineLvl w:val="0"/>
        <w:rPr>
          <w:rFonts w:ascii="宋体"/>
          <w:b/>
          <w:color w:val="auto"/>
          <w:sz w:val="44"/>
          <w:szCs w:val="44"/>
          <w:highlight w:val="none"/>
        </w:rPr>
      </w:pPr>
    </w:p>
    <w:p>
      <w:pPr>
        <w:spacing w:line="600" w:lineRule="exact"/>
        <w:jc w:val="center"/>
        <w:outlineLvl w:val="0"/>
        <w:rPr>
          <w:rStyle w:val="29"/>
          <w:rFonts w:hint="eastAsia" w:ascii="黑体" w:hAnsi="黑体" w:eastAsia="黑体"/>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lang w:eastAsia="zh-CN"/>
        </w:rPr>
        <w:t>五</w:t>
      </w:r>
      <w:r>
        <w:rPr>
          <w:rStyle w:val="29"/>
          <w:rFonts w:hint="eastAsia" w:ascii="黑体" w:hAnsi="黑体" w:eastAsia="黑体"/>
          <w:b w:val="0"/>
          <w:color w:val="auto"/>
          <w:highlight w:val="none"/>
        </w:rPr>
        <w:t>部分 附表</w:t>
      </w:r>
      <w:bookmarkEnd w:id="51"/>
      <w:bookmarkEnd w:id="52"/>
      <w:bookmarkStart w:id="54" w:name="_Toc15396619"/>
    </w:p>
    <w:p>
      <w:pPr>
        <w:spacing w:line="600" w:lineRule="exact"/>
        <w:jc w:val="both"/>
        <w:outlineLvl w:val="0"/>
        <w:rPr>
          <w:rStyle w:val="30"/>
          <w:rFonts w:hint="eastAsia" w:ascii="仿宋" w:hAnsi="仿宋" w:eastAsia="仿宋"/>
          <w:b w:val="0"/>
          <w:bCs w:val="0"/>
          <w:color w:val="auto"/>
          <w:highlight w:val="none"/>
          <w:lang w:val="en-US" w:eastAsia="zh-CN" w:bidi="ar-SA"/>
        </w:rPr>
      </w:pPr>
      <w:r>
        <w:rPr>
          <w:rStyle w:val="30"/>
          <w:rFonts w:hint="eastAsia" w:ascii="仿宋" w:hAnsi="仿宋" w:eastAsia="仿宋"/>
          <w:b w:val="0"/>
          <w:bCs w:val="0"/>
          <w:color w:val="auto"/>
          <w:highlight w:val="none"/>
          <w:lang w:val="en-US" w:eastAsia="zh-CN" w:bidi="ar-SA"/>
        </w:rPr>
        <w:t>一、收入支出决算总表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57"/>
    </w:p>
    <w:p>
      <w:pPr>
        <w:pStyle w:val="4"/>
        <w:rPr>
          <w:rStyle w:val="30"/>
          <w:rFonts w:ascii="仿宋" w:hAnsi="仿宋" w:eastAsia="仿宋"/>
          <w:b w:val="0"/>
          <w:bCs w:val="0"/>
          <w:color w:val="auto"/>
          <w:highlight w:val="none"/>
        </w:rPr>
      </w:pPr>
      <w:bookmarkStart w:id="58"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30"/>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府性基金预算财政拨款“三公”经费支出决算表</w:t>
      </w:r>
      <w:bookmarkEnd w:id="65"/>
    </w:p>
    <w:p>
      <w:pPr>
        <w:pStyle w:val="4"/>
        <w:rPr>
          <w:rStyle w:val="30"/>
          <w:rFonts w:hint="eastAsia" w:ascii="仿宋" w:hAnsi="仿宋" w:eastAsia="仿宋"/>
          <w:b w:val="0"/>
          <w:bCs w:val="0"/>
          <w:color w:val="auto"/>
          <w:highlight w:val="none"/>
        </w:rPr>
      </w:pPr>
      <w:bookmarkStart w:id="66" w:name="_Toc15396631"/>
      <w:r>
        <w:rPr>
          <w:rStyle w:val="30"/>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30"/>
          <w:rFonts w:hint="eastAsia" w:ascii="仿宋" w:hAnsi="仿宋" w:eastAsia="仿宋"/>
          <w:b w:val="0"/>
          <w:bCs w:val="0"/>
          <w:color w:val="auto"/>
          <w:highlight w:val="none"/>
          <w:lang w:eastAsia="zh-CN"/>
        </w:rPr>
        <w:t>十四、国有资本经营预算财政拨款支出决算表</w:t>
      </w:r>
    </w:p>
    <w:sectPr>
      <w:footerReference r:id="rId7" w:type="first"/>
      <w:footerReference r:id="rId6" w:type="default"/>
      <w:pgSz w:w="11906" w:h="16838"/>
      <w:pgMar w:top="2098" w:right="1474" w:bottom="1984" w:left="1587" w:header="851" w:footer="153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0"/>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98350"/>
    <w:multiLevelType w:val="singleLevel"/>
    <w:tmpl w:val="BAA98350"/>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BDD4BC0"/>
    <w:multiLevelType w:val="singleLevel"/>
    <w:tmpl w:val="6BDD4BC0"/>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B866EA"/>
    <w:rsid w:val="08716FC8"/>
    <w:rsid w:val="0A2032A3"/>
    <w:rsid w:val="0B8A37D8"/>
    <w:rsid w:val="0D9E2625"/>
    <w:rsid w:val="0E9E29B6"/>
    <w:rsid w:val="10C055FF"/>
    <w:rsid w:val="118107EC"/>
    <w:rsid w:val="11DD6519"/>
    <w:rsid w:val="16BB723D"/>
    <w:rsid w:val="18015F3F"/>
    <w:rsid w:val="18D76DD5"/>
    <w:rsid w:val="1BE8440E"/>
    <w:rsid w:val="1D155CEE"/>
    <w:rsid w:val="20F57F95"/>
    <w:rsid w:val="240371BF"/>
    <w:rsid w:val="25C741E6"/>
    <w:rsid w:val="26D27249"/>
    <w:rsid w:val="26DA48D0"/>
    <w:rsid w:val="27842671"/>
    <w:rsid w:val="28E17B69"/>
    <w:rsid w:val="29FD04D3"/>
    <w:rsid w:val="2ABE7A3E"/>
    <w:rsid w:val="2C733783"/>
    <w:rsid w:val="2CCA433A"/>
    <w:rsid w:val="2D2A393B"/>
    <w:rsid w:val="2EFA178C"/>
    <w:rsid w:val="2F1B2230"/>
    <w:rsid w:val="30B46D73"/>
    <w:rsid w:val="319F7F4E"/>
    <w:rsid w:val="32B8241C"/>
    <w:rsid w:val="358B3C95"/>
    <w:rsid w:val="39AE70AB"/>
    <w:rsid w:val="3AFD0FB6"/>
    <w:rsid w:val="3C0C0783"/>
    <w:rsid w:val="3D3A562D"/>
    <w:rsid w:val="3D6A6E38"/>
    <w:rsid w:val="3E054F26"/>
    <w:rsid w:val="3F795B0E"/>
    <w:rsid w:val="3F9F3A96"/>
    <w:rsid w:val="42C93627"/>
    <w:rsid w:val="448036D3"/>
    <w:rsid w:val="493C27E9"/>
    <w:rsid w:val="496F39ED"/>
    <w:rsid w:val="49FF41D3"/>
    <w:rsid w:val="4A185DC8"/>
    <w:rsid w:val="4BE068DB"/>
    <w:rsid w:val="4BF6002B"/>
    <w:rsid w:val="4C920C28"/>
    <w:rsid w:val="4ECE2238"/>
    <w:rsid w:val="51DB4B86"/>
    <w:rsid w:val="53D7529B"/>
    <w:rsid w:val="55333C3E"/>
    <w:rsid w:val="5A646B89"/>
    <w:rsid w:val="64267186"/>
    <w:rsid w:val="64CA39A1"/>
    <w:rsid w:val="6691626C"/>
    <w:rsid w:val="6C4A05C8"/>
    <w:rsid w:val="6CE95A0F"/>
    <w:rsid w:val="717F5D50"/>
    <w:rsid w:val="72734D90"/>
    <w:rsid w:val="74E366CA"/>
    <w:rsid w:val="79E7B28D"/>
    <w:rsid w:val="7EC66B14"/>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99"/>
    <w:pPr>
      <w:spacing w:beforeLines="30"/>
    </w:pPr>
    <w:rPr>
      <w:rFonts w:ascii="仿宋_GB2312" w:eastAsia="仿宋_GB2312"/>
      <w:kern w:val="0"/>
      <w:sz w:val="30"/>
    </w:rPr>
  </w:style>
  <w:style w:type="paragraph" w:styleId="6">
    <w:name w:val="Normal Indent"/>
    <w:basedOn w:val="1"/>
    <w:qFormat/>
    <w:uiPriority w:val="99"/>
    <w:pPr>
      <w:ind w:firstLine="420" w:firstLineChars="200"/>
    </w:pPr>
  </w:style>
  <w:style w:type="paragraph" w:styleId="7">
    <w:name w:val="Body Text Indent"/>
    <w:basedOn w:val="1"/>
    <w:qFormat/>
    <w:uiPriority w:val="99"/>
    <w:pPr>
      <w:ind w:firstLine="630"/>
      <w:jc w:val="left"/>
    </w:pPr>
    <w:rPr>
      <w:rFonts w:eastAsia="黑体"/>
      <w:sz w:val="3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next w:val="15"/>
    <w:qFormat/>
    <w:uiPriority w:val="0"/>
    <w:rPr>
      <w:sz w:val="24"/>
    </w:rPr>
  </w:style>
  <w:style w:type="paragraph" w:styleId="15">
    <w:name w:val="Body Text First Indent"/>
    <w:basedOn w:val="2"/>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paragraph" w:styleId="16">
    <w:name w:val="Body Text First Indent 2"/>
    <w:basedOn w:val="7"/>
    <w:qFormat/>
    <w:uiPriority w:val="99"/>
    <w:pPr>
      <w:spacing w:after="120"/>
      <w:ind w:left="420" w:leftChars="200" w:firstLine="42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9"/>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Normal (Web)1"/>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986.31</c:v>
                </c:pt>
                <c:pt idx="1">
                  <c:v>904.52</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Sheet1!$C$2:$C$3</c:f>
              <c:numCache>
                <c:formatCode>General</c:formatCode>
                <c:ptCount val="2"/>
                <c:pt idx="0">
                  <c:v>986.31</c:v>
                </c:pt>
                <c:pt idx="1">
                  <c:v>904.52</c:v>
                </c:pt>
              </c:numCache>
            </c:numRef>
          </c:val>
        </c:ser>
        <c:dLbls>
          <c:showLegendKey val="0"/>
          <c:showVal val="0"/>
          <c:showCatName val="0"/>
          <c:showSerName val="0"/>
          <c:showPercent val="0"/>
          <c:showBubbleSize val="0"/>
        </c:dLbls>
        <c:gapWidth val="75"/>
        <c:overlap val="0"/>
        <c:axId val="217321852"/>
        <c:axId val="239881672"/>
      </c:barChart>
      <c:catAx>
        <c:axId val="2173218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9881672"/>
        <c:crosses val="autoZero"/>
        <c:auto val="1"/>
        <c:lblAlgn val="ctr"/>
        <c:lblOffset val="100"/>
        <c:noMultiLvlLbl val="0"/>
      </c:catAx>
      <c:valAx>
        <c:axId val="239881672"/>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73218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904.52</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760.12</c:v>
                </c:pt>
                <c:pt idx="1">
                  <c:v>144.4</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Sheet1!$B$1</c:f>
              <c:strCache>
                <c:ptCount val="1"/>
                <c:pt idx="0">
                  <c:v>收入</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986.31</c:v>
                </c:pt>
                <c:pt idx="1">
                  <c:v>904.52</c:v>
                </c:pt>
              </c:numCache>
            </c:numRef>
          </c:val>
        </c:ser>
        <c:ser>
          <c:idx val="2"/>
          <c:order val="1"/>
          <c:tx>
            <c:strRef>
              <c:f>Sheet1!$C$1</c:f>
              <c:strCache>
                <c:ptCount val="1"/>
                <c:pt idx="0">
                  <c:v>支出</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Sheet1!$C$2:$C$3</c:f>
              <c:numCache>
                <c:formatCode>General</c:formatCode>
                <c:ptCount val="2"/>
                <c:pt idx="0">
                  <c:v>986.31</c:v>
                </c:pt>
                <c:pt idx="1">
                  <c:v>904.52</c:v>
                </c:pt>
              </c:numCache>
            </c:numRef>
          </c:val>
        </c:ser>
        <c:dLbls>
          <c:showLegendKey val="0"/>
          <c:showVal val="0"/>
          <c:showCatName val="0"/>
          <c:showSerName val="0"/>
          <c:showPercent val="0"/>
          <c:showBubbleSize val="0"/>
        </c:dLbls>
        <c:gapWidth val="75"/>
        <c:overlap val="0"/>
        <c:axId val="784685633"/>
        <c:axId val="855525592"/>
      </c:barChart>
      <c:catAx>
        <c:axId val="7846856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5525592"/>
        <c:crosses val="autoZero"/>
        <c:auto val="1"/>
        <c:lblAlgn val="ctr"/>
        <c:lblOffset val="100"/>
        <c:noMultiLvlLbl val="0"/>
      </c:catAx>
      <c:valAx>
        <c:axId val="855525592"/>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46856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Sheet1!$B$1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986.31</c:v>
                </c:pt>
                <c:pt idx="1">
                  <c:v>904.52</c:v>
                </c:pt>
              </c:numCache>
            </c:numRef>
          </c:val>
        </c:ser>
        <c:dLbls>
          <c:showLegendKey val="0"/>
          <c:showVal val="0"/>
          <c:showCatName val="0"/>
          <c:showSerName val="0"/>
          <c:showPercent val="0"/>
          <c:showBubbleSize val="0"/>
        </c:dLbls>
        <c:gapWidth val="75"/>
        <c:overlap val="0"/>
        <c:axId val="131758021"/>
        <c:axId val="106448698"/>
      </c:barChart>
      <c:catAx>
        <c:axId val="1317580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448698"/>
        <c:crosses val="autoZero"/>
        <c:auto val="1"/>
        <c:lblAlgn val="ctr"/>
        <c:lblOffset val="100"/>
        <c:noMultiLvlLbl val="0"/>
      </c:catAx>
      <c:valAx>
        <c:axId val="10644869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17580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一般公共服务（类）</c:v>
                </c:pt>
                <c:pt idx="1">
                  <c:v>教育支出（类）</c:v>
                </c:pt>
                <c:pt idx="2">
                  <c:v>科学技术（类）</c:v>
                </c:pt>
                <c:pt idx="3">
                  <c:v>文化旅游体育与传媒（类）</c:v>
                </c:pt>
                <c:pt idx="4">
                  <c:v>社会保障和就业（类）</c:v>
                </c:pt>
                <c:pt idx="5">
                  <c:v>卫生健康</c:v>
                </c:pt>
                <c:pt idx="6">
                  <c:v>住房保障支出</c:v>
                </c:pt>
              </c:strCache>
            </c:strRef>
          </c:cat>
          <c:val>
            <c:numRef>
              <c:f>Sheet1!$B$2:$B$8</c:f>
              <c:numCache>
                <c:formatCode>General</c:formatCode>
                <c:ptCount val="7"/>
                <c:pt idx="0">
                  <c:v>780.35</c:v>
                </c:pt>
                <c:pt idx="1">
                  <c:v>0</c:v>
                </c:pt>
                <c:pt idx="2">
                  <c:v>0</c:v>
                </c:pt>
                <c:pt idx="3">
                  <c:v>0</c:v>
                </c:pt>
                <c:pt idx="4">
                  <c:v>49.92</c:v>
                </c:pt>
                <c:pt idx="5">
                  <c:v>26.61</c:v>
                </c:pt>
                <c:pt idx="6">
                  <c:v>47.64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zh-CN"/>
              <a:t>三公</a:t>
            </a:r>
            <a:r>
              <a:rPr lang="en-US" altLang="zh-CN"/>
              <a:t>”</a:t>
            </a:r>
            <a:r>
              <a:rPr altLang="en-US"/>
              <a:t>经费财政拨款支出决算具体情况说明</a:t>
            </a:r>
            <a:endParaRPr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0</c:v>
                </c:pt>
                <c:pt idx="2">
                  <c:v>12.8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8483</Words>
  <Characters>8929</Characters>
  <Lines>61</Lines>
  <Paragraphs>17</Paragraphs>
  <TotalTime>12</TotalTime>
  <ScaleCrop>false</ScaleCrop>
  <LinksUpToDate>false</LinksUpToDate>
  <CharactersWithSpaces>8979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DELL</cp:lastModifiedBy>
  <cp:lastPrinted>2022-08-06T02:23:00Z</cp:lastPrinted>
  <dcterms:modified xsi:type="dcterms:W3CDTF">2023-09-21T07:59:17Z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157264CE9D714EFBAFDD4A1BC3092833_13</vt:lpwstr>
  </property>
</Properties>
</file>