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02FD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广元市昭化区经济信息化和科学技术局</w:t>
      </w:r>
    </w:p>
    <w:p w14:paraId="59CB71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2025年部门预算编制说明</w:t>
      </w:r>
    </w:p>
    <w:p w14:paraId="49E1EB3A">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459A14F8">
      <w:pPr>
        <w:pStyle w:val="6"/>
        <w:tabs>
          <w:tab w:val="right" w:leader="dot" w:pos="8845"/>
        </w:tabs>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TOC \o "1-2" \h \u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_Toc29166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_Toc29166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15EC910A">
      <w:pPr>
        <w:pStyle w:val="8"/>
        <w:tabs>
          <w:tab w:val="right" w:leader="dot" w:pos="8845"/>
        </w:tabs>
        <w:ind w:left="0" w:leftChars="0" w:firstLine="0" w:firstLineChars="0"/>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_Toc3303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_Toc3303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5839B0D3">
      <w:pPr>
        <w:pStyle w:val="8"/>
        <w:tabs>
          <w:tab w:val="right" w:leader="dot" w:pos="8845"/>
        </w:tabs>
        <w:ind w:left="0" w:leftChars="0" w:firstLine="0" w:firstLineChars="0"/>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_Toc24170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（二）单位2025年重点工作</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_Toc24170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7</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5B1EB4F4">
      <w:pPr>
        <w:pStyle w:val="6"/>
        <w:tabs>
          <w:tab w:val="right" w:leader="dot" w:pos="8845"/>
        </w:tabs>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_Toc29706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_Toc29706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10DEF9E8">
      <w:pPr>
        <w:pStyle w:val="6"/>
        <w:tabs>
          <w:tab w:val="right" w:leader="dot" w:pos="8845"/>
        </w:tabs>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_Toc99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_Toc99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447D5037">
      <w:pPr>
        <w:pStyle w:val="8"/>
        <w:tabs>
          <w:tab w:val="right" w:leader="dot" w:pos="8845"/>
        </w:tabs>
        <w:ind w:left="0" w:leftChars="0" w:firstLine="0" w:firstLineChars="0"/>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_Toc28826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_Toc28826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63C9AE27">
      <w:pPr>
        <w:pStyle w:val="8"/>
        <w:tabs>
          <w:tab w:val="right" w:leader="dot" w:pos="8845"/>
        </w:tabs>
        <w:ind w:left="0" w:leftChars="0" w:firstLine="0" w:firstLineChars="0"/>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_Toc10594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_Toc10594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10</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446C7B92">
      <w:pPr>
        <w:pStyle w:val="6"/>
        <w:tabs>
          <w:tab w:val="right" w:leader="dot" w:pos="8845"/>
        </w:tabs>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_Toc18223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_Toc18223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10</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0422F2CA">
      <w:pPr>
        <w:pStyle w:val="6"/>
        <w:tabs>
          <w:tab w:val="right" w:leader="dot" w:pos="8845"/>
        </w:tabs>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_Toc10250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_Toc10250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10</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6B48C731">
      <w:pPr>
        <w:pStyle w:val="8"/>
        <w:tabs>
          <w:tab w:val="right" w:leader="dot" w:pos="8845"/>
        </w:tabs>
        <w:ind w:left="0" w:leftChars="0" w:firstLine="0" w:firstLineChars="0"/>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_Toc24229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_Toc24229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10</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48478315">
      <w:pPr>
        <w:pStyle w:val="8"/>
        <w:tabs>
          <w:tab w:val="right" w:leader="dot" w:pos="8845"/>
        </w:tabs>
        <w:ind w:left="0" w:leftChars="0" w:firstLine="0" w:firstLineChars="0"/>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_Toc22398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_Toc22398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10</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3E533AFE">
      <w:pPr>
        <w:pStyle w:val="8"/>
        <w:tabs>
          <w:tab w:val="right" w:leader="dot" w:pos="8845"/>
        </w:tabs>
        <w:ind w:left="0" w:leftChars="0" w:firstLine="0" w:firstLineChars="0"/>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_Toc24163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_Toc24163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11</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2EC83816">
      <w:pPr>
        <w:pStyle w:val="6"/>
        <w:tabs>
          <w:tab w:val="right" w:leader="dot" w:pos="8845"/>
        </w:tabs>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_Toc24342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_Toc24342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12</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74405F2F">
      <w:pPr>
        <w:pStyle w:val="6"/>
        <w:tabs>
          <w:tab w:val="right" w:leader="dot" w:pos="8845"/>
        </w:tabs>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_Toc8130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_Toc8130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13</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07C4764C">
      <w:pPr>
        <w:pStyle w:val="6"/>
        <w:tabs>
          <w:tab w:val="right" w:leader="dot" w:pos="8845"/>
        </w:tabs>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_Toc19620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_Toc19620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13</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4550E821">
      <w:pPr>
        <w:pStyle w:val="6"/>
        <w:tabs>
          <w:tab w:val="right" w:leader="dot" w:pos="8845"/>
        </w:tabs>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_Toc5058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_Toc5058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13</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66CA8393">
      <w:pPr>
        <w:pStyle w:val="6"/>
        <w:tabs>
          <w:tab w:val="right" w:leader="dot" w:pos="8845"/>
        </w:tabs>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_Toc17865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_Toc17865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14</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317E757A">
      <w:pPr>
        <w:pStyle w:val="6"/>
        <w:tabs>
          <w:tab w:val="right" w:leader="dot" w:pos="8845"/>
        </w:tabs>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HYPERLINK \l _Toc1916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instrText xml:space="preserve"> PAGEREF _Toc1916 \h </w:instrTex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14</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41FF404C">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fldChar w:fldCharType="end"/>
      </w:r>
    </w:p>
    <w:p w14:paraId="204247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70807CD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385F3C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A7C86E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C5E93B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2419C84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6EF9705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4DB169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6D5D6E4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C71BF6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C9F6C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24F3640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BE81B0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5E1C43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A0C3D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14:paraId="3326ED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0" w:name="_Toc7526"/>
      <w:bookmarkStart w:id="1" w:name="_Toc29166"/>
      <w:r>
        <w:rPr>
          <w:rFonts w:hint="eastAsia" w:ascii="黑体" w:hAnsi="黑体" w:eastAsia="黑体" w:cs="黑体"/>
          <w:sz w:val="32"/>
          <w:szCs w:val="32"/>
          <w:lang w:val="en-US" w:eastAsia="zh-CN"/>
        </w:rPr>
        <w:t>一、基本职能及主要工作</w:t>
      </w:r>
      <w:bookmarkEnd w:id="0"/>
      <w:bookmarkEnd w:id="1"/>
    </w:p>
    <w:p w14:paraId="733C1E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22834"/>
      <w:bookmarkStart w:id="3" w:name="_Toc3303"/>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单位</w:t>
      </w:r>
      <w:r>
        <w:rPr>
          <w:rFonts w:hint="eastAsia" w:ascii="楷体_GB2312" w:hAnsi="楷体_GB2312" w:eastAsia="楷体_GB2312" w:cs="楷体_GB2312"/>
          <w:sz w:val="32"/>
          <w:szCs w:val="32"/>
        </w:rPr>
        <w:t>职能简介</w:t>
      </w:r>
      <w:bookmarkEnd w:id="2"/>
      <w:bookmarkEnd w:id="3"/>
    </w:p>
    <w:p w14:paraId="77BA91B7">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办公室（政策法</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规股</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机关日常政务的综合协调工作；负责机关文秘、信息、档案、机要、保密、安全保卫、综治、提案议案办理、爱国卫生、会务、后勤保障、值班等工作；负责机关目标绩效管理及重要事项的督查督办工作；负责组织机关电子政务建设、政务公开工作；牵头负责宣传工作；承办有关行政审批及公共服务事项</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承担本部门推进依法行政工作的组织协调和督促指导，承担行政执法监督、行政复议、行政诉讼、行政调解、组织听证及行政赔偿和规范性文件审核和备案工作；起草工业经济、科学技术、信息化和无线电管理等政策规定；负责拟定本部门行政审批制度和办事流程，依法提出行政审批事项调整意见。</w:t>
      </w:r>
    </w:p>
    <w:p w14:paraId="338AE487">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计划财务股。负责局机关和直属事业单位机构编制、人事管理、教育培训、劳动保障等工作；负责离退休人员的管理与服务工作；组织落实国家、省、市有关中长期培训规划和年度培训计划；承担引进国（境）外人才、智力和企业管理人员出国培训工作；编制部门预决算并组织实施，负责机关财务管理和会计核算；负责政府集中采购项目报批和国有资产监管；负责工业、科技、信息化等财政专项资金的管理和监督。</w:t>
      </w:r>
    </w:p>
    <w:p w14:paraId="12E5047B">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工业运行股。负责经济运行综合管理，监测、分析工业经济运行态势和质量，建立工业经济运行预警机制，对重大问题提出政策措施建议；制定年度工业经济责任目标并监督实施；负责工业经济重大政策执行情况的绩效评估；负责工业经济信息收集、处理、研究、发布和企业服务6S平台建设；指导工业发展规划编制、重大产业化项目布局和建设工作；负责工业淘汰落后产能工作，组织申报淘汰落后产能专项资金项目；</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组织推进战略性新兴产业重点产品、技术、企业、产业链培育建设；组织推进相关重点项目和技术经济合作</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。组织协调经济运行中的重大问题；负责工业安全生产和应急管理；综合分析市场动态和发展趋势，拟订工业企业开拓市场和产品促销的政策措施。</w:t>
      </w:r>
    </w:p>
    <w:p w14:paraId="245686D7">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统筹大中小企业协调配套发展；负责大企业大集团的培育；指导国家、省、市、区确定的重点非公有制企业发展；负责中小企业发展规划和综合协调工作；</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牵头做好企业降本减负工作；</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指导企业实施改革改组改造和兼并重组，指导企业建立现代企业制度和加强管理工作。拟订鼓励小企业发展的政策措施并组织实施；推进小企业创业平台建设，开展小企业创业基地建设和中小企业发展基地建设工作；指导开展小企业创业辅导培训；组织推进中小企业服务体系建设，规范中小企业服务市场；指导和促进创业投资发展。</w:t>
      </w:r>
    </w:p>
    <w:p w14:paraId="50E96778">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负责全</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区</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盐业行业管理，承担食盐专营管理工作。组织贯彻落实国家、省、市食盐专营政策和相关盐业法规规章，拟订全</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区</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有关盐业规范性文件草案；负责组织编制全</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区</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盐行业发展规划，制定产业政策；指导和推动盐行业结构调整、技术进步；制定和组织实施食盐供应应急预案，落实食盐储备制度</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p>
    <w:p w14:paraId="436C76D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b w:val="0"/>
          <w:bCs/>
          <w:color w:val="000000" w:themeColor="text1"/>
          <w:kern w:val="2"/>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项目</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投资</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股</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。负责全</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工业投资及技术改造工作；拟订并组织实施工业企业技术改造中长期投资规划和指南、年度计划和政策；组织重大工业企业技术改造项目申报国家、省有关专项计划并监督实施；转报备案企业技术改造项目；负责工业技术改造项目享受优惠政策的确认；牵头负责工业项目库建设，提出</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上</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级工业发展资金使用方向和原则；负责企业技术创新体系建设，拟订企业技术创新政策措施和指南，组织推动产学研协同发展；编制企业技术创新项目计划并组织实施；指导和扶持工业新产品、新技术、新工艺和新设备的研发与推广应用</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p>
    <w:p w14:paraId="2941DD8A">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能源电力股</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电力、成品油的综合调控、紧急调度；负责成品油经营许可及市场监管；负责电力运行调度管理；制定中长期电力运行调控目标和方案，平衡电力资源；负责电力资源配置和电力市场化交易协调工作，指导协调电力生产调度和并网管理，推进电力需求侧管理；实施供电营业等电力许可；协调处理电力运行中的重大问题；负责电力行政执法工作</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；负责对全区高压管输企业安全生产的日常性监督、检查与管理。</w:t>
      </w:r>
    </w:p>
    <w:p w14:paraId="657EE903">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信息化</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股</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。统筹推进信息化工作</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协同推进智慧城市和数字乡村融合工作</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负责促进工业数字化，推进数字经济和实体经济深度融合运用</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负责推进信息化和工业化融合，拟订并组织实施信息化和工业化融合发展战略、规划、政策和标准</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组织实施数字技术推广运用，促进工业互联网、物联网、云计算、区块链、人工智能等工作</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组织开展信息化绩效评估</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负责工业和信息化领域数据资源开发利用</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负责工业和信息化领域信息安全、数据安全工作</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负责软件与信息服务业行业管理，组织实施行业发展规划和技术标准、规范。统筹推进全区信息安全产业发展，拟订并组织实施发展战略、规划、政策和标准。牵头组织协调全区工业领域信息安全工作</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推进信息安全保障体系建设，指导政府部门、重点行业重要信息系统安全保障，参与处理网络与信息重大安全事件。负责元宇宙产业发展，推进元宇宙应用场景实施。负责信息技术应用创新(信创)能力建设及产品推广应用。协调信息安全测评，数字认证、等级保护等工作</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推进信息网络发展及应用，协调信息网络涉及社会公众利益重大事项。贯彻执行《四川省电信设施建设和保护条例》</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统筹推进信息资源开放、共享和开发利用</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负责软件与信息服务业行业管理</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负责信息基础设施建设的规划协调和管理，统一规划并协调管理重大项目、工程通信设施</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负责无线电管理发展规划，依法查处无线电违法行为:组织实施无线电管制</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负责组织重要时期、重点区域、重大活动的无线电安全保障:管理无线电发射设备市场</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负责协调有关无线电行政执法事宜</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负责无线电台(站)的日常管理</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负责区内无线电机构的监督</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检查</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指导，指导无线电管理相关协(学)会工作。</w:t>
      </w:r>
    </w:p>
    <w:p w14:paraId="4E803897">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楷体_GB2312" w:hAnsi="楷体_GB2312" w:eastAsia="楷体_GB2312" w:cs="楷体_GB2312"/>
          <w:sz w:val="32"/>
          <w:szCs w:val="32"/>
        </w:rPr>
      </w:pP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科技股。</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拟订全区科技发展的中长期规划、年度计划科普工作规划和政策</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拟订全区科技发展重大战略、重大规划并督促实施。负责全区科学技术普及工作</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负责科技法律、法规的宣传普及和教育培训</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指导全区高新技术产业发展，推动企业自主创新能力建设，负责组织国家高新技术企业、科技型中小企业申报工作</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推动完善区域科技创新体系建设，指导区域创新发展和协同创新能力建设</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拟订科技成果评价、科技奖励、科技成果推广、促进技术市场和科技中介组织发展的政策措施，负责统筹科学技术奖励相关工作</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指导科技成果转化与推广应用工作，负责科技成果推广项目发布和高新技术成果转化项目的认定、申报工作</w:t>
      </w:r>
      <w:r>
        <w:rPr>
          <w:rFonts w:hint="eastAsia"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负责科技计划项目、科技园区建设、行业科技规划工作。</w:t>
      </w:r>
    </w:p>
    <w:p w14:paraId="02D2BF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4" w:name="_Toc24170"/>
      <w:bookmarkStart w:id="5" w:name="_Toc18531"/>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单位</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bookmarkEnd w:id="4"/>
      <w:bookmarkEnd w:id="5"/>
    </w:p>
    <w:p w14:paraId="196CAA64">
      <w:pPr>
        <w:spacing w:line="576" w:lineRule="exact"/>
        <w:ind w:firstLine="640" w:firstLineChars="200"/>
        <w:rPr>
          <w:rFonts w:hint="eastAsia" w:ascii="仿宋_GB2312" w:eastAsia="仿宋_GB2312"/>
          <w:sz w:val="32"/>
          <w:szCs w:val="32"/>
        </w:rPr>
      </w:pPr>
      <w:r>
        <w:rPr>
          <w:rFonts w:hint="eastAsia" w:ascii="楷体_GB2312" w:eastAsia="楷体_GB2312"/>
          <w:b w:val="0"/>
          <w:bCs/>
          <w:sz w:val="32"/>
          <w:szCs w:val="32"/>
          <w:lang w:val="en-US" w:eastAsia="zh-CN"/>
        </w:rPr>
        <w:t>1.</w:t>
      </w:r>
      <w:r>
        <w:rPr>
          <w:rFonts w:hint="eastAsia" w:ascii="楷体_GB2312" w:eastAsia="楷体_GB2312"/>
          <w:b w:val="0"/>
          <w:bCs/>
          <w:sz w:val="32"/>
          <w:szCs w:val="32"/>
        </w:rPr>
        <w:t>培育存量企业，做大做优做强。</w:t>
      </w:r>
      <w:r>
        <w:rPr>
          <w:rFonts w:hint="eastAsia" w:ascii="仿宋_GB2312" w:eastAsia="仿宋_GB2312"/>
          <w:sz w:val="32"/>
          <w:szCs w:val="32"/>
        </w:rPr>
        <w:t>对接中粮集团保障中粮油脂明年生产计划指标合理扩张；积极向省能源部门争取大唐电力、中电建发电市场份额和增加发电量计划额度，稳住基本盘；</w:t>
      </w:r>
      <w:r>
        <w:rPr>
          <w:rFonts w:hint="eastAsia" w:ascii="Times New Roman" w:hAnsi="Times New Roman" w:eastAsia="仿宋_GB2312"/>
          <w:sz w:val="32"/>
          <w:szCs w:val="32"/>
        </w:rPr>
        <w:t>5</w:t>
      </w:r>
      <w:r>
        <w:rPr>
          <w:rFonts w:hint="eastAsia" w:ascii="仿宋_GB2312" w:eastAsia="仿宋_GB2312"/>
          <w:sz w:val="32"/>
          <w:szCs w:val="32"/>
        </w:rPr>
        <w:t>家水晶饰品企业二期一季度开工建设，余下</w:t>
      </w:r>
      <w:r>
        <w:rPr>
          <w:rFonts w:hint="eastAsia" w:ascii="Times New Roman" w:hAnsi="Times New Roman" w:eastAsia="仿宋_GB2312"/>
          <w:sz w:val="32"/>
          <w:szCs w:val="32"/>
        </w:rPr>
        <w:t>4</w:t>
      </w:r>
      <w:r>
        <w:rPr>
          <w:rFonts w:hint="eastAsia" w:ascii="仿宋_GB2312" w:eastAsia="仿宋_GB2312"/>
          <w:sz w:val="32"/>
          <w:szCs w:val="32"/>
        </w:rPr>
        <w:t>家同类企业满负荷运行；中发新材料产能全部由山东转移昭化，广之铝企业开拓市场；推进泽瑞堂、美好世家建成投产；千川门窗、建丰林产新材料、山清米业加快建设投产步伐。确保</w:t>
      </w:r>
      <w:r>
        <w:rPr>
          <w:rFonts w:hint="eastAsia" w:ascii="Times New Roman" w:hAnsi="Times New Roman" w:eastAsia="仿宋_GB2312"/>
          <w:sz w:val="32"/>
          <w:szCs w:val="32"/>
        </w:rPr>
        <w:t>2025</w:t>
      </w:r>
      <w:r>
        <w:rPr>
          <w:rFonts w:hint="eastAsia" w:ascii="仿宋_GB2312" w:eastAsia="仿宋_GB2312"/>
          <w:sz w:val="32"/>
          <w:szCs w:val="32"/>
        </w:rPr>
        <w:t>年，规模以上工业总产值完成</w:t>
      </w:r>
      <w:r>
        <w:rPr>
          <w:rFonts w:hint="eastAsia" w:ascii="Times New Roman" w:hAnsi="Times New Roman" w:eastAsia="仿宋_GB2312"/>
          <w:sz w:val="32"/>
          <w:szCs w:val="32"/>
        </w:rPr>
        <w:t>55</w:t>
      </w:r>
      <w:r>
        <w:rPr>
          <w:rFonts w:hint="eastAsia" w:ascii="仿宋_GB2312" w:eastAsia="仿宋_GB2312"/>
          <w:sz w:val="32"/>
          <w:szCs w:val="32"/>
        </w:rPr>
        <w:t>亿元以上，规模以上工业增加值增速</w:t>
      </w:r>
      <w:r>
        <w:rPr>
          <w:rFonts w:hint="eastAsia" w:ascii="Times New Roman" w:hAnsi="Times New Roman" w:eastAsia="仿宋_GB2312"/>
          <w:sz w:val="32"/>
          <w:szCs w:val="32"/>
        </w:rPr>
        <w:t>15%</w:t>
      </w:r>
      <w:r>
        <w:rPr>
          <w:rFonts w:hint="eastAsia" w:ascii="仿宋_GB2312" w:eastAsia="仿宋_GB2312"/>
          <w:sz w:val="32"/>
          <w:szCs w:val="32"/>
        </w:rPr>
        <w:t>。加大琪琪玻璃、昭元投资等企业培育力度，力争全年新培育规上企业</w:t>
      </w:r>
      <w:r>
        <w:rPr>
          <w:rFonts w:hint="eastAsia" w:ascii="Times New Roman" w:hAnsi="Times New Roman" w:eastAsia="仿宋_GB2312"/>
          <w:sz w:val="32"/>
          <w:szCs w:val="32"/>
        </w:rPr>
        <w:t>8</w:t>
      </w:r>
      <w:r>
        <w:rPr>
          <w:rFonts w:hint="eastAsia" w:ascii="仿宋_GB2312" w:eastAsia="仿宋_GB2312"/>
          <w:sz w:val="32"/>
          <w:szCs w:val="32"/>
        </w:rPr>
        <w:t>家以上、亿元企业</w:t>
      </w:r>
      <w:r>
        <w:rPr>
          <w:rFonts w:hint="eastAsia" w:ascii="Times New Roman" w:hAnsi="Times New Roman" w:eastAsia="仿宋_GB2312"/>
          <w:sz w:val="32"/>
          <w:szCs w:val="32"/>
        </w:rPr>
        <w:t>5</w:t>
      </w:r>
      <w:r>
        <w:rPr>
          <w:rFonts w:hint="eastAsia" w:ascii="仿宋_GB2312" w:eastAsia="仿宋_GB2312"/>
          <w:sz w:val="32"/>
          <w:szCs w:val="32"/>
        </w:rPr>
        <w:t>家以上、“专精特新”企业</w:t>
      </w:r>
      <w:r>
        <w:rPr>
          <w:rFonts w:hint="eastAsia" w:ascii="Times New Roman" w:hAnsi="Times New Roman" w:eastAsia="仿宋_GB2312"/>
          <w:sz w:val="32"/>
          <w:szCs w:val="32"/>
        </w:rPr>
        <w:t>1</w:t>
      </w:r>
      <w:r>
        <w:rPr>
          <w:rFonts w:hint="eastAsia" w:ascii="仿宋_GB2312" w:eastAsia="仿宋_GB2312"/>
          <w:sz w:val="32"/>
          <w:szCs w:val="32"/>
        </w:rPr>
        <w:t>家以上，确保全区工业经济重回全市“第一方阵”。一季度，规模以上工业总产值完成</w:t>
      </w:r>
      <w:r>
        <w:rPr>
          <w:rFonts w:hint="eastAsia" w:ascii="Times New Roman" w:hAnsi="Times New Roman" w:eastAsia="仿宋_GB2312"/>
          <w:sz w:val="32"/>
          <w:szCs w:val="32"/>
        </w:rPr>
        <w:t>9</w:t>
      </w:r>
      <w:r>
        <w:rPr>
          <w:rFonts w:hint="eastAsia" w:ascii="仿宋_GB2312" w:eastAsia="仿宋_GB2312"/>
          <w:sz w:val="32"/>
          <w:szCs w:val="32"/>
        </w:rPr>
        <w:t>.</w:t>
      </w:r>
      <w:r>
        <w:rPr>
          <w:rFonts w:hint="eastAsia" w:ascii="Times New Roman" w:hAnsi="Times New Roman" w:eastAsia="仿宋_GB2312"/>
          <w:sz w:val="32"/>
          <w:szCs w:val="32"/>
        </w:rPr>
        <w:t>4</w:t>
      </w:r>
      <w:r>
        <w:rPr>
          <w:rFonts w:hint="eastAsia" w:ascii="仿宋_GB2312" w:eastAsia="仿宋_GB2312"/>
          <w:sz w:val="32"/>
          <w:szCs w:val="32"/>
        </w:rPr>
        <w:t>亿元以上，规模以上工业增加值增速</w:t>
      </w:r>
      <w:r>
        <w:rPr>
          <w:rFonts w:hint="eastAsia" w:ascii="Times New Roman" w:hAnsi="Times New Roman" w:eastAsia="仿宋_GB2312"/>
          <w:sz w:val="32"/>
          <w:szCs w:val="32"/>
        </w:rPr>
        <w:t>11</w:t>
      </w:r>
      <w:r>
        <w:rPr>
          <w:rFonts w:hint="eastAsia" w:ascii="仿宋_GB2312" w:eastAsia="仿宋_GB2312"/>
          <w:sz w:val="32"/>
          <w:szCs w:val="32"/>
        </w:rPr>
        <w:t>.</w:t>
      </w:r>
      <w:r>
        <w:rPr>
          <w:rFonts w:hint="eastAsia" w:ascii="Times New Roman" w:hAnsi="Times New Roman" w:eastAsia="仿宋_GB2312"/>
          <w:sz w:val="32"/>
          <w:szCs w:val="32"/>
        </w:rPr>
        <w:t>5%</w:t>
      </w:r>
      <w:r>
        <w:rPr>
          <w:rFonts w:hint="eastAsia" w:ascii="仿宋_GB2312" w:eastAsia="仿宋_GB2312"/>
          <w:sz w:val="32"/>
          <w:szCs w:val="32"/>
        </w:rPr>
        <w:t>以上，新培育规上企业</w:t>
      </w:r>
      <w:r>
        <w:rPr>
          <w:rFonts w:hint="eastAsia" w:ascii="Times New Roman" w:hAnsi="Times New Roman" w:eastAsia="仿宋_GB2312"/>
          <w:sz w:val="32"/>
          <w:szCs w:val="32"/>
        </w:rPr>
        <w:t>2</w:t>
      </w:r>
      <w:r>
        <w:rPr>
          <w:rFonts w:hint="eastAsia" w:ascii="仿宋_GB2312" w:eastAsia="仿宋_GB2312"/>
          <w:sz w:val="32"/>
          <w:szCs w:val="32"/>
        </w:rPr>
        <w:t>家。</w:t>
      </w:r>
    </w:p>
    <w:p w14:paraId="09FDCB3C">
      <w:pPr>
        <w:spacing w:line="576" w:lineRule="exact"/>
        <w:ind w:firstLine="640" w:firstLineChars="200"/>
        <w:rPr>
          <w:rFonts w:hint="eastAsia" w:ascii="仿宋_GB2312" w:eastAsia="仿宋_GB2312"/>
          <w:sz w:val="32"/>
          <w:szCs w:val="32"/>
        </w:rPr>
      </w:pPr>
      <w:r>
        <w:rPr>
          <w:rFonts w:hint="eastAsia" w:ascii="楷体_GB2312" w:eastAsia="楷体_GB2312" w:cs="Times New Roman"/>
          <w:b w:val="0"/>
          <w:bCs/>
          <w:sz w:val="32"/>
          <w:szCs w:val="32"/>
          <w:lang w:val="en-US" w:eastAsia="zh-CN"/>
        </w:rPr>
        <w:t>（二）强化精准招商，壮大产业集群。</w:t>
      </w:r>
      <w:r>
        <w:rPr>
          <w:rFonts w:hint="eastAsia" w:ascii="仿宋_GB2312" w:eastAsia="仿宋_GB2312"/>
          <w:sz w:val="32"/>
          <w:szCs w:val="32"/>
        </w:rPr>
        <w:t>围绕家居建材、食品饮料等主导产业，积极对接河北鑫利、河南中瑞等企业，争取尽快达成实质性合作意向。同时，盘活存量优化资源，加速对接中粮家佳康等收购、合作意向企业，力争在</w:t>
      </w:r>
      <w:r>
        <w:rPr>
          <w:rFonts w:hint="eastAsia" w:ascii="Times New Roman" w:hAnsi="Times New Roman" w:eastAsia="仿宋_GB2312"/>
          <w:sz w:val="32"/>
          <w:szCs w:val="32"/>
        </w:rPr>
        <w:t>2025</w:t>
      </w:r>
      <w:r>
        <w:rPr>
          <w:rFonts w:hint="eastAsia" w:ascii="仿宋_GB2312" w:eastAsia="仿宋_GB2312"/>
          <w:sz w:val="32"/>
          <w:szCs w:val="32"/>
        </w:rPr>
        <w:t>年上半年盘活福润、雨润等企业；加快推进司法拍卖，尽快帮助宗皇米酒等出售重整、恢复生产；对升达林业等涉法案件企业，积极对接法院加快工作进度，确保</w:t>
      </w:r>
      <w:r>
        <w:rPr>
          <w:rFonts w:hint="eastAsia" w:ascii="Times New Roman" w:hAnsi="Times New Roman" w:eastAsia="仿宋_GB2312"/>
          <w:sz w:val="32"/>
          <w:szCs w:val="32"/>
        </w:rPr>
        <w:t>4</w:t>
      </w:r>
      <w:r>
        <w:rPr>
          <w:rFonts w:hint="eastAsia" w:ascii="仿宋_GB2312" w:eastAsia="仿宋_GB2312"/>
          <w:sz w:val="32"/>
          <w:szCs w:val="32"/>
        </w:rPr>
        <w:t>月底完成破产程序。</w:t>
      </w:r>
    </w:p>
    <w:p w14:paraId="1A6500AD">
      <w:pPr>
        <w:spacing w:line="576" w:lineRule="exact"/>
        <w:ind w:firstLine="640" w:firstLineChars="200"/>
        <w:rPr>
          <w:rFonts w:hint="eastAsia" w:ascii="仿宋_GB2312" w:eastAsia="仿宋_GB2312"/>
          <w:sz w:val="32"/>
          <w:szCs w:val="32"/>
        </w:rPr>
      </w:pPr>
      <w:r>
        <w:rPr>
          <w:rFonts w:hint="eastAsia" w:ascii="楷体_GB2312" w:eastAsia="楷体_GB2312" w:cs="Times New Roman"/>
          <w:b w:val="0"/>
          <w:bCs/>
          <w:sz w:val="32"/>
          <w:szCs w:val="32"/>
          <w:lang w:val="en-US" w:eastAsia="zh-CN"/>
        </w:rPr>
        <w:t>（三）加快项目建设，稳定投资基础。</w:t>
      </w:r>
      <w:r>
        <w:rPr>
          <w:rFonts w:hint="eastAsia" w:ascii="仿宋_GB2312" w:eastAsia="仿宋_GB2312"/>
          <w:sz w:val="32"/>
          <w:szCs w:val="32"/>
        </w:rPr>
        <w:t>加强对在建、拟建工业项目建设服务力度，协调职能部门进一步强化资金、用地、用林、用水等要素保障，合力规范项目前期工作各项程序。督促泽瑞堂、虎跳砂石场、</w:t>
      </w:r>
      <w:r>
        <w:rPr>
          <w:rFonts w:hint="eastAsia" w:ascii="Times New Roman" w:hAnsi="Times New Roman" w:eastAsia="仿宋_GB2312"/>
          <w:sz w:val="32"/>
          <w:szCs w:val="32"/>
        </w:rPr>
        <w:t>110</w:t>
      </w:r>
      <w:r>
        <w:rPr>
          <w:rFonts w:hint="eastAsia" w:ascii="仿宋_GB2312" w:eastAsia="仿宋_GB2312"/>
          <w:sz w:val="32"/>
          <w:szCs w:val="32"/>
        </w:rPr>
        <w:t>KV城东变电站等项目尽快建成投产达效，督促美好世家、锐晶、凯恩特等企业尽快上马二期工程。加快推进千川、建丰、鲁丽和中粮油脂、香香嘴等工业和技改项目建设进度，加速推进新签约的山东品成、山东旭格等</w:t>
      </w:r>
      <w:r>
        <w:rPr>
          <w:rFonts w:hint="eastAsia" w:ascii="Times New Roman" w:hAnsi="Times New Roman" w:eastAsia="仿宋_GB2312"/>
          <w:sz w:val="32"/>
          <w:szCs w:val="32"/>
        </w:rPr>
        <w:t>4</w:t>
      </w:r>
      <w:r>
        <w:rPr>
          <w:rFonts w:hint="eastAsia" w:ascii="仿宋_GB2312" w:eastAsia="仿宋_GB2312"/>
          <w:sz w:val="32"/>
          <w:szCs w:val="32"/>
        </w:rPr>
        <w:t>家铝产业项目落地开建，为全区“两项投资”作出更大贡献。再研究谋划一批重大工业项目，招引一批短平快项目入驻，完善家居产业链上下游配套企业，加快形成新的增长动能，确保工业投资排名进入全市前</w:t>
      </w:r>
      <w:r>
        <w:rPr>
          <w:rFonts w:hint="eastAsia" w:ascii="Times New Roman" w:hAnsi="Times New Roman" w:eastAsia="仿宋_GB2312"/>
          <w:sz w:val="32"/>
          <w:szCs w:val="32"/>
        </w:rPr>
        <w:t>2</w:t>
      </w:r>
      <w:r>
        <w:rPr>
          <w:rFonts w:hint="eastAsia" w:ascii="仿宋_GB2312" w:eastAsia="仿宋_GB2312"/>
          <w:sz w:val="32"/>
          <w:szCs w:val="32"/>
        </w:rPr>
        <w:t>位。</w:t>
      </w:r>
    </w:p>
    <w:p w14:paraId="6E4E40A2">
      <w:pPr>
        <w:spacing w:line="576" w:lineRule="exact"/>
        <w:ind w:firstLine="640" w:firstLineChars="200"/>
        <w:rPr>
          <w:rFonts w:hint="eastAsia" w:ascii="楷体_GB2312" w:hAnsi="楷体_GB2312" w:eastAsia="楷体_GB2312" w:cs="楷体_GB2312"/>
          <w:sz w:val="32"/>
          <w:szCs w:val="32"/>
        </w:rPr>
      </w:pPr>
      <w:r>
        <w:rPr>
          <w:rFonts w:hint="eastAsia" w:ascii="楷体_GB2312" w:eastAsia="楷体_GB2312" w:cs="Times New Roman"/>
          <w:b w:val="0"/>
          <w:bCs/>
          <w:sz w:val="32"/>
          <w:szCs w:val="32"/>
          <w:lang w:val="en-US" w:eastAsia="zh-CN"/>
        </w:rPr>
        <w:t>（四）强化创新主体，优化创新环境。</w:t>
      </w:r>
      <w:r>
        <w:rPr>
          <w:rFonts w:hint="eastAsia" w:ascii="仿宋_GB2312" w:eastAsia="仿宋_GB2312"/>
          <w:sz w:val="32"/>
          <w:szCs w:val="32"/>
        </w:rPr>
        <w:t>加快制定《广元市昭化区进一步支持科技创新十条措施》，推动政策落地见效，营造良好的创新环境，激发企业的创新动力。全力跟进国家高新技术企业、科技型中小企业的培育辅导工作，常态化组织专家团队“点对点”开展培育服务，确保美好世家、信德农牧</w:t>
      </w:r>
      <w:r>
        <w:rPr>
          <w:rFonts w:hint="eastAsia" w:ascii="Times New Roman" w:hAnsi="Times New Roman" w:eastAsia="仿宋_GB2312"/>
          <w:sz w:val="32"/>
          <w:szCs w:val="32"/>
        </w:rPr>
        <w:t>2</w:t>
      </w:r>
      <w:r>
        <w:rPr>
          <w:rFonts w:hint="eastAsia" w:ascii="仿宋_GB2312" w:eastAsia="仿宋_GB2312"/>
          <w:sz w:val="32"/>
          <w:szCs w:val="32"/>
        </w:rPr>
        <w:t>家企业成功申报国家高新技术企业，润和城邦等</w:t>
      </w:r>
      <w:r>
        <w:rPr>
          <w:rFonts w:hint="eastAsia" w:ascii="Times New Roman" w:hAnsi="Times New Roman" w:eastAsia="仿宋_GB2312"/>
          <w:sz w:val="32"/>
          <w:szCs w:val="32"/>
        </w:rPr>
        <w:t>50</w:t>
      </w:r>
      <w:r>
        <w:rPr>
          <w:rFonts w:hint="eastAsia" w:ascii="仿宋_GB2312" w:eastAsia="仿宋_GB2312"/>
          <w:sz w:val="32"/>
          <w:szCs w:val="32"/>
        </w:rPr>
        <w:t>家企业入库国家科技型中小企业库。持续推进科技项目攻关，积极参与省市科研项目“揭榜挂帅”悬赏激励和“定向委托”试点，组织企业事业单位与高校、科研院所联合开展科技攻关，实施一批科技创新项目，在新材料、中药材深加工方面新建一批工程技术研发中心等创新平台。</w:t>
      </w:r>
    </w:p>
    <w:p w14:paraId="177EC8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6" w:name="_Toc29706"/>
      <w:bookmarkStart w:id="7" w:name="_Toc22721"/>
      <w:r>
        <w:rPr>
          <w:rFonts w:hint="eastAsia" w:ascii="黑体" w:hAnsi="黑体" w:eastAsia="黑体" w:cs="黑体"/>
          <w:sz w:val="32"/>
          <w:szCs w:val="32"/>
          <w:lang w:val="en-US" w:eastAsia="zh-CN"/>
        </w:rPr>
        <w:t>二、部门预算单位构成</w:t>
      </w:r>
      <w:bookmarkEnd w:id="6"/>
      <w:bookmarkEnd w:id="7"/>
    </w:p>
    <w:p w14:paraId="534BFA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bookmarkStart w:id="8" w:name="OLE_LINK1"/>
      <w:r>
        <w:rPr>
          <w:rFonts w:hint="eastAsia" w:ascii="仿宋_GB2312" w:hAnsi="仿宋_GB2312" w:eastAsia="仿宋_GB2312" w:cs="仿宋_GB2312"/>
          <w:sz w:val="32"/>
          <w:szCs w:val="32"/>
          <w:lang w:val="en-US" w:eastAsia="zh-CN"/>
        </w:rPr>
        <w:t>广元市昭化区经济信息化和科学技术局</w:t>
      </w:r>
      <w:bookmarkEnd w:id="8"/>
      <w:r>
        <w:rPr>
          <w:rFonts w:hint="eastAsia" w:ascii="仿宋_GB2312" w:hAnsi="仿宋_GB2312" w:eastAsia="仿宋_GB2312" w:cs="仿宋_GB2312"/>
          <w:sz w:val="32"/>
          <w:szCs w:val="32"/>
          <w:lang w:val="en-US" w:eastAsia="zh-CN"/>
        </w:rPr>
        <w:t>二级预算单位0个，其中行政单位0个，参照公务员法管理的事业单位0个，其他事业单位0个。</w:t>
      </w:r>
    </w:p>
    <w:p w14:paraId="38190F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9" w:name="_Toc31946"/>
      <w:bookmarkStart w:id="10" w:name="_Toc99"/>
      <w:r>
        <w:rPr>
          <w:rFonts w:hint="eastAsia" w:ascii="黑体" w:hAnsi="黑体" w:eastAsia="黑体" w:cs="黑体"/>
          <w:sz w:val="32"/>
          <w:szCs w:val="32"/>
          <w:lang w:val="en-US" w:eastAsia="zh-CN"/>
        </w:rPr>
        <w:t>三、收支预算情况说明</w:t>
      </w:r>
      <w:bookmarkEnd w:id="9"/>
      <w:bookmarkEnd w:id="10"/>
    </w:p>
    <w:p w14:paraId="4554E5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广元市昭化区经济信息化和科学技术局所有收入和支出均纳入部门预算管理。收入包括：一般公共预算拨款收入；支出包括：一般公共服务支出、科学技术支出、社会保障和就业支出、卫生健康支出、住房保障支出。2025年收支预算总数902.9万元,比2024年收支预算总数增加91.33万元，主要原因是增加了2025年3位退休人员的职业年金做实和新材料产业专班、食品饮料产业专班招商引资经费两项预算。</w:t>
      </w:r>
    </w:p>
    <w:p w14:paraId="515DC6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28826"/>
      <w:bookmarkStart w:id="12" w:name="_Toc1141"/>
      <w:r>
        <w:rPr>
          <w:rFonts w:hint="eastAsia" w:ascii="楷体_GB2312" w:hAnsi="楷体_GB2312" w:eastAsia="楷体_GB2312" w:cs="楷体_GB2312"/>
          <w:sz w:val="32"/>
          <w:szCs w:val="32"/>
          <w:lang w:val="en-US" w:eastAsia="zh-CN"/>
        </w:rPr>
        <w:t>（一）收入预算情况</w:t>
      </w:r>
      <w:bookmarkEnd w:id="11"/>
      <w:bookmarkEnd w:id="12"/>
    </w:p>
    <w:p w14:paraId="233F2A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广元市昭化区经济信息化和科学技术局2025年收入预算902.9万元，其中：一般公共预算拨款收入902.9万元，占100%。</w:t>
      </w:r>
    </w:p>
    <w:p w14:paraId="7F1DD5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3" w:name="_Toc30863"/>
      <w:bookmarkStart w:id="14" w:name="_Toc10594"/>
      <w:r>
        <w:rPr>
          <w:rFonts w:hint="eastAsia" w:ascii="楷体_GB2312" w:hAnsi="楷体_GB2312" w:eastAsia="楷体_GB2312" w:cs="楷体_GB2312"/>
          <w:sz w:val="32"/>
          <w:szCs w:val="32"/>
          <w:lang w:val="en-US" w:eastAsia="zh-CN"/>
        </w:rPr>
        <w:t>（二）支出预算情况</w:t>
      </w:r>
      <w:bookmarkEnd w:id="13"/>
      <w:bookmarkEnd w:id="14"/>
    </w:p>
    <w:p w14:paraId="2B5247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广元市昭化区经济信息化和科学技术局2025年支出预算902.9万元，其中：基本支出420.82万元，占46.61%；项目支出482.07万元，占53.39%</w:t>
      </w:r>
      <w:r>
        <w:rPr>
          <w:rFonts w:hint="eastAsia" w:ascii="仿宋_GB2312" w:hAnsi="仿宋_GB2312" w:eastAsia="仿宋_GB2312" w:cs="仿宋_GB2312"/>
          <w:b w:val="0"/>
          <w:bCs w:val="0"/>
          <w:sz w:val="32"/>
          <w:szCs w:val="32"/>
          <w:lang w:val="en-US" w:eastAsia="zh-CN"/>
        </w:rPr>
        <w:t>。</w:t>
      </w:r>
    </w:p>
    <w:p w14:paraId="6D402D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5" w:name="_Toc18223"/>
      <w:bookmarkStart w:id="16" w:name="_Toc1952"/>
      <w:r>
        <w:rPr>
          <w:rFonts w:hint="eastAsia" w:ascii="黑体" w:hAnsi="黑体" w:eastAsia="黑体" w:cs="黑体"/>
          <w:sz w:val="32"/>
          <w:szCs w:val="32"/>
          <w:lang w:val="en-US" w:eastAsia="zh-CN"/>
        </w:rPr>
        <w:t>四、财政拨款收支预算情况说明</w:t>
      </w:r>
      <w:bookmarkEnd w:id="15"/>
      <w:bookmarkEnd w:id="16"/>
    </w:p>
    <w:p w14:paraId="5A0661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广元市昭化区经济信息化和科学技术局2025年财政拨款收支预算总数902.9万元,比2024年财政拨款收支预算总数增加91.33万元，主要原因是增加了</w:t>
      </w:r>
      <w:bookmarkStart w:id="17" w:name="OLE_LINK2"/>
      <w:r>
        <w:rPr>
          <w:rFonts w:hint="eastAsia" w:ascii="仿宋_GB2312" w:hAnsi="仿宋_GB2312" w:eastAsia="仿宋_GB2312" w:cs="仿宋_GB2312"/>
          <w:sz w:val="32"/>
          <w:szCs w:val="32"/>
          <w:lang w:val="en-US" w:eastAsia="zh-CN"/>
        </w:rPr>
        <w:t>2025年3位退休人员的职业年金做实和新材料产业专班、食品饮料产业专班招商引资经费两项预算。</w:t>
      </w:r>
    </w:p>
    <w:bookmarkEnd w:id="17"/>
    <w:p w14:paraId="38AA16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收入包括：本年一般公共预算拨款收入902.9万元；支出包括：一般公共服务支出623.35万元、科学技术支出127万元、社会保障和就业支出107.35万元、卫生健康支出14.91万元、住房保障支出30.29万元。</w:t>
      </w:r>
    </w:p>
    <w:p w14:paraId="0FB3D3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10250"/>
      <w:bookmarkStart w:id="19" w:name="_Toc12866"/>
      <w:r>
        <w:rPr>
          <w:rFonts w:hint="eastAsia" w:ascii="黑体" w:hAnsi="黑体" w:eastAsia="黑体" w:cs="黑体"/>
          <w:sz w:val="32"/>
          <w:szCs w:val="32"/>
          <w:lang w:val="en-US" w:eastAsia="zh-CN"/>
        </w:rPr>
        <w:t>五、一般公共预算当年拨款情况说明</w:t>
      </w:r>
      <w:bookmarkEnd w:id="18"/>
      <w:bookmarkEnd w:id="19"/>
    </w:p>
    <w:p w14:paraId="411027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0" w:name="_Toc24229"/>
      <w:bookmarkStart w:id="21" w:name="_Toc7432"/>
      <w:r>
        <w:rPr>
          <w:rFonts w:hint="eastAsia" w:ascii="楷体_GB2312" w:hAnsi="楷体_GB2312" w:eastAsia="楷体_GB2312" w:cs="楷体_GB2312"/>
          <w:sz w:val="32"/>
          <w:szCs w:val="32"/>
          <w:lang w:val="en-US" w:eastAsia="zh-CN"/>
        </w:rPr>
        <w:t>（一）一般公共预算当年拨款规模变化情况</w:t>
      </w:r>
      <w:bookmarkEnd w:id="20"/>
      <w:bookmarkEnd w:id="21"/>
    </w:p>
    <w:p w14:paraId="5F3773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经济信息化和科学技术局2025年一般公共预算当年拨款902.9万元，比2024年预算数增加91.33万元，主要原因是2025年3位退休人员的职业年金做实和新材料产业专班、食品饮料产业专班招商引资经费两项预算。</w:t>
      </w:r>
    </w:p>
    <w:p w14:paraId="135E37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22398"/>
      <w:bookmarkStart w:id="23" w:name="_Toc1573"/>
      <w:r>
        <w:rPr>
          <w:rFonts w:hint="eastAsia" w:ascii="楷体_GB2312" w:hAnsi="楷体_GB2312" w:eastAsia="楷体_GB2312" w:cs="楷体_GB2312"/>
          <w:sz w:val="32"/>
          <w:szCs w:val="32"/>
          <w:lang w:val="en-US" w:eastAsia="zh-CN"/>
        </w:rPr>
        <w:t>（二）一般公共预算当年拨款结构情况</w:t>
      </w:r>
      <w:bookmarkEnd w:id="22"/>
      <w:bookmarkEnd w:id="23"/>
    </w:p>
    <w:p w14:paraId="0810F1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一般公共服务支出623.35万元，占59%；科学技术支出127万元，占14%；社会保障和就业支出107.35万元，占12%；卫生健康支出14.91万元，占2%；住房保障支出30.29万元，占3%。</w:t>
      </w:r>
    </w:p>
    <w:p w14:paraId="6A4A21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4" w:name="_Toc21045"/>
      <w:bookmarkStart w:id="25" w:name="_Toc24163"/>
      <w:r>
        <w:rPr>
          <w:rFonts w:hint="eastAsia" w:ascii="楷体_GB2312" w:hAnsi="楷体_GB2312" w:eastAsia="楷体_GB2312" w:cs="楷体_GB2312"/>
          <w:sz w:val="32"/>
          <w:szCs w:val="32"/>
          <w:lang w:val="en-US" w:eastAsia="zh-CN"/>
        </w:rPr>
        <w:t>（三）一般公共预算当年拨款具体使用情况</w:t>
      </w:r>
      <w:bookmarkEnd w:id="24"/>
      <w:bookmarkEnd w:id="25"/>
    </w:p>
    <w:p w14:paraId="6EBAF3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一般公共服务（类）商贸事务（款）行政运行（项）2025年预算数为563.35万元，主要用于：</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局</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机关正常运转的基本支出，包括基本工资、</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绩效工资、</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津贴补贴等人员经费以及办公费、印刷费、水电费等日常公用经费,保障部门正常运转</w:t>
      </w:r>
      <w:r>
        <w:rPr>
          <w:rFonts w:hint="eastAsia" w:ascii="仿宋_GB2312" w:hAnsi="仿宋_GB2312" w:eastAsia="仿宋_GB2312" w:cs="仿宋_GB2312"/>
          <w:sz w:val="32"/>
          <w:szCs w:val="32"/>
          <w:lang w:val="en-US" w:eastAsia="zh-CN"/>
        </w:rPr>
        <w:t>。</w:t>
      </w:r>
    </w:p>
    <w:p w14:paraId="78B99D6E">
      <w:pPr>
        <w:pStyle w:val="2"/>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2.一般公共服务（类）商贸事务（款）招商引资（项）2025年预算数为60万元，主要用于：新材料产业专班、食品饮料产业专班招商引资差旅费、接待费等招商工作支出。</w:t>
      </w:r>
    </w:p>
    <w:p w14:paraId="5CA584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科学技术支出（类）科学技术管理事务（款）行政运行（项）2025年预算数为27万元，主要用于：开展科技工作</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办公费、印刷费、水电费等日常公用经费,保障正常运转。</w:t>
      </w:r>
    </w:p>
    <w:p w14:paraId="42D05D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4.科学技术支出（类）其他科学技术支出（款）其他科学技术支出（项）2024年预算数为100万元，主要用于：区级科技创新专项资金及研发投入后补助。</w:t>
      </w:r>
    </w:p>
    <w:p w14:paraId="1918A1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5.社会保障和就业（类）行政事业单位养老支出（款）行政单位离退休（项）2025年预算数为36万元，主要用于：机关及参公管理事业单位离退休人员经费支出。</w:t>
      </w:r>
    </w:p>
    <w:p w14:paraId="56B5DF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6.社会保障和就业（类）行政事业单位养老支出（款）机关事业单位基本养老保险缴费支出（项）2025年预算数为40.38万元，主要用于：实施养老保险制度由单位缴纳的基本养老保险支出。</w:t>
      </w:r>
    </w:p>
    <w:p w14:paraId="41FAC4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7.社会保障和就业（类）行政事业单位养老支出（款）机关事业单位职业年金缴费支出（项）2025年预算数为30.03万元，主要用于：实施养老保险制度由单位缴纳的职业年金支出。</w:t>
      </w:r>
    </w:p>
    <w:p w14:paraId="57B78A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8.社会保障和就业（类）其他社会保障和就业支出（款）其他社会保障和就业支出（项）2025年预算数为0.93万元，主要用于：单位缴纳的工伤保险和失业保险支出。</w:t>
      </w:r>
    </w:p>
    <w:p w14:paraId="76D0C6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9.卫生健康（类）行政事业单位医疗（款）行政单位医疗（项）2025年预算数为7.23万元，主要用于：机关及参公管理事业单位按规定由单位缴纳的基本医疗保险支出。</w:t>
      </w:r>
    </w:p>
    <w:p w14:paraId="5EA939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10.卫生健康（类）行政事业单位医疗（款）事业单位医疗（项）2025年预算数为7.68万元，主要用于：事业单位按规定由单位缴纳的基本医疗保险支出。</w:t>
      </w:r>
    </w:p>
    <w:p w14:paraId="3B39A9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11.住房保障（类）住房改革支出（款）住房公积金（项）2025年预算数为30.29万元，主要用于：部门按规定为职工缴纳的住房公积金支出。</w:t>
      </w:r>
    </w:p>
    <w:p w14:paraId="525122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6" w:name="_Toc24342"/>
      <w:bookmarkStart w:id="27" w:name="_Toc3259"/>
      <w:r>
        <w:rPr>
          <w:rFonts w:hint="eastAsia" w:ascii="黑体" w:hAnsi="黑体" w:eastAsia="黑体" w:cs="黑体"/>
          <w:sz w:val="32"/>
          <w:szCs w:val="32"/>
          <w:lang w:val="en-US" w:eastAsia="zh-CN"/>
        </w:rPr>
        <w:t>六、一般公共预算基本支出情况说明</w:t>
      </w:r>
      <w:bookmarkEnd w:id="26"/>
      <w:bookmarkEnd w:id="27"/>
    </w:p>
    <w:p w14:paraId="4A756F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广元市昭化区经济信息化和科学技术局2025年一般公共预算基本支出420.82万元，其中：</w:t>
      </w:r>
    </w:p>
    <w:p w14:paraId="685D7B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人员经费374.96万元，主要包括：基本工资、津贴补贴、奖金、社会保险缴费、离休费、住房公积金、抚恤金等支出。</w:t>
      </w:r>
    </w:p>
    <w:p w14:paraId="591CB4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公用经费45.87万元，主要包括：办公费、水费、电费、邮电费、物业管理费、差旅费、维修（护）费、租赁费、培训费、公务接待费、工会经费、其他交通费用等支出。</w:t>
      </w:r>
    </w:p>
    <w:p w14:paraId="7D84BF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8" w:name="_Toc8758"/>
      <w:bookmarkStart w:id="29" w:name="_Toc8130"/>
      <w:r>
        <w:rPr>
          <w:rFonts w:hint="eastAsia" w:ascii="黑体" w:hAnsi="黑体" w:eastAsia="黑体" w:cs="黑体"/>
          <w:sz w:val="32"/>
          <w:szCs w:val="32"/>
          <w:lang w:val="en-US" w:eastAsia="zh-CN"/>
        </w:rPr>
        <w:t>七、“三公”经费财政拨款预算安排情况说明</w:t>
      </w:r>
      <w:bookmarkEnd w:id="28"/>
      <w:bookmarkEnd w:id="29"/>
    </w:p>
    <w:p w14:paraId="51BA57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广元市昭化区经济信息化和科学技术局2025年“三公”经费财政拨款预算数10.24万元，其中：公务接待费10.24万元，公务用车购置及运行维护费0万元，因公出国（境）经费0万元。</w:t>
      </w:r>
    </w:p>
    <w:p w14:paraId="27D9B6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7EE5AE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公务接待费与2024年预算相比持平。</w:t>
      </w:r>
    </w:p>
    <w:p w14:paraId="718848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2BDE6F56">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70FA62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公务用车购置及运行维护费与2024年预算相比持平。</w:t>
      </w:r>
    </w:p>
    <w:p w14:paraId="54D000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2656E69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37B7D5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7EDE2F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0" w:name="_Toc19620"/>
      <w:bookmarkStart w:id="31" w:name="_Toc28432"/>
      <w:r>
        <w:rPr>
          <w:rFonts w:hint="eastAsia" w:ascii="黑体" w:hAnsi="黑体" w:eastAsia="黑体" w:cs="黑体"/>
          <w:sz w:val="32"/>
          <w:szCs w:val="32"/>
          <w:lang w:val="en-US" w:eastAsia="zh-CN"/>
        </w:rPr>
        <w:t>八、政府性基金预算支出情况说明</w:t>
      </w:r>
      <w:bookmarkEnd w:id="30"/>
      <w:bookmarkEnd w:id="31"/>
    </w:p>
    <w:p w14:paraId="2D538B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广元市昭化区经济信息化和科学技术局2025年无政府性基金预算拨款安排的支出。</w:t>
      </w:r>
    </w:p>
    <w:p w14:paraId="415B57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2" w:name="_Toc5058"/>
      <w:bookmarkStart w:id="33" w:name="_Toc2898"/>
      <w:r>
        <w:rPr>
          <w:rFonts w:hint="eastAsia" w:ascii="黑体" w:hAnsi="黑体" w:eastAsia="黑体" w:cs="黑体"/>
          <w:sz w:val="32"/>
          <w:szCs w:val="32"/>
          <w:lang w:val="en-US" w:eastAsia="zh-CN"/>
        </w:rPr>
        <w:t>九、国有资本经营预算支出情况说明</w:t>
      </w:r>
      <w:bookmarkEnd w:id="32"/>
      <w:bookmarkEnd w:id="33"/>
    </w:p>
    <w:p w14:paraId="0399FF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广元市昭化区经济信息化和科学技术局2025年无国有资本经营预算拨款安排的支出。</w:t>
      </w:r>
    </w:p>
    <w:p w14:paraId="51FDB3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34" w:name="_Toc17865"/>
      <w:bookmarkStart w:id="35" w:name="_Toc28173"/>
      <w:r>
        <w:rPr>
          <w:rFonts w:hint="eastAsia" w:ascii="黑体" w:hAnsi="黑体" w:eastAsia="黑体" w:cs="黑体"/>
          <w:sz w:val="32"/>
          <w:szCs w:val="32"/>
          <w:lang w:val="en-US" w:eastAsia="zh-CN"/>
        </w:rPr>
        <w:t>十、其他重要事项的情况说明</w:t>
      </w:r>
      <w:bookmarkEnd w:id="34"/>
      <w:bookmarkEnd w:id="35"/>
    </w:p>
    <w:p w14:paraId="5997E6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68C88A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2025年，广元市昭化区经济信息化和科学技术局下属局机关等1家行政单位的机关运行经费财政拨款预算为45.87万元，比2024年预算增加2.62万元，增长6.06%。主要原因是人员增加。</w:t>
      </w:r>
    </w:p>
    <w:p w14:paraId="7DB09D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427E6B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2025年，广元市昭化区经济信息化和科学技术局安排政府采购预算0万元。</w:t>
      </w:r>
    </w:p>
    <w:p w14:paraId="366ED0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6B4801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截至2024年底，广元市昭化区经济信息化和科学技术局共有车辆0辆。单位无价值200万元以上的大型设备。</w:t>
      </w:r>
    </w:p>
    <w:p w14:paraId="31108B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2025年部门预算未安排购置车辆及单位价值200万元以上大型设备。</w:t>
      </w:r>
    </w:p>
    <w:p w14:paraId="4F3248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48CBC6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2025年广元市昭化区经济信息化和科学技术局开展绩效目标管理的项目15个，涉及预算527.94万元。其中：人员类项目3个，涉及预算 45.87万元；运转类项目7个，涉及预算200.03万元；特定目标类项目5个，涉及预算282.04万元。</w:t>
      </w:r>
    </w:p>
    <w:p w14:paraId="306EC9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36" w:name="_Toc1916"/>
      <w:bookmarkStart w:id="37" w:name="_Toc8070"/>
      <w:r>
        <w:rPr>
          <w:rFonts w:hint="eastAsia" w:ascii="黑体" w:hAnsi="黑体" w:eastAsia="黑体" w:cs="黑体"/>
          <w:sz w:val="32"/>
          <w:szCs w:val="32"/>
          <w:lang w:val="en-US" w:eastAsia="zh-CN"/>
        </w:rPr>
        <w:t>十一、名词解释</w:t>
      </w:r>
      <w:bookmarkEnd w:id="36"/>
      <w:bookmarkEnd w:id="37"/>
    </w:p>
    <w:p w14:paraId="2D136A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w:t>
      </w:r>
      <w:bookmarkStart w:id="38" w:name="_GoBack"/>
      <w:bookmarkEnd w:id="38"/>
      <w:r>
        <w:rPr>
          <w:rFonts w:hint="eastAsia" w:ascii="仿宋_GB2312" w:hAnsi="仿宋_GB2312" w:eastAsia="仿宋_GB2312" w:cs="仿宋_GB2312"/>
          <w:sz w:val="32"/>
          <w:szCs w:val="32"/>
          <w:lang w:val="en-US" w:eastAsia="zh-CN"/>
        </w:rPr>
        <w:t>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08BCB4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（二）一般公共服务（类）商贸事务（款）行政运行（项）：</w:t>
      </w:r>
      <w:r>
        <w:rPr>
          <w:rFonts w:hint="eastAsia" w:ascii="仿宋_GB2312" w:hAnsi="仿宋_GB2312" w:eastAsia="仿宋_GB2312" w:cs="仿宋_GB2312"/>
          <w:sz w:val="32"/>
          <w:szCs w:val="32"/>
          <w:lang w:val="en-US" w:eastAsia="zh-CN"/>
        </w:rPr>
        <w:t>指行政单位（包括实行公务员管理的事业单位）的基本支出。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（三）一般公共服务（类）商贸事务（款）招商引资（项）：</w:t>
      </w:r>
      <w:r>
        <w:rPr>
          <w:rFonts w:hint="eastAsia" w:ascii="仿宋_GB2312" w:hAnsi="仿宋_GB2312" w:eastAsia="仿宋_GB2312" w:cs="仿宋_GB2312"/>
          <w:sz w:val="32"/>
          <w:szCs w:val="32"/>
          <w:lang w:val="en-US" w:eastAsia="zh-CN"/>
        </w:rPr>
        <w:t>指用于招商引资、优化经济环境等方面的支出。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（四）科学技术支出（类）科学技术管理事务（款）行政运行（项）：</w:t>
      </w:r>
      <w:r>
        <w:rPr>
          <w:rFonts w:hint="eastAsia" w:ascii="仿宋_GB2312" w:hAnsi="仿宋_GB2312" w:eastAsia="仿宋_GB2312" w:cs="仿宋_GB2312"/>
          <w:sz w:val="32"/>
          <w:szCs w:val="32"/>
          <w:lang w:val="en-US" w:eastAsia="zh-CN"/>
        </w:rPr>
        <w:t>指行政单位（包括实行公务员管理的事业单位）的基本支出。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（五）科学技术支出（类）其他科学技术支出（款）其他科学技术支出（项）：</w:t>
      </w:r>
      <w:r>
        <w:rPr>
          <w:rFonts w:hint="eastAsia" w:ascii="仿宋_GB2312" w:hAnsi="仿宋_GB2312" w:eastAsia="仿宋_GB2312" w:cs="仿宋_GB2312"/>
          <w:sz w:val="32"/>
          <w:szCs w:val="32"/>
          <w:lang w:val="en-US" w:eastAsia="zh-CN"/>
        </w:rPr>
        <w:t>指其他科学技术支出中其他用于科技方面的支出。</w:t>
      </w:r>
    </w:p>
    <w:p w14:paraId="7629A6A3">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（八）社会保障和就业（类）行政事业单位养老支出（款）机关事业单位职业年金缴费支出（项）：</w:t>
      </w:r>
      <w:r>
        <w:rPr>
          <w:rFonts w:hint="eastAsia" w:ascii="仿宋_GB2312" w:hAnsi="仿宋_GB2312" w:eastAsia="仿宋_GB2312" w:cs="仿宋_GB2312"/>
          <w:sz w:val="32"/>
          <w:szCs w:val="32"/>
          <w:lang w:val="en-US" w:eastAsia="zh-CN"/>
        </w:rPr>
        <w:t>指部门实施养老保险制度由单位缴纳的职业年金的支出。</w:t>
      </w:r>
    </w:p>
    <w:p w14:paraId="3BAA02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（九）社会保障和就业（类）其他社会保障和就业支出（款）其他社会保障和就业支出（项）</w:t>
      </w:r>
      <w:r>
        <w:rPr>
          <w:rFonts w:hint="eastAsia" w:ascii="仿宋_GB2312" w:hAnsi="仿宋_GB2312" w:eastAsia="仿宋_GB2312" w:cs="仿宋_GB2312"/>
          <w:sz w:val="32"/>
          <w:szCs w:val="32"/>
          <w:lang w:val="en-US" w:eastAsia="zh-CN"/>
        </w:rPr>
        <w:t>：指单位缴纳的工伤保险和失业保险支出。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（十一）卫生健康（类）行政事业单位医疗（款）事业单位医疗（项）：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（十二）住房保障（类）住房改革支出（款）住房公积金（项）：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（十三）基本支出：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（十四）项目支出：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3B5B46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（十五）“三公”经费：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（十六）机关运行经费：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27B07D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D2629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61CA175E">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14:paraId="4E4C3D66">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14:paraId="51F92F2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A854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E999A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BE999A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WE2YjNjYmNkNTVkM2ViOTk2M2M3OWNjMTRjMjYifQ=="/>
    <w:docVar w:name="KSO_WPS_MARK_KEY" w:val="89f6eb9a-5286-4891-9c59-f47e02eea12a"/>
  </w:docVars>
  <w:rsids>
    <w:rsidRoot w:val="00000000"/>
    <w:rsid w:val="012352D1"/>
    <w:rsid w:val="108E692E"/>
    <w:rsid w:val="1F7BF06F"/>
    <w:rsid w:val="1FEE4B73"/>
    <w:rsid w:val="23CE9849"/>
    <w:rsid w:val="39F304DD"/>
    <w:rsid w:val="3BC10E8E"/>
    <w:rsid w:val="483B220C"/>
    <w:rsid w:val="52183AAA"/>
    <w:rsid w:val="52C74B96"/>
    <w:rsid w:val="54244390"/>
    <w:rsid w:val="54662A63"/>
    <w:rsid w:val="58064E12"/>
    <w:rsid w:val="5BFEE015"/>
    <w:rsid w:val="63EDCF55"/>
    <w:rsid w:val="63FBFBCF"/>
    <w:rsid w:val="669360FD"/>
    <w:rsid w:val="68FF6A83"/>
    <w:rsid w:val="6FBBC9CF"/>
    <w:rsid w:val="72BDE561"/>
    <w:rsid w:val="78462278"/>
    <w:rsid w:val="7997EA6C"/>
    <w:rsid w:val="7AEAE675"/>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List"/>
    <w:basedOn w:val="2"/>
    <w:qFormat/>
    <w:uiPriority w:val="0"/>
  </w:style>
  <w:style w:type="paragraph" w:styleId="8">
    <w:name w:val="toc 2"/>
    <w:basedOn w:val="1"/>
    <w:next w:val="1"/>
    <w:qFormat/>
    <w:uiPriority w:val="0"/>
    <w:pPr>
      <w:ind w:left="420" w:leftChars="200"/>
    </w:pPr>
  </w:style>
  <w:style w:type="paragraph" w:styleId="9">
    <w:name w:val="Normal (Web)"/>
    <w:basedOn w:val="1"/>
    <w:qFormat/>
    <w:uiPriority w:val="0"/>
    <w:rPr>
      <w:sz w:val="24"/>
    </w:rPr>
  </w:style>
  <w:style w:type="character" w:customStyle="1" w:styleId="12">
    <w:name w:val="默认段落字体1"/>
    <w:qFormat/>
    <w:uiPriority w:val="0"/>
  </w:style>
  <w:style w:type="paragraph" w:customStyle="1" w:styleId="13">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7594</Words>
  <Characters>7968</Characters>
  <TotalTime>6</TotalTime>
  <ScaleCrop>false</ScaleCrop>
  <LinksUpToDate>false</LinksUpToDate>
  <CharactersWithSpaces>8018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当事松鼠 </cp:lastModifiedBy>
  <dcterms:modified xsi:type="dcterms:W3CDTF">2025-02-14T06:49:38Z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96081F72B7444D3C8C1C7DDAED24732C_13</vt:lpwstr>
  </property>
  <property fmtid="{D5CDD505-2E9C-101B-9397-08002B2CF9AE}" pid="4" name="KSOTemplateDocerSaveRecord">
    <vt:lpwstr>eyJoZGlkIjoiMDZlYmJmNGIxNGJhZjE0YzlhZTc3ZjRiNTQ3MGJkY2IiLCJ1c2VySWQiOiIzOTcwODU3ODMifQ==</vt:lpwstr>
  </property>
</Properties>
</file>