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26F35">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bookmarkStart w:id="174" w:name="_GoBack"/>
      <w:bookmarkEnd w:id="174"/>
    </w:p>
    <w:p w14:paraId="6BC2302E">
      <w:pPr>
        <w:spacing w:line="600" w:lineRule="exact"/>
        <w:jc w:val="center"/>
        <w:outlineLvl w:val="9"/>
        <w:rPr>
          <w:rFonts w:ascii="方正小标宋简体" w:hAnsi="宋体" w:eastAsia="方正小标宋简体"/>
          <w:color w:val="auto"/>
          <w:sz w:val="72"/>
          <w:szCs w:val="72"/>
          <w:highlight w:val="none"/>
        </w:rPr>
      </w:pPr>
    </w:p>
    <w:p w14:paraId="08607FB9">
      <w:pPr>
        <w:spacing w:line="600" w:lineRule="exact"/>
        <w:jc w:val="center"/>
        <w:outlineLvl w:val="9"/>
        <w:rPr>
          <w:rFonts w:ascii="方正小标宋简体" w:hAnsi="宋体" w:eastAsia="方正小标宋简体"/>
          <w:color w:val="auto"/>
          <w:sz w:val="72"/>
          <w:szCs w:val="72"/>
          <w:highlight w:val="none"/>
        </w:rPr>
      </w:pPr>
    </w:p>
    <w:p w14:paraId="401FF58C">
      <w:pPr>
        <w:spacing w:line="600" w:lineRule="exact"/>
        <w:jc w:val="center"/>
        <w:outlineLvl w:val="9"/>
        <w:rPr>
          <w:rFonts w:ascii="方正小标宋简体" w:hAnsi="宋体" w:eastAsia="方正小标宋简体"/>
          <w:color w:val="auto"/>
          <w:sz w:val="72"/>
          <w:szCs w:val="72"/>
          <w:highlight w:val="none"/>
        </w:rPr>
      </w:pPr>
    </w:p>
    <w:p w14:paraId="7E0F6C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77425"/>
      <w:bookmarkStart w:id="4" w:name="_Toc15396597"/>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14:paraId="4CACED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78442"/>
      <w:bookmarkStart w:id="8" w:name="_Toc15396598"/>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广元市昭化区经济信息化和科学技术局</w:t>
      </w:r>
    </w:p>
    <w:p w14:paraId="70A514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0F65551A">
      <w:pPr>
        <w:adjustRightInd w:val="0"/>
        <w:snapToGrid w:val="0"/>
        <w:spacing w:line="360" w:lineRule="auto"/>
        <w:jc w:val="center"/>
        <w:outlineLvl w:val="9"/>
        <w:rPr>
          <w:rFonts w:ascii="方正小标宋简体" w:hAnsi="宋体" w:eastAsia="方正小标宋简体"/>
          <w:color w:val="auto"/>
          <w:sz w:val="52"/>
          <w:szCs w:val="52"/>
          <w:highlight w:val="none"/>
        </w:rPr>
      </w:pPr>
    </w:p>
    <w:p w14:paraId="4647BF97">
      <w:pPr>
        <w:widowControl/>
        <w:jc w:val="center"/>
        <w:rPr>
          <w:rFonts w:hint="eastAsia" w:ascii="黑体" w:hAnsi="黑体" w:eastAsia="黑体"/>
          <w:color w:val="auto"/>
          <w:sz w:val="48"/>
          <w:szCs w:val="48"/>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14:paraId="5D4420DF">
      <w:pPr>
        <w:widowControl/>
        <w:jc w:val="center"/>
        <w:rPr>
          <w:color w:val="auto"/>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sdt>
      <w:sdtPr>
        <w:rPr>
          <w:rFonts w:ascii="宋体" w:hAnsi="宋体" w:eastAsia="宋体" w:cs="Times New Roman"/>
          <w:kern w:val="2"/>
          <w:sz w:val="21"/>
          <w:szCs w:val="24"/>
          <w:lang w:val="en-US" w:eastAsia="zh-CN" w:bidi="ar-SA"/>
        </w:rPr>
        <w:id w:val="147460696"/>
        <w15:color w:val="DBDBDB"/>
        <w:docPartObj>
          <w:docPartGallery w:val="Table of Contents"/>
          <w:docPartUnique/>
        </w:docPartObj>
      </w:sdtPr>
      <w:sdtEndPr>
        <w:rPr>
          <w:rFonts w:hint="eastAsia" w:ascii="仿宋_GB2312" w:hAnsi="仿宋_GB2312" w:eastAsia="仿宋_GB2312" w:cs="仿宋_GB2312"/>
          <w:b/>
          <w:kern w:val="2"/>
          <w:sz w:val="32"/>
          <w:szCs w:val="32"/>
          <w:lang w:val="en-US" w:eastAsia="zh-CN" w:bidi="ar-SA"/>
        </w:rPr>
      </w:sdtEndPr>
      <w:sdtContent>
        <w:p w14:paraId="3A6DF614">
          <w:pPr>
            <w:spacing w:before="0" w:beforeLines="0" w:after="0" w:afterLines="0" w:line="240" w:lineRule="auto"/>
            <w:ind w:left="0" w:leftChars="0" w:right="0" w:rightChars="0" w:firstLine="0" w:firstLineChars="0"/>
            <w:jc w:val="center"/>
          </w:pPr>
        </w:p>
        <w:p w14:paraId="41F4615E">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 xml:space="preserve">第一部分 </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bCs w:val="0"/>
              <w:sz w:val="32"/>
              <w:szCs w:val="32"/>
              <w:highlight w:val="none"/>
            </w:rPr>
            <w:t>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33FF6E">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 xml:space="preserve">一、 </w:t>
          </w:r>
          <w:r>
            <w:rPr>
              <w:rFonts w:hint="eastAsia" w:ascii="仿宋_GB2312" w:hAnsi="仿宋_GB2312" w:eastAsia="仿宋_GB2312" w:cs="仿宋_GB2312"/>
              <w:bCs w:val="0"/>
              <w:sz w:val="32"/>
              <w:szCs w:val="32"/>
              <w:highlight w:val="none"/>
            </w:rPr>
            <w:t>职能</w:t>
          </w:r>
          <w:r>
            <w:rPr>
              <w:rFonts w:hint="eastAsia" w:ascii="仿宋_GB2312" w:hAnsi="仿宋_GB2312" w:eastAsia="仿宋_GB2312" w:cs="仿宋_GB2312"/>
              <w:bCs w:val="0"/>
              <w:sz w:val="32"/>
              <w:szCs w:val="32"/>
              <w:highlight w:val="none"/>
              <w:lang w:eastAsia="zh-CN"/>
            </w:rPr>
            <w:t>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964D1E">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val="en-US" w:eastAsia="zh-CN"/>
            </w:rPr>
            <w:t>二、2021年重点</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136D5F">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highlight w:val="none"/>
            </w:rPr>
            <w:t xml:space="preserve">第二部分 </w:t>
          </w:r>
          <w:r>
            <w:rPr>
              <w:rFonts w:hint="eastAsia" w:ascii="仿宋_GB2312" w:hAnsi="仿宋_GB2312" w:eastAsia="仿宋_GB2312" w:cs="仿宋_GB2312"/>
              <w:bCs/>
              <w:sz w:val="32"/>
              <w:szCs w:val="32"/>
              <w:highlight w:val="none"/>
              <w:lang w:val="en-US" w:eastAsia="zh-CN"/>
            </w:rPr>
            <w:t>2021年度</w:t>
          </w:r>
          <w:r>
            <w:rPr>
              <w:rFonts w:hint="eastAsia" w:ascii="仿宋_GB2312" w:hAnsi="仿宋_GB2312" w:eastAsia="仿宋_GB2312" w:cs="仿宋_GB2312"/>
              <w:bCs/>
              <w:sz w:val="32"/>
              <w:szCs w:val="32"/>
              <w:highlight w:val="none"/>
              <w:lang w:eastAsia="zh-CN"/>
            </w:rPr>
            <w:t>单位</w:t>
          </w:r>
          <w:r>
            <w:rPr>
              <w:rFonts w:hint="eastAsia" w:ascii="仿宋_GB2312" w:hAnsi="仿宋_GB2312" w:eastAsia="仿宋_GB2312" w:cs="仿宋_GB2312"/>
              <w:bCs/>
              <w:sz w:val="32"/>
              <w:szCs w:val="32"/>
              <w:highlight w:val="none"/>
            </w:rPr>
            <w:t>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2A13A8">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一、 </w:t>
          </w:r>
          <w:r>
            <w:rPr>
              <w:rFonts w:hint="eastAsia" w:ascii="仿宋_GB2312" w:hAnsi="仿宋_GB2312" w:eastAsia="仿宋_GB2312" w:cs="仿宋_GB2312"/>
              <w:sz w:val="32"/>
              <w:szCs w:val="32"/>
              <w:highlight w:val="none"/>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DD5FA6">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二、 </w:t>
          </w:r>
          <w:r>
            <w:rPr>
              <w:rFonts w:hint="eastAsia" w:ascii="仿宋_GB2312" w:hAnsi="仿宋_GB2312" w:eastAsia="仿宋_GB2312" w:cs="仿宋_GB2312"/>
              <w:sz w:val="32"/>
              <w:szCs w:val="32"/>
              <w:highlight w:val="none"/>
            </w:rPr>
            <w:t>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8A3B24">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三、 </w:t>
          </w:r>
          <w:r>
            <w:rPr>
              <w:rFonts w:hint="eastAsia" w:ascii="仿宋_GB2312" w:hAnsi="仿宋_GB2312" w:eastAsia="仿宋_GB2312" w:cs="仿宋_GB2312"/>
              <w:sz w:val="32"/>
              <w:szCs w:val="32"/>
              <w:highlight w:val="none"/>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36AAE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924AF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682D71">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3C636B">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C4EA8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F67DA6">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_Toc28796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九、 </w:t>
          </w:r>
          <w:r>
            <w:rPr>
              <w:rFonts w:hint="eastAsia" w:ascii="仿宋_GB2312" w:hAnsi="仿宋_GB2312" w:eastAsia="仿宋_GB2312" w:cs="仿宋_GB2312"/>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575091">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十、 </w:t>
          </w:r>
          <w:r>
            <w:rPr>
              <w:rFonts w:hint="eastAsia" w:ascii="仿宋_GB2312" w:hAnsi="仿宋_GB2312" w:eastAsia="仿宋_GB2312" w:cs="仿宋_GB2312"/>
              <w:sz w:val="32"/>
              <w:szCs w:val="32"/>
              <w:highlight w:val="none"/>
              <w:lang w:val="en-US" w:eastAsia="zh-CN"/>
            </w:rPr>
            <w:t>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1841EF">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十一、 </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43DB12">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_Toc29916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第三部分 </w:t>
          </w:r>
          <w:r>
            <w:rPr>
              <w:rFonts w:hint="eastAsia" w:ascii="仿宋_GB2312" w:hAnsi="仿宋_GB2312" w:eastAsia="仿宋_GB2312" w:cs="仿宋_GB2312"/>
              <w:sz w:val="32"/>
              <w:szCs w:val="32"/>
              <w:highlight w:val="none"/>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76C2BC">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1888E6">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9A523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CB691D">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1224E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CF0C4F">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D60CA8">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32B2EB">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一、收</w:t>
          </w:r>
          <w:r>
            <w:rPr>
              <w:rFonts w:hint="eastAsia" w:ascii="仿宋_GB2312" w:hAnsi="仿宋_GB2312" w:eastAsia="仿宋_GB2312" w:cs="仿宋_GB2312"/>
              <w:bCs w:val="0"/>
              <w:sz w:val="32"/>
              <w:szCs w:val="32"/>
              <w:highlight w:val="none"/>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0BF5E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二、收</w:t>
          </w:r>
          <w:r>
            <w:rPr>
              <w:rFonts w:hint="eastAsia" w:ascii="仿宋_GB2312" w:hAnsi="仿宋_GB2312" w:eastAsia="仿宋_GB2312" w:cs="仿宋_GB2312"/>
              <w:bCs w:val="0"/>
              <w:sz w:val="32"/>
              <w:szCs w:val="32"/>
              <w:highlight w:val="none"/>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738446">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三、</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bCs w:val="0"/>
              <w:sz w:val="32"/>
              <w:szCs w:val="32"/>
              <w:highlight w:val="none"/>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E3A70C">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四、</w:t>
          </w:r>
          <w:r>
            <w:rPr>
              <w:rFonts w:hint="eastAsia" w:ascii="仿宋_GB2312" w:hAnsi="仿宋_GB2312" w:eastAsia="仿宋_GB2312" w:cs="仿宋_GB2312"/>
              <w:sz w:val="32"/>
              <w:szCs w:val="32"/>
              <w:highlight w:val="none"/>
            </w:rPr>
            <w:t>财</w:t>
          </w:r>
          <w:r>
            <w:rPr>
              <w:rFonts w:hint="eastAsia" w:ascii="仿宋_GB2312" w:hAnsi="仿宋_GB2312" w:eastAsia="仿宋_GB2312" w:cs="仿宋_GB2312"/>
              <w:bCs w:val="0"/>
              <w:sz w:val="32"/>
              <w:szCs w:val="32"/>
              <w:highlight w:val="none"/>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7C8FA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_Toc27743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五、</w:t>
          </w:r>
          <w:r>
            <w:rPr>
              <w:rFonts w:hint="eastAsia" w:ascii="仿宋_GB2312" w:hAnsi="仿宋_GB2312" w:eastAsia="仿宋_GB2312" w:cs="仿宋_GB2312"/>
              <w:sz w:val="32"/>
              <w:szCs w:val="32"/>
              <w:highlight w:val="none"/>
            </w:rPr>
            <w:t>财</w:t>
          </w:r>
          <w:r>
            <w:rPr>
              <w:rFonts w:hint="eastAsia" w:ascii="仿宋_GB2312" w:hAnsi="仿宋_GB2312" w:eastAsia="仿宋_GB2312" w:cs="仿宋_GB2312"/>
              <w:bCs w:val="0"/>
              <w:sz w:val="32"/>
              <w:szCs w:val="32"/>
              <w:highlight w:val="none"/>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54F0A0">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六、</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DEEBB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七、</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B6461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八、</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58BD23">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九、</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C634EC">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F455E7">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十一、</w:t>
          </w:r>
          <w:r>
            <w:rPr>
              <w:rFonts w:hint="eastAsia" w:ascii="仿宋_GB2312" w:hAnsi="仿宋_GB2312" w:eastAsia="仿宋_GB2312" w:cs="仿宋_GB2312"/>
              <w:sz w:val="32"/>
              <w:szCs w:val="32"/>
              <w:highlight w:val="none"/>
            </w:rPr>
            <w:t>政</w:t>
          </w:r>
          <w:r>
            <w:rPr>
              <w:rFonts w:hint="eastAsia" w:ascii="仿宋_GB2312" w:hAnsi="仿宋_GB2312" w:eastAsia="仿宋_GB2312" w:cs="仿宋_GB2312"/>
              <w:bCs w:val="0"/>
              <w:sz w:val="32"/>
              <w:szCs w:val="32"/>
              <w:highlight w:val="none"/>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5EC01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十二、</w:t>
          </w:r>
          <w:r>
            <w:rPr>
              <w:rFonts w:hint="eastAsia" w:ascii="仿宋_GB2312" w:hAnsi="仿宋_GB2312" w:eastAsia="仿宋_GB2312" w:cs="仿宋_GB2312"/>
              <w:sz w:val="32"/>
              <w:szCs w:val="32"/>
              <w:highlight w:val="none"/>
            </w:rPr>
            <w:t>政</w:t>
          </w:r>
          <w:r>
            <w:rPr>
              <w:rFonts w:hint="eastAsia" w:ascii="仿宋_GB2312" w:hAnsi="仿宋_GB2312" w:eastAsia="仿宋_GB2312" w:cs="仿宋_GB2312"/>
              <w:bCs w:val="0"/>
              <w:sz w:val="32"/>
              <w:szCs w:val="32"/>
              <w:highlight w:val="none"/>
            </w:rPr>
            <w:t>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02199F">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十三、</w:t>
          </w:r>
          <w:r>
            <w:rPr>
              <w:rFonts w:hint="eastAsia" w:ascii="仿宋_GB2312" w:hAnsi="仿宋_GB2312" w:eastAsia="仿宋_GB2312" w:cs="仿宋_GB2312"/>
              <w:sz w:val="32"/>
              <w:szCs w:val="32"/>
              <w:highlight w:val="none"/>
            </w:rPr>
            <w:t>国</w:t>
          </w:r>
          <w:r>
            <w:rPr>
              <w:rFonts w:hint="eastAsia" w:ascii="仿宋_GB2312" w:hAnsi="仿宋_GB2312" w:eastAsia="仿宋_GB2312" w:cs="仿宋_GB2312"/>
              <w:bCs w:val="0"/>
              <w:sz w:val="32"/>
              <w:szCs w:val="32"/>
              <w:highlight w:val="none"/>
            </w:rPr>
            <w:t>有资本经营预算</w:t>
          </w:r>
          <w:r>
            <w:rPr>
              <w:rFonts w:hint="eastAsia" w:ascii="仿宋_GB2312" w:hAnsi="仿宋_GB2312" w:eastAsia="仿宋_GB2312" w:cs="仿宋_GB2312"/>
              <w:bCs w:val="0"/>
              <w:sz w:val="32"/>
              <w:szCs w:val="32"/>
              <w:highlight w:val="none"/>
              <w:lang w:eastAsia="zh-CN"/>
            </w:rPr>
            <w:t>财政拨款收入</w:t>
          </w:r>
          <w:r>
            <w:rPr>
              <w:rFonts w:hint="eastAsia" w:ascii="仿宋_GB2312" w:hAnsi="仿宋_GB2312" w:eastAsia="仿宋_GB2312" w:cs="仿宋_GB2312"/>
              <w:bCs w:val="0"/>
              <w:sz w:val="32"/>
              <w:szCs w:val="32"/>
              <w:highlight w:val="none"/>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2E9AE7">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lang w:eastAsia="zh-CN"/>
            </w:rPr>
            <w:t>十四、国有资本经营预算财政拨款支出决算表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94205A">
          <w:pPr>
            <w:pStyle w:val="36"/>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57315FD3">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2CA1AE0F">
      <w:pPr>
        <w:pStyle w:val="3"/>
        <w:pageBreakBefore w:val="0"/>
        <w:kinsoku/>
        <w:wordWrap/>
        <w:topLinePunct w:val="0"/>
        <w:bidi w:val="0"/>
        <w:spacing w:before="0" w:after="0" w:line="576" w:lineRule="exact"/>
        <w:jc w:val="center"/>
        <w:rPr>
          <w:rFonts w:ascii="黑体" w:eastAsia="黑体"/>
          <w:color w:val="auto"/>
          <w:sz w:val="32"/>
          <w:szCs w:val="32"/>
          <w:highlight w:val="none"/>
        </w:rPr>
      </w:pPr>
      <w:bookmarkStart w:id="14" w:name="_Toc2278"/>
      <w:bookmarkStart w:id="15" w:name="_Toc24284"/>
      <w:bookmarkStart w:id="16" w:name="_Toc2634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2"/>
      <w:bookmarkEnd w:id="13"/>
      <w:bookmarkEnd w:id="14"/>
      <w:bookmarkEnd w:id="15"/>
      <w:bookmarkEnd w:id="16"/>
    </w:p>
    <w:p w14:paraId="0AB0002F">
      <w:pPr>
        <w:pStyle w:val="4"/>
        <w:pageBreakBefore w:val="0"/>
        <w:numPr>
          <w:ilvl w:val="0"/>
          <w:numId w:val="1"/>
        </w:numPr>
        <w:kinsoku/>
        <w:wordWrap/>
        <w:topLinePunct w:val="0"/>
        <w:bidi w:val="0"/>
        <w:spacing w:before="0" w:after="0" w:line="576" w:lineRule="exact"/>
        <w:rPr>
          <w:rStyle w:val="30"/>
          <w:rFonts w:hint="eastAsia" w:ascii="黑体" w:hAnsi="黑体" w:eastAsia="黑体"/>
          <w:b w:val="0"/>
          <w:bCs w:val="0"/>
          <w:color w:val="auto"/>
          <w:highlight w:val="none"/>
          <w:lang w:eastAsia="zh-CN"/>
        </w:rPr>
      </w:pPr>
      <w:bookmarkStart w:id="17" w:name="_Toc5145"/>
      <w:bookmarkStart w:id="18" w:name="_Toc8087"/>
      <w:bookmarkStart w:id="19" w:name="_Toc7403"/>
      <w:bookmarkStart w:id="20" w:name="_Toc15377197"/>
      <w:bookmarkStart w:id="21" w:name="_Toc15396600"/>
      <w:r>
        <w:rPr>
          <w:rStyle w:val="30"/>
          <w:rFonts w:hint="eastAsia" w:ascii="黑体" w:hAnsi="黑体" w:eastAsia="黑体"/>
          <w:b w:val="0"/>
          <w:bCs w:val="0"/>
          <w:color w:val="auto"/>
          <w:highlight w:val="none"/>
        </w:rPr>
        <w:t>职能</w:t>
      </w:r>
      <w:r>
        <w:rPr>
          <w:rStyle w:val="30"/>
          <w:rFonts w:hint="eastAsia" w:ascii="黑体" w:hAnsi="黑体" w:eastAsia="黑体"/>
          <w:b w:val="0"/>
          <w:bCs w:val="0"/>
          <w:color w:val="auto"/>
          <w:highlight w:val="none"/>
          <w:lang w:eastAsia="zh-CN"/>
        </w:rPr>
        <w:t>简介</w:t>
      </w:r>
      <w:bookmarkEnd w:id="17"/>
      <w:bookmarkEnd w:id="18"/>
      <w:bookmarkEnd w:id="19"/>
    </w:p>
    <w:p w14:paraId="44FBB21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贯彻实施国家有关工业经济、信息化、无线电管理、科学技术方针、政策和法律、法规。</w:t>
      </w:r>
    </w:p>
    <w:p w14:paraId="4DF419D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14:paraId="3D43843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5841550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6C81307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14:paraId="5DA681E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10826C9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65EA4CB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0FF6AA8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14:paraId="5BC14A5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14:paraId="572B646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14:paraId="013C074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14:paraId="31E6395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602C514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14:paraId="380A70AE">
      <w:pPr>
        <w:pStyle w:val="2"/>
        <w:keepNext w:val="0"/>
        <w:keepLines w:val="0"/>
        <w:pageBreakBefore w:val="0"/>
        <w:widowControl w:val="0"/>
        <w:kinsoku/>
        <w:wordWrap/>
        <w:overflowPunct/>
        <w:topLinePunct w:val="0"/>
        <w:autoSpaceDE/>
        <w:autoSpaceDN/>
        <w:bidi w:val="0"/>
        <w:adjustRightInd w:val="0"/>
        <w:snapToGrid w:val="0"/>
        <w:spacing w:beforeLines="0" w:line="576" w:lineRule="exact"/>
        <w:ind w:left="0" w:leftChars="0" w:right="0" w:rightChars="0" w:firstLine="668" w:firstLineChars="209"/>
        <w:jc w:val="both"/>
        <w:textAlignment w:val="auto"/>
        <w:outlineLvl w:val="9"/>
        <w:rPr>
          <w:rFonts w:hint="eastAsia"/>
        </w:rPr>
      </w:pPr>
      <w:r>
        <w:rPr>
          <w:rFonts w:hint="eastAsia" w:ascii="Times New Roman" w:hAnsi="Times New Roman" w:eastAsia="仿宋_GB2312"/>
          <w:color w:val="auto"/>
          <w:sz w:val="32"/>
          <w:szCs w:val="32"/>
          <w:lang w:val="en-US" w:eastAsia="zh-CN"/>
        </w:rPr>
        <w:t>15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11FA6047">
      <w:pPr>
        <w:pStyle w:val="4"/>
        <w:pageBreakBefore w:val="0"/>
        <w:numPr>
          <w:ilvl w:val="0"/>
          <w:numId w:val="0"/>
        </w:numPr>
        <w:kinsoku/>
        <w:wordWrap/>
        <w:topLinePunct w:val="0"/>
        <w:bidi w:val="0"/>
        <w:spacing w:before="0" w:after="0" w:line="576" w:lineRule="exact"/>
        <w:ind w:firstLine="640" w:firstLineChars="200"/>
        <w:rPr>
          <w:rFonts w:hint="eastAsia" w:ascii="黑体" w:hAnsi="黑体" w:eastAsia="黑体"/>
          <w:b w:val="0"/>
          <w:color w:val="auto"/>
          <w:highlight w:val="none"/>
          <w:lang w:eastAsia="zh-CN"/>
        </w:rPr>
      </w:pPr>
      <w:bookmarkStart w:id="22" w:name="_Toc31997"/>
      <w:bookmarkStart w:id="23" w:name="_Toc13011"/>
      <w:bookmarkStart w:id="24" w:name="_Toc4838"/>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20"/>
      <w:bookmarkEnd w:id="21"/>
      <w:r>
        <w:rPr>
          <w:rFonts w:hint="eastAsia" w:ascii="黑体" w:hAnsi="黑体" w:eastAsia="黑体"/>
          <w:b w:val="0"/>
          <w:color w:val="auto"/>
          <w:highlight w:val="none"/>
          <w:lang w:eastAsia="zh-CN"/>
        </w:rPr>
        <w:t>完成情况</w:t>
      </w:r>
      <w:bookmarkEnd w:id="22"/>
      <w:bookmarkEnd w:id="23"/>
      <w:bookmarkEnd w:id="24"/>
    </w:p>
    <w:p w14:paraId="6810597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抓项目，增添工业发展后劲。</w:t>
      </w:r>
      <w:r>
        <w:rPr>
          <w:rFonts w:hint="eastAsia" w:ascii="Times New Roman" w:hAnsi="Times New Roman" w:eastAsia="仿宋_GB2312" w:cs="Times New Roman"/>
          <w:b/>
          <w:bCs/>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工业项目投资能力培训获赞。在全市率先开展了项目投资管理综合业务培训会，建立了广元市昭化区政府投资项目政策库，并生成二维码向区级部门和各镇推送，受到各方好评。</w:t>
      </w:r>
      <w:r>
        <w:rPr>
          <w:rFonts w:hint="eastAsia" w:ascii="Times New Roman" w:hAnsi="Times New Roman" w:eastAsia="仿宋_GB2312" w:cs="Times New Roman"/>
          <w:b/>
          <w:bCs/>
          <w:color w:val="auto"/>
          <w:kern w:val="2"/>
          <w:sz w:val="32"/>
          <w:szCs w:val="32"/>
          <w:lang w:val="en-US" w:eastAsia="zh-CN" w:bidi="ar-SA"/>
        </w:rPr>
        <w:t>二是</w:t>
      </w:r>
      <w:r>
        <w:rPr>
          <w:rFonts w:hint="eastAsia" w:ascii="Times New Roman" w:hAnsi="Times New Roman" w:eastAsia="仿宋_GB2312" w:cs="Times New Roman"/>
          <w:color w:val="auto"/>
          <w:kern w:val="2"/>
          <w:sz w:val="32"/>
          <w:szCs w:val="32"/>
          <w:lang w:val="en-US" w:eastAsia="zh-CN" w:bidi="ar-SA"/>
        </w:rPr>
        <w:t>抓项目管理服务。采取储备项目抓前期、签约项目抓落地、开工项目抓进度、续建项目抓投产的工作思路，实行动态管理，加强协调服务，密切督导调度，打造持续滚动发展的良好格局。</w:t>
      </w:r>
      <w:r>
        <w:rPr>
          <w:rFonts w:hint="eastAsia" w:ascii="Times New Roman" w:hAnsi="Times New Roman" w:eastAsia="仿宋_GB2312" w:cs="Times New Roman"/>
          <w:b/>
          <w:bCs/>
          <w:color w:val="auto"/>
          <w:kern w:val="2"/>
          <w:sz w:val="32"/>
          <w:szCs w:val="32"/>
          <w:lang w:val="en-US" w:eastAsia="zh-CN" w:bidi="ar-SA"/>
        </w:rPr>
        <w:t>三是</w:t>
      </w:r>
      <w:r>
        <w:rPr>
          <w:rFonts w:hint="eastAsia" w:ascii="Times New Roman" w:hAnsi="Times New Roman" w:eastAsia="仿宋_GB2312" w:cs="Times New Roman"/>
          <w:color w:val="auto"/>
          <w:kern w:val="2"/>
          <w:sz w:val="32"/>
          <w:szCs w:val="32"/>
          <w:lang w:val="en-US" w:eastAsia="zh-CN" w:bidi="ar-SA"/>
        </w:rPr>
        <w:t>抓工业项目入库。今年全区累计上报原辅材料及家居配套产品生产、农有科技有机食材加工、中发铝家具等25个工业项目入库，总投资25.2亿元。</w:t>
      </w:r>
    </w:p>
    <w:p w14:paraId="0D1E4AC2">
      <w:pPr>
        <w:keepNext w:val="0"/>
        <w:keepLines w:val="0"/>
        <w:pageBreakBefore w:val="0"/>
        <w:widowControl w:val="0"/>
        <w:kinsoku/>
        <w:wordWrap/>
        <w:topLinePunct w:val="0"/>
        <w:autoSpaceDE/>
        <w:autoSpaceDN/>
        <w:bidi w:val="0"/>
        <w:spacing w:line="576" w:lineRule="exact"/>
        <w:ind w:firstLine="640" w:firstLineChars="200"/>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抓企业，增强工业发展平稳性。</w:t>
      </w:r>
      <w:r>
        <w:rPr>
          <w:rFonts w:hint="eastAsia" w:ascii="Times New Roman" w:hAnsi="Times New Roman" w:eastAsia="仿宋_GB2312" w:cs="Times New Roman"/>
          <w:b/>
          <w:bCs/>
          <w:i w:val="0"/>
          <w:caps w:val="0"/>
          <w:color w:val="000000" w:themeColor="text1"/>
          <w:spacing w:val="0"/>
          <w:w w:val="100"/>
          <w:kern w:val="2"/>
          <w:sz w:val="32"/>
          <w:szCs w:val="32"/>
          <w:lang w:val="en-US" w:eastAsia="zh-CN" w:bidi="ar-SA"/>
          <w14:textFill>
            <w14:solidFill>
              <w14:schemeClr w14:val="tx1"/>
            </w14:solidFill>
          </w14:textFill>
        </w:rPr>
        <w:t>一是</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持续落实企业疫情防控。严格按照省市区疫情防控的要求，全面落实联防联控措施，大力推动测体温、扫码、亮码准入制度，督促企业员工疫苗接种，应接种人员接种率达到100%</w:t>
      </w:r>
      <w:r>
        <w:rPr>
          <w:rFonts w:hint="eastAsia"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i w:val="0"/>
          <w:caps w:val="0"/>
          <w:color w:val="000000" w:themeColor="text1"/>
          <w:spacing w:val="0"/>
          <w:w w:val="100"/>
          <w:kern w:val="2"/>
          <w:sz w:val="32"/>
          <w:szCs w:val="32"/>
          <w:lang w:val="en-US" w:eastAsia="zh-CN" w:bidi="ar-SA"/>
          <w14:textFill>
            <w14:solidFill>
              <w14:schemeClr w14:val="tx1"/>
            </w14:solidFill>
          </w14:textFill>
        </w:rPr>
        <w:t>二是</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着力精准分类培育企业。发挥中粮油脂龙头企业的带动效应，打造各级企业齐头并进的态势，建立完善“小升规”企业、“专精特新”、超亿元等企业培育数据库，实行分类培育、阶梯培育。新增“专精特新”企业1家、亿元企业2家。</w:t>
      </w:r>
      <w:r>
        <w:rPr>
          <w:rFonts w:hint="eastAsia" w:ascii="Times New Roman" w:hAnsi="Times New Roman" w:eastAsia="仿宋_GB2312" w:cs="Times New Roman"/>
          <w:b/>
          <w:bCs/>
          <w:i w:val="0"/>
          <w:caps w:val="0"/>
          <w:color w:val="auto"/>
          <w:spacing w:val="0"/>
          <w:w w:val="100"/>
          <w:kern w:val="2"/>
          <w:sz w:val="32"/>
          <w:szCs w:val="32"/>
          <w:lang w:val="en-US" w:eastAsia="zh-CN" w:bidi="ar-SA"/>
        </w:rPr>
        <w:t>三是</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坚持周监测、月会商、季分析制度。实时动态监测企业产值、税收、用电等指标，对照目标任务分析和查找差距，提出对策措施，促进工业经济平稳运行，93%的企业保持正增长，较去年提升了7个百分点。</w:t>
      </w:r>
    </w:p>
    <w:p w14:paraId="28C2FFA5">
      <w:pPr>
        <w:pStyle w:val="8"/>
        <w:keepNext w:val="0"/>
        <w:keepLines w:val="0"/>
        <w:pageBreakBefore w:val="0"/>
        <w:widowControl w:val="0"/>
        <w:kinsoku/>
        <w:wordWrap/>
        <w:topLinePunct w:val="0"/>
        <w:autoSpaceDE/>
        <w:autoSpaceDN/>
        <w:bidi w:val="0"/>
        <w:spacing w:line="576" w:lineRule="exact"/>
        <w:ind w:left="0" w:leftChars="0" w:firstLine="640" w:firstLineChars="200"/>
        <w:rPr>
          <w:rFonts w:hint="eastAsia" w:ascii="仿宋" w:hAnsi="仿宋" w:eastAsia="仿宋"/>
          <w:color w:val="000000"/>
          <w:sz w:val="32"/>
          <w:szCs w:val="32"/>
          <w:lang w:eastAsia="zh-CN"/>
        </w:rPr>
      </w:pP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抓创新，增强经济发展动力。</w:t>
      </w:r>
      <w:r>
        <w:rPr>
          <w:rFonts w:hint="eastAsia" w:ascii="Times New Roman" w:hAnsi="Times New Roman" w:eastAsia="仿宋_GB2312" w:cs="Times New Roman"/>
          <w:b/>
          <w:bCs/>
          <w:i w:val="0"/>
          <w:caps w:val="0"/>
          <w:color w:val="000000" w:themeColor="text1"/>
          <w:spacing w:val="0"/>
          <w:w w:val="100"/>
          <w:kern w:val="2"/>
          <w:sz w:val="32"/>
          <w:szCs w:val="32"/>
          <w:lang w:val="en-US" w:eastAsia="zh-CN" w:bidi="ar-SA"/>
          <w14:textFill>
            <w14:solidFill>
              <w14:schemeClr w14:val="tx1"/>
            </w14:solidFill>
          </w14:textFill>
        </w:rPr>
        <w:t>一是</w:t>
      </w: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培育多元化创新主体。</w:t>
      </w:r>
      <w:r>
        <w:rPr>
          <w:rFonts w:hint="default" w:ascii="Times New Roman" w:hAnsi="Times New Roman" w:eastAsia="仿宋_GB2312" w:cs="Times New Roman"/>
          <w:color w:val="000000"/>
          <w:sz w:val="32"/>
          <w:szCs w:val="32"/>
          <w:lang w:eastAsia="zh-CN"/>
        </w:rPr>
        <w:t>新建无机涂料、羊血清提取、果酒研发等9家实验室，申报市级工程技术研究中心</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家，企业研发人员数量、专业技能均大幅度提升。2021年3月成立了“广元市昭化区王家贡米产业技术研究所”，</w:t>
      </w:r>
      <w:r>
        <w:rPr>
          <w:rFonts w:hint="default" w:ascii="Times New Roman" w:hAnsi="Times New Roman" w:eastAsia="仿宋_GB2312" w:cs="Times New Roman"/>
          <w:b w:val="0"/>
          <w:bCs/>
          <w:color w:val="000000"/>
          <w:sz w:val="32"/>
          <w:szCs w:val="32"/>
        </w:rPr>
        <w:t>获袁隆平团队指导</w:t>
      </w: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bCs w:val="0"/>
          <w:color w:val="000000"/>
          <w:sz w:val="32"/>
          <w:szCs w:val="32"/>
          <w:lang w:val="en-US" w:eastAsia="zh-CN"/>
        </w:rPr>
        <w:t>二是</w:t>
      </w:r>
      <w:r>
        <w:rPr>
          <w:rFonts w:hint="default" w:ascii="Times New Roman" w:hAnsi="Times New Roman" w:eastAsia="仿宋_GB2312" w:cs="Times New Roman"/>
          <w:color w:val="000000"/>
          <w:sz w:val="32"/>
          <w:szCs w:val="32"/>
          <w:lang w:eastAsia="zh-CN"/>
        </w:rPr>
        <w:t>强化科技成果的转化</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全年</w:t>
      </w:r>
      <w:r>
        <w:rPr>
          <w:rFonts w:hint="default" w:ascii="Times New Roman" w:hAnsi="Times New Roman" w:eastAsia="仿宋_GB2312" w:cs="Times New Roman"/>
          <w:color w:val="000000"/>
          <w:sz w:val="32"/>
          <w:szCs w:val="32"/>
        </w:rPr>
        <w:t>转化科技成果</w:t>
      </w:r>
      <w:r>
        <w:rPr>
          <w:rFonts w:hint="default" w:ascii="Times New Roman" w:hAnsi="Times New Roman" w:eastAsia="仿宋_GB2312" w:cs="Times New Roman"/>
          <w:color w:val="000000"/>
          <w:sz w:val="32"/>
          <w:szCs w:val="32"/>
          <w:lang w:val="en-US" w:eastAsia="zh-CN"/>
        </w:rPr>
        <w:t>21余</w:t>
      </w:r>
      <w:r>
        <w:rPr>
          <w:rFonts w:hint="default" w:ascii="Times New Roman" w:hAnsi="Times New Roman" w:eastAsia="仿宋_GB2312" w:cs="Times New Roman"/>
          <w:color w:val="000000"/>
          <w:sz w:val="32"/>
          <w:szCs w:val="32"/>
        </w:rPr>
        <w:t>项，科技成果转化产值</w:t>
      </w:r>
      <w:r>
        <w:rPr>
          <w:rFonts w:hint="default" w:ascii="Times New Roman" w:hAnsi="Times New Roman" w:eastAsia="仿宋_GB2312" w:cs="Times New Roman"/>
          <w:color w:val="000000"/>
          <w:sz w:val="32"/>
          <w:szCs w:val="32"/>
          <w:lang w:eastAsia="zh-CN"/>
        </w:rPr>
        <w:t>达到</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亿元</w:t>
      </w:r>
      <w:r>
        <w:rPr>
          <w:rFonts w:hint="default" w:ascii="Times New Roman" w:hAnsi="Times New Roman" w:eastAsia="仿宋_GB2312" w:cs="Times New Roman"/>
          <w:bCs/>
          <w:color w:val="000000"/>
          <w:sz w:val="32"/>
          <w:szCs w:val="32"/>
        </w:rPr>
        <w:t>。</w:t>
      </w:r>
      <w:r>
        <w:rPr>
          <w:rFonts w:eastAsia="仿宋_GB2312"/>
          <w:bCs/>
          <w:color w:val="000000"/>
          <w:sz w:val="32"/>
          <w:szCs w:val="32"/>
          <w:shd w:val="clear" w:color="auto" w:fill="FFFFFF"/>
        </w:rPr>
        <w:t>围绕</w:t>
      </w:r>
      <w:r>
        <w:rPr>
          <w:rFonts w:hAnsi="仿宋_GB2312" w:eastAsia="仿宋_GB2312"/>
          <w:color w:val="000000"/>
          <w:sz w:val="32"/>
          <w:szCs w:val="32"/>
        </w:rPr>
        <w:t>绿色家居、食品饮料、新材料、现代农业</w:t>
      </w:r>
      <w:r>
        <w:rPr>
          <w:rFonts w:hint="eastAsia" w:hAnsi="仿宋_GB2312" w:eastAsia="仿宋_GB2312"/>
          <w:color w:val="000000"/>
          <w:sz w:val="32"/>
          <w:szCs w:val="32"/>
        </w:rPr>
        <w:t>、数字经济</w:t>
      </w:r>
      <w:r>
        <w:rPr>
          <w:rFonts w:hAnsi="仿宋_GB2312" w:eastAsia="仿宋_GB2312"/>
          <w:color w:val="000000"/>
          <w:sz w:val="32"/>
          <w:szCs w:val="32"/>
        </w:rPr>
        <w:t>等产业领域，</w:t>
      </w:r>
      <w:r>
        <w:rPr>
          <w:rFonts w:eastAsia="仿宋_GB2312"/>
          <w:bCs/>
          <w:color w:val="000000"/>
          <w:sz w:val="32"/>
          <w:szCs w:val="32"/>
          <w:shd w:val="clear" w:color="auto" w:fill="FFFFFF"/>
        </w:rPr>
        <w:t>已储备科技项目26项，纳入厅市会商项目7项。</w:t>
      </w:r>
      <w:r>
        <w:rPr>
          <w:rFonts w:hint="eastAsia" w:ascii="Times New Roman" w:hAnsi="Times New Roman" w:eastAsia="仿宋_GB2312" w:cs="Times New Roman"/>
          <w:b/>
          <w:bCs w:val="0"/>
          <w:color w:val="000000"/>
          <w:sz w:val="32"/>
          <w:szCs w:val="32"/>
          <w:lang w:val="en-US" w:eastAsia="zh-CN"/>
        </w:rPr>
        <w:t>三是</w:t>
      </w:r>
      <w:r>
        <w:rPr>
          <w:rFonts w:hint="eastAsia" w:ascii="Times New Roman" w:hAnsi="Times New Roman" w:eastAsia="仿宋_GB2312" w:cs="Times New Roman"/>
          <w:b w:val="0"/>
          <w:bCs/>
          <w:color w:val="000000"/>
          <w:sz w:val="32"/>
          <w:szCs w:val="32"/>
          <w:lang w:val="en-US" w:eastAsia="zh-CN"/>
        </w:rPr>
        <w:t>助推乡村振兴工作，</w:t>
      </w:r>
      <w:r>
        <w:rPr>
          <w:rFonts w:hint="eastAsia" w:ascii="仿宋_GB2312" w:eastAsia="仿宋_GB2312"/>
          <w:bCs/>
          <w:color w:val="000000"/>
          <w:sz w:val="32"/>
          <w:szCs w:val="32"/>
        </w:rPr>
        <w:t>认真抓好乡村振兴在线平台运行工作，</w:t>
      </w:r>
      <w:r>
        <w:rPr>
          <w:rFonts w:eastAsia="仿宋_GB2312"/>
          <w:color w:val="000000"/>
          <w:sz w:val="32"/>
          <w:szCs w:val="32"/>
        </w:rPr>
        <w:t>新增专家30名，信息员18</w:t>
      </w:r>
      <w:r>
        <w:rPr>
          <w:rFonts w:hint="eastAsia" w:eastAsia="仿宋_GB2312"/>
          <w:color w:val="000000"/>
          <w:sz w:val="32"/>
          <w:szCs w:val="32"/>
        </w:rPr>
        <w:t>1</w:t>
      </w:r>
      <w:r>
        <w:rPr>
          <w:rFonts w:eastAsia="仿宋_GB2312"/>
          <w:color w:val="000000"/>
          <w:sz w:val="32"/>
          <w:szCs w:val="32"/>
        </w:rPr>
        <w:t>人</w:t>
      </w:r>
      <w:r>
        <w:rPr>
          <w:rFonts w:hint="eastAsia" w:eastAsia="仿宋_GB2312"/>
          <w:color w:val="000000"/>
          <w:sz w:val="32"/>
          <w:szCs w:val="32"/>
          <w:lang w:eastAsia="zh-CN"/>
        </w:rPr>
        <w:t>。</w:t>
      </w:r>
      <w:r>
        <w:rPr>
          <w:rFonts w:eastAsia="仿宋_GB2312"/>
          <w:color w:val="000000"/>
          <w:sz w:val="32"/>
          <w:szCs w:val="32"/>
        </w:rPr>
        <w:t>结合科技特派团项目的实施，召开了第五批科技特派员扶贫工作进会，与12名省市“三区科技人才”签订三方协议，</w:t>
      </w:r>
      <w:r>
        <w:rPr>
          <w:rFonts w:hint="eastAsia" w:eastAsia="仿宋_GB2312"/>
          <w:color w:val="000000"/>
          <w:sz w:val="32"/>
          <w:szCs w:val="32"/>
        </w:rPr>
        <w:t>引导科技要素和资源向农村有序流动</w:t>
      </w:r>
      <w:r>
        <w:rPr>
          <w:rFonts w:hint="eastAsia" w:eastAsia="仿宋_GB2312"/>
          <w:color w:val="000000"/>
          <w:sz w:val="32"/>
          <w:szCs w:val="32"/>
          <w:lang w:eastAsia="zh-CN"/>
        </w:rPr>
        <w:t>。</w:t>
      </w:r>
      <w:r>
        <w:rPr>
          <w:rFonts w:eastAsia="仿宋_GB2312"/>
          <w:color w:val="000000"/>
          <w:sz w:val="32"/>
          <w:szCs w:val="32"/>
        </w:rPr>
        <w:t>发放实用技术等科普资料3000</w:t>
      </w:r>
      <w:r>
        <w:rPr>
          <w:rFonts w:hint="eastAsia" w:eastAsia="仿宋_GB2312"/>
          <w:color w:val="000000"/>
          <w:sz w:val="32"/>
          <w:szCs w:val="32"/>
          <w:lang w:eastAsia="zh-CN"/>
        </w:rPr>
        <w:t>余</w:t>
      </w:r>
      <w:r>
        <w:rPr>
          <w:rFonts w:eastAsia="仿宋_GB2312"/>
          <w:color w:val="000000"/>
          <w:sz w:val="32"/>
          <w:szCs w:val="32"/>
        </w:rPr>
        <w:t>份</w:t>
      </w:r>
      <w:r>
        <w:rPr>
          <w:rFonts w:hint="eastAsia" w:eastAsia="仿宋_GB2312"/>
          <w:color w:val="000000"/>
          <w:sz w:val="32"/>
          <w:szCs w:val="32"/>
          <w:lang w:eastAsia="zh-CN"/>
        </w:rPr>
        <w:t>，</w:t>
      </w:r>
      <w:r>
        <w:rPr>
          <w:rFonts w:ascii="仿宋" w:hAnsi="仿宋" w:eastAsia="仿宋"/>
          <w:color w:val="000000"/>
          <w:sz w:val="32"/>
          <w:szCs w:val="32"/>
        </w:rPr>
        <w:t>扎实开展</w:t>
      </w:r>
      <w:r>
        <w:rPr>
          <w:rFonts w:hint="eastAsia" w:ascii="仿宋" w:hAnsi="仿宋" w:eastAsia="仿宋"/>
          <w:color w:val="000000"/>
          <w:sz w:val="32"/>
          <w:szCs w:val="32"/>
        </w:rPr>
        <w:t>科普宣传</w:t>
      </w:r>
      <w:r>
        <w:rPr>
          <w:rFonts w:ascii="仿宋" w:hAnsi="仿宋" w:eastAsia="仿宋"/>
          <w:color w:val="000000"/>
          <w:sz w:val="32"/>
          <w:szCs w:val="32"/>
        </w:rPr>
        <w:t>工作</w:t>
      </w:r>
      <w:r>
        <w:rPr>
          <w:rFonts w:hint="eastAsia" w:ascii="仿宋" w:hAnsi="仿宋" w:eastAsia="仿宋"/>
          <w:color w:val="000000"/>
          <w:sz w:val="32"/>
          <w:szCs w:val="32"/>
          <w:lang w:eastAsia="zh-CN"/>
        </w:rPr>
        <w:t>。</w:t>
      </w:r>
    </w:p>
    <w:p w14:paraId="3744C6D8">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bottom"/>
        <w:rPr>
          <w:rFonts w:hint="eastAsia" w:ascii="Times New Roman" w:hAnsi="Times New Roman" w:eastAsia="仿宋_GB2312"/>
          <w:color w:val="000000"/>
          <w:sz w:val="32"/>
          <w:szCs w:val="32"/>
          <w:shd w:val="clear" w:color="auto" w:fill="FFFFFF"/>
        </w:rPr>
      </w:pPr>
      <w:r>
        <w:rPr>
          <w:rFonts w:hint="eastAsia" w:ascii="仿宋" w:hAnsi="仿宋" w:eastAsia="仿宋" w:cs="仿宋"/>
          <w:sz w:val="32"/>
          <w:szCs w:val="32"/>
          <w:lang w:val="en-US" w:eastAsia="zh-CN"/>
        </w:rPr>
        <w:t>抓民营，增添</w:t>
      </w:r>
      <w:r>
        <w:rPr>
          <w:rFonts w:hint="eastAsia" w:ascii="仿宋" w:hAnsi="仿宋" w:eastAsia="仿宋" w:cs="仿宋"/>
          <w:sz w:val="32"/>
          <w:szCs w:val="32"/>
        </w:rPr>
        <w:t>经济发展</w:t>
      </w:r>
      <w:r>
        <w:rPr>
          <w:rFonts w:hint="eastAsia" w:ascii="仿宋" w:hAnsi="仿宋" w:eastAsia="仿宋" w:cs="仿宋"/>
          <w:sz w:val="32"/>
          <w:szCs w:val="32"/>
          <w:lang w:val="en-US" w:eastAsia="zh-CN"/>
        </w:rPr>
        <w:t>活力</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bCs/>
          <w:sz w:val="32"/>
          <w:szCs w:val="32"/>
        </w:rPr>
        <w:t>实施金融“助企行动”</w:t>
      </w:r>
      <w:r>
        <w:rPr>
          <w:rFonts w:hint="eastAsia" w:ascii="仿宋" w:hAnsi="仿宋" w:eastAsia="仿宋" w:cs="仿宋"/>
          <w:bCs/>
          <w:sz w:val="32"/>
          <w:szCs w:val="32"/>
          <w:lang w:eastAsia="zh-CN"/>
        </w:rPr>
        <w:t>。</w:t>
      </w:r>
      <w:r>
        <w:rPr>
          <w:rFonts w:hint="eastAsia" w:eastAsia="仿宋_GB2312" w:cs="仿宋_GB2312"/>
          <w:sz w:val="32"/>
          <w:szCs w:val="32"/>
        </w:rPr>
        <w:t>1-9月，区立信农担公司累计开展担保业务4255笔，共12.95亿元。</w:t>
      </w:r>
      <w:r>
        <w:rPr>
          <w:rFonts w:hint="eastAsia" w:eastAsia="仿宋_GB2312" w:cs="仿宋_GB2312"/>
          <w:color w:val="000000"/>
          <w:sz w:val="32"/>
          <w:szCs w:val="32"/>
        </w:rPr>
        <w:t>受保企业覆盖农业、生产制造、物流、零售批发、建筑等行业，</w:t>
      </w:r>
      <w:r>
        <w:rPr>
          <w:rFonts w:hint="eastAsia" w:eastAsia="仿宋_GB2312" w:cs="仿宋_GB2312"/>
          <w:sz w:val="32"/>
          <w:szCs w:val="32"/>
        </w:rPr>
        <w:t>有力地支持了区内民营企业的发展。</w:t>
      </w:r>
      <w:r>
        <w:rPr>
          <w:rFonts w:hint="eastAsia" w:ascii="仿宋" w:hAnsi="仿宋" w:eastAsia="仿宋" w:cs="仿宋"/>
          <w:b/>
          <w:bCs/>
          <w:sz w:val="32"/>
          <w:szCs w:val="32"/>
          <w:lang w:val="en-US" w:eastAsia="zh-CN"/>
        </w:rPr>
        <w:t>二是</w:t>
      </w:r>
      <w:r>
        <w:rPr>
          <w:rFonts w:hint="eastAsia" w:ascii="Times New Roman" w:hAnsi="Times New Roman" w:eastAsia="仿宋_GB2312"/>
          <w:sz w:val="32"/>
          <w:szCs w:val="32"/>
        </w:rPr>
        <w:t>持续优化营商环境。深化“放管服”改革，清理区本级行政许可事项256项、办理提速50%以上。推进“一网一门一次”改革，一体化政务服务平台延伸至镇、村（社区）。“双随机、一公开”联合监管高效推行。</w:t>
      </w:r>
      <w:r>
        <w:rPr>
          <w:rFonts w:hint="eastAsia" w:ascii="Times New Roman" w:hAnsi="Times New Roman" w:eastAsia="仿宋_GB2312"/>
          <w:b/>
          <w:bCs/>
          <w:sz w:val="32"/>
          <w:szCs w:val="32"/>
          <w:lang w:val="en-US" w:eastAsia="zh-CN"/>
        </w:rPr>
        <w:t>三是</w:t>
      </w:r>
      <w:r>
        <w:rPr>
          <w:rFonts w:hint="eastAsia" w:ascii="仿宋" w:hAnsi="仿宋" w:eastAsia="仿宋" w:cs="仿宋"/>
          <w:b w:val="0"/>
          <w:bCs/>
          <w:sz w:val="32"/>
          <w:szCs w:val="32"/>
        </w:rPr>
        <w:t>实施园区“聚企行动”</w:t>
      </w:r>
      <w:r>
        <w:rPr>
          <w:rFonts w:hint="eastAsia" w:ascii="仿宋" w:hAnsi="仿宋" w:eastAsia="仿宋" w:cs="仿宋"/>
          <w:b w:val="0"/>
          <w:bCs/>
          <w:sz w:val="32"/>
          <w:szCs w:val="32"/>
          <w:lang w:eastAsia="zh-CN"/>
        </w:rPr>
        <w:t>。</w:t>
      </w:r>
      <w:r>
        <w:rPr>
          <w:rFonts w:ascii="Times New Roman" w:hAnsi="Times New Roman" w:eastAsia="仿宋_GB2312"/>
          <w:sz w:val="32"/>
          <w:szCs w:val="32"/>
        </w:rPr>
        <w:t>举全区之力建设中国西部（广元）家居产业城</w:t>
      </w:r>
      <w:r>
        <w:rPr>
          <w:rFonts w:hint="eastAsia" w:ascii="Times New Roman" w:hAnsi="Times New Roman" w:eastAsia="仿宋_GB2312"/>
          <w:sz w:val="32"/>
          <w:szCs w:val="32"/>
          <w:lang w:eastAsia="zh-CN"/>
        </w:rPr>
        <w:t>，</w:t>
      </w:r>
      <w:r>
        <w:rPr>
          <w:rFonts w:ascii="Times New Roman" w:hAnsi="Times New Roman" w:eastAsia="仿宋_GB2312"/>
          <w:color w:val="000000"/>
          <w:sz w:val="32"/>
          <w:szCs w:val="32"/>
          <w:shd w:val="clear" w:color="auto" w:fill="FFFFFF"/>
        </w:rPr>
        <w:t>累计签订投资协议家居企业3</w:t>
      </w:r>
      <w:r>
        <w:rPr>
          <w:rFonts w:hint="eastAsia" w:ascii="Times New Roman" w:hAnsi="Times New Roman" w:eastAsia="仿宋_GB2312"/>
          <w:color w:val="000000"/>
          <w:sz w:val="32"/>
          <w:szCs w:val="32"/>
          <w:shd w:val="clear" w:color="auto" w:fill="FFFFFF"/>
          <w:lang w:val="en-US" w:eastAsia="zh-CN"/>
        </w:rPr>
        <w:t>8</w:t>
      </w:r>
      <w:r>
        <w:rPr>
          <w:rFonts w:ascii="Times New Roman" w:hAnsi="Times New Roman" w:eastAsia="仿宋_GB2312"/>
          <w:color w:val="000000"/>
          <w:sz w:val="32"/>
          <w:szCs w:val="32"/>
          <w:shd w:val="clear" w:color="auto" w:fill="FFFFFF"/>
        </w:rPr>
        <w:t>家，1</w:t>
      </w:r>
      <w:r>
        <w:rPr>
          <w:rFonts w:hint="eastAsia" w:ascii="Times New Roman" w:hAnsi="Times New Roman" w:eastAsia="仿宋_GB2312"/>
          <w:color w:val="000000"/>
          <w:sz w:val="32"/>
          <w:szCs w:val="32"/>
          <w:shd w:val="clear" w:color="auto" w:fill="FFFFFF"/>
          <w:lang w:val="en-US" w:eastAsia="zh-CN"/>
        </w:rPr>
        <w:t>6</w:t>
      </w:r>
      <w:r>
        <w:rPr>
          <w:rFonts w:ascii="Times New Roman" w:hAnsi="Times New Roman" w:eastAsia="仿宋_GB2312"/>
          <w:color w:val="000000"/>
          <w:sz w:val="32"/>
          <w:szCs w:val="32"/>
          <w:shd w:val="clear" w:color="auto" w:fill="FFFFFF"/>
        </w:rPr>
        <w:t>家已入驻开工</w:t>
      </w:r>
      <w:r>
        <w:rPr>
          <w:rFonts w:hint="eastAsia" w:ascii="Times New Roman" w:hAnsi="Times New Roman" w:eastAsia="仿宋_GB2312"/>
          <w:color w:val="000000"/>
          <w:sz w:val="32"/>
          <w:szCs w:val="32"/>
          <w:shd w:val="clear" w:color="auto" w:fill="FFFFFF"/>
        </w:rPr>
        <w:t>。特别是投资12亿元的碧桂园筑美家居正在加快推进，投资5亿元的上海慕曼德家居、投资8亿元的浙江财纳福诺家居已达成投资意向。</w:t>
      </w:r>
    </w:p>
    <w:p w14:paraId="22881ABC">
      <w:pPr>
        <w:pStyle w:val="8"/>
        <w:keepNext w:val="0"/>
        <w:keepLines w:val="0"/>
        <w:pageBreakBefore w:val="0"/>
        <w:widowControl w:val="0"/>
        <w:kinsoku/>
        <w:wordWrap/>
        <w:topLinePunct w:val="0"/>
        <w:autoSpaceDE/>
        <w:autoSpaceDN/>
        <w:bidi w:val="0"/>
        <w:spacing w:line="576" w:lineRule="exact"/>
        <w:ind w:left="0" w:leftChars="0" w:firstLine="640" w:firstLineChars="200"/>
        <w:rPr>
          <w:rFonts w:hint="eastAsia"/>
        </w:rPr>
      </w:pPr>
      <w:r>
        <w:rPr>
          <w:rFonts w:hint="eastAsia" w:ascii="Times New Roman" w:hAnsi="Times New Roman" w:eastAsia="仿宋_GB2312"/>
          <w:color w:val="000000"/>
          <w:sz w:val="32"/>
          <w:szCs w:val="32"/>
          <w:shd w:val="clear" w:color="auto" w:fill="FFFFFF"/>
          <w:lang w:val="en-US" w:eastAsia="zh-CN"/>
        </w:rPr>
        <w:t>抓电力、信息化基础设施，增强全区经济社会发展承载力。</w:t>
      </w:r>
      <w:r>
        <w:rPr>
          <w:rFonts w:hint="eastAsia" w:ascii="Times New Roman" w:hAnsi="Times New Roman" w:eastAsia="仿宋_GB2312"/>
          <w:b/>
          <w:bCs/>
          <w:color w:val="000000"/>
          <w:sz w:val="32"/>
          <w:szCs w:val="32"/>
          <w:shd w:val="clear" w:color="auto" w:fill="FFFFFF"/>
          <w:lang w:val="en-US" w:eastAsia="zh-CN"/>
        </w:rPr>
        <w:t>一是</w:t>
      </w:r>
      <w:r>
        <w:rPr>
          <w:rFonts w:hint="eastAsia" w:ascii="仿宋" w:hAnsi="仿宋" w:eastAsia="仿宋" w:cs="仿宋"/>
          <w:sz w:val="32"/>
          <w:szCs w:val="32"/>
        </w:rPr>
        <w:t>电力助推乡村振兴</w:t>
      </w:r>
      <w:r>
        <w:rPr>
          <w:rFonts w:hint="eastAsia" w:ascii="仿宋" w:hAnsi="仿宋" w:eastAsia="仿宋" w:cs="仿宋"/>
          <w:sz w:val="32"/>
          <w:szCs w:val="32"/>
          <w:lang w:eastAsia="zh-CN"/>
        </w:rPr>
        <w:t>。</w:t>
      </w:r>
      <w:r>
        <w:rPr>
          <w:rFonts w:hint="eastAsia" w:ascii="仿宋" w:hAnsi="仿宋" w:eastAsia="仿宋" w:cs="仿宋"/>
          <w:sz w:val="32"/>
          <w:szCs w:val="32"/>
        </w:rPr>
        <w:t>2021年已下达电网建设投资8696.01万元，其中农配网总投资5806.06万元、同比增长132.15%，涉及7个镇、12个村以及4条10千伏线路改造，陆续开工建设</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抓好森林火灾防控</w:t>
      </w:r>
      <w:r>
        <w:rPr>
          <w:rFonts w:hint="eastAsia" w:ascii="仿宋" w:hAnsi="仿宋" w:eastAsia="仿宋" w:cs="仿宋"/>
          <w:sz w:val="32"/>
          <w:szCs w:val="32"/>
          <w:lang w:eastAsia="zh-CN"/>
        </w:rPr>
        <w:t>。</w:t>
      </w:r>
      <w:r>
        <w:rPr>
          <w:rFonts w:hint="eastAsia" w:ascii="仿宋" w:hAnsi="仿宋" w:eastAsia="仿宋" w:cs="仿宋"/>
          <w:sz w:val="32"/>
          <w:szCs w:val="32"/>
        </w:rPr>
        <w:t>清理穿林区线路通道695千米</w:t>
      </w:r>
      <w:r>
        <w:rPr>
          <w:rFonts w:hint="eastAsia" w:ascii="仿宋" w:hAnsi="仿宋" w:eastAsia="仿宋" w:cs="仿宋"/>
          <w:sz w:val="32"/>
          <w:szCs w:val="32"/>
          <w:lang w:eastAsia="zh-CN"/>
        </w:rPr>
        <w:t>，</w:t>
      </w:r>
      <w:r>
        <w:rPr>
          <w:rFonts w:hint="eastAsia" w:ascii="仿宋" w:hAnsi="仿宋" w:eastAsia="仿宋" w:cs="仿宋"/>
          <w:sz w:val="32"/>
          <w:szCs w:val="32"/>
        </w:rPr>
        <w:t>清理杆塔下方易燃物5747基、整治线路森林火灾隐患293处。开展养异化巡视运维，举行防山火紧急拉停避险演练</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信息通信扶贫成效巩固，</w:t>
      </w:r>
      <w:r>
        <w:rPr>
          <w:rFonts w:hint="eastAsia" w:ascii="Times New Roman" w:hAnsi="Times New Roman" w:eastAsia="仿宋_GB2312"/>
          <w:sz w:val="32"/>
          <w:szCs w:val="32"/>
        </w:rPr>
        <w:t>联通</w:t>
      </w:r>
      <w:r>
        <w:rPr>
          <w:rFonts w:hint="eastAsia" w:ascii="Times New Roman" w:hAnsi="Times New Roman" w:eastAsia="仿宋_GB2312"/>
          <w:sz w:val="32"/>
          <w:szCs w:val="32"/>
          <w:lang w:eastAsia="zh-CN"/>
        </w:rPr>
        <w:t>昭化分公司新</w:t>
      </w:r>
      <w:r>
        <w:rPr>
          <w:rFonts w:hint="eastAsia" w:ascii="Times New Roman" w:hAnsi="Times New Roman" w:eastAsia="仿宋_GB2312"/>
          <w:sz w:val="32"/>
          <w:szCs w:val="32"/>
        </w:rPr>
        <w:t>建4G基站</w:t>
      </w:r>
      <w:r>
        <w:rPr>
          <w:rFonts w:hint="eastAsia" w:ascii="Times New Roman" w:hAnsi="Times New Roman" w:eastAsia="仿宋_GB2312"/>
          <w:sz w:val="32"/>
          <w:szCs w:val="32"/>
          <w:lang w:val="en-US" w:eastAsia="zh-CN"/>
        </w:rPr>
        <w:t>14个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移动</w:t>
      </w:r>
      <w:r>
        <w:rPr>
          <w:rFonts w:hint="eastAsia" w:ascii="Times New Roman" w:hAnsi="Times New Roman" w:eastAsia="仿宋_GB2312"/>
          <w:sz w:val="32"/>
          <w:szCs w:val="32"/>
          <w:lang w:eastAsia="zh-CN"/>
        </w:rPr>
        <w:t>昭化分公司新</w:t>
      </w:r>
      <w:r>
        <w:rPr>
          <w:rFonts w:hint="eastAsia" w:ascii="Times New Roman" w:hAnsi="Times New Roman" w:eastAsia="仿宋_GB2312"/>
          <w:sz w:val="32"/>
          <w:szCs w:val="32"/>
        </w:rPr>
        <w:t>建40个5G基站，新建15个4G基站</w:t>
      </w:r>
      <w:r>
        <w:rPr>
          <w:rFonts w:hint="eastAsia" w:ascii="Times New Roman" w:hAnsi="Times New Roman" w:eastAsia="仿宋_GB2312"/>
          <w:sz w:val="32"/>
          <w:szCs w:val="32"/>
          <w:lang w:eastAsia="zh-CN"/>
        </w:rPr>
        <w:t>，电信昭化分公司在全区</w:t>
      </w:r>
      <w:r>
        <w:rPr>
          <w:rFonts w:hint="eastAsia" w:ascii="Times New Roman" w:hAnsi="Times New Roman" w:eastAsia="仿宋_GB2312"/>
          <w:sz w:val="32"/>
          <w:szCs w:val="32"/>
          <w:lang w:val="en-US" w:eastAsia="zh-CN"/>
        </w:rPr>
        <w:t>12个镇</w:t>
      </w:r>
      <w:r>
        <w:rPr>
          <w:rFonts w:hint="eastAsia" w:ascii="Times New Roman" w:hAnsi="Times New Roman" w:eastAsia="仿宋_GB2312"/>
          <w:sz w:val="32"/>
          <w:szCs w:val="32"/>
          <w:lang w:eastAsia="zh-CN"/>
        </w:rPr>
        <w:t>新建</w:t>
      </w:r>
      <w:r>
        <w:rPr>
          <w:rFonts w:hint="eastAsia" w:ascii="Times New Roman" w:hAnsi="Times New Roman" w:eastAsia="仿宋_GB2312"/>
          <w:sz w:val="32"/>
          <w:szCs w:val="32"/>
          <w:lang w:val="en-US" w:eastAsia="zh-CN"/>
        </w:rPr>
        <w:t>5G基站35个，4G基站10个，</w:t>
      </w:r>
      <w:r>
        <w:rPr>
          <w:rFonts w:hint="eastAsia" w:ascii="Times New Roman" w:hAnsi="Times New Roman" w:eastAsia="仿宋_GB2312"/>
          <w:sz w:val="32"/>
          <w:szCs w:val="32"/>
        </w:rPr>
        <w:t>最大限度满足群众通信网络使用需求</w:t>
      </w:r>
      <w:r>
        <w:rPr>
          <w:rFonts w:hint="eastAsia" w:ascii="Times New Roman" w:hAnsi="Times New Roman" w:eastAsia="仿宋_GB2312"/>
          <w:sz w:val="32"/>
          <w:szCs w:val="32"/>
          <w:lang w:val="en-US" w:eastAsia="zh-CN"/>
        </w:rPr>
        <w:t>。</w:t>
      </w:r>
    </w:p>
    <w:p w14:paraId="29142820">
      <w:pPr>
        <w:pageBreakBefore w:val="0"/>
        <w:widowControl/>
        <w:kinsoku/>
        <w:wordWrap/>
        <w:topLinePunct w:val="0"/>
        <w:bidi w:val="0"/>
        <w:spacing w:line="576" w:lineRule="exact"/>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E44538F">
      <w:pPr>
        <w:pStyle w:val="3"/>
        <w:pageBreakBefore w:val="0"/>
        <w:kinsoku/>
        <w:wordWrap/>
        <w:topLinePunct w:val="0"/>
        <w:bidi w:val="0"/>
        <w:spacing w:before="0" w:after="0" w:line="576" w:lineRule="exact"/>
        <w:ind w:right="440"/>
        <w:jc w:val="center"/>
        <w:rPr>
          <w:rStyle w:val="29"/>
          <w:rFonts w:ascii="黑体" w:hAnsi="黑体" w:eastAsia="黑体"/>
          <w:b w:val="0"/>
          <w:bCs/>
          <w:color w:val="auto"/>
          <w:highlight w:val="none"/>
        </w:rPr>
      </w:pPr>
      <w:bookmarkStart w:id="25" w:name="_Toc6005"/>
      <w:bookmarkStart w:id="26" w:name="_Toc25835"/>
      <w:bookmarkStart w:id="27" w:name="_Toc15377204"/>
      <w:bookmarkStart w:id="28" w:name="_Toc15396602"/>
      <w:bookmarkStart w:id="29" w:name="_Toc323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25"/>
      <w:bookmarkEnd w:id="26"/>
      <w:bookmarkEnd w:id="27"/>
      <w:bookmarkEnd w:id="28"/>
      <w:bookmarkEnd w:id="29"/>
    </w:p>
    <w:p w14:paraId="681B3839">
      <w:pPr>
        <w:pageBreakBefore w:val="0"/>
        <w:kinsoku/>
        <w:wordWrap/>
        <w:topLinePunct w:val="0"/>
        <w:bidi w:val="0"/>
        <w:spacing w:line="576" w:lineRule="exact"/>
        <w:rPr>
          <w:color w:val="auto"/>
          <w:highlight w:val="none"/>
        </w:rPr>
      </w:pPr>
    </w:p>
    <w:p w14:paraId="5030CC25">
      <w:pPr>
        <w:pStyle w:val="28"/>
        <w:pageBreakBefore w:val="0"/>
        <w:numPr>
          <w:ilvl w:val="0"/>
          <w:numId w:val="2"/>
        </w:numPr>
        <w:kinsoku/>
        <w:wordWrap/>
        <w:topLinePunct w:val="0"/>
        <w:bidi w:val="0"/>
        <w:spacing w:line="576" w:lineRule="exact"/>
        <w:ind w:firstLineChars="0"/>
        <w:outlineLvl w:val="1"/>
        <w:rPr>
          <w:rStyle w:val="30"/>
          <w:rFonts w:ascii="黑体" w:hAnsi="黑体" w:eastAsia="黑体"/>
          <w:b w:val="0"/>
          <w:color w:val="auto"/>
          <w:highlight w:val="none"/>
        </w:rPr>
      </w:pPr>
      <w:bookmarkStart w:id="30" w:name="_Toc15396603"/>
      <w:bookmarkStart w:id="31" w:name="_Toc24927"/>
      <w:bookmarkStart w:id="32" w:name="_Toc15377205"/>
      <w:bookmarkStart w:id="33" w:name="_Toc19647"/>
      <w:bookmarkStart w:id="34" w:name="_Toc1080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0"/>
      <w:bookmarkEnd w:id="31"/>
      <w:bookmarkEnd w:id="32"/>
      <w:bookmarkEnd w:id="33"/>
      <w:bookmarkEnd w:id="34"/>
    </w:p>
    <w:p w14:paraId="776CB98A">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年度收、支总计4560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年相比，收、支总计各增加2162.5万元，增长</w:t>
      </w:r>
      <w:r>
        <w:rPr>
          <w:rFonts w:hint="eastAsia" w:ascii="仿宋" w:hAnsi="仿宋" w:eastAsia="仿宋"/>
          <w:color w:val="auto"/>
          <w:sz w:val="32"/>
          <w:szCs w:val="32"/>
          <w:highlight w:val="none"/>
          <w:lang w:val="en-US" w:eastAsia="zh-CN"/>
        </w:rPr>
        <w:t>90.2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增加引进企业广元建工工业化和智同环保项目配套基础设施建设资金支出</w:t>
      </w:r>
      <w:r>
        <w:rPr>
          <w:rFonts w:hint="eastAsia" w:ascii="仿宋" w:hAnsi="仿宋" w:eastAsia="仿宋"/>
          <w:color w:val="000000"/>
          <w:sz w:val="32"/>
          <w:szCs w:val="32"/>
          <w:lang w:val="en-US" w:eastAsia="zh-CN"/>
        </w:rPr>
        <w:t>。</w:t>
      </w:r>
    </w:p>
    <w:p w14:paraId="44E607FB">
      <w:pPr>
        <w:pageBreakBefore w:val="0"/>
        <w:kinsoku/>
        <w:wordWrap/>
        <w:topLinePunct w:val="0"/>
        <w:bidi w:val="0"/>
        <w:spacing w:line="576" w:lineRule="exact"/>
        <w:ind w:firstLine="420" w:firstLineChars="200"/>
        <w:jc w:val="center"/>
      </w:pPr>
      <w:r>
        <w:drawing>
          <wp:anchor distT="0" distB="0" distL="114300" distR="114300" simplePos="0" relativeHeight="251664384" behindDoc="0" locked="0" layoutInCell="1" allowOverlap="1">
            <wp:simplePos x="0" y="0"/>
            <wp:positionH relativeFrom="column">
              <wp:posOffset>631825</wp:posOffset>
            </wp:positionH>
            <wp:positionV relativeFrom="paragraph">
              <wp:posOffset>205740</wp:posOffset>
            </wp:positionV>
            <wp:extent cx="4145915" cy="1507490"/>
            <wp:effectExtent l="4445" t="5080" r="21590" b="1143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7B7F3D7B">
      <w:pPr>
        <w:pStyle w:val="28"/>
        <w:pageBreakBefore w:val="0"/>
        <w:numPr>
          <w:ilvl w:val="0"/>
          <w:numId w:val="2"/>
        </w:numPr>
        <w:kinsoku/>
        <w:wordWrap/>
        <w:topLinePunct w:val="0"/>
        <w:bidi w:val="0"/>
        <w:spacing w:line="576" w:lineRule="exact"/>
        <w:ind w:firstLineChars="0"/>
        <w:outlineLvl w:val="1"/>
        <w:rPr>
          <w:rStyle w:val="30"/>
          <w:rFonts w:ascii="黑体" w:hAnsi="黑体" w:eastAsia="黑体"/>
          <w:b w:val="0"/>
          <w:color w:val="auto"/>
          <w:highlight w:val="none"/>
        </w:rPr>
      </w:pPr>
      <w:bookmarkStart w:id="35" w:name="_Toc24599"/>
      <w:bookmarkStart w:id="36" w:name="_Toc15396604"/>
      <w:bookmarkStart w:id="37" w:name="_Toc21758"/>
      <w:bookmarkStart w:id="38" w:name="_Toc9862"/>
      <w:bookmarkStart w:id="39"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35"/>
      <w:bookmarkEnd w:id="36"/>
      <w:bookmarkEnd w:id="37"/>
      <w:bookmarkEnd w:id="38"/>
      <w:bookmarkEnd w:id="39"/>
    </w:p>
    <w:p w14:paraId="57DD97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年本年收入合计4560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万元，其中：一般公共预算财政拨款收入1391.69万元，占</w:t>
      </w:r>
      <w:r>
        <w:rPr>
          <w:rFonts w:hint="eastAsia" w:ascii="仿宋" w:hAnsi="仿宋" w:eastAsia="仿宋"/>
          <w:color w:val="auto"/>
          <w:sz w:val="32"/>
          <w:szCs w:val="32"/>
          <w:highlight w:val="none"/>
          <w:lang w:val="en-US" w:eastAsia="zh-CN"/>
        </w:rPr>
        <w:t>30.52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；政府性基金预算财政拨款收入3168.37万元，占</w:t>
      </w:r>
      <w:r>
        <w:rPr>
          <w:rFonts w:hint="eastAsia" w:ascii="仿宋" w:hAnsi="仿宋" w:eastAsia="仿宋"/>
          <w:color w:val="auto"/>
          <w:sz w:val="32"/>
          <w:szCs w:val="32"/>
          <w:highlight w:val="none"/>
          <w:lang w:val="en-US" w:eastAsia="zh-CN"/>
        </w:rPr>
        <w:t>69.48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B2449C6">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738505</wp:posOffset>
            </wp:positionH>
            <wp:positionV relativeFrom="paragraph">
              <wp:posOffset>157480</wp:posOffset>
            </wp:positionV>
            <wp:extent cx="3839845" cy="1624330"/>
            <wp:effectExtent l="4445" t="5080" r="22860" b="889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图2：收入决算结构图</w:t>
      </w:r>
    </w:p>
    <w:p w14:paraId="42B65146">
      <w:pPr>
        <w:pStyle w:val="28"/>
        <w:pageBreakBefore w:val="0"/>
        <w:numPr>
          <w:ilvl w:val="0"/>
          <w:numId w:val="2"/>
        </w:numPr>
        <w:kinsoku/>
        <w:wordWrap/>
        <w:topLinePunct w:val="0"/>
        <w:bidi w:val="0"/>
        <w:spacing w:line="576" w:lineRule="exact"/>
        <w:ind w:firstLineChars="0"/>
        <w:outlineLvl w:val="1"/>
        <w:rPr>
          <w:rStyle w:val="30"/>
          <w:rFonts w:ascii="黑体" w:hAnsi="黑体" w:eastAsia="黑体"/>
          <w:b w:val="0"/>
          <w:color w:val="auto"/>
          <w:highlight w:val="none"/>
        </w:rPr>
      </w:pPr>
      <w:bookmarkStart w:id="40" w:name="_Toc15377207"/>
      <w:bookmarkStart w:id="41" w:name="_Toc31939"/>
      <w:bookmarkStart w:id="42" w:name="_Toc2181"/>
      <w:bookmarkStart w:id="43" w:name="_Toc15396605"/>
      <w:bookmarkStart w:id="44" w:name="_Toc1264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40"/>
      <w:bookmarkEnd w:id="41"/>
      <w:bookmarkEnd w:id="42"/>
      <w:bookmarkEnd w:id="43"/>
      <w:bookmarkEnd w:id="44"/>
    </w:p>
    <w:p w14:paraId="226B0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年本年支出合计3990.12万元，其中：基本支出</w:t>
      </w:r>
    </w:p>
    <w:p w14:paraId="6687633F">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 w:hAnsi="仿宋" w:eastAsia="仿宋"/>
          <w:color w:val="auto"/>
          <w:sz w:val="32"/>
          <w:szCs w:val="32"/>
          <w:highlight w:val="none"/>
          <w:shd w:val="pct10" w:color="auto" w:fill="FFFFFF"/>
        </w:rPr>
      </w:pPr>
      <w:r>
        <w:drawing>
          <wp:anchor distT="0" distB="0" distL="114300" distR="114300" simplePos="0" relativeHeight="251660288" behindDoc="0" locked="0" layoutInCell="1" allowOverlap="1">
            <wp:simplePos x="0" y="0"/>
            <wp:positionH relativeFrom="column">
              <wp:posOffset>635635</wp:posOffset>
            </wp:positionH>
            <wp:positionV relativeFrom="paragraph">
              <wp:posOffset>448945</wp:posOffset>
            </wp:positionV>
            <wp:extent cx="4013200" cy="1650365"/>
            <wp:effectExtent l="4445" t="4445" r="5715" b="762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392.48万元，占</w:t>
      </w:r>
      <w:r>
        <w:rPr>
          <w:rFonts w:hint="eastAsia" w:ascii="仿宋" w:hAnsi="仿宋" w:eastAsia="仿宋"/>
          <w:color w:val="auto"/>
          <w:sz w:val="32"/>
          <w:szCs w:val="32"/>
          <w:highlight w:val="none"/>
          <w:lang w:val="en-US" w:eastAsia="zh-CN"/>
        </w:rPr>
        <w:t>9.84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；项目支出3597.63万元，占</w:t>
      </w:r>
      <w:r>
        <w:rPr>
          <w:rFonts w:hint="eastAsia" w:ascii="仿宋" w:hAnsi="仿宋" w:eastAsia="仿宋"/>
          <w:color w:val="auto"/>
          <w:sz w:val="32"/>
          <w:szCs w:val="32"/>
          <w:highlight w:val="none"/>
          <w:lang w:val="en-US" w:eastAsia="zh-CN"/>
        </w:rPr>
        <w:t>90.16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1774DA9A">
      <w:pPr>
        <w:pageBreakBefore w:val="0"/>
        <w:kinsoku/>
        <w:wordWrap/>
        <w:topLinePunct w:val="0"/>
        <w:bidi w:val="0"/>
        <w:spacing w:line="576"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14:paraId="169F3929">
      <w:pPr>
        <w:pageBreakBefore w:val="0"/>
        <w:kinsoku/>
        <w:wordWrap/>
        <w:topLinePunct w:val="0"/>
        <w:bidi w:val="0"/>
        <w:spacing w:line="576" w:lineRule="exact"/>
        <w:ind w:firstLine="640" w:firstLineChars="200"/>
        <w:outlineLvl w:val="1"/>
        <w:rPr>
          <w:rStyle w:val="30"/>
          <w:rFonts w:ascii="黑体" w:hAnsi="黑体" w:eastAsia="黑体"/>
          <w:b w:val="0"/>
          <w:color w:val="auto"/>
          <w:highlight w:val="none"/>
        </w:rPr>
      </w:pPr>
      <w:bookmarkStart w:id="45" w:name="_Toc22891"/>
      <w:bookmarkStart w:id="46" w:name="_Toc24333"/>
      <w:bookmarkStart w:id="47" w:name="_Toc15377208"/>
      <w:bookmarkStart w:id="48" w:name="_Toc21623"/>
      <w:bookmarkStart w:id="49"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45"/>
      <w:bookmarkEnd w:id="46"/>
      <w:bookmarkEnd w:id="47"/>
      <w:bookmarkEnd w:id="48"/>
      <w:bookmarkEnd w:id="49"/>
    </w:p>
    <w:p w14:paraId="0E6C6FCD">
      <w:pPr>
        <w:pageBreakBefore w:val="0"/>
        <w:kinsoku/>
        <w:wordWrap/>
        <w:topLinePunct w:val="0"/>
        <w:bidi w:val="0"/>
        <w:spacing w:line="576"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年财政拨款收、支总计4560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年相比，财政拨款收、支总计各增加2162.5万元，增长</w:t>
      </w:r>
      <w:r>
        <w:rPr>
          <w:rFonts w:hint="eastAsia" w:ascii="仿宋" w:hAnsi="仿宋" w:eastAsia="仿宋"/>
          <w:color w:val="auto"/>
          <w:sz w:val="32"/>
          <w:szCs w:val="32"/>
          <w:highlight w:val="none"/>
          <w:lang w:val="en-US" w:eastAsia="zh-CN"/>
        </w:rPr>
        <w:t>90.2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 w:hAnsi="仿宋" w:eastAsia="仿宋"/>
          <w:color w:val="000000"/>
          <w:sz w:val="32"/>
          <w:szCs w:val="32"/>
          <w:lang w:eastAsia="zh-CN"/>
        </w:rPr>
        <w:t>增加引进企业广元建工工业化和智同环保项目配套基础设施建设资金支出</w:t>
      </w:r>
      <w:r>
        <w:rPr>
          <w:rFonts w:hint="eastAsia" w:ascii="仿宋" w:hAnsi="仿宋" w:eastAsia="仿宋"/>
          <w:color w:val="000000"/>
          <w:sz w:val="32"/>
          <w:szCs w:val="32"/>
          <w:lang w:val="en-US" w:eastAsia="zh-CN"/>
        </w:rPr>
        <w:t>。</w:t>
      </w:r>
    </w:p>
    <w:p w14:paraId="0FFCCC13">
      <w:pPr>
        <w:pageBreakBefore w:val="0"/>
        <w:kinsoku/>
        <w:wordWrap/>
        <w:topLinePunct w:val="0"/>
        <w:bidi w:val="0"/>
        <w:spacing w:line="576" w:lineRule="exact"/>
        <w:jc w:val="center"/>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549910</wp:posOffset>
            </wp:positionH>
            <wp:positionV relativeFrom="paragraph">
              <wp:posOffset>180975</wp:posOffset>
            </wp:positionV>
            <wp:extent cx="4079240" cy="1383665"/>
            <wp:effectExtent l="4445" t="4445" r="12065" b="21590"/>
            <wp:wrapTopAndBottom/>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图4：财政拨款收、支决算总计变动情况</w:t>
      </w:r>
    </w:p>
    <w:p w14:paraId="7582C9F6">
      <w:pPr>
        <w:pageBreakBefore w:val="0"/>
        <w:kinsoku/>
        <w:wordWrap/>
        <w:topLinePunct w:val="0"/>
        <w:bidi w:val="0"/>
        <w:spacing w:line="576" w:lineRule="exact"/>
        <w:ind w:firstLine="640" w:firstLineChars="200"/>
        <w:outlineLvl w:val="1"/>
        <w:rPr>
          <w:rStyle w:val="30"/>
          <w:rFonts w:ascii="黑体" w:hAnsi="黑体" w:eastAsia="黑体"/>
          <w:b w:val="0"/>
          <w:color w:val="auto"/>
          <w:highlight w:val="none"/>
        </w:rPr>
      </w:pPr>
      <w:bookmarkStart w:id="50" w:name="_Toc8765"/>
      <w:bookmarkStart w:id="51" w:name="_Toc15396607"/>
      <w:bookmarkStart w:id="52" w:name="_Toc18027"/>
      <w:bookmarkStart w:id="53" w:name="_Toc15377209"/>
      <w:bookmarkStart w:id="54" w:name="_Toc2665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50"/>
      <w:bookmarkEnd w:id="51"/>
      <w:bookmarkEnd w:id="52"/>
      <w:bookmarkEnd w:id="53"/>
      <w:bookmarkEnd w:id="54"/>
    </w:p>
    <w:p w14:paraId="488497CB">
      <w:pPr>
        <w:pageBreakBefore w:val="0"/>
        <w:kinsoku/>
        <w:wordWrap/>
        <w:topLinePunct w:val="0"/>
        <w:bidi w:val="0"/>
        <w:spacing w:line="576" w:lineRule="exact"/>
        <w:ind w:firstLine="643" w:firstLineChars="200"/>
        <w:outlineLvl w:val="2"/>
        <w:rPr>
          <w:rFonts w:ascii="仿宋" w:hAnsi="仿宋" w:eastAsia="仿宋"/>
          <w:b/>
          <w:color w:val="auto"/>
          <w:sz w:val="32"/>
          <w:szCs w:val="32"/>
          <w:highlight w:val="none"/>
        </w:rPr>
      </w:pPr>
      <w:bookmarkStart w:id="55" w:name="_Toc15377210"/>
      <w:r>
        <w:rPr>
          <w:rFonts w:hint="eastAsia" w:ascii="仿宋" w:hAnsi="仿宋" w:eastAsia="仿宋"/>
          <w:b/>
          <w:color w:val="auto"/>
          <w:sz w:val="32"/>
          <w:szCs w:val="32"/>
          <w:highlight w:val="none"/>
        </w:rPr>
        <w:t>（一）一般公共预算财政拨款支出决算总体情况</w:t>
      </w:r>
      <w:bookmarkEnd w:id="55"/>
    </w:p>
    <w:p w14:paraId="6B33AD7B">
      <w:pPr>
        <w:pageBreakBefore w:val="0"/>
        <w:kinsoku/>
        <w:wordWrap/>
        <w:topLinePunct w:val="0"/>
        <w:bidi w:val="0"/>
        <w:spacing w:line="576"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年一般公共预算财政拨款支出889.45万元，占本年支出合计的</w:t>
      </w:r>
      <w:r>
        <w:rPr>
          <w:rFonts w:hint="eastAsia" w:ascii="仿宋" w:hAnsi="仿宋" w:eastAsia="仿宋"/>
          <w:color w:val="auto"/>
          <w:sz w:val="32"/>
          <w:szCs w:val="32"/>
          <w:highlight w:val="none"/>
          <w:lang w:val="en-US" w:eastAsia="zh-CN"/>
        </w:rPr>
        <w:t>22.29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000000"/>
          <w:sz w:val="32"/>
          <w:szCs w:val="32"/>
          <w:lang w:val="en-US" w:eastAsia="zh-CN"/>
        </w:rPr>
        <w:t>1342.11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60.14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drawing>
          <wp:anchor distT="0" distB="0" distL="114300" distR="114300" simplePos="0" relativeHeight="251662336" behindDoc="0" locked="0" layoutInCell="1" allowOverlap="1">
            <wp:simplePos x="0" y="0"/>
            <wp:positionH relativeFrom="column">
              <wp:posOffset>227965</wp:posOffset>
            </wp:positionH>
            <wp:positionV relativeFrom="paragraph">
              <wp:posOffset>527685</wp:posOffset>
            </wp:positionV>
            <wp:extent cx="4755515" cy="1743710"/>
            <wp:effectExtent l="4445" t="4445" r="21590" b="2349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lang w:val="en-US" w:eastAsia="zh-CN"/>
        </w:rPr>
        <w:t>2020年有</w:t>
      </w:r>
      <w:r>
        <w:rPr>
          <w:rFonts w:hint="eastAsia" w:ascii="仿宋" w:hAnsi="仿宋" w:eastAsia="仿宋"/>
          <w:color w:val="000000"/>
          <w:sz w:val="32"/>
          <w:szCs w:val="32"/>
          <w:lang w:eastAsia="zh-CN"/>
        </w:rPr>
        <w:t>中央应急物资保障体系建设资金支出。</w:t>
      </w:r>
    </w:p>
    <w:p w14:paraId="5BE43D7F">
      <w:pPr>
        <w:pageBreakBefore w:val="0"/>
        <w:kinsoku/>
        <w:wordWrap/>
        <w:topLinePunct w:val="0"/>
        <w:bidi w:val="0"/>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6B58C844">
      <w:pPr>
        <w:pageBreakBefore w:val="0"/>
        <w:kinsoku/>
        <w:wordWrap/>
        <w:topLinePunct w:val="0"/>
        <w:bidi w:val="0"/>
        <w:spacing w:line="576" w:lineRule="exact"/>
        <w:ind w:firstLine="643" w:firstLineChars="200"/>
        <w:outlineLvl w:val="2"/>
        <w:rPr>
          <w:rFonts w:ascii="仿宋" w:hAnsi="仿宋" w:eastAsia="仿宋"/>
          <w:b/>
          <w:color w:val="auto"/>
          <w:sz w:val="32"/>
          <w:szCs w:val="32"/>
          <w:highlight w:val="none"/>
        </w:rPr>
      </w:pPr>
      <w:bookmarkStart w:id="56" w:name="_Toc15377211"/>
      <w:r>
        <w:rPr>
          <w:rFonts w:hint="eastAsia" w:ascii="仿宋" w:hAnsi="仿宋" w:eastAsia="仿宋"/>
          <w:b/>
          <w:color w:val="auto"/>
          <w:sz w:val="32"/>
          <w:szCs w:val="32"/>
          <w:highlight w:val="none"/>
        </w:rPr>
        <w:t>（二）一般公共预算财政拨款支出决算结构情况</w:t>
      </w:r>
      <w:bookmarkEnd w:id="56"/>
    </w:p>
    <w:p w14:paraId="4B6BB4E3">
      <w:pPr>
        <w:pageBreakBefore w:val="0"/>
        <w:kinsoku/>
        <w:wordWrap/>
        <w:topLinePunct w:val="0"/>
        <w:bidi w:val="0"/>
        <w:spacing w:line="576"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889.45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支出343.55万元，占</w:t>
      </w:r>
      <w:r>
        <w:rPr>
          <w:rFonts w:hint="eastAsia" w:ascii="仿宋" w:hAnsi="仿宋" w:eastAsia="仿宋"/>
          <w:color w:val="auto"/>
          <w:sz w:val="32"/>
          <w:szCs w:val="32"/>
          <w:highlight w:val="none"/>
          <w:lang w:val="en-US" w:eastAsia="zh-CN"/>
        </w:rPr>
        <w:t>38.62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支出74.2万元，占</w:t>
      </w:r>
      <w:r>
        <w:rPr>
          <w:rFonts w:hint="eastAsia" w:ascii="仿宋" w:hAnsi="仿宋" w:eastAsia="仿宋"/>
          <w:color w:val="auto"/>
          <w:sz w:val="32"/>
          <w:szCs w:val="32"/>
          <w:highlight w:val="none"/>
          <w:lang w:val="en-US" w:eastAsia="zh-CN"/>
        </w:rPr>
        <w:t>8.34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10.6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农林水支出（类）</w:t>
      </w:r>
      <w:r>
        <w:rPr>
          <w:rFonts w:hint="eastAsia" w:ascii="仿宋" w:hAnsi="仿宋" w:eastAsia="仿宋"/>
          <w:color w:val="auto"/>
          <w:sz w:val="32"/>
          <w:szCs w:val="32"/>
          <w:highlight w:val="none"/>
          <w:lang w:val="en-US" w:eastAsia="zh-CN"/>
        </w:rPr>
        <w:t>122.77万元，占13.8%，</w:t>
      </w:r>
      <w:r>
        <w:rPr>
          <w:rFonts w:hint="eastAsia" w:ascii="仿宋" w:hAnsi="仿宋" w:eastAsia="仿宋"/>
          <w:b/>
          <w:bCs/>
          <w:color w:val="auto"/>
          <w:sz w:val="32"/>
          <w:szCs w:val="32"/>
          <w:highlight w:val="none"/>
          <w:lang w:val="en-US" w:eastAsia="zh-CN"/>
        </w:rPr>
        <w:t>资源勘探工业信息等支出（类）</w:t>
      </w:r>
      <w:r>
        <w:rPr>
          <w:rFonts w:hint="eastAsia" w:ascii="仿宋" w:hAnsi="仿宋" w:eastAsia="仿宋"/>
          <w:color w:val="auto"/>
          <w:sz w:val="32"/>
          <w:szCs w:val="32"/>
          <w:highlight w:val="none"/>
          <w:lang w:val="en-US" w:eastAsia="zh-CN"/>
        </w:rPr>
        <w:t>300万元，占33.73%；</w:t>
      </w:r>
      <w:r>
        <w:rPr>
          <w:rFonts w:hint="eastAsia" w:ascii="仿宋" w:hAnsi="仿宋" w:eastAsia="仿宋"/>
          <w:b/>
          <w:bCs/>
          <w:color w:val="auto"/>
          <w:sz w:val="32"/>
          <w:szCs w:val="32"/>
          <w:highlight w:val="none"/>
        </w:rPr>
        <w:t>住房保障支出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18.54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FF0B5CB">
      <w:pPr>
        <w:pStyle w:val="2"/>
      </w:pPr>
      <w:r>
        <w:drawing>
          <wp:inline distT="0" distB="0" distL="114300" distR="114300">
            <wp:extent cx="5878830" cy="2591435"/>
            <wp:effectExtent l="4445" t="4445" r="12065" b="1651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53849E">
      <w:pPr>
        <w:pageBreakBefore w:val="0"/>
        <w:kinsoku/>
        <w:wordWrap/>
        <w:topLinePunct w:val="0"/>
        <w:bidi w:val="0"/>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640C611F">
      <w:pPr>
        <w:pageBreakBefore w:val="0"/>
        <w:kinsoku/>
        <w:wordWrap/>
        <w:topLinePunct w:val="0"/>
        <w:bidi w:val="0"/>
        <w:spacing w:line="576" w:lineRule="exact"/>
        <w:ind w:firstLine="643" w:firstLineChars="200"/>
        <w:outlineLvl w:val="2"/>
        <w:rPr>
          <w:rFonts w:ascii="仿宋" w:hAnsi="仿宋" w:eastAsia="仿宋"/>
          <w:b/>
          <w:color w:val="auto"/>
          <w:sz w:val="32"/>
          <w:szCs w:val="32"/>
          <w:highlight w:val="none"/>
        </w:rPr>
      </w:pPr>
      <w:bookmarkStart w:id="57" w:name="_Toc15377212"/>
      <w:r>
        <w:rPr>
          <w:rFonts w:hint="eastAsia" w:ascii="仿宋" w:hAnsi="仿宋" w:eastAsia="仿宋"/>
          <w:b/>
          <w:color w:val="auto"/>
          <w:sz w:val="32"/>
          <w:szCs w:val="32"/>
          <w:highlight w:val="none"/>
        </w:rPr>
        <w:t>（三）一般公共预算财政拨款支出决算具体情况</w:t>
      </w:r>
      <w:bookmarkEnd w:id="57"/>
    </w:p>
    <w:p w14:paraId="61592DB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 w:hAnsi="仿宋" w:eastAsia="仿宋"/>
          <w:color w:val="auto"/>
          <w:sz w:val="32"/>
          <w:szCs w:val="32"/>
          <w:highlight w:val="none"/>
        </w:rPr>
      </w:pPr>
      <w:bookmarkStart w:id="58" w:name="_Toc15377213"/>
      <w:bookmarkStart w:id="59" w:name="_Toc15377444"/>
      <w:bookmarkStart w:id="60"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889.45</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8"/>
      <w:bookmarkEnd w:id="59"/>
      <w:bookmarkEnd w:id="60"/>
    </w:p>
    <w:p w14:paraId="660B690D">
      <w:pPr>
        <w:pageBreakBefore w:val="0"/>
        <w:numPr>
          <w:ilvl w:val="0"/>
          <w:numId w:val="3"/>
        </w:numPr>
        <w:kinsoku/>
        <w:wordWrap/>
        <w:topLinePunct w:val="0"/>
        <w:bidi w:val="0"/>
        <w:spacing w:line="576"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000000"/>
          <w:sz w:val="32"/>
          <w:szCs w:val="32"/>
        </w:rPr>
        <w:t>商贸事务（款）行政运行（项）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297.55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Fonts w:hint="eastAsia" w:ascii="仿宋" w:hAnsi="仿宋" w:eastAsia="仿宋" w:cs="Times New Roman"/>
          <w:b w:val="0"/>
          <w:bCs w:val="0"/>
          <w:spacing w:val="0"/>
          <w:kern w:val="2"/>
          <w:sz w:val="32"/>
          <w:szCs w:val="24"/>
          <w:lang w:val="en-US" w:eastAsia="zh-CN" w:bidi="ar-SA"/>
        </w:rPr>
        <w:t>，决算数等于预算数</w:t>
      </w:r>
      <w:r>
        <w:rPr>
          <w:rStyle w:val="18"/>
          <w:rFonts w:hint="eastAsia" w:ascii="仿宋" w:hAnsi="仿宋" w:eastAsia="仿宋"/>
          <w:b w:val="0"/>
          <w:bCs/>
          <w:color w:val="auto"/>
          <w:sz w:val="32"/>
          <w:szCs w:val="32"/>
          <w:highlight w:val="none"/>
        </w:rPr>
        <w:t>。</w:t>
      </w:r>
    </w:p>
    <w:p w14:paraId="3AF6CE98">
      <w:pPr>
        <w:pageBreakBefore w:val="0"/>
        <w:kinsoku/>
        <w:wordWrap/>
        <w:overflowPunct/>
        <w:topLinePunct w:val="0"/>
        <w:bidi w:val="0"/>
        <w:spacing w:line="576" w:lineRule="exact"/>
        <w:ind w:firstLine="643" w:firstLineChars="200"/>
        <w:textAlignment w:val="auto"/>
        <w:rPr>
          <w:rStyle w:val="18"/>
          <w:rFonts w:ascii="仿宋" w:hAnsi="仿宋" w:eastAsia="仿宋"/>
          <w:bCs/>
          <w:color w:val="auto"/>
          <w:sz w:val="32"/>
          <w:szCs w:val="32"/>
          <w:highlight w:val="none"/>
        </w:rPr>
      </w:pPr>
      <w:r>
        <w:rPr>
          <w:rStyle w:val="18"/>
          <w:rFonts w:hint="eastAsia" w:ascii="仿宋" w:hAnsi="仿宋" w:eastAsia="仿宋"/>
          <w:bCs/>
          <w:color w:val="000000"/>
          <w:sz w:val="32"/>
          <w:szCs w:val="32"/>
          <w:lang w:val="en-US" w:eastAsia="zh-CN"/>
        </w:rPr>
        <w:t>2.</w:t>
      </w:r>
      <w:r>
        <w:rPr>
          <w:rStyle w:val="18"/>
          <w:rFonts w:hint="eastAsia" w:ascii="仿宋" w:hAnsi="仿宋" w:eastAsia="仿宋"/>
          <w:bCs/>
          <w:color w:val="000000"/>
          <w:sz w:val="32"/>
          <w:szCs w:val="32"/>
        </w:rPr>
        <w:t>一般公共服务（类）商贸事务（款）</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46</w:t>
      </w:r>
      <w:r>
        <w:rPr>
          <w:rStyle w:val="18"/>
          <w:rFonts w:hint="eastAsia" w:ascii="仿宋" w:hAnsi="仿宋" w:eastAsia="仿宋"/>
          <w:b w:val="0"/>
          <w:bCs/>
          <w:color w:val="000000"/>
          <w:sz w:val="32"/>
          <w:szCs w:val="32"/>
        </w:rPr>
        <w:t>万元</w:t>
      </w:r>
      <w:r>
        <w:rPr>
          <w:rFonts w:hint="eastAsia" w:ascii="仿宋" w:hAnsi="仿宋" w:eastAsia="仿宋" w:cs="Times New Roman"/>
          <w:b w:val="0"/>
          <w:bCs w:val="0"/>
          <w:spacing w:val="0"/>
          <w:kern w:val="2"/>
          <w:sz w:val="32"/>
          <w:szCs w:val="24"/>
          <w:lang w:val="en-US" w:eastAsia="zh-CN" w:bidi="ar-SA"/>
        </w:rPr>
        <w:t>，完成预算100%，决算数等于预算数。</w:t>
      </w:r>
    </w:p>
    <w:p w14:paraId="2DA0DEE8">
      <w:pPr>
        <w:pageBreakBefore w:val="0"/>
        <w:kinsoku/>
        <w:wordWrap/>
        <w:topLinePunct w:val="0"/>
        <w:bidi w:val="0"/>
        <w:spacing w:line="576"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 w:hAnsi="仿宋" w:eastAsia="仿宋"/>
          <w:b/>
          <w:spacing w:val="-3"/>
          <w:sz w:val="32"/>
        </w:rPr>
        <w:t>科学技术</w:t>
      </w:r>
      <w:r>
        <w:rPr>
          <w:rFonts w:hint="eastAsia" w:ascii="仿宋" w:hAnsi="仿宋" w:eastAsia="仿宋"/>
          <w:b/>
          <w:sz w:val="32"/>
        </w:rPr>
        <w:t>（类</w:t>
      </w:r>
      <w:r>
        <w:rPr>
          <w:rFonts w:hint="eastAsia" w:ascii="仿宋" w:hAnsi="仿宋" w:eastAsia="仿宋"/>
          <w:b/>
          <w:spacing w:val="-7"/>
          <w:sz w:val="32"/>
        </w:rPr>
        <w:t>）</w:t>
      </w:r>
      <w:r>
        <w:rPr>
          <w:rFonts w:hint="eastAsia" w:ascii="仿宋" w:hAnsi="仿宋" w:eastAsia="仿宋"/>
          <w:b/>
          <w:spacing w:val="-2"/>
          <w:sz w:val="32"/>
        </w:rPr>
        <w:t>技术研究与开发</w:t>
      </w:r>
      <w:r>
        <w:rPr>
          <w:rFonts w:hint="eastAsia" w:ascii="仿宋" w:hAnsi="仿宋" w:eastAsia="仿宋"/>
          <w:b/>
          <w:sz w:val="32"/>
        </w:rPr>
        <w:t>（款</w:t>
      </w:r>
      <w:r>
        <w:rPr>
          <w:rFonts w:hint="eastAsia" w:ascii="仿宋" w:hAnsi="仿宋" w:eastAsia="仿宋"/>
          <w:b/>
          <w:spacing w:val="-10"/>
          <w:sz w:val="32"/>
        </w:rPr>
        <w:t>）</w:t>
      </w:r>
      <w:r>
        <w:rPr>
          <w:rFonts w:hint="eastAsia" w:ascii="仿宋" w:hAnsi="仿宋" w:eastAsia="仿宋"/>
          <w:b/>
          <w:sz w:val="32"/>
        </w:rPr>
        <w:t>科技成果转化</w:t>
      </w:r>
      <w:r>
        <w:rPr>
          <w:rFonts w:hint="eastAsia" w:ascii="仿宋" w:hAnsi="仿宋" w:eastAsia="仿宋"/>
          <w:b/>
          <w:spacing w:val="5"/>
          <w:sz w:val="32"/>
        </w:rPr>
        <w:t>与扩散（项</w:t>
      </w:r>
      <w:r>
        <w:rPr>
          <w:rFonts w:hint="eastAsia" w:ascii="仿宋" w:hAnsi="仿宋" w:eastAsia="仿宋"/>
          <w:b/>
          <w:spacing w:val="2"/>
          <w:sz w:val="32"/>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50.88</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，决算数小于预算数的主要原因是2021年市级科技专项资金</w:t>
      </w:r>
      <w:r>
        <w:rPr>
          <w:rStyle w:val="18"/>
          <w:rFonts w:hint="eastAsia" w:ascii="仿宋" w:hAnsi="仿宋" w:eastAsia="仿宋"/>
          <w:b w:val="0"/>
          <w:bCs/>
          <w:color w:val="auto"/>
          <w:sz w:val="32"/>
          <w:szCs w:val="32"/>
          <w:highlight w:val="none"/>
          <w:lang w:val="en-US" w:eastAsia="zh-CN"/>
        </w:rPr>
        <w:t>2021年12月底才下达资金计划</w:t>
      </w:r>
      <w:r>
        <w:rPr>
          <w:rStyle w:val="18"/>
          <w:rFonts w:hint="eastAsia" w:ascii="仿宋" w:hAnsi="仿宋" w:eastAsia="仿宋"/>
          <w:b w:val="0"/>
          <w:bCs/>
          <w:color w:val="auto"/>
          <w:sz w:val="32"/>
          <w:szCs w:val="32"/>
          <w:highlight w:val="none"/>
        </w:rPr>
        <w:t>。</w:t>
      </w:r>
    </w:p>
    <w:p w14:paraId="358623F2">
      <w:pPr>
        <w:pageBreakBefore w:val="0"/>
        <w:kinsoku/>
        <w:wordWrap/>
        <w:overflowPunct/>
        <w:topLinePunct w:val="0"/>
        <w:bidi w:val="0"/>
        <w:spacing w:line="576" w:lineRule="exact"/>
        <w:ind w:firstLine="643" w:firstLineChars="200"/>
        <w:textAlignment w:val="auto"/>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 w:hAnsi="仿宋" w:eastAsia="仿宋" w:cs="Times New Roman"/>
          <w:b/>
          <w:spacing w:val="-3"/>
          <w:kern w:val="2"/>
          <w:sz w:val="32"/>
          <w:szCs w:val="24"/>
          <w:lang w:val="en-US" w:eastAsia="zh-CN" w:bidi="ar-SA"/>
        </w:rPr>
        <w:t>社会保障和就业（类）行政事业单位离退休（款）机关事业单位基本养老保险缴费支出（项）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18.93</w:t>
      </w:r>
      <w:r>
        <w:rPr>
          <w:rStyle w:val="18"/>
          <w:rFonts w:hint="eastAsia" w:ascii="仿宋" w:hAnsi="仿宋" w:eastAsia="仿宋"/>
          <w:b w:val="0"/>
          <w:bCs/>
          <w:color w:val="auto"/>
          <w:sz w:val="32"/>
          <w:szCs w:val="32"/>
          <w:highlight w:val="none"/>
        </w:rPr>
        <w:t>万元，</w:t>
      </w:r>
      <w:r>
        <w:rPr>
          <w:rFonts w:hint="eastAsia" w:ascii="仿宋" w:hAnsi="仿宋" w:eastAsia="仿宋" w:cs="Times New Roman"/>
          <w:b w:val="0"/>
          <w:bCs w:val="0"/>
          <w:spacing w:val="0"/>
          <w:kern w:val="2"/>
          <w:sz w:val="32"/>
          <w:szCs w:val="24"/>
          <w:lang w:val="en-US" w:eastAsia="zh-CN" w:bidi="ar-SA"/>
        </w:rPr>
        <w:t>完成预算100%，决算数等于预算数。</w:t>
      </w:r>
    </w:p>
    <w:p w14:paraId="4D74F03D">
      <w:pPr>
        <w:pageBreakBefore w:val="0"/>
        <w:kinsoku/>
        <w:wordWrap/>
        <w:overflowPunct/>
        <w:topLinePunct w:val="0"/>
        <w:bidi w:val="0"/>
        <w:spacing w:line="576" w:lineRule="exact"/>
        <w:ind w:firstLine="643" w:firstLineChars="200"/>
        <w:textAlignment w:val="auto"/>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cs="Times New Roman"/>
          <w:b/>
          <w:spacing w:val="-3"/>
          <w:kern w:val="2"/>
          <w:sz w:val="32"/>
          <w:szCs w:val="24"/>
          <w:lang w:val="en-US" w:eastAsia="zh-CN" w:bidi="ar-SA"/>
        </w:rPr>
        <w:t>社会保障和就业（类）其他社会保障和就业支出（款）其他社会保障和就业支出（项）：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0.87</w:t>
      </w:r>
      <w:r>
        <w:rPr>
          <w:rStyle w:val="18"/>
          <w:rFonts w:hint="eastAsia" w:ascii="仿宋" w:hAnsi="仿宋" w:eastAsia="仿宋"/>
          <w:b w:val="0"/>
          <w:bCs/>
          <w:color w:val="auto"/>
          <w:sz w:val="32"/>
          <w:szCs w:val="32"/>
          <w:highlight w:val="none"/>
        </w:rPr>
        <w:t>万元，</w:t>
      </w:r>
      <w:r>
        <w:rPr>
          <w:rFonts w:hint="eastAsia" w:ascii="仿宋" w:hAnsi="仿宋" w:eastAsia="仿宋" w:cs="Times New Roman"/>
          <w:b w:val="0"/>
          <w:bCs w:val="0"/>
          <w:spacing w:val="0"/>
          <w:kern w:val="2"/>
          <w:sz w:val="32"/>
          <w:szCs w:val="24"/>
          <w:lang w:val="en-US" w:eastAsia="zh-CN" w:bidi="ar-SA"/>
        </w:rPr>
        <w:t>完成预算100%，决算数等于预算数。</w:t>
      </w:r>
    </w:p>
    <w:p w14:paraId="1FBCCB0B">
      <w:pPr>
        <w:pageBreakBefore w:val="0"/>
        <w:kinsoku/>
        <w:wordWrap/>
        <w:overflowPunct/>
        <w:topLinePunct w:val="0"/>
        <w:bidi w:val="0"/>
        <w:spacing w:line="576" w:lineRule="exact"/>
        <w:ind w:firstLine="643" w:firstLineChars="200"/>
        <w:textAlignment w:val="auto"/>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cs="Times New Roman"/>
          <w:b/>
          <w:spacing w:val="-3"/>
          <w:kern w:val="2"/>
          <w:sz w:val="32"/>
          <w:szCs w:val="24"/>
          <w:lang w:val="en-US" w:eastAsia="zh-CN" w:bidi="ar-SA"/>
        </w:rPr>
        <w:t>卫生健康（类）行政事业单位医疗（款）行政单位医疗（项）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6.53</w:t>
      </w:r>
      <w:r>
        <w:rPr>
          <w:rStyle w:val="18"/>
          <w:rFonts w:hint="eastAsia" w:ascii="仿宋" w:hAnsi="仿宋" w:eastAsia="仿宋"/>
          <w:b w:val="0"/>
          <w:bCs/>
          <w:color w:val="auto"/>
          <w:sz w:val="32"/>
          <w:szCs w:val="32"/>
          <w:highlight w:val="none"/>
        </w:rPr>
        <w:t>万元，</w:t>
      </w:r>
      <w:r>
        <w:rPr>
          <w:rFonts w:hint="eastAsia" w:ascii="仿宋" w:hAnsi="仿宋" w:eastAsia="仿宋" w:cs="Times New Roman"/>
          <w:b w:val="0"/>
          <w:bCs w:val="0"/>
          <w:spacing w:val="0"/>
          <w:kern w:val="2"/>
          <w:sz w:val="32"/>
          <w:szCs w:val="24"/>
          <w:lang w:val="en-US" w:eastAsia="zh-CN" w:bidi="ar-SA"/>
        </w:rPr>
        <w:t>完成预算100%，决算数等于预算数。</w:t>
      </w:r>
    </w:p>
    <w:p w14:paraId="722D2AFC">
      <w:pPr>
        <w:pageBreakBefore w:val="0"/>
        <w:kinsoku/>
        <w:wordWrap/>
        <w:overflowPunct/>
        <w:topLinePunct w:val="0"/>
        <w:bidi w:val="0"/>
        <w:spacing w:line="576" w:lineRule="exact"/>
        <w:ind w:firstLine="643" w:firstLineChars="200"/>
        <w:textAlignment w:val="auto"/>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cs="Times New Roman"/>
          <w:b/>
          <w:spacing w:val="-3"/>
          <w:kern w:val="2"/>
          <w:sz w:val="32"/>
          <w:szCs w:val="24"/>
          <w:lang w:val="en-US" w:eastAsia="zh-CN" w:bidi="ar-SA"/>
        </w:rPr>
        <w:t>卫生健康（类）行政事业单位医疗（款）事业单位医疗（项）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4.07</w:t>
      </w:r>
      <w:r>
        <w:rPr>
          <w:rStyle w:val="18"/>
          <w:rFonts w:hint="eastAsia" w:ascii="仿宋" w:hAnsi="仿宋" w:eastAsia="仿宋"/>
          <w:b w:val="0"/>
          <w:bCs/>
          <w:color w:val="auto"/>
          <w:sz w:val="32"/>
          <w:szCs w:val="32"/>
          <w:highlight w:val="none"/>
        </w:rPr>
        <w:t>万元，</w:t>
      </w:r>
      <w:r>
        <w:rPr>
          <w:rFonts w:hint="eastAsia" w:ascii="仿宋" w:hAnsi="仿宋" w:eastAsia="仿宋" w:cs="Times New Roman"/>
          <w:b w:val="0"/>
          <w:bCs w:val="0"/>
          <w:spacing w:val="0"/>
          <w:kern w:val="2"/>
          <w:sz w:val="32"/>
          <w:szCs w:val="24"/>
          <w:lang w:val="en-US" w:eastAsia="zh-CN" w:bidi="ar-SA"/>
        </w:rPr>
        <w:t>完成预算100%，决算数等于预算数。</w:t>
      </w:r>
    </w:p>
    <w:p w14:paraId="3A412BFE">
      <w:pPr>
        <w:pStyle w:val="20"/>
        <w:pageBreakBefore w:val="0"/>
        <w:kinsoku/>
        <w:wordWrap/>
        <w:topLinePunct w:val="0"/>
        <w:bidi w:val="0"/>
        <w:spacing w:line="576" w:lineRule="exact"/>
        <w:ind w:left="0" w:leftChars="0" w:firstLine="643" w:firstLineChars="200"/>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cs="Times New Roman"/>
          <w:b/>
          <w:spacing w:val="-3"/>
          <w:kern w:val="2"/>
          <w:sz w:val="32"/>
          <w:szCs w:val="24"/>
          <w:lang w:val="en-US" w:eastAsia="zh-CN" w:bidi="ar-SA"/>
        </w:rPr>
        <w:t>农林水支出（类）其他农林水支出（款）其他农林水支出（项）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122.77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51.63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w:t>
      </w:r>
      <w:r>
        <w:rPr>
          <w:rStyle w:val="18"/>
          <w:rFonts w:hint="eastAsia" w:ascii="仿宋" w:hAnsi="仿宋" w:eastAsia="仿宋"/>
          <w:b w:val="0"/>
          <w:bCs/>
          <w:color w:val="auto"/>
          <w:sz w:val="32"/>
          <w:szCs w:val="32"/>
          <w:highlight w:val="none"/>
          <w:lang w:eastAsia="zh-CN"/>
        </w:rPr>
        <w:t>王家贡米主题园区、竹林风景线电力通信线路迁改还未实施</w:t>
      </w:r>
      <w:r>
        <w:rPr>
          <w:rStyle w:val="18"/>
          <w:rFonts w:hint="eastAsia" w:ascii="仿宋" w:hAnsi="仿宋" w:eastAsia="仿宋"/>
          <w:b w:val="0"/>
          <w:bCs/>
          <w:color w:val="auto"/>
          <w:sz w:val="32"/>
          <w:szCs w:val="32"/>
          <w:highlight w:val="none"/>
        </w:rPr>
        <w:t>。</w:t>
      </w:r>
    </w:p>
    <w:p w14:paraId="7BF98D8E">
      <w:pPr>
        <w:pStyle w:val="2"/>
        <w:pageBreakBefore w:val="0"/>
        <w:kinsoku/>
        <w:wordWrap/>
        <w:overflowPunct/>
        <w:topLinePunct w:val="0"/>
        <w:bidi w:val="0"/>
        <w:spacing w:beforeLines="0" w:line="576" w:lineRule="exact"/>
        <w:ind w:firstLine="631" w:firstLineChars="200"/>
        <w:textAlignment w:val="auto"/>
        <w:rPr>
          <w:rStyle w:val="18"/>
          <w:rFonts w:hint="eastAsia" w:ascii="仿宋" w:hAnsi="仿宋" w:eastAsia="仿宋"/>
          <w:b w:val="0"/>
          <w:bCs/>
          <w:color w:val="auto"/>
          <w:sz w:val="32"/>
          <w:szCs w:val="32"/>
          <w:highlight w:val="none"/>
          <w:lang w:val="en-US" w:eastAsia="zh-CN"/>
        </w:rPr>
      </w:pPr>
      <w:r>
        <w:rPr>
          <w:rFonts w:hint="eastAsia" w:ascii="仿宋" w:hAnsi="仿宋" w:eastAsia="仿宋" w:cs="Times New Roman"/>
          <w:b/>
          <w:spacing w:val="-3"/>
          <w:kern w:val="2"/>
          <w:sz w:val="32"/>
          <w:szCs w:val="24"/>
          <w:lang w:val="en-US" w:eastAsia="zh-CN" w:bidi="ar-SA"/>
        </w:rPr>
        <w:t>9.资源勘探信息等支出（类）制造业（款）其他制造业支出（项）:</w:t>
      </w:r>
      <w:r>
        <w:rPr>
          <w:rFonts w:hint="eastAsia" w:ascii="仿宋" w:hAnsi="仿宋" w:eastAsia="仿宋" w:cs="Times New Roman"/>
          <w:spacing w:val="0"/>
          <w:kern w:val="2"/>
          <w:sz w:val="32"/>
          <w:szCs w:val="24"/>
          <w:lang w:val="en-US" w:eastAsia="zh-CN" w:bidi="ar-SA"/>
        </w:rPr>
        <w:t>支出决算为300万元，完成预算68.08%，</w:t>
      </w:r>
      <w:r>
        <w:rPr>
          <w:rStyle w:val="18"/>
          <w:rFonts w:hint="eastAsia" w:ascii="仿宋" w:hAnsi="仿宋" w:eastAsia="仿宋"/>
          <w:b w:val="0"/>
          <w:bCs/>
          <w:color w:val="auto"/>
          <w:sz w:val="32"/>
          <w:szCs w:val="32"/>
          <w:highlight w:val="none"/>
        </w:rPr>
        <w:t>决算数小于预算数的主要原因是2021年第二批省级工业发展专项资金</w:t>
      </w:r>
      <w:r>
        <w:rPr>
          <w:rStyle w:val="18"/>
          <w:rFonts w:hint="eastAsia" w:ascii="仿宋" w:hAnsi="仿宋" w:eastAsia="仿宋"/>
          <w:b w:val="0"/>
          <w:bCs/>
          <w:color w:val="auto"/>
          <w:sz w:val="32"/>
          <w:szCs w:val="32"/>
          <w:highlight w:val="none"/>
          <w:lang w:eastAsia="zh-CN"/>
        </w:rPr>
        <w:t>和2021年省级工业发展专项资金（切块部分）（小升规补助）</w:t>
      </w:r>
      <w:r>
        <w:rPr>
          <w:rStyle w:val="18"/>
          <w:rFonts w:hint="eastAsia" w:ascii="仿宋" w:hAnsi="仿宋" w:eastAsia="仿宋"/>
          <w:b w:val="0"/>
          <w:bCs/>
          <w:color w:val="auto"/>
          <w:sz w:val="32"/>
          <w:szCs w:val="32"/>
          <w:highlight w:val="none"/>
          <w:lang w:val="en-US" w:eastAsia="zh-CN"/>
        </w:rPr>
        <w:t>2021年12月底下达资金计划。</w:t>
      </w:r>
    </w:p>
    <w:p w14:paraId="1DB7D93B">
      <w:pPr>
        <w:keepNext/>
        <w:keepLines/>
        <w:pageBreakBefore w:val="0"/>
        <w:widowControl w:val="0"/>
        <w:kinsoku/>
        <w:wordWrap/>
        <w:overflowPunct/>
        <w:topLinePunct w:val="0"/>
        <w:autoSpaceDE/>
        <w:autoSpaceDN/>
        <w:bidi w:val="0"/>
        <w:adjustRightInd/>
        <w:snapToGrid/>
        <w:spacing w:line="576" w:lineRule="exact"/>
        <w:ind w:right="0" w:rightChars="0" w:firstLine="631" w:firstLineChars="200"/>
        <w:jc w:val="both"/>
        <w:textAlignment w:val="auto"/>
        <w:outlineLvl w:val="9"/>
        <w:rPr>
          <w:rFonts w:ascii="仿宋" w:hAnsi="仿宋" w:eastAsia="仿宋"/>
          <w:b/>
          <w:color w:val="auto"/>
          <w:sz w:val="32"/>
          <w:szCs w:val="32"/>
          <w:highlight w:val="none"/>
        </w:rPr>
      </w:pPr>
      <w:r>
        <w:rPr>
          <w:rFonts w:hint="eastAsia" w:ascii="仿宋" w:hAnsi="仿宋" w:eastAsia="仿宋" w:cs="Times New Roman"/>
          <w:b/>
          <w:bCs w:val="0"/>
          <w:spacing w:val="-3"/>
          <w:kern w:val="2"/>
          <w:sz w:val="32"/>
          <w:szCs w:val="24"/>
          <w:lang w:val="en-US" w:eastAsia="zh-CN" w:bidi="ar-SA"/>
        </w:rPr>
        <w:t>10.住房保障支出（类）住房改革支出（款）住房公积金（项）:</w:t>
      </w:r>
      <w:r>
        <w:rPr>
          <w:rFonts w:hint="eastAsia" w:ascii="仿宋" w:hAnsi="仿宋" w:eastAsia="仿宋" w:cs="Times New Roman"/>
          <w:b w:val="0"/>
          <w:bCs w:val="0"/>
          <w:spacing w:val="0"/>
          <w:kern w:val="2"/>
          <w:sz w:val="32"/>
          <w:szCs w:val="24"/>
          <w:lang w:val="en-US" w:eastAsia="zh-CN" w:bidi="ar-SA"/>
        </w:rPr>
        <w:t>支出决算为18.54万元，完成预算100%，决算数等于预算数。</w:t>
      </w:r>
    </w:p>
    <w:p w14:paraId="24572ABF">
      <w:pPr>
        <w:pageBreakBefore w:val="0"/>
        <w:tabs>
          <w:tab w:val="right" w:pos="8306"/>
        </w:tabs>
        <w:kinsoku/>
        <w:wordWrap/>
        <w:topLinePunct w:val="0"/>
        <w:bidi w:val="0"/>
        <w:spacing w:line="576" w:lineRule="exact"/>
        <w:ind w:firstLine="640"/>
        <w:outlineLvl w:val="1"/>
        <w:rPr>
          <w:rStyle w:val="30"/>
          <w:color w:val="auto"/>
          <w:highlight w:val="none"/>
        </w:rPr>
      </w:pPr>
      <w:bookmarkStart w:id="61" w:name="_Toc15396608"/>
      <w:bookmarkStart w:id="62" w:name="_Toc36"/>
      <w:bookmarkStart w:id="63" w:name="_Toc7866"/>
      <w:bookmarkStart w:id="64" w:name="_Toc15377214"/>
      <w:bookmarkStart w:id="65" w:name="_Toc2338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61"/>
      <w:bookmarkEnd w:id="62"/>
      <w:bookmarkEnd w:id="63"/>
      <w:bookmarkEnd w:id="64"/>
      <w:bookmarkEnd w:id="65"/>
      <w:r>
        <w:rPr>
          <w:rStyle w:val="30"/>
          <w:rFonts w:ascii="黑体" w:hAnsi="黑体" w:eastAsia="黑体"/>
          <w:b w:val="0"/>
          <w:color w:val="auto"/>
          <w:highlight w:val="none"/>
        </w:rPr>
        <w:tab/>
      </w:r>
    </w:p>
    <w:p w14:paraId="67C5790F">
      <w:pPr>
        <w:pageBreakBefore w:val="0"/>
        <w:kinsoku/>
        <w:wordWrap/>
        <w:topLinePunct w:val="0"/>
        <w:bidi w:val="0"/>
        <w:spacing w:line="576"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392.48</w:t>
      </w:r>
      <w:r>
        <w:rPr>
          <w:rFonts w:hint="eastAsia" w:ascii="仿宋" w:hAnsi="仿宋" w:eastAsia="仿宋"/>
          <w:color w:val="auto"/>
          <w:sz w:val="32"/>
          <w:szCs w:val="32"/>
          <w:highlight w:val="none"/>
        </w:rPr>
        <w:t>万元，其中：</w:t>
      </w:r>
    </w:p>
    <w:p w14:paraId="772685A4">
      <w:pPr>
        <w:pageBreakBefore w:val="0"/>
        <w:kinsoku/>
        <w:wordWrap/>
        <w:topLinePunct w:val="0"/>
        <w:bidi w:val="0"/>
        <w:spacing w:line="576"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225.91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退休费、生活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166.57</w:t>
      </w:r>
      <w:r>
        <w:rPr>
          <w:rFonts w:hint="eastAsia" w:ascii="仿宋" w:hAnsi="仿宋" w:eastAsia="仿宋"/>
          <w:color w:val="auto"/>
          <w:sz w:val="32"/>
          <w:szCs w:val="32"/>
          <w:highlight w:val="none"/>
        </w:rPr>
        <w:t>万元，主要包括：办公费、印刷费、手续费、水费、电费、邮电费、物业管理费、差旅费、维修（护）费、租赁费、会议费、培训费、公务接待费、劳务费、工会经费、福利费、其他交通费、其他商品和服务支出等。</w:t>
      </w:r>
    </w:p>
    <w:p w14:paraId="59A40F5B">
      <w:pPr>
        <w:pageBreakBefore w:val="0"/>
        <w:kinsoku/>
        <w:wordWrap/>
        <w:topLinePunct w:val="0"/>
        <w:bidi w:val="0"/>
        <w:spacing w:line="576" w:lineRule="exact"/>
        <w:ind w:firstLine="640"/>
        <w:outlineLvl w:val="1"/>
        <w:rPr>
          <w:rStyle w:val="30"/>
          <w:rFonts w:ascii="黑体" w:hAnsi="黑体" w:eastAsia="黑体"/>
          <w:b w:val="0"/>
          <w:color w:val="auto"/>
          <w:highlight w:val="none"/>
        </w:rPr>
      </w:pPr>
      <w:bookmarkStart w:id="66" w:name="_Toc12657"/>
      <w:bookmarkStart w:id="67" w:name="_Toc15377215"/>
      <w:bookmarkStart w:id="68" w:name="_Toc11668"/>
      <w:bookmarkStart w:id="69" w:name="_Toc15396609"/>
      <w:bookmarkStart w:id="70" w:name="_Toc9618"/>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66"/>
      <w:bookmarkEnd w:id="67"/>
      <w:bookmarkEnd w:id="68"/>
      <w:bookmarkEnd w:id="69"/>
      <w:bookmarkEnd w:id="70"/>
    </w:p>
    <w:p w14:paraId="7F889485">
      <w:pPr>
        <w:pageBreakBefore w:val="0"/>
        <w:kinsoku/>
        <w:wordWrap/>
        <w:topLinePunct w:val="0"/>
        <w:bidi w:val="0"/>
        <w:spacing w:line="576" w:lineRule="exact"/>
        <w:ind w:firstLine="640"/>
        <w:outlineLvl w:val="2"/>
        <w:rPr>
          <w:rFonts w:ascii="仿宋" w:hAnsi="仿宋" w:eastAsia="仿宋"/>
          <w:b/>
          <w:color w:val="auto"/>
          <w:sz w:val="32"/>
          <w:szCs w:val="32"/>
          <w:highlight w:val="none"/>
        </w:rPr>
      </w:pPr>
      <w:bookmarkStart w:id="71" w:name="_Toc15377216"/>
      <w:r>
        <w:rPr>
          <w:rFonts w:hint="eastAsia" w:ascii="仿宋" w:hAnsi="仿宋" w:eastAsia="仿宋"/>
          <w:b/>
          <w:color w:val="auto"/>
          <w:sz w:val="32"/>
          <w:szCs w:val="32"/>
          <w:highlight w:val="none"/>
        </w:rPr>
        <w:t>（一）“三公”经费财政拨款支出决算总体情况说明</w:t>
      </w:r>
      <w:bookmarkEnd w:id="71"/>
    </w:p>
    <w:p w14:paraId="0DECCF7F">
      <w:pPr>
        <w:pageBreakBefore w:val="0"/>
        <w:kinsoku/>
        <w:wordWrap/>
        <w:topLinePunct w:val="0"/>
        <w:bidi w:val="0"/>
        <w:spacing w:line="576"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12.03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93.99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spacing w:val="0"/>
          <w:sz w:val="32"/>
        </w:rPr>
        <w:t>响应国家</w:t>
      </w:r>
      <w:r>
        <w:rPr>
          <w:rFonts w:hint="eastAsia" w:ascii="仿宋" w:hAnsi="仿宋" w:eastAsia="仿宋"/>
          <w:spacing w:val="0"/>
          <w:sz w:val="32"/>
          <w:lang w:eastAsia="zh-CN"/>
        </w:rPr>
        <w:t>中央八项规定</w:t>
      </w:r>
      <w:r>
        <w:rPr>
          <w:rFonts w:hint="eastAsia" w:ascii="仿宋" w:hAnsi="仿宋" w:eastAsia="仿宋"/>
          <w:spacing w:val="0"/>
          <w:sz w:val="32"/>
        </w:rPr>
        <w:t>，厉行节约</w:t>
      </w:r>
      <w:r>
        <w:rPr>
          <w:rFonts w:hint="eastAsia" w:ascii="仿宋" w:hAnsi="仿宋" w:eastAsia="仿宋"/>
          <w:color w:val="auto"/>
          <w:sz w:val="32"/>
          <w:szCs w:val="32"/>
          <w:highlight w:val="none"/>
        </w:rPr>
        <w:t>。</w:t>
      </w:r>
    </w:p>
    <w:p w14:paraId="03F5063A">
      <w:pPr>
        <w:pageBreakBefore w:val="0"/>
        <w:kinsoku/>
        <w:wordWrap/>
        <w:topLinePunct w:val="0"/>
        <w:bidi w:val="0"/>
        <w:spacing w:line="576" w:lineRule="exact"/>
        <w:ind w:firstLine="640"/>
        <w:outlineLvl w:val="2"/>
        <w:rPr>
          <w:rFonts w:ascii="仿宋" w:hAnsi="仿宋" w:eastAsia="仿宋"/>
          <w:b/>
          <w:color w:val="auto"/>
          <w:sz w:val="32"/>
          <w:szCs w:val="32"/>
          <w:highlight w:val="none"/>
        </w:rPr>
      </w:pPr>
      <w:bookmarkStart w:id="72" w:name="_Toc15377217"/>
      <w:r>
        <w:rPr>
          <w:rFonts w:hint="eastAsia" w:ascii="仿宋" w:hAnsi="仿宋" w:eastAsia="仿宋"/>
          <w:b/>
          <w:color w:val="auto"/>
          <w:sz w:val="32"/>
          <w:szCs w:val="32"/>
          <w:highlight w:val="none"/>
        </w:rPr>
        <w:t>（二）“三公”经费财政拨款支出决算具体情况说明</w:t>
      </w:r>
      <w:bookmarkEnd w:id="72"/>
    </w:p>
    <w:p w14:paraId="4F83A3B3">
      <w:pPr>
        <w:pageBreakBefore w:val="0"/>
        <w:kinsoku/>
        <w:wordWrap/>
        <w:topLinePunct w:val="0"/>
        <w:bidi w:val="0"/>
        <w:spacing w:line="576"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12.03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A322601">
      <w:pPr>
        <w:pageBreakBefore w:val="0"/>
        <w:kinsoku/>
        <w:wordWrap/>
        <w:topLinePunct w:val="0"/>
        <w:bidi w:val="0"/>
        <w:spacing w:line="576" w:lineRule="exact"/>
        <w:jc w:val="center"/>
        <w:rPr>
          <w:rFonts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757555</wp:posOffset>
            </wp:positionH>
            <wp:positionV relativeFrom="paragraph">
              <wp:posOffset>89535</wp:posOffset>
            </wp:positionV>
            <wp:extent cx="4079240" cy="1407160"/>
            <wp:effectExtent l="4445" t="4445" r="9525" b="1333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图7：“三公”经费财政拨款支出结构</w:t>
      </w:r>
    </w:p>
    <w:p w14:paraId="05DA8E7F">
      <w:pPr>
        <w:pageBreakBefore w:val="0"/>
        <w:kinsoku/>
        <w:wordWrap/>
        <w:topLinePunct w:val="0"/>
        <w:bidi w:val="0"/>
        <w:spacing w:line="576"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000000"/>
          <w:sz w:val="32"/>
          <w:szCs w:val="32"/>
          <w:lang w:eastAsia="zh-CN"/>
        </w:rPr>
        <w:t>年初未安排预算，</w:t>
      </w:r>
      <w:r>
        <w:rPr>
          <w:rStyle w:val="18"/>
          <w:rFonts w:hint="eastAsia" w:ascii="仿宋" w:hAnsi="仿宋" w:eastAsia="仿宋"/>
          <w:b w:val="0"/>
          <w:bCs/>
          <w:color w:val="auto"/>
          <w:sz w:val="32"/>
          <w:szCs w:val="32"/>
          <w:lang w:val="en-US" w:eastAsia="zh-CN"/>
        </w:rPr>
        <w:t>因公出国（境）支出决算较2020年无变化</w:t>
      </w:r>
      <w:r>
        <w:rPr>
          <w:rStyle w:val="18"/>
          <w:rFonts w:hint="eastAsia" w:ascii="仿宋" w:hAnsi="仿宋" w:eastAsia="仿宋"/>
          <w:b w:val="0"/>
          <w:bCs/>
          <w:color w:val="auto"/>
          <w:sz w:val="32"/>
          <w:szCs w:val="32"/>
          <w:lang w:eastAsia="zh-CN"/>
        </w:rPr>
        <w:t>。</w:t>
      </w:r>
    </w:p>
    <w:p w14:paraId="27C9149D">
      <w:pPr>
        <w:pageBreakBefore w:val="0"/>
        <w:kinsoku/>
        <w:wordWrap/>
        <w:topLinePunct w:val="0"/>
        <w:bidi w:val="0"/>
        <w:spacing w:line="576"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lang w:eastAsia="zh-CN"/>
        </w:rPr>
        <w:t>年初未安排预算，</w:t>
      </w:r>
      <w:r>
        <w:rPr>
          <w:rStyle w:val="18"/>
          <w:rFonts w:hint="eastAsia" w:ascii="仿宋" w:hAnsi="仿宋" w:eastAsia="仿宋"/>
          <w:b w:val="0"/>
          <w:bCs/>
          <w:color w:val="auto"/>
          <w:sz w:val="32"/>
          <w:szCs w:val="32"/>
          <w:lang w:val="en-US" w:eastAsia="zh-CN"/>
        </w:rPr>
        <w:t>与上年持平</w:t>
      </w:r>
      <w:r>
        <w:rPr>
          <w:rStyle w:val="18"/>
          <w:rFonts w:hint="eastAsia" w:ascii="仿宋" w:hAnsi="仿宋" w:eastAsia="仿宋"/>
          <w:b w:val="0"/>
          <w:bCs/>
          <w:color w:val="auto"/>
          <w:sz w:val="32"/>
          <w:szCs w:val="32"/>
          <w:lang w:eastAsia="zh-CN"/>
        </w:rPr>
        <w:t>。</w:t>
      </w:r>
    </w:p>
    <w:p w14:paraId="2E9F1796">
      <w:pPr>
        <w:spacing w:line="600" w:lineRule="exact"/>
        <w:ind w:firstLine="640" w:firstLineChars="200"/>
        <w:rPr>
          <w:rFonts w:hint="eastAsia" w:ascii="仿宋" w:hAnsi="仿宋" w:eastAsia="仿宋" w:cs="仿宋"/>
          <w:color w:val="auto"/>
          <w:sz w:val="32"/>
          <w:szCs w:val="32"/>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hAnsi="仿宋" w:eastAsia="仿宋" w:cs="仿宋"/>
          <w:color w:val="auto"/>
          <w:sz w:val="32"/>
          <w:szCs w:val="32"/>
          <w:lang w:eastAsia="zh-CN"/>
        </w:rPr>
        <w:t>未购置公务用车</w:t>
      </w:r>
      <w:r>
        <w:rPr>
          <w:rFonts w:hint="eastAsia" w:ascii="仿宋" w:hAnsi="仿宋" w:eastAsia="仿宋" w:cs="仿宋"/>
          <w:color w:val="auto"/>
          <w:sz w:val="32"/>
          <w:szCs w:val="32"/>
        </w:rPr>
        <w:t>。截至</w:t>
      </w:r>
      <w:r>
        <w:rPr>
          <w:rFonts w:hint="eastAsia" w:ascii="仿宋" w:hAnsi="仿宋" w:eastAsia="仿宋" w:cs="仿宋"/>
          <w:color w:val="auto"/>
          <w:sz w:val="32"/>
          <w:szCs w:val="32"/>
          <w:lang w:eastAsia="zh-CN"/>
        </w:rPr>
        <w:t>2021</w:t>
      </w:r>
      <w:r>
        <w:rPr>
          <w:rFonts w:hint="eastAsia" w:ascii="仿宋" w:hAnsi="仿宋" w:eastAsia="仿宋" w:cs="仿宋"/>
          <w:color w:val="auto"/>
          <w:sz w:val="32"/>
          <w:szCs w:val="32"/>
        </w:rPr>
        <w:t>年12月底，单位共有公务用车0辆。</w:t>
      </w:r>
    </w:p>
    <w:p w14:paraId="03B2CD28">
      <w:pPr>
        <w:pageBreakBefore w:val="0"/>
        <w:kinsoku/>
        <w:wordWrap/>
        <w:topLinePunct w:val="0"/>
        <w:bidi w:val="0"/>
        <w:spacing w:line="576"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F1E4C41">
      <w:pPr>
        <w:pageBreakBefore w:val="0"/>
        <w:kinsoku/>
        <w:wordWrap/>
        <w:topLinePunct w:val="0"/>
        <w:bidi w:val="0"/>
        <w:spacing w:line="576"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12.03</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93.99</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。其中：</w:t>
      </w:r>
    </w:p>
    <w:p w14:paraId="57115562">
      <w:pPr>
        <w:pageBreakBefore w:val="0"/>
        <w:kinsoku/>
        <w:wordWrap/>
        <w:topLinePunct w:val="0"/>
        <w:bidi w:val="0"/>
        <w:spacing w:line="576"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12.03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招商引资、</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192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1801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12.03</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lang w:eastAsia="zh-CN"/>
        </w:rPr>
        <w:t>招商引资接待</w:t>
      </w:r>
      <w:r>
        <w:rPr>
          <w:rFonts w:hint="eastAsia" w:ascii="仿宋_GB2312" w:eastAsia="仿宋_GB2312"/>
          <w:color w:val="000000"/>
          <w:sz w:val="32"/>
          <w:szCs w:val="32"/>
          <w:lang w:val="en-US" w:eastAsia="zh-CN"/>
        </w:rPr>
        <w:t>10.33万元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执行公务、开展业务活动</w:t>
      </w:r>
      <w:r>
        <w:rPr>
          <w:rFonts w:hint="eastAsia" w:ascii="仿宋_GB2312" w:eastAsia="仿宋_GB2312"/>
          <w:color w:val="000000"/>
          <w:sz w:val="32"/>
          <w:szCs w:val="32"/>
          <w:lang w:eastAsia="zh-CN"/>
        </w:rPr>
        <w:t>接待</w:t>
      </w:r>
      <w:r>
        <w:rPr>
          <w:rFonts w:hint="eastAsia" w:ascii="仿宋_GB2312" w:eastAsia="仿宋_GB2312"/>
          <w:color w:val="000000"/>
          <w:sz w:val="32"/>
          <w:szCs w:val="32"/>
          <w:lang w:val="en-US" w:eastAsia="zh-CN"/>
        </w:rPr>
        <w:t>1.7万元</w:t>
      </w:r>
      <w:r>
        <w:rPr>
          <w:rFonts w:hint="eastAsia" w:ascii="仿宋_GB2312" w:eastAsia="仿宋_GB2312"/>
          <w:color w:val="auto"/>
          <w:sz w:val="32"/>
          <w:szCs w:val="32"/>
          <w:highlight w:val="none"/>
        </w:rPr>
        <w:t>。</w:t>
      </w:r>
    </w:p>
    <w:p w14:paraId="4F066B2E">
      <w:pPr>
        <w:pageBreakBefore w:val="0"/>
        <w:kinsoku/>
        <w:wordWrap/>
        <w:topLinePunct w:val="0"/>
        <w:bidi w:val="0"/>
        <w:spacing w:line="576"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74CC9352">
      <w:pPr>
        <w:pageBreakBefore w:val="0"/>
        <w:kinsoku/>
        <w:wordWrap/>
        <w:topLinePunct w:val="0"/>
        <w:bidi w:val="0"/>
        <w:spacing w:line="576" w:lineRule="exact"/>
        <w:ind w:firstLine="640"/>
        <w:outlineLvl w:val="1"/>
        <w:rPr>
          <w:rStyle w:val="30"/>
          <w:rFonts w:ascii="黑体" w:hAnsi="黑体" w:eastAsia="黑体"/>
          <w:color w:val="auto"/>
          <w:highlight w:val="none"/>
        </w:rPr>
      </w:pPr>
      <w:bookmarkStart w:id="73" w:name="_Toc15396610"/>
      <w:bookmarkStart w:id="74" w:name="_Toc4826"/>
      <w:bookmarkStart w:id="75" w:name="_Toc5564"/>
      <w:bookmarkStart w:id="76" w:name="_Toc15377218"/>
      <w:bookmarkStart w:id="77" w:name="_Toc14417"/>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73"/>
      <w:bookmarkEnd w:id="74"/>
      <w:bookmarkEnd w:id="75"/>
      <w:bookmarkEnd w:id="76"/>
      <w:bookmarkEnd w:id="77"/>
    </w:p>
    <w:p w14:paraId="2BFE2C49">
      <w:pPr>
        <w:pageBreakBefore w:val="0"/>
        <w:kinsoku/>
        <w:wordWrap/>
        <w:topLinePunct w:val="0"/>
        <w:bidi w:val="0"/>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3100.16</w:t>
      </w:r>
      <w:r>
        <w:rPr>
          <w:rFonts w:hint="eastAsia" w:ascii="仿宋_GB2312" w:eastAsia="仿宋_GB2312"/>
          <w:color w:val="auto"/>
          <w:sz w:val="32"/>
          <w:szCs w:val="32"/>
          <w:highlight w:val="none"/>
        </w:rPr>
        <w:t>万元。</w:t>
      </w:r>
    </w:p>
    <w:p w14:paraId="042AB8A0">
      <w:pPr>
        <w:pageBreakBefore w:val="0"/>
        <w:numPr>
          <w:ilvl w:val="0"/>
          <w:numId w:val="4"/>
        </w:numPr>
        <w:kinsoku/>
        <w:wordWrap/>
        <w:topLinePunct w:val="0"/>
        <w:bidi w:val="0"/>
        <w:spacing w:line="576" w:lineRule="exact"/>
        <w:ind w:firstLine="640"/>
        <w:outlineLvl w:val="1"/>
        <w:rPr>
          <w:rStyle w:val="30"/>
          <w:rFonts w:ascii="黑体" w:hAnsi="黑体" w:eastAsia="黑体"/>
          <w:b w:val="0"/>
          <w:color w:val="auto"/>
          <w:highlight w:val="none"/>
        </w:rPr>
      </w:pPr>
      <w:bookmarkStart w:id="78" w:name="_Toc28796"/>
      <w:bookmarkStart w:id="79" w:name="_Toc2637"/>
      <w:bookmarkStart w:id="80" w:name="_Toc28871"/>
      <w:bookmarkStart w:id="81" w:name="_Toc15377219"/>
      <w:bookmarkStart w:id="82" w:name="_Toc15396611"/>
      <w:r>
        <w:rPr>
          <w:rStyle w:val="30"/>
          <w:rFonts w:hint="eastAsia" w:ascii="黑体" w:hAnsi="黑体" w:eastAsia="黑体"/>
          <w:b w:val="0"/>
          <w:color w:val="auto"/>
          <w:highlight w:val="none"/>
        </w:rPr>
        <w:t>国有资本经营预算支出决算情况说明</w:t>
      </w:r>
      <w:bookmarkEnd w:id="78"/>
      <w:bookmarkEnd w:id="79"/>
      <w:bookmarkEnd w:id="80"/>
      <w:bookmarkEnd w:id="81"/>
      <w:bookmarkEnd w:id="82"/>
    </w:p>
    <w:p w14:paraId="679CF639">
      <w:pPr>
        <w:pageBreakBefore w:val="0"/>
        <w:kinsoku/>
        <w:wordWrap/>
        <w:topLinePunct w:val="0"/>
        <w:bidi w:val="0"/>
        <w:spacing w:line="576"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9E09B64">
      <w:pPr>
        <w:pageBreakBefore w:val="0"/>
        <w:numPr>
          <w:ilvl w:val="0"/>
          <w:numId w:val="4"/>
        </w:numPr>
        <w:kinsoku/>
        <w:wordWrap/>
        <w:topLinePunct w:val="0"/>
        <w:bidi w:val="0"/>
        <w:spacing w:line="576" w:lineRule="exact"/>
        <w:ind w:firstLine="640"/>
        <w:outlineLvl w:val="1"/>
        <w:rPr>
          <w:rStyle w:val="30"/>
          <w:rFonts w:hint="eastAsia" w:ascii="黑体" w:hAnsi="黑体" w:eastAsia="黑体"/>
          <w:b w:val="0"/>
          <w:color w:val="auto"/>
          <w:highlight w:val="none"/>
        </w:rPr>
      </w:pPr>
      <w:bookmarkStart w:id="83" w:name="_Toc18387"/>
      <w:bookmarkStart w:id="84" w:name="_Toc9832"/>
      <w:bookmarkStart w:id="85" w:name="_Toc2143"/>
      <w:bookmarkStart w:id="86" w:name="_Toc15396612"/>
      <w:bookmarkStart w:id="87" w:name="_Toc15377221"/>
      <w:r>
        <w:rPr>
          <w:rStyle w:val="30"/>
          <w:rFonts w:hint="eastAsia" w:ascii="黑体" w:hAnsi="黑体" w:eastAsia="黑体"/>
          <w:b w:val="0"/>
          <w:color w:val="auto"/>
          <w:highlight w:val="none"/>
          <w:lang w:val="en-US" w:eastAsia="zh-CN"/>
        </w:rPr>
        <w:t>预算绩效管理情况</w:t>
      </w:r>
      <w:bookmarkEnd w:id="83"/>
      <w:bookmarkEnd w:id="84"/>
      <w:bookmarkEnd w:id="85"/>
    </w:p>
    <w:p w14:paraId="62E43D8F">
      <w:pPr>
        <w:pageBreakBefore w:val="0"/>
        <w:kinsoku/>
        <w:wordWrap/>
        <w:topLinePunct w:val="0"/>
        <w:bidi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eastAsia="zh-CN"/>
        </w:rPr>
        <w:t>开展预算事前绩效评估，</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val="en-US" w:eastAsia="zh-CN"/>
        </w:rPr>
        <w:t>对5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1231902D">
      <w:pPr>
        <w:pageBreakBefore w:val="0"/>
        <w:numPr>
          <w:ilvl w:val="0"/>
          <w:numId w:val="4"/>
        </w:numPr>
        <w:kinsoku/>
        <w:wordWrap/>
        <w:topLinePunct w:val="0"/>
        <w:bidi w:val="0"/>
        <w:spacing w:line="576" w:lineRule="exact"/>
        <w:ind w:firstLine="640"/>
        <w:outlineLvl w:val="1"/>
        <w:rPr>
          <w:rStyle w:val="30"/>
          <w:rFonts w:hint="eastAsia" w:ascii="黑体" w:hAnsi="黑体" w:eastAsia="黑体"/>
          <w:b w:val="0"/>
          <w:color w:val="auto"/>
          <w:highlight w:val="none"/>
        </w:rPr>
      </w:pPr>
      <w:bookmarkStart w:id="88" w:name="_Toc29336"/>
      <w:bookmarkStart w:id="89" w:name="_Toc14854"/>
      <w:bookmarkStart w:id="90" w:name="_Toc19031"/>
      <w:r>
        <w:rPr>
          <w:rStyle w:val="30"/>
          <w:rFonts w:hint="eastAsia" w:ascii="黑体" w:hAnsi="黑体" w:eastAsia="黑体"/>
          <w:b w:val="0"/>
          <w:color w:val="auto"/>
          <w:highlight w:val="none"/>
        </w:rPr>
        <w:t>其他重要事项的情况说明</w:t>
      </w:r>
      <w:bookmarkEnd w:id="86"/>
      <w:bookmarkEnd w:id="87"/>
      <w:bookmarkEnd w:id="88"/>
      <w:bookmarkEnd w:id="89"/>
      <w:bookmarkEnd w:id="90"/>
    </w:p>
    <w:p w14:paraId="52672121">
      <w:pPr>
        <w:pageBreakBefore w:val="0"/>
        <w:kinsoku/>
        <w:wordWrap/>
        <w:topLinePunct w:val="0"/>
        <w:bidi w:val="0"/>
        <w:spacing w:line="576" w:lineRule="exact"/>
        <w:ind w:firstLine="643" w:firstLineChars="200"/>
        <w:outlineLvl w:val="2"/>
        <w:rPr>
          <w:rFonts w:ascii="仿宋" w:hAnsi="仿宋" w:eastAsia="仿宋"/>
          <w:color w:val="auto"/>
          <w:sz w:val="32"/>
          <w:szCs w:val="32"/>
          <w:highlight w:val="none"/>
        </w:rPr>
      </w:pPr>
      <w:bookmarkStart w:id="91" w:name="_Toc15377222"/>
      <w:r>
        <w:rPr>
          <w:rFonts w:hint="eastAsia" w:ascii="仿宋" w:hAnsi="仿宋" w:eastAsia="仿宋"/>
          <w:b/>
          <w:color w:val="auto"/>
          <w:sz w:val="32"/>
          <w:szCs w:val="32"/>
          <w:highlight w:val="none"/>
        </w:rPr>
        <w:t>（一）机关运行经费支出情况</w:t>
      </w:r>
      <w:bookmarkEnd w:id="91"/>
    </w:p>
    <w:p w14:paraId="4FB80FB2">
      <w:pPr>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166.57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17.8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11.96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lang w:val="en-US" w:eastAsia="zh-CN"/>
        </w:rPr>
        <w:t>2021年招商形势向好，</w:t>
      </w:r>
      <w:r>
        <w:rPr>
          <w:rFonts w:hint="eastAsia" w:ascii="仿宋_GB2312" w:eastAsia="仿宋_GB2312"/>
          <w:color w:val="000000"/>
          <w:sz w:val="32"/>
          <w:szCs w:val="32"/>
          <w:lang w:eastAsia="zh-CN"/>
        </w:rPr>
        <w:t>开展投资促进工作差旅费增加。</w:t>
      </w:r>
    </w:p>
    <w:p w14:paraId="7AEC5385">
      <w:pPr>
        <w:pageBreakBefore w:val="0"/>
        <w:kinsoku/>
        <w:wordWrap/>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highlight w:val="none"/>
        </w:rPr>
      </w:pPr>
      <w:bookmarkStart w:id="92" w:name="_Toc15377223"/>
      <w:r>
        <w:rPr>
          <w:rFonts w:hint="eastAsia" w:ascii="仿宋" w:hAnsi="仿宋" w:eastAsia="仿宋"/>
          <w:b/>
          <w:color w:val="auto"/>
          <w:sz w:val="32"/>
          <w:szCs w:val="32"/>
          <w:highlight w:val="none"/>
        </w:rPr>
        <w:t>（二）政府采购支出情况</w:t>
      </w:r>
      <w:bookmarkEnd w:id="92"/>
    </w:p>
    <w:p w14:paraId="7C1E6977">
      <w:pPr>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14:paraId="030F80D7">
      <w:pPr>
        <w:pageBreakBefore w:val="0"/>
        <w:kinsoku/>
        <w:wordWrap/>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highlight w:val="none"/>
        </w:rPr>
      </w:pPr>
      <w:bookmarkStart w:id="93" w:name="_Toc15377224"/>
      <w:r>
        <w:rPr>
          <w:rFonts w:hint="eastAsia" w:ascii="仿宋" w:hAnsi="仿宋" w:eastAsia="仿宋"/>
          <w:b/>
          <w:color w:val="auto"/>
          <w:sz w:val="32"/>
          <w:szCs w:val="32"/>
          <w:highlight w:val="none"/>
        </w:rPr>
        <w:t>（三）国有资产占有使用情况</w:t>
      </w:r>
      <w:bookmarkEnd w:id="93"/>
    </w:p>
    <w:p w14:paraId="2FDA41AA">
      <w:pPr>
        <w:pageBreakBefore w:val="0"/>
        <w:kinsoku/>
        <w:wordWrap/>
        <w:topLinePunct w:val="0"/>
        <w:autoSpaceDE w:val="0"/>
        <w:autoSpaceDN w:val="0"/>
        <w:bidi w:val="0"/>
        <w:adjustRightInd w:val="0"/>
        <w:spacing w:line="576"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台（套）。</w:t>
      </w:r>
    </w:p>
    <w:p w14:paraId="0E230008">
      <w:pPr>
        <w:pStyle w:val="2"/>
        <w:pageBreakBefore w:val="0"/>
        <w:kinsoku/>
        <w:wordWrap/>
        <w:topLinePunct w:val="0"/>
        <w:bidi w:val="0"/>
        <w:spacing w:beforeLines="0" w:line="576" w:lineRule="exact"/>
        <w:rPr>
          <w:highlight w:val="yellow"/>
        </w:rPr>
      </w:pPr>
    </w:p>
    <w:p w14:paraId="6593F832">
      <w:pPr>
        <w:pageBreakBefore w:val="0"/>
        <w:widowControl/>
        <w:kinsoku/>
        <w:wordWrap/>
        <w:topLinePunct w:val="0"/>
        <w:bidi w:val="0"/>
        <w:spacing w:line="576" w:lineRule="exact"/>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60FAF04">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60" w:firstLineChars="150"/>
        <w:jc w:val="center"/>
        <w:textAlignment w:val="auto"/>
        <w:outlineLvl w:val="0"/>
        <w:rPr>
          <w:rStyle w:val="29"/>
          <w:rFonts w:ascii="黑体" w:hAnsi="黑体" w:eastAsia="黑体"/>
          <w:b w:val="0"/>
          <w:color w:val="auto"/>
          <w:highlight w:val="none"/>
        </w:rPr>
      </w:pPr>
      <w:bookmarkStart w:id="94" w:name="_Toc9192"/>
      <w:bookmarkStart w:id="95" w:name="_Toc15396613"/>
      <w:bookmarkStart w:id="96" w:name="_Toc20740"/>
      <w:bookmarkStart w:id="97" w:name="_Toc15377225"/>
      <w:bookmarkStart w:id="98" w:name="_Toc29916"/>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94"/>
      <w:bookmarkEnd w:id="95"/>
      <w:bookmarkEnd w:id="96"/>
      <w:bookmarkEnd w:id="97"/>
      <w:bookmarkEnd w:id="98"/>
    </w:p>
    <w:p w14:paraId="3F7650E5">
      <w:pPr>
        <w:pageBreakBefore w:val="0"/>
        <w:kinsoku/>
        <w:wordWrap/>
        <w:topLinePunct w:val="0"/>
        <w:bidi w:val="0"/>
        <w:spacing w:line="576" w:lineRule="exact"/>
        <w:jc w:val="left"/>
        <w:rPr>
          <w:rFonts w:ascii="宋体"/>
          <w:b/>
          <w:color w:val="auto"/>
          <w:sz w:val="44"/>
          <w:szCs w:val="44"/>
          <w:highlight w:val="none"/>
        </w:rPr>
      </w:pPr>
    </w:p>
    <w:p w14:paraId="79D74A31">
      <w:pPr>
        <w:pStyle w:val="27"/>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45E1D15">
      <w:pPr>
        <w:pStyle w:val="27"/>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838DEAE">
      <w:pPr>
        <w:pStyle w:val="27"/>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14:paraId="0B200DF3">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jc w:val="left"/>
        <w:textAlignment w:val="auto"/>
        <w:outlineLvl w:val="9"/>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事务（款）行政运行（项）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机关正常运转的基本支出，包括基本工资、津贴补贴等人员经费以及办公费、印刷费、水电费等日常公用经费,保障部门正常运转。</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5</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事务（款）一般行政管理事务（项）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的事业人员的基本工资、绩效工资。</w:t>
      </w:r>
    </w:p>
    <w:p w14:paraId="4769362D">
      <w:pPr>
        <w:pageBreakBefore w:val="0"/>
        <w:kinsoku/>
        <w:wordWrap/>
        <w:overflowPunct/>
        <w:topLinePunct w:val="0"/>
        <w:bidi w:val="0"/>
        <w:spacing w:line="576" w:lineRule="exact"/>
        <w:ind w:right="0" w:rightChars="0" w:firstLine="640"/>
        <w:textAlignment w:val="auto"/>
        <w:rPr>
          <w:rFonts w:hint="default" w:ascii="仿宋_GB2312" w:hAnsi="微软雅黑" w:eastAsia="仿宋_GB2312" w:cs="仿宋_GB2312"/>
          <w:color w:val="auto"/>
          <w:sz w:val="31"/>
          <w:szCs w:val="31"/>
        </w:rPr>
      </w:pPr>
      <w:r>
        <w:rPr>
          <w:rFonts w:hint="eastAsia" w:ascii="仿宋_GB2312" w:hAnsi="微软雅黑" w:eastAsia="仿宋_GB2312" w:cs="仿宋_GB2312"/>
          <w:color w:val="auto"/>
          <w:sz w:val="31"/>
          <w:szCs w:val="31"/>
          <w:lang w:val="en-US" w:eastAsia="zh-CN"/>
        </w:rPr>
        <w:t>6</w:t>
      </w:r>
      <w:r>
        <w:rPr>
          <w:rFonts w:hint="default" w:ascii="仿宋_GB2312" w:hAnsi="微软雅黑" w:eastAsia="仿宋_GB2312" w:cs="仿宋_GB2312"/>
          <w:color w:val="auto"/>
          <w:sz w:val="31"/>
          <w:szCs w:val="31"/>
        </w:rPr>
        <w:t>.社会保障和就业（类）行政</w:t>
      </w:r>
      <w:r>
        <w:rPr>
          <w:rFonts w:hint="eastAsia" w:ascii="仿宋_GB2312" w:hAnsi="微软雅黑" w:eastAsia="仿宋_GB2312" w:cs="仿宋_GB2312"/>
          <w:color w:val="auto"/>
          <w:sz w:val="31"/>
          <w:szCs w:val="31"/>
          <w:lang w:eastAsia="zh-CN"/>
        </w:rPr>
        <w:t>事业</w:t>
      </w:r>
      <w:r>
        <w:rPr>
          <w:rFonts w:hint="default" w:ascii="仿宋_GB2312" w:hAnsi="微软雅黑" w:eastAsia="仿宋_GB2312" w:cs="仿宋_GB2312"/>
          <w:color w:val="auto"/>
          <w:sz w:val="31"/>
          <w:szCs w:val="31"/>
        </w:rPr>
        <w:t>单位离退休</w:t>
      </w:r>
      <w:r>
        <w:rPr>
          <w:rFonts w:hint="eastAsia" w:ascii="仿宋_GB2312" w:hAnsi="微软雅黑" w:eastAsia="仿宋_GB2312" w:cs="仿宋_GB2312"/>
          <w:color w:val="auto"/>
          <w:sz w:val="31"/>
          <w:szCs w:val="31"/>
          <w:lang w:eastAsia="zh-CN"/>
        </w:rPr>
        <w:t>（款）机关</w:t>
      </w:r>
      <w:r>
        <w:rPr>
          <w:rFonts w:hint="default" w:ascii="仿宋_GB2312" w:hAnsi="微软雅黑" w:eastAsia="仿宋_GB2312" w:cs="仿宋_GB2312"/>
          <w:color w:val="auto"/>
          <w:sz w:val="31"/>
          <w:szCs w:val="31"/>
        </w:rPr>
        <w:t>事业单位</w:t>
      </w:r>
      <w:r>
        <w:rPr>
          <w:rFonts w:hint="eastAsia" w:ascii="仿宋_GB2312" w:hAnsi="微软雅黑" w:eastAsia="仿宋_GB2312" w:cs="仿宋_GB2312"/>
          <w:color w:val="auto"/>
          <w:sz w:val="31"/>
          <w:szCs w:val="31"/>
          <w:lang w:eastAsia="zh-CN"/>
        </w:rPr>
        <w:t>基本</w:t>
      </w:r>
      <w:r>
        <w:rPr>
          <w:rFonts w:hint="default" w:ascii="仿宋_GB2312" w:hAnsi="微软雅黑" w:eastAsia="仿宋_GB2312" w:cs="仿宋_GB2312"/>
          <w:color w:val="auto"/>
          <w:sz w:val="31"/>
          <w:szCs w:val="31"/>
        </w:rPr>
        <w:t>养老</w:t>
      </w:r>
      <w:r>
        <w:rPr>
          <w:rFonts w:hint="eastAsia" w:ascii="仿宋_GB2312" w:hAnsi="微软雅黑" w:eastAsia="仿宋_GB2312" w:cs="仿宋_GB2312"/>
          <w:color w:val="auto"/>
          <w:sz w:val="31"/>
          <w:szCs w:val="31"/>
          <w:lang w:eastAsia="zh-CN"/>
        </w:rPr>
        <w:t>保险缴费</w:t>
      </w:r>
      <w:r>
        <w:rPr>
          <w:rFonts w:hint="default" w:ascii="仿宋_GB2312" w:hAnsi="微软雅黑" w:eastAsia="仿宋_GB2312" w:cs="仿宋_GB2312"/>
          <w:color w:val="auto"/>
          <w:sz w:val="31"/>
          <w:szCs w:val="31"/>
        </w:rPr>
        <w:t>支出（项）</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单位缴纳的基本养老保险</w:t>
      </w:r>
      <w:r>
        <w:rPr>
          <w:rFonts w:hint="default" w:ascii="仿宋_GB2312" w:hAnsi="微软雅黑" w:eastAsia="仿宋_GB2312" w:cs="仿宋_GB2312"/>
          <w:color w:val="auto"/>
          <w:sz w:val="31"/>
          <w:szCs w:val="31"/>
        </w:rPr>
        <w:t>。</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7</w:t>
      </w:r>
      <w:r>
        <w:rPr>
          <w:rFonts w:hint="default" w:ascii="仿宋_GB2312" w:hAnsi="微软雅黑" w:eastAsia="仿宋_GB2312" w:cs="仿宋_GB2312"/>
          <w:color w:val="auto"/>
          <w:sz w:val="31"/>
          <w:szCs w:val="31"/>
        </w:rPr>
        <w:t>.社会保障和就业（类）</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机关事业单位缴纳的工伤保险、失业保险、生育保险。</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8</w:t>
      </w:r>
      <w:r>
        <w:rPr>
          <w:rFonts w:hint="default" w:ascii="仿宋_GB2312" w:hAnsi="微软雅黑" w:eastAsia="仿宋_GB2312" w:cs="仿宋_GB2312"/>
          <w:color w:val="auto"/>
          <w:sz w:val="31"/>
          <w:szCs w:val="31"/>
        </w:rPr>
        <w:t>.卫生健康支出（类）行政事业单位医疗（款）行政单位医疗（项</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公务员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9</w:t>
      </w:r>
      <w:r>
        <w:rPr>
          <w:rFonts w:hint="default" w:ascii="仿宋_GB2312" w:hAnsi="微软雅黑" w:eastAsia="仿宋_GB2312" w:cs="仿宋_GB2312"/>
          <w:color w:val="auto"/>
          <w:sz w:val="31"/>
          <w:szCs w:val="31"/>
        </w:rPr>
        <w:t>.卫生健康支出（类）行政事业单位医疗（款）事业单位医疗（项）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局事业人员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eastAsia" w:ascii="仿宋_GB2312" w:hAnsi="微软雅黑" w:eastAsia="仿宋_GB2312" w:cs="仿宋_GB2312"/>
          <w:color w:val="auto"/>
          <w:sz w:val="31"/>
          <w:szCs w:val="31"/>
          <w:lang w:val="en-US" w:eastAsia="zh-CN"/>
        </w:rPr>
        <w:t xml:space="preserve">    10</w:t>
      </w:r>
      <w:r>
        <w:rPr>
          <w:rFonts w:hint="default" w:ascii="仿宋_GB2312" w:hAnsi="微软雅黑" w:eastAsia="仿宋_GB2312" w:cs="仿宋_GB2312"/>
          <w:color w:val="auto"/>
          <w:sz w:val="31"/>
          <w:szCs w:val="31"/>
        </w:rPr>
        <w:t>.住房保障（类）住房改革支出（款）住房公积金（项）</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部门按人力资源和社会保障</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、财政</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规定的基本工资和津贴补贴以及规定比例为职工缴纳的住房公积金支出。</w:t>
      </w:r>
    </w:p>
    <w:p w14:paraId="059F8822">
      <w:pPr>
        <w:pStyle w:val="8"/>
        <w:pageBreakBefore w:val="0"/>
        <w:kinsoku/>
        <w:wordWrap/>
        <w:overflowPunct/>
        <w:topLinePunct w:val="0"/>
        <w:bidi w:val="0"/>
        <w:spacing w:line="576" w:lineRule="exact"/>
        <w:ind w:left="0" w:leftChars="0" w:right="0" w:rightChars="0" w:firstLine="620" w:firstLineChars="200"/>
        <w:textAlignment w:val="auto"/>
        <w:rPr>
          <w:rFonts w:hint="eastAsia" w:ascii="仿宋_GB2312" w:hAnsi="微软雅黑" w:eastAsia="仿宋_GB2312" w:cs="仿宋_GB2312"/>
          <w:color w:val="auto"/>
          <w:kern w:val="2"/>
          <w:sz w:val="31"/>
          <w:szCs w:val="31"/>
          <w:lang w:val="en-US" w:eastAsia="zh-CN" w:bidi="ar-SA"/>
        </w:rPr>
      </w:pPr>
      <w:r>
        <w:rPr>
          <w:rFonts w:hint="eastAsia" w:ascii="仿宋_GB2312" w:hAnsi="微软雅黑" w:eastAsia="仿宋_GB2312" w:cs="仿宋_GB2312"/>
          <w:color w:val="auto"/>
          <w:kern w:val="2"/>
          <w:sz w:val="31"/>
          <w:szCs w:val="31"/>
          <w:lang w:val="en-US" w:eastAsia="zh-CN" w:bidi="ar-SA"/>
        </w:rPr>
        <w:t>11.科学技术（类）技术研究与开发（款）科技成果转化与扩散（项）指促进科技成果转化为现实生产力的应用、推广和引导性支出。</w:t>
      </w:r>
    </w:p>
    <w:p w14:paraId="5F633593">
      <w:pPr>
        <w:pageBreakBefore w:val="0"/>
        <w:kinsoku/>
        <w:wordWrap/>
        <w:topLinePunct w:val="0"/>
        <w:bidi w:val="0"/>
        <w:spacing w:line="576" w:lineRule="exact"/>
        <w:ind w:firstLine="640" w:firstLineChars="200"/>
        <w:rPr>
          <w:rStyle w:val="18"/>
          <w:rFonts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12</w:t>
      </w:r>
      <w:r>
        <w:rPr>
          <w:rStyle w:val="18"/>
          <w:rFonts w:ascii="仿宋" w:hAnsi="仿宋" w:eastAsia="仿宋"/>
          <w:b w:val="0"/>
          <w:bCs w:val="0"/>
          <w:color w:val="auto"/>
          <w:sz w:val="32"/>
          <w:szCs w:val="32"/>
          <w:highlight w:val="none"/>
        </w:rPr>
        <w:t>.</w:t>
      </w:r>
      <w:r>
        <w:rPr>
          <w:rFonts w:hint="eastAsia" w:ascii="仿宋" w:hAnsi="仿宋" w:eastAsia="仿宋" w:cs="Times New Roman"/>
          <w:b w:val="0"/>
          <w:bCs w:val="0"/>
          <w:spacing w:val="-3"/>
          <w:kern w:val="2"/>
          <w:sz w:val="32"/>
          <w:szCs w:val="24"/>
          <w:lang w:val="en-US" w:eastAsia="zh-CN" w:bidi="ar-SA"/>
        </w:rPr>
        <w:t>农林水支出（类）其他农林水支出（款）其他农林水支出（项）指除化解债务支出以外其他用于农林水方面的支出。</w:t>
      </w:r>
    </w:p>
    <w:p w14:paraId="673F1313">
      <w:pPr>
        <w:pStyle w:val="2"/>
        <w:pageBreakBefore w:val="0"/>
        <w:kinsoku/>
        <w:wordWrap/>
        <w:topLinePunct w:val="0"/>
        <w:bidi w:val="0"/>
        <w:spacing w:beforeLines="0" w:line="576" w:lineRule="exact"/>
        <w:ind w:firstLine="600" w:firstLineChars="200"/>
        <w:rPr>
          <w:rFonts w:hint="default"/>
          <w:lang w:val="en-US" w:eastAsia="zh-CN"/>
        </w:rPr>
      </w:pPr>
      <w:r>
        <w:rPr>
          <w:rFonts w:hint="eastAsia"/>
          <w:lang w:val="en-US" w:eastAsia="zh-CN"/>
        </w:rPr>
        <w:t>13.</w:t>
      </w:r>
      <w:r>
        <w:rPr>
          <w:rFonts w:hint="default"/>
          <w:lang w:val="en-US" w:eastAsia="zh-CN"/>
        </w:rPr>
        <w:t>城乡社区支出</w:t>
      </w:r>
      <w:r>
        <w:rPr>
          <w:rFonts w:hint="eastAsia" w:ascii="仿宋" w:hAnsi="仿宋" w:eastAsia="仿宋" w:cs="Times New Roman"/>
          <w:b w:val="0"/>
          <w:bCs w:val="0"/>
          <w:spacing w:val="-3"/>
          <w:kern w:val="2"/>
          <w:sz w:val="32"/>
          <w:szCs w:val="24"/>
          <w:lang w:val="en-US" w:eastAsia="zh-CN" w:bidi="ar-SA"/>
        </w:rPr>
        <w:t>（类）</w:t>
      </w:r>
      <w:r>
        <w:rPr>
          <w:rFonts w:hint="eastAsia"/>
          <w:lang w:val="en-US" w:eastAsia="zh-CN"/>
        </w:rPr>
        <w:t>国有土地使用权出让收入安排的支出</w:t>
      </w:r>
      <w:r>
        <w:rPr>
          <w:rFonts w:hint="eastAsia" w:ascii="仿宋" w:hAnsi="仿宋" w:eastAsia="仿宋" w:cs="Times New Roman"/>
          <w:b w:val="0"/>
          <w:bCs w:val="0"/>
          <w:spacing w:val="-3"/>
          <w:kern w:val="2"/>
          <w:sz w:val="32"/>
          <w:szCs w:val="24"/>
          <w:lang w:val="en-US" w:eastAsia="zh-CN" w:bidi="ar-SA"/>
        </w:rPr>
        <w:t>（款）</w:t>
      </w:r>
      <w:r>
        <w:rPr>
          <w:rFonts w:hint="eastAsia"/>
          <w:lang w:val="en-US" w:eastAsia="zh-CN"/>
        </w:rPr>
        <w:t>其他国有土地使用权出让收入安排的支出</w:t>
      </w:r>
      <w:r>
        <w:rPr>
          <w:rFonts w:hint="eastAsia" w:ascii="仿宋" w:hAnsi="仿宋" w:eastAsia="仿宋" w:cs="Times New Roman"/>
          <w:b w:val="0"/>
          <w:bCs w:val="0"/>
          <w:spacing w:val="-3"/>
          <w:kern w:val="2"/>
          <w:sz w:val="32"/>
          <w:szCs w:val="24"/>
          <w:lang w:val="en-US" w:eastAsia="zh-CN" w:bidi="ar-SA"/>
        </w:rPr>
        <w:t>（项）指</w:t>
      </w:r>
      <w:r>
        <w:rPr>
          <w:rFonts w:hint="eastAsia"/>
          <w:lang w:val="en-US" w:eastAsia="zh-CN"/>
        </w:rPr>
        <w:t>其他国有土地使用权出让收入安排的支出。</w:t>
      </w:r>
    </w:p>
    <w:p w14:paraId="1A336906">
      <w:pPr>
        <w:pStyle w:val="2"/>
        <w:pageBreakBefore w:val="0"/>
        <w:kinsoku/>
        <w:wordWrap/>
        <w:overflowPunct/>
        <w:topLinePunct w:val="0"/>
        <w:bidi w:val="0"/>
        <w:spacing w:beforeLines="0" w:line="576" w:lineRule="exact"/>
        <w:ind w:right="0" w:rightChars="0" w:firstLine="620" w:firstLineChars="200"/>
        <w:textAlignment w:val="auto"/>
        <w:rPr>
          <w:rFonts w:hint="eastAsia" w:hAnsi="微软雅黑" w:cs="仿宋_GB2312"/>
          <w:color w:val="auto"/>
          <w:kern w:val="2"/>
          <w:sz w:val="31"/>
          <w:szCs w:val="31"/>
          <w:lang w:val="en-US" w:eastAsia="zh-CN" w:bidi="ar-SA"/>
        </w:rPr>
      </w:pPr>
      <w:r>
        <w:rPr>
          <w:rFonts w:hint="eastAsia" w:ascii="仿宋_GB2312" w:hAnsi="微软雅黑" w:eastAsia="仿宋_GB2312" w:cs="仿宋_GB2312"/>
          <w:color w:val="auto"/>
          <w:kern w:val="2"/>
          <w:sz w:val="31"/>
          <w:szCs w:val="31"/>
          <w:lang w:val="en-US" w:eastAsia="zh-CN" w:bidi="ar-SA"/>
        </w:rPr>
        <w:t>1</w:t>
      </w:r>
      <w:r>
        <w:rPr>
          <w:rFonts w:hint="eastAsia" w:hAnsi="微软雅黑" w:cs="仿宋_GB2312"/>
          <w:color w:val="auto"/>
          <w:kern w:val="2"/>
          <w:sz w:val="31"/>
          <w:szCs w:val="31"/>
          <w:lang w:val="en-US" w:eastAsia="zh-CN" w:bidi="ar-SA"/>
        </w:rPr>
        <w:t>4</w:t>
      </w:r>
      <w:r>
        <w:rPr>
          <w:rFonts w:hint="eastAsia" w:ascii="仿宋_GB2312" w:hAnsi="微软雅黑" w:eastAsia="仿宋_GB2312" w:cs="仿宋_GB2312"/>
          <w:color w:val="auto"/>
          <w:kern w:val="2"/>
          <w:sz w:val="31"/>
          <w:szCs w:val="31"/>
          <w:lang w:val="en-US" w:eastAsia="zh-CN" w:bidi="ar-SA"/>
        </w:rPr>
        <w:t>.资源勘探信息等支出（类）制造业（款）其他制造业支出（项）指</w:t>
      </w:r>
      <w:r>
        <w:rPr>
          <w:rFonts w:hint="eastAsia" w:hAnsi="微软雅黑" w:cs="仿宋_GB2312"/>
          <w:color w:val="auto"/>
          <w:kern w:val="2"/>
          <w:sz w:val="31"/>
          <w:szCs w:val="31"/>
          <w:lang w:val="en-US" w:eastAsia="zh-CN" w:bidi="ar-SA"/>
        </w:rPr>
        <w:t>其他用于制造业方面的支出。</w:t>
      </w:r>
    </w:p>
    <w:p w14:paraId="7076CDC1">
      <w:pPr>
        <w:pStyle w:val="2"/>
        <w:pageBreakBefore w:val="0"/>
        <w:kinsoku/>
        <w:wordWrap/>
        <w:overflowPunct/>
        <w:topLinePunct w:val="0"/>
        <w:bidi w:val="0"/>
        <w:spacing w:beforeLines="0" w:line="576" w:lineRule="exact"/>
        <w:ind w:firstLine="628" w:firstLineChars="200"/>
        <w:textAlignment w:val="auto"/>
        <w:rPr>
          <w:rFonts w:hint="eastAsia" w:ascii="仿宋" w:hAnsi="仿宋" w:eastAsia="仿宋" w:cs="Times New Roman"/>
          <w:b w:val="0"/>
          <w:bCs w:val="0"/>
          <w:spacing w:val="-3"/>
          <w:kern w:val="2"/>
          <w:sz w:val="32"/>
          <w:szCs w:val="24"/>
          <w:lang w:val="en-US" w:eastAsia="zh-CN" w:bidi="ar-SA"/>
        </w:rPr>
      </w:pPr>
      <w:r>
        <w:rPr>
          <w:rFonts w:hint="eastAsia" w:ascii="仿宋" w:hAnsi="仿宋" w:eastAsia="仿宋" w:cs="Times New Roman"/>
          <w:b w:val="0"/>
          <w:bCs w:val="0"/>
          <w:spacing w:val="-3"/>
          <w:kern w:val="2"/>
          <w:sz w:val="32"/>
          <w:szCs w:val="24"/>
          <w:lang w:val="en-US" w:eastAsia="zh-CN" w:bidi="ar-SA"/>
        </w:rPr>
        <w:t>15.制造业（类）支持中小企业发展和管理支出（款）中小企业发展专项（项）指用于支出中小企业公共服务体系和融资服务体系建设等方面的支出。</w:t>
      </w:r>
    </w:p>
    <w:p w14:paraId="722D7B28">
      <w:pPr>
        <w:pStyle w:val="2"/>
        <w:pageBreakBefore w:val="0"/>
        <w:kinsoku/>
        <w:wordWrap/>
        <w:overflowPunct/>
        <w:topLinePunct w:val="0"/>
        <w:bidi w:val="0"/>
        <w:spacing w:beforeLines="0" w:line="576" w:lineRule="exact"/>
        <w:ind w:firstLine="628" w:firstLineChars="200"/>
        <w:textAlignment w:val="auto"/>
        <w:rPr>
          <w:rFonts w:hint="eastAsia"/>
          <w:lang w:val="en-US" w:eastAsia="zh-CN"/>
        </w:rPr>
      </w:pPr>
      <w:r>
        <w:rPr>
          <w:rFonts w:hint="eastAsia" w:ascii="仿宋" w:hAnsi="仿宋" w:eastAsia="仿宋" w:cs="Times New Roman"/>
          <w:b w:val="0"/>
          <w:bCs w:val="0"/>
          <w:spacing w:val="-3"/>
          <w:kern w:val="2"/>
          <w:sz w:val="32"/>
          <w:szCs w:val="24"/>
          <w:lang w:val="en-US" w:eastAsia="zh-CN" w:bidi="ar-SA"/>
        </w:rPr>
        <w:t>16.制造业（类）支持中小企业发展和管理支出（款）其他支持中小企业发展和管理支出（项）指其他支持中小企业发展和管理方面的支出。</w:t>
      </w:r>
    </w:p>
    <w:p w14:paraId="41623774">
      <w:pPr>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14:paraId="3B3CE3DD">
      <w:pPr>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B7E9143">
      <w:pPr>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ADE13C4">
      <w:pPr>
        <w:pStyle w:val="27"/>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08E731">
      <w:pPr>
        <w:pStyle w:val="27"/>
        <w:pageBreakBefore w:val="0"/>
        <w:kinsoku/>
        <w:wordWrap/>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7D5C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Style w:val="29"/>
          <w:rFonts w:hint="eastAsia" w:ascii="黑体" w:hAnsi="黑体" w:eastAsia="黑体"/>
          <w:b w:val="0"/>
          <w:color w:val="auto"/>
          <w:highlight w:val="none"/>
        </w:rPr>
      </w:pPr>
      <w:bookmarkStart w:id="99" w:name="_Toc15377226"/>
      <w:r>
        <w:rPr>
          <w:rFonts w:ascii="宋体"/>
          <w:b/>
          <w:color w:val="auto"/>
          <w:sz w:val="44"/>
          <w:szCs w:val="44"/>
          <w:highlight w:val="none"/>
        </w:rPr>
        <w:br w:type="page"/>
      </w:r>
      <w:bookmarkStart w:id="100" w:name="_Toc15396614"/>
      <w:bookmarkStart w:id="101" w:name="_Toc8816"/>
      <w:bookmarkStart w:id="102" w:name="_Toc26505"/>
      <w:bookmarkStart w:id="103" w:name="_Toc2528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100"/>
      <w:bookmarkEnd w:id="101"/>
      <w:bookmarkEnd w:id="102"/>
      <w:bookmarkEnd w:id="103"/>
    </w:p>
    <w:p w14:paraId="3FF44F6A">
      <w:pPr>
        <w:pStyle w:val="2"/>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both"/>
        <w:textAlignment w:val="auto"/>
        <w:outlineLvl w:val="1"/>
      </w:pPr>
      <w:bookmarkStart w:id="104" w:name="_Toc2285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04"/>
    </w:p>
    <w:tbl>
      <w:tblPr>
        <w:tblStyle w:val="16"/>
        <w:tblpPr w:leftFromText="180" w:rightFromText="180" w:vertAnchor="text" w:horzAnchor="page" w:tblpX="1371" w:tblpY="61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224"/>
        <w:gridCol w:w="469"/>
        <w:gridCol w:w="1007"/>
        <w:gridCol w:w="628"/>
        <w:gridCol w:w="891"/>
        <w:gridCol w:w="1323"/>
        <w:gridCol w:w="485"/>
        <w:gridCol w:w="2124"/>
      </w:tblGrid>
      <w:tr w14:paraId="6A23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exact"/>
        </w:trPr>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E7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A2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471401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3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D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区经信科技局</w:t>
            </w:r>
          </w:p>
        </w:tc>
      </w:tr>
      <w:tr w14:paraId="11A6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C2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7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7B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r>
      <w:tr w14:paraId="1FE3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38F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63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7B9F9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6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75470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E8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r>
      <w:tr w14:paraId="1F1C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22F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63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F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0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14:paraId="0BBE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F9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年度总体目标完成情况</w:t>
            </w: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3B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B9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14:paraId="3A5E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231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4D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争取</w:t>
            </w:r>
            <w:r>
              <w:rPr>
                <w:rFonts w:hint="eastAsia" w:asciiTheme="minorEastAsia" w:hAnsiTheme="minorEastAsia" w:eastAsiaTheme="minorEastAsia" w:cstheme="minorEastAsia"/>
                <w:i w:val="0"/>
                <w:color w:val="auto"/>
                <w:sz w:val="21"/>
                <w:szCs w:val="21"/>
                <w:u w:val="none"/>
              </w:rPr>
              <w:t>省级工业发展资金600</w:t>
            </w:r>
            <w:r>
              <w:rPr>
                <w:rFonts w:hint="eastAsia" w:asciiTheme="minorEastAsia" w:hAnsiTheme="minorEastAsia" w:eastAsiaTheme="minorEastAsia" w:cstheme="minorEastAsia"/>
                <w:i w:val="0"/>
                <w:color w:val="auto"/>
                <w:sz w:val="21"/>
                <w:szCs w:val="21"/>
                <w:u w:val="none"/>
                <w:lang w:eastAsia="zh-CN"/>
              </w:rPr>
              <w:t>万元，其中</w:t>
            </w:r>
            <w:r>
              <w:rPr>
                <w:rFonts w:hint="eastAsia" w:asciiTheme="minorEastAsia" w:hAnsiTheme="minorEastAsia" w:eastAsiaTheme="minorEastAsia" w:cstheme="minorEastAsia"/>
                <w:i w:val="0"/>
                <w:color w:val="auto"/>
                <w:sz w:val="21"/>
                <w:szCs w:val="21"/>
                <w:u w:val="none"/>
                <w:lang w:val="en-US" w:eastAsia="zh-CN"/>
              </w:rPr>
              <w:t>家居产业城新胜组团项目资金300万元，装配式部品部件项目资金300万元；</w:t>
            </w:r>
            <w:r>
              <w:rPr>
                <w:rFonts w:hint="eastAsia" w:asciiTheme="minorEastAsia" w:hAnsiTheme="minorEastAsia" w:eastAsiaTheme="minorEastAsia" w:cstheme="minorEastAsia"/>
                <w:i w:val="0"/>
                <w:color w:val="auto"/>
                <w:sz w:val="21"/>
                <w:szCs w:val="21"/>
                <w:u w:val="none"/>
                <w:lang w:eastAsia="zh-CN"/>
              </w:rPr>
              <w:t>省级中小企业发展资金100万元</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6A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争取</w:t>
            </w:r>
            <w:r>
              <w:rPr>
                <w:rFonts w:hint="eastAsia" w:asciiTheme="minorEastAsia" w:hAnsiTheme="minorEastAsia" w:eastAsiaTheme="minorEastAsia" w:cstheme="minorEastAsia"/>
                <w:i w:val="0"/>
                <w:color w:val="auto"/>
                <w:sz w:val="21"/>
                <w:szCs w:val="21"/>
                <w:u w:val="none"/>
              </w:rPr>
              <w:t>省级工业发展资</w:t>
            </w:r>
            <w:r>
              <w:rPr>
                <w:rFonts w:hint="eastAsia" w:asciiTheme="minorEastAsia" w:hAnsiTheme="minorEastAsia" w:eastAsiaTheme="minorEastAsia" w:cstheme="minorEastAsia"/>
                <w:i w:val="0"/>
                <w:color w:val="auto"/>
                <w:sz w:val="21"/>
                <w:szCs w:val="21"/>
                <w:u w:val="none"/>
                <w:lang w:val="en-US" w:eastAsia="zh-CN"/>
              </w:rPr>
              <w:t>793</w:t>
            </w:r>
            <w:r>
              <w:rPr>
                <w:rFonts w:hint="eastAsia" w:asciiTheme="minorEastAsia" w:hAnsiTheme="minorEastAsia" w:eastAsiaTheme="minorEastAsia" w:cstheme="minorEastAsia"/>
                <w:i w:val="0"/>
                <w:color w:val="auto"/>
                <w:sz w:val="21"/>
                <w:szCs w:val="21"/>
                <w:u w:val="none"/>
                <w:lang w:eastAsia="zh-CN"/>
              </w:rPr>
              <w:t>万元，其中</w:t>
            </w:r>
            <w:r>
              <w:rPr>
                <w:rFonts w:hint="eastAsia" w:asciiTheme="minorEastAsia" w:hAnsiTheme="minorEastAsia" w:eastAsiaTheme="minorEastAsia" w:cstheme="minorEastAsia"/>
                <w:i w:val="0"/>
                <w:color w:val="auto"/>
                <w:sz w:val="21"/>
                <w:szCs w:val="21"/>
                <w:u w:val="none"/>
                <w:lang w:val="en-US" w:eastAsia="zh-CN"/>
              </w:rPr>
              <w:t>家居产业城新胜组团项目资金500万元，装配式部品部件项目资金293万元；</w:t>
            </w:r>
            <w:r>
              <w:rPr>
                <w:rFonts w:hint="eastAsia" w:asciiTheme="minorEastAsia" w:hAnsiTheme="minorEastAsia" w:eastAsiaTheme="minorEastAsia" w:cstheme="minorEastAsia"/>
                <w:i w:val="0"/>
                <w:color w:val="auto"/>
                <w:sz w:val="21"/>
                <w:szCs w:val="21"/>
                <w:u w:val="none"/>
                <w:lang w:eastAsia="zh-CN"/>
              </w:rPr>
              <w:t>省级中小企业发展资金1</w:t>
            </w:r>
            <w:r>
              <w:rPr>
                <w:rFonts w:hint="eastAsia" w:asciiTheme="minorEastAsia" w:hAnsiTheme="minorEastAsia" w:eastAsiaTheme="minorEastAsia" w:cstheme="minorEastAsia"/>
                <w:i w:val="0"/>
                <w:color w:val="auto"/>
                <w:sz w:val="21"/>
                <w:szCs w:val="21"/>
                <w:u w:val="none"/>
                <w:lang w:val="en-US" w:eastAsia="zh-CN"/>
              </w:rPr>
              <w:t>5</w:t>
            </w:r>
            <w:r>
              <w:rPr>
                <w:rFonts w:hint="eastAsia" w:asciiTheme="minorEastAsia" w:hAnsiTheme="minorEastAsia" w:eastAsiaTheme="minorEastAsia" w:cstheme="minorEastAsia"/>
                <w:i w:val="0"/>
                <w:color w:val="auto"/>
                <w:sz w:val="21"/>
                <w:szCs w:val="21"/>
                <w:u w:val="none"/>
                <w:lang w:eastAsia="zh-CN"/>
              </w:rPr>
              <w:t>0万元</w:t>
            </w:r>
          </w:p>
        </w:tc>
      </w:tr>
      <w:tr w14:paraId="796B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26" w:type="dxa"/>
            <w:vMerge w:val="restart"/>
            <w:tcBorders>
              <w:top w:val="single" w:color="000000" w:sz="4" w:space="0"/>
              <w:left w:val="single" w:color="000000" w:sz="4" w:space="0"/>
              <w:right w:val="single" w:color="000000" w:sz="4" w:space="0"/>
            </w:tcBorders>
            <w:shd w:val="clear" w:color="auto" w:fill="auto"/>
            <w:vAlign w:val="center"/>
          </w:tcPr>
          <w:p w14:paraId="7F039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1223D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14:paraId="2B215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87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14:paraId="308EB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B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14:paraId="7DA5F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9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A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14:paraId="13B1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4F14EB3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E7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14:paraId="01198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E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C742">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家居产业城新胜组团项目资金</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E01E2">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300万元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500</w:t>
            </w:r>
          </w:p>
        </w:tc>
      </w:tr>
      <w:tr w14:paraId="123D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40707C7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32DBA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2C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8C19">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装配式部品部件项目资金</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7722">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300万元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293</w:t>
            </w:r>
          </w:p>
        </w:tc>
      </w:tr>
      <w:tr w14:paraId="1E81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067355C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16743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B7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6EDE">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中小企业发展资金</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DAFC1">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100万元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w:t>
            </w:r>
          </w:p>
        </w:tc>
      </w:tr>
      <w:tr w14:paraId="422E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74CCAB7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596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E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BA76">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争取的政府投资</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C047">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全部到位</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72F">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全部到位</w:t>
            </w:r>
          </w:p>
        </w:tc>
      </w:tr>
      <w:tr w14:paraId="6795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7331FBF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C6F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8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976D2">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项目完成时间</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F0E83">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2021年1-12月份</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2021年1-12月份</w:t>
            </w:r>
          </w:p>
        </w:tc>
      </w:tr>
      <w:tr w14:paraId="4C04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2CAD311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BA2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F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329AF">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严格控制外出争取经费成本</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F47E6">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15万元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7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r>
      <w:tr w14:paraId="5FA9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258B4FB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71801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4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B519">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企业平均年收入增加</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81FEC">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1000万元以上</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1000万元以上</w:t>
            </w:r>
          </w:p>
        </w:tc>
      </w:tr>
      <w:tr w14:paraId="074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3CE836D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4DA0920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3E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6857">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带动的就业人数</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A08BA">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240人以上</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250人</w:t>
            </w:r>
          </w:p>
        </w:tc>
      </w:tr>
      <w:tr w14:paraId="562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26" w:type="dxa"/>
            <w:vMerge w:val="continue"/>
            <w:tcBorders>
              <w:left w:val="single" w:color="000000" w:sz="4" w:space="0"/>
              <w:right w:val="single" w:color="000000" w:sz="4" w:space="0"/>
            </w:tcBorders>
            <w:shd w:val="clear" w:color="auto" w:fill="auto"/>
            <w:vAlign w:val="center"/>
          </w:tcPr>
          <w:p w14:paraId="521CDAA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1123967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52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2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4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3624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34C6324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04761C9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A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可持续影响</w:t>
            </w:r>
          </w:p>
          <w:p w14:paraId="0C4BB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C7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71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09B7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4C23249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A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14:paraId="0BC34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8F329">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社会满意</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A165">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bl>
    <w:p w14:paraId="71862F1E">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32"/>
          <w:szCs w:val="32"/>
          <w:highlight w:val="none"/>
        </w:rPr>
      </w:pPr>
      <w:bookmarkStart w:id="105" w:name="_Toc2798"/>
      <w:bookmarkStart w:id="106" w:name="_Toc2112"/>
      <w:r>
        <w:rPr>
          <w:rFonts w:hint="eastAsia" w:asciiTheme="minorEastAsia" w:hAnsiTheme="minorEastAsia" w:eastAsiaTheme="minorEastAsia" w:cstheme="minorEastAsia"/>
          <w:b/>
          <w:bCs/>
          <w:color w:val="auto"/>
          <w:sz w:val="32"/>
          <w:szCs w:val="32"/>
          <w:highlight w:val="none"/>
        </w:rPr>
        <w:t>2021年部门争取资金工作经费</w:t>
      </w:r>
      <w:r>
        <w:rPr>
          <w:rFonts w:hint="eastAsia" w:asciiTheme="minorEastAsia" w:hAnsiTheme="minorEastAsia" w:eastAsiaTheme="minorEastAsia" w:cstheme="minorEastAsia"/>
          <w:b/>
          <w:bCs/>
          <w:color w:val="auto"/>
          <w:sz w:val="32"/>
          <w:szCs w:val="32"/>
          <w:highlight w:val="none"/>
          <w:lang w:eastAsia="zh-CN"/>
        </w:rPr>
        <w:t>绩效目标自评</w:t>
      </w:r>
      <w:bookmarkEnd w:id="105"/>
      <w:bookmarkEnd w:id="106"/>
    </w:p>
    <w:p w14:paraId="2C847FE6">
      <w:pPr>
        <w:pStyle w:val="2"/>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ascii="黑体" w:hAnsi="黑体" w:eastAsia="黑体" w:cs="黑体"/>
          <w:color w:val="auto"/>
          <w:sz w:val="32"/>
          <w:szCs w:val="32"/>
          <w:highlight w:val="none"/>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p>
    <w:p w14:paraId="0A40B515">
      <w:pPr>
        <w:pStyle w:val="2"/>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both"/>
        <w:textAlignment w:val="auto"/>
        <w:outlineLvl w:val="1"/>
        <w:rPr>
          <w:rFonts w:hint="eastAsia" w:ascii="黑体" w:hAnsi="黑体" w:eastAsia="黑体" w:cs="黑体"/>
          <w:color w:val="auto"/>
          <w:sz w:val="32"/>
          <w:szCs w:val="32"/>
          <w:highlight w:val="none"/>
          <w:lang w:val="en-US" w:eastAsia="zh-CN"/>
        </w:rPr>
      </w:pPr>
      <w:bookmarkStart w:id="107" w:name="_Toc17437"/>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bookmarkEnd w:id="107"/>
    </w:p>
    <w:tbl>
      <w:tblPr>
        <w:tblStyle w:val="16"/>
        <w:tblpPr w:leftFromText="180" w:rightFromText="180" w:vertAnchor="text" w:horzAnchor="page" w:tblpXSpec="center" w:tblpY="767"/>
        <w:tblOverlap w:val="never"/>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224"/>
        <w:gridCol w:w="469"/>
        <w:gridCol w:w="1007"/>
        <w:gridCol w:w="628"/>
        <w:gridCol w:w="976"/>
        <w:gridCol w:w="1294"/>
        <w:gridCol w:w="398"/>
        <w:gridCol w:w="1"/>
        <w:gridCol w:w="2154"/>
      </w:tblGrid>
      <w:tr w14:paraId="230D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7F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5E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471401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D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39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区经信科技局</w:t>
            </w:r>
          </w:p>
        </w:tc>
      </w:tr>
      <w:tr w14:paraId="0F6E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8E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EF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7B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20万元</w:t>
            </w:r>
          </w:p>
        </w:tc>
      </w:tr>
      <w:tr w14:paraId="0291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AF7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E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0645F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56ED1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3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20万元</w:t>
            </w:r>
          </w:p>
        </w:tc>
      </w:tr>
      <w:tr w14:paraId="0C90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478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E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9E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14:paraId="62C6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D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年度总体目标完成情况</w:t>
            </w:r>
          </w:p>
        </w:tc>
        <w:tc>
          <w:tcPr>
            <w:tcW w:w="4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35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5DE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14:paraId="2FD7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804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81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规上工业总产值实现146亿元、增长12%左右；规上工业增加值增长10%以上；预计全年完成工业投资2</w:t>
            </w:r>
            <w:r>
              <w:rPr>
                <w:rFonts w:hint="eastAsia" w:asciiTheme="minorEastAsia" w:hAnsiTheme="minorEastAsia" w:eastAsiaTheme="minorEastAsia" w:cstheme="minorEastAsia"/>
                <w:i w:val="0"/>
                <w:color w:val="auto"/>
                <w:sz w:val="21"/>
                <w:szCs w:val="21"/>
                <w:u w:val="none"/>
                <w:lang w:val="en-US" w:eastAsia="zh-CN"/>
              </w:rPr>
              <w:t>2</w:t>
            </w:r>
            <w:r>
              <w:rPr>
                <w:rFonts w:hint="eastAsia" w:asciiTheme="minorEastAsia" w:hAnsiTheme="minorEastAsia" w:eastAsiaTheme="minorEastAsia" w:cstheme="minorEastAsia"/>
                <w:i w:val="0"/>
                <w:color w:val="auto"/>
                <w:sz w:val="21"/>
                <w:szCs w:val="21"/>
                <w:u w:val="none"/>
                <w:lang w:eastAsia="zh-CN"/>
              </w:rPr>
              <w:t>亿元。预计全年重点骨干企业新增产值11.2亿元。</w:t>
            </w:r>
          </w:p>
        </w:tc>
        <w:tc>
          <w:tcPr>
            <w:tcW w:w="3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6A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累计规模以上工业总产值实现153.1亿元以上、同比增长17.2%以上；规上工业增加值增长10.3%，工业投资完成22.8亿元以上，全年家居建材产业产值实现32亿元。</w:t>
            </w:r>
          </w:p>
        </w:tc>
      </w:tr>
      <w:tr w14:paraId="7D86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426" w:type="dxa"/>
            <w:vMerge w:val="restart"/>
            <w:tcBorders>
              <w:top w:val="single" w:color="000000" w:sz="4" w:space="0"/>
              <w:left w:val="single" w:color="000000" w:sz="4" w:space="0"/>
              <w:right w:val="single" w:color="000000" w:sz="4" w:space="0"/>
            </w:tcBorders>
            <w:shd w:val="clear" w:color="auto" w:fill="auto"/>
            <w:vAlign w:val="center"/>
          </w:tcPr>
          <w:p w14:paraId="75701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5E277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14:paraId="45C73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AE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14:paraId="38C63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71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14:paraId="6A581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E76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81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14:paraId="6E0C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26" w:type="dxa"/>
            <w:vMerge w:val="continue"/>
            <w:tcBorders>
              <w:left w:val="single" w:color="000000" w:sz="4" w:space="0"/>
              <w:right w:val="single" w:color="000000" w:sz="4" w:space="0"/>
            </w:tcBorders>
            <w:shd w:val="clear" w:color="auto" w:fill="auto"/>
            <w:vAlign w:val="center"/>
          </w:tcPr>
          <w:p w14:paraId="04800D5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left w:val="single" w:color="000000" w:sz="4" w:space="0"/>
              <w:right w:val="single" w:color="000000" w:sz="4" w:space="0"/>
            </w:tcBorders>
            <w:shd w:val="clear" w:color="auto" w:fill="auto"/>
            <w:vAlign w:val="center"/>
          </w:tcPr>
          <w:p w14:paraId="6A773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14:paraId="55D3F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84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522FA">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全区工业总产值</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D5687">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146亿元、增长12%左右</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5B70">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实现153.1亿元以上、同比增长17.2%以上</w:t>
            </w:r>
          </w:p>
        </w:tc>
      </w:tr>
      <w:tr w14:paraId="4FFD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26" w:type="dxa"/>
            <w:vMerge w:val="continue"/>
            <w:tcBorders>
              <w:left w:val="single" w:color="000000" w:sz="4" w:space="0"/>
              <w:right w:val="single" w:color="000000" w:sz="4" w:space="0"/>
            </w:tcBorders>
            <w:shd w:val="clear" w:color="auto" w:fill="auto"/>
            <w:vAlign w:val="center"/>
          </w:tcPr>
          <w:p w14:paraId="006104F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79914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0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E4F4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auto"/>
                <w:sz w:val="21"/>
                <w:szCs w:val="21"/>
                <w:u w:val="none"/>
                <w:lang w:eastAsia="zh-CN"/>
              </w:rPr>
              <w:t>完成工业投资</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4DAB9">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2</w:t>
            </w:r>
            <w:r>
              <w:rPr>
                <w:rFonts w:hint="eastAsia" w:asciiTheme="minorEastAsia" w:hAnsiTheme="minorEastAsia" w:eastAsiaTheme="minorEastAsia" w:cstheme="minorEastAsia"/>
                <w:i w:val="0"/>
                <w:color w:val="auto"/>
                <w:sz w:val="21"/>
                <w:szCs w:val="21"/>
                <w:u w:val="none"/>
                <w:lang w:val="en-US" w:eastAsia="zh-CN"/>
              </w:rPr>
              <w:t>2</w:t>
            </w:r>
            <w:r>
              <w:rPr>
                <w:rFonts w:hint="eastAsia" w:asciiTheme="minorEastAsia" w:hAnsiTheme="minorEastAsia" w:eastAsiaTheme="minorEastAsia" w:cstheme="minorEastAsia"/>
                <w:i w:val="0"/>
                <w:color w:val="auto"/>
                <w:sz w:val="21"/>
                <w:szCs w:val="21"/>
                <w:u w:val="none"/>
                <w:lang w:eastAsia="zh-CN"/>
              </w:rPr>
              <w:t>亿元</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23698">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2</w:t>
            </w:r>
            <w:r>
              <w:rPr>
                <w:rFonts w:hint="eastAsia" w:asciiTheme="minorEastAsia" w:hAnsiTheme="minorEastAsia" w:eastAsiaTheme="minorEastAsia" w:cstheme="minorEastAsia"/>
                <w:i w:val="0"/>
                <w:color w:val="auto"/>
                <w:sz w:val="21"/>
                <w:szCs w:val="21"/>
                <w:u w:val="none"/>
                <w:lang w:val="en-US" w:eastAsia="zh-CN"/>
              </w:rPr>
              <w:t>2.8</w:t>
            </w:r>
            <w:r>
              <w:rPr>
                <w:rFonts w:hint="eastAsia" w:asciiTheme="minorEastAsia" w:hAnsiTheme="minorEastAsia" w:eastAsiaTheme="minorEastAsia" w:cstheme="minorEastAsia"/>
                <w:i w:val="0"/>
                <w:color w:val="auto"/>
                <w:sz w:val="21"/>
                <w:szCs w:val="21"/>
                <w:u w:val="none"/>
                <w:lang w:eastAsia="zh-CN"/>
              </w:rPr>
              <w:t>亿元</w:t>
            </w:r>
          </w:p>
        </w:tc>
      </w:tr>
      <w:tr w14:paraId="6057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26" w:type="dxa"/>
            <w:vMerge w:val="continue"/>
            <w:tcBorders>
              <w:left w:val="single" w:color="000000" w:sz="4" w:space="0"/>
              <w:right w:val="single" w:color="000000" w:sz="4" w:space="0"/>
            </w:tcBorders>
            <w:shd w:val="clear" w:color="auto" w:fill="auto"/>
            <w:vAlign w:val="center"/>
          </w:tcPr>
          <w:p w14:paraId="0D6D1E9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0B4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2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1370">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规上工业增加值增长</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BC35E">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10%以上</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E7FDD">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10.3%</w:t>
            </w:r>
          </w:p>
        </w:tc>
      </w:tr>
      <w:tr w14:paraId="6CC8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26" w:type="dxa"/>
            <w:vMerge w:val="continue"/>
            <w:tcBorders>
              <w:left w:val="single" w:color="000000" w:sz="4" w:space="0"/>
              <w:right w:val="single" w:color="000000" w:sz="4" w:space="0"/>
            </w:tcBorders>
            <w:shd w:val="clear" w:color="auto" w:fill="auto"/>
            <w:vAlign w:val="center"/>
          </w:tcPr>
          <w:p w14:paraId="704C89C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026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A3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0DDB4">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项目完成时间</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8869E">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2021年12月</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30268">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2021年1-12月</w:t>
            </w:r>
          </w:p>
        </w:tc>
      </w:tr>
      <w:tr w14:paraId="1E02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26" w:type="dxa"/>
            <w:vMerge w:val="continue"/>
            <w:tcBorders>
              <w:left w:val="single" w:color="000000" w:sz="4" w:space="0"/>
              <w:right w:val="single" w:color="000000" w:sz="4" w:space="0"/>
            </w:tcBorders>
            <w:shd w:val="clear" w:color="auto" w:fill="auto"/>
            <w:vAlign w:val="center"/>
          </w:tcPr>
          <w:p w14:paraId="3C3FC0E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17B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D4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AB466">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cs="宋体"/>
                <w:i w:val="0"/>
                <w:color w:val="000000"/>
                <w:kern w:val="0"/>
                <w:sz w:val="21"/>
                <w:szCs w:val="21"/>
                <w:u w:val="none"/>
                <w:lang w:val="en-US" w:eastAsia="zh-CN" w:bidi="ar"/>
              </w:rPr>
              <w:t>产业发展支出</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69CB">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cs="宋体"/>
                <w:i w:val="0"/>
                <w:color w:val="000000"/>
                <w:kern w:val="0"/>
                <w:sz w:val="21"/>
                <w:szCs w:val="21"/>
                <w:u w:val="none"/>
                <w:lang w:val="en-US" w:eastAsia="zh-CN" w:bidi="ar"/>
              </w:rPr>
              <w:t>20万元</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EC15C">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宋体" w:hAnsi="宋体" w:cs="宋体"/>
                <w:i w:val="0"/>
                <w:color w:val="000000"/>
                <w:kern w:val="0"/>
                <w:sz w:val="21"/>
                <w:szCs w:val="21"/>
                <w:u w:val="none"/>
                <w:lang w:val="en-US" w:eastAsia="zh-CN" w:bidi="ar"/>
              </w:rPr>
              <w:t>20万元</w:t>
            </w:r>
          </w:p>
        </w:tc>
      </w:tr>
      <w:tr w14:paraId="6D03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6" w:type="dxa"/>
            <w:vMerge w:val="continue"/>
            <w:tcBorders>
              <w:left w:val="single" w:color="000000" w:sz="4" w:space="0"/>
              <w:right w:val="single" w:color="000000" w:sz="4" w:space="0"/>
            </w:tcBorders>
            <w:shd w:val="clear" w:color="auto" w:fill="auto"/>
            <w:vAlign w:val="center"/>
          </w:tcPr>
          <w:p w14:paraId="2C31A99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0AF1D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49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73592">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85940">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4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72E4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6" w:type="dxa"/>
            <w:vMerge w:val="continue"/>
            <w:tcBorders>
              <w:left w:val="single" w:color="000000" w:sz="4" w:space="0"/>
              <w:right w:val="single" w:color="000000" w:sz="4" w:space="0"/>
            </w:tcBorders>
            <w:shd w:val="clear" w:color="auto" w:fill="auto"/>
            <w:vAlign w:val="center"/>
          </w:tcPr>
          <w:p w14:paraId="63D9609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6029634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D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78604">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新增本地劳动力就业</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C1334">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cs="宋体"/>
                <w:i w:val="0"/>
                <w:color w:val="000000"/>
                <w:kern w:val="0"/>
                <w:sz w:val="21"/>
                <w:szCs w:val="21"/>
                <w:u w:val="none"/>
                <w:lang w:val="en-US" w:eastAsia="zh-CN" w:bidi="ar"/>
              </w:rPr>
              <w:t>75</w:t>
            </w:r>
            <w:r>
              <w:rPr>
                <w:rFonts w:hint="eastAsia" w:ascii="宋体" w:hAnsi="宋体" w:eastAsia="宋体" w:cs="宋体"/>
                <w:i w:val="0"/>
                <w:color w:val="000000"/>
                <w:kern w:val="0"/>
                <w:sz w:val="21"/>
                <w:szCs w:val="21"/>
                <w:u w:val="none"/>
                <w:lang w:val="en-US" w:eastAsia="zh-CN" w:bidi="ar"/>
              </w:rPr>
              <w:t>人</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7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86人</w:t>
            </w:r>
          </w:p>
        </w:tc>
      </w:tr>
      <w:tr w14:paraId="17E7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426" w:type="dxa"/>
            <w:vMerge w:val="continue"/>
            <w:tcBorders>
              <w:left w:val="single" w:color="000000" w:sz="4" w:space="0"/>
              <w:right w:val="single" w:color="000000" w:sz="4" w:space="0"/>
            </w:tcBorders>
            <w:shd w:val="clear" w:color="auto" w:fill="auto"/>
            <w:vAlign w:val="center"/>
          </w:tcPr>
          <w:p w14:paraId="1CE4DC1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285EB1A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A5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0E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7A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B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5FFF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26" w:type="dxa"/>
            <w:vMerge w:val="continue"/>
            <w:tcBorders>
              <w:left w:val="single" w:color="000000" w:sz="4" w:space="0"/>
              <w:right w:val="single" w:color="000000" w:sz="4" w:space="0"/>
            </w:tcBorders>
            <w:shd w:val="clear" w:color="auto" w:fill="auto"/>
            <w:vAlign w:val="center"/>
          </w:tcPr>
          <w:p w14:paraId="4E1CF1D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4A961CE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1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可持续影响</w:t>
            </w:r>
          </w:p>
          <w:p w14:paraId="2C6F9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5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D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1C6F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355E03B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D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E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14:paraId="2EE47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5527">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default" w:ascii="等线" w:hAnsi="等线" w:eastAsia="等线" w:cs="等线"/>
                <w:i w:val="0"/>
                <w:color w:val="000000"/>
                <w:kern w:val="0"/>
                <w:sz w:val="21"/>
                <w:szCs w:val="21"/>
                <w:u w:val="none"/>
                <w:lang w:val="en-US" w:eastAsia="zh-CN" w:bidi="ar"/>
              </w:rPr>
              <w:t>引进企业满意度</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3310A">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90%以上</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A3F">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90%以上</w:t>
            </w:r>
          </w:p>
        </w:tc>
      </w:tr>
    </w:tbl>
    <w:p w14:paraId="67AF8AE7">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32"/>
          <w:szCs w:val="32"/>
          <w:highlight w:val="none"/>
          <w:lang w:eastAsia="zh-CN"/>
        </w:rPr>
      </w:pPr>
      <w:bookmarkStart w:id="108" w:name="_Toc12485"/>
      <w:bookmarkStart w:id="109" w:name="_Toc20011"/>
      <w:r>
        <w:rPr>
          <w:rFonts w:hint="eastAsia" w:asciiTheme="minorEastAsia" w:hAnsiTheme="minorEastAsia" w:eastAsiaTheme="minorEastAsia" w:cstheme="minorEastAsia"/>
          <w:b/>
          <w:bCs/>
          <w:color w:val="auto"/>
          <w:sz w:val="32"/>
          <w:szCs w:val="32"/>
          <w:highlight w:val="none"/>
        </w:rPr>
        <w:t>2021年</w:t>
      </w:r>
      <w:r>
        <w:rPr>
          <w:rFonts w:hint="eastAsia" w:asciiTheme="minorEastAsia" w:hAnsiTheme="minorEastAsia" w:eastAsiaTheme="minorEastAsia" w:cstheme="minorEastAsia"/>
          <w:b/>
          <w:bCs/>
          <w:color w:val="auto"/>
          <w:sz w:val="32"/>
          <w:szCs w:val="32"/>
          <w:highlight w:val="none"/>
          <w:lang w:eastAsia="zh-CN"/>
        </w:rPr>
        <w:t>产业发展</w:t>
      </w:r>
      <w:r>
        <w:rPr>
          <w:rFonts w:hint="eastAsia" w:asciiTheme="minorEastAsia" w:hAnsiTheme="minorEastAsia" w:eastAsiaTheme="minorEastAsia" w:cstheme="minorEastAsia"/>
          <w:b/>
          <w:bCs/>
          <w:color w:val="auto"/>
          <w:sz w:val="32"/>
          <w:szCs w:val="32"/>
          <w:highlight w:val="none"/>
        </w:rPr>
        <w:t>工作经费</w:t>
      </w:r>
      <w:r>
        <w:rPr>
          <w:rFonts w:hint="eastAsia" w:asciiTheme="minorEastAsia" w:hAnsiTheme="minorEastAsia" w:eastAsiaTheme="minorEastAsia" w:cstheme="minorEastAsia"/>
          <w:b/>
          <w:bCs/>
          <w:color w:val="auto"/>
          <w:sz w:val="32"/>
          <w:szCs w:val="32"/>
          <w:highlight w:val="none"/>
          <w:lang w:eastAsia="zh-CN"/>
        </w:rPr>
        <w:t>绩效目标自评</w:t>
      </w:r>
      <w:bookmarkEnd w:id="108"/>
      <w:bookmarkEnd w:id="109"/>
    </w:p>
    <w:p w14:paraId="3AB16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p>
    <w:p w14:paraId="162C2ACD">
      <w:pPr>
        <w:pStyle w:val="2"/>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both"/>
        <w:textAlignment w:val="auto"/>
        <w:outlineLvl w:val="1"/>
        <w:rPr>
          <w:rFonts w:hint="eastAsia" w:ascii="黑体" w:hAnsi="黑体" w:eastAsia="黑体" w:cs="黑体"/>
          <w:color w:val="auto"/>
          <w:sz w:val="32"/>
          <w:szCs w:val="32"/>
          <w:highlight w:val="none"/>
          <w:lang w:val="en-US" w:eastAsia="zh-CN"/>
        </w:rPr>
      </w:pPr>
      <w:bookmarkStart w:id="110" w:name="_Toc11024"/>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bookmarkEnd w:id="110"/>
    </w:p>
    <w:tbl>
      <w:tblPr>
        <w:tblStyle w:val="16"/>
        <w:tblpPr w:leftFromText="180" w:rightFromText="180" w:vertAnchor="text" w:horzAnchor="page" w:tblpX="1321" w:tblpY="767"/>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224"/>
        <w:gridCol w:w="469"/>
        <w:gridCol w:w="1007"/>
        <w:gridCol w:w="628"/>
        <w:gridCol w:w="900"/>
        <w:gridCol w:w="1320"/>
        <w:gridCol w:w="406"/>
        <w:gridCol w:w="1"/>
        <w:gridCol w:w="2196"/>
      </w:tblGrid>
      <w:tr w14:paraId="4F0A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D6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B4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471401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FD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区经信科技局</w:t>
            </w:r>
          </w:p>
        </w:tc>
      </w:tr>
      <w:tr w14:paraId="5991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0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5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E5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r>
      <w:tr w14:paraId="7A4B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D9D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4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545BA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02780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0A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15万元</w:t>
            </w:r>
          </w:p>
        </w:tc>
      </w:tr>
      <w:tr w14:paraId="0AB5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FB6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1D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07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14:paraId="4901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2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年度总体目标完成情况</w:t>
            </w: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52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A6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14:paraId="0CD0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5BC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15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力争全年引进企业不少于2家。引进企业能顺利签约落地，增加本地就业20人以上。</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A9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全年引进企业2家，其中慕曼德集团为办公家居行业标杆性企业，顺利签约落地，增加本地就业</w:t>
            </w:r>
            <w:r>
              <w:rPr>
                <w:rFonts w:hint="eastAsia" w:asciiTheme="minorEastAsia" w:hAnsiTheme="minorEastAsia" w:eastAsiaTheme="minorEastAsia" w:cstheme="minorEastAsia"/>
                <w:i w:val="0"/>
                <w:color w:val="auto"/>
                <w:sz w:val="21"/>
                <w:szCs w:val="21"/>
                <w:u w:val="none"/>
                <w:lang w:val="en-US" w:eastAsia="zh-CN"/>
              </w:rPr>
              <w:t>52</w:t>
            </w:r>
            <w:r>
              <w:rPr>
                <w:rFonts w:hint="eastAsia" w:asciiTheme="minorEastAsia" w:hAnsiTheme="minorEastAsia" w:eastAsiaTheme="minorEastAsia" w:cstheme="minorEastAsia"/>
                <w:i w:val="0"/>
                <w:color w:val="auto"/>
                <w:sz w:val="21"/>
                <w:szCs w:val="21"/>
                <w:u w:val="none"/>
                <w:lang w:eastAsia="zh-CN"/>
              </w:rPr>
              <w:t>人以上。</w:t>
            </w:r>
          </w:p>
        </w:tc>
      </w:tr>
      <w:tr w14:paraId="2B61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26" w:type="dxa"/>
            <w:vMerge w:val="restart"/>
            <w:tcBorders>
              <w:top w:val="single" w:color="000000" w:sz="4" w:space="0"/>
              <w:left w:val="single" w:color="000000" w:sz="4" w:space="0"/>
              <w:right w:val="single" w:color="000000" w:sz="4" w:space="0"/>
            </w:tcBorders>
            <w:shd w:val="clear" w:color="auto" w:fill="auto"/>
            <w:vAlign w:val="center"/>
          </w:tcPr>
          <w:p w14:paraId="5BB87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129FE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14:paraId="085ED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D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14:paraId="41FAF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88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14:paraId="0329A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00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14:paraId="6C07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5CD1DA8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left w:val="single" w:color="000000" w:sz="4" w:space="0"/>
              <w:right w:val="single" w:color="000000" w:sz="4" w:space="0"/>
            </w:tcBorders>
            <w:shd w:val="clear" w:color="auto" w:fill="auto"/>
            <w:vAlign w:val="center"/>
          </w:tcPr>
          <w:p w14:paraId="3BBF7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14:paraId="664BC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AA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20F42">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签约企业</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F70CF">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不少于2家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5E2B">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家</w:t>
            </w:r>
          </w:p>
        </w:tc>
      </w:tr>
      <w:tr w14:paraId="0E40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51E472F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0F7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7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9F561">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拟签约企业</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EBFA2">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全部落地昭化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4A4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全部落地昭化</w:t>
            </w:r>
          </w:p>
        </w:tc>
      </w:tr>
      <w:tr w14:paraId="0CE8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3B65C0C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44B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B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D67E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项目完成时间</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780AF">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2021年1-12月</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79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2021年1-12月</w:t>
            </w:r>
          </w:p>
        </w:tc>
      </w:tr>
      <w:tr w14:paraId="65E8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3334955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9C6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2D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7EDC7">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严格控制招商引资成本</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D2737">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cs="宋体"/>
                <w:i w:val="0"/>
                <w:color w:val="000000"/>
                <w:kern w:val="0"/>
                <w:sz w:val="21"/>
                <w:szCs w:val="21"/>
                <w:u w:val="none"/>
                <w:lang w:val="en-US" w:eastAsia="zh-CN" w:bidi="ar"/>
              </w:rPr>
              <w:t>15万元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0E4">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宋体" w:hAnsi="宋体" w:cs="宋体"/>
                <w:i w:val="0"/>
                <w:color w:val="000000"/>
                <w:kern w:val="0"/>
                <w:sz w:val="21"/>
                <w:szCs w:val="21"/>
                <w:u w:val="none"/>
                <w:lang w:val="en-US" w:eastAsia="zh-CN" w:bidi="ar"/>
              </w:rPr>
              <w:t>15万元</w:t>
            </w:r>
          </w:p>
        </w:tc>
      </w:tr>
      <w:tr w14:paraId="65AE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76AF58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68CE7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78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5FD5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7767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0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4F56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0A5BDDC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571DD4A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56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2E996">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eastAsia="宋体" w:cs="宋体"/>
                <w:i w:val="0"/>
                <w:color w:val="000000"/>
                <w:kern w:val="0"/>
                <w:sz w:val="21"/>
                <w:szCs w:val="21"/>
                <w:u w:val="none"/>
                <w:lang w:val="en-US" w:eastAsia="zh-CN" w:bidi="ar"/>
              </w:rPr>
              <w:t>带动就业</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E8D61">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宋体" w:hAnsi="宋体" w:cs="宋体"/>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0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52人</w:t>
            </w:r>
          </w:p>
        </w:tc>
      </w:tr>
      <w:tr w14:paraId="16DB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26" w:type="dxa"/>
            <w:vMerge w:val="continue"/>
            <w:tcBorders>
              <w:left w:val="single" w:color="000000" w:sz="4" w:space="0"/>
              <w:right w:val="single" w:color="000000" w:sz="4" w:space="0"/>
            </w:tcBorders>
            <w:shd w:val="clear" w:color="auto" w:fill="auto"/>
            <w:vAlign w:val="center"/>
          </w:tcPr>
          <w:p w14:paraId="639921E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7A6D1D5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ED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F1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AA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F1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4D9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04A1102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7E0635B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D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可持续影响</w:t>
            </w:r>
          </w:p>
          <w:p w14:paraId="35E1C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92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3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F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063B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2B9D50F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3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E3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14:paraId="3517E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64DE4">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default" w:ascii="等线" w:hAnsi="等线" w:eastAsia="等线" w:cs="等线"/>
                <w:i w:val="0"/>
                <w:color w:val="000000"/>
                <w:kern w:val="0"/>
                <w:sz w:val="21"/>
                <w:szCs w:val="21"/>
                <w:u w:val="none"/>
                <w:lang w:val="en-US" w:eastAsia="zh-CN" w:bidi="ar"/>
              </w:rPr>
              <w:t>引进企业满意度</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44920">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90%以上</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3867">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90%以上</w:t>
            </w:r>
          </w:p>
        </w:tc>
      </w:tr>
    </w:tbl>
    <w:p w14:paraId="3BE8A334">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pPr>
      <w:bookmarkStart w:id="111" w:name="_Toc5465"/>
      <w:bookmarkStart w:id="112" w:name="_Toc28366"/>
      <w:r>
        <w:rPr>
          <w:rFonts w:hint="eastAsia" w:asciiTheme="minorEastAsia" w:hAnsiTheme="minorEastAsia" w:eastAsiaTheme="minorEastAsia" w:cstheme="minorEastAsia"/>
          <w:b/>
          <w:bCs/>
          <w:color w:val="auto"/>
          <w:sz w:val="32"/>
          <w:szCs w:val="32"/>
          <w:highlight w:val="none"/>
        </w:rPr>
        <w:t>2021年</w:t>
      </w:r>
      <w:r>
        <w:rPr>
          <w:rFonts w:hint="eastAsia" w:asciiTheme="minorEastAsia" w:hAnsiTheme="minorEastAsia" w:eastAsiaTheme="minorEastAsia" w:cstheme="minorEastAsia"/>
          <w:b/>
          <w:bCs/>
          <w:color w:val="auto"/>
          <w:sz w:val="32"/>
          <w:szCs w:val="32"/>
          <w:highlight w:val="none"/>
          <w:lang w:eastAsia="zh-CN"/>
        </w:rPr>
        <w:t>招商引资</w:t>
      </w:r>
      <w:r>
        <w:rPr>
          <w:rFonts w:hint="eastAsia" w:asciiTheme="minorEastAsia" w:hAnsiTheme="minorEastAsia" w:eastAsiaTheme="minorEastAsia" w:cstheme="minorEastAsia"/>
          <w:b/>
          <w:bCs/>
          <w:color w:val="auto"/>
          <w:sz w:val="32"/>
          <w:szCs w:val="32"/>
          <w:highlight w:val="none"/>
        </w:rPr>
        <w:t>工作经费</w:t>
      </w:r>
      <w:r>
        <w:rPr>
          <w:rFonts w:hint="eastAsia" w:asciiTheme="minorEastAsia" w:hAnsiTheme="minorEastAsia" w:eastAsiaTheme="minorEastAsia" w:cstheme="minorEastAsia"/>
          <w:b/>
          <w:bCs/>
          <w:color w:val="auto"/>
          <w:sz w:val="32"/>
          <w:szCs w:val="32"/>
          <w:highlight w:val="none"/>
          <w:lang w:eastAsia="zh-CN"/>
        </w:rPr>
        <w:t>绩效目标自评</w:t>
      </w:r>
      <w:bookmarkEnd w:id="111"/>
      <w:bookmarkEnd w:id="112"/>
    </w:p>
    <w:p w14:paraId="2A59F702">
      <w:pPr>
        <w:pStyle w:val="2"/>
        <w:rPr>
          <w:rFonts w:hint="eastAsia"/>
        </w:rPr>
      </w:pPr>
    </w:p>
    <w:p w14:paraId="59C40391">
      <w:pPr>
        <w:pStyle w:val="2"/>
      </w:pPr>
    </w:p>
    <w:p w14:paraId="3D4D81E5">
      <w:pPr>
        <w:spacing w:line="600" w:lineRule="exact"/>
        <w:jc w:val="center"/>
        <w:outlineLvl w:val="9"/>
        <w:rPr>
          <w:rFonts w:hint="eastAsia" w:ascii="黑体" w:hAnsi="黑体" w:eastAsia="黑体"/>
          <w:color w:val="auto"/>
          <w:sz w:val="44"/>
          <w:szCs w:val="44"/>
          <w:highlight w:val="none"/>
        </w:rPr>
      </w:pPr>
      <w:bookmarkStart w:id="113" w:name="_Toc15396618"/>
      <w:r>
        <w:rPr>
          <w:rFonts w:hint="eastAsia" w:ascii="黑体" w:hAnsi="黑体" w:eastAsia="黑体"/>
          <w:color w:val="auto"/>
          <w:sz w:val="44"/>
          <w:szCs w:val="44"/>
          <w:highlight w:val="none"/>
        </w:rPr>
        <w:br w:type="page"/>
      </w:r>
    </w:p>
    <w:p w14:paraId="1C1C298F">
      <w:pPr>
        <w:pStyle w:val="2"/>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both"/>
        <w:textAlignment w:val="auto"/>
        <w:outlineLvl w:val="1"/>
        <w:rPr>
          <w:rFonts w:hint="default" w:ascii="黑体" w:hAnsi="黑体" w:eastAsia="黑体" w:cs="黑体"/>
          <w:color w:val="auto"/>
          <w:sz w:val="32"/>
          <w:szCs w:val="32"/>
          <w:highlight w:val="none"/>
          <w:lang w:val="en-US" w:eastAsia="zh-CN"/>
        </w:rPr>
      </w:pPr>
      <w:bookmarkStart w:id="114" w:name="_Toc227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bookmarkEnd w:id="114"/>
    </w:p>
    <w:p w14:paraId="529DB4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2021年第一批省级工业发展专项资金装配式部品部件生产</w:t>
      </w:r>
    </w:p>
    <w:tbl>
      <w:tblPr>
        <w:tblStyle w:val="16"/>
        <w:tblpPr w:leftFromText="180" w:rightFromText="180" w:vertAnchor="text" w:horzAnchor="page" w:tblpX="1334" w:tblpY="807"/>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224"/>
        <w:gridCol w:w="469"/>
        <w:gridCol w:w="1007"/>
        <w:gridCol w:w="491"/>
        <w:gridCol w:w="1037"/>
        <w:gridCol w:w="1319"/>
        <w:gridCol w:w="1"/>
        <w:gridCol w:w="407"/>
        <w:gridCol w:w="2196"/>
      </w:tblGrid>
      <w:tr w14:paraId="01AF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21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83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471401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AE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7A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广元建工工业化建筑有限公司</w:t>
            </w:r>
          </w:p>
        </w:tc>
      </w:tr>
      <w:tr w14:paraId="014D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46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B2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293万元</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09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260万元</w:t>
            </w:r>
          </w:p>
        </w:tc>
      </w:tr>
      <w:tr w14:paraId="5661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95C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5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6D569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293万元</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476A2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1B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260万元</w:t>
            </w:r>
          </w:p>
        </w:tc>
      </w:tr>
      <w:tr w14:paraId="1F30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F9D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3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8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F2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14:paraId="6C48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6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年度总体目标完成情况</w:t>
            </w: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C7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18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14:paraId="4BF1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2E0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3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新建生产厂房等23510平方米及配套附属设施和设备购置，建成预制混凝土部品部件生产线2条，钢筋生产线1条，固定模台线1台，120混凝土生产线1条。</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27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新建生产厂房等23510平方米及配套附属设施和设备购置，建成预制混凝土部品部件生产线2条，钢筋生产线1条，固定模台线1台，120混凝土生产线1条。</w:t>
            </w:r>
          </w:p>
        </w:tc>
      </w:tr>
      <w:tr w14:paraId="280B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26" w:type="dxa"/>
            <w:vMerge w:val="restart"/>
            <w:tcBorders>
              <w:top w:val="single" w:color="000000" w:sz="4" w:space="0"/>
              <w:left w:val="single" w:color="000000" w:sz="4" w:space="0"/>
              <w:right w:val="single" w:color="000000" w:sz="4" w:space="0"/>
            </w:tcBorders>
            <w:shd w:val="clear" w:color="auto" w:fill="auto"/>
            <w:vAlign w:val="center"/>
          </w:tcPr>
          <w:p w14:paraId="06B9F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38DC2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14:paraId="0339D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A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14:paraId="1DC12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5B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14:paraId="7B13C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15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6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14:paraId="3745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17B7EF0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left w:val="single" w:color="000000" w:sz="4" w:space="0"/>
              <w:right w:val="single" w:color="000000" w:sz="4" w:space="0"/>
            </w:tcBorders>
            <w:shd w:val="clear" w:color="auto" w:fill="auto"/>
            <w:vAlign w:val="center"/>
          </w:tcPr>
          <w:p w14:paraId="7E080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14:paraId="148CE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B1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7A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建成预制混凝土部品部件生产线</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4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2条</w:t>
            </w:r>
          </w:p>
        </w:tc>
      </w:tr>
      <w:tr w14:paraId="7622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0B115FF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618E3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E6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AD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钢筋生产线</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97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1条</w:t>
            </w:r>
          </w:p>
        </w:tc>
      </w:tr>
      <w:tr w14:paraId="1D52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563F378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0C7CC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D5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D9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固定模台线</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6B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1台</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B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1台</w:t>
            </w:r>
          </w:p>
        </w:tc>
      </w:tr>
      <w:tr w14:paraId="1B2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4E11F23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43249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E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5C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120混凝土生产线</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FE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1条</w:t>
            </w:r>
          </w:p>
        </w:tc>
      </w:tr>
      <w:tr w14:paraId="566A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76E42B2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A10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D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C3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生产线建设质量达标率</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60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95%以上</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7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95%以上</w:t>
            </w:r>
          </w:p>
        </w:tc>
      </w:tr>
      <w:tr w14:paraId="345B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584860B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622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FF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38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项目建设时间</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A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1年</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1年</w:t>
            </w:r>
          </w:p>
        </w:tc>
      </w:tr>
      <w:tr w14:paraId="755A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454E9C2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E2C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05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6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项目补助额度</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B2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293万元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260万元</w:t>
            </w:r>
          </w:p>
        </w:tc>
      </w:tr>
      <w:tr w14:paraId="44BE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123C1CB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14C1D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6F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7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营业额</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25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2066万元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2066万元</w:t>
            </w:r>
          </w:p>
        </w:tc>
      </w:tr>
      <w:tr w14:paraId="3221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6122FD4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6EC6C28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11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BF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上缴税收</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8B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600万元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2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600万元</w:t>
            </w:r>
          </w:p>
        </w:tc>
      </w:tr>
      <w:tr w14:paraId="1AD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6C9CB76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5D08529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C1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0A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解决就业</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34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100人</w:t>
            </w:r>
          </w:p>
        </w:tc>
      </w:tr>
      <w:tr w14:paraId="5920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26" w:type="dxa"/>
            <w:vMerge w:val="continue"/>
            <w:tcBorders>
              <w:left w:val="single" w:color="000000" w:sz="4" w:space="0"/>
              <w:right w:val="single" w:color="000000" w:sz="4" w:space="0"/>
            </w:tcBorders>
            <w:shd w:val="clear" w:color="auto" w:fill="auto"/>
            <w:vAlign w:val="center"/>
          </w:tcPr>
          <w:p w14:paraId="318925D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094929E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99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E6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建筑节能</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2D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50%以上</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6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50%以上</w:t>
            </w:r>
          </w:p>
        </w:tc>
      </w:tr>
      <w:tr w14:paraId="7449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09F1369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05116FB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0F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可持续影响</w:t>
            </w:r>
          </w:p>
          <w:p w14:paraId="0D3E7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21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FE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r>
      <w:tr w14:paraId="5F9B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2238C86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E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C3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14:paraId="6C2DD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9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服务企业满意度</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56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B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w:t>
            </w:r>
          </w:p>
        </w:tc>
      </w:tr>
    </w:tbl>
    <w:p w14:paraId="52B904B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olor w:val="auto"/>
          <w:sz w:val="44"/>
          <w:szCs w:val="44"/>
          <w:highlight w:val="none"/>
        </w:rPr>
      </w:pPr>
      <w:r>
        <w:rPr>
          <w:rFonts w:hint="eastAsia" w:asciiTheme="minorEastAsia" w:hAnsiTheme="minorEastAsia" w:eastAsiaTheme="minorEastAsia" w:cstheme="minorEastAsia"/>
          <w:b/>
          <w:bCs/>
          <w:color w:val="auto"/>
          <w:sz w:val="32"/>
          <w:szCs w:val="32"/>
          <w:highlight w:val="none"/>
        </w:rPr>
        <w:t>基地建设项目</w:t>
      </w:r>
      <w:r>
        <w:rPr>
          <w:rFonts w:hint="eastAsia" w:asciiTheme="minorEastAsia" w:hAnsiTheme="minorEastAsia" w:eastAsiaTheme="minorEastAsia" w:cstheme="minorEastAsia"/>
          <w:b/>
          <w:bCs/>
          <w:color w:val="auto"/>
          <w:sz w:val="32"/>
          <w:szCs w:val="32"/>
          <w:highlight w:val="none"/>
          <w:lang w:eastAsia="zh-CN"/>
        </w:rPr>
        <w:t>绩效目标自评</w:t>
      </w:r>
      <w:bookmarkStart w:id="115" w:name="_Toc32153"/>
      <w:bookmarkStart w:id="116" w:name="_Toc141"/>
      <w:r>
        <w:rPr>
          <w:rFonts w:hint="eastAsia" w:ascii="黑体" w:hAnsi="黑体" w:eastAsia="黑体"/>
          <w:color w:val="auto"/>
          <w:sz w:val="44"/>
          <w:szCs w:val="44"/>
          <w:highlight w:val="none"/>
        </w:rPr>
        <w:br w:type="page"/>
      </w:r>
    </w:p>
    <w:p w14:paraId="69E1BDCA">
      <w:pPr>
        <w:pStyle w:val="2"/>
        <w:keepNext w:val="0"/>
        <w:keepLines w:val="0"/>
        <w:pageBreakBefore w:val="0"/>
        <w:widowControl w:val="0"/>
        <w:kinsoku/>
        <w:wordWrap/>
        <w:overflowPunct/>
        <w:topLinePunct w:val="0"/>
        <w:autoSpaceDE/>
        <w:autoSpaceDN/>
        <w:bidi w:val="0"/>
        <w:adjustRightInd/>
        <w:snapToGrid/>
        <w:spacing w:before="95" w:beforeLines="30" w:line="240" w:lineRule="auto"/>
        <w:ind w:left="0" w:leftChars="0" w:right="0" w:rightChars="0" w:firstLine="0" w:firstLineChars="0"/>
        <w:jc w:val="both"/>
        <w:textAlignment w:val="auto"/>
        <w:outlineLvl w:val="1"/>
        <w:rPr>
          <w:rFonts w:hint="eastAsia" w:ascii="黑体" w:hAnsi="黑体" w:eastAsia="黑体" w:cs="黑体"/>
          <w:color w:val="auto"/>
          <w:sz w:val="32"/>
          <w:szCs w:val="32"/>
          <w:highlight w:val="none"/>
          <w:lang w:val="en-US" w:eastAsia="zh-CN"/>
        </w:rPr>
      </w:pPr>
      <w:bookmarkStart w:id="117" w:name="_Toc2372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bookmarkEnd w:id="117"/>
    </w:p>
    <w:tbl>
      <w:tblPr>
        <w:tblStyle w:val="16"/>
        <w:tblpPr w:leftFromText="180" w:rightFromText="180" w:vertAnchor="text" w:horzAnchor="page" w:tblpX="1321" w:tblpY="767"/>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224"/>
        <w:gridCol w:w="469"/>
        <w:gridCol w:w="1007"/>
        <w:gridCol w:w="628"/>
        <w:gridCol w:w="900"/>
        <w:gridCol w:w="1320"/>
        <w:gridCol w:w="406"/>
        <w:gridCol w:w="1"/>
        <w:gridCol w:w="2196"/>
      </w:tblGrid>
      <w:tr w14:paraId="4C6F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58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6D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471401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FA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区经信科技局</w:t>
            </w:r>
          </w:p>
        </w:tc>
      </w:tr>
      <w:tr w14:paraId="452A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62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8D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C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9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38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40万元</w:t>
            </w:r>
          </w:p>
        </w:tc>
      </w:tr>
      <w:tr w14:paraId="00CD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924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62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10A42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14:paraId="7B1A7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F7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40万元</w:t>
            </w:r>
          </w:p>
        </w:tc>
      </w:tr>
      <w:tr w14:paraId="70E1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3DA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8D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4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3F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14:paraId="768B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85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年度总体目标完成情况</w:t>
            </w: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4A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6C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14:paraId="5C9E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4EE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2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2C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税收和产值排序在全区规上工业中前12位的企业进行奖励，增加就业人数20人</w:t>
            </w:r>
          </w:p>
        </w:tc>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10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税收和产值排序在全区规上工业中前12位的企业进行奖励，增加就业人数20人</w:t>
            </w:r>
          </w:p>
        </w:tc>
      </w:tr>
      <w:tr w14:paraId="5A34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26" w:type="dxa"/>
            <w:vMerge w:val="restart"/>
            <w:tcBorders>
              <w:top w:val="single" w:color="000000" w:sz="4" w:space="0"/>
              <w:left w:val="single" w:color="000000" w:sz="4" w:space="0"/>
              <w:right w:val="single" w:color="000000" w:sz="4" w:space="0"/>
            </w:tcBorders>
            <w:shd w:val="clear" w:color="auto" w:fill="auto"/>
            <w:vAlign w:val="center"/>
          </w:tcPr>
          <w:p w14:paraId="415FC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6D26B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14:paraId="4A7F1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0D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14:paraId="7DCCD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DF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14:paraId="1BA80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C3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14:paraId="17B4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1B8788E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left w:val="single" w:color="000000" w:sz="4" w:space="0"/>
              <w:right w:val="single" w:color="000000" w:sz="4" w:space="0"/>
            </w:tcBorders>
            <w:shd w:val="clear" w:color="auto" w:fill="auto"/>
            <w:vAlign w:val="center"/>
          </w:tcPr>
          <w:p w14:paraId="70B3B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14:paraId="0EDB1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C2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2B7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奖励企业个数</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19C5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12家</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E8C">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12家</w:t>
            </w:r>
          </w:p>
        </w:tc>
      </w:tr>
      <w:tr w14:paraId="738B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793AC60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EC5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C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16451">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奖励对象标准符合度</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F207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BF31">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14:paraId="45F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26" w:type="dxa"/>
            <w:vMerge w:val="continue"/>
            <w:tcBorders>
              <w:left w:val="single" w:color="000000" w:sz="4" w:space="0"/>
              <w:right w:val="single" w:color="000000" w:sz="4" w:space="0"/>
            </w:tcBorders>
            <w:shd w:val="clear" w:color="auto" w:fill="auto"/>
            <w:vAlign w:val="center"/>
          </w:tcPr>
          <w:p w14:paraId="0315CC6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E05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C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EDCF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奖励补助发放到位时间</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3CDD8">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6个月</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BC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6个月</w:t>
            </w:r>
          </w:p>
        </w:tc>
      </w:tr>
      <w:tr w14:paraId="64F6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31C4D1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562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7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DFD8D">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奖励资金额度</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59EDA">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40万元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D01">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40万元</w:t>
            </w:r>
          </w:p>
        </w:tc>
      </w:tr>
      <w:tr w14:paraId="0872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28844C6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513D3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F9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5F10F">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税收贡献</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9D746">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全区规上工业企业中排前12位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0BF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全区规上工业企业中排前12位</w:t>
            </w:r>
          </w:p>
        </w:tc>
      </w:tr>
      <w:tr w14:paraId="7BA7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7D92343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62BA0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3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D905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产值</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DDEFC">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全区规上工业企业中排前12位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FE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全区规上工业企业中排前12位</w:t>
            </w:r>
          </w:p>
        </w:tc>
      </w:tr>
      <w:tr w14:paraId="28C2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4970A4D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368C3BD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2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23DB">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增加就业人数</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9243">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B39">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20人</w:t>
            </w:r>
          </w:p>
        </w:tc>
      </w:tr>
      <w:tr w14:paraId="3071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26" w:type="dxa"/>
            <w:vMerge w:val="continue"/>
            <w:tcBorders>
              <w:left w:val="single" w:color="000000" w:sz="4" w:space="0"/>
              <w:right w:val="single" w:color="000000" w:sz="4" w:space="0"/>
            </w:tcBorders>
            <w:shd w:val="clear" w:color="auto" w:fill="auto"/>
            <w:vAlign w:val="center"/>
          </w:tcPr>
          <w:p w14:paraId="4F470A9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right w:val="single" w:color="000000" w:sz="4" w:space="0"/>
            </w:tcBorders>
            <w:shd w:val="clear" w:color="auto" w:fill="auto"/>
            <w:vAlign w:val="center"/>
          </w:tcPr>
          <w:p w14:paraId="3B4AFC9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D9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5B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9F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B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370B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left w:val="single" w:color="000000" w:sz="4" w:space="0"/>
              <w:right w:val="single" w:color="000000" w:sz="4" w:space="0"/>
            </w:tcBorders>
            <w:shd w:val="clear" w:color="auto" w:fill="auto"/>
            <w:vAlign w:val="center"/>
          </w:tcPr>
          <w:p w14:paraId="7614916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4F91F05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F3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可持续影响</w:t>
            </w:r>
          </w:p>
          <w:p w14:paraId="6B09B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4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9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C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14:paraId="2C35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06D419F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D2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14:paraId="6EA1F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789F8">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12家工业企业满意度</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92EE5">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C3239">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bl>
    <w:p w14:paraId="73C7068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cstheme="minorEastAsia"/>
          <w:b/>
          <w:bCs/>
          <w:color w:val="auto"/>
          <w:sz w:val="32"/>
          <w:szCs w:val="32"/>
          <w:highlight w:val="none"/>
          <w:lang w:eastAsia="zh-CN"/>
        </w:rPr>
        <w:t>2020年工业经济稳步增长正向激励资金绩效目标自评</w:t>
      </w:r>
    </w:p>
    <w:p w14:paraId="0B0B2468">
      <w:pPr>
        <w:spacing w:line="600" w:lineRule="exact"/>
        <w:jc w:val="center"/>
        <w:outlineLvl w:val="0"/>
        <w:rPr>
          <w:rFonts w:hint="eastAsia" w:ascii="仿宋" w:hAnsi="仿宋" w:eastAsia="仿宋"/>
          <w:b w:val="0"/>
          <w:color w:val="auto"/>
          <w:highlight w:val="none"/>
        </w:rPr>
      </w:pPr>
      <w:bookmarkStart w:id="118" w:name="_Toc27152"/>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99"/>
      <w:bookmarkEnd w:id="113"/>
      <w:bookmarkEnd w:id="115"/>
      <w:bookmarkEnd w:id="116"/>
      <w:bookmarkEnd w:id="118"/>
      <w:bookmarkStart w:id="119" w:name="_Toc15396619"/>
    </w:p>
    <w:p w14:paraId="305C71BE">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20" w:name="_Toc25192"/>
      <w:bookmarkStart w:id="121" w:name="_Toc30272"/>
      <w:bookmarkStart w:id="122" w:name="_Toc26483"/>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119"/>
      <w:bookmarkEnd w:id="120"/>
      <w:bookmarkEnd w:id="121"/>
      <w:bookmarkEnd w:id="122"/>
    </w:p>
    <w:p w14:paraId="05D41CF8">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23" w:name="_Toc2165"/>
      <w:bookmarkStart w:id="124" w:name="_Toc24931"/>
      <w:bookmarkStart w:id="125" w:name="_Toc21607"/>
      <w:bookmarkStart w:id="126"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123"/>
      <w:bookmarkEnd w:id="124"/>
      <w:bookmarkEnd w:id="125"/>
      <w:bookmarkEnd w:id="126"/>
    </w:p>
    <w:p w14:paraId="503BD220">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27" w:name="_Toc29116"/>
      <w:bookmarkStart w:id="128" w:name="_Toc2561"/>
      <w:bookmarkStart w:id="129" w:name="_Toc15396621"/>
      <w:bookmarkStart w:id="130" w:name="_Toc165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127"/>
      <w:bookmarkEnd w:id="128"/>
      <w:bookmarkEnd w:id="129"/>
      <w:bookmarkEnd w:id="130"/>
    </w:p>
    <w:p w14:paraId="0A20656F">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b w:val="0"/>
          <w:color w:val="auto"/>
          <w:highlight w:val="none"/>
        </w:rPr>
      </w:pPr>
      <w:bookmarkStart w:id="131" w:name="_Toc9706"/>
      <w:bookmarkStart w:id="132" w:name="_Toc23629"/>
      <w:bookmarkStart w:id="133" w:name="_Toc18853"/>
      <w:bookmarkStart w:id="134"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31"/>
      <w:bookmarkEnd w:id="132"/>
      <w:bookmarkEnd w:id="133"/>
      <w:bookmarkEnd w:id="134"/>
    </w:p>
    <w:p w14:paraId="5C8C18B9">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Style w:val="30"/>
          <w:rFonts w:ascii="仿宋" w:hAnsi="仿宋" w:eastAsia="仿宋"/>
          <w:b w:val="0"/>
          <w:bCs w:val="0"/>
          <w:color w:val="auto"/>
          <w:highlight w:val="none"/>
        </w:rPr>
      </w:pPr>
      <w:bookmarkStart w:id="135" w:name="_Toc21172"/>
      <w:bookmarkStart w:id="136" w:name="_Toc15396623"/>
      <w:bookmarkStart w:id="137" w:name="_Toc15763"/>
      <w:bookmarkStart w:id="138" w:name="_Toc2774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35"/>
      <w:bookmarkEnd w:id="136"/>
      <w:bookmarkEnd w:id="137"/>
      <w:bookmarkEnd w:id="138"/>
      <w:bookmarkStart w:id="139" w:name="_Toc15396624"/>
    </w:p>
    <w:p w14:paraId="5D95D4E4">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40" w:name="_Toc5070"/>
      <w:bookmarkStart w:id="141" w:name="_Toc5054"/>
      <w:bookmarkStart w:id="142" w:name="_Toc28248"/>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39"/>
      <w:bookmarkEnd w:id="140"/>
      <w:bookmarkEnd w:id="141"/>
      <w:bookmarkEnd w:id="142"/>
    </w:p>
    <w:p w14:paraId="58E16CD0">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43" w:name="_Toc1787"/>
      <w:bookmarkStart w:id="144" w:name="_Toc560"/>
      <w:bookmarkStart w:id="145" w:name="_Toc32511"/>
      <w:bookmarkStart w:id="146"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43"/>
      <w:bookmarkEnd w:id="144"/>
      <w:bookmarkEnd w:id="145"/>
      <w:bookmarkEnd w:id="146"/>
    </w:p>
    <w:p w14:paraId="5618E9F9">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47" w:name="_Toc8094"/>
      <w:bookmarkStart w:id="148" w:name="_Toc15396626"/>
      <w:bookmarkStart w:id="149" w:name="_Toc3996"/>
      <w:bookmarkStart w:id="150" w:name="_Toc17832"/>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47"/>
      <w:bookmarkEnd w:id="148"/>
      <w:bookmarkEnd w:id="149"/>
      <w:bookmarkEnd w:id="150"/>
    </w:p>
    <w:p w14:paraId="6C52BE70">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51" w:name="_Toc5011"/>
      <w:bookmarkStart w:id="152" w:name="_Toc15396627"/>
      <w:bookmarkStart w:id="153" w:name="_Toc2495"/>
      <w:bookmarkStart w:id="154" w:name="_Toc3613"/>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51"/>
      <w:bookmarkEnd w:id="152"/>
      <w:bookmarkEnd w:id="153"/>
      <w:bookmarkEnd w:id="154"/>
    </w:p>
    <w:p w14:paraId="3B92F3BA">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55" w:name="_Toc15396628"/>
      <w:bookmarkStart w:id="156" w:name="_Toc24816"/>
      <w:bookmarkStart w:id="157" w:name="_Toc28180"/>
      <w:bookmarkStart w:id="158" w:name="_Toc11450"/>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155"/>
      <w:bookmarkEnd w:id="156"/>
      <w:bookmarkEnd w:id="157"/>
      <w:bookmarkEnd w:id="158"/>
    </w:p>
    <w:p w14:paraId="4E7FE114">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59" w:name="_Toc15396629"/>
      <w:bookmarkStart w:id="160" w:name="_Toc16648"/>
      <w:bookmarkStart w:id="161" w:name="_Toc23304"/>
      <w:bookmarkStart w:id="162" w:name="_Toc5294"/>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59"/>
      <w:bookmarkEnd w:id="160"/>
      <w:bookmarkEnd w:id="161"/>
      <w:bookmarkEnd w:id="162"/>
    </w:p>
    <w:p w14:paraId="095B3319">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Fonts w:ascii="仿宋" w:hAnsi="仿宋" w:eastAsia="仿宋"/>
          <w:color w:val="auto"/>
          <w:highlight w:val="none"/>
        </w:rPr>
      </w:pPr>
      <w:bookmarkStart w:id="163" w:name="_Toc26717"/>
      <w:bookmarkStart w:id="164" w:name="_Toc8807"/>
      <w:bookmarkStart w:id="165" w:name="_Toc20418"/>
      <w:bookmarkStart w:id="166" w:name="_Toc1539663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163"/>
      <w:bookmarkEnd w:id="164"/>
      <w:bookmarkEnd w:id="165"/>
      <w:bookmarkEnd w:id="166"/>
    </w:p>
    <w:p w14:paraId="64724A82">
      <w:pPr>
        <w:pStyle w:val="4"/>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rPr>
          <w:rStyle w:val="30"/>
          <w:rFonts w:hint="eastAsia" w:ascii="仿宋" w:hAnsi="仿宋" w:eastAsia="仿宋"/>
          <w:b w:val="0"/>
          <w:bCs w:val="0"/>
          <w:color w:val="auto"/>
          <w:highlight w:val="none"/>
        </w:rPr>
      </w:pPr>
      <w:bookmarkStart w:id="167" w:name="_Toc26511"/>
      <w:bookmarkStart w:id="168" w:name="_Toc18707"/>
      <w:bookmarkStart w:id="169" w:name="_Toc15396631"/>
      <w:bookmarkStart w:id="170" w:name="_Toc25220"/>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67"/>
      <w:bookmarkEnd w:id="168"/>
      <w:bookmarkEnd w:id="169"/>
      <w:bookmarkEnd w:id="170"/>
    </w:p>
    <w:p w14:paraId="747C47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1"/>
        <w:rPr>
          <w:rFonts w:hint="eastAsia" w:eastAsia="仿宋"/>
          <w:color w:val="auto"/>
          <w:highlight w:val="none"/>
          <w:lang w:eastAsia="zh-CN"/>
        </w:rPr>
      </w:pPr>
      <w:bookmarkStart w:id="171" w:name="_Toc17786"/>
      <w:bookmarkStart w:id="172" w:name="_Toc25752"/>
      <w:bookmarkStart w:id="173" w:name="_Toc11357"/>
      <w:r>
        <w:rPr>
          <w:rStyle w:val="30"/>
          <w:rFonts w:hint="eastAsia" w:ascii="仿宋" w:hAnsi="仿宋" w:eastAsia="仿宋"/>
          <w:b w:val="0"/>
          <w:bCs w:val="0"/>
          <w:color w:val="auto"/>
          <w:highlight w:val="none"/>
          <w:lang w:eastAsia="zh-CN"/>
        </w:rPr>
        <w:t>十四、国有资本经营预算财政拨款支出决算表</w:t>
      </w:r>
      <w:bookmarkEnd w:id="171"/>
      <w:bookmarkEnd w:id="172"/>
      <w:bookmarkEnd w:id="173"/>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BBC73-85BE-4DDB-9FE1-171FCC0DAE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D332112-3DD3-4971-B703-4064AB950794}"/>
  </w:font>
  <w:font w:name="仿宋_GB2312">
    <w:altName w:val="仿宋"/>
    <w:panose1 w:val="02010609030101010101"/>
    <w:charset w:val="86"/>
    <w:family w:val="modern"/>
    <w:pitch w:val="default"/>
    <w:sig w:usb0="00000000" w:usb1="00000000" w:usb2="00000000" w:usb3="00000000" w:csb0="00040000" w:csb1="00000000"/>
    <w:embedRegular r:id="rId3" w:fontKey="{76A1F953-6A55-454B-8921-283192387C04}"/>
  </w:font>
  <w:font w:name="仿宋">
    <w:panose1 w:val="02010609060101010101"/>
    <w:charset w:val="86"/>
    <w:family w:val="auto"/>
    <w:pitch w:val="default"/>
    <w:sig w:usb0="800002BF" w:usb1="38CF7CFA" w:usb2="00000016" w:usb3="00000000" w:csb0="00040001" w:csb1="00000000"/>
    <w:embedRegular r:id="rId4" w:fontKey="{E2DF0A1F-E4EE-4F4D-AAE8-FCD99C796654}"/>
  </w:font>
  <w:font w:name="方正小标宋简体">
    <w:panose1 w:val="02000000000000000000"/>
    <w:charset w:val="86"/>
    <w:family w:val="script"/>
    <w:pitch w:val="default"/>
    <w:sig w:usb0="00000001" w:usb1="08000000" w:usb2="00000000" w:usb3="00000000" w:csb0="00040000" w:csb1="00000000"/>
    <w:embedRegular r:id="rId5" w:fontKey="{5CC92DD4-4F5B-4D37-9BC2-9364DE6261B7}"/>
  </w:font>
  <w:font w:name="微软雅黑">
    <w:panose1 w:val="020B0503020204020204"/>
    <w:charset w:val="86"/>
    <w:family w:val="auto"/>
    <w:pitch w:val="default"/>
    <w:sig w:usb0="80000287" w:usb1="2ACF3C50" w:usb2="00000016" w:usb3="00000000" w:csb0="0004001F" w:csb1="00000000"/>
    <w:embedRegular r:id="rId6" w:fontKey="{05AA5D40-459D-4012-9974-1993F97160A6}"/>
  </w:font>
  <w:font w:name="等线">
    <w:panose1 w:val="02010600030101010101"/>
    <w:charset w:val="86"/>
    <w:family w:val="auto"/>
    <w:pitch w:val="default"/>
    <w:sig w:usb0="A00002BF" w:usb1="38CF7CFA" w:usb2="00000016" w:usb3="00000000" w:csb0="0004000F" w:csb1="00000000"/>
    <w:embedRegular r:id="rId7" w:fontKey="{8EABF860-6D9E-4690-821C-9A2CBBA9C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211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EB34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5EB34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F69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EF7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0B2EF7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E807">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6ACA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26ACA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p w14:paraId="68A5700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49E5">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07F4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907F4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C7C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333EE07"/>
    <w:multiLevelType w:val="singleLevel"/>
    <w:tmpl w:val="6333EE07"/>
    <w:lvl w:ilvl="0" w:tentative="0">
      <w:start w:val="1"/>
      <w:numFmt w:val="chineseCounting"/>
      <w:suff w:val="nothing"/>
      <w:lvlText w:val="%1、"/>
      <w:lvlJc w:val="left"/>
    </w:lvl>
  </w:abstractNum>
  <w:abstractNum w:abstractNumId="4">
    <w:nsid w:val="6334189B"/>
    <w:multiLevelType w:val="singleLevel"/>
    <w:tmpl w:val="6334189B"/>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C96558B"/>
    <w:rsid w:val="10C055FF"/>
    <w:rsid w:val="118107EC"/>
    <w:rsid w:val="11DD6519"/>
    <w:rsid w:val="16BB723D"/>
    <w:rsid w:val="18015F3F"/>
    <w:rsid w:val="190F6CD2"/>
    <w:rsid w:val="19726D23"/>
    <w:rsid w:val="1BE8440E"/>
    <w:rsid w:val="1D155CEE"/>
    <w:rsid w:val="20F57F95"/>
    <w:rsid w:val="216F1D7D"/>
    <w:rsid w:val="23885032"/>
    <w:rsid w:val="240371BF"/>
    <w:rsid w:val="256C357E"/>
    <w:rsid w:val="25C741E6"/>
    <w:rsid w:val="27842671"/>
    <w:rsid w:val="29FD04D3"/>
    <w:rsid w:val="2ABE7A3E"/>
    <w:rsid w:val="2C2C7128"/>
    <w:rsid w:val="2EFA178C"/>
    <w:rsid w:val="30B46D73"/>
    <w:rsid w:val="319F7F4E"/>
    <w:rsid w:val="39AE70AB"/>
    <w:rsid w:val="3C0C0783"/>
    <w:rsid w:val="3F795B0E"/>
    <w:rsid w:val="3F9F3A96"/>
    <w:rsid w:val="46096F7B"/>
    <w:rsid w:val="493C27E9"/>
    <w:rsid w:val="496F39ED"/>
    <w:rsid w:val="49FF41D3"/>
    <w:rsid w:val="4A185DC8"/>
    <w:rsid w:val="4BCD702C"/>
    <w:rsid w:val="4BE068DB"/>
    <w:rsid w:val="4BF6002B"/>
    <w:rsid w:val="4ECE2238"/>
    <w:rsid w:val="51DB4B86"/>
    <w:rsid w:val="55333C3E"/>
    <w:rsid w:val="5A9041EC"/>
    <w:rsid w:val="5BB25E1D"/>
    <w:rsid w:val="60696835"/>
    <w:rsid w:val="631A3BA0"/>
    <w:rsid w:val="633C4934"/>
    <w:rsid w:val="64CA39A1"/>
    <w:rsid w:val="6B7B5520"/>
    <w:rsid w:val="6C4A05C8"/>
    <w:rsid w:val="6FB47CC4"/>
    <w:rsid w:val="72734D90"/>
    <w:rsid w:val="74E366CA"/>
    <w:rsid w:val="76712AD9"/>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next w:val="8"/>
    <w:unhideWhenUsed/>
    <w:qFormat/>
    <w:uiPriority w:val="99"/>
    <w:pPr>
      <w:ind w:left="200" w:leftChars="200"/>
    </w:pPr>
  </w:style>
  <w:style w:type="paragraph" w:styleId="8">
    <w:name w:val="Body Text First Indent 2"/>
    <w:basedOn w:val="7"/>
    <w:next w:val="1"/>
    <w:unhideWhenUsed/>
    <w:qFormat/>
    <w:uiPriority w:val="99"/>
    <w:pPr>
      <w:ind w:firstLine="20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adjustRightInd/>
      <w:snapToGrid/>
      <w:spacing w:before="100" w:beforeLines="0" w:beforeAutospacing="1" w:after="100" w:afterLines="0" w:afterAutospacing="1"/>
    </w:pPr>
    <w:rPr>
      <w:rFonts w:ascii="宋体" w:hAnsi="宋体" w:eastAsia="宋体" w:cs="宋体"/>
      <w:sz w:val="24"/>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图表目录1"/>
    <w:basedOn w:val="1"/>
    <w:next w:val="1"/>
    <w:qFormat/>
    <w:uiPriority w:val="99"/>
    <w:pPr>
      <w:ind w:left="200" w:leftChars="200" w:hanging="200" w:hangingChars="200"/>
    </w:p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[工作簿1]Sheet1!$A$8</c:f>
              <c:strCache>
                <c:ptCount val="1"/>
                <c:pt idx="0">
                  <c:v>收、支决算总计</c:v>
                </c:pt>
              </c:strCache>
            </c:strRef>
          </c:tx>
          <c:spPr>
            <a:solidFill>
              <a:schemeClr val="accent1"/>
            </a:solidFill>
            <a:ln>
              <a:noFill/>
            </a:ln>
            <a:effectLst/>
          </c:spPr>
          <c:invertIfNegative val="0"/>
          <c:dLbls>
            <c:dLbl>
              <c:idx val="0"/>
              <c:layout>
                <c:manualLayout>
                  <c:x val="-0.00217932752179328"/>
                  <c:y val="0.03763194125745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7932752179328"/>
                  <c:y val="0.05152083014634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[工作簿1]Sheet1!$B$7:$C$7</c:f>
              <c:strCache>
                <c:ptCount val="2"/>
                <c:pt idx="0">
                  <c:v>2020年</c:v>
                </c:pt>
                <c:pt idx="1">
                  <c:v>2021年</c:v>
                </c:pt>
              </c:strCache>
            </c:strRef>
          </c:cat>
          <c:val>
            <c:numRef>
              <c:f>[工作簿1]Sheet1!$B$8:$C$8</c:f>
              <c:numCache>
                <c:formatCode>General</c:formatCode>
                <c:ptCount val="2"/>
                <c:pt idx="0">
                  <c:v>2397.56</c:v>
                </c:pt>
                <c:pt idx="1">
                  <c:v>4560.06</c:v>
                </c:pt>
              </c:numCache>
            </c:numRef>
          </c:val>
        </c:ser>
        <c:dLbls>
          <c:showLegendKey val="0"/>
          <c:showVal val="1"/>
          <c:showCatName val="0"/>
          <c:showSerName val="0"/>
          <c:showPercent val="0"/>
          <c:showBubbleSize val="0"/>
        </c:dLbls>
        <c:gapWidth val="219"/>
        <c:overlap val="-27"/>
        <c:axId val="52674683"/>
        <c:axId val="311202334"/>
      </c:barChart>
      <c:catAx>
        <c:axId val="526746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202334"/>
        <c:crosses val="autoZero"/>
        <c:auto val="1"/>
        <c:lblAlgn val="ctr"/>
        <c:lblOffset val="100"/>
        <c:noMultiLvlLbl val="0"/>
      </c:catAx>
      <c:valAx>
        <c:axId val="3112023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746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[工作簿1]Sheet1!$A$3</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一般公共预算财政拨款收入</c:v>
                </c:pt>
                <c:pt idx="1">
                  <c:v>政府性基金预算财政拨款收入</c:v>
                </c:pt>
              </c:strCache>
            </c:strRef>
          </c:cat>
          <c:val>
            <c:numRef>
              <c:f>[工作簿1]Sheet1!$B$3:$C$3</c:f>
              <c:numCache>
                <c:formatCode>General</c:formatCode>
                <c:ptCount val="2"/>
                <c:pt idx="0">
                  <c:v>1391.69</c:v>
                </c:pt>
                <c:pt idx="1">
                  <c:v>3168.37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[工作簿1]Sheet1!$A$12</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560143879965677"/>
                  <c:y val="-0.1872046979183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[工作簿1]Sheet1!$B$11:$C$11</c:f>
              <c:strCache>
                <c:ptCount val="2"/>
                <c:pt idx="0">
                  <c:v>基本支出</c:v>
                </c:pt>
                <c:pt idx="1">
                  <c:v>项目支出</c:v>
                </c:pt>
              </c:strCache>
            </c:strRef>
          </c:cat>
          <c:val>
            <c:numRef>
              <c:f>[工作簿1]Sheet1!$B$12:$C$12</c:f>
              <c:numCache>
                <c:formatCode>General</c:formatCode>
                <c:ptCount val="2"/>
                <c:pt idx="0">
                  <c:v>392.48</c:v>
                </c:pt>
                <c:pt idx="1">
                  <c:v>3597.63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[工作簿1]Sheet1!$A$8</c:f>
              <c:strCache>
                <c:ptCount val="1"/>
                <c:pt idx="0">
                  <c:v>收、支决算总计</c:v>
                </c:pt>
              </c:strCache>
            </c:strRef>
          </c:tx>
          <c:spPr>
            <a:solidFill>
              <a:schemeClr val="accent1"/>
            </a:solidFill>
            <a:ln>
              <a:noFill/>
            </a:ln>
            <a:effectLst/>
          </c:spPr>
          <c:invertIfNegative val="0"/>
          <c:dLbls>
            <c:dLbl>
              <c:idx val="0"/>
              <c:layout>
                <c:manualLayout>
                  <c:x val="-0.00217932752179328"/>
                  <c:y val="0.03763194125745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7932752179328"/>
                  <c:y val="0.05152083014634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[工作簿1]Sheet1!$B$7:$C$7</c:f>
              <c:strCache>
                <c:ptCount val="2"/>
                <c:pt idx="0">
                  <c:v>2020年</c:v>
                </c:pt>
                <c:pt idx="1">
                  <c:v>2021年</c:v>
                </c:pt>
              </c:strCache>
            </c:strRef>
          </c:cat>
          <c:val>
            <c:numRef>
              <c:f>[工作簿1]Sheet1!$B$8:$C$8</c:f>
              <c:numCache>
                <c:formatCode>General</c:formatCode>
                <c:ptCount val="2"/>
                <c:pt idx="0">
                  <c:v>2397.56</c:v>
                </c:pt>
                <c:pt idx="1">
                  <c:v>4560.06</c:v>
                </c:pt>
              </c:numCache>
            </c:numRef>
          </c:val>
        </c:ser>
        <c:dLbls>
          <c:showLegendKey val="0"/>
          <c:showVal val="1"/>
          <c:showCatName val="0"/>
          <c:showSerName val="0"/>
          <c:showPercent val="0"/>
          <c:showBubbleSize val="0"/>
        </c:dLbls>
        <c:gapWidth val="219"/>
        <c:overlap val="-27"/>
        <c:axId val="52674683"/>
        <c:axId val="311202334"/>
      </c:barChart>
      <c:catAx>
        <c:axId val="526746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202334"/>
        <c:crosses val="autoZero"/>
        <c:auto val="1"/>
        <c:lblAlgn val="ctr"/>
        <c:lblOffset val="100"/>
        <c:noMultiLvlLbl val="0"/>
      </c:catAx>
      <c:valAx>
        <c:axId val="3112023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746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[工作簿1]Sheet1!$A$16</c:f>
              <c:strCache>
                <c:ptCount val="1"/>
                <c:pt idx="0">
                  <c:v>一般公共预算财政拨款支出</c:v>
                </c:pt>
              </c:strCache>
            </c:strRef>
          </c:tx>
          <c:spPr>
            <a:solidFill>
              <a:schemeClr val="accent1"/>
            </a:solidFill>
            <a:ln>
              <a:noFill/>
            </a:ln>
            <a:effectLst/>
          </c:spPr>
          <c:invertIfNegative val="0"/>
          <c:dLbls>
            <c:dLbl>
              <c:idx val="0"/>
              <c:layout>
                <c:manualLayout>
                  <c:x val="0"/>
                  <c:y val="0.033898305084745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[工作簿1]Sheet1!$B$15:$C$15</c:f>
              <c:strCache>
                <c:ptCount val="2"/>
                <c:pt idx="0">
                  <c:v>2020年</c:v>
                </c:pt>
                <c:pt idx="1">
                  <c:v>2021年</c:v>
                </c:pt>
              </c:strCache>
            </c:strRef>
          </c:cat>
          <c:val>
            <c:numRef>
              <c:f>[工作簿1]Sheet1!$B$16:$C$16</c:f>
              <c:numCache>
                <c:formatCode>#,##0.00</c:formatCode>
                <c:ptCount val="2"/>
                <c:pt idx="0">
                  <c:v>2231.56</c:v>
                </c:pt>
                <c:pt idx="1">
                  <c:v>889.45</c:v>
                </c:pt>
              </c:numCache>
            </c:numRef>
          </c:val>
        </c:ser>
        <c:dLbls>
          <c:showLegendKey val="0"/>
          <c:showVal val="1"/>
          <c:showCatName val="0"/>
          <c:showSerName val="0"/>
          <c:showPercent val="0"/>
          <c:showBubbleSize val="0"/>
        </c:dLbls>
        <c:gapWidth val="219"/>
        <c:overlap val="-27"/>
        <c:axId val="472264655"/>
        <c:axId val="911076582"/>
      </c:barChart>
      <c:catAx>
        <c:axId val="4722646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076582"/>
        <c:crosses val="autoZero"/>
        <c:auto val="1"/>
        <c:lblAlgn val="ctr"/>
        <c:lblOffset val="100"/>
        <c:noMultiLvlLbl val="0"/>
      </c:catAx>
      <c:valAx>
        <c:axId val="91107658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64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2"/>
              <c:layout>
                <c:manualLayout>
                  <c:x val="0.0201508559128187"/>
                  <c:y val="0.04777662670085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3561262809161"/>
                  <c:y val="0.044489501665984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[工作簿1]Sheet1!$A$2:$A$8</c:f>
              <c:strCache>
                <c:ptCount val="7"/>
                <c:pt idx="0">
                  <c:v>一般公共服务（类）</c:v>
                </c:pt>
                <c:pt idx="1">
                  <c:v>科学技术（类）</c:v>
                </c:pt>
                <c:pt idx="2">
                  <c:v>社会保障和就业（类）</c:v>
                </c:pt>
                <c:pt idx="3">
                  <c:v>卫生健康支出（类）</c:v>
                </c:pt>
                <c:pt idx="4">
                  <c:v>农林水支出（类）</c:v>
                </c:pt>
                <c:pt idx="5">
                  <c:v>资源勘探工业信息等支出（类）</c:v>
                </c:pt>
                <c:pt idx="6">
                  <c:v>住房保障支出（类）</c:v>
                </c:pt>
              </c:strCache>
            </c:strRef>
          </c:cat>
          <c:val>
            <c:numRef>
              <c:f>[工作簿1]Sheet1!$B$2:$B$8</c:f>
              <c:numCache>
                <c:formatCode>General</c:formatCode>
                <c:ptCount val="7"/>
                <c:pt idx="0">
                  <c:v>343.55</c:v>
                </c:pt>
                <c:pt idx="1">
                  <c:v>74.2</c:v>
                </c:pt>
                <c:pt idx="2">
                  <c:v>19.8</c:v>
                </c:pt>
                <c:pt idx="3">
                  <c:v>10.6</c:v>
                </c:pt>
                <c:pt idx="4">
                  <c:v>122.77</c:v>
                </c:pt>
                <c:pt idx="5">
                  <c:v>300</c:v>
                </c:pt>
                <c:pt idx="6">
                  <c:v>18.54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44931952061751"/>
          <c:y val="0.796025715955582"/>
          <c:w val="0.881779402803169"/>
          <c:h val="0.153126826417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[工作簿1]Sheet1!$A$2:$A$4</c:f>
              <c:strCache>
                <c:ptCount val="3"/>
                <c:pt idx="0">
                  <c:v>公务接待费</c:v>
                </c:pt>
                <c:pt idx="1">
                  <c:v>公务用车购置及运行维护费</c:v>
                </c:pt>
                <c:pt idx="2">
                  <c:v>因公出国（境）费</c:v>
                </c:pt>
              </c:strCache>
            </c:strRef>
          </c:cat>
          <c:val>
            <c:numRef>
              <c:f>[工作簿1]Sheet1!$B$2:$B$4</c:f>
              <c:numCache>
                <c:formatCode>General</c:formatCode>
                <c:ptCount val="3"/>
                <c:pt idx="0">
                  <c:v>12.03</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9948</Words>
  <Characters>10849</Characters>
  <Lines>61</Lines>
  <Paragraphs>17</Paragraphs>
  <TotalTime>12</TotalTime>
  <ScaleCrop>false</ScaleCrop>
  <LinksUpToDate>false</LinksUpToDate>
  <CharactersWithSpaces>11002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2024-12-03T01:21:26Z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18C4299B72334D3095585539B3212D20</vt:lpwstr>
  </property>
</Properties>
</file>