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03B423">
      <w:pPr>
        <w:spacing w:line="600" w:lineRule="exact"/>
        <w:jc w:val="center"/>
        <w:rPr>
          <w:rFonts w:hint="eastAsia" w:ascii="方正小标宋简体" w:hAnsi="方正小标宋简体" w:eastAsia="方正小标宋简体"/>
          <w:color w:val="000000"/>
          <w:kern w:val="2"/>
          <w:sz w:val="72"/>
          <w:szCs w:val="24"/>
          <w:lang w:val="zh-CN"/>
        </w:rPr>
      </w:pPr>
    </w:p>
    <w:p w14:paraId="33A119CE">
      <w:pPr>
        <w:pStyle w:val="2"/>
        <w:rPr>
          <w:rFonts w:hint="eastAsia"/>
          <w:sz w:val="30"/>
          <w:szCs w:val="24"/>
          <w:lang w:val="zh-CN"/>
        </w:rPr>
      </w:pPr>
    </w:p>
    <w:p w14:paraId="215B53E2">
      <w:pPr>
        <w:spacing w:line="600" w:lineRule="exact"/>
        <w:jc w:val="center"/>
        <w:rPr>
          <w:rFonts w:hint="eastAsia" w:ascii="方正小标宋简体" w:hAnsi="方正小标宋简体" w:eastAsia="方正小标宋简体"/>
          <w:color w:val="000000"/>
          <w:kern w:val="2"/>
          <w:sz w:val="72"/>
          <w:szCs w:val="24"/>
          <w:lang w:val="zh-CN"/>
        </w:rPr>
      </w:pPr>
    </w:p>
    <w:p w14:paraId="1FB098A1">
      <w:pPr>
        <w:spacing w:line="600" w:lineRule="exact"/>
        <w:jc w:val="center"/>
        <w:rPr>
          <w:rFonts w:hint="eastAsia" w:ascii="方正小标宋简体" w:hAnsi="方正小标宋简体" w:eastAsia="方正小标宋简体"/>
          <w:color w:val="000000"/>
          <w:kern w:val="2"/>
          <w:sz w:val="72"/>
          <w:szCs w:val="24"/>
          <w:lang w:val="zh-CN"/>
        </w:rPr>
      </w:pPr>
    </w:p>
    <w:p w14:paraId="7BE6BFDF">
      <w:pPr>
        <w:pStyle w:val="2"/>
        <w:rPr>
          <w:rFonts w:hint="eastAsia"/>
          <w:sz w:val="30"/>
          <w:szCs w:val="24"/>
          <w:lang w:val="zh-CN"/>
        </w:rPr>
      </w:pPr>
    </w:p>
    <w:p w14:paraId="63697FCC">
      <w:pPr>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01E1EF78">
      <w:pPr>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四川省广元市昭化区残疾人</w:t>
      </w:r>
    </w:p>
    <w:p w14:paraId="05D92DF6">
      <w:pPr>
        <w:spacing w:line="1400" w:lineRule="exact"/>
        <w:jc w:val="center"/>
        <w:rPr>
          <w:rFonts w:hint="eastAsia" w:ascii="方正小标宋简体" w:hAnsi="宋体" w:eastAsia="方正小标宋简体"/>
          <w:sz w:val="52"/>
          <w:szCs w:val="24"/>
        </w:rPr>
      </w:pPr>
      <w:r>
        <w:rPr>
          <w:rFonts w:hint="eastAsia" w:ascii="方正小标宋简体" w:hAnsi="黑体" w:eastAsia="方正小标宋简体"/>
          <w:color w:val="000000"/>
          <w:kern w:val="2"/>
          <w:sz w:val="72"/>
          <w:szCs w:val="24"/>
          <w:lang w:val="zh-CN"/>
        </w:rPr>
        <w:t>联合会部门决算</w:t>
      </w:r>
    </w:p>
    <w:p w14:paraId="7ECBCFBA">
      <w:pPr>
        <w:pStyle w:val="2"/>
        <w:spacing w:before="72"/>
        <w:rPr>
          <w:rFonts w:hint="eastAsia"/>
          <w:sz w:val="30"/>
          <w:szCs w:val="24"/>
          <w:lang w:val="zh-CN"/>
        </w:rPr>
      </w:pPr>
    </w:p>
    <w:p w14:paraId="6DC48556">
      <w:pPr>
        <w:keepNext/>
        <w:keepLines/>
        <w:pageBreakBefore/>
        <w:spacing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26B3E603">
      <w:pPr>
        <w:spacing w:before="120" w:beforeLines="50" w:after="480" w:afterLines="200"/>
        <w:jc w:val="center"/>
        <w:rPr>
          <w:rFonts w:hint="eastAsia" w:ascii="楷体_GB2312" w:eastAsia="楷体_GB2312"/>
          <w:sz w:val="32"/>
          <w:szCs w:val="32"/>
          <w:highlight w:val="yellow"/>
        </w:rPr>
      </w:pPr>
      <w:r>
        <w:rPr>
          <w:rFonts w:hint="eastAsia" w:ascii="楷体_GB2312" w:eastAsia="楷体_GB2312"/>
          <w:sz w:val="32"/>
          <w:szCs w:val="32"/>
        </w:rPr>
        <w:t>公开时间：2024年09月</w:t>
      </w:r>
      <w:r>
        <w:rPr>
          <w:rFonts w:hint="eastAsia" w:ascii="楷体_GB2312" w:eastAsia="楷体_GB2312"/>
          <w:sz w:val="32"/>
          <w:szCs w:val="32"/>
          <w:lang w:val="en-US" w:eastAsia="zh-CN"/>
        </w:rPr>
        <w:t>26</w:t>
      </w:r>
      <w:r>
        <w:rPr>
          <w:rFonts w:hint="eastAsia" w:ascii="楷体_GB2312" w:eastAsia="楷体_GB2312"/>
          <w:sz w:val="32"/>
          <w:szCs w:val="32"/>
        </w:rPr>
        <w:t>日</w:t>
      </w:r>
    </w:p>
    <w:p w14:paraId="523C65CF">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p>
    <w:p w14:paraId="0D53D8FA">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14:paraId="09B648F7">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rPr>
        <w:t>7</w:t>
      </w:r>
    </w:p>
    <w:p w14:paraId="0CC3FED6">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rPr>
        <w:t>7</w:t>
      </w:r>
    </w:p>
    <w:p w14:paraId="76A395A7">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rPr>
        <w:t>7</w:t>
      </w:r>
    </w:p>
    <w:p w14:paraId="372B7DD2">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rPr>
        <w:t>7</w:t>
      </w:r>
    </w:p>
    <w:p w14:paraId="305C3A1A">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rPr>
        <w:t>8</w:t>
      </w:r>
    </w:p>
    <w:p w14:paraId="3C9FEAD6">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rPr>
        <w:t>9</w:t>
      </w:r>
    </w:p>
    <w:p w14:paraId="3ACBF29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rPr>
        <w:t>9</w:t>
      </w:r>
    </w:p>
    <w:p w14:paraId="60420230">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rPr>
        <w:t>12</w:t>
      </w:r>
    </w:p>
    <w:p w14:paraId="15068465">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rPr>
        <w:t>12</w:t>
      </w:r>
    </w:p>
    <w:p w14:paraId="5BB2E47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14</w:t>
      </w:r>
    </w:p>
    <w:p w14:paraId="176723B6">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14</w:t>
      </w:r>
    </w:p>
    <w:p w14:paraId="0CC1256A">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15</w:t>
      </w:r>
    </w:p>
    <w:p w14:paraId="503D6D1A">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rPr>
        <w:t>19</w:t>
      </w:r>
    </w:p>
    <w:p w14:paraId="01C1533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rPr>
        <w:t>23</w:t>
      </w:r>
    </w:p>
    <w:p w14:paraId="24A9627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rPr>
        <w:t>23</w:t>
      </w:r>
    </w:p>
    <w:p w14:paraId="23EB9285">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rPr>
        <w:t>37</w:t>
      </w:r>
    </w:p>
    <w:p w14:paraId="3E098032">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附件3</w:t>
      </w:r>
      <w:r>
        <w:rPr>
          <w:rFonts w:hint="eastAsia" w:ascii="仿宋_GB2312" w:eastAsia="仿宋_GB2312"/>
          <w:sz w:val="32"/>
          <w:szCs w:val="32"/>
        </w:rPr>
        <w:tab/>
      </w:r>
      <w:r>
        <w:rPr>
          <w:rFonts w:hint="eastAsia" w:ascii="仿宋_GB2312" w:eastAsia="仿宋_GB2312"/>
          <w:sz w:val="32"/>
          <w:szCs w:val="32"/>
        </w:rPr>
        <w:t>43</w:t>
      </w:r>
    </w:p>
    <w:p w14:paraId="245E9B86">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附件4</w:t>
      </w:r>
      <w:r>
        <w:rPr>
          <w:rFonts w:hint="eastAsia" w:ascii="仿宋_GB2312" w:eastAsia="仿宋_GB2312"/>
          <w:sz w:val="32"/>
          <w:szCs w:val="32"/>
        </w:rPr>
        <w:tab/>
      </w:r>
      <w:r>
        <w:rPr>
          <w:rFonts w:hint="eastAsia" w:ascii="仿宋_GB2312" w:eastAsia="仿宋_GB2312"/>
          <w:sz w:val="32"/>
          <w:szCs w:val="32"/>
        </w:rPr>
        <w:t>47</w:t>
      </w:r>
    </w:p>
    <w:p w14:paraId="07CC7A97">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rPr>
        <w:t>52</w:t>
      </w:r>
    </w:p>
    <w:p w14:paraId="40254E45">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t>52</w:t>
      </w:r>
    </w:p>
    <w:p w14:paraId="2BE130F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t>52</w:t>
      </w:r>
    </w:p>
    <w:p w14:paraId="2F5CBF1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t>52</w:t>
      </w:r>
    </w:p>
    <w:p w14:paraId="6A41808A">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t>52</w:t>
      </w:r>
    </w:p>
    <w:p w14:paraId="141CFDCD">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t>52</w:t>
      </w:r>
    </w:p>
    <w:p w14:paraId="6E888ECE">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t>52</w:t>
      </w:r>
    </w:p>
    <w:p w14:paraId="200284DC">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t>52</w:t>
      </w:r>
    </w:p>
    <w:p w14:paraId="0250DB07">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t>52</w:t>
      </w:r>
    </w:p>
    <w:p w14:paraId="1D4ECEC3">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t>52</w:t>
      </w:r>
    </w:p>
    <w:p w14:paraId="5547ED3B">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rPr>
        <w:t>52</w:t>
      </w:r>
    </w:p>
    <w:p w14:paraId="6687EF9F">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rPr>
        <w:t>52</w:t>
      </w:r>
    </w:p>
    <w:p w14:paraId="64A4B836">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rPr>
        <w:t>52</w:t>
      </w:r>
    </w:p>
    <w:p w14:paraId="6E45A2C8">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rPr>
        <w:t>52</w:t>
      </w:r>
    </w:p>
    <w:p w14:paraId="592302D5">
      <w:pPr>
        <w:widowControl/>
        <w:snapToGrid w:val="0"/>
        <w:spacing w:line="500" w:lineRule="exact"/>
        <w:rPr>
          <w:rFonts w:hint="default" w:ascii="Times New Roman"/>
          <w:sz w:val="24"/>
          <w:szCs w:val="24"/>
        </w:rPr>
      </w:pPr>
    </w:p>
    <w:p w14:paraId="65074E49">
      <w:pPr>
        <w:rPr>
          <w:rFonts w:hint="default" w:ascii="Times New Roman"/>
          <w:sz w:val="24"/>
          <w:szCs w:val="24"/>
        </w:rPr>
      </w:pPr>
    </w:p>
    <w:p w14:paraId="0FE8BE18">
      <w:pPr>
        <w:pStyle w:val="2"/>
        <w:spacing w:before="72"/>
        <w:rPr>
          <w:rFonts w:hint="eastAsia"/>
          <w:sz w:val="30"/>
          <w:szCs w:val="24"/>
        </w:rPr>
        <w:sectPr>
          <w:pgSz w:w="12240" w:h="15840"/>
          <w:pgMar w:top="2098" w:right="1474" w:bottom="1984" w:left="1587" w:header="720" w:footer="720" w:gutter="0"/>
          <w:lnNumType w:countBy="0" w:distance="360"/>
          <w:cols w:space="720" w:num="1"/>
        </w:sectPr>
      </w:pPr>
    </w:p>
    <w:p w14:paraId="217CF001">
      <w:pPr>
        <w:pStyle w:val="3"/>
        <w:keepNext/>
        <w:keepLines/>
        <w:pageBreakBefore/>
        <w:spacing w:after="313" w:line="576" w:lineRule="exact"/>
        <w:jc w:val="center"/>
        <w:rPr>
          <w:rFonts w:hint="eastAsia" w:ascii="黑体" w:hAnsi="黑体" w:eastAsia="黑体"/>
          <w:b/>
          <w:kern w:val="44"/>
          <w:sz w:val="44"/>
          <w:szCs w:val="24"/>
        </w:rPr>
      </w:pPr>
      <w:r>
        <w:rPr>
          <w:rFonts w:hint="eastAsia" w:ascii="黑体" w:hAnsi="黑体" w:eastAsia="黑体"/>
          <w:kern w:val="44"/>
          <w:sz w:val="44"/>
          <w:szCs w:val="24"/>
        </w:rPr>
        <w:t>第一部分 部门概况</w:t>
      </w:r>
    </w:p>
    <w:p w14:paraId="52118558">
      <w:pPr>
        <w:pStyle w:val="4"/>
        <w:keepNext/>
        <w:keepLines/>
        <w:spacing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606C9076">
      <w:pPr>
        <w:spacing w:line="576" w:lineRule="exact"/>
        <w:ind w:firstLine="64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kern w:val="2"/>
          <w:sz w:val="32"/>
          <w:szCs w:val="24"/>
        </w:rPr>
        <w:t>（一）主要职能。</w:t>
      </w:r>
    </w:p>
    <w:p w14:paraId="36203D0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1.听取残疾人意见，反映残疾人需求，维护残疾人权益，为残疾人服务。</w:t>
      </w:r>
    </w:p>
    <w:p w14:paraId="024FB5C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2.团结、教育残疾人遵守法律，履行应尽的义务，发挥乐观进取精神，自尊、自信、自强、自立，为社会主义建设贡献力量。</w:t>
      </w:r>
    </w:p>
    <w:p w14:paraId="5B48A11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3.弘扬人道主义，宣传残疾人事业，沟通政府、社会与残疾人之间的联系。动员社会理解、尊重、关心、帮助残疾人。</w:t>
      </w:r>
    </w:p>
    <w:p w14:paraId="174C8BA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4.开展残疾人康复、扶贫、教育、劳动就业、文化体育用品供应、福利、社会服务、保障残疾人平等参与社会生活。</w:t>
      </w:r>
    </w:p>
    <w:p w14:paraId="27C047C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5.协助政府研究、制定和实施残疾人事业政策、规定和计划，起草有关保障残疾人权益的法律法规，调查掌握残疾人状况。</w:t>
      </w:r>
    </w:p>
    <w:p w14:paraId="3DAD805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6.承担区人民政府残疾人工作协调委员会的日常工作，做好综合、组织、协调和服务工作。</w:t>
      </w:r>
    </w:p>
    <w:p w14:paraId="6DB1AF9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7.组织实施残疾人分散按比例就业工作，组织管理残疾人福利企业，会同有关部门制定并监督实施残疾人社会福利的扶持保护政策。</w:t>
      </w:r>
    </w:p>
    <w:p w14:paraId="084E3E4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8.指导和管理残疾人社会团体组织。</w:t>
      </w:r>
    </w:p>
    <w:p w14:paraId="021688D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9.统筹开展为残疾人事业募捐活动。</w:t>
      </w:r>
    </w:p>
    <w:p w14:paraId="48F2A10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10.开展残疾人事业的对外交流活动与合作。</w:t>
      </w:r>
    </w:p>
    <w:p w14:paraId="654D0D03">
      <w:pPr>
        <w:overflowPunct w:val="0"/>
        <w:topLinePunct/>
        <w:spacing w:line="576" w:lineRule="exact"/>
        <w:ind w:firstLine="640" w:firstLineChars="200"/>
        <w:jc w:val="both"/>
        <w:rPr>
          <w:rFonts w:hint="eastAsia" w:ascii="仿宋_GB2312" w:hAnsi="仿宋_GB2312" w:eastAsia="仿宋_GB2312"/>
          <w:color w:val="auto"/>
          <w:sz w:val="32"/>
          <w:szCs w:val="24"/>
        </w:rPr>
      </w:pPr>
      <w:r>
        <w:rPr>
          <w:rFonts w:hint="eastAsia" w:ascii="仿宋_GB2312" w:hAnsi="仿宋_GB2312" w:eastAsia="仿宋_GB2312"/>
          <w:color w:val="000000"/>
          <w:sz w:val="32"/>
          <w:szCs w:val="24"/>
        </w:rPr>
        <w:t>11.承办区政府和上级残联交办的其他工作。</w:t>
      </w:r>
    </w:p>
    <w:p w14:paraId="3D3F0693">
      <w:pPr>
        <w:keepNext/>
        <w:keepLines/>
        <w:spacing w:line="576" w:lineRule="exact"/>
        <w:ind w:firstLine="640"/>
        <w:jc w:val="both"/>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（二）2023年重点工作完成情况。</w:t>
      </w:r>
    </w:p>
    <w:p w14:paraId="6CE48AF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1.持续强化党建引领作用</w:t>
      </w:r>
    </w:p>
    <w:p w14:paraId="34772ED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是加强思想政治建设。深入开展党的二十大精神、习近平总书记来川来广视察重要指示精神、中残联八代会精神学习13次，深刻理解把握习近平总书记关于残疾人事业的重要指示批示精神，坚持用党的创新理论武装头脑，指导实践。二是狠抓党风廉政建设。严格执行中央八项规定及实施细则，落实党组书记第一责任、班子成员“一岗双责”。制定《2023年全面从严治党“三张清单”》，查找重点岗位权力风险点3项，开展党风廉政建设专题会议4次，班子成员汇报“一岗双责”履职情况4次，组织警示教育活动8次，意识形态专题会议3次，参观廉政教育基地2次。三是切实转变工作作风。制定《2023年区残联“纪律作风建设提升年”活动实施方案》。以大兴调查研究为契机，开展大走访大调研活动3次，着力解决残疾人急难愁盼问题2个。四是认真落实党建责任。抓好“三会一课”、主题党日、组织生活会、评议党员、谈心谈话等制度落实，开展党组理论</w:t>
      </w:r>
      <w:r>
        <w:rPr>
          <w:rFonts w:hint="eastAsia" w:ascii="仿宋_GB2312" w:hAnsi="仿宋_GB2312" w:eastAsia="仿宋_GB2312"/>
          <w:color w:val="000000"/>
          <w:sz w:val="32"/>
          <w:szCs w:val="24"/>
          <w:lang w:val="en-US" w:eastAsia="zh-CN"/>
        </w:rPr>
        <w:t>学习</w:t>
      </w:r>
      <w:r>
        <w:rPr>
          <w:rFonts w:hint="eastAsia" w:ascii="仿宋_GB2312" w:hAnsi="仿宋_GB2312" w:eastAsia="仿宋_GB2312"/>
          <w:color w:val="000000"/>
          <w:sz w:val="32"/>
          <w:szCs w:val="24"/>
        </w:rPr>
        <w:t>中心组学习12次，党组学习7次，主题教育学习研讨18次，党组书记讲党课4次，组织红色教育和重温入党誓词活动2次。</w:t>
      </w:r>
    </w:p>
    <w:p w14:paraId="62F8F94B">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2.保障和改善残疾人基本民生</w:t>
      </w:r>
    </w:p>
    <w:p w14:paraId="093F246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康复方面：为1854名持证残疾人提供基本康复服务，任务完成率114.2%。落实“市定民生实事工程-残疾儿童康复救助项目”，为39名0-6岁残疾儿童提供抢救性康复救助，任务完成率130%；拨付资金48万元，资金拨付率100%。为263名残疾人免费适配轮椅、拐杖、助听器、盲杖等辅助器具393件，任务完成率131.5%。为8名肢体残疾人适配假肢，其中大腿4例、小腿4例，资金拨付率100%。投入6.18万元为86名精神残疾人进行1000元/人·年的免费服药补贴。联合区卫生健康局建立《0-12岁儿童残疾筛查干预服务和康复救助工作机制》，进一步完善儿童残疾初筛、复筛、诊断确认、康复救助服务。积极协调医疗、卫健等部门开展残疾预防宣传，有效减少了残疾的发生。</w:t>
      </w:r>
    </w:p>
    <w:p w14:paraId="6E6AE9D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教育就业方面：依法推进按比例就业，审核机关、企事业单位按比例安置残疾人就业51家，安置残疾人110人。兑现残疾人灵活就业创业补贴348人，27.4万元，任务完成率105.5%。扶持农村贫困残疾人发展生产400人，任务完成率100%。首次整合“土专家”技术资源，为残疾人“量身定制”培训课程，举办农村残疾人实用技术培训班5期，培训323人，任务完成率107.7%；举办残疾人职业技能培训班2期，培训116人，任务完成率116%。根据“春风送暖”活动要求，举办残疾人专场招聘会2场，推介残疾人3人，任务完成率100%。打造“寄宿托养+居家托养”服务模式，在元坝镇、昭化镇、射箭镇、红岩镇等地开展试点服务，惠及重度肢体、精神和智力残疾人180人，任务完成率100%。挖掘以熊明乐、步现合等为代表的残疾人就业创业典型37人；挂牌辅助性就业机构1家。资助符合条件的残疾人大学新生及残疾人家庭子女大学新生17人，4.6万元。</w:t>
      </w:r>
    </w:p>
    <w:p w14:paraId="7F565FF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乡村振兴方面：紧密联系乡村振兴部门，落实易返贫致贫残疾人跟踪访视动态监测和帮扶工作机制，对10户残疾人边缘易致贫户和脱贫不稳定户及时给予有效帮扶。新增农村残疾人就业帮扶基地3家，68名符合条件的残疾人在基地就业或辐射带动生产发展增收，累计拨付奖补资金29万元。</w:t>
      </w:r>
    </w:p>
    <w:p w14:paraId="1892B506">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宣文维权方面：按照“一户一案、按需改造”原则，为51户困难重度残疾人家庭实施无障碍改造，任务完成率108.5%；建立无障碍环境建设督导队1支，任务完成率100%。开展残疾人文化“五个一”活动，惠及230人，任务完成率100%；在昭化区图书馆完善盲人图书阅览室1个，任务完成率100%。在香香嘴食品有限公司、昭化区卫子镇卫子村建设残疾人自强健身示范点2处，任务完成率100%；承办四川省第四届全民健身运动会残疾人柔力球项目比赛，组织昭化区残疾人运动员参加体育赛事，培养体育人才。开展残疾预防日、全国助残日、爱耳日、爱眼日等残疾人节日活动10余次，发放残疾人法律宣传单800余份，为残疾人提供免费义诊、残疾筛查、辅具到家等服务，惠及1000余人次。加强残疾人基层组织建设，发放残疾人专委专干补贴27万元。</w:t>
      </w:r>
    </w:p>
    <w:p w14:paraId="18AD093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残疾人社会保障方面：元旦春节期间，慰问救助困难残疾人114户，救助资金4.77万元。配合区民政局落实“省定民生实事工程-残疾人两项补贴”相关工作，审核完成困难残疾人生活补贴3034人，占目标任务114.7%；一、二级重度残疾人护理补贴3261人，占目标任务137%。会同区财政局、区医保局等部门，落实医疗保险财政资金140.8万元，实现一、二级残疾人全额免缴2904人，三、四级残疾人代缴100元/年3048人。兑现残疾人临时救助补贴12人，2.43万元；机动轮椅车燃油补贴69人，2.51万元。</w:t>
      </w:r>
    </w:p>
    <w:p w14:paraId="6793CD1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3.提升业务工作整体水平</w:t>
      </w:r>
    </w:p>
    <w:p w14:paraId="02325FD0">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sz w:val="32"/>
          <w:szCs w:val="24"/>
        </w:rPr>
        <w:t>一是加强不稳定隐患排查。接待残疾人来电来访400余人次，办理12345热线16件，办结率、满意率均为100%。全年没有发生安全事故，没有发生群体事件、没有残疾人越级上访。二是扩大残疾人事业宣传面。利用人民网、今日头条、广元日报、广元新闻网、昭化电视台等各媒体资源发布宣传信息50余条，把残联最新的工作开展情况及政策传达给残疾人。三是强化项目资金管理。按要求完成项目储备申报，严格执行中省残疾人事业发展补助资金拨付要求，在资金支出上确保精准到户、精准到人，把有限的资金用在“刀刃上”。四是提升政务服务水平。严格落实一次性告知制度，开展“帮办代办”服务，完成“跨省通办”21件。五是完成其他工作。配合接受区人大常委会对我区落实残疾人保障法“一法一办法”的执法检查工作，并根据区人大常委会审议意见扎实整改，高质量完成总结报告。根据市残联要求，高效完成数据统计、资料信息上报，全年报送信息稿件30篇。</w:t>
      </w:r>
    </w:p>
    <w:p w14:paraId="6602924C">
      <w:pPr>
        <w:pStyle w:val="4"/>
        <w:keepNext/>
        <w:keepLines/>
        <w:spacing w:line="576" w:lineRule="exact"/>
        <w:ind w:firstLine="64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056E0D48">
      <w:pPr>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广元市昭化区残疾人联合会部门属于一级预算单位，下属预算单位1个，其中行政单位0个，参照公务员法管理的事业单位1个，其他事业单位0个。</w:t>
      </w:r>
    </w:p>
    <w:p w14:paraId="3C3BCA0C">
      <w:pPr>
        <w:spacing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纳入2023年度部门决算编制范围的预算单位包括：</w:t>
      </w:r>
    </w:p>
    <w:p w14:paraId="2353E91B">
      <w:pPr>
        <w:spacing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1.广元市昭化区残疾人联合会</w:t>
      </w:r>
    </w:p>
    <w:p w14:paraId="2379B2C6">
      <w:pPr>
        <w:pStyle w:val="2"/>
        <w:spacing w:before="72"/>
        <w:rPr>
          <w:rFonts w:hint="eastAsia"/>
          <w:sz w:val="30"/>
          <w:szCs w:val="24"/>
        </w:rPr>
      </w:pPr>
    </w:p>
    <w:p w14:paraId="485086D0">
      <w:pPr>
        <w:pStyle w:val="2"/>
        <w:spacing w:before="72"/>
        <w:rPr>
          <w:rFonts w:hint="eastAsia"/>
          <w:sz w:val="30"/>
          <w:szCs w:val="24"/>
        </w:rPr>
        <w:sectPr>
          <w:footerReference r:id="rId3" w:type="default"/>
          <w:pgSz w:w="12240" w:h="15840"/>
          <w:pgMar w:top="2098" w:right="1474" w:bottom="1984" w:left="1587" w:header="720" w:footer="720" w:gutter="0"/>
          <w:lnNumType w:countBy="0" w:distance="360"/>
          <w:pgNumType w:start="1"/>
          <w:cols w:space="720" w:num="1"/>
        </w:sectPr>
      </w:pPr>
    </w:p>
    <w:p w14:paraId="29C7567D">
      <w:pPr>
        <w:keepNext/>
        <w:keepLines/>
        <w:pageBreakBefore/>
        <w:spacing w:after="313" w:line="576" w:lineRule="exact"/>
        <w:jc w:val="center"/>
        <w:rPr>
          <w:rFonts w:hint="default" w:ascii="Times New Roman" w:eastAsia="Times New Roman"/>
          <w:kern w:val="2"/>
          <w:sz w:val="21"/>
          <w:szCs w:val="24"/>
        </w:rPr>
      </w:pPr>
      <w:r>
        <w:rPr>
          <w:rFonts w:hint="eastAsia" w:ascii="黑体" w:hAnsi="黑体" w:eastAsia="黑体"/>
          <w:b/>
          <w:kern w:val="44"/>
          <w:sz w:val="44"/>
          <w:szCs w:val="24"/>
        </w:rPr>
        <w:t>第二部分  2023年度部门决算情况说明</w:t>
      </w:r>
    </w:p>
    <w:p w14:paraId="17B6553E">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09CD27B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2023年度收、支总计均为652.29万元。与2022年度相比，收、支总计各增加103.01万元，增长18.8%。主要变动原因是</w:t>
      </w:r>
      <w:r>
        <w:rPr>
          <w:rFonts w:hint="eastAsia" w:ascii="仿宋" w:hAnsi="仿宋" w:eastAsia="仿宋"/>
          <w:color w:val="auto"/>
          <w:sz w:val="32"/>
          <w:szCs w:val="32"/>
        </w:rPr>
        <w:t>上级残疾人事业发展补助资金增加</w:t>
      </w:r>
      <w:r>
        <w:rPr>
          <w:rFonts w:hint="eastAsia" w:ascii="仿宋_GB2312" w:hAnsi="仿宋_GB2312" w:eastAsia="仿宋_GB2312"/>
          <w:color w:val="000000"/>
          <w:kern w:val="2"/>
          <w:sz w:val="32"/>
          <w:szCs w:val="24"/>
        </w:rPr>
        <w:t>。</w:t>
      </w:r>
    </w:p>
    <w:p w14:paraId="2BC44C62">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59264" behindDoc="0" locked="0" layoutInCell="1" allowOverlap="1">
            <wp:simplePos x="0" y="0"/>
            <wp:positionH relativeFrom="column">
              <wp:align>center</wp:align>
            </wp:positionH>
            <wp:positionV relativeFrom="paragraph">
              <wp:posOffset>114935</wp:posOffset>
            </wp:positionV>
            <wp:extent cx="4838700" cy="2724150"/>
            <wp:effectExtent l="0" t="0" r="0" b="0"/>
            <wp:wrapTopAndBottom/>
            <wp:docPr id="1" name="图表 1"/>
            <wp:cNvGraphicFramePr/>
            <a:graphic xmlns:a="http://schemas.openxmlformats.org/drawingml/2006/main">
              <a:graphicData uri="http://schemas.openxmlformats.org/drawingml/2006/picture">
                <pic:pic xmlns:pic="http://schemas.openxmlformats.org/drawingml/2006/picture">
                  <pic:nvPicPr>
                    <pic:cNvPr id="1" name="图表 1"/>
                    <pic:cNvPicPr/>
                  </pic:nvPicPr>
                  <pic:blipFill>
                    <a:blip r:embed="rId5"/>
                    <a:stretch>
                      <a:fillRect/>
                    </a:stretch>
                  </pic:blipFill>
                  <pic:spPr>
                    <a:xfrm>
                      <a:off x="0" y="0"/>
                      <a:ext cx="4838700" cy="2724150"/>
                    </a:xfrm>
                    <a:prstGeom prst="rect">
                      <a:avLst/>
                    </a:prstGeom>
                    <a:noFill/>
                    <a:ln>
                      <a:noFill/>
                    </a:ln>
                  </pic:spPr>
                </pic:pic>
              </a:graphicData>
            </a:graphic>
          </wp:anchor>
        </w:drawing>
      </w:r>
    </w:p>
    <w:p w14:paraId="549B1F3E">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2995E55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2023年本年收入合计652.29万元，其中：一般公共预算财政拨款收入595.34万元，占91.3%；政府性基金预算财政拨款收入56.95万元，占8.7%。</w:t>
      </w:r>
    </w:p>
    <w:p w14:paraId="4BAE927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5603C94">
      <w:pPr>
        <w:pStyle w:val="2"/>
        <w:rPr>
          <w:rFonts w:hint="eastAsia"/>
          <w:sz w:val="30"/>
          <w:szCs w:val="24"/>
        </w:rPr>
      </w:pPr>
    </w:p>
    <w:p w14:paraId="451B3F82">
      <w:pPr>
        <w:overflowPunct w:val="0"/>
        <w:topLinePunct/>
        <w:spacing w:line="576" w:lineRule="exact"/>
        <w:ind w:firstLine="480" w:firstLineChars="200"/>
        <w:jc w:val="both"/>
        <w:rPr>
          <w:rFonts w:hint="eastAsia" w:ascii="仿宋_GB2312" w:hAnsi="仿宋_GB2312" w:eastAsia="仿宋_GB2312"/>
          <w:color w:val="FF0000"/>
          <w:kern w:val="2"/>
          <w:sz w:val="32"/>
          <w:szCs w:val="24"/>
        </w:rPr>
      </w:pPr>
      <w:r>
        <w:rPr>
          <w:rFonts w:hint="default"/>
          <w:sz w:val="24"/>
          <w:szCs w:val="24"/>
        </w:rPr>
        <w:drawing>
          <wp:anchor distT="0" distB="0" distL="114300" distR="114300" simplePos="0" relativeHeight="251660288" behindDoc="0" locked="0" layoutInCell="1" allowOverlap="1">
            <wp:simplePos x="0" y="0"/>
            <wp:positionH relativeFrom="column">
              <wp:posOffset>494665</wp:posOffset>
            </wp:positionH>
            <wp:positionV relativeFrom="paragraph">
              <wp:posOffset>106045</wp:posOffset>
            </wp:positionV>
            <wp:extent cx="4838700" cy="2762250"/>
            <wp:effectExtent l="0" t="0" r="0" b="0"/>
            <wp:wrapTopAndBottom/>
            <wp:docPr id="2" name="图表 3"/>
            <wp:cNvGraphicFramePr/>
            <a:graphic xmlns:a="http://schemas.openxmlformats.org/drawingml/2006/main">
              <a:graphicData uri="http://schemas.openxmlformats.org/drawingml/2006/picture">
                <pic:pic xmlns:pic="http://schemas.openxmlformats.org/drawingml/2006/picture">
                  <pic:nvPicPr>
                    <pic:cNvPr id="2" name="图表 3"/>
                    <pic:cNvPicPr/>
                  </pic:nvPicPr>
                  <pic:blipFill>
                    <a:blip r:embed="rId6"/>
                    <a:stretch>
                      <a:fillRect/>
                    </a:stretch>
                  </pic:blipFill>
                  <pic:spPr>
                    <a:xfrm>
                      <a:off x="0" y="0"/>
                      <a:ext cx="4838700" cy="2762250"/>
                    </a:xfrm>
                    <a:prstGeom prst="rect">
                      <a:avLst/>
                    </a:prstGeom>
                    <a:noFill/>
                    <a:ln>
                      <a:noFill/>
                    </a:ln>
                  </pic:spPr>
                </pic:pic>
              </a:graphicData>
            </a:graphic>
          </wp:anchor>
        </w:drawing>
      </w:r>
    </w:p>
    <w:p w14:paraId="42821C26">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35BE8B4B">
      <w:pPr>
        <w:overflowPunct w:val="0"/>
        <w:topLinePunct/>
        <w:spacing w:line="576" w:lineRule="exact"/>
        <w:ind w:firstLine="480" w:firstLineChars="200"/>
        <w:jc w:val="both"/>
        <w:rPr>
          <w:rFonts w:hint="eastAsia" w:ascii="仿宋_GB2312" w:hAnsi="仿宋_GB2312" w:eastAsia="仿宋_GB2312"/>
          <w:color w:val="FF0000"/>
          <w:kern w:val="2"/>
          <w:sz w:val="32"/>
          <w:szCs w:val="24"/>
        </w:rPr>
      </w:pPr>
      <w:r>
        <w:rPr>
          <w:rFonts w:hint="default"/>
          <w:sz w:val="24"/>
          <w:szCs w:val="24"/>
        </w:rPr>
        <w:drawing>
          <wp:anchor distT="0" distB="0" distL="114300" distR="114300" simplePos="0" relativeHeight="251661312" behindDoc="0" locked="0" layoutInCell="1" allowOverlap="1">
            <wp:simplePos x="0" y="0"/>
            <wp:positionH relativeFrom="column">
              <wp:align>center</wp:align>
            </wp:positionH>
            <wp:positionV relativeFrom="paragraph">
              <wp:posOffset>780415</wp:posOffset>
            </wp:positionV>
            <wp:extent cx="4838700" cy="2762250"/>
            <wp:effectExtent l="0" t="0" r="0" b="0"/>
            <wp:wrapTopAndBottom/>
            <wp:docPr id="3" name="图表 2"/>
            <wp:cNvGraphicFramePr/>
            <a:graphic xmlns:a="http://schemas.openxmlformats.org/drawingml/2006/main">
              <a:graphicData uri="http://schemas.openxmlformats.org/drawingml/2006/picture">
                <pic:pic xmlns:pic="http://schemas.openxmlformats.org/drawingml/2006/picture">
                  <pic:nvPicPr>
                    <pic:cNvPr id="3" name="图表 2"/>
                    <pic:cNvPicPr/>
                  </pic:nvPicPr>
                  <pic:blipFill>
                    <a:blip r:embed="rId7"/>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2023年本年支出合计652.29万元，其中：基本支出143.7万元，占22%；项目支出508.59万元，占78%。</w:t>
      </w:r>
    </w:p>
    <w:p w14:paraId="5547B30A">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1BC7B00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2023年度财政拨款收、支总计均为652.29万元。与2022年度相比，财政拨款收、支总计各增加103.01万元，增长18.8%。主要变动原因是</w:t>
      </w:r>
      <w:r>
        <w:rPr>
          <w:rFonts w:hint="eastAsia" w:ascii="仿宋" w:hAnsi="仿宋" w:eastAsia="仿宋"/>
          <w:color w:val="auto"/>
          <w:sz w:val="32"/>
          <w:szCs w:val="32"/>
        </w:rPr>
        <w:t>上级残疾人事业发展补助资金增加</w:t>
      </w:r>
      <w:r>
        <w:rPr>
          <w:rFonts w:hint="eastAsia" w:ascii="仿宋_GB2312" w:hAnsi="仿宋_GB2312" w:eastAsia="仿宋_GB2312"/>
          <w:color w:val="000000"/>
          <w:kern w:val="2"/>
          <w:sz w:val="32"/>
          <w:szCs w:val="24"/>
        </w:rPr>
        <w:t>。</w:t>
      </w:r>
    </w:p>
    <w:p w14:paraId="087C5E20">
      <w:pPr>
        <w:overflowPunct w:val="0"/>
        <w:topLinePunct/>
        <w:spacing w:line="576" w:lineRule="exact"/>
        <w:ind w:firstLine="480" w:firstLineChars="200"/>
        <w:jc w:val="both"/>
        <w:rPr>
          <w:rFonts w:hint="eastAsia" w:ascii="仿宋_GB2312" w:hAnsi="仿宋_GB2312" w:eastAsia="仿宋_GB2312"/>
          <w:i/>
          <w:color w:val="000000"/>
          <w:kern w:val="2"/>
          <w:sz w:val="32"/>
          <w:szCs w:val="24"/>
        </w:rPr>
      </w:pPr>
      <w:r>
        <w:rPr>
          <w:rFonts w:hint="default"/>
          <w:sz w:val="24"/>
          <w:szCs w:val="24"/>
        </w:rPr>
        <w:drawing>
          <wp:anchor distT="0" distB="0" distL="114300" distR="114300" simplePos="0" relativeHeight="251662336" behindDoc="0" locked="0" layoutInCell="1" allowOverlap="1">
            <wp:simplePos x="0" y="0"/>
            <wp:positionH relativeFrom="column">
              <wp:posOffset>494665</wp:posOffset>
            </wp:positionH>
            <wp:positionV relativeFrom="paragraph">
              <wp:posOffset>130810</wp:posOffset>
            </wp:positionV>
            <wp:extent cx="4838700" cy="2724150"/>
            <wp:effectExtent l="0" t="0" r="0" b="0"/>
            <wp:wrapTopAndBottom/>
            <wp:docPr id="4" name="图表 4"/>
            <wp:cNvGraphicFramePr/>
            <a:graphic xmlns:a="http://schemas.openxmlformats.org/drawingml/2006/main">
              <a:graphicData uri="http://schemas.openxmlformats.org/drawingml/2006/picture">
                <pic:pic xmlns:pic="http://schemas.openxmlformats.org/drawingml/2006/picture">
                  <pic:nvPicPr>
                    <pic:cNvPr id="4" name="图表 4"/>
                    <pic:cNvPicPr/>
                  </pic:nvPicPr>
                  <pic:blipFill>
                    <a:blip r:embed="rId8"/>
                    <a:stretch>
                      <a:fillRect/>
                    </a:stretch>
                  </pic:blipFill>
                  <pic:spPr>
                    <a:xfrm>
                      <a:off x="0" y="0"/>
                      <a:ext cx="4838700" cy="2724150"/>
                    </a:xfrm>
                    <a:prstGeom prst="rect">
                      <a:avLst/>
                    </a:prstGeom>
                    <a:noFill/>
                    <a:ln>
                      <a:noFill/>
                    </a:ln>
                  </pic:spPr>
                </pic:pic>
              </a:graphicData>
            </a:graphic>
          </wp:anchor>
        </w:drawing>
      </w:r>
    </w:p>
    <w:p w14:paraId="0FDE5922">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57F2AC7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780967A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2023年度一般公共预算财政拨款支出595.34万元，占本年支出合计的91.3%。与2022年度相比，一般公共预算财政拨款支出增加99.44万元，增长20.1%。主要变动原因是</w:t>
      </w:r>
      <w:r>
        <w:rPr>
          <w:rFonts w:hint="eastAsia" w:ascii="仿宋" w:hAnsi="仿宋" w:eastAsia="仿宋"/>
          <w:color w:val="auto"/>
          <w:sz w:val="32"/>
          <w:szCs w:val="32"/>
        </w:rPr>
        <w:t>人员增加和上级残疾人事业发展补助资金增加</w:t>
      </w:r>
      <w:r>
        <w:rPr>
          <w:rFonts w:hint="eastAsia" w:ascii="仿宋_GB2312" w:hAnsi="仿宋_GB2312" w:eastAsia="仿宋_GB2312"/>
          <w:color w:val="000000"/>
          <w:kern w:val="2"/>
          <w:sz w:val="32"/>
          <w:szCs w:val="24"/>
        </w:rPr>
        <w:t>。</w:t>
      </w:r>
    </w:p>
    <w:p w14:paraId="0B2FB613">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94D2FDA">
      <w:pPr>
        <w:overflowPunct w:val="0"/>
        <w:topLinePunct/>
        <w:spacing w:line="576" w:lineRule="exact"/>
        <w:ind w:firstLine="480" w:firstLineChars="200"/>
        <w:jc w:val="both"/>
        <w:rPr>
          <w:rFonts w:hint="eastAsia" w:ascii="仿宋_GB2312" w:hAnsi="仿宋_GB2312" w:eastAsia="仿宋_GB2312"/>
          <w:i/>
          <w:color w:val="000000"/>
          <w:kern w:val="2"/>
          <w:sz w:val="32"/>
          <w:szCs w:val="24"/>
          <w:highlight w:val="yellow"/>
        </w:rPr>
      </w:pPr>
      <w:r>
        <w:rPr>
          <w:rFonts w:hint="default"/>
          <w:sz w:val="24"/>
          <w:szCs w:val="24"/>
        </w:rPr>
        <w:drawing>
          <wp:anchor distT="0" distB="0" distL="114300" distR="114300" simplePos="0" relativeHeight="251663360" behindDoc="0" locked="0" layoutInCell="1" allowOverlap="1">
            <wp:simplePos x="0" y="0"/>
            <wp:positionH relativeFrom="column">
              <wp:posOffset>481965</wp:posOffset>
            </wp:positionH>
            <wp:positionV relativeFrom="paragraph">
              <wp:posOffset>-227330</wp:posOffset>
            </wp:positionV>
            <wp:extent cx="4838700" cy="2762250"/>
            <wp:effectExtent l="0" t="1104900" r="38100" b="0"/>
            <wp:wrapTopAndBottom/>
            <wp:docPr id="5" name="图表 5"/>
            <wp:cNvGraphicFramePr/>
            <a:graphic xmlns:a="http://schemas.openxmlformats.org/drawingml/2006/main">
              <a:graphicData uri="http://schemas.openxmlformats.org/drawingml/2006/picture">
                <pic:pic xmlns:pic="http://schemas.openxmlformats.org/drawingml/2006/picture">
                  <pic:nvPicPr>
                    <pic:cNvPr id="5" name="图表 5"/>
                    <pic:cNvPicPr/>
                  </pic:nvPicPr>
                  <pic:blipFill>
                    <a:blip r:embed="rId9"/>
                    <a:stretch>
                      <a:fillRect/>
                    </a:stretch>
                  </pic:blipFill>
                  <pic:spPr>
                    <a:xfrm>
                      <a:off x="0" y="0"/>
                      <a:ext cx="4838700" cy="2762250"/>
                    </a:xfrm>
                    <a:prstGeom prst="rect">
                      <a:avLst/>
                    </a:prstGeom>
                    <a:noFill/>
                    <a:ln>
                      <a:noFill/>
                    </a:ln>
                    <a:effectLst>
                      <a:outerShdw dist="1105192" dir="16279014" algn="ctr" rotWithShape="0">
                        <a:srgbClr val="FFFFFF"/>
                      </a:outerShdw>
                    </a:effectLst>
                  </pic:spPr>
                </pic:pic>
              </a:graphicData>
            </a:graphic>
          </wp:anchor>
        </w:drawing>
      </w:r>
    </w:p>
    <w:p w14:paraId="7F84FEB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103BD42F">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4384" behindDoc="0" locked="0" layoutInCell="1" allowOverlap="1">
            <wp:simplePos x="0" y="0"/>
            <wp:positionH relativeFrom="column">
              <wp:align>center</wp:align>
            </wp:positionH>
            <wp:positionV relativeFrom="paragraph">
              <wp:posOffset>1468120</wp:posOffset>
            </wp:positionV>
            <wp:extent cx="4838700" cy="2762250"/>
            <wp:effectExtent l="0" t="0" r="0" b="0"/>
            <wp:wrapTopAndBottom/>
            <wp:docPr id="6" name="图表 7"/>
            <wp:cNvGraphicFramePr/>
            <a:graphic xmlns:a="http://schemas.openxmlformats.org/drawingml/2006/main">
              <a:graphicData uri="http://schemas.openxmlformats.org/drawingml/2006/picture">
                <pic:pic xmlns:pic="http://schemas.openxmlformats.org/drawingml/2006/picture">
                  <pic:nvPicPr>
                    <pic:cNvPr id="6" name="图表 7"/>
                    <pic:cNvPicPr/>
                  </pic:nvPicPr>
                  <pic:blipFill>
                    <a:blip r:embed="rId10"/>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2023年度一般公共预算财政拨款支出595.34万元，主要用于以下方面: 社会保障和就业支出554.07万元，占93.1%；卫生健康支出4.24万元，占0.7%；农林水支出29万元，占4.9%；住房保障支出8.03万元，占1.3%。</w:t>
      </w:r>
    </w:p>
    <w:p w14:paraId="0E87D43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5742C2E5">
      <w:pPr>
        <w:overflowPunct w:val="0"/>
        <w:topLinePunct/>
        <w:spacing w:line="576" w:lineRule="exact"/>
        <w:ind w:firstLine="643"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2023年度一般公共预算支出全年预算数为595.34万元，支出决算数为595.34万元，完成全年预算数的100%。其中：</w:t>
      </w:r>
    </w:p>
    <w:p w14:paraId="706DE25B">
      <w:pPr>
        <w:overflowPunct w:val="0"/>
        <w:topLinePunct/>
        <w:spacing w:line="576" w:lineRule="exact"/>
        <w:ind w:firstLine="643" w:firstLineChars="200"/>
        <w:jc w:val="both"/>
        <w:rPr>
          <w:rFonts w:hint="eastAsia" w:ascii="仿宋_GB2312" w:hAnsi="仿宋_GB2312" w:eastAsia="仿宋_GB2312"/>
          <w:b/>
          <w:color w:val="000000"/>
          <w:kern w:val="2"/>
          <w:sz w:val="32"/>
          <w:szCs w:val="24"/>
          <w:highlight w:val="lightGray"/>
        </w:rPr>
      </w:pPr>
      <w:r>
        <w:rPr>
          <w:rFonts w:hint="eastAsia" w:ascii="仿宋_GB2312" w:hAnsi="仿宋_GB2312" w:eastAsia="仿宋_GB2312"/>
          <w:b/>
          <w:color w:val="000000"/>
          <w:kern w:val="2"/>
          <w:sz w:val="32"/>
          <w:szCs w:val="24"/>
        </w:rPr>
        <w:t>1.社会保障和就业支出（类）行政事业单位养老支出（款）机关事业单位基本养老保险缴费支出（项）: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全年预算为10.53万元，支出决算为10.53万元，完成全年预算的100%。</w:t>
      </w:r>
    </w:p>
    <w:p w14:paraId="0B1E4A9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2.社会保障和就业支出（类）残疾人事业（款）行政运行（项）:</w:t>
      </w:r>
      <w:r>
        <w:rPr>
          <w:rFonts w:hint="eastAsia" w:ascii="仿宋_GB2312" w:hAnsi="仿宋_GB2312" w:eastAsia="仿宋_GB2312"/>
          <w:color w:val="000000"/>
          <w:kern w:val="2"/>
          <w:sz w:val="32"/>
          <w:szCs w:val="24"/>
        </w:rPr>
        <w:t>全年预算为120.51万元，支出决算为120.51万元，完成全年预算的100%。</w:t>
      </w:r>
    </w:p>
    <w:p w14:paraId="026E9EC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3.社会保障和就业支出（类）残疾人事业（款）残疾人康复（项）:</w:t>
      </w:r>
      <w:r>
        <w:rPr>
          <w:rFonts w:hint="eastAsia" w:ascii="仿宋_GB2312" w:hAnsi="仿宋_GB2312" w:eastAsia="仿宋_GB2312"/>
          <w:color w:val="000000"/>
          <w:kern w:val="2"/>
          <w:sz w:val="32"/>
          <w:szCs w:val="24"/>
        </w:rPr>
        <w:t>全年预算为18.1万元，支出决算为18.1万元，完成全年预算的100%。</w:t>
      </w:r>
    </w:p>
    <w:p w14:paraId="155C89D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4.社会保障和就业支出（类）残疾人事业（款）其他残疾人事业支出（项）:</w:t>
      </w:r>
      <w:r>
        <w:rPr>
          <w:rFonts w:hint="eastAsia" w:ascii="仿宋_GB2312" w:hAnsi="仿宋_GB2312" w:eastAsia="仿宋_GB2312"/>
          <w:color w:val="000000"/>
          <w:kern w:val="2"/>
          <w:sz w:val="32"/>
          <w:szCs w:val="24"/>
        </w:rPr>
        <w:t>全年预算为404.54万元，支出决算为404.54万元，完成全年预算的100%。</w:t>
      </w:r>
    </w:p>
    <w:p w14:paraId="181918F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5.社会保障和就业支出（类）其他社会保障和就业支出（款）其他社会保障和就业支出（项）:</w:t>
      </w:r>
      <w:r>
        <w:rPr>
          <w:rFonts w:hint="eastAsia" w:ascii="仿宋_GB2312" w:hAnsi="仿宋_GB2312" w:eastAsia="仿宋_GB2312"/>
          <w:color w:val="000000"/>
          <w:kern w:val="2"/>
          <w:sz w:val="32"/>
          <w:szCs w:val="24"/>
        </w:rPr>
        <w:t>全年预算为0.39万元，支出决算为0.39万元，完成全年预算的100%。</w:t>
      </w:r>
    </w:p>
    <w:p w14:paraId="2564477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6.卫生健康支出（类）行政事业单位医疗（款）行政单位医疗（项）:</w:t>
      </w:r>
      <w:r>
        <w:rPr>
          <w:rFonts w:hint="eastAsia" w:ascii="仿宋_GB2312" w:hAnsi="仿宋_GB2312" w:eastAsia="仿宋_GB2312"/>
          <w:color w:val="000000"/>
          <w:kern w:val="2"/>
          <w:sz w:val="32"/>
          <w:szCs w:val="24"/>
        </w:rPr>
        <w:t>全年预算为4.24万元，支出决算为4.24万元，完成全年预算的100%。</w:t>
      </w:r>
    </w:p>
    <w:p w14:paraId="6B831CD5">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7.农林水支出（类）巩固脱贫攻坚成果衔接乡村振兴（款）其他巩固脱贫攻坚成果衔接乡村振兴支出（项）: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全年预算为29万元，支出决算为29万元，完成全年预算的100%。</w:t>
      </w:r>
    </w:p>
    <w:p w14:paraId="67AF360D">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8.住房保障支出（类）住房改革支出（款）住房公积金（项）:</w:t>
      </w:r>
      <w:r>
        <w:rPr>
          <w:rFonts w:hint="eastAsia" w:ascii="仿宋_GB2312" w:hAnsi="仿宋_GB2312" w:eastAsia="仿宋_GB2312"/>
          <w:color w:val="000000"/>
          <w:kern w:val="2"/>
          <w:sz w:val="32"/>
          <w:szCs w:val="24"/>
        </w:rPr>
        <w:t>全年预算为8.03万元，支出决算为8.03万元，完成全年预算的100%。</w:t>
      </w:r>
    </w:p>
    <w:p w14:paraId="698E88D8">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114BBBB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2023年度一般公共预算财政拨款基本支出143.7万元，其中：</w:t>
      </w:r>
    </w:p>
    <w:p w14:paraId="585CFC7D">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127.53万元，主要包括：基本工资49.99万元、津贴补贴15.19万元、奖金3.33万元、机关事业单位基本养老保险缴费10.53万元、职工基本医疗保险缴费4.24万元、其他社会保障缴费0.39万元、住房公积金8.03万元、其他工资福利支出25.83万元、生活补助10万元。</w:t>
      </w:r>
    </w:p>
    <w:p w14:paraId="20A3CDA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16.17万元，主要包括：办公费2.28万元、印刷费0.5万元、咨询费0.1万元、手续费0.1万元、水费0.1万元、电费1万元、物业管理费0.5万元、差旅费1.5万元、租赁费0.3万元、培训费1万元、公务接待费1.5万元、劳务费0.2万元、委托业务费0.5万元、工会经费2万元、其他交通费4.19万元、其他商品和服务支出0.4万元。</w:t>
      </w:r>
    </w:p>
    <w:p w14:paraId="325AD9C6">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4F74A03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3E3E1029">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2023年度“三公”经费财政拨款支出预算为1.5万元，支出决算为1.5万元，完成预算的100%；较上年持平。决算数与预算数持平的主要原因是严控“三公”经费。决算数较上年持平的主要原因是严控“三公”经费。</w:t>
      </w:r>
    </w:p>
    <w:p w14:paraId="0609DA8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2BD8A5FB">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5408" behindDoc="0" locked="0" layoutInCell="1" allowOverlap="1">
            <wp:simplePos x="0" y="0"/>
            <wp:positionH relativeFrom="column">
              <wp:align>center</wp:align>
            </wp:positionH>
            <wp:positionV relativeFrom="paragraph">
              <wp:posOffset>1511935</wp:posOffset>
            </wp:positionV>
            <wp:extent cx="4838700" cy="2762250"/>
            <wp:effectExtent l="0" t="0" r="0" b="0"/>
            <wp:wrapTopAndBottom/>
            <wp:docPr id="7" name="图表 8"/>
            <wp:cNvGraphicFramePr/>
            <a:graphic xmlns:a="http://schemas.openxmlformats.org/drawingml/2006/main">
              <a:graphicData uri="http://schemas.openxmlformats.org/drawingml/2006/picture">
                <pic:pic xmlns:pic="http://schemas.openxmlformats.org/drawingml/2006/picture">
                  <pic:nvPicPr>
                    <pic:cNvPr id="7" name="图表 8"/>
                    <pic:cNvPicPr/>
                  </pic:nvPicPr>
                  <pic:blipFill>
                    <a:blip r:embed="rId11"/>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2023年度“三公”经费财政拨款支出决算中，因公出国（境）费支出决算0万元，占0%；公务用车购置及运行维护费支出决算0万元，占0%；公务接待费支出决算1.5万元，占100%。具体情况如下：</w:t>
      </w:r>
    </w:p>
    <w:p w14:paraId="2418F24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支出0万元，年初未安排预算，因公出国（境）支出决算较2022年度无变化。</w:t>
      </w:r>
    </w:p>
    <w:p w14:paraId="4F3C9446">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预算为0万元,支出决算为0万元，完成预算的0%。公务用车购置及运行维护费支出决算比2022年度减少0万元，下降0%。</w:t>
      </w:r>
    </w:p>
    <w:p w14:paraId="3CCB857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0F42F50F">
      <w:pPr>
        <w:overflowPunct w:val="0"/>
        <w:topLinePunct/>
        <w:spacing w:line="576" w:lineRule="exact"/>
        <w:ind w:firstLine="643"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1E0C5034">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预算为1.5万元，支出决算为1.5万元，完成预算的100%。公务接待费支出决算与2022年度持平。主要原因是</w:t>
      </w:r>
      <w:r>
        <w:rPr>
          <w:rFonts w:hint="eastAsia" w:ascii="仿宋_GB2312" w:eastAsia="仿宋_GB2312"/>
          <w:color w:val="auto"/>
          <w:sz w:val="32"/>
          <w:szCs w:val="32"/>
        </w:rPr>
        <w:t>严控“三公”经费</w:t>
      </w:r>
      <w:r>
        <w:rPr>
          <w:rFonts w:hint="eastAsia" w:ascii="仿宋_GB2312" w:hAnsi="仿宋_GB2312" w:eastAsia="仿宋_GB2312"/>
          <w:color w:val="000000"/>
          <w:kern w:val="2"/>
          <w:sz w:val="32"/>
          <w:szCs w:val="24"/>
        </w:rPr>
        <w:t>。其中：</w:t>
      </w:r>
    </w:p>
    <w:p w14:paraId="39BA0523">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支出1.5万元。主要用于执行公务、开展业务活动开支的用餐费。国内公务接待24批次，110人次，共计支出1.5万元，具体内容包括：</w:t>
      </w:r>
      <w:r>
        <w:rPr>
          <w:rFonts w:hint="eastAsia" w:ascii="仿宋_GB2312" w:eastAsia="仿宋_GB2312"/>
          <w:color w:val="auto"/>
          <w:sz w:val="32"/>
          <w:szCs w:val="32"/>
        </w:rPr>
        <w:t>接待省、市残联检查督查等工作支出1.5万元</w:t>
      </w:r>
      <w:r>
        <w:rPr>
          <w:rFonts w:hint="eastAsia" w:ascii="仿宋_GB2312" w:hAnsi="仿宋_GB2312" w:eastAsia="仿宋_GB2312"/>
          <w:color w:val="000000"/>
          <w:kern w:val="2"/>
          <w:sz w:val="32"/>
          <w:szCs w:val="24"/>
        </w:rPr>
        <w:t>。</w:t>
      </w:r>
    </w:p>
    <w:p w14:paraId="48455251">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72623D03">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70D1445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2023年政府性基金预算拨款支出56.95万元。</w:t>
      </w:r>
    </w:p>
    <w:p w14:paraId="6DF682B1">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6834104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737EF6A2">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24696BEE">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244FABDD">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eastAsia="仿宋_GB2312"/>
          <w:color w:val="auto"/>
          <w:sz w:val="32"/>
          <w:szCs w:val="32"/>
        </w:rPr>
        <w:t>2023年度，区残联机关运行经费支出16.17万元，比2022年度增加2.78万元，增长20.8%</w:t>
      </w:r>
      <w:r>
        <w:rPr>
          <w:rFonts w:hint="eastAsia" w:ascii="仿宋_GB2312" w:hAnsi="仿宋_GB2312" w:eastAsia="仿宋_GB2312"/>
          <w:color w:val="000000"/>
          <w:kern w:val="2"/>
          <w:sz w:val="32"/>
          <w:szCs w:val="24"/>
        </w:rPr>
        <w:t>。主要原因是</w:t>
      </w:r>
      <w:r>
        <w:rPr>
          <w:rFonts w:hint="eastAsia" w:ascii="仿宋" w:hAnsi="仿宋" w:eastAsia="仿宋"/>
          <w:color w:val="auto"/>
          <w:sz w:val="32"/>
          <w:szCs w:val="32"/>
        </w:rPr>
        <w:t>人员增加</w:t>
      </w:r>
      <w:r>
        <w:rPr>
          <w:rFonts w:hint="eastAsia" w:ascii="仿宋_GB2312" w:hAnsi="仿宋_GB2312" w:eastAsia="仿宋_GB2312"/>
          <w:color w:val="000000"/>
          <w:kern w:val="2"/>
          <w:sz w:val="32"/>
          <w:szCs w:val="24"/>
        </w:rPr>
        <w:t>。</w:t>
      </w:r>
    </w:p>
    <w:p w14:paraId="4427A68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72A32C3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区残联政府采购支出总额40.31万元，其中：政府采购货物支出40.31万元、政府采购工程支出0万元、政府采购服务支出0万元。主要用于残疾人居家无障碍改造、体育健身器材和辅助器具采购。授予中小企业合同金额40.31万元，占政府采购支出总额的100%，其中：授予小微企业合同金额40.31万元，占授予中小企业合同金额的100%；货物采购授予中小企业合同金额占货物支出金额的100%，工程采购授予中小企业合同金额占工程支出金额的0%，服务采购授予中小企业合同金额占服务支出金额的0%。</w:t>
      </w:r>
    </w:p>
    <w:p w14:paraId="1C3E132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1A9B09C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本单位无公务用车辆，其中：副部（省）级及以上领导用车0辆、主要负责人用车0辆、机要通信用车0辆、应急保障用车0辆、执法执勤用车0辆、特种专业技术用车0辆、离退休干部服务用车0辆、其他用车0辆。</w:t>
      </w:r>
    </w:p>
    <w:p w14:paraId="0C401392">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374ACBE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28568BC9">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根据预算绩效管理要求，本部门在2023年度预算编制阶段，组织对残疾人医保代缴项目开展了预算事前绩效评估，对所有项目编制了绩效目标，预算执行过程中，对所有项目开展了绩效监控。</w:t>
      </w:r>
    </w:p>
    <w:p w14:paraId="3D5A752D">
      <w:pPr>
        <w:overflowPunct w:val="0"/>
        <w:topLinePunct/>
        <w:spacing w:line="576" w:lineRule="exact"/>
        <w:ind w:firstLine="640" w:firstLineChars="200"/>
        <w:jc w:val="both"/>
        <w:rPr>
          <w:rFonts w:hint="eastAsia" w:ascii="仿宋_GB2312" w:hAnsi="仿宋_GB2312" w:eastAsia="仿宋_GB2312"/>
          <w:kern w:val="2"/>
          <w:sz w:val="32"/>
          <w:szCs w:val="24"/>
          <w:highlight w:val="yellow"/>
        </w:rPr>
      </w:pPr>
      <w:r>
        <w:rPr>
          <w:rFonts w:hint="eastAsia" w:ascii="仿宋_GB2312" w:hAnsi="仿宋_GB2312" w:eastAsia="仿宋_GB2312"/>
          <w:color w:val="auto"/>
          <w:kern w:val="2"/>
          <w:sz w:val="32"/>
          <w:szCs w:val="24"/>
        </w:rPr>
        <w:t>2023年度组织一般公共预算、政府性基金预算等全面开展绩效自评，形成</w:t>
      </w:r>
      <w:r>
        <w:rPr>
          <w:rFonts w:hint="eastAsia" w:ascii="仿宋_GB2312" w:hAnsi="仿宋_GB2312" w:eastAsia="仿宋_GB2312"/>
          <w:kern w:val="2"/>
          <w:sz w:val="32"/>
          <w:szCs w:val="24"/>
        </w:rPr>
        <w:t>2023年广元市昭化区残疾人联合会（部门）整体（含残疾人医保代缴等部门预算项目）绩效自评报告、</w:t>
      </w:r>
      <w:r>
        <w:rPr>
          <w:rFonts w:hint="eastAsia" w:ascii="Times New Roman" w:eastAsia="仿宋_GB2312"/>
          <w:color w:val="auto"/>
          <w:kern w:val="2"/>
          <w:sz w:val="32"/>
          <w:szCs w:val="32"/>
        </w:rPr>
        <w:t>残疾人事业民生</w:t>
      </w:r>
      <w:r>
        <w:rPr>
          <w:rFonts w:hint="eastAsia" w:ascii="仿宋_GB2312" w:hAnsi="仿宋_GB2312" w:eastAsia="仿宋_GB2312"/>
          <w:kern w:val="2"/>
          <w:sz w:val="32"/>
          <w:szCs w:val="24"/>
        </w:rPr>
        <w:t>等专项预算项目绩效自评报告，</w:t>
      </w:r>
      <w:r>
        <w:rPr>
          <w:rFonts w:hint="eastAsia" w:ascii="仿宋_GB2312" w:hAnsi="仿宋_GB2312" w:eastAsia="仿宋_GB2312" w:cs="仿宋_GB2312"/>
          <w:color w:val="auto"/>
          <w:sz w:val="32"/>
          <w:szCs w:val="32"/>
        </w:rPr>
        <w:t>其中，</w:t>
      </w:r>
      <w:r>
        <w:rPr>
          <w:rFonts w:hint="eastAsia" w:ascii="仿宋_GB2312" w:hAnsi="仿宋_GB2312" w:eastAsia="仿宋_GB2312"/>
          <w:kern w:val="2"/>
          <w:sz w:val="32"/>
          <w:szCs w:val="24"/>
        </w:rPr>
        <w:t>广元市昭化区残疾人联合会</w:t>
      </w:r>
      <w:r>
        <w:rPr>
          <w:rFonts w:hint="eastAsia" w:ascii="仿宋_GB2312" w:hAnsi="仿宋_GB2312" w:eastAsia="仿宋_GB2312" w:cs="仿宋_GB2312"/>
          <w:color w:val="auto"/>
          <w:sz w:val="32"/>
          <w:szCs w:val="32"/>
        </w:rPr>
        <w:t>部门整体绩效自评得分为93.19分，绩效自评综述：通过开展2023年工作，完成残疾康复儿童救助39人，为263人提供辅具适配，8名残疾人免费安装假肢，439人提供实用技术培训和技能培训，51户困难重度残疾人进行无障碍改造，为4605名残疾人代缴医疗保险，积极向上争取残疾人专项资金278.43万元，通过开展残疾人工作，提高残疾人康复、教育、就业和融入社会和生活自理能力，减轻残疾人家庭经济负担，提高社会满意度；残疾儿童康复救助项目绩效自评得分为89分，绩效自评综述：为昭化区户籍的视力、听力、言语、肢体、智力残疾儿童和孤独症儿童开展康复训练提供救助，脑瘫儿童年龄放宽至12岁。完善配套程序，将残疾儿童康复救助与居民医保政策相衔接，实现残疾儿童康复救助“应救尽救”；残疾人康复部门预算项目绩效自评得分为88分，绩效自评综述：为全区残疾人提供基本康复服务，使持证残疾人的基本康复需求服务率达到85%；残疾人民生保障工作经费部门预算项目绩效自评得分为88.7分，绩效自评综述：在全区12个镇重点围绕残疾人康复、就业（创业）、无障碍改造等需求入户摸排残疾人基本状况，全面了解我区残疾人生存状况、发展需求，从而科学制定残疾人保障和发展规划，为残疾人办实事、解难事打好坚实基础；残疾人事业彩票公益金（存量）部门预算项目绩效自评得分为91.69分，绩效自评综述：支出2021年无障碍改造质保金，对1名儿童进行人工耳蜗救助，进行残疾儿童康复救助工作，足额支付2022年专干专委工资；残疾人事业发展补助资金（存量）部门预算项目绩效自评得分为91.16分，绩效自评综述：足额支付专干专委工资，发放1家辅助性就业机构补助，残疾人灵活就业补贴发放人数6人，举办残疾人柔力球比赛等；残疾人医保代缴部门预算项目绩效自评得分为92.33分，绩效自评综述：残疾人参保资助费用由区财政资金保障，医保代缴范围是具有昭化区户籍的持证残疾人，且在昭化区本地参保人员，计划为1-2级残疾人提供全额资助、为3-4级残疾人每人定额资助100元。（具体以全年办理残疾证基数和扣除其他代缴顺序后的残疾人数据为准）；争取项目资金工作经费部门预算项目绩效自评得分为83分，绩效自评综述：积极研究残疾人相关政策，认真落实惠残助残精神，向上级争取2023年度残疾人康复救助、残疾人实用技术培训、残疾人家庭无障碍改造等项目经费278.43万元；残疾人事业发展补助</w:t>
      </w:r>
      <w:r>
        <w:rPr>
          <w:rFonts w:hint="eastAsia" w:ascii="仿宋_GB2312" w:hAnsi="仿宋_GB2312" w:eastAsia="仿宋_GB2312"/>
          <w:kern w:val="2"/>
          <w:sz w:val="32"/>
          <w:szCs w:val="24"/>
        </w:rPr>
        <w:t>专项预算项目绩效自评得分为91.28分，绩效自评综述：残疾人灵活就业补贴348人，残疾儿童康复救助，2023年残疾人居家无障碍改造、体育健身器材和辅助器具采购，残疾儿童早期干预试点1个，残疾人机动轮椅车燃油补贴69人，残疾人阳光家园托养180人，完成实用技术培训和技能培训439人等</w:t>
      </w:r>
      <w:r>
        <w:rPr>
          <w:rFonts w:hint="eastAsia" w:ascii="仿宋_GB2312" w:hAnsi="仿宋_GB2312" w:eastAsia="仿宋_GB2312" w:cs="仿宋_GB2312"/>
          <w:color w:val="auto"/>
          <w:sz w:val="32"/>
          <w:szCs w:val="32"/>
        </w:rPr>
        <w:t>；残疾人事业民生项目</w:t>
      </w:r>
      <w:r>
        <w:rPr>
          <w:rFonts w:hint="eastAsia" w:ascii="仿宋_GB2312" w:hAnsi="仿宋_GB2312" w:eastAsia="仿宋_GB2312"/>
          <w:kern w:val="2"/>
          <w:sz w:val="32"/>
          <w:szCs w:val="24"/>
        </w:rPr>
        <w:t>专项预算项目绩效自评得分为98.97分，绩效自评综述：保障3名临聘人员工资，开展助残日活动1次，资助17名残疾大学新生或残疾人家庭子女大学新生，进行2023年残疾人居家无障碍改造、体育健身器材和辅助器具采购</w:t>
      </w:r>
      <w:r>
        <w:rPr>
          <w:rFonts w:hint="eastAsia" w:ascii="仿宋_GB2312" w:hAnsi="仿宋_GB2312" w:eastAsia="仿宋_GB2312" w:cs="仿宋_GB2312"/>
          <w:color w:val="auto"/>
          <w:sz w:val="32"/>
          <w:szCs w:val="32"/>
        </w:rPr>
        <w:t>；农村残疾人就业帮扶基地奖补项目</w:t>
      </w:r>
      <w:r>
        <w:rPr>
          <w:rFonts w:hint="eastAsia" w:ascii="仿宋_GB2312" w:hAnsi="仿宋_GB2312" w:eastAsia="仿宋_GB2312"/>
          <w:kern w:val="2"/>
          <w:sz w:val="32"/>
          <w:szCs w:val="24"/>
        </w:rPr>
        <w:t>专项预算项目绩效自评得分为99.65分，绩效自评综述：2023年扶持3个农村残疾人就业帮扶基地，吸纳农村脱贫残疾人、纳入防止返贫监测对象残疾人、农村纳入低保、特困救助低保边缘家庭的残疾人就业或辐射带动发展增收，通过就业实现稳定增收。帮助68名符合条件(以上五类残疾人)的残疾人在基地就业或辐射带动生产发展增收，实现其家庭年人均纯收入7500元。绩效自评报告详见附件（第四部分）。</w:t>
      </w:r>
    </w:p>
    <w:p w14:paraId="4EF32DA1">
      <w:pPr>
        <w:pStyle w:val="2"/>
        <w:spacing w:before="72"/>
        <w:rPr>
          <w:rFonts w:hint="eastAsia"/>
          <w:sz w:val="30"/>
          <w:szCs w:val="24"/>
          <w:highlight w:val="yellow"/>
        </w:rPr>
        <w:sectPr>
          <w:pgSz w:w="12240" w:h="15840"/>
          <w:pgMar w:top="2098" w:right="1474" w:bottom="1984" w:left="1587" w:header="720" w:footer="720" w:gutter="0"/>
          <w:lnNumType w:countBy="0" w:distance="360"/>
          <w:cols w:space="720" w:num="1"/>
        </w:sectPr>
      </w:pPr>
    </w:p>
    <w:p w14:paraId="21234996">
      <w:pPr>
        <w:keepNext/>
        <w:keepLines/>
        <w:pageBreakBefore/>
        <w:spacing w:after="313"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4462BB7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09CDF49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6BCF0B7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31CE2CF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2447C17E">
      <w:pPr>
        <w:pStyle w:val="10"/>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4F833D0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3466FF9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8560CD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07CD590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九、社会保障和就业支出（类）行政事业单位养老支出（款）机关事业单位基本养老保险缴费支出（项）：指反映机关事业单位实施养老保险制度由单位缴纳的基本养老保险费支出。</w:t>
      </w:r>
    </w:p>
    <w:p w14:paraId="3B0673F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十、社会保障和就业支出（类）残疾人事业（款）行政运行（项）：指反映行政单位（包括实行公务员管理的事业单位）的基本支出。</w:t>
      </w:r>
    </w:p>
    <w:p w14:paraId="1C381B9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十一、社会保障和就业支出（类）残疾人事业（款）残疾人康复（项）：指反映残疾人联合会用于残疾人康复方面的支出。</w:t>
      </w:r>
    </w:p>
    <w:p w14:paraId="4D6FF41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十二、社会保障和就业支出（类）残疾人事业（款）其他残疾人事业支出（项）：指反映除上述项目以外其他用于残疾人事业方面的支出。</w:t>
      </w:r>
    </w:p>
    <w:p w14:paraId="186C367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十三、社会保障和就业支出（类）其他社会保障和就业支出（款）其他社会保障和就业支出（项）：指反映除上述项目以外其他用于社会保障和就业方面的支出。</w:t>
      </w:r>
    </w:p>
    <w:p w14:paraId="32A62CD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77EC182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农林水支出（类）巩固脱贫攻坚成果衔接乡村振兴（款）其他巩固脱贫攻坚成果衔接乡村振兴支出（项）：指反映除社会发展、贷款奖补和贴息、“三西”农业建设专项补助、事业运行以外其他用于巩固拓展脱贫攻坚成果同乡村振兴有效衔接方面的支出。</w:t>
      </w:r>
    </w:p>
    <w:p w14:paraId="7683D94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十六、住房保障支出（类）住房改革支出（款）住房公积金（项）：指反映行政事业单位按人力资源和社会保障部、财政部规定的基本工资和津贴补贴以及规定比例为职工缴纳的住房公积金。</w:t>
      </w:r>
    </w:p>
    <w:p w14:paraId="0706406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十七、其他支出（类）彩票公益金安排的支出（款）用于社会福利的彩票公益金支出（项）：指用于社会福利的彩票公益金支出。</w:t>
      </w:r>
    </w:p>
    <w:p w14:paraId="77C132F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十八、其他支出（类）彩票公益金安排的支出（款）用于体育事业的彩票公益金支出（项）：指用于体育事业的彩票公益金支出。</w:t>
      </w:r>
    </w:p>
    <w:p w14:paraId="3299DF5F">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十九、其他支出（类）彩票公益金安排的支出（款）用于残疾人事业的彩票公益金支出（项）：指用于残疾人事业的彩票公益金支出。</w:t>
      </w:r>
    </w:p>
    <w:p w14:paraId="108887A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二十、基本支出：指为保障机构正常运转、完成日常工作任务而发生的人员支出和公用支出。</w:t>
      </w:r>
    </w:p>
    <w:p w14:paraId="4B747C0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二十一、项目支出：指在基本支出之外为完成特定行政任务和事业发展目标所发生的支出。 </w:t>
      </w:r>
    </w:p>
    <w:p w14:paraId="57DF3FD6">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1D6BDE">
      <w:pPr>
        <w:spacing w:line="576" w:lineRule="exact"/>
        <w:ind w:firstLine="640"/>
        <w:rPr>
          <w:rFonts w:hint="eastAsia" w:ascii="黑体" w:hAnsi="黑体" w:eastAsia="黑体"/>
          <w:color w:val="000000"/>
          <w:kern w:val="2"/>
          <w:sz w:val="44"/>
          <w:szCs w:val="24"/>
        </w:rPr>
      </w:pPr>
      <w:r>
        <w:rPr>
          <w:rFonts w:hint="eastAsia" w:ascii="仿宋_GB2312" w:hAnsi="仿宋_GB2312" w:eastAsia="仿宋_GB2312"/>
          <w:color w:val="000000"/>
          <w:sz w:val="32"/>
          <w:szCs w:val="24"/>
        </w:rPr>
        <w:t>二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9595B3">
      <w:pPr>
        <w:keepNext/>
        <w:keepLines/>
        <w:spacing w:line="576" w:lineRule="exact"/>
        <w:jc w:val="center"/>
        <w:rPr>
          <w:rFonts w:hint="eastAsia" w:ascii="黑体" w:hAnsi="黑体" w:eastAsia="黑体"/>
          <w:color w:val="000000"/>
          <w:kern w:val="2"/>
          <w:sz w:val="44"/>
          <w:szCs w:val="24"/>
        </w:rPr>
        <w:sectPr>
          <w:pgSz w:w="12240" w:h="15840"/>
          <w:pgMar w:top="2098" w:right="1474" w:bottom="1984" w:left="1587" w:header="720" w:footer="720" w:gutter="0"/>
          <w:lnNumType w:countBy="0" w:distance="360"/>
          <w:cols w:space="720" w:num="1"/>
        </w:sectPr>
      </w:pPr>
    </w:p>
    <w:p w14:paraId="6D071CA2">
      <w:pPr>
        <w:keepNext/>
        <w:keepLines/>
        <w:pageBreakBefore/>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14:paraId="5CEDF10C">
      <w:pPr>
        <w:keepNext/>
        <w:keepLines/>
        <w:spacing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3D402BE3">
      <w:pPr>
        <w:keepNext/>
        <w:keepLines/>
        <w:spacing w:line="576" w:lineRule="exact"/>
        <w:jc w:val="center"/>
        <w:rPr>
          <w:rFonts w:hint="eastAsia" w:ascii="黑体" w:hAnsi="黑体" w:eastAsia="黑体"/>
          <w:color w:val="000000"/>
          <w:sz w:val="44"/>
          <w:szCs w:val="24"/>
        </w:rPr>
      </w:pPr>
      <w:r>
        <w:rPr>
          <w:rFonts w:hint="eastAsia" w:ascii="黑体" w:hAnsi="黑体" w:eastAsia="黑体"/>
          <w:color w:val="000000"/>
          <w:sz w:val="44"/>
          <w:szCs w:val="24"/>
        </w:rPr>
        <w:t>2023年广元市昭化区残疾人联合会</w:t>
      </w:r>
    </w:p>
    <w:p w14:paraId="2827C024">
      <w:pPr>
        <w:keepNext/>
        <w:keepLines/>
        <w:spacing w:line="576" w:lineRule="exact"/>
        <w:jc w:val="center"/>
        <w:rPr>
          <w:rFonts w:hint="eastAsia" w:ascii="仿宋_GB2312" w:hAnsi="仿宋_GB2312" w:eastAsia="仿宋_GB2312"/>
          <w:i/>
          <w:kern w:val="2"/>
          <w:sz w:val="32"/>
          <w:szCs w:val="24"/>
        </w:rPr>
      </w:pPr>
      <w:r>
        <w:rPr>
          <w:rFonts w:hint="eastAsia" w:ascii="黑体" w:hAnsi="黑体" w:eastAsia="黑体"/>
          <w:color w:val="000000"/>
          <w:sz w:val="44"/>
          <w:szCs w:val="24"/>
        </w:rPr>
        <w:t>预算</w:t>
      </w:r>
      <w:r>
        <w:rPr>
          <w:rFonts w:hint="eastAsia" w:ascii="黑体" w:hAnsi="黑体" w:eastAsia="黑体"/>
          <w:color w:val="000000"/>
          <w:sz w:val="44"/>
          <w:szCs w:val="24"/>
          <w:lang w:val="zh-CN"/>
        </w:rPr>
        <w:t>绩效评价报告</w:t>
      </w:r>
    </w:p>
    <w:p w14:paraId="0095F88D">
      <w:pPr>
        <w:numPr>
          <w:ilvl w:val="0"/>
          <w:numId w:val="0"/>
        </w:numPr>
        <w:autoSpaceDE/>
        <w:autoSpaceDN/>
        <w:adjustRightInd/>
        <w:spacing w:line="576" w:lineRule="exact"/>
        <w:ind w:firstLine="640" w:firstLineChars="200"/>
        <w:jc w:val="both"/>
        <w:rPr>
          <w:rFonts w:hint="default" w:ascii="Times New Roman" w:eastAsia="黑体"/>
          <w:color w:val="auto"/>
          <w:kern w:val="2"/>
          <w:sz w:val="32"/>
          <w:szCs w:val="32"/>
        </w:rPr>
      </w:pPr>
      <w:r>
        <w:rPr>
          <w:rFonts w:hint="eastAsia" w:ascii="Times New Roman" w:eastAsia="黑体"/>
          <w:color w:val="auto"/>
          <w:kern w:val="2"/>
          <w:sz w:val="32"/>
          <w:szCs w:val="32"/>
        </w:rPr>
        <w:t>一、部门（单位）概况</w:t>
      </w:r>
    </w:p>
    <w:p w14:paraId="26E45F96">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（一）机构职能</w:t>
      </w:r>
    </w:p>
    <w:p w14:paraId="612E593B">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w:t>
      </w:r>
      <w:r>
        <w:rPr>
          <w:rFonts w:hint="eastAsia" w:ascii="Times New Roman" w:eastAsia="仿宋_GB2312"/>
          <w:color w:val="auto"/>
          <w:kern w:val="2"/>
          <w:sz w:val="32"/>
          <w:szCs w:val="32"/>
        </w:rPr>
        <w:t>听取残疾人意见，反映残疾人需求，维护残疾人权益，为残疾人服务。</w:t>
      </w:r>
    </w:p>
    <w:p w14:paraId="1743C6CB">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w:t>
      </w:r>
      <w:r>
        <w:rPr>
          <w:rFonts w:hint="eastAsia" w:ascii="Times New Roman" w:eastAsia="仿宋_GB2312"/>
          <w:color w:val="auto"/>
          <w:kern w:val="2"/>
          <w:sz w:val="32"/>
          <w:szCs w:val="32"/>
        </w:rPr>
        <w:t>团结、教育残疾人遵守法律，履行应尽的义务，发挥乐观进取精神，自尊、自信、自强、自立，为社会主义建设贡献力量。</w:t>
      </w:r>
    </w:p>
    <w:p w14:paraId="0698C1B2">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3.</w:t>
      </w:r>
      <w:r>
        <w:rPr>
          <w:rFonts w:hint="eastAsia" w:ascii="Times New Roman" w:eastAsia="仿宋_GB2312"/>
          <w:color w:val="auto"/>
          <w:kern w:val="2"/>
          <w:sz w:val="32"/>
          <w:szCs w:val="32"/>
        </w:rPr>
        <w:t>弘扬人道主义，宣传残疾人事业，沟通政府、社会与残疾人之间的联系。</w:t>
      </w:r>
    </w:p>
    <w:p w14:paraId="1BE14B52">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4.</w:t>
      </w:r>
      <w:r>
        <w:rPr>
          <w:rFonts w:hint="eastAsia" w:ascii="Times New Roman" w:eastAsia="仿宋_GB2312"/>
          <w:color w:val="auto"/>
          <w:kern w:val="2"/>
          <w:sz w:val="32"/>
          <w:szCs w:val="32"/>
        </w:rPr>
        <w:t>开展残疾人康复、扶贫、教育、劳动就业、文化体育用品供应、社会福利等。</w:t>
      </w:r>
    </w:p>
    <w:p w14:paraId="533F8E3A">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5.</w:t>
      </w:r>
      <w:r>
        <w:rPr>
          <w:rFonts w:hint="eastAsia" w:ascii="Times New Roman" w:eastAsia="仿宋_GB2312"/>
          <w:color w:val="auto"/>
          <w:kern w:val="2"/>
          <w:sz w:val="32"/>
          <w:szCs w:val="32"/>
        </w:rPr>
        <w:t>协助政府研究、制定和实施残疾人事业政策、规定和计划，起草有关保障残疾人权益的法律法规，调查掌握残疾人状况。</w:t>
      </w:r>
    </w:p>
    <w:p w14:paraId="599B782F">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6.</w:t>
      </w:r>
      <w:r>
        <w:rPr>
          <w:rFonts w:hint="eastAsia" w:ascii="Times New Roman" w:eastAsia="仿宋_GB2312"/>
          <w:color w:val="auto"/>
          <w:kern w:val="2"/>
          <w:sz w:val="32"/>
          <w:szCs w:val="32"/>
        </w:rPr>
        <w:t>承担区人民政府残疾人工作协调委员会的日常工作，做好综合、组织、协调和服务工作。</w:t>
      </w:r>
    </w:p>
    <w:p w14:paraId="24E64B60">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7.</w:t>
      </w:r>
      <w:r>
        <w:rPr>
          <w:rFonts w:hint="eastAsia" w:ascii="Times New Roman" w:eastAsia="仿宋_GB2312"/>
          <w:color w:val="auto"/>
          <w:kern w:val="2"/>
          <w:sz w:val="32"/>
          <w:szCs w:val="32"/>
        </w:rPr>
        <w:t>组织实施按比例安置残疾人就业工作，组织管理残疾人福利企业，会同有关部门制定并监督实施残疾人社会福利企业的扶持保护政策。</w:t>
      </w:r>
    </w:p>
    <w:p w14:paraId="59ED10B5">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8.</w:t>
      </w:r>
      <w:r>
        <w:rPr>
          <w:rFonts w:hint="eastAsia" w:ascii="Times New Roman" w:eastAsia="仿宋_GB2312"/>
          <w:color w:val="auto"/>
          <w:kern w:val="2"/>
          <w:sz w:val="32"/>
          <w:szCs w:val="32"/>
        </w:rPr>
        <w:t>指导和管理残疾人社会团体组织。</w:t>
      </w:r>
    </w:p>
    <w:p w14:paraId="3D124894">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9.</w:t>
      </w:r>
      <w:r>
        <w:rPr>
          <w:rFonts w:hint="eastAsia" w:ascii="Times New Roman" w:eastAsia="仿宋_GB2312"/>
          <w:color w:val="auto"/>
          <w:kern w:val="2"/>
          <w:sz w:val="32"/>
          <w:szCs w:val="32"/>
        </w:rPr>
        <w:t>统筹开展为残疾人事业募捐活动。</w:t>
      </w:r>
    </w:p>
    <w:p w14:paraId="00A7CA8B">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10.</w:t>
      </w:r>
      <w:r>
        <w:rPr>
          <w:rFonts w:hint="eastAsia" w:ascii="Times New Roman" w:eastAsia="仿宋_GB2312"/>
          <w:color w:val="auto"/>
          <w:kern w:val="2"/>
          <w:sz w:val="32"/>
          <w:szCs w:val="32"/>
        </w:rPr>
        <w:t>开展残疾人事业的对外合作与交流。</w:t>
      </w:r>
    </w:p>
    <w:p w14:paraId="2ED92A22">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11.</w:t>
      </w:r>
      <w:r>
        <w:rPr>
          <w:rFonts w:hint="eastAsia" w:ascii="Times New Roman" w:eastAsia="仿宋_GB2312"/>
          <w:color w:val="auto"/>
          <w:kern w:val="2"/>
          <w:sz w:val="32"/>
          <w:szCs w:val="32"/>
        </w:rPr>
        <w:t>承办区政府和上级残联交办的其他工作。</w:t>
      </w:r>
    </w:p>
    <w:p w14:paraId="33088EE7">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（二）机构组成</w:t>
      </w:r>
    </w:p>
    <w:p w14:paraId="6F047421">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区残疾人联合会共设三个股室。办公室（挂区人民政府工作协调委员会办公室的牌子），主要是综合协调机关政务，负责文秘、档案、信访、保密、精神文明建设和尽管行政事务工作。康复股主要制定和实施残疾人康复工作计划，建立和发展社区康复体系，指导残疾人康复机构的业务工作。教育就业股组织制定和史诗级残疾人教育工作计划，开展残疾人学前教育、义务教育、职业教育、负责盲文、手语的推广，制定残疾人劳动就业工作计划，组织残疾人分散按比例就业等。</w:t>
      </w:r>
    </w:p>
    <w:p w14:paraId="7DF6FB96">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区残联是全额拨款独立核算的一级参照公务员管理事业单位，执行事业单位会计制度。区残联下属事业机构1个，即广元市昭化区残疾人康复中心（未单独编报预算）。核参公编制3名，事业编制2名。其中理事长1名，副理事长1名。</w:t>
      </w:r>
    </w:p>
    <w:p w14:paraId="3C2933FF">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（三）人员概况</w:t>
      </w:r>
    </w:p>
    <w:p w14:paraId="3AF5A3EE">
      <w:pPr>
        <w:autoSpaceDE/>
        <w:autoSpaceDN/>
        <w:adjustRightInd/>
        <w:spacing w:line="576" w:lineRule="exact"/>
        <w:ind w:firstLine="640" w:firstLineChars="200"/>
        <w:jc w:val="both"/>
        <w:rPr>
          <w:rFonts w:hint="default" w:ascii="Times New Roman" w:eastAsia="仿宋_GB2312"/>
          <w:color w:val="auto"/>
          <w:kern w:val="2"/>
          <w:sz w:val="32"/>
          <w:szCs w:val="32"/>
          <w:highlight w:val="yellow"/>
        </w:rPr>
      </w:pPr>
      <w:r>
        <w:rPr>
          <w:rFonts w:hint="default" w:ascii="Times New Roman" w:eastAsia="仿宋_GB2312"/>
          <w:color w:val="auto"/>
          <w:kern w:val="2"/>
          <w:sz w:val="32"/>
          <w:szCs w:val="32"/>
        </w:rPr>
        <w:t>2023</w:t>
      </w:r>
      <w:r>
        <w:rPr>
          <w:rFonts w:hint="eastAsia" w:ascii="Times New Roman" w:eastAsia="仿宋_GB2312"/>
          <w:color w:val="auto"/>
          <w:kern w:val="2"/>
          <w:sz w:val="32"/>
          <w:szCs w:val="32"/>
        </w:rPr>
        <w:t>年年初我单位实际在编在职</w:t>
      </w:r>
      <w:r>
        <w:rPr>
          <w:rFonts w:hint="default" w:ascii="Times New Roman" w:eastAsia="仿宋_GB2312"/>
          <w:color w:val="auto"/>
          <w:kern w:val="2"/>
          <w:sz w:val="32"/>
          <w:szCs w:val="32"/>
        </w:rPr>
        <w:t>8</w:t>
      </w:r>
      <w:r>
        <w:rPr>
          <w:rFonts w:hint="eastAsia" w:ascii="Times New Roman" w:eastAsia="仿宋_GB2312"/>
          <w:color w:val="auto"/>
          <w:kern w:val="2"/>
          <w:sz w:val="32"/>
          <w:szCs w:val="32"/>
        </w:rPr>
        <w:t>人，其中：公务员编制</w:t>
      </w:r>
      <w:r>
        <w:rPr>
          <w:rFonts w:hint="default" w:ascii="Times New Roman" w:eastAsia="仿宋_GB2312"/>
          <w:color w:val="auto"/>
          <w:kern w:val="2"/>
          <w:sz w:val="32"/>
          <w:szCs w:val="32"/>
        </w:rPr>
        <w:t>5</w:t>
      </w:r>
      <w:r>
        <w:rPr>
          <w:rFonts w:hint="eastAsia" w:ascii="Times New Roman" w:eastAsia="仿宋_GB2312"/>
          <w:color w:val="auto"/>
          <w:kern w:val="2"/>
          <w:sz w:val="32"/>
          <w:szCs w:val="32"/>
        </w:rPr>
        <w:t>人，全额事业编制3人（其中1人为人才引进不占编）。年中人才引进新招录事业编制</w:t>
      </w:r>
      <w:r>
        <w:rPr>
          <w:rFonts w:hint="default" w:ascii="Times New Roman" w:eastAsia="仿宋_GB2312"/>
          <w:color w:val="auto"/>
          <w:kern w:val="2"/>
          <w:sz w:val="32"/>
          <w:szCs w:val="32"/>
        </w:rPr>
        <w:t>1</w:t>
      </w:r>
      <w:r>
        <w:rPr>
          <w:rFonts w:hint="eastAsia" w:ascii="Times New Roman" w:eastAsia="仿宋_GB2312"/>
          <w:color w:val="auto"/>
          <w:kern w:val="2"/>
          <w:sz w:val="32"/>
          <w:szCs w:val="32"/>
        </w:rPr>
        <w:t>人。年末实际在编在职</w:t>
      </w:r>
      <w:r>
        <w:rPr>
          <w:rFonts w:hint="default" w:ascii="Times New Roman" w:eastAsia="仿宋_GB2312"/>
          <w:color w:val="auto"/>
          <w:kern w:val="2"/>
          <w:sz w:val="32"/>
          <w:szCs w:val="32"/>
        </w:rPr>
        <w:t>9</w:t>
      </w:r>
      <w:r>
        <w:rPr>
          <w:rFonts w:hint="eastAsia" w:ascii="Times New Roman" w:eastAsia="仿宋_GB2312"/>
          <w:color w:val="auto"/>
          <w:kern w:val="2"/>
          <w:sz w:val="32"/>
          <w:szCs w:val="32"/>
        </w:rPr>
        <w:t>人，其中参公人员</w:t>
      </w:r>
      <w:r>
        <w:rPr>
          <w:rFonts w:hint="default" w:ascii="Times New Roman" w:eastAsia="仿宋_GB2312"/>
          <w:color w:val="auto"/>
          <w:kern w:val="2"/>
          <w:sz w:val="32"/>
          <w:szCs w:val="32"/>
        </w:rPr>
        <w:t>5</w:t>
      </w:r>
      <w:r>
        <w:rPr>
          <w:rFonts w:hint="eastAsia" w:ascii="Times New Roman" w:eastAsia="仿宋_GB2312"/>
          <w:color w:val="auto"/>
          <w:kern w:val="2"/>
          <w:sz w:val="32"/>
          <w:szCs w:val="32"/>
        </w:rPr>
        <w:t>人，事业人员</w:t>
      </w:r>
      <w:r>
        <w:rPr>
          <w:rFonts w:hint="default" w:ascii="Times New Roman" w:eastAsia="仿宋_GB2312"/>
          <w:color w:val="auto"/>
          <w:kern w:val="2"/>
          <w:sz w:val="32"/>
          <w:szCs w:val="32"/>
        </w:rPr>
        <w:t>4</w:t>
      </w:r>
      <w:r>
        <w:rPr>
          <w:rFonts w:hint="eastAsia" w:ascii="Times New Roman" w:eastAsia="仿宋_GB2312"/>
          <w:color w:val="auto"/>
          <w:kern w:val="2"/>
          <w:sz w:val="32"/>
          <w:szCs w:val="32"/>
        </w:rPr>
        <w:t>人，均为财政全额供给。</w:t>
      </w:r>
    </w:p>
    <w:p w14:paraId="1BF73EAB">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（四）当年重点工作任务概述</w:t>
      </w:r>
    </w:p>
    <w:p w14:paraId="6F05DCB8">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w:t>
      </w:r>
      <w:r>
        <w:rPr>
          <w:rFonts w:hint="eastAsia" w:ascii="Times New Roman" w:eastAsia="仿宋_GB2312"/>
          <w:color w:val="auto"/>
          <w:kern w:val="2"/>
          <w:sz w:val="32"/>
          <w:szCs w:val="32"/>
        </w:rPr>
        <w:t>持续强化党建引领作用</w:t>
      </w:r>
    </w:p>
    <w:p w14:paraId="44BCA66F">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一是加强思想政治建设。深入开展党的二十大精神、习近平总书记来川来广视察重要指示精神、中残联八代会精神学习，深刻理解把握习近平总书记关于残疾人事业的重要指示批示精神，坚持用党的创新理论武装头脑，指导实践。二是狠抓党风廉政建设。严格执行中央八项规定及实施细则，落实党组书记第一责任、班子成员“一岗双责”。三是切实转变工作作风。制定《2023年区残联“纪律作风建设提升年”活动实施方案》。四是认真落实党建责任。抓好“三会一课”、主题党日、组织生活会、评议党员、谈心谈话等制度落实，开展党组理论</w:t>
      </w:r>
      <w:r>
        <w:rPr>
          <w:rFonts w:hint="eastAsia" w:ascii="Times New Roman" w:eastAsia="仿宋_GB2312"/>
          <w:color w:val="auto"/>
          <w:kern w:val="2"/>
          <w:sz w:val="32"/>
          <w:szCs w:val="32"/>
          <w:lang w:val="en-US" w:eastAsia="zh-CN"/>
        </w:rPr>
        <w:t>学习</w:t>
      </w:r>
      <w:r>
        <w:rPr>
          <w:rFonts w:hint="eastAsia" w:ascii="Times New Roman" w:eastAsia="仿宋_GB2312"/>
          <w:color w:val="auto"/>
          <w:kern w:val="2"/>
          <w:sz w:val="32"/>
          <w:szCs w:val="32"/>
        </w:rPr>
        <w:t>中心组学习，党组学习，主题教育学习研讨，党组书记讲党课，组织红色教育和重温入党誓词活动。</w:t>
      </w:r>
    </w:p>
    <w:p w14:paraId="0F7FC456">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w:t>
      </w:r>
      <w:r>
        <w:rPr>
          <w:rFonts w:hint="eastAsia" w:ascii="Times New Roman" w:eastAsia="仿宋_GB2312"/>
          <w:color w:val="auto"/>
          <w:kern w:val="2"/>
          <w:sz w:val="32"/>
          <w:szCs w:val="32"/>
        </w:rPr>
        <w:t>保障和改善残疾人基本民生</w:t>
      </w:r>
    </w:p>
    <w:p w14:paraId="687AADB4">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残疾人康复方面：为1854名持证残疾人提供基本康复服务，任务完成率114.2%。落实“市定民生实事工程-残</w:t>
      </w:r>
      <w:bookmarkStart w:id="0" w:name="_GoBack"/>
      <w:bookmarkEnd w:id="0"/>
      <w:r>
        <w:rPr>
          <w:rFonts w:hint="eastAsia" w:ascii="Times New Roman" w:eastAsia="仿宋_GB2312"/>
          <w:color w:val="auto"/>
          <w:kern w:val="2"/>
          <w:sz w:val="32"/>
          <w:szCs w:val="32"/>
        </w:rPr>
        <w:t>疾儿童康复救助项目”，为39名0-6岁残疾儿童提供抢救性康复救助，任务完成率130%；拨付资金48万元，资金拨付率100%。为263名残疾人免费适配轮椅、拐杖、助听器、盲杖等辅助器具393件，任务完成率131.5%。为8名肢体残疾人适配假肢，其中大腿4例、小腿4例，资金拨付率100%。投入6.18万元为86名精神残疾人进行1000元/人·年的免费服药补贴。联合区卫生健康局建立《0-12岁儿童残疾筛查干预服务和康复救助工作机制》，进一步完善儿童残疾初筛、复筛、诊断确认、康复救助服务。积极协调医疗、卫健等部门开展残疾预防宣传，有效减少了残疾的发生。</w:t>
      </w:r>
    </w:p>
    <w:p w14:paraId="5C06CB9E">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残疾人教育就业方面：依法推进按比例就业，审核机关、企事业单位按比例安置残疾人就业51家。兑现残疾人灵活就业创业补贴348人，27.4万元，任务完成率105.5%。首次整合“土专家”技术资源，为残疾人“量身定制”培训课程，举办农村残疾人实用技术培训班5期，培训323人，任务完成率107.7%；举办残疾人职业技能培训班2期，培训116人，任务完成率116%。打造“寄宿托养+居家托养”服务模式，在元坝镇、昭化镇、射箭镇、红岩镇等地开展试点服务。挖掘以熊明乐、步现合等为代表的残疾人就业创业典型37人。资助符合条件的残疾人大学新生及残疾人家庭子女大学新生17人，4.6万元。</w:t>
      </w:r>
    </w:p>
    <w:p w14:paraId="020C642C">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残疾人乡村振兴方面：紧密联系乡村振兴部门，落实易返贫致贫残疾人跟踪访视动态监测和帮扶工作机制，对</w:t>
      </w:r>
      <w:r>
        <w:rPr>
          <w:rFonts w:hint="default" w:ascii="Times New Roman" w:eastAsia="仿宋_GB2312"/>
          <w:color w:val="auto"/>
          <w:kern w:val="2"/>
          <w:sz w:val="32"/>
          <w:szCs w:val="32"/>
        </w:rPr>
        <w:t>10</w:t>
      </w:r>
      <w:r>
        <w:rPr>
          <w:rFonts w:hint="eastAsia" w:ascii="Times New Roman" w:eastAsia="仿宋_GB2312"/>
          <w:color w:val="auto"/>
          <w:kern w:val="2"/>
          <w:sz w:val="32"/>
          <w:szCs w:val="32"/>
        </w:rPr>
        <w:t>户残疾人边缘易致贫户和脱贫不稳定户及时给予有效帮扶。新增农村残疾人就业帮扶基地</w:t>
      </w:r>
      <w:r>
        <w:rPr>
          <w:rFonts w:hint="default" w:ascii="Times New Roman" w:eastAsia="仿宋_GB2312"/>
          <w:color w:val="auto"/>
          <w:kern w:val="2"/>
          <w:sz w:val="32"/>
          <w:szCs w:val="32"/>
        </w:rPr>
        <w:t>3</w:t>
      </w:r>
      <w:r>
        <w:rPr>
          <w:rFonts w:hint="eastAsia" w:ascii="Times New Roman" w:eastAsia="仿宋_GB2312"/>
          <w:color w:val="auto"/>
          <w:kern w:val="2"/>
          <w:sz w:val="32"/>
          <w:szCs w:val="32"/>
        </w:rPr>
        <w:t>家，</w:t>
      </w:r>
      <w:r>
        <w:rPr>
          <w:rFonts w:hint="default" w:ascii="Times New Roman" w:eastAsia="仿宋_GB2312"/>
          <w:color w:val="auto"/>
          <w:kern w:val="2"/>
          <w:sz w:val="32"/>
          <w:szCs w:val="32"/>
        </w:rPr>
        <w:t>68</w:t>
      </w:r>
      <w:r>
        <w:rPr>
          <w:rFonts w:hint="eastAsia" w:ascii="Times New Roman" w:eastAsia="仿宋_GB2312"/>
          <w:color w:val="auto"/>
          <w:kern w:val="2"/>
          <w:sz w:val="32"/>
          <w:szCs w:val="32"/>
        </w:rPr>
        <w:t>名符合条件的残疾人在基地就业或辐射带动生产发展增收，累计拨付奖补资金29万元。</w:t>
      </w:r>
    </w:p>
    <w:p w14:paraId="211DA212">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残疾人宣文维权方面：按照“一户一案、按需改造”原则，为51户困难重度残疾人家庭实施无障碍改造，任务完成率</w:t>
      </w:r>
      <w:r>
        <w:rPr>
          <w:rFonts w:hint="default" w:ascii="Times New Roman" w:eastAsia="仿宋_GB2312"/>
          <w:color w:val="auto"/>
          <w:kern w:val="2"/>
          <w:sz w:val="32"/>
          <w:szCs w:val="32"/>
        </w:rPr>
        <w:t>108.5%</w:t>
      </w:r>
      <w:r>
        <w:rPr>
          <w:rFonts w:hint="eastAsia" w:ascii="Times New Roman" w:eastAsia="仿宋_GB2312"/>
          <w:color w:val="auto"/>
          <w:kern w:val="2"/>
          <w:sz w:val="32"/>
          <w:szCs w:val="32"/>
        </w:rPr>
        <w:t>。在主题教育中持续深化“我为群众办实事”活动，大力开展“上门办证”服务，组织昭化区人民医院组成评残鉴定服务组，深入12个镇为176名行动不便的重度困难肢体残疾人上门办理残疾人证，真正做到把服务窗口搬到残疾人的家门口，切实解决残疾人急难愁盼问题。承办四川省第四届全民健身运动会残疾人柔力球项目比赛，组织昭化区残疾人运动员参加体育赛事，培养体育人才。开展残疾预防日、全国助残日、爱耳日、爱眼日等残疾人节日活动，发放残疾人法律宣传单，为残疾人提供免费义诊、残疾筛查、辅具到家等服务。</w:t>
      </w:r>
    </w:p>
    <w:p w14:paraId="74268AE4">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残疾人社会保障方面：元旦春节期间，慰问救助困难残疾人114户，救助资金4.77万元。配合区民政局落实“省定民生实事工程-残疾人两项补贴”相关工作，审核完成困难残疾人生活补贴3034人，占目标任务114.7%；一、二级重度残疾人护理补贴3261人，占目标任务137%。兑现残疾人临时救助补贴</w:t>
      </w:r>
      <w:r>
        <w:rPr>
          <w:rFonts w:hint="default" w:ascii="Times New Roman" w:eastAsia="仿宋_GB2312"/>
          <w:color w:val="auto"/>
          <w:kern w:val="2"/>
          <w:sz w:val="32"/>
          <w:szCs w:val="32"/>
        </w:rPr>
        <w:t>12</w:t>
      </w:r>
      <w:r>
        <w:rPr>
          <w:rFonts w:hint="eastAsia" w:ascii="Times New Roman" w:eastAsia="仿宋_GB2312"/>
          <w:color w:val="auto"/>
          <w:kern w:val="2"/>
          <w:sz w:val="32"/>
          <w:szCs w:val="32"/>
        </w:rPr>
        <w:t>人，2.43万元；机动轮椅车燃油补贴69人，2.51万元。</w:t>
      </w:r>
    </w:p>
    <w:p w14:paraId="0782D942">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3.</w:t>
      </w:r>
      <w:r>
        <w:rPr>
          <w:rFonts w:hint="eastAsia" w:ascii="Times New Roman" w:eastAsia="仿宋_GB2312"/>
          <w:color w:val="auto"/>
          <w:kern w:val="2"/>
          <w:sz w:val="32"/>
          <w:szCs w:val="32"/>
        </w:rPr>
        <w:t>提升业务工作整体水平</w:t>
      </w:r>
    </w:p>
    <w:p w14:paraId="327414B9">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highlight w:val="yellow"/>
        </w:rPr>
      </w:pPr>
      <w:r>
        <w:rPr>
          <w:rFonts w:hint="eastAsia" w:ascii="Times New Roman" w:eastAsia="仿宋_GB2312"/>
          <w:color w:val="auto"/>
          <w:kern w:val="2"/>
          <w:sz w:val="32"/>
          <w:szCs w:val="32"/>
        </w:rPr>
        <w:t>一是加强不稳定隐患排查。接待残疾人来电来访400余人次，办理12345热线16件，办结率、满意率均为100%。全年没有发生安全事故，没有发生群体事件、没有残疾人越级上访。二是扩大残疾人事业宣传面。利用人民网、今日头条、广元日报、广元新闻网、昭化电视台等各媒体资源发布宣传信息，把残联最新的工作开展情况及政策传达给残疾人。三是强化项目资金管理。按要求完成项目储备申报，严格执行中省残疾人事业发展补助资金拨付要求，在资金支出上确保精准到户、精准到人，把有限的资金用在“刀刃上”。四是提升政务服务水平。严格落实一次性告知制度，开展“帮办代办”服务，完成“跨省通办”。五是完成其他工作。配合接受区人大常委会对我区落实残疾人保障法“一法一办法”的执法检查工作，并根据区人大常委会审议意见扎实整改，高质量完成总结报告。根据市残联要求，高效完成数据统计、资料信息上报。</w:t>
      </w:r>
    </w:p>
    <w:p w14:paraId="0C883008">
      <w:pPr>
        <w:numPr>
          <w:ilvl w:val="0"/>
          <w:numId w:val="0"/>
        </w:numPr>
        <w:autoSpaceDE/>
        <w:autoSpaceDN/>
        <w:adjustRightInd/>
        <w:spacing w:line="576" w:lineRule="exact"/>
        <w:ind w:firstLine="640" w:firstLineChars="200"/>
        <w:jc w:val="both"/>
        <w:rPr>
          <w:rFonts w:hint="default" w:ascii="Times New Roman" w:eastAsia="黑体"/>
          <w:color w:val="auto"/>
          <w:kern w:val="2"/>
          <w:sz w:val="32"/>
          <w:szCs w:val="32"/>
        </w:rPr>
      </w:pPr>
      <w:r>
        <w:rPr>
          <w:rFonts w:hint="eastAsia" w:ascii="Times New Roman" w:eastAsia="黑体"/>
          <w:color w:val="auto"/>
          <w:kern w:val="2"/>
          <w:sz w:val="32"/>
          <w:szCs w:val="32"/>
        </w:rPr>
        <w:t>二、部门（单位）收支情况</w:t>
      </w:r>
    </w:p>
    <w:p w14:paraId="50ADEBE0">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（一）收入情况。部门（单位）全部资金收入情况</w:t>
      </w:r>
    </w:p>
    <w:p w14:paraId="560659B5">
      <w:p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2023</w:t>
      </w:r>
      <w:r>
        <w:rPr>
          <w:rFonts w:hint="eastAsia" w:ascii="Times New Roman" w:eastAsia="仿宋_GB2312"/>
          <w:color w:val="auto"/>
          <w:kern w:val="2"/>
          <w:sz w:val="32"/>
          <w:szCs w:val="32"/>
        </w:rPr>
        <w:t>年部门总体收入955.93万元，其中一般公共预算财政拨款收入854.07万元，占89.34%；政府性基金预算财政拨款收入84.08万元，占8.8%；单位资金（财政代管）为17.78万元，占1.86%。</w:t>
      </w:r>
    </w:p>
    <w:p w14:paraId="6E1C77CB">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（二）支出情况。部门（单位）全部资金支出情况</w:t>
      </w:r>
    </w:p>
    <w:p w14:paraId="54F9817E">
      <w:pPr>
        <w:autoSpaceDE/>
        <w:autoSpaceDN/>
        <w:adjustRightInd/>
        <w:spacing w:line="576" w:lineRule="exact"/>
        <w:ind w:firstLine="640" w:firstLineChars="200"/>
        <w:jc w:val="both"/>
        <w:rPr>
          <w:rFonts w:hint="default" w:ascii="Times New Roman" w:eastAsia="仿宋_GB2312"/>
          <w:color w:val="auto"/>
          <w:kern w:val="2"/>
          <w:sz w:val="32"/>
          <w:szCs w:val="32"/>
          <w:highlight w:val="yellow"/>
        </w:rPr>
      </w:pPr>
      <w:r>
        <w:rPr>
          <w:rFonts w:hint="default" w:ascii="Times New Roman" w:eastAsia="仿宋_GB2312"/>
          <w:color w:val="auto"/>
          <w:kern w:val="2"/>
          <w:sz w:val="32"/>
          <w:szCs w:val="32"/>
        </w:rPr>
        <w:t>2023</w:t>
      </w:r>
      <w:r>
        <w:rPr>
          <w:rFonts w:hint="eastAsia" w:ascii="Times New Roman" w:eastAsia="仿宋_GB2312"/>
          <w:color w:val="auto"/>
          <w:kern w:val="2"/>
          <w:sz w:val="32"/>
          <w:szCs w:val="32"/>
        </w:rPr>
        <w:t>年部门总体支出626.9万元，其中：基本支出147.3万元，占23.5%；项目支出479.6万元，占76.5%。</w:t>
      </w:r>
    </w:p>
    <w:p w14:paraId="0E409B95">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（三）结转和结余情况</w:t>
      </w:r>
    </w:p>
    <w:p w14:paraId="06046E02">
      <w:p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2023</w:t>
      </w:r>
      <w:r>
        <w:rPr>
          <w:rFonts w:hint="eastAsia" w:ascii="Times New Roman" w:eastAsia="仿宋_GB2312"/>
          <w:color w:val="auto"/>
          <w:kern w:val="2"/>
          <w:sz w:val="32"/>
          <w:szCs w:val="32"/>
        </w:rPr>
        <w:t>年部门结转结余329.03万元，其中：基本支出结转结余0.6万元，占0.18%；项目支出结转结余310.65万元，占94.41%；单位资金（财政代管）结转结余17.78万元，占5.4%。</w:t>
      </w:r>
    </w:p>
    <w:p w14:paraId="0392C851">
      <w:pPr>
        <w:numPr>
          <w:ilvl w:val="0"/>
          <w:numId w:val="0"/>
        </w:numPr>
        <w:autoSpaceDE/>
        <w:autoSpaceDN/>
        <w:adjustRightInd/>
        <w:spacing w:line="576" w:lineRule="exact"/>
        <w:ind w:firstLine="640" w:firstLineChars="200"/>
        <w:jc w:val="both"/>
        <w:rPr>
          <w:rFonts w:hint="default" w:ascii="Times New Roman" w:eastAsia="黑体"/>
          <w:color w:val="auto"/>
          <w:kern w:val="2"/>
          <w:sz w:val="32"/>
          <w:szCs w:val="32"/>
        </w:rPr>
      </w:pPr>
      <w:r>
        <w:rPr>
          <w:rFonts w:hint="eastAsia" w:ascii="Times New Roman" w:eastAsia="黑体"/>
          <w:color w:val="auto"/>
          <w:kern w:val="2"/>
          <w:sz w:val="32"/>
          <w:szCs w:val="32"/>
        </w:rPr>
        <w:t>三、部门整体预算绩效管理情况</w:t>
      </w:r>
    </w:p>
    <w:p w14:paraId="72418B5B">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（一）部门预算总体绩效</w:t>
      </w:r>
    </w:p>
    <w:p w14:paraId="71F29892">
      <w:p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w:t>
      </w:r>
      <w:r>
        <w:rPr>
          <w:rFonts w:hint="eastAsia" w:ascii="Times New Roman" w:eastAsia="仿宋_GB2312"/>
          <w:color w:val="auto"/>
          <w:kern w:val="2"/>
          <w:sz w:val="32"/>
          <w:szCs w:val="32"/>
        </w:rPr>
        <w:t>目标管理</w:t>
      </w:r>
    </w:p>
    <w:p w14:paraId="71C923DF">
      <w:p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目标制定情况：一是部门年初绩效目标和年度执行中增加预算绩效目标编制质量较高。部门整体和部门预算项目绩效目标编制科学合理、规范完整、细化量化、与预算安排相匹配。年度执行中增加的项目预算，会及时对项目进行归类入库，并合理制定绩效目标申报表，按时监控项目执行进度及绩效目标完成情况。二是预算编制阶段人大反馈绩效目标质量审查未反馈问题。三是绩效目标制定已纳入本单位党组会集体决策范围。</w:t>
      </w:r>
    </w:p>
    <w:p w14:paraId="73DC33FE">
      <w:p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目标实现情况：一是部门整体绩效目标中数量指标、成本指标均已完成。二是部门整体绩效目标实现程度与预期目标的偏离情况，已完成预期指标值的数量指标、成本指标中偏离度在30%内的指标个数/已完成预期指标值的数量指标、成本指标个数为87.5%。</w:t>
      </w:r>
    </w:p>
    <w:p w14:paraId="64C68816">
      <w:p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w:t>
      </w:r>
      <w:r>
        <w:rPr>
          <w:rFonts w:hint="eastAsia" w:ascii="Times New Roman" w:eastAsia="仿宋_GB2312"/>
          <w:color w:val="auto"/>
          <w:kern w:val="2"/>
          <w:sz w:val="32"/>
          <w:szCs w:val="32"/>
        </w:rPr>
        <w:t>过程管控</w:t>
      </w:r>
    </w:p>
    <w:p w14:paraId="6D010F50">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支出控制情况：部门公用经费及非定额公用支出控制情况。部门日常公用经费、项目支出中“办公费、印刷费、差旅费、水费、电费、物业管理费”等科目年初预算数为235954.05元，实际支出数（决算数）为232077.94元，偏差程度为1.6</w:t>
      </w:r>
      <w:r>
        <w:rPr>
          <w:rFonts w:hint="default" w:ascii="Times New Roman" w:eastAsia="仿宋_GB2312"/>
          <w:color w:val="auto"/>
          <w:kern w:val="2"/>
          <w:sz w:val="32"/>
          <w:szCs w:val="32"/>
        </w:rPr>
        <w:t>4%</w:t>
      </w:r>
      <w:r>
        <w:rPr>
          <w:rFonts w:hint="eastAsia" w:ascii="Times New Roman" w:eastAsia="仿宋_GB2312"/>
          <w:color w:val="auto"/>
          <w:kern w:val="2"/>
          <w:sz w:val="32"/>
          <w:szCs w:val="32"/>
        </w:rPr>
        <w:t>。</w:t>
      </w:r>
    </w:p>
    <w:p w14:paraId="0F5CC720">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执行进度情况：部门在6、9、11月及年终的预算执行情况。部门预算项目预算实际支出进度分别达到34.16%、51.27%、57.07%及65.58%。</w:t>
      </w:r>
    </w:p>
    <w:p w14:paraId="2322142A">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同步调整情况：部门预算执行中，已实现预算调整和绩效目标调整同步。</w:t>
      </w:r>
    </w:p>
    <w:p w14:paraId="0D00DCF3">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及时处置情况：根据财政局组织开展对绩效运行监控发现的问题及时进行整改。</w:t>
      </w:r>
    </w:p>
    <w:p w14:paraId="4AEAA0F9">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3.</w:t>
      </w:r>
      <w:r>
        <w:rPr>
          <w:rFonts w:hint="eastAsia" w:ascii="Times New Roman" w:eastAsia="仿宋_GB2312"/>
          <w:color w:val="auto"/>
          <w:kern w:val="2"/>
          <w:sz w:val="32"/>
          <w:szCs w:val="32"/>
        </w:rPr>
        <w:t>完成(效率）结果</w:t>
      </w:r>
    </w:p>
    <w:p w14:paraId="5D6E9A7B">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预算结余率（低效无效率）情况：部门预算项目年终预算结余情况。部门预算项目预算结余率（结余率=（实际使用资金-预算资金）/预算资金*100%）小于10%的项目数/部门预算项目总数为20</w:t>
      </w:r>
      <w:r>
        <w:rPr>
          <w:rFonts w:hint="default" w:ascii="Times New Roman" w:eastAsia="仿宋_GB2312"/>
          <w:color w:val="auto"/>
          <w:kern w:val="2"/>
          <w:sz w:val="32"/>
          <w:szCs w:val="32"/>
        </w:rPr>
        <w:t>%</w:t>
      </w:r>
      <w:r>
        <w:rPr>
          <w:rFonts w:hint="eastAsia" w:ascii="Times New Roman" w:eastAsia="仿宋_GB2312"/>
          <w:color w:val="auto"/>
          <w:kern w:val="2"/>
          <w:sz w:val="32"/>
          <w:szCs w:val="32"/>
        </w:rPr>
        <w:t>。</w:t>
      </w:r>
    </w:p>
    <w:p w14:paraId="4D804909">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（二）项目预算绩效管理情况</w:t>
      </w:r>
    </w:p>
    <w:p w14:paraId="35BE087B">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w:t>
      </w:r>
      <w:r>
        <w:rPr>
          <w:rFonts w:hint="eastAsia" w:ascii="Times New Roman" w:eastAsia="仿宋_GB2312"/>
          <w:color w:val="auto"/>
          <w:kern w:val="2"/>
          <w:sz w:val="32"/>
          <w:szCs w:val="32"/>
        </w:rPr>
        <w:t>部门预算项目绩效情况</w:t>
      </w:r>
    </w:p>
    <w:p w14:paraId="17435580">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部门预算项目共7个，已对所有项目展开绩效自评，其中残疾人民生保障工作经费88.7分，残疾儿童康复救助89分，残疾人康复88分，残疾人医保代缴92.33分，争取项目资金工作经费83分，残疾人事业发展补助资金（存量）91.16分，残疾人事业彩票公益金（存量）91.69分，即部门预算项目绩效平均分为89.13分。根据财政要求，已将2023年区本级50万元及以上的预算项目（残疾人医保代缴）开展自行评估。</w:t>
      </w:r>
    </w:p>
    <w:p w14:paraId="333BFD5F">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w:t>
      </w:r>
      <w:r>
        <w:rPr>
          <w:rFonts w:hint="eastAsia" w:ascii="Times New Roman" w:eastAsia="仿宋_GB2312"/>
          <w:color w:val="auto"/>
          <w:kern w:val="2"/>
          <w:sz w:val="32"/>
          <w:szCs w:val="32"/>
        </w:rPr>
        <w:t>专项预算绩效情况</w:t>
      </w:r>
    </w:p>
    <w:p w14:paraId="3D52FF5C">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专项预算项目共3个，已对所有项目展开绩效自评，其中残疾人事业民生项目98.97分，残疾人事业发展补助项目91.28分，农村残疾人就业帮扶基地奖补项目99.65分，即专项预算项目绩效平均分为96.63分。专项预算项目中无区本级财力追加50万元及以上的项目。</w:t>
      </w:r>
    </w:p>
    <w:p w14:paraId="03457BCF">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（三）绩效结果应用</w:t>
      </w:r>
    </w:p>
    <w:p w14:paraId="51747DF2">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预算绩效制度建设情况：已制定预算绩效管理制度和内部预算绩效工作考核挂钩制度。一是建立健全本部门（单位）预算绩效管理制度，有正式文件依据且内容齐全，符合我区政府出台绩效制度和实际要求。二是已建立对内设机构和下属单位纳入内部预算绩效工作考核机制，有正式文件依据且实行绩效考核挂钩。</w:t>
      </w:r>
    </w:p>
    <w:p w14:paraId="23572870">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自评公开情况：部门按要求及时将部门整体绩效自评情况和自行组织的评价情况向社会公开。按绩效自评公开要求将预算绩效目标、中央转移支付自评等相关绩效信息随同预、决算和上级要求公开的时间进行公开。</w:t>
      </w:r>
    </w:p>
    <w:p w14:paraId="19F3DB0A">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问题整改情况：部门根据绩效管理结果整改问题、完善政策、改进管理。针对绩效管理过程中（包括绩效目标核查、绩效监控核查、重点自评抽查复核、重点绩效评价等）提出的问题及时进行全面整改。</w:t>
      </w:r>
    </w:p>
    <w:p w14:paraId="42DE5E6F">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应用反馈情况：部门会按要求及时向财政部门反馈问题整改及结果应用情况。部门会在规定时间内向财政部门反馈问题整改及绩效结果应用报告，报告内容翔实、问题整改到位、结果应用充分。</w:t>
      </w:r>
    </w:p>
    <w:p w14:paraId="00E400BA">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（四）自评质量</w:t>
      </w:r>
    </w:p>
    <w:p w14:paraId="4D7A2D8B">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我单位严格按照自评模板开展自评并撰写报告、自评全覆盖、组织对所有部门预算项目开展自评、自评报告（表）相关定量(定性)描述有佐证支撑。</w:t>
      </w:r>
    </w:p>
    <w:p w14:paraId="533A0F04">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（五）根据审计监督、财会监督和决算审查结果反映部门上一年度预算管理符合相关财政财务管理规定，无违反规定情况。</w:t>
      </w:r>
    </w:p>
    <w:p w14:paraId="60257BA6">
      <w:pPr>
        <w:numPr>
          <w:ilvl w:val="0"/>
          <w:numId w:val="0"/>
        </w:numPr>
        <w:autoSpaceDE/>
        <w:autoSpaceDN/>
        <w:adjustRightInd/>
        <w:spacing w:line="576" w:lineRule="exact"/>
        <w:ind w:firstLine="640" w:firstLineChars="200"/>
        <w:jc w:val="both"/>
        <w:rPr>
          <w:rFonts w:hint="default" w:ascii="Times New Roman" w:eastAsia="黑体"/>
          <w:color w:val="auto"/>
          <w:kern w:val="2"/>
          <w:sz w:val="32"/>
          <w:szCs w:val="32"/>
        </w:rPr>
      </w:pPr>
      <w:r>
        <w:rPr>
          <w:rFonts w:hint="eastAsia" w:ascii="Times New Roman" w:eastAsia="黑体"/>
          <w:color w:val="auto"/>
          <w:kern w:val="2"/>
          <w:sz w:val="32"/>
          <w:szCs w:val="32"/>
        </w:rPr>
        <w:t>四、存在的问题及建议（措施）</w:t>
      </w:r>
    </w:p>
    <w:p w14:paraId="4FADFDAD">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（一）存在问题</w:t>
      </w:r>
    </w:p>
    <w:p w14:paraId="23FCB7A1">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w:t>
      </w:r>
      <w:r>
        <w:rPr>
          <w:rFonts w:hint="eastAsia" w:ascii="Times New Roman" w:eastAsia="仿宋_GB2312"/>
          <w:color w:val="auto"/>
          <w:kern w:val="2"/>
          <w:sz w:val="32"/>
          <w:szCs w:val="32"/>
        </w:rPr>
        <w:t>项目资金效益有待进一步提高，社会影响需要加大。</w:t>
      </w:r>
    </w:p>
    <w:p w14:paraId="50B33464">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w:t>
      </w:r>
      <w:r>
        <w:rPr>
          <w:rFonts w:hint="eastAsia" w:ascii="Times New Roman" w:eastAsia="仿宋_GB2312"/>
          <w:color w:val="auto"/>
          <w:kern w:val="2"/>
          <w:sz w:val="32"/>
          <w:szCs w:val="32"/>
        </w:rPr>
        <w:t>服务残疾人工作能力和业务水平有待进一步提高</w:t>
      </w:r>
      <w:r>
        <w:rPr>
          <w:rFonts w:hint="eastAsia" w:ascii="Times New Roman" w:eastAsia="仿宋_GB2312"/>
          <w:kern w:val="2"/>
          <w:sz w:val="32"/>
          <w:szCs w:val="32"/>
        </w:rPr>
        <w:t>。</w:t>
      </w:r>
    </w:p>
    <w:p w14:paraId="01378275">
      <w:pPr>
        <w:numPr>
          <w:ilvl w:val="0"/>
          <w:numId w:val="0"/>
        </w:numPr>
        <w:autoSpaceDE/>
        <w:autoSpaceDN/>
        <w:adjustRightInd/>
        <w:spacing w:line="576" w:lineRule="exact"/>
        <w:ind w:firstLine="640" w:firstLineChars="200"/>
        <w:jc w:val="both"/>
        <w:rPr>
          <w:rFonts w:hint="default" w:ascii="Times New Roman" w:eastAsia="楷体_GB2312"/>
          <w:color w:val="auto"/>
          <w:kern w:val="2"/>
          <w:sz w:val="32"/>
          <w:szCs w:val="32"/>
        </w:rPr>
      </w:pPr>
      <w:r>
        <w:rPr>
          <w:rFonts w:hint="eastAsia" w:ascii="Times New Roman" w:eastAsia="楷体_GB2312"/>
          <w:color w:val="auto"/>
          <w:kern w:val="2"/>
          <w:sz w:val="32"/>
          <w:szCs w:val="32"/>
        </w:rPr>
        <w:t>（二）改进建议（措施）</w:t>
      </w:r>
    </w:p>
    <w:p w14:paraId="1FF7257A">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1.</w:t>
      </w:r>
      <w:r>
        <w:rPr>
          <w:rFonts w:hint="eastAsia" w:ascii="Times New Roman" w:eastAsia="仿宋_GB2312"/>
          <w:color w:val="auto"/>
          <w:kern w:val="2"/>
          <w:sz w:val="32"/>
          <w:szCs w:val="32"/>
        </w:rPr>
        <w:t>加大项目争取力度，着力解决残疾人需求</w:t>
      </w:r>
    </w:p>
    <w:p w14:paraId="4CF15C07">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认真组织实施残疾人需求摸底调查，积极向上级财政、残联争取项目资金，加大残疾人康复、创业、就业培训、无障碍改造、辅助适配等项目实施力度，逐步解决我区残疾人的合理需求。</w:t>
      </w:r>
    </w:p>
    <w:p w14:paraId="6E308B9C">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default" w:ascii="Times New Roman" w:eastAsia="仿宋_GB2312"/>
          <w:color w:val="auto"/>
          <w:kern w:val="2"/>
          <w:sz w:val="32"/>
          <w:szCs w:val="32"/>
        </w:rPr>
        <w:t>2.</w:t>
      </w:r>
      <w:r>
        <w:rPr>
          <w:rFonts w:hint="eastAsia" w:ascii="Times New Roman" w:eastAsia="仿宋_GB2312"/>
          <w:color w:val="auto"/>
          <w:kern w:val="2"/>
          <w:sz w:val="32"/>
          <w:szCs w:val="32"/>
        </w:rPr>
        <w:t>科学制订培训计划，促进残疾人就业创业</w:t>
      </w:r>
    </w:p>
    <w:p w14:paraId="0C6F1B91">
      <w:pPr>
        <w:numPr>
          <w:ilvl w:val="0"/>
          <w:numId w:val="0"/>
        </w:numPr>
        <w:autoSpaceDE/>
        <w:autoSpaceDN/>
        <w:adjustRightInd/>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auto"/>
          <w:kern w:val="2"/>
          <w:sz w:val="32"/>
          <w:szCs w:val="32"/>
        </w:rPr>
        <w:t>对我区残疾人就业情况进行详细摸底，并建立完善的台账，做实基础性工作。多渠道、多形式开展残疾人实用技能培训，让更多的残疾人走上就业岗位。</w:t>
      </w:r>
    </w:p>
    <w:p w14:paraId="32A2EFFD">
      <w:pPr>
        <w:jc w:val="both"/>
        <w:rPr>
          <w:rFonts w:hint="default" w:ascii="Times New Roman" w:eastAsia="仿宋_GB2312"/>
          <w:color w:val="auto"/>
          <w:kern w:val="2"/>
          <w:sz w:val="32"/>
          <w:szCs w:val="32"/>
        </w:rPr>
      </w:pPr>
    </w:p>
    <w:p w14:paraId="5E44223F">
      <w:pPr>
        <w:autoSpaceDE/>
        <w:autoSpaceDN/>
        <w:adjustRightInd/>
        <w:spacing w:line="576" w:lineRule="exact"/>
        <w:ind w:firstLine="640" w:firstLineChars="200"/>
        <w:jc w:val="both"/>
        <w:rPr>
          <w:rFonts w:hint="eastAsia" w:ascii="Times New Roman" w:eastAsia="仿宋_GB2312"/>
          <w:color w:val="auto"/>
          <w:kern w:val="2"/>
          <w:sz w:val="32"/>
          <w:szCs w:val="22"/>
        </w:rPr>
      </w:pPr>
      <w:r>
        <w:rPr>
          <w:rFonts w:hint="eastAsia" w:ascii="Times New Roman" w:eastAsia="仿宋_GB2312"/>
          <w:color w:val="auto"/>
          <w:kern w:val="2"/>
          <w:sz w:val="32"/>
          <w:szCs w:val="22"/>
        </w:rPr>
        <w:t>附表：1.部门整体支出绩效目标自评表</w:t>
      </w:r>
    </w:p>
    <w:p w14:paraId="1C415A80">
      <w:pPr>
        <w:autoSpaceDE/>
        <w:autoSpaceDN/>
        <w:adjustRightInd/>
        <w:spacing w:line="576" w:lineRule="exact"/>
        <w:ind w:firstLine="1600" w:firstLineChars="500"/>
        <w:jc w:val="both"/>
        <w:rPr>
          <w:rFonts w:hint="eastAsia" w:ascii="仿宋_GB2312" w:hAnsi="仿宋_GB2312" w:eastAsia="仿宋_GB2312"/>
          <w:kern w:val="2"/>
          <w:sz w:val="32"/>
          <w:szCs w:val="24"/>
        </w:rPr>
      </w:pPr>
      <w:r>
        <w:rPr>
          <w:rFonts w:hint="eastAsia" w:ascii="Times New Roman" w:eastAsia="仿宋_GB2312"/>
          <w:color w:val="auto"/>
          <w:kern w:val="2"/>
          <w:sz w:val="32"/>
          <w:szCs w:val="22"/>
        </w:rPr>
        <w:t>2.残疾人医保代缴</w:t>
      </w:r>
      <w:r>
        <w:rPr>
          <w:rFonts w:hint="eastAsia" w:ascii="仿宋_GB2312" w:hAnsi="仿宋_GB2312" w:eastAsia="仿宋_GB2312"/>
          <w:kern w:val="2"/>
          <w:sz w:val="32"/>
          <w:szCs w:val="24"/>
        </w:rPr>
        <w:t>项目支出绩效自评表</w:t>
      </w:r>
    </w:p>
    <w:p w14:paraId="68BE3637">
      <w:pPr>
        <w:pStyle w:val="2"/>
        <w:rPr>
          <w:rFonts w:hint="default" w:ascii="Times New Roman"/>
          <w:color w:val="auto"/>
          <w:kern w:val="2"/>
          <w:sz w:val="28"/>
          <w:szCs w:val="28"/>
        </w:rPr>
      </w:pPr>
      <w:r>
        <w:rPr>
          <w:rFonts w:hint="eastAsia"/>
          <w:sz w:val="30"/>
          <w:szCs w:val="24"/>
        </w:rPr>
        <w:t xml:space="preserve"> </w:t>
      </w:r>
      <w:r>
        <w:rPr>
          <w:rFonts w:hint="eastAsia" w:ascii="Times New Roman"/>
          <w:color w:val="auto"/>
          <w:kern w:val="2"/>
          <w:sz w:val="32"/>
          <w:szCs w:val="22"/>
        </w:rPr>
        <w:t xml:space="preserve">         3.残疾人民生保障工作经费项目支出绩效自评表</w:t>
      </w:r>
      <w:r>
        <w:rPr>
          <w:rFonts w:hint="default" w:ascii="Times New Roman"/>
          <w:color w:val="auto"/>
          <w:kern w:val="2"/>
          <w:sz w:val="28"/>
          <w:szCs w:val="28"/>
        </w:rPr>
        <w:br w:type="page"/>
      </w:r>
    </w:p>
    <w:tbl>
      <w:tblPr>
        <w:tblStyle w:val="8"/>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
        <w:gridCol w:w="597"/>
        <w:gridCol w:w="612"/>
        <w:gridCol w:w="851"/>
        <w:gridCol w:w="928"/>
        <w:gridCol w:w="1521"/>
        <w:gridCol w:w="1119"/>
        <w:gridCol w:w="1369"/>
        <w:gridCol w:w="1312"/>
      </w:tblGrid>
      <w:tr w14:paraId="5B57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0" w:type="dxa"/>
            <w:gridSpan w:val="9"/>
            <w:tcBorders>
              <w:top w:val="nil"/>
              <w:left w:val="nil"/>
              <w:bottom w:val="nil"/>
              <w:right w:val="nil"/>
              <w:tl2br w:val="nil"/>
              <w:tr2bl w:val="nil"/>
            </w:tcBorders>
            <w:noWrap w:val="0"/>
            <w:vAlign w:val="center"/>
          </w:tcPr>
          <w:p w14:paraId="33394D6B">
            <w:pPr>
              <w:widowControl/>
              <w:autoSpaceDE/>
              <w:autoSpaceDN/>
              <w:adjustRightInd/>
              <w:jc w:val="both"/>
              <w:textAlignment w:val="center"/>
              <w:rPr>
                <w:rFonts w:hint="eastAsia" w:ascii="Times New Roman" w:eastAsia="黑体"/>
                <w:color w:val="000000"/>
                <w:sz w:val="36"/>
                <w:szCs w:val="36"/>
                <w:lang w:bidi="ar"/>
              </w:rPr>
            </w:pPr>
            <w:r>
              <w:rPr>
                <w:rFonts w:hint="eastAsia" w:ascii="Times New Roman" w:eastAsia="黑体"/>
                <w:kern w:val="2"/>
                <w:sz w:val="32"/>
                <w:szCs w:val="32"/>
              </w:rPr>
              <w:t>附表1</w:t>
            </w:r>
          </w:p>
          <w:p w14:paraId="31D46BF9">
            <w:pPr>
              <w:widowControl/>
              <w:autoSpaceDE/>
              <w:autoSpaceDN/>
              <w:adjustRightInd/>
              <w:jc w:val="center"/>
              <w:textAlignment w:val="center"/>
              <w:rPr>
                <w:rFonts w:hint="default" w:ascii="Times New Roman" w:eastAsia="方正小标宋简体"/>
                <w:color w:val="000000"/>
                <w:kern w:val="2"/>
                <w:sz w:val="36"/>
                <w:szCs w:val="36"/>
              </w:rPr>
            </w:pPr>
            <w:r>
              <w:rPr>
                <w:rFonts w:hint="eastAsia" w:ascii="Times New Roman" w:eastAsia="方正小标宋简体"/>
                <w:color w:val="000000"/>
                <w:sz w:val="36"/>
                <w:szCs w:val="36"/>
                <w:lang w:bidi="ar"/>
              </w:rPr>
              <w:t>广元市昭化区部门整体支出绩效目标自评表</w:t>
            </w:r>
          </w:p>
        </w:tc>
      </w:tr>
      <w:tr w14:paraId="605F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40" w:type="dxa"/>
            <w:gridSpan w:val="9"/>
            <w:tcBorders>
              <w:top w:val="nil"/>
              <w:left w:val="nil"/>
              <w:bottom w:val="nil"/>
              <w:right w:val="nil"/>
              <w:tl2br w:val="nil"/>
              <w:tr2bl w:val="nil"/>
            </w:tcBorders>
            <w:noWrap w:val="0"/>
            <w:vAlign w:val="top"/>
          </w:tcPr>
          <w:p w14:paraId="1EA58B2B">
            <w:pPr>
              <w:widowControl/>
              <w:autoSpaceDE/>
              <w:autoSpaceDN/>
              <w:adjustRightInd/>
              <w:jc w:val="center"/>
              <w:textAlignment w:val="top"/>
              <w:rPr>
                <w:rFonts w:hint="default" w:ascii="Times New Roman"/>
                <w:b/>
                <w:color w:val="000000"/>
                <w:kern w:val="2"/>
                <w:sz w:val="22"/>
                <w:szCs w:val="22"/>
              </w:rPr>
            </w:pPr>
            <w:r>
              <w:rPr>
                <w:rFonts w:hint="default"/>
                <w:b/>
                <w:color w:val="000000"/>
                <w:sz w:val="22"/>
                <w:szCs w:val="22"/>
                <w:lang w:bidi="ar"/>
              </w:rPr>
              <w:t>（ 2023年度）</w:t>
            </w:r>
          </w:p>
        </w:tc>
      </w:tr>
      <w:tr w14:paraId="574E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48A8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主管部门</w:t>
            </w:r>
          </w:p>
        </w:tc>
        <w:tc>
          <w:tcPr>
            <w:tcW w:w="391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21AB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广元市昭化区残疾人联合会</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35E4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实施单位</w:t>
            </w:r>
          </w:p>
        </w:tc>
        <w:tc>
          <w:tcPr>
            <w:tcW w:w="268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2761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广元市昭化区残疾人联合会</w:t>
            </w:r>
          </w:p>
        </w:tc>
      </w:tr>
      <w:tr w14:paraId="79A4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D723EE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项目（政策）资金（万元）</w:t>
            </w:r>
          </w:p>
        </w:tc>
        <w:tc>
          <w:tcPr>
            <w:tcW w:w="2391" w:type="dxa"/>
            <w:gridSpan w:val="3"/>
            <w:tcBorders>
              <w:top w:val="nil"/>
              <w:left w:val="single" w:color="000000" w:sz="4" w:space="0"/>
              <w:bottom w:val="single" w:color="000000" w:sz="4" w:space="0"/>
              <w:right w:val="single" w:color="000000" w:sz="4" w:space="0"/>
              <w:tl2br w:val="nil"/>
              <w:tr2bl w:val="nil"/>
            </w:tcBorders>
            <w:noWrap w:val="0"/>
            <w:vAlign w:val="center"/>
          </w:tcPr>
          <w:p w14:paraId="44BC961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年度预算数（万元）</w:t>
            </w:r>
          </w:p>
        </w:tc>
        <w:tc>
          <w:tcPr>
            <w:tcW w:w="1521" w:type="dxa"/>
            <w:tcBorders>
              <w:top w:val="nil"/>
              <w:left w:val="single" w:color="000000" w:sz="4" w:space="0"/>
              <w:bottom w:val="single" w:color="000000" w:sz="4" w:space="0"/>
              <w:right w:val="single" w:color="000000" w:sz="4" w:space="0"/>
              <w:tl2br w:val="nil"/>
              <w:tr2bl w:val="nil"/>
            </w:tcBorders>
            <w:noWrap w:val="0"/>
            <w:vAlign w:val="center"/>
          </w:tcPr>
          <w:p w14:paraId="0EE842F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年初预算数</w:t>
            </w:r>
          </w:p>
        </w:tc>
        <w:tc>
          <w:tcPr>
            <w:tcW w:w="1119" w:type="dxa"/>
            <w:tcBorders>
              <w:top w:val="nil"/>
              <w:left w:val="single" w:color="000000" w:sz="4" w:space="0"/>
              <w:bottom w:val="single" w:color="000000" w:sz="4" w:space="0"/>
              <w:right w:val="single" w:color="000000" w:sz="4" w:space="0"/>
              <w:tl2br w:val="nil"/>
              <w:tr2bl w:val="nil"/>
            </w:tcBorders>
            <w:noWrap w:val="0"/>
            <w:vAlign w:val="center"/>
          </w:tcPr>
          <w:p w14:paraId="23B33D4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全年预算数</w:t>
            </w:r>
          </w:p>
        </w:tc>
        <w:tc>
          <w:tcPr>
            <w:tcW w:w="1369" w:type="dxa"/>
            <w:tcBorders>
              <w:top w:val="nil"/>
              <w:left w:val="single" w:color="000000" w:sz="4" w:space="0"/>
              <w:bottom w:val="single" w:color="000000" w:sz="4" w:space="0"/>
              <w:right w:val="single" w:color="000000" w:sz="4" w:space="0"/>
              <w:tl2br w:val="nil"/>
              <w:tr2bl w:val="nil"/>
            </w:tcBorders>
            <w:noWrap w:val="0"/>
            <w:vAlign w:val="center"/>
          </w:tcPr>
          <w:p w14:paraId="21E0A00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全年执行数</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3C3F092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执行率(%)</w:t>
            </w:r>
          </w:p>
        </w:tc>
      </w:tr>
      <w:tr w14:paraId="2DBD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5C793C">
            <w:pPr>
              <w:autoSpaceDE/>
              <w:autoSpaceDN/>
              <w:adjustRightInd/>
              <w:jc w:val="center"/>
              <w:rPr>
                <w:rFonts w:hint="default" w:ascii="Times New Roman"/>
                <w:color w:val="000000"/>
                <w:kern w:val="2"/>
                <w:sz w:val="18"/>
                <w:szCs w:val="18"/>
              </w:rPr>
            </w:pPr>
          </w:p>
        </w:tc>
        <w:tc>
          <w:tcPr>
            <w:tcW w:w="23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BD98C">
            <w:pPr>
              <w:widowControl/>
              <w:autoSpaceDE/>
              <w:autoSpaceDN/>
              <w:adjustRightInd/>
              <w:jc w:val="both"/>
              <w:textAlignment w:val="center"/>
              <w:rPr>
                <w:rFonts w:hint="default" w:ascii="Times New Roman"/>
                <w:color w:val="000000"/>
                <w:kern w:val="2"/>
                <w:sz w:val="18"/>
                <w:szCs w:val="18"/>
              </w:rPr>
            </w:pPr>
            <w:r>
              <w:rPr>
                <w:rFonts w:hint="default"/>
                <w:color w:val="000000"/>
                <w:sz w:val="18"/>
                <w:szCs w:val="18"/>
                <w:lang w:bidi="ar"/>
              </w:rPr>
              <w:t>年度资金总额</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65C9B">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276.17</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89FB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955.93</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97E8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626.91</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42D8499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65.58%</w:t>
            </w:r>
          </w:p>
        </w:tc>
      </w:tr>
      <w:tr w14:paraId="2279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3590828">
            <w:pPr>
              <w:autoSpaceDE/>
              <w:autoSpaceDN/>
              <w:adjustRightInd/>
              <w:jc w:val="center"/>
              <w:rPr>
                <w:rFonts w:hint="default" w:ascii="Times New Roman"/>
                <w:color w:val="000000"/>
                <w:kern w:val="2"/>
                <w:sz w:val="18"/>
                <w:szCs w:val="18"/>
              </w:rPr>
            </w:pPr>
          </w:p>
        </w:tc>
        <w:tc>
          <w:tcPr>
            <w:tcW w:w="23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0416A">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（一）财政拨款小计</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CAD0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276.17</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BAD38">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938.15</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3BDD8">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626.91</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67686769">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66.82%</w:t>
            </w:r>
          </w:p>
        </w:tc>
      </w:tr>
      <w:tr w14:paraId="4E02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8D35FB">
            <w:pPr>
              <w:autoSpaceDE/>
              <w:autoSpaceDN/>
              <w:adjustRightInd/>
              <w:jc w:val="center"/>
              <w:rPr>
                <w:rFonts w:hint="default" w:ascii="Times New Roman"/>
                <w:color w:val="000000"/>
                <w:kern w:val="2"/>
                <w:sz w:val="18"/>
                <w:szCs w:val="18"/>
              </w:rPr>
            </w:pPr>
          </w:p>
        </w:tc>
        <w:tc>
          <w:tcPr>
            <w:tcW w:w="23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A75E8">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1.</w:t>
            </w:r>
            <w:r>
              <w:rPr>
                <w:rFonts w:hint="default"/>
                <w:color w:val="000000"/>
                <w:sz w:val="18"/>
                <w:szCs w:val="18"/>
                <w:lang w:bidi="ar"/>
              </w:rPr>
              <w:t>一般公共预算</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7A5F6">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276.17</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8CB5E">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854.07</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D9E5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566.25</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7B16F5FA">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66.30%</w:t>
            </w:r>
          </w:p>
        </w:tc>
      </w:tr>
      <w:tr w14:paraId="36BE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301BF5">
            <w:pPr>
              <w:autoSpaceDE/>
              <w:autoSpaceDN/>
              <w:adjustRightInd/>
              <w:jc w:val="center"/>
              <w:rPr>
                <w:rFonts w:hint="default" w:ascii="Times New Roman"/>
                <w:color w:val="000000"/>
                <w:kern w:val="2"/>
                <w:sz w:val="18"/>
                <w:szCs w:val="18"/>
              </w:rPr>
            </w:pPr>
          </w:p>
        </w:tc>
        <w:tc>
          <w:tcPr>
            <w:tcW w:w="23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51D5B">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2.</w:t>
            </w:r>
            <w:r>
              <w:rPr>
                <w:rFonts w:hint="default"/>
                <w:color w:val="000000"/>
                <w:sz w:val="18"/>
                <w:szCs w:val="18"/>
                <w:lang w:bidi="ar"/>
              </w:rPr>
              <w:t>政府性基金</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33F77">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853F8">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84.08</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CEB3E">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60.66</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5FAC6310">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72.15%</w:t>
            </w:r>
          </w:p>
        </w:tc>
      </w:tr>
      <w:tr w14:paraId="418B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395144">
            <w:pPr>
              <w:autoSpaceDE/>
              <w:autoSpaceDN/>
              <w:adjustRightInd/>
              <w:jc w:val="center"/>
              <w:rPr>
                <w:rFonts w:hint="default" w:ascii="Times New Roman"/>
                <w:color w:val="000000"/>
                <w:kern w:val="2"/>
                <w:sz w:val="18"/>
                <w:szCs w:val="18"/>
              </w:rPr>
            </w:pPr>
          </w:p>
        </w:tc>
        <w:tc>
          <w:tcPr>
            <w:tcW w:w="23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9B3E3">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3.</w:t>
            </w:r>
            <w:r>
              <w:rPr>
                <w:rFonts w:hint="default"/>
                <w:color w:val="000000"/>
                <w:sz w:val="18"/>
                <w:szCs w:val="18"/>
                <w:lang w:bidi="ar"/>
              </w:rPr>
              <w:t>国有资本经营预算</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D7FAF">
            <w:pPr>
              <w:autoSpaceDE/>
              <w:autoSpaceDN/>
              <w:adjustRightInd/>
              <w:jc w:val="center"/>
              <w:rPr>
                <w:rFonts w:hint="default" w:ascii="Times New Roman"/>
                <w:color w:val="000000"/>
                <w:kern w:val="2"/>
                <w:sz w:val="18"/>
                <w:szCs w:val="18"/>
              </w:rPr>
            </w:pP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6C73E">
            <w:pPr>
              <w:autoSpaceDE/>
              <w:autoSpaceDN/>
              <w:adjustRightInd/>
              <w:jc w:val="center"/>
              <w:rPr>
                <w:rFonts w:hint="default" w:ascii="Times New Roman"/>
                <w:color w:val="000000"/>
                <w:kern w:val="2"/>
                <w:sz w:val="18"/>
                <w:szCs w:val="18"/>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693D0">
            <w:pPr>
              <w:autoSpaceDE/>
              <w:autoSpaceDN/>
              <w:adjustRightInd/>
              <w:jc w:val="center"/>
              <w:rPr>
                <w:rFonts w:hint="default" w:ascii="Times New Roman"/>
                <w:color w:val="000000"/>
                <w:kern w:val="2"/>
                <w:sz w:val="18"/>
                <w:szCs w:val="18"/>
              </w:rPr>
            </w:pP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4EA35DF1">
            <w:pPr>
              <w:autoSpaceDE/>
              <w:autoSpaceDN/>
              <w:adjustRightInd/>
              <w:jc w:val="center"/>
              <w:rPr>
                <w:rFonts w:hint="default" w:ascii="Times New Roman"/>
                <w:color w:val="000000"/>
                <w:kern w:val="2"/>
                <w:sz w:val="18"/>
                <w:szCs w:val="18"/>
              </w:rPr>
            </w:pPr>
          </w:p>
        </w:tc>
      </w:tr>
      <w:tr w14:paraId="4971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DAE69A">
            <w:pPr>
              <w:autoSpaceDE/>
              <w:autoSpaceDN/>
              <w:adjustRightInd/>
              <w:jc w:val="center"/>
              <w:rPr>
                <w:rFonts w:hint="default" w:ascii="Times New Roman"/>
                <w:color w:val="000000"/>
                <w:kern w:val="2"/>
                <w:sz w:val="18"/>
                <w:szCs w:val="18"/>
              </w:rPr>
            </w:pPr>
          </w:p>
        </w:tc>
        <w:tc>
          <w:tcPr>
            <w:tcW w:w="239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B4284">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（二）其他资金</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7467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BD98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17.78</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F5242">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0</w:t>
            </w:r>
          </w:p>
        </w:tc>
        <w:tc>
          <w:tcPr>
            <w:tcW w:w="1312" w:type="dxa"/>
            <w:tcBorders>
              <w:top w:val="nil"/>
              <w:left w:val="single" w:color="000000" w:sz="4" w:space="0"/>
              <w:bottom w:val="single" w:color="000000" w:sz="4" w:space="0"/>
              <w:right w:val="single" w:color="000000" w:sz="4" w:space="0"/>
              <w:tl2br w:val="nil"/>
              <w:tr2bl w:val="nil"/>
            </w:tcBorders>
            <w:noWrap w:val="0"/>
            <w:vAlign w:val="center"/>
          </w:tcPr>
          <w:p w14:paraId="20525B3A">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0%</w:t>
            </w:r>
          </w:p>
        </w:tc>
      </w:tr>
      <w:tr w14:paraId="017F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9015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整体</w:t>
            </w:r>
            <w:r>
              <w:rPr>
                <w:rFonts w:hint="default" w:ascii="Times New Roman"/>
                <w:color w:val="000000"/>
                <w:sz w:val="18"/>
                <w:szCs w:val="18"/>
                <w:lang w:bidi="ar"/>
              </w:rPr>
              <w:br w:type="textWrapping"/>
            </w:r>
            <w:r>
              <w:rPr>
                <w:rFonts w:hint="default"/>
                <w:color w:val="000000"/>
                <w:sz w:val="18"/>
                <w:szCs w:val="18"/>
                <w:lang w:bidi="ar"/>
              </w:rPr>
              <w:t>目标</w:t>
            </w:r>
          </w:p>
        </w:tc>
        <w:tc>
          <w:tcPr>
            <w:tcW w:w="562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BF18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年度目标</w:t>
            </w:r>
          </w:p>
        </w:tc>
        <w:tc>
          <w:tcPr>
            <w:tcW w:w="268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62E6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完成情况</w:t>
            </w:r>
          </w:p>
        </w:tc>
      </w:tr>
      <w:tr w14:paraId="3BA1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42C53">
            <w:pPr>
              <w:autoSpaceDE/>
              <w:autoSpaceDN/>
              <w:adjustRightInd/>
              <w:jc w:val="center"/>
              <w:rPr>
                <w:rFonts w:hint="default" w:ascii="Times New Roman"/>
                <w:color w:val="000000"/>
                <w:kern w:val="2"/>
                <w:sz w:val="18"/>
                <w:szCs w:val="18"/>
              </w:rPr>
            </w:pPr>
          </w:p>
        </w:tc>
        <w:tc>
          <w:tcPr>
            <w:tcW w:w="562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A5FA6">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为全力保障残疾人各项工作顺利开展，计划全年开展残疾人康复儿童救助36人，为200人提供辅具适配，8名残疾人免费安装假肢，400人提供实用技术培训和技能培训，50户困难重度残疾人进行无障碍改造，为4000余名残疾人代缴医疗保险，积极向上争取残疾人专项资金200万元，通过开展残疾人工作，提高残疾人康复、教育、就业和融入社会和生活自理能力，减轻残疾人家庭经济负担，提高社会满意度。</w:t>
            </w:r>
          </w:p>
        </w:tc>
        <w:tc>
          <w:tcPr>
            <w:tcW w:w="268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50AB6">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通过开展2023年工作，完成残疾康复儿童救助39人，为263人提供辅具适配，8名残疾人免费安装假肢，439人提供实用技术培训和技能培训，51户困难重度残疾人进行无障碍改造，为4605名残疾人代缴医疗保险，积极向上争取残疾人专项资金278.43万元。</w:t>
            </w:r>
          </w:p>
        </w:tc>
      </w:tr>
      <w:tr w14:paraId="2D78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654E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部门整体绩效指标</w:t>
            </w:r>
          </w:p>
        </w:tc>
        <w:tc>
          <w:tcPr>
            <w:tcW w:w="5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46A4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一级指标</w:t>
            </w: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B3F7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二级指标</w:t>
            </w:r>
          </w:p>
        </w:tc>
        <w:tc>
          <w:tcPr>
            <w:tcW w:w="33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EAE98">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三级指标</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5B32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年度指标值</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F8A5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实际完成值</w:t>
            </w:r>
          </w:p>
        </w:tc>
        <w:tc>
          <w:tcPr>
            <w:tcW w:w="1312" w:type="dxa"/>
            <w:tcBorders>
              <w:top w:val="nil"/>
              <w:left w:val="nil"/>
              <w:bottom w:val="nil"/>
              <w:right w:val="single" w:color="000000" w:sz="4" w:space="0"/>
              <w:tl2br w:val="nil"/>
              <w:tr2bl w:val="nil"/>
            </w:tcBorders>
            <w:noWrap w:val="0"/>
            <w:vAlign w:val="center"/>
          </w:tcPr>
          <w:p w14:paraId="17D77F7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偏差原因分析及改进措施</w:t>
            </w:r>
          </w:p>
        </w:tc>
      </w:tr>
      <w:tr w14:paraId="0A95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E288A">
            <w:pPr>
              <w:autoSpaceDE/>
              <w:autoSpaceDN/>
              <w:adjustRightInd/>
              <w:jc w:val="center"/>
              <w:rPr>
                <w:rFonts w:hint="default" w:ascii="Times New Roman"/>
                <w:color w:val="000000"/>
                <w:kern w:val="2"/>
                <w:sz w:val="18"/>
                <w:szCs w:val="18"/>
              </w:rPr>
            </w:pP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28CE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产出指标</w:t>
            </w:r>
          </w:p>
        </w:tc>
        <w:tc>
          <w:tcPr>
            <w:tcW w:w="6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5C2E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数量指标</w:t>
            </w: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79FF6E1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7E5CCF4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保障残疾人享受对象人数</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27904">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≥3250</w:t>
            </w:r>
            <w:r>
              <w:rPr>
                <w:rFonts w:hint="default"/>
                <w:color w:val="000000"/>
                <w:sz w:val="18"/>
                <w:szCs w:val="18"/>
                <w:lang w:bidi="ar"/>
              </w:rPr>
              <w:t>人</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DD025">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3770</w:t>
            </w:r>
            <w:r>
              <w:rPr>
                <w:rFonts w:hint="default"/>
                <w:color w:val="000000"/>
                <w:sz w:val="18"/>
                <w:szCs w:val="18"/>
                <w:lang w:bidi="ar"/>
              </w:rPr>
              <w:t>人</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20186">
            <w:pPr>
              <w:autoSpaceDE/>
              <w:autoSpaceDN/>
              <w:adjustRightInd/>
              <w:jc w:val="center"/>
              <w:rPr>
                <w:rFonts w:hint="default" w:ascii="Times New Roman"/>
                <w:color w:val="000000"/>
                <w:kern w:val="2"/>
                <w:sz w:val="18"/>
                <w:szCs w:val="18"/>
              </w:rPr>
            </w:pPr>
          </w:p>
        </w:tc>
      </w:tr>
      <w:tr w14:paraId="4650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CCC65">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14106">
            <w:pPr>
              <w:autoSpaceDE/>
              <w:autoSpaceDN/>
              <w:adjustRightInd/>
              <w:jc w:val="center"/>
              <w:rPr>
                <w:rFonts w:hint="default" w:ascii="Times New Roman"/>
                <w:color w:val="000000"/>
                <w:kern w:val="2"/>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C4ABF">
            <w:pPr>
              <w:autoSpaceDE/>
              <w:autoSpaceDN/>
              <w:adjustRightInd/>
              <w:jc w:val="center"/>
              <w:rPr>
                <w:rFonts w:hint="default" w:ascii="Times New Roman"/>
                <w:color w:val="000000"/>
                <w:kern w:val="2"/>
                <w:sz w:val="18"/>
                <w:szCs w:val="18"/>
              </w:rPr>
            </w:pP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7682C64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70780B5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残疾儿童康复救助人数</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8B193">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≥36</w:t>
            </w:r>
            <w:r>
              <w:rPr>
                <w:rFonts w:hint="default"/>
                <w:color w:val="000000"/>
                <w:sz w:val="18"/>
                <w:szCs w:val="18"/>
                <w:lang w:bidi="ar"/>
              </w:rPr>
              <w:t>人</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E4FA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39</w:t>
            </w:r>
            <w:r>
              <w:rPr>
                <w:rFonts w:hint="default"/>
                <w:color w:val="000000"/>
                <w:sz w:val="18"/>
                <w:szCs w:val="18"/>
                <w:lang w:bidi="ar"/>
              </w:rPr>
              <w:t>人</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45C4D">
            <w:pPr>
              <w:autoSpaceDE/>
              <w:autoSpaceDN/>
              <w:adjustRightInd/>
              <w:jc w:val="center"/>
              <w:rPr>
                <w:rFonts w:hint="default" w:ascii="Times New Roman"/>
                <w:color w:val="000000"/>
                <w:kern w:val="2"/>
                <w:sz w:val="18"/>
                <w:szCs w:val="18"/>
              </w:rPr>
            </w:pPr>
          </w:p>
        </w:tc>
      </w:tr>
      <w:tr w14:paraId="665F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15861">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08D7A">
            <w:pPr>
              <w:autoSpaceDE/>
              <w:autoSpaceDN/>
              <w:adjustRightInd/>
              <w:jc w:val="center"/>
              <w:rPr>
                <w:rFonts w:hint="default" w:ascii="Times New Roman"/>
                <w:color w:val="000000"/>
                <w:kern w:val="2"/>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FC77F">
            <w:pPr>
              <w:autoSpaceDE/>
              <w:autoSpaceDN/>
              <w:adjustRightInd/>
              <w:jc w:val="center"/>
              <w:rPr>
                <w:rFonts w:hint="default" w:ascii="Times New Roman"/>
                <w:color w:val="000000"/>
                <w:kern w:val="2"/>
                <w:sz w:val="18"/>
                <w:szCs w:val="18"/>
              </w:rPr>
            </w:pP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4FCB8CB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指标3：</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5861617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残疾人医疗保险代缴人数</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3EBC3">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≥4000</w:t>
            </w:r>
            <w:r>
              <w:rPr>
                <w:rFonts w:hint="default"/>
                <w:color w:val="000000"/>
                <w:sz w:val="18"/>
                <w:szCs w:val="18"/>
                <w:lang w:bidi="ar"/>
              </w:rPr>
              <w:t>人</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1B83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4605</w:t>
            </w:r>
            <w:r>
              <w:rPr>
                <w:rFonts w:hint="default"/>
                <w:color w:val="000000"/>
                <w:sz w:val="18"/>
                <w:szCs w:val="18"/>
                <w:lang w:bidi="ar"/>
              </w:rPr>
              <w:t>人</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A1941">
            <w:pPr>
              <w:autoSpaceDE/>
              <w:autoSpaceDN/>
              <w:adjustRightInd/>
              <w:jc w:val="center"/>
              <w:rPr>
                <w:rFonts w:hint="default" w:ascii="Times New Roman"/>
                <w:color w:val="000000"/>
                <w:kern w:val="2"/>
                <w:sz w:val="18"/>
                <w:szCs w:val="18"/>
              </w:rPr>
            </w:pPr>
          </w:p>
        </w:tc>
      </w:tr>
      <w:tr w14:paraId="34DF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980A5">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65E96">
            <w:pPr>
              <w:autoSpaceDE/>
              <w:autoSpaceDN/>
              <w:adjustRightInd/>
              <w:jc w:val="center"/>
              <w:rPr>
                <w:rFonts w:hint="default" w:ascii="Times New Roman"/>
                <w:color w:val="000000"/>
                <w:kern w:val="2"/>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4EB7D">
            <w:pPr>
              <w:autoSpaceDE/>
              <w:autoSpaceDN/>
              <w:adjustRightInd/>
              <w:jc w:val="center"/>
              <w:rPr>
                <w:rFonts w:hint="default" w:ascii="Times New Roman"/>
                <w:color w:val="000000"/>
                <w:kern w:val="2"/>
                <w:sz w:val="18"/>
                <w:szCs w:val="18"/>
              </w:rPr>
            </w:pP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5DDD380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指标4：</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7F2B96C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在职职工人员数</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6F690">
            <w:pPr>
              <w:widowControl/>
              <w:autoSpaceDE/>
              <w:autoSpaceDN/>
              <w:adjustRightInd/>
              <w:textAlignment w:val="center"/>
              <w:rPr>
                <w:rFonts w:hint="default" w:ascii="Times New Roman"/>
                <w:color w:val="000000"/>
                <w:kern w:val="2"/>
                <w:sz w:val="20"/>
                <w:szCs w:val="20"/>
              </w:rPr>
            </w:pPr>
            <w:r>
              <w:rPr>
                <w:rFonts w:hint="default"/>
                <w:color w:val="000000"/>
                <w:sz w:val="20"/>
                <w:szCs w:val="20"/>
                <w:lang w:bidi="ar"/>
              </w:rPr>
              <w:t>＝9人</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91392">
            <w:pPr>
              <w:widowControl/>
              <w:autoSpaceDE/>
              <w:autoSpaceDN/>
              <w:adjustRightInd/>
              <w:jc w:val="center"/>
              <w:textAlignment w:val="center"/>
              <w:rPr>
                <w:rFonts w:hint="default" w:ascii="Times New Roman"/>
                <w:color w:val="000000"/>
                <w:kern w:val="2"/>
                <w:sz w:val="20"/>
                <w:szCs w:val="20"/>
              </w:rPr>
            </w:pPr>
            <w:r>
              <w:rPr>
                <w:rFonts w:hint="default" w:ascii="Times New Roman"/>
                <w:color w:val="000000"/>
                <w:sz w:val="20"/>
                <w:szCs w:val="20"/>
                <w:lang w:bidi="ar"/>
              </w:rPr>
              <w:t>9</w:t>
            </w:r>
            <w:r>
              <w:rPr>
                <w:rFonts w:hint="default"/>
                <w:color w:val="000000"/>
                <w:sz w:val="20"/>
                <w:szCs w:val="20"/>
                <w:lang w:bidi="ar"/>
              </w:rPr>
              <w:t>人</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EB201">
            <w:pPr>
              <w:autoSpaceDE/>
              <w:autoSpaceDN/>
              <w:adjustRightInd/>
              <w:jc w:val="center"/>
              <w:rPr>
                <w:rFonts w:hint="default" w:ascii="Times New Roman"/>
                <w:color w:val="000000"/>
                <w:kern w:val="2"/>
                <w:sz w:val="18"/>
                <w:szCs w:val="18"/>
              </w:rPr>
            </w:pPr>
          </w:p>
        </w:tc>
      </w:tr>
      <w:tr w14:paraId="23F3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628CB">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1FAE2">
            <w:pPr>
              <w:autoSpaceDE/>
              <w:autoSpaceDN/>
              <w:adjustRightInd/>
              <w:jc w:val="center"/>
              <w:rPr>
                <w:rFonts w:hint="default" w:ascii="Times New Roman"/>
                <w:color w:val="000000"/>
                <w:kern w:val="2"/>
                <w:sz w:val="18"/>
                <w:szCs w:val="18"/>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2BFA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质量指标</w:t>
            </w: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4109D59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3F70188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残疾人补贴资金到位率</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C50BC">
            <w:pPr>
              <w:widowControl/>
              <w:autoSpaceDE/>
              <w:autoSpaceDN/>
              <w:adjustRightInd/>
              <w:textAlignment w:val="center"/>
              <w:rPr>
                <w:rFonts w:hint="default" w:ascii="Times New Roman"/>
                <w:color w:val="000000"/>
                <w:kern w:val="2"/>
                <w:sz w:val="20"/>
                <w:szCs w:val="20"/>
              </w:rPr>
            </w:pPr>
            <w:r>
              <w:rPr>
                <w:rFonts w:hint="default" w:ascii="Times New Roman"/>
                <w:color w:val="000000"/>
                <w:sz w:val="20"/>
                <w:szCs w:val="20"/>
                <w:lang w:bidi="ar"/>
              </w:rPr>
              <w:t>≥95%</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00235">
            <w:pPr>
              <w:widowControl/>
              <w:autoSpaceDE/>
              <w:autoSpaceDN/>
              <w:adjustRightInd/>
              <w:jc w:val="center"/>
              <w:textAlignment w:val="center"/>
              <w:rPr>
                <w:rFonts w:hint="default" w:ascii="Times New Roman"/>
                <w:color w:val="000000"/>
                <w:kern w:val="2"/>
                <w:sz w:val="20"/>
                <w:szCs w:val="20"/>
              </w:rPr>
            </w:pPr>
            <w:r>
              <w:rPr>
                <w:rFonts w:hint="default" w:ascii="Times New Roman"/>
                <w:color w:val="000000"/>
                <w:sz w:val="20"/>
                <w:szCs w:val="20"/>
                <w:lang w:bidi="ar"/>
              </w:rPr>
              <w:t>95%</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01D2D">
            <w:pPr>
              <w:autoSpaceDE/>
              <w:autoSpaceDN/>
              <w:adjustRightInd/>
              <w:jc w:val="center"/>
              <w:rPr>
                <w:rFonts w:hint="default" w:ascii="Times New Roman"/>
                <w:color w:val="000000"/>
                <w:kern w:val="2"/>
                <w:sz w:val="18"/>
                <w:szCs w:val="18"/>
              </w:rPr>
            </w:pPr>
          </w:p>
        </w:tc>
      </w:tr>
      <w:tr w14:paraId="52C7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01687">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96DC4">
            <w:pPr>
              <w:autoSpaceDE/>
              <w:autoSpaceDN/>
              <w:adjustRightInd/>
              <w:jc w:val="center"/>
              <w:rPr>
                <w:rFonts w:hint="default" w:ascii="Times New Roman"/>
                <w:color w:val="000000"/>
                <w:kern w:val="2"/>
                <w:sz w:val="18"/>
                <w:szCs w:val="18"/>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1336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时效指标</w:t>
            </w: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3F349AE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3A4BF1A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各项工作完成的时限</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C16CC">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w:t>
            </w:r>
            <w:r>
              <w:rPr>
                <w:rFonts w:hint="default"/>
                <w:color w:val="000000"/>
                <w:sz w:val="18"/>
                <w:szCs w:val="18"/>
                <w:lang w:bidi="ar"/>
              </w:rPr>
              <w:t>年</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C7F36">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w:t>
            </w:r>
            <w:r>
              <w:rPr>
                <w:rFonts w:hint="default"/>
                <w:color w:val="000000"/>
                <w:sz w:val="18"/>
                <w:szCs w:val="18"/>
                <w:lang w:bidi="ar"/>
              </w:rPr>
              <w:t>年</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D19BA">
            <w:pPr>
              <w:autoSpaceDE/>
              <w:autoSpaceDN/>
              <w:adjustRightInd/>
              <w:jc w:val="center"/>
              <w:rPr>
                <w:rFonts w:hint="default" w:ascii="Times New Roman"/>
                <w:color w:val="000000"/>
                <w:kern w:val="2"/>
                <w:sz w:val="18"/>
                <w:szCs w:val="18"/>
              </w:rPr>
            </w:pPr>
          </w:p>
        </w:tc>
      </w:tr>
      <w:tr w14:paraId="03C1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B8A24">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6D0F8">
            <w:pPr>
              <w:autoSpaceDE/>
              <w:autoSpaceDN/>
              <w:adjustRightInd/>
              <w:jc w:val="center"/>
              <w:rPr>
                <w:rFonts w:hint="default" w:ascii="Times New Roman"/>
                <w:color w:val="000000"/>
                <w:kern w:val="2"/>
                <w:sz w:val="18"/>
                <w:szCs w:val="18"/>
              </w:rPr>
            </w:pPr>
          </w:p>
        </w:tc>
        <w:tc>
          <w:tcPr>
            <w:tcW w:w="6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09C4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成本指标</w:t>
            </w: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76C6970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41D5032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残疾人民生事业支出经费控制额</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45FC3">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≤647.54</w:t>
            </w:r>
            <w:r>
              <w:rPr>
                <w:rFonts w:hint="default"/>
                <w:color w:val="000000"/>
                <w:sz w:val="18"/>
                <w:szCs w:val="18"/>
                <w:lang w:bidi="ar"/>
              </w:rPr>
              <w:t>万元</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644A5">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479.6</w:t>
            </w:r>
            <w:r>
              <w:rPr>
                <w:rFonts w:hint="default"/>
                <w:color w:val="000000"/>
                <w:sz w:val="18"/>
                <w:szCs w:val="18"/>
                <w:lang w:bidi="ar"/>
              </w:rPr>
              <w:t>万元</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E6369">
            <w:pPr>
              <w:autoSpaceDE/>
              <w:autoSpaceDN/>
              <w:adjustRightInd/>
              <w:jc w:val="center"/>
              <w:rPr>
                <w:rFonts w:hint="default" w:ascii="Times New Roman"/>
                <w:color w:val="000000"/>
                <w:kern w:val="2"/>
                <w:sz w:val="18"/>
                <w:szCs w:val="18"/>
              </w:rPr>
            </w:pPr>
          </w:p>
        </w:tc>
      </w:tr>
      <w:tr w14:paraId="569D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008C1">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C0491">
            <w:pPr>
              <w:autoSpaceDE/>
              <w:autoSpaceDN/>
              <w:adjustRightInd/>
              <w:jc w:val="center"/>
              <w:rPr>
                <w:rFonts w:hint="default" w:ascii="Times New Roman"/>
                <w:color w:val="000000"/>
                <w:kern w:val="2"/>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D2C1A">
            <w:pPr>
              <w:autoSpaceDE/>
              <w:autoSpaceDN/>
              <w:adjustRightInd/>
              <w:jc w:val="center"/>
              <w:rPr>
                <w:rFonts w:hint="default" w:ascii="Times New Roman"/>
                <w:color w:val="000000"/>
                <w:kern w:val="2"/>
                <w:sz w:val="18"/>
                <w:szCs w:val="18"/>
              </w:rPr>
            </w:pP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0359E65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6D3ECEE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单位运转经费控制额</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74022">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≤16.04</w:t>
            </w:r>
            <w:r>
              <w:rPr>
                <w:rFonts w:hint="default"/>
                <w:color w:val="000000"/>
                <w:sz w:val="18"/>
                <w:szCs w:val="18"/>
                <w:lang w:bidi="ar"/>
              </w:rPr>
              <w:t>万元</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9F9E7">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15.59</w:t>
            </w:r>
            <w:r>
              <w:rPr>
                <w:rFonts w:hint="default"/>
                <w:color w:val="000000"/>
                <w:sz w:val="18"/>
                <w:szCs w:val="18"/>
                <w:lang w:bidi="ar"/>
              </w:rPr>
              <w:t>万元</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82781">
            <w:pPr>
              <w:autoSpaceDE/>
              <w:autoSpaceDN/>
              <w:adjustRightInd/>
              <w:jc w:val="center"/>
              <w:rPr>
                <w:rFonts w:hint="default" w:ascii="Times New Roman"/>
                <w:color w:val="000000"/>
                <w:kern w:val="2"/>
                <w:sz w:val="18"/>
                <w:szCs w:val="18"/>
              </w:rPr>
            </w:pPr>
          </w:p>
        </w:tc>
      </w:tr>
      <w:tr w14:paraId="2EA3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CFA0E">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3A04F">
            <w:pPr>
              <w:autoSpaceDE/>
              <w:autoSpaceDN/>
              <w:adjustRightInd/>
              <w:jc w:val="center"/>
              <w:rPr>
                <w:rFonts w:hint="default" w:ascii="Times New Roman"/>
                <w:color w:val="000000"/>
                <w:kern w:val="2"/>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F4ED6">
            <w:pPr>
              <w:autoSpaceDE/>
              <w:autoSpaceDN/>
              <w:adjustRightInd/>
              <w:jc w:val="center"/>
              <w:rPr>
                <w:rFonts w:hint="default" w:ascii="Times New Roman"/>
                <w:color w:val="000000"/>
                <w:kern w:val="2"/>
                <w:sz w:val="18"/>
                <w:szCs w:val="18"/>
              </w:rPr>
            </w:pP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0487321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指标3：</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0325522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单位职工工资、社会保障费用缴纳等费用</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5FAB6">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≤131.87</w:t>
            </w:r>
            <w:r>
              <w:rPr>
                <w:rFonts w:hint="default"/>
                <w:color w:val="000000"/>
                <w:sz w:val="18"/>
                <w:szCs w:val="18"/>
                <w:lang w:bidi="ar"/>
              </w:rPr>
              <w:t>万元</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460A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131.72</w:t>
            </w:r>
            <w:r>
              <w:rPr>
                <w:rFonts w:hint="default"/>
                <w:color w:val="000000"/>
                <w:sz w:val="18"/>
                <w:szCs w:val="18"/>
                <w:lang w:bidi="ar"/>
              </w:rPr>
              <w:t>万元</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DE46E">
            <w:pPr>
              <w:autoSpaceDE/>
              <w:autoSpaceDN/>
              <w:adjustRightInd/>
              <w:jc w:val="center"/>
              <w:rPr>
                <w:rFonts w:hint="default" w:ascii="Times New Roman"/>
                <w:color w:val="000000"/>
                <w:kern w:val="2"/>
                <w:sz w:val="18"/>
                <w:szCs w:val="18"/>
              </w:rPr>
            </w:pPr>
          </w:p>
        </w:tc>
      </w:tr>
      <w:tr w14:paraId="3174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85735">
            <w:pPr>
              <w:autoSpaceDE/>
              <w:autoSpaceDN/>
              <w:adjustRightInd/>
              <w:jc w:val="center"/>
              <w:rPr>
                <w:rFonts w:hint="default" w:ascii="Times New Roman"/>
                <w:color w:val="000000"/>
                <w:kern w:val="2"/>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524C1">
            <w:pPr>
              <w:autoSpaceDE/>
              <w:autoSpaceDN/>
              <w:adjustRightInd/>
              <w:jc w:val="center"/>
              <w:rPr>
                <w:rFonts w:hint="default" w:ascii="Times New Roman"/>
                <w:color w:val="000000"/>
                <w:kern w:val="2"/>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7E94B">
            <w:pPr>
              <w:autoSpaceDE/>
              <w:autoSpaceDN/>
              <w:adjustRightInd/>
              <w:jc w:val="center"/>
              <w:rPr>
                <w:rFonts w:hint="default" w:ascii="Times New Roman"/>
                <w:color w:val="000000"/>
                <w:kern w:val="2"/>
                <w:sz w:val="18"/>
                <w:szCs w:val="18"/>
              </w:rPr>
            </w:pP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6B5A3EF4">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指标4：</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4DB2B83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医保代缴经费控制额</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8DFF6">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≤140</w:t>
            </w:r>
            <w:r>
              <w:rPr>
                <w:rFonts w:hint="default"/>
                <w:color w:val="000000"/>
                <w:sz w:val="18"/>
                <w:szCs w:val="18"/>
                <w:lang w:bidi="ar"/>
              </w:rPr>
              <w:t>万元</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FD218">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0</w:t>
            </w:r>
            <w:r>
              <w:rPr>
                <w:rFonts w:hint="default"/>
                <w:color w:val="000000"/>
                <w:sz w:val="18"/>
                <w:szCs w:val="18"/>
                <w:lang w:bidi="ar"/>
              </w:rPr>
              <w:t>万元</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7C76F">
            <w:pPr>
              <w:autoSpaceDE/>
              <w:autoSpaceDN/>
              <w:adjustRightInd/>
              <w:jc w:val="center"/>
              <w:rPr>
                <w:rFonts w:hint="default" w:ascii="Times New Roman"/>
                <w:color w:val="000000"/>
                <w:kern w:val="2"/>
                <w:sz w:val="18"/>
                <w:szCs w:val="18"/>
              </w:rPr>
            </w:pPr>
          </w:p>
        </w:tc>
      </w:tr>
      <w:tr w14:paraId="4130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2D512">
            <w:pPr>
              <w:autoSpaceDE/>
              <w:autoSpaceDN/>
              <w:adjustRightInd/>
              <w:jc w:val="center"/>
              <w:rPr>
                <w:rFonts w:hint="default" w:ascii="Times New Roman"/>
                <w:color w:val="000000"/>
                <w:kern w:val="2"/>
                <w:sz w:val="18"/>
                <w:szCs w:val="18"/>
              </w:rPr>
            </w:pPr>
          </w:p>
        </w:tc>
        <w:tc>
          <w:tcPr>
            <w:tcW w:w="5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97288">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效益指标</w:t>
            </w:r>
          </w:p>
        </w:tc>
        <w:tc>
          <w:tcPr>
            <w:tcW w:w="612" w:type="dxa"/>
            <w:tcBorders>
              <w:top w:val="single" w:color="000000" w:sz="4" w:space="0"/>
              <w:left w:val="single" w:color="000000" w:sz="4" w:space="0"/>
              <w:bottom w:val="nil"/>
              <w:right w:val="single" w:color="000000" w:sz="4" w:space="0"/>
              <w:tl2br w:val="nil"/>
              <w:tr2bl w:val="nil"/>
            </w:tcBorders>
            <w:noWrap w:val="0"/>
            <w:vAlign w:val="center"/>
          </w:tcPr>
          <w:p w14:paraId="55524554">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社会效益</w:t>
            </w:r>
            <w:r>
              <w:rPr>
                <w:rFonts w:hint="default" w:ascii="Times New Roman"/>
                <w:color w:val="000000"/>
                <w:sz w:val="18"/>
                <w:szCs w:val="18"/>
                <w:lang w:bidi="ar"/>
              </w:rPr>
              <w:br w:type="textWrapping"/>
            </w:r>
            <w:r>
              <w:rPr>
                <w:rFonts w:hint="default"/>
                <w:color w:val="000000"/>
                <w:sz w:val="18"/>
                <w:szCs w:val="18"/>
                <w:lang w:bidi="ar"/>
              </w:rPr>
              <w:t>指标</w:t>
            </w: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647DC46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413F1DE8">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享受对象家庭经济负担减轻的覆盖率</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00D02">
            <w:pPr>
              <w:widowControl/>
              <w:autoSpaceDE/>
              <w:autoSpaceDN/>
              <w:adjustRightInd/>
              <w:textAlignment w:val="center"/>
              <w:rPr>
                <w:rFonts w:hint="default" w:ascii="Times New Roman"/>
                <w:color w:val="000000"/>
                <w:kern w:val="2"/>
                <w:sz w:val="20"/>
                <w:szCs w:val="20"/>
              </w:rPr>
            </w:pPr>
            <w:r>
              <w:rPr>
                <w:rFonts w:hint="default" w:ascii="Times New Roman"/>
                <w:color w:val="000000"/>
                <w:sz w:val="20"/>
                <w:szCs w:val="20"/>
                <w:lang w:bidi="ar"/>
              </w:rPr>
              <w:t>≥95%</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AD28C">
            <w:pPr>
              <w:widowControl/>
              <w:autoSpaceDE/>
              <w:autoSpaceDN/>
              <w:adjustRightInd/>
              <w:jc w:val="center"/>
              <w:textAlignment w:val="center"/>
              <w:rPr>
                <w:rFonts w:hint="default" w:ascii="Times New Roman"/>
                <w:color w:val="000000"/>
                <w:kern w:val="2"/>
                <w:sz w:val="20"/>
                <w:szCs w:val="20"/>
              </w:rPr>
            </w:pPr>
            <w:r>
              <w:rPr>
                <w:rFonts w:hint="default" w:ascii="Times New Roman"/>
                <w:color w:val="000000"/>
                <w:sz w:val="20"/>
                <w:szCs w:val="20"/>
                <w:lang w:bidi="ar"/>
              </w:rPr>
              <w:t>95%</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CA27A">
            <w:pPr>
              <w:autoSpaceDE/>
              <w:autoSpaceDN/>
              <w:adjustRightInd/>
              <w:jc w:val="center"/>
              <w:rPr>
                <w:rFonts w:hint="default" w:ascii="Times New Roman"/>
                <w:color w:val="000000"/>
                <w:kern w:val="2"/>
                <w:sz w:val="18"/>
                <w:szCs w:val="18"/>
              </w:rPr>
            </w:pPr>
          </w:p>
        </w:tc>
      </w:tr>
      <w:tr w14:paraId="6F66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FB10B">
            <w:pPr>
              <w:autoSpaceDE/>
              <w:autoSpaceDN/>
              <w:adjustRightInd/>
              <w:jc w:val="center"/>
              <w:rPr>
                <w:rFonts w:hint="default" w:ascii="Times New Roman"/>
                <w:color w:val="000000"/>
                <w:kern w:val="2"/>
                <w:sz w:val="18"/>
                <w:szCs w:val="18"/>
              </w:rPr>
            </w:pPr>
          </w:p>
        </w:tc>
        <w:tc>
          <w:tcPr>
            <w:tcW w:w="5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8C33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满意度</w:t>
            </w:r>
            <w:r>
              <w:rPr>
                <w:rFonts w:hint="default" w:ascii="Times New Roman"/>
                <w:color w:val="000000"/>
                <w:sz w:val="18"/>
                <w:szCs w:val="18"/>
                <w:lang w:bidi="ar"/>
              </w:rPr>
              <w:br w:type="textWrapping"/>
            </w:r>
            <w:r>
              <w:rPr>
                <w:rFonts w:hint="default"/>
                <w:color w:val="000000"/>
                <w:sz w:val="18"/>
                <w:szCs w:val="18"/>
                <w:lang w:bidi="ar"/>
              </w:rPr>
              <w:t>指标</w:t>
            </w: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8533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服务对象满意度指标</w:t>
            </w:r>
          </w:p>
        </w:tc>
        <w:tc>
          <w:tcPr>
            <w:tcW w:w="851" w:type="dxa"/>
            <w:tcBorders>
              <w:top w:val="single" w:color="000000" w:sz="4" w:space="0"/>
              <w:left w:val="single" w:color="000000" w:sz="4" w:space="0"/>
              <w:bottom w:val="single" w:color="000000" w:sz="4" w:space="0"/>
              <w:right w:val="nil"/>
              <w:tl2br w:val="nil"/>
              <w:tr2bl w:val="nil"/>
            </w:tcBorders>
            <w:noWrap w:val="0"/>
            <w:vAlign w:val="center"/>
          </w:tcPr>
          <w:p w14:paraId="572AB1B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49" w:type="dxa"/>
            <w:gridSpan w:val="2"/>
            <w:tcBorders>
              <w:top w:val="single" w:color="000000" w:sz="4" w:space="0"/>
              <w:left w:val="nil"/>
              <w:bottom w:val="single" w:color="000000" w:sz="4" w:space="0"/>
              <w:right w:val="single" w:color="000000" w:sz="4" w:space="0"/>
              <w:tl2br w:val="nil"/>
              <w:tr2bl w:val="nil"/>
            </w:tcBorders>
            <w:noWrap w:val="0"/>
            <w:vAlign w:val="center"/>
          </w:tcPr>
          <w:p w14:paraId="57121F4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享受补助对象残疾人的满意度</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010C3">
            <w:pPr>
              <w:widowControl/>
              <w:autoSpaceDE/>
              <w:autoSpaceDN/>
              <w:adjustRightInd/>
              <w:textAlignment w:val="center"/>
              <w:rPr>
                <w:rFonts w:hint="default" w:ascii="Times New Roman"/>
                <w:color w:val="000000"/>
                <w:kern w:val="2"/>
                <w:sz w:val="20"/>
                <w:szCs w:val="20"/>
              </w:rPr>
            </w:pPr>
            <w:r>
              <w:rPr>
                <w:rFonts w:hint="default" w:ascii="Times New Roman"/>
                <w:color w:val="000000"/>
                <w:sz w:val="20"/>
                <w:szCs w:val="20"/>
                <w:lang w:bidi="ar"/>
              </w:rPr>
              <w:t>≥95%</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31B14">
            <w:pPr>
              <w:widowControl/>
              <w:autoSpaceDE/>
              <w:autoSpaceDN/>
              <w:adjustRightInd/>
              <w:jc w:val="center"/>
              <w:textAlignment w:val="center"/>
              <w:rPr>
                <w:rFonts w:hint="default" w:ascii="Times New Roman"/>
                <w:color w:val="000000"/>
                <w:kern w:val="2"/>
                <w:sz w:val="20"/>
                <w:szCs w:val="20"/>
              </w:rPr>
            </w:pPr>
            <w:r>
              <w:rPr>
                <w:rFonts w:hint="default" w:ascii="Times New Roman"/>
                <w:color w:val="000000"/>
                <w:sz w:val="20"/>
                <w:szCs w:val="20"/>
                <w:lang w:bidi="ar"/>
              </w:rPr>
              <w:t>95%</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4B5D1">
            <w:pPr>
              <w:autoSpaceDE/>
              <w:autoSpaceDN/>
              <w:adjustRightInd/>
              <w:jc w:val="center"/>
              <w:rPr>
                <w:rFonts w:hint="default" w:ascii="Times New Roman"/>
                <w:color w:val="000000"/>
                <w:kern w:val="2"/>
                <w:sz w:val="18"/>
                <w:szCs w:val="18"/>
              </w:rPr>
            </w:pPr>
          </w:p>
        </w:tc>
      </w:tr>
    </w:tbl>
    <w:p w14:paraId="3DCE4C6F">
      <w:pPr>
        <w:autoSpaceDE/>
        <w:autoSpaceDN/>
        <w:adjustRightInd/>
        <w:jc w:val="both"/>
        <w:rPr>
          <w:rFonts w:hint="default" w:ascii="Times New Roman" w:eastAsia="仿宋_GB2312"/>
          <w:color w:val="auto"/>
          <w:kern w:val="2"/>
          <w:sz w:val="28"/>
          <w:szCs w:val="28"/>
        </w:rPr>
      </w:pPr>
    </w:p>
    <w:tbl>
      <w:tblPr>
        <w:tblStyle w:val="8"/>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2"/>
        <w:gridCol w:w="762"/>
        <w:gridCol w:w="1009"/>
        <w:gridCol w:w="1021"/>
        <w:gridCol w:w="1824"/>
        <w:gridCol w:w="1234"/>
        <w:gridCol w:w="1181"/>
        <w:gridCol w:w="1107"/>
      </w:tblGrid>
      <w:tr w14:paraId="5F79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20" w:type="dxa"/>
            <w:gridSpan w:val="8"/>
            <w:tcBorders>
              <w:top w:val="nil"/>
              <w:left w:val="nil"/>
              <w:bottom w:val="nil"/>
              <w:right w:val="nil"/>
              <w:tl2br w:val="nil"/>
              <w:tr2bl w:val="nil"/>
            </w:tcBorders>
            <w:noWrap w:val="0"/>
            <w:vAlign w:val="center"/>
          </w:tcPr>
          <w:p w14:paraId="01589BA5">
            <w:pPr>
              <w:widowControl/>
              <w:autoSpaceDE/>
              <w:autoSpaceDN/>
              <w:adjustRightInd/>
              <w:jc w:val="both"/>
              <w:textAlignment w:val="center"/>
              <w:rPr>
                <w:rFonts w:hint="eastAsia" w:ascii="Times New Roman" w:eastAsia="方正小标宋简体"/>
                <w:color w:val="000000"/>
                <w:sz w:val="36"/>
                <w:szCs w:val="36"/>
                <w:lang w:bidi="ar"/>
              </w:rPr>
            </w:pPr>
            <w:r>
              <w:rPr>
                <w:rFonts w:hint="eastAsia" w:ascii="Times New Roman" w:eastAsia="黑体"/>
                <w:kern w:val="2"/>
                <w:sz w:val="32"/>
                <w:szCs w:val="32"/>
              </w:rPr>
              <w:t>附表2</w:t>
            </w:r>
          </w:p>
          <w:p w14:paraId="61567632">
            <w:pPr>
              <w:widowControl/>
              <w:autoSpaceDE/>
              <w:autoSpaceDN/>
              <w:adjustRightInd/>
              <w:jc w:val="center"/>
              <w:textAlignment w:val="center"/>
              <w:rPr>
                <w:rFonts w:hint="default" w:ascii="Times New Roman" w:eastAsia="方正小标宋简体"/>
                <w:color w:val="000000"/>
                <w:kern w:val="2"/>
                <w:sz w:val="36"/>
                <w:szCs w:val="36"/>
              </w:rPr>
            </w:pPr>
            <w:r>
              <w:rPr>
                <w:rFonts w:hint="eastAsia" w:ascii="Times New Roman" w:eastAsia="方正小标宋简体"/>
                <w:color w:val="000000"/>
                <w:sz w:val="36"/>
                <w:szCs w:val="36"/>
                <w:lang w:bidi="ar"/>
              </w:rPr>
              <w:t>广元市昭化区财政项目（政策）支出绩效自评表</w:t>
            </w:r>
          </w:p>
        </w:tc>
      </w:tr>
      <w:tr w14:paraId="7C34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20" w:type="dxa"/>
            <w:gridSpan w:val="8"/>
            <w:tcBorders>
              <w:top w:val="nil"/>
              <w:left w:val="nil"/>
              <w:bottom w:val="nil"/>
              <w:right w:val="nil"/>
              <w:tl2br w:val="nil"/>
              <w:tr2bl w:val="nil"/>
            </w:tcBorders>
            <w:noWrap w:val="0"/>
            <w:vAlign w:val="top"/>
          </w:tcPr>
          <w:p w14:paraId="7C1EC143">
            <w:pPr>
              <w:widowControl/>
              <w:autoSpaceDE/>
              <w:autoSpaceDN/>
              <w:adjustRightInd/>
              <w:jc w:val="center"/>
              <w:textAlignment w:val="top"/>
              <w:rPr>
                <w:rFonts w:hint="default" w:ascii="Times New Roman"/>
                <w:b/>
                <w:color w:val="000000"/>
                <w:kern w:val="2"/>
                <w:sz w:val="24"/>
                <w:szCs w:val="24"/>
              </w:rPr>
            </w:pPr>
            <w:r>
              <w:rPr>
                <w:rFonts w:hint="default"/>
                <w:b/>
                <w:color w:val="000000"/>
                <w:sz w:val="24"/>
                <w:szCs w:val="24"/>
                <w:lang w:bidi="ar"/>
              </w:rPr>
              <w:t>（ 2023年度）</w:t>
            </w:r>
          </w:p>
        </w:tc>
      </w:tr>
      <w:tr w14:paraId="3A4E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CA608">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项目（政策）名称</w:t>
            </w:r>
          </w:p>
        </w:tc>
        <w:tc>
          <w:tcPr>
            <w:tcW w:w="73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B585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残疾人医保代缴</w:t>
            </w:r>
          </w:p>
        </w:tc>
      </w:tr>
      <w:tr w14:paraId="4003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0627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主管部门</w:t>
            </w:r>
          </w:p>
        </w:tc>
        <w:tc>
          <w:tcPr>
            <w:tcW w:w="385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43E2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广元市昭化区残疾人联合会</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D7764">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实施单位</w:t>
            </w:r>
          </w:p>
        </w:tc>
        <w:tc>
          <w:tcPr>
            <w:tcW w:w="22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A8E3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广元市昭化区残疾人联合会</w:t>
            </w:r>
          </w:p>
        </w:tc>
      </w:tr>
      <w:tr w14:paraId="1125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A3C0A5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项目（政策）资金（万元）</w:t>
            </w:r>
          </w:p>
        </w:tc>
        <w:tc>
          <w:tcPr>
            <w:tcW w:w="2030" w:type="dxa"/>
            <w:gridSpan w:val="2"/>
            <w:tcBorders>
              <w:top w:val="nil"/>
              <w:left w:val="single" w:color="000000" w:sz="4" w:space="0"/>
              <w:bottom w:val="single" w:color="000000" w:sz="4" w:space="0"/>
              <w:right w:val="single" w:color="000000" w:sz="4" w:space="0"/>
              <w:tl2br w:val="nil"/>
              <w:tr2bl w:val="nil"/>
            </w:tcBorders>
            <w:noWrap w:val="0"/>
            <w:vAlign w:val="center"/>
          </w:tcPr>
          <w:p w14:paraId="25DAA53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年度预算数（万元）</w:t>
            </w:r>
          </w:p>
        </w:tc>
        <w:tc>
          <w:tcPr>
            <w:tcW w:w="1824" w:type="dxa"/>
            <w:tcBorders>
              <w:top w:val="nil"/>
              <w:left w:val="single" w:color="000000" w:sz="4" w:space="0"/>
              <w:bottom w:val="single" w:color="000000" w:sz="4" w:space="0"/>
              <w:right w:val="single" w:color="000000" w:sz="4" w:space="0"/>
              <w:tl2br w:val="nil"/>
              <w:tr2bl w:val="nil"/>
            </w:tcBorders>
            <w:noWrap w:val="0"/>
            <w:vAlign w:val="center"/>
          </w:tcPr>
          <w:p w14:paraId="179196E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年初预算数</w:t>
            </w:r>
          </w:p>
        </w:tc>
        <w:tc>
          <w:tcPr>
            <w:tcW w:w="1234" w:type="dxa"/>
            <w:tcBorders>
              <w:top w:val="nil"/>
              <w:left w:val="single" w:color="000000" w:sz="4" w:space="0"/>
              <w:bottom w:val="single" w:color="000000" w:sz="4" w:space="0"/>
              <w:right w:val="single" w:color="000000" w:sz="4" w:space="0"/>
              <w:tl2br w:val="nil"/>
              <w:tr2bl w:val="nil"/>
            </w:tcBorders>
            <w:noWrap w:val="0"/>
            <w:vAlign w:val="center"/>
          </w:tcPr>
          <w:p w14:paraId="6817CC2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全年预算数</w:t>
            </w:r>
          </w:p>
        </w:tc>
        <w:tc>
          <w:tcPr>
            <w:tcW w:w="1181" w:type="dxa"/>
            <w:tcBorders>
              <w:top w:val="nil"/>
              <w:left w:val="single" w:color="000000" w:sz="4" w:space="0"/>
              <w:bottom w:val="single" w:color="000000" w:sz="4" w:space="0"/>
              <w:right w:val="single" w:color="000000" w:sz="4" w:space="0"/>
              <w:tl2br w:val="nil"/>
              <w:tr2bl w:val="nil"/>
            </w:tcBorders>
            <w:noWrap w:val="0"/>
            <w:vAlign w:val="center"/>
          </w:tcPr>
          <w:p w14:paraId="5568189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全年执行数</w:t>
            </w:r>
          </w:p>
        </w:tc>
        <w:tc>
          <w:tcPr>
            <w:tcW w:w="1107" w:type="dxa"/>
            <w:tcBorders>
              <w:top w:val="nil"/>
              <w:left w:val="single" w:color="000000" w:sz="4" w:space="0"/>
              <w:bottom w:val="single" w:color="000000" w:sz="4" w:space="0"/>
              <w:right w:val="single" w:color="000000" w:sz="4" w:space="0"/>
              <w:tl2br w:val="nil"/>
              <w:tr2bl w:val="nil"/>
            </w:tcBorders>
            <w:noWrap w:val="0"/>
            <w:vAlign w:val="center"/>
          </w:tcPr>
          <w:p w14:paraId="74EA3C4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执行率</w:t>
            </w:r>
          </w:p>
        </w:tc>
      </w:tr>
      <w:tr w14:paraId="6AAA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099D32">
            <w:pPr>
              <w:autoSpaceDE/>
              <w:autoSpaceDN/>
              <w:adjustRightInd/>
              <w:jc w:val="center"/>
              <w:rPr>
                <w:rFonts w:hint="default" w:ascii="Times New Roman"/>
                <w:color w:val="000000"/>
                <w:kern w:val="2"/>
                <w:sz w:val="18"/>
                <w:szCs w:val="18"/>
              </w:rPr>
            </w:pPr>
          </w:p>
        </w:tc>
        <w:tc>
          <w:tcPr>
            <w:tcW w:w="20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64AB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年度资金总额</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37E4D">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73</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038C2">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248.45</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5441D">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108.45</w:t>
            </w:r>
          </w:p>
        </w:tc>
        <w:tc>
          <w:tcPr>
            <w:tcW w:w="1107" w:type="dxa"/>
            <w:tcBorders>
              <w:top w:val="nil"/>
              <w:left w:val="single" w:color="000000" w:sz="4" w:space="0"/>
              <w:bottom w:val="single" w:color="000000" w:sz="4" w:space="0"/>
              <w:right w:val="single" w:color="000000" w:sz="4" w:space="0"/>
              <w:tl2br w:val="nil"/>
              <w:tr2bl w:val="nil"/>
            </w:tcBorders>
            <w:noWrap w:val="0"/>
            <w:vAlign w:val="center"/>
          </w:tcPr>
          <w:p w14:paraId="26B686E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43.65%</w:t>
            </w:r>
          </w:p>
        </w:tc>
      </w:tr>
      <w:tr w14:paraId="4580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408D72A">
            <w:pPr>
              <w:autoSpaceDE/>
              <w:autoSpaceDN/>
              <w:adjustRightInd/>
              <w:jc w:val="center"/>
              <w:rPr>
                <w:rFonts w:hint="default" w:ascii="Times New Roman"/>
                <w:color w:val="000000"/>
                <w:kern w:val="2"/>
                <w:sz w:val="18"/>
                <w:szCs w:val="18"/>
              </w:rPr>
            </w:pPr>
          </w:p>
        </w:tc>
        <w:tc>
          <w:tcPr>
            <w:tcW w:w="20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600CD">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（一）财政拨款小计</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CCFF6">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73</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0134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248.45</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A5E6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108.45</w:t>
            </w:r>
          </w:p>
        </w:tc>
        <w:tc>
          <w:tcPr>
            <w:tcW w:w="1107" w:type="dxa"/>
            <w:tcBorders>
              <w:top w:val="nil"/>
              <w:left w:val="single" w:color="000000" w:sz="4" w:space="0"/>
              <w:bottom w:val="single" w:color="000000" w:sz="4" w:space="0"/>
              <w:right w:val="single" w:color="000000" w:sz="4" w:space="0"/>
              <w:tl2br w:val="nil"/>
              <w:tr2bl w:val="nil"/>
            </w:tcBorders>
            <w:noWrap w:val="0"/>
            <w:vAlign w:val="center"/>
          </w:tcPr>
          <w:p w14:paraId="131E7312">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43.65%</w:t>
            </w:r>
          </w:p>
        </w:tc>
      </w:tr>
      <w:tr w14:paraId="576A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BF602E">
            <w:pPr>
              <w:autoSpaceDE/>
              <w:autoSpaceDN/>
              <w:adjustRightInd/>
              <w:jc w:val="center"/>
              <w:rPr>
                <w:rFonts w:hint="default" w:ascii="Times New Roman"/>
                <w:color w:val="000000"/>
                <w:kern w:val="2"/>
                <w:sz w:val="18"/>
                <w:szCs w:val="18"/>
              </w:rPr>
            </w:pPr>
          </w:p>
        </w:tc>
        <w:tc>
          <w:tcPr>
            <w:tcW w:w="20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4E970">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1.</w:t>
            </w:r>
            <w:r>
              <w:rPr>
                <w:rFonts w:hint="default"/>
                <w:color w:val="000000"/>
                <w:sz w:val="18"/>
                <w:szCs w:val="18"/>
                <w:lang w:bidi="ar"/>
              </w:rPr>
              <w:t>一般公共预算</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D9F78">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73</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43E5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248.45</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8C129">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108.45</w:t>
            </w:r>
          </w:p>
        </w:tc>
        <w:tc>
          <w:tcPr>
            <w:tcW w:w="1107" w:type="dxa"/>
            <w:tcBorders>
              <w:top w:val="nil"/>
              <w:left w:val="single" w:color="000000" w:sz="4" w:space="0"/>
              <w:bottom w:val="single" w:color="000000" w:sz="4" w:space="0"/>
              <w:right w:val="single" w:color="000000" w:sz="4" w:space="0"/>
              <w:tl2br w:val="nil"/>
              <w:tr2bl w:val="nil"/>
            </w:tcBorders>
            <w:noWrap w:val="0"/>
            <w:vAlign w:val="center"/>
          </w:tcPr>
          <w:p w14:paraId="3C0B36C5">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43.65%</w:t>
            </w:r>
          </w:p>
        </w:tc>
      </w:tr>
      <w:tr w14:paraId="173C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9CE039B">
            <w:pPr>
              <w:autoSpaceDE/>
              <w:autoSpaceDN/>
              <w:adjustRightInd/>
              <w:jc w:val="center"/>
              <w:rPr>
                <w:rFonts w:hint="default" w:ascii="Times New Roman"/>
                <w:color w:val="000000"/>
                <w:kern w:val="2"/>
                <w:sz w:val="18"/>
                <w:szCs w:val="18"/>
              </w:rPr>
            </w:pPr>
          </w:p>
        </w:tc>
        <w:tc>
          <w:tcPr>
            <w:tcW w:w="20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42206">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2.</w:t>
            </w:r>
            <w:r>
              <w:rPr>
                <w:rFonts w:hint="default"/>
                <w:color w:val="000000"/>
                <w:sz w:val="18"/>
                <w:szCs w:val="18"/>
                <w:lang w:bidi="ar"/>
              </w:rPr>
              <w:t>政府性基金</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29298">
            <w:pPr>
              <w:autoSpaceDE/>
              <w:autoSpaceDN/>
              <w:adjustRightInd/>
              <w:jc w:val="center"/>
              <w:rPr>
                <w:rFonts w:hint="default" w:ascii="Times New Roman"/>
                <w:color w:val="000000"/>
                <w:kern w:val="2"/>
                <w:sz w:val="18"/>
                <w:szCs w:val="18"/>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5BF62">
            <w:pPr>
              <w:autoSpaceDE/>
              <w:autoSpaceDN/>
              <w:adjustRightInd/>
              <w:jc w:val="center"/>
              <w:rPr>
                <w:rFonts w:hint="default" w:ascii="Times New Roman"/>
                <w:color w:val="000000"/>
                <w:kern w:val="2"/>
                <w:sz w:val="18"/>
                <w:szCs w:val="18"/>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2E4CC">
            <w:pPr>
              <w:autoSpaceDE/>
              <w:autoSpaceDN/>
              <w:adjustRightInd/>
              <w:jc w:val="center"/>
              <w:rPr>
                <w:rFonts w:hint="default" w:ascii="Times New Roman"/>
                <w:color w:val="000000"/>
                <w:kern w:val="2"/>
                <w:sz w:val="18"/>
                <w:szCs w:val="18"/>
              </w:rPr>
            </w:pP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27B63">
            <w:pPr>
              <w:autoSpaceDE/>
              <w:autoSpaceDN/>
              <w:adjustRightInd/>
              <w:jc w:val="center"/>
              <w:rPr>
                <w:rFonts w:hint="default" w:ascii="Times New Roman"/>
                <w:color w:val="000000"/>
                <w:kern w:val="2"/>
                <w:sz w:val="18"/>
                <w:szCs w:val="18"/>
              </w:rPr>
            </w:pPr>
          </w:p>
        </w:tc>
      </w:tr>
      <w:tr w14:paraId="4977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92BB23">
            <w:pPr>
              <w:autoSpaceDE/>
              <w:autoSpaceDN/>
              <w:adjustRightInd/>
              <w:jc w:val="center"/>
              <w:rPr>
                <w:rFonts w:hint="default" w:ascii="Times New Roman"/>
                <w:color w:val="000000"/>
                <w:kern w:val="2"/>
                <w:sz w:val="18"/>
                <w:szCs w:val="18"/>
              </w:rPr>
            </w:pPr>
          </w:p>
        </w:tc>
        <w:tc>
          <w:tcPr>
            <w:tcW w:w="20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1AFA7">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3.</w:t>
            </w:r>
            <w:r>
              <w:rPr>
                <w:rFonts w:hint="default"/>
                <w:color w:val="000000"/>
                <w:sz w:val="18"/>
                <w:szCs w:val="18"/>
                <w:lang w:bidi="ar"/>
              </w:rPr>
              <w:t>国有资本经营预算</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CBC52">
            <w:pPr>
              <w:autoSpaceDE/>
              <w:autoSpaceDN/>
              <w:adjustRightInd/>
              <w:jc w:val="center"/>
              <w:rPr>
                <w:rFonts w:hint="default" w:ascii="Times New Roman"/>
                <w:color w:val="000000"/>
                <w:kern w:val="2"/>
                <w:sz w:val="18"/>
                <w:szCs w:val="18"/>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7BDAE">
            <w:pPr>
              <w:autoSpaceDE/>
              <w:autoSpaceDN/>
              <w:adjustRightInd/>
              <w:jc w:val="center"/>
              <w:rPr>
                <w:rFonts w:hint="default" w:ascii="Times New Roman"/>
                <w:color w:val="000000"/>
                <w:kern w:val="2"/>
                <w:sz w:val="18"/>
                <w:szCs w:val="18"/>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F876F">
            <w:pPr>
              <w:autoSpaceDE/>
              <w:autoSpaceDN/>
              <w:adjustRightInd/>
              <w:jc w:val="center"/>
              <w:rPr>
                <w:rFonts w:hint="default" w:ascii="Times New Roman"/>
                <w:color w:val="000000"/>
                <w:kern w:val="2"/>
                <w:sz w:val="18"/>
                <w:szCs w:val="18"/>
              </w:rPr>
            </w:pP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F55B5">
            <w:pPr>
              <w:autoSpaceDE/>
              <w:autoSpaceDN/>
              <w:adjustRightInd/>
              <w:jc w:val="center"/>
              <w:rPr>
                <w:rFonts w:hint="default" w:ascii="Times New Roman"/>
                <w:color w:val="000000"/>
                <w:kern w:val="2"/>
                <w:sz w:val="18"/>
                <w:szCs w:val="18"/>
              </w:rPr>
            </w:pPr>
          </w:p>
        </w:tc>
      </w:tr>
      <w:tr w14:paraId="1682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6B05BB">
            <w:pPr>
              <w:autoSpaceDE/>
              <w:autoSpaceDN/>
              <w:adjustRightInd/>
              <w:jc w:val="center"/>
              <w:rPr>
                <w:rFonts w:hint="default" w:ascii="Times New Roman"/>
                <w:color w:val="000000"/>
                <w:kern w:val="2"/>
                <w:sz w:val="18"/>
                <w:szCs w:val="18"/>
              </w:rPr>
            </w:pPr>
          </w:p>
        </w:tc>
        <w:tc>
          <w:tcPr>
            <w:tcW w:w="20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CE767">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（二）其他资金</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07EBF">
            <w:pPr>
              <w:autoSpaceDE/>
              <w:autoSpaceDN/>
              <w:adjustRightInd/>
              <w:jc w:val="center"/>
              <w:rPr>
                <w:rFonts w:hint="default" w:ascii="Times New Roman"/>
                <w:color w:val="000000"/>
                <w:kern w:val="2"/>
                <w:sz w:val="18"/>
                <w:szCs w:val="18"/>
              </w:rPr>
            </w:pP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736D9">
            <w:pPr>
              <w:autoSpaceDE/>
              <w:autoSpaceDN/>
              <w:adjustRightInd/>
              <w:jc w:val="center"/>
              <w:rPr>
                <w:rFonts w:hint="default" w:ascii="Times New Roman"/>
                <w:color w:val="000000"/>
                <w:kern w:val="2"/>
                <w:sz w:val="18"/>
                <w:szCs w:val="18"/>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ACC5E">
            <w:pPr>
              <w:autoSpaceDE/>
              <w:autoSpaceDN/>
              <w:adjustRightInd/>
              <w:jc w:val="center"/>
              <w:rPr>
                <w:rFonts w:hint="default" w:ascii="Times New Roman"/>
                <w:color w:val="000000"/>
                <w:kern w:val="2"/>
                <w:sz w:val="18"/>
                <w:szCs w:val="18"/>
              </w:rPr>
            </w:pP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85E63">
            <w:pPr>
              <w:autoSpaceDE/>
              <w:autoSpaceDN/>
              <w:adjustRightInd/>
              <w:jc w:val="center"/>
              <w:rPr>
                <w:rFonts w:hint="default" w:ascii="Times New Roman"/>
                <w:color w:val="000000"/>
                <w:kern w:val="2"/>
                <w:sz w:val="18"/>
                <w:szCs w:val="18"/>
              </w:rPr>
            </w:pPr>
          </w:p>
        </w:tc>
      </w:tr>
      <w:tr w14:paraId="4241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6969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年度总体目标</w:t>
            </w:r>
          </w:p>
        </w:tc>
        <w:tc>
          <w:tcPr>
            <w:tcW w:w="4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3E8C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预期目标</w:t>
            </w:r>
          </w:p>
        </w:tc>
        <w:tc>
          <w:tcPr>
            <w:tcW w:w="35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F5AD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全年实际完成情况</w:t>
            </w:r>
          </w:p>
        </w:tc>
      </w:tr>
      <w:tr w14:paraId="50C4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E1C3F">
            <w:pPr>
              <w:autoSpaceDE/>
              <w:autoSpaceDN/>
              <w:adjustRightInd/>
              <w:jc w:val="center"/>
              <w:rPr>
                <w:rFonts w:hint="default" w:ascii="Times New Roman"/>
                <w:color w:val="000000"/>
                <w:kern w:val="2"/>
                <w:sz w:val="18"/>
                <w:szCs w:val="18"/>
              </w:rPr>
            </w:pPr>
          </w:p>
        </w:tc>
        <w:tc>
          <w:tcPr>
            <w:tcW w:w="461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DC1C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参保资助费用由区财政资金保障，医保代缴范围是具有昭化区户籍的持证残疾人，且在昭化区本地参保人员，计划为1-2级残疾人提供全额资助、为3-4级残疾人每人定额资助100元。（具体以全年办理残疾证基数和扣除其他代缴顺序后的残疾人数据为准）</w:t>
            </w:r>
          </w:p>
        </w:tc>
        <w:tc>
          <w:tcPr>
            <w:tcW w:w="35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EFD9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参保资助费用由区财政资金保障，医保代缴范围是具有昭化区户籍的持证残疾人，且在昭化区本地参保人员，计划为1-2级残疾人提供全额资助、为3-4级残疾人每人定额资助100元。（具体以全年办理残疾证基数和扣除其他代缴顺序后的残疾人数据为准）</w:t>
            </w:r>
          </w:p>
        </w:tc>
      </w:tr>
      <w:tr w14:paraId="2BEA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AB2D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绩效</w:t>
            </w:r>
            <w:r>
              <w:rPr>
                <w:rFonts w:hint="default" w:ascii="Times New Roman"/>
                <w:color w:val="000000"/>
                <w:sz w:val="18"/>
                <w:szCs w:val="18"/>
                <w:lang w:bidi="ar"/>
              </w:rPr>
              <w:br w:type="textWrapping"/>
            </w:r>
            <w:r>
              <w:rPr>
                <w:rFonts w:hint="default"/>
                <w:color w:val="000000"/>
                <w:sz w:val="18"/>
                <w:szCs w:val="18"/>
                <w:lang w:bidi="ar"/>
              </w:rPr>
              <w:t>指标</w:t>
            </w:r>
          </w:p>
        </w:tc>
        <w:tc>
          <w:tcPr>
            <w:tcW w:w="7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2B99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一级指标</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D253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二级指标</w:t>
            </w:r>
          </w:p>
        </w:tc>
        <w:tc>
          <w:tcPr>
            <w:tcW w:w="28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E0FF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三级指标</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2AF8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年度指标值</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1DE3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实际完成值</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32ED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偏差原因分析及改进措施</w:t>
            </w:r>
          </w:p>
        </w:tc>
      </w:tr>
      <w:tr w14:paraId="154E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191D2">
            <w:pPr>
              <w:autoSpaceDE/>
              <w:autoSpaceDN/>
              <w:adjustRightInd/>
              <w:jc w:val="center"/>
              <w:rPr>
                <w:rFonts w:hint="default" w:ascii="Times New Roman"/>
                <w:color w:val="000000"/>
                <w:kern w:val="2"/>
                <w:sz w:val="18"/>
                <w:szCs w:val="18"/>
              </w:rPr>
            </w:pPr>
          </w:p>
        </w:tc>
        <w:tc>
          <w:tcPr>
            <w:tcW w:w="7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19CB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产出指标</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86EC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数量指标</w:t>
            </w: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5673089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3DC25490">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年参保残疾人人数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5340A">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≥4000</w:t>
            </w:r>
            <w:r>
              <w:rPr>
                <w:rFonts w:hint="default"/>
                <w:color w:val="000000"/>
                <w:sz w:val="18"/>
                <w:szCs w:val="18"/>
                <w:lang w:bidi="ar"/>
              </w:rPr>
              <w:t>人</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25A2F">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4605</w:t>
            </w:r>
            <w:r>
              <w:rPr>
                <w:rFonts w:hint="default"/>
                <w:color w:val="000000"/>
                <w:sz w:val="18"/>
                <w:szCs w:val="18"/>
                <w:lang w:bidi="ar"/>
              </w:rPr>
              <w:t>人</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5A228">
            <w:pPr>
              <w:autoSpaceDE/>
              <w:autoSpaceDN/>
              <w:adjustRightInd/>
              <w:jc w:val="center"/>
              <w:rPr>
                <w:rFonts w:hint="default" w:ascii="Times New Roman"/>
                <w:color w:val="000000"/>
                <w:kern w:val="2"/>
                <w:sz w:val="18"/>
                <w:szCs w:val="18"/>
              </w:rPr>
            </w:pPr>
          </w:p>
        </w:tc>
      </w:tr>
      <w:tr w14:paraId="4B40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C87C4">
            <w:pPr>
              <w:autoSpaceDE/>
              <w:autoSpaceDN/>
              <w:adjustRightInd/>
              <w:jc w:val="center"/>
              <w:rPr>
                <w:rFonts w:hint="default" w:ascii="Times New Roman"/>
                <w:color w:val="000000"/>
                <w:kern w:val="2"/>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5C638">
            <w:pPr>
              <w:autoSpaceDE/>
              <w:autoSpaceDN/>
              <w:adjustRightInd/>
              <w:jc w:val="center"/>
              <w:rPr>
                <w:rFonts w:hint="default" w:ascii="Times New Roman"/>
                <w:color w:val="000000"/>
                <w:kern w:val="2"/>
                <w:sz w:val="18"/>
                <w:szCs w:val="18"/>
              </w:rPr>
            </w:pP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47E4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质量指标</w:t>
            </w: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6280742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050F0C0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年应缴达标率</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1C320">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≥98%</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F5819">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99.6%</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289CA">
            <w:pPr>
              <w:autoSpaceDE/>
              <w:autoSpaceDN/>
              <w:adjustRightInd/>
              <w:jc w:val="center"/>
              <w:rPr>
                <w:rFonts w:hint="default" w:ascii="Times New Roman"/>
                <w:color w:val="000000"/>
                <w:kern w:val="2"/>
                <w:sz w:val="18"/>
                <w:szCs w:val="18"/>
              </w:rPr>
            </w:pPr>
          </w:p>
        </w:tc>
      </w:tr>
      <w:tr w14:paraId="7B13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32101">
            <w:pPr>
              <w:autoSpaceDE/>
              <w:autoSpaceDN/>
              <w:adjustRightInd/>
              <w:jc w:val="center"/>
              <w:rPr>
                <w:rFonts w:hint="default" w:ascii="Times New Roman"/>
                <w:color w:val="000000"/>
                <w:kern w:val="2"/>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23448">
            <w:pPr>
              <w:autoSpaceDE/>
              <w:autoSpaceDN/>
              <w:adjustRightInd/>
              <w:jc w:val="center"/>
              <w:rPr>
                <w:rFonts w:hint="default" w:ascii="Times New Roman"/>
                <w:color w:val="000000"/>
                <w:kern w:val="2"/>
                <w:sz w:val="18"/>
                <w:szCs w:val="18"/>
              </w:rPr>
            </w:pP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F0D4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时效指标</w:t>
            </w: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70F1584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23298E4C">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年医保代缴完成时间</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E87D7">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年6月25日前</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D800B">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年4月底</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13D1E">
            <w:pPr>
              <w:autoSpaceDE/>
              <w:autoSpaceDN/>
              <w:adjustRightInd/>
              <w:jc w:val="center"/>
              <w:rPr>
                <w:rFonts w:hint="default" w:ascii="Times New Roman"/>
                <w:color w:val="000000"/>
                <w:kern w:val="2"/>
                <w:sz w:val="18"/>
                <w:szCs w:val="18"/>
              </w:rPr>
            </w:pPr>
          </w:p>
        </w:tc>
      </w:tr>
      <w:tr w14:paraId="62D8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8E939">
            <w:pPr>
              <w:autoSpaceDE/>
              <w:autoSpaceDN/>
              <w:adjustRightInd/>
              <w:jc w:val="center"/>
              <w:rPr>
                <w:rFonts w:hint="default" w:ascii="Times New Roman"/>
                <w:color w:val="000000"/>
                <w:kern w:val="2"/>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37D45">
            <w:pPr>
              <w:autoSpaceDE/>
              <w:autoSpaceDN/>
              <w:adjustRightInd/>
              <w:jc w:val="center"/>
              <w:rPr>
                <w:rFonts w:hint="default" w:ascii="Times New Roman"/>
                <w:color w:val="000000"/>
                <w:kern w:val="2"/>
                <w:sz w:val="18"/>
                <w:szCs w:val="18"/>
              </w:rPr>
            </w:pPr>
          </w:p>
        </w:tc>
        <w:tc>
          <w:tcPr>
            <w:tcW w:w="10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F3F8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成本指标</w:t>
            </w: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5F0AAF1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7A4CD49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年1-2级残疾人人均补助成本</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1746E">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=350</w:t>
            </w:r>
            <w:r>
              <w:rPr>
                <w:rFonts w:hint="default"/>
                <w:color w:val="000000"/>
                <w:sz w:val="18"/>
                <w:szCs w:val="18"/>
                <w:lang w:bidi="ar"/>
              </w:rPr>
              <w:t>元</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5FDC7">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350</w:t>
            </w:r>
            <w:r>
              <w:rPr>
                <w:rFonts w:hint="default"/>
                <w:color w:val="000000"/>
                <w:sz w:val="18"/>
                <w:szCs w:val="18"/>
                <w:lang w:bidi="ar"/>
              </w:rPr>
              <w:t>元</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C1F03">
            <w:pPr>
              <w:autoSpaceDE/>
              <w:autoSpaceDN/>
              <w:adjustRightInd/>
              <w:jc w:val="center"/>
              <w:rPr>
                <w:rFonts w:hint="default" w:ascii="Times New Roman"/>
                <w:color w:val="000000"/>
                <w:kern w:val="2"/>
                <w:sz w:val="18"/>
                <w:szCs w:val="18"/>
              </w:rPr>
            </w:pPr>
          </w:p>
        </w:tc>
      </w:tr>
      <w:tr w14:paraId="0E51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D5849">
            <w:pPr>
              <w:autoSpaceDE/>
              <w:autoSpaceDN/>
              <w:adjustRightInd/>
              <w:jc w:val="center"/>
              <w:rPr>
                <w:rFonts w:hint="default" w:ascii="Times New Roman"/>
                <w:color w:val="000000"/>
                <w:kern w:val="2"/>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B7340">
            <w:pPr>
              <w:autoSpaceDE/>
              <w:autoSpaceDN/>
              <w:adjustRightInd/>
              <w:jc w:val="center"/>
              <w:rPr>
                <w:rFonts w:hint="default" w:ascii="Times New Roman"/>
                <w:color w:val="000000"/>
                <w:kern w:val="2"/>
                <w:sz w:val="18"/>
                <w:szCs w:val="18"/>
              </w:rPr>
            </w:pPr>
          </w:p>
        </w:tc>
        <w:tc>
          <w:tcPr>
            <w:tcW w:w="10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B8020">
            <w:pPr>
              <w:autoSpaceDE/>
              <w:autoSpaceDN/>
              <w:adjustRightInd/>
              <w:jc w:val="center"/>
              <w:rPr>
                <w:rFonts w:hint="default" w:ascii="Times New Roman"/>
                <w:color w:val="000000"/>
                <w:kern w:val="2"/>
                <w:sz w:val="18"/>
                <w:szCs w:val="18"/>
              </w:rPr>
            </w:pP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30034BE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6675FC4F">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2023</w:t>
            </w:r>
            <w:r>
              <w:rPr>
                <w:rFonts w:hint="default"/>
                <w:color w:val="000000"/>
                <w:sz w:val="18"/>
                <w:szCs w:val="18"/>
                <w:lang w:bidi="ar"/>
              </w:rPr>
              <w:t>年3-4级残疾人人均补助成本</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BAAC7">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=100</w:t>
            </w:r>
            <w:r>
              <w:rPr>
                <w:rFonts w:hint="default"/>
                <w:color w:val="000000"/>
                <w:sz w:val="18"/>
                <w:szCs w:val="18"/>
                <w:lang w:bidi="ar"/>
              </w:rPr>
              <w:t>元</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8B728">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100</w:t>
            </w:r>
            <w:r>
              <w:rPr>
                <w:rFonts w:hint="default"/>
                <w:color w:val="000000"/>
                <w:sz w:val="18"/>
                <w:szCs w:val="18"/>
                <w:lang w:bidi="ar"/>
              </w:rPr>
              <w:t>元</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06D68">
            <w:pPr>
              <w:autoSpaceDE/>
              <w:autoSpaceDN/>
              <w:adjustRightInd/>
              <w:jc w:val="center"/>
              <w:rPr>
                <w:rFonts w:hint="default" w:ascii="Times New Roman"/>
                <w:color w:val="000000"/>
                <w:kern w:val="2"/>
                <w:sz w:val="18"/>
                <w:szCs w:val="18"/>
              </w:rPr>
            </w:pPr>
          </w:p>
        </w:tc>
      </w:tr>
      <w:tr w14:paraId="6CC2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81D04">
            <w:pPr>
              <w:autoSpaceDE/>
              <w:autoSpaceDN/>
              <w:adjustRightInd/>
              <w:jc w:val="center"/>
              <w:rPr>
                <w:rFonts w:hint="default" w:ascii="Times New Roman"/>
                <w:color w:val="000000"/>
                <w:kern w:val="2"/>
                <w:sz w:val="18"/>
                <w:szCs w:val="18"/>
              </w:rPr>
            </w:pPr>
          </w:p>
        </w:tc>
        <w:tc>
          <w:tcPr>
            <w:tcW w:w="7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72A6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效益指标</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77EB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社会效益</w:t>
            </w:r>
            <w:r>
              <w:rPr>
                <w:rFonts w:hint="default" w:ascii="Times New Roman"/>
                <w:color w:val="000000"/>
                <w:sz w:val="18"/>
                <w:szCs w:val="18"/>
                <w:lang w:bidi="ar"/>
              </w:rPr>
              <w:br w:type="textWrapping"/>
            </w:r>
            <w:r>
              <w:rPr>
                <w:rFonts w:hint="default"/>
                <w:color w:val="000000"/>
                <w:sz w:val="18"/>
                <w:szCs w:val="18"/>
                <w:lang w:bidi="ar"/>
              </w:rPr>
              <w:t>指标</w:t>
            </w: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18C53AA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6D1306D8">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减轻残疾人生活负担</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24BE2">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≥90%</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FDC3F">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90%</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E91E1">
            <w:pPr>
              <w:autoSpaceDE/>
              <w:autoSpaceDN/>
              <w:adjustRightInd/>
              <w:jc w:val="center"/>
              <w:rPr>
                <w:rFonts w:hint="default" w:ascii="Times New Roman"/>
                <w:color w:val="000000"/>
                <w:kern w:val="2"/>
                <w:sz w:val="18"/>
                <w:szCs w:val="18"/>
              </w:rPr>
            </w:pPr>
          </w:p>
        </w:tc>
      </w:tr>
      <w:tr w14:paraId="47D4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AEFE9">
            <w:pPr>
              <w:autoSpaceDE/>
              <w:autoSpaceDN/>
              <w:adjustRightInd/>
              <w:jc w:val="center"/>
              <w:rPr>
                <w:rFonts w:hint="default" w:ascii="Times New Roman"/>
                <w:color w:val="000000"/>
                <w:kern w:val="2"/>
                <w:sz w:val="18"/>
                <w:szCs w:val="18"/>
              </w:rPr>
            </w:pPr>
          </w:p>
        </w:tc>
        <w:tc>
          <w:tcPr>
            <w:tcW w:w="7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1428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满意度</w:t>
            </w:r>
            <w:r>
              <w:rPr>
                <w:rFonts w:hint="default" w:ascii="Times New Roman"/>
                <w:color w:val="000000"/>
                <w:sz w:val="18"/>
                <w:szCs w:val="18"/>
                <w:lang w:bidi="ar"/>
              </w:rPr>
              <w:br w:type="textWrapping"/>
            </w:r>
            <w:r>
              <w:rPr>
                <w:rFonts w:hint="default"/>
                <w:color w:val="000000"/>
                <w:sz w:val="18"/>
                <w:szCs w:val="18"/>
                <w:lang w:bidi="ar"/>
              </w:rPr>
              <w:t>指标</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FE93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服务对象满意度指标</w:t>
            </w:r>
          </w:p>
        </w:tc>
        <w:tc>
          <w:tcPr>
            <w:tcW w:w="1021" w:type="dxa"/>
            <w:tcBorders>
              <w:top w:val="single" w:color="000000" w:sz="4" w:space="0"/>
              <w:left w:val="single" w:color="000000" w:sz="4" w:space="0"/>
              <w:bottom w:val="single" w:color="000000" w:sz="4" w:space="0"/>
              <w:right w:val="nil"/>
              <w:tl2br w:val="nil"/>
              <w:tr2bl w:val="nil"/>
            </w:tcBorders>
            <w:noWrap w:val="0"/>
            <w:vAlign w:val="center"/>
          </w:tcPr>
          <w:p w14:paraId="03DC45E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1824" w:type="dxa"/>
            <w:tcBorders>
              <w:top w:val="single" w:color="000000" w:sz="4" w:space="0"/>
              <w:left w:val="nil"/>
              <w:bottom w:val="single" w:color="000000" w:sz="4" w:space="0"/>
              <w:right w:val="single" w:color="000000" w:sz="4" w:space="0"/>
              <w:tl2br w:val="nil"/>
              <w:tr2bl w:val="nil"/>
            </w:tcBorders>
            <w:noWrap w:val="0"/>
            <w:vAlign w:val="center"/>
          </w:tcPr>
          <w:p w14:paraId="573E038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享受代缴政策的残疾人满意度</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1154B">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≥95%</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47482">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98%</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B4F09">
            <w:pPr>
              <w:autoSpaceDE/>
              <w:autoSpaceDN/>
              <w:adjustRightInd/>
              <w:jc w:val="center"/>
              <w:rPr>
                <w:rFonts w:hint="default" w:ascii="Times New Roman"/>
                <w:color w:val="000000"/>
                <w:kern w:val="2"/>
                <w:sz w:val="18"/>
                <w:szCs w:val="18"/>
              </w:rPr>
            </w:pPr>
          </w:p>
        </w:tc>
      </w:tr>
    </w:tbl>
    <w:p w14:paraId="14719B48">
      <w:pPr>
        <w:pStyle w:val="2"/>
        <w:rPr>
          <w:rFonts w:hint="eastAsia"/>
          <w:sz w:val="30"/>
          <w:szCs w:val="24"/>
          <w:lang w:val="zh-CN"/>
        </w:rPr>
        <w:sectPr>
          <w:pgSz w:w="12240" w:h="15840"/>
          <w:pgMar w:top="2098" w:right="1474" w:bottom="1984" w:left="1587" w:header="720" w:footer="720" w:gutter="0"/>
          <w:lnNumType w:countBy="0" w:distance="360"/>
          <w:cols w:space="720" w:num="1"/>
        </w:sectPr>
      </w:pPr>
    </w:p>
    <w:tbl>
      <w:tblPr>
        <w:tblStyle w:val="8"/>
        <w:tblW w:w="9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635"/>
        <w:gridCol w:w="1013"/>
        <w:gridCol w:w="831"/>
        <w:gridCol w:w="651"/>
        <w:gridCol w:w="1756"/>
        <w:gridCol w:w="1150"/>
        <w:gridCol w:w="1180"/>
        <w:gridCol w:w="1420"/>
      </w:tblGrid>
      <w:tr w14:paraId="43DB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9146" w:type="dxa"/>
            <w:gridSpan w:val="9"/>
            <w:tcBorders>
              <w:top w:val="nil"/>
              <w:left w:val="nil"/>
              <w:bottom w:val="nil"/>
              <w:right w:val="nil"/>
              <w:tl2br w:val="nil"/>
              <w:tr2bl w:val="nil"/>
            </w:tcBorders>
            <w:noWrap w:val="0"/>
            <w:vAlign w:val="center"/>
          </w:tcPr>
          <w:p w14:paraId="29250993">
            <w:pPr>
              <w:widowControl/>
              <w:autoSpaceDE/>
              <w:autoSpaceDN/>
              <w:adjustRightInd/>
              <w:jc w:val="both"/>
              <w:textAlignment w:val="center"/>
              <w:rPr>
                <w:rFonts w:hint="eastAsia" w:ascii="Times New Roman" w:eastAsia="黑体"/>
                <w:color w:val="000000"/>
                <w:sz w:val="40"/>
                <w:szCs w:val="40"/>
                <w:lang w:bidi="ar"/>
              </w:rPr>
            </w:pPr>
            <w:r>
              <w:rPr>
                <w:rFonts w:hint="eastAsia" w:ascii="Times New Roman" w:eastAsia="黑体"/>
                <w:kern w:val="2"/>
                <w:sz w:val="32"/>
                <w:szCs w:val="32"/>
              </w:rPr>
              <w:t>附表3</w:t>
            </w:r>
          </w:p>
          <w:p w14:paraId="1E390F2A">
            <w:pPr>
              <w:widowControl/>
              <w:autoSpaceDE/>
              <w:autoSpaceDN/>
              <w:adjustRightInd/>
              <w:jc w:val="center"/>
              <w:textAlignment w:val="center"/>
              <w:rPr>
                <w:rFonts w:hint="default" w:ascii="Times New Roman" w:eastAsia="方正小标宋简体"/>
                <w:color w:val="000000"/>
                <w:kern w:val="2"/>
                <w:sz w:val="36"/>
                <w:szCs w:val="36"/>
              </w:rPr>
            </w:pPr>
            <w:r>
              <w:rPr>
                <w:rFonts w:hint="eastAsia" w:ascii="Times New Roman" w:eastAsia="方正小标宋简体"/>
                <w:color w:val="000000"/>
                <w:sz w:val="36"/>
                <w:szCs w:val="36"/>
                <w:lang w:bidi="ar"/>
              </w:rPr>
              <w:t>广元市昭化区财政项目（政策）支出绩效自评表</w:t>
            </w:r>
          </w:p>
        </w:tc>
      </w:tr>
      <w:tr w14:paraId="0262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146" w:type="dxa"/>
            <w:gridSpan w:val="9"/>
            <w:tcBorders>
              <w:top w:val="nil"/>
              <w:left w:val="nil"/>
              <w:bottom w:val="nil"/>
              <w:right w:val="nil"/>
              <w:tl2br w:val="nil"/>
              <w:tr2bl w:val="nil"/>
            </w:tcBorders>
            <w:noWrap w:val="0"/>
            <w:vAlign w:val="top"/>
          </w:tcPr>
          <w:p w14:paraId="1B06B64B">
            <w:pPr>
              <w:widowControl/>
              <w:autoSpaceDE/>
              <w:autoSpaceDN/>
              <w:adjustRightInd/>
              <w:jc w:val="center"/>
              <w:textAlignment w:val="top"/>
              <w:rPr>
                <w:rFonts w:hint="default" w:ascii="Times New Roman"/>
                <w:b/>
                <w:color w:val="000000"/>
                <w:kern w:val="2"/>
                <w:sz w:val="24"/>
                <w:szCs w:val="24"/>
              </w:rPr>
            </w:pPr>
            <w:r>
              <w:rPr>
                <w:rFonts w:hint="default"/>
                <w:b/>
                <w:color w:val="000000"/>
                <w:sz w:val="24"/>
                <w:szCs w:val="24"/>
                <w:lang w:bidi="ar"/>
              </w:rPr>
              <w:t>（ 2023年度）</w:t>
            </w:r>
          </w:p>
        </w:tc>
      </w:tr>
      <w:tr w14:paraId="519F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A465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项目（政策）名称</w:t>
            </w:r>
          </w:p>
        </w:tc>
        <w:tc>
          <w:tcPr>
            <w:tcW w:w="800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DCBF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残疾人民生保障工作经费</w:t>
            </w:r>
          </w:p>
        </w:tc>
      </w:tr>
      <w:tr w14:paraId="7B2A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1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14B3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主管部门</w:t>
            </w:r>
          </w:p>
        </w:tc>
        <w:tc>
          <w:tcPr>
            <w:tcW w:w="42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C518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广元市昭化区残疾人联合会</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99BA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实施单位</w:t>
            </w:r>
          </w:p>
        </w:tc>
        <w:tc>
          <w:tcPr>
            <w:tcW w:w="26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9219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广元市昭化区残疾人联合会</w:t>
            </w:r>
          </w:p>
        </w:tc>
      </w:tr>
      <w:tr w14:paraId="0139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D1011B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项目（政策）资金（万元）</w:t>
            </w:r>
          </w:p>
        </w:tc>
        <w:tc>
          <w:tcPr>
            <w:tcW w:w="2495" w:type="dxa"/>
            <w:gridSpan w:val="3"/>
            <w:tcBorders>
              <w:top w:val="nil"/>
              <w:left w:val="single" w:color="000000" w:sz="4" w:space="0"/>
              <w:bottom w:val="single" w:color="000000" w:sz="4" w:space="0"/>
              <w:right w:val="single" w:color="000000" w:sz="4" w:space="0"/>
              <w:tl2br w:val="nil"/>
              <w:tr2bl w:val="nil"/>
            </w:tcBorders>
            <w:noWrap w:val="0"/>
            <w:vAlign w:val="center"/>
          </w:tcPr>
          <w:p w14:paraId="60A731A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年度预算数（万元）</w:t>
            </w:r>
          </w:p>
        </w:tc>
        <w:tc>
          <w:tcPr>
            <w:tcW w:w="1756" w:type="dxa"/>
            <w:tcBorders>
              <w:top w:val="nil"/>
              <w:left w:val="single" w:color="000000" w:sz="4" w:space="0"/>
              <w:bottom w:val="single" w:color="000000" w:sz="4" w:space="0"/>
              <w:right w:val="single" w:color="000000" w:sz="4" w:space="0"/>
              <w:tl2br w:val="nil"/>
              <w:tr2bl w:val="nil"/>
            </w:tcBorders>
            <w:noWrap w:val="0"/>
            <w:vAlign w:val="center"/>
          </w:tcPr>
          <w:p w14:paraId="7A9C7A4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年初预算数</w:t>
            </w:r>
          </w:p>
        </w:tc>
        <w:tc>
          <w:tcPr>
            <w:tcW w:w="1150" w:type="dxa"/>
            <w:tcBorders>
              <w:top w:val="nil"/>
              <w:left w:val="single" w:color="000000" w:sz="4" w:space="0"/>
              <w:bottom w:val="single" w:color="000000" w:sz="4" w:space="0"/>
              <w:right w:val="single" w:color="000000" w:sz="4" w:space="0"/>
              <w:tl2br w:val="nil"/>
              <w:tr2bl w:val="nil"/>
            </w:tcBorders>
            <w:noWrap w:val="0"/>
            <w:vAlign w:val="center"/>
          </w:tcPr>
          <w:p w14:paraId="20C3A01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全年预算数</w:t>
            </w:r>
          </w:p>
        </w:tc>
        <w:tc>
          <w:tcPr>
            <w:tcW w:w="1180" w:type="dxa"/>
            <w:tcBorders>
              <w:top w:val="nil"/>
              <w:left w:val="single" w:color="000000" w:sz="4" w:space="0"/>
              <w:bottom w:val="single" w:color="000000" w:sz="4" w:space="0"/>
              <w:right w:val="single" w:color="000000" w:sz="4" w:space="0"/>
              <w:tl2br w:val="nil"/>
              <w:tr2bl w:val="nil"/>
            </w:tcBorders>
            <w:noWrap w:val="0"/>
            <w:vAlign w:val="center"/>
          </w:tcPr>
          <w:p w14:paraId="63EDACD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全年执行数</w:t>
            </w:r>
          </w:p>
        </w:tc>
        <w:tc>
          <w:tcPr>
            <w:tcW w:w="1420" w:type="dxa"/>
            <w:tcBorders>
              <w:top w:val="nil"/>
              <w:left w:val="single" w:color="000000" w:sz="4" w:space="0"/>
              <w:bottom w:val="single" w:color="000000" w:sz="4" w:space="0"/>
              <w:right w:val="single" w:color="000000" w:sz="4" w:space="0"/>
              <w:tl2br w:val="nil"/>
              <w:tr2bl w:val="nil"/>
            </w:tcBorders>
            <w:noWrap w:val="0"/>
            <w:vAlign w:val="center"/>
          </w:tcPr>
          <w:p w14:paraId="3C75327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执行率</w:t>
            </w:r>
          </w:p>
        </w:tc>
      </w:tr>
      <w:tr w14:paraId="252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20909F7">
            <w:pPr>
              <w:autoSpaceDE/>
              <w:autoSpaceDN/>
              <w:adjustRightInd/>
              <w:jc w:val="center"/>
              <w:rPr>
                <w:rFonts w:hint="default" w:ascii="Times New Roman"/>
                <w:color w:val="000000"/>
                <w:kern w:val="2"/>
                <w:sz w:val="18"/>
                <w:szCs w:val="18"/>
              </w:rPr>
            </w:pPr>
          </w:p>
        </w:tc>
        <w:tc>
          <w:tcPr>
            <w:tcW w:w="24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0A12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年度资金总额</w:t>
            </w:r>
          </w:p>
        </w:tc>
        <w:tc>
          <w:tcPr>
            <w:tcW w:w="1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E7F79">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7784A">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22.82</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AE3C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15.82</w:t>
            </w:r>
          </w:p>
        </w:tc>
        <w:tc>
          <w:tcPr>
            <w:tcW w:w="1420" w:type="dxa"/>
            <w:tcBorders>
              <w:top w:val="nil"/>
              <w:left w:val="single" w:color="000000" w:sz="4" w:space="0"/>
              <w:bottom w:val="single" w:color="000000" w:sz="4" w:space="0"/>
              <w:right w:val="single" w:color="000000" w:sz="4" w:space="0"/>
              <w:tl2br w:val="nil"/>
              <w:tr2bl w:val="nil"/>
            </w:tcBorders>
            <w:noWrap w:val="0"/>
            <w:vAlign w:val="center"/>
          </w:tcPr>
          <w:p w14:paraId="33A6D765">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69.33%</w:t>
            </w:r>
          </w:p>
        </w:tc>
      </w:tr>
      <w:tr w14:paraId="0C2E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B50F01">
            <w:pPr>
              <w:autoSpaceDE/>
              <w:autoSpaceDN/>
              <w:adjustRightInd/>
              <w:jc w:val="center"/>
              <w:rPr>
                <w:rFonts w:hint="default" w:ascii="Times New Roman"/>
                <w:color w:val="000000"/>
                <w:kern w:val="2"/>
                <w:sz w:val="18"/>
                <w:szCs w:val="18"/>
              </w:rPr>
            </w:pPr>
          </w:p>
        </w:tc>
        <w:tc>
          <w:tcPr>
            <w:tcW w:w="24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E9AE7">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（一）财政拨款小计</w:t>
            </w:r>
          </w:p>
        </w:tc>
        <w:tc>
          <w:tcPr>
            <w:tcW w:w="1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FFE52">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6E67E">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22.82</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46FF5">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15.82</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083E5">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69.33%</w:t>
            </w:r>
          </w:p>
        </w:tc>
      </w:tr>
      <w:tr w14:paraId="3F22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7D9013">
            <w:pPr>
              <w:autoSpaceDE/>
              <w:autoSpaceDN/>
              <w:adjustRightInd/>
              <w:jc w:val="center"/>
              <w:rPr>
                <w:rFonts w:hint="default" w:ascii="Times New Roman"/>
                <w:color w:val="000000"/>
                <w:kern w:val="2"/>
                <w:sz w:val="18"/>
                <w:szCs w:val="18"/>
              </w:rPr>
            </w:pPr>
          </w:p>
        </w:tc>
        <w:tc>
          <w:tcPr>
            <w:tcW w:w="24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3CDC0">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1.</w:t>
            </w:r>
            <w:r>
              <w:rPr>
                <w:rFonts w:hint="default"/>
                <w:color w:val="000000"/>
                <w:sz w:val="18"/>
                <w:szCs w:val="18"/>
                <w:lang w:bidi="ar"/>
              </w:rPr>
              <w:t>一般公共预算</w:t>
            </w:r>
          </w:p>
        </w:tc>
        <w:tc>
          <w:tcPr>
            <w:tcW w:w="1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FF93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C413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22.82</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57A8E">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15.82</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4D5EB">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69.33%</w:t>
            </w:r>
          </w:p>
        </w:tc>
      </w:tr>
      <w:tr w14:paraId="5168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A2E8BE3">
            <w:pPr>
              <w:autoSpaceDE/>
              <w:autoSpaceDN/>
              <w:adjustRightInd/>
              <w:jc w:val="center"/>
              <w:rPr>
                <w:rFonts w:hint="default" w:ascii="Times New Roman"/>
                <w:color w:val="000000"/>
                <w:kern w:val="2"/>
                <w:sz w:val="18"/>
                <w:szCs w:val="18"/>
              </w:rPr>
            </w:pPr>
          </w:p>
        </w:tc>
        <w:tc>
          <w:tcPr>
            <w:tcW w:w="24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A2875">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2.</w:t>
            </w:r>
            <w:r>
              <w:rPr>
                <w:rFonts w:hint="default"/>
                <w:color w:val="000000"/>
                <w:sz w:val="18"/>
                <w:szCs w:val="18"/>
                <w:lang w:bidi="ar"/>
              </w:rPr>
              <w:t>政府性基金</w:t>
            </w:r>
          </w:p>
        </w:tc>
        <w:tc>
          <w:tcPr>
            <w:tcW w:w="1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19AE0">
            <w:pPr>
              <w:autoSpaceDE/>
              <w:autoSpaceDN/>
              <w:adjustRightInd/>
              <w:jc w:val="center"/>
              <w:rPr>
                <w:rFonts w:hint="default" w:ascii="Times New Roman"/>
                <w:color w:val="000000"/>
                <w:kern w:val="2"/>
                <w:sz w:val="18"/>
                <w:szCs w:val="18"/>
              </w:rPr>
            </w:pP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6AB7C">
            <w:pPr>
              <w:autoSpaceDE/>
              <w:autoSpaceDN/>
              <w:adjustRightInd/>
              <w:jc w:val="center"/>
              <w:rPr>
                <w:rFonts w:hint="default" w:ascii="Times New Roman"/>
                <w:color w:val="000000"/>
                <w:kern w:val="2"/>
                <w:sz w:val="18"/>
                <w:szCs w:val="18"/>
              </w:rPr>
            </w:pP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AFCB8">
            <w:pPr>
              <w:autoSpaceDE/>
              <w:autoSpaceDN/>
              <w:adjustRightInd/>
              <w:jc w:val="center"/>
              <w:rPr>
                <w:rFonts w:hint="default" w:ascii="Times New Roman"/>
                <w:color w:val="000000"/>
                <w:kern w:val="2"/>
                <w:sz w:val="18"/>
                <w:szCs w:val="18"/>
              </w:rPr>
            </w:pP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4BA70">
            <w:pPr>
              <w:autoSpaceDE/>
              <w:autoSpaceDN/>
              <w:adjustRightInd/>
              <w:jc w:val="center"/>
              <w:rPr>
                <w:rFonts w:hint="default" w:ascii="Times New Roman"/>
                <w:color w:val="000000"/>
                <w:kern w:val="2"/>
                <w:sz w:val="18"/>
                <w:szCs w:val="18"/>
              </w:rPr>
            </w:pPr>
          </w:p>
        </w:tc>
      </w:tr>
      <w:tr w14:paraId="0C56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1FD6CEC">
            <w:pPr>
              <w:autoSpaceDE/>
              <w:autoSpaceDN/>
              <w:adjustRightInd/>
              <w:jc w:val="center"/>
              <w:rPr>
                <w:rFonts w:hint="default" w:ascii="Times New Roman"/>
                <w:color w:val="000000"/>
                <w:kern w:val="2"/>
                <w:sz w:val="18"/>
                <w:szCs w:val="18"/>
              </w:rPr>
            </w:pPr>
          </w:p>
        </w:tc>
        <w:tc>
          <w:tcPr>
            <w:tcW w:w="24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F55CB">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 xml:space="preserve">   3.</w:t>
            </w:r>
            <w:r>
              <w:rPr>
                <w:rFonts w:hint="default"/>
                <w:color w:val="000000"/>
                <w:sz w:val="18"/>
                <w:szCs w:val="18"/>
                <w:lang w:bidi="ar"/>
              </w:rPr>
              <w:t>国有资本经营预算</w:t>
            </w:r>
          </w:p>
        </w:tc>
        <w:tc>
          <w:tcPr>
            <w:tcW w:w="1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0B121">
            <w:pPr>
              <w:autoSpaceDE/>
              <w:autoSpaceDN/>
              <w:adjustRightInd/>
              <w:jc w:val="center"/>
              <w:rPr>
                <w:rFonts w:hint="default" w:ascii="Times New Roman"/>
                <w:color w:val="000000"/>
                <w:kern w:val="2"/>
                <w:sz w:val="18"/>
                <w:szCs w:val="18"/>
              </w:rPr>
            </w:pP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6DD5D">
            <w:pPr>
              <w:autoSpaceDE/>
              <w:autoSpaceDN/>
              <w:adjustRightInd/>
              <w:jc w:val="center"/>
              <w:rPr>
                <w:rFonts w:hint="default" w:ascii="Times New Roman"/>
                <w:color w:val="000000"/>
                <w:kern w:val="2"/>
                <w:sz w:val="18"/>
                <w:szCs w:val="18"/>
              </w:rPr>
            </w:pP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C9AFE">
            <w:pPr>
              <w:autoSpaceDE/>
              <w:autoSpaceDN/>
              <w:adjustRightInd/>
              <w:jc w:val="center"/>
              <w:rPr>
                <w:rFonts w:hint="default" w:ascii="Times New Roman"/>
                <w:color w:val="000000"/>
                <w:kern w:val="2"/>
                <w:sz w:val="18"/>
                <w:szCs w:val="18"/>
              </w:rPr>
            </w:pP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6ABC7">
            <w:pPr>
              <w:autoSpaceDE/>
              <w:autoSpaceDN/>
              <w:adjustRightInd/>
              <w:jc w:val="center"/>
              <w:rPr>
                <w:rFonts w:hint="default" w:ascii="Times New Roman"/>
                <w:color w:val="000000"/>
                <w:kern w:val="2"/>
                <w:sz w:val="18"/>
                <w:szCs w:val="18"/>
              </w:rPr>
            </w:pPr>
          </w:p>
        </w:tc>
      </w:tr>
      <w:tr w14:paraId="523E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14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67FD55">
            <w:pPr>
              <w:autoSpaceDE/>
              <w:autoSpaceDN/>
              <w:adjustRightInd/>
              <w:jc w:val="center"/>
              <w:rPr>
                <w:rFonts w:hint="default" w:ascii="Times New Roman"/>
                <w:color w:val="000000"/>
                <w:kern w:val="2"/>
                <w:sz w:val="18"/>
                <w:szCs w:val="18"/>
              </w:rPr>
            </w:pPr>
          </w:p>
        </w:tc>
        <w:tc>
          <w:tcPr>
            <w:tcW w:w="24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AF39E">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（二）其他资金</w:t>
            </w:r>
          </w:p>
        </w:tc>
        <w:tc>
          <w:tcPr>
            <w:tcW w:w="17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F1284">
            <w:pPr>
              <w:autoSpaceDE/>
              <w:autoSpaceDN/>
              <w:adjustRightInd/>
              <w:jc w:val="center"/>
              <w:rPr>
                <w:rFonts w:hint="default" w:ascii="Times New Roman"/>
                <w:color w:val="000000"/>
                <w:kern w:val="2"/>
                <w:sz w:val="18"/>
                <w:szCs w:val="18"/>
              </w:rPr>
            </w:pP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3EB5D">
            <w:pPr>
              <w:autoSpaceDE/>
              <w:autoSpaceDN/>
              <w:adjustRightInd/>
              <w:jc w:val="center"/>
              <w:rPr>
                <w:rFonts w:hint="default" w:ascii="Times New Roman"/>
                <w:color w:val="000000"/>
                <w:kern w:val="2"/>
                <w:sz w:val="18"/>
                <w:szCs w:val="18"/>
              </w:rPr>
            </w:pP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B5844">
            <w:pPr>
              <w:autoSpaceDE/>
              <w:autoSpaceDN/>
              <w:adjustRightInd/>
              <w:jc w:val="center"/>
              <w:rPr>
                <w:rFonts w:hint="default" w:ascii="Times New Roman"/>
                <w:color w:val="000000"/>
                <w:kern w:val="2"/>
                <w:sz w:val="18"/>
                <w:szCs w:val="18"/>
              </w:rPr>
            </w:pP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CFDDC">
            <w:pPr>
              <w:autoSpaceDE/>
              <w:autoSpaceDN/>
              <w:adjustRightInd/>
              <w:jc w:val="center"/>
              <w:rPr>
                <w:rFonts w:hint="default" w:ascii="Times New Roman"/>
                <w:color w:val="000000"/>
                <w:kern w:val="2"/>
                <w:sz w:val="18"/>
                <w:szCs w:val="18"/>
              </w:rPr>
            </w:pPr>
          </w:p>
        </w:tc>
      </w:tr>
      <w:tr w14:paraId="75CA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51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9EE6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年度总体目标</w:t>
            </w:r>
          </w:p>
        </w:tc>
        <w:tc>
          <w:tcPr>
            <w:tcW w:w="488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27AA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预期目标</w:t>
            </w:r>
          </w:p>
        </w:tc>
        <w:tc>
          <w:tcPr>
            <w:tcW w:w="37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0C39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全年实际完成情况</w:t>
            </w:r>
          </w:p>
        </w:tc>
      </w:tr>
      <w:tr w14:paraId="0AA0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90ED8">
            <w:pPr>
              <w:autoSpaceDE/>
              <w:autoSpaceDN/>
              <w:adjustRightInd/>
              <w:jc w:val="center"/>
              <w:rPr>
                <w:rFonts w:hint="default" w:ascii="Times New Roman"/>
                <w:color w:val="000000"/>
                <w:kern w:val="2"/>
                <w:sz w:val="18"/>
                <w:szCs w:val="18"/>
              </w:rPr>
            </w:pPr>
          </w:p>
        </w:tc>
        <w:tc>
          <w:tcPr>
            <w:tcW w:w="488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EBCD0">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在全区12个镇重点围绕残疾人康复、就业（创业）、无障碍改造等需求入户摸排残疾人基本状况，全面了解我区残疾人生存状况、发展需求，从而科学制定残疾人保障和发展规划，为残疾人办实事、解难事打好坚实基础。</w:t>
            </w:r>
          </w:p>
        </w:tc>
        <w:tc>
          <w:tcPr>
            <w:tcW w:w="37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BA0DD">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在全区12个镇重点围绕残疾人康复、就业（创业）、无障碍改造等需求入户摸排残疾人基本状况，全面了解我区残疾人生存状况、发展需求，从而科学制定残疾人保障和发展规划，为残疾人办实事、解难事打好坚实基础。</w:t>
            </w:r>
          </w:p>
        </w:tc>
      </w:tr>
      <w:tr w14:paraId="2990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1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7B3E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绩效</w:t>
            </w:r>
            <w:r>
              <w:rPr>
                <w:rFonts w:hint="default" w:ascii="Times New Roman"/>
                <w:color w:val="000000"/>
                <w:sz w:val="18"/>
                <w:szCs w:val="18"/>
                <w:lang w:bidi="ar"/>
              </w:rPr>
              <w:br w:type="textWrapping"/>
            </w:r>
            <w:r>
              <w:rPr>
                <w:rFonts w:hint="default"/>
                <w:color w:val="000000"/>
                <w:sz w:val="18"/>
                <w:szCs w:val="18"/>
                <w:lang w:bidi="ar"/>
              </w:rPr>
              <w:t>指标</w:t>
            </w:r>
          </w:p>
        </w:tc>
        <w:tc>
          <w:tcPr>
            <w:tcW w:w="635" w:type="dxa"/>
            <w:tcBorders>
              <w:top w:val="single" w:color="000000" w:sz="4" w:space="0"/>
              <w:left w:val="nil"/>
              <w:bottom w:val="single" w:color="000000" w:sz="4" w:space="0"/>
              <w:right w:val="single" w:color="000000" w:sz="4" w:space="0"/>
              <w:tl2br w:val="nil"/>
              <w:tr2bl w:val="nil"/>
            </w:tcBorders>
            <w:noWrap w:val="0"/>
            <w:vAlign w:val="center"/>
          </w:tcPr>
          <w:p w14:paraId="5E095AE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一级指标</w:t>
            </w:r>
          </w:p>
        </w:tc>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489D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二级指标</w:t>
            </w:r>
          </w:p>
        </w:tc>
        <w:tc>
          <w:tcPr>
            <w:tcW w:w="323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F102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三级指标</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BEC0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年度指标值</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697D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实际完成值</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93E3D">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偏差原因分析及改进措施</w:t>
            </w:r>
          </w:p>
        </w:tc>
      </w:tr>
      <w:tr w14:paraId="4F8D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C703F">
            <w:pPr>
              <w:autoSpaceDE/>
              <w:autoSpaceDN/>
              <w:adjustRightInd/>
              <w:jc w:val="center"/>
              <w:rPr>
                <w:rFonts w:hint="default" w:ascii="Times New Roman"/>
                <w:color w:val="000000"/>
                <w:kern w:val="2"/>
                <w:sz w:val="18"/>
                <w:szCs w:val="18"/>
              </w:rPr>
            </w:pPr>
          </w:p>
        </w:tc>
        <w:tc>
          <w:tcPr>
            <w:tcW w:w="635" w:type="dxa"/>
            <w:vMerge w:val="restart"/>
            <w:tcBorders>
              <w:top w:val="single" w:color="000000" w:sz="4" w:space="0"/>
              <w:left w:val="nil"/>
              <w:bottom w:val="single" w:color="000000" w:sz="4" w:space="0"/>
              <w:right w:val="single" w:color="000000" w:sz="4" w:space="0"/>
              <w:tl2br w:val="nil"/>
              <w:tr2bl w:val="nil"/>
            </w:tcBorders>
            <w:noWrap w:val="0"/>
            <w:vAlign w:val="center"/>
          </w:tcPr>
          <w:p w14:paraId="4553A6E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产出指标</w:t>
            </w:r>
          </w:p>
        </w:tc>
        <w:tc>
          <w:tcPr>
            <w:tcW w:w="1013" w:type="dxa"/>
            <w:vMerge w:val="restart"/>
            <w:tcBorders>
              <w:top w:val="single" w:color="000000" w:sz="4" w:space="0"/>
              <w:left w:val="single" w:color="000000" w:sz="4" w:space="0"/>
              <w:bottom w:val="nil"/>
              <w:right w:val="single" w:color="000000" w:sz="4" w:space="0"/>
              <w:tl2br w:val="nil"/>
              <w:tr2bl w:val="nil"/>
            </w:tcBorders>
            <w:noWrap w:val="0"/>
            <w:vAlign w:val="center"/>
          </w:tcPr>
          <w:p w14:paraId="6BCA6FE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数量指标</w:t>
            </w: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1CDC2BA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6769718E">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摸排0-12岁残疾儿童康复情况</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E3CED">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≥30</w:t>
            </w:r>
            <w:r>
              <w:rPr>
                <w:rFonts w:hint="default"/>
                <w:color w:val="000000"/>
                <w:sz w:val="18"/>
                <w:szCs w:val="18"/>
                <w:lang w:bidi="ar"/>
              </w:rPr>
              <w:t>人</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271AA">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39</w:t>
            </w:r>
            <w:r>
              <w:rPr>
                <w:rFonts w:hint="default"/>
                <w:color w:val="000000"/>
                <w:sz w:val="18"/>
                <w:szCs w:val="18"/>
                <w:lang w:bidi="ar"/>
              </w:rPr>
              <w:t>人</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AC2DB">
            <w:pPr>
              <w:autoSpaceDE/>
              <w:autoSpaceDN/>
              <w:adjustRightInd/>
              <w:jc w:val="center"/>
              <w:rPr>
                <w:rFonts w:hint="default" w:ascii="Times New Roman"/>
                <w:color w:val="000000"/>
                <w:kern w:val="2"/>
                <w:sz w:val="18"/>
                <w:szCs w:val="18"/>
              </w:rPr>
            </w:pPr>
          </w:p>
        </w:tc>
      </w:tr>
      <w:tr w14:paraId="7B1E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0B2E">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1936BDF2">
            <w:pPr>
              <w:autoSpaceDE/>
              <w:autoSpaceDN/>
              <w:adjustRightInd/>
              <w:jc w:val="center"/>
              <w:rPr>
                <w:rFonts w:hint="default" w:ascii="Times New Roman"/>
                <w:color w:val="000000"/>
                <w:kern w:val="2"/>
                <w:sz w:val="18"/>
                <w:szCs w:val="18"/>
              </w:rPr>
            </w:pPr>
          </w:p>
        </w:tc>
        <w:tc>
          <w:tcPr>
            <w:tcW w:w="1013"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D83D19A">
            <w:pPr>
              <w:autoSpaceDE/>
              <w:autoSpaceDN/>
              <w:adjustRightInd/>
              <w:jc w:val="center"/>
              <w:rPr>
                <w:rFonts w:hint="default" w:ascii="Times New Roman"/>
                <w:color w:val="000000"/>
                <w:kern w:val="2"/>
                <w:sz w:val="18"/>
                <w:szCs w:val="18"/>
              </w:rPr>
            </w:pP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4C6D285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74F5F3B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摸排残疾人家庭无障碍改造户数</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4051D">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≥47</w:t>
            </w:r>
            <w:r>
              <w:rPr>
                <w:rFonts w:hint="default"/>
                <w:color w:val="000000"/>
                <w:sz w:val="18"/>
                <w:szCs w:val="18"/>
                <w:lang w:bidi="ar"/>
              </w:rPr>
              <w:t>户</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C2F9E">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51</w:t>
            </w:r>
            <w:r>
              <w:rPr>
                <w:rFonts w:hint="default"/>
                <w:color w:val="000000"/>
                <w:sz w:val="18"/>
                <w:szCs w:val="18"/>
                <w:lang w:bidi="ar"/>
              </w:rPr>
              <w:t>户</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B18DA">
            <w:pPr>
              <w:autoSpaceDE/>
              <w:autoSpaceDN/>
              <w:adjustRightInd/>
              <w:jc w:val="center"/>
              <w:rPr>
                <w:rFonts w:hint="default" w:ascii="Times New Roman"/>
                <w:color w:val="000000"/>
                <w:kern w:val="2"/>
                <w:sz w:val="18"/>
                <w:szCs w:val="18"/>
              </w:rPr>
            </w:pPr>
          </w:p>
        </w:tc>
      </w:tr>
      <w:tr w14:paraId="4746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6E7BA">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29E0F092">
            <w:pPr>
              <w:autoSpaceDE/>
              <w:autoSpaceDN/>
              <w:adjustRightInd/>
              <w:jc w:val="center"/>
              <w:rPr>
                <w:rFonts w:hint="default" w:ascii="Times New Roman"/>
                <w:color w:val="000000"/>
                <w:kern w:val="2"/>
                <w:sz w:val="18"/>
                <w:szCs w:val="18"/>
              </w:rPr>
            </w:pPr>
          </w:p>
        </w:tc>
        <w:tc>
          <w:tcPr>
            <w:tcW w:w="1013"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746DBE5">
            <w:pPr>
              <w:autoSpaceDE/>
              <w:autoSpaceDN/>
              <w:adjustRightInd/>
              <w:jc w:val="center"/>
              <w:rPr>
                <w:rFonts w:hint="default" w:ascii="Times New Roman"/>
                <w:color w:val="000000"/>
                <w:kern w:val="2"/>
                <w:sz w:val="18"/>
                <w:szCs w:val="18"/>
              </w:rPr>
            </w:pP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6E2641F8">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指标3：</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266B9AAF">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摸排居家灵活就业残疾人数</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B9BAD">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≥330</w:t>
            </w:r>
            <w:r>
              <w:rPr>
                <w:rFonts w:hint="default"/>
                <w:color w:val="000000"/>
                <w:sz w:val="18"/>
                <w:szCs w:val="18"/>
                <w:lang w:bidi="ar"/>
              </w:rPr>
              <w:t>人</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259D6">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348</w:t>
            </w:r>
            <w:r>
              <w:rPr>
                <w:rFonts w:hint="default"/>
                <w:color w:val="000000"/>
                <w:sz w:val="18"/>
                <w:szCs w:val="18"/>
                <w:lang w:bidi="ar"/>
              </w:rPr>
              <w:t>人</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07896">
            <w:pPr>
              <w:autoSpaceDE/>
              <w:autoSpaceDN/>
              <w:adjustRightInd/>
              <w:jc w:val="center"/>
              <w:rPr>
                <w:rFonts w:hint="default" w:ascii="Times New Roman"/>
                <w:color w:val="000000"/>
                <w:kern w:val="2"/>
                <w:sz w:val="18"/>
                <w:szCs w:val="18"/>
              </w:rPr>
            </w:pPr>
          </w:p>
        </w:tc>
      </w:tr>
      <w:tr w14:paraId="7226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A6837">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4BDB1A34">
            <w:pPr>
              <w:autoSpaceDE/>
              <w:autoSpaceDN/>
              <w:adjustRightInd/>
              <w:jc w:val="center"/>
              <w:rPr>
                <w:rFonts w:hint="default" w:ascii="Times New Roman"/>
                <w:color w:val="000000"/>
                <w:kern w:val="2"/>
                <w:sz w:val="18"/>
                <w:szCs w:val="18"/>
              </w:rPr>
            </w:pPr>
          </w:p>
        </w:tc>
        <w:tc>
          <w:tcPr>
            <w:tcW w:w="1013"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D5C8B11">
            <w:pPr>
              <w:autoSpaceDE/>
              <w:autoSpaceDN/>
              <w:adjustRightInd/>
              <w:jc w:val="center"/>
              <w:rPr>
                <w:rFonts w:hint="default" w:ascii="Times New Roman"/>
                <w:color w:val="000000"/>
                <w:kern w:val="2"/>
                <w:sz w:val="18"/>
                <w:szCs w:val="18"/>
              </w:rPr>
            </w:pP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2C76EAC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指标4：</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24806E6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临聘人员工资发放人数</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7C3EE">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=3</w:t>
            </w:r>
            <w:r>
              <w:rPr>
                <w:rFonts w:hint="default"/>
                <w:color w:val="000000"/>
                <w:sz w:val="18"/>
                <w:szCs w:val="18"/>
                <w:lang w:bidi="ar"/>
              </w:rPr>
              <w:t>人</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FE9FF">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3</w:t>
            </w:r>
            <w:r>
              <w:rPr>
                <w:rFonts w:hint="default"/>
                <w:color w:val="000000"/>
                <w:sz w:val="18"/>
                <w:szCs w:val="18"/>
                <w:lang w:bidi="ar"/>
              </w:rPr>
              <w:t>人</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49888">
            <w:pPr>
              <w:autoSpaceDE/>
              <w:autoSpaceDN/>
              <w:adjustRightInd/>
              <w:jc w:val="center"/>
              <w:rPr>
                <w:rFonts w:hint="default" w:ascii="Times New Roman"/>
                <w:color w:val="000000"/>
                <w:kern w:val="2"/>
                <w:sz w:val="18"/>
                <w:szCs w:val="18"/>
              </w:rPr>
            </w:pPr>
          </w:p>
        </w:tc>
      </w:tr>
      <w:tr w14:paraId="19D5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84806">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6FBFA86E">
            <w:pPr>
              <w:autoSpaceDE/>
              <w:autoSpaceDN/>
              <w:adjustRightInd/>
              <w:jc w:val="center"/>
              <w:rPr>
                <w:rFonts w:hint="default" w:ascii="Times New Roman"/>
                <w:color w:val="000000"/>
                <w:kern w:val="2"/>
                <w:sz w:val="18"/>
                <w:szCs w:val="18"/>
              </w:rPr>
            </w:pPr>
          </w:p>
        </w:tc>
        <w:tc>
          <w:tcPr>
            <w:tcW w:w="10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FA8F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质量指标</w:t>
            </w: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0DD7B6F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1F1EF1E5">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入户调查覆盖率</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B35A7">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≥90%</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F6FC3">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90%</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1865A">
            <w:pPr>
              <w:autoSpaceDE/>
              <w:autoSpaceDN/>
              <w:adjustRightInd/>
              <w:jc w:val="center"/>
              <w:rPr>
                <w:rFonts w:hint="default" w:ascii="Times New Roman"/>
                <w:color w:val="000000"/>
                <w:kern w:val="2"/>
                <w:sz w:val="18"/>
                <w:szCs w:val="18"/>
              </w:rPr>
            </w:pPr>
          </w:p>
        </w:tc>
      </w:tr>
      <w:tr w14:paraId="7147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AD3DC">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4CD04D2F">
            <w:pPr>
              <w:autoSpaceDE/>
              <w:autoSpaceDN/>
              <w:adjustRightInd/>
              <w:jc w:val="center"/>
              <w:rPr>
                <w:rFonts w:hint="default" w:ascii="Times New Roman"/>
                <w:color w:val="000000"/>
                <w:kern w:val="2"/>
                <w:sz w:val="18"/>
                <w:szCs w:val="18"/>
              </w:rPr>
            </w:pPr>
          </w:p>
        </w:tc>
        <w:tc>
          <w:tcPr>
            <w:tcW w:w="10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40B1A">
            <w:pPr>
              <w:autoSpaceDE/>
              <w:autoSpaceDN/>
              <w:adjustRightInd/>
              <w:jc w:val="center"/>
              <w:rPr>
                <w:rFonts w:hint="default" w:ascii="Times New Roman"/>
                <w:color w:val="000000"/>
                <w:kern w:val="2"/>
                <w:sz w:val="18"/>
                <w:szCs w:val="18"/>
              </w:rPr>
            </w:pP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5D2239C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6775CC24">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临聘人员工资足额保障率</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16ECF">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=100%</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A421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100%</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2ED0D">
            <w:pPr>
              <w:autoSpaceDE/>
              <w:autoSpaceDN/>
              <w:adjustRightInd/>
              <w:jc w:val="center"/>
              <w:rPr>
                <w:rFonts w:hint="default" w:ascii="Times New Roman"/>
                <w:color w:val="000000"/>
                <w:kern w:val="2"/>
                <w:sz w:val="18"/>
                <w:szCs w:val="18"/>
              </w:rPr>
            </w:pPr>
          </w:p>
        </w:tc>
      </w:tr>
      <w:tr w14:paraId="2F04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DA03B">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126C2EB5">
            <w:pPr>
              <w:autoSpaceDE/>
              <w:autoSpaceDN/>
              <w:adjustRightInd/>
              <w:jc w:val="center"/>
              <w:rPr>
                <w:rFonts w:hint="default" w:ascii="Times New Roman"/>
                <w:color w:val="000000"/>
                <w:kern w:val="2"/>
                <w:sz w:val="18"/>
                <w:szCs w:val="18"/>
              </w:rPr>
            </w:pPr>
          </w:p>
        </w:tc>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4A7E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时效指标</w:t>
            </w: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20F03DA2">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7FEAE060">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残疾人基本状况调查完成时间</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7BCFC">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w:t>
            </w:r>
            <w:r>
              <w:rPr>
                <w:rFonts w:hint="default"/>
                <w:color w:val="000000"/>
                <w:sz w:val="18"/>
                <w:szCs w:val="18"/>
                <w:lang w:bidi="ar"/>
              </w:rPr>
              <w:t>年</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AF0A1">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w:t>
            </w:r>
            <w:r>
              <w:rPr>
                <w:rFonts w:hint="default"/>
                <w:color w:val="000000"/>
                <w:sz w:val="18"/>
                <w:szCs w:val="18"/>
                <w:lang w:bidi="ar"/>
              </w:rPr>
              <w:t>年</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7A5BE">
            <w:pPr>
              <w:autoSpaceDE/>
              <w:autoSpaceDN/>
              <w:adjustRightInd/>
              <w:jc w:val="center"/>
              <w:rPr>
                <w:rFonts w:hint="default" w:ascii="Times New Roman"/>
                <w:color w:val="000000"/>
                <w:kern w:val="2"/>
                <w:sz w:val="18"/>
                <w:szCs w:val="18"/>
              </w:rPr>
            </w:pPr>
          </w:p>
        </w:tc>
      </w:tr>
      <w:tr w14:paraId="54A9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465CA">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3C3A1DC4">
            <w:pPr>
              <w:autoSpaceDE/>
              <w:autoSpaceDN/>
              <w:adjustRightInd/>
              <w:jc w:val="center"/>
              <w:rPr>
                <w:rFonts w:hint="default" w:ascii="Times New Roman"/>
                <w:color w:val="000000"/>
                <w:kern w:val="2"/>
                <w:sz w:val="18"/>
                <w:szCs w:val="18"/>
              </w:rPr>
            </w:pPr>
          </w:p>
        </w:tc>
        <w:tc>
          <w:tcPr>
            <w:tcW w:w="10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5FA4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成本指标</w:t>
            </w: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5E450DB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4A84E81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临聘人员劳务费</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4ED58">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≤8</w:t>
            </w:r>
            <w:r>
              <w:rPr>
                <w:rFonts w:hint="default"/>
                <w:color w:val="000000"/>
                <w:sz w:val="18"/>
                <w:szCs w:val="18"/>
                <w:lang w:bidi="ar"/>
              </w:rPr>
              <w:t>万元</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EB411">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7.82</w:t>
            </w:r>
            <w:r>
              <w:rPr>
                <w:rFonts w:hint="default"/>
                <w:color w:val="000000"/>
                <w:sz w:val="18"/>
                <w:szCs w:val="18"/>
                <w:lang w:bidi="ar"/>
              </w:rPr>
              <w:t>万元</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2DEE6">
            <w:pPr>
              <w:autoSpaceDE/>
              <w:autoSpaceDN/>
              <w:adjustRightInd/>
              <w:jc w:val="center"/>
              <w:rPr>
                <w:rFonts w:hint="default" w:ascii="Times New Roman"/>
                <w:color w:val="000000"/>
                <w:kern w:val="2"/>
                <w:sz w:val="18"/>
                <w:szCs w:val="18"/>
              </w:rPr>
            </w:pPr>
          </w:p>
        </w:tc>
      </w:tr>
      <w:tr w14:paraId="1E96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C0F23">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0E91DD70">
            <w:pPr>
              <w:autoSpaceDE/>
              <w:autoSpaceDN/>
              <w:adjustRightInd/>
              <w:jc w:val="center"/>
              <w:rPr>
                <w:rFonts w:hint="default" w:ascii="Times New Roman"/>
                <w:color w:val="000000"/>
                <w:kern w:val="2"/>
                <w:sz w:val="18"/>
                <w:szCs w:val="18"/>
              </w:rPr>
            </w:pPr>
          </w:p>
        </w:tc>
        <w:tc>
          <w:tcPr>
            <w:tcW w:w="10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08070">
            <w:pPr>
              <w:autoSpaceDE/>
              <w:autoSpaceDN/>
              <w:adjustRightInd/>
              <w:jc w:val="center"/>
              <w:rPr>
                <w:rFonts w:hint="default" w:ascii="Times New Roman"/>
                <w:color w:val="000000"/>
                <w:kern w:val="2"/>
                <w:sz w:val="18"/>
                <w:szCs w:val="18"/>
              </w:rPr>
            </w:pP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0D87038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70BC0C83">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下乡入户摸排差旅、用车等费用</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04BF6">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≤15</w:t>
            </w:r>
            <w:r>
              <w:rPr>
                <w:rFonts w:hint="default"/>
                <w:color w:val="000000"/>
                <w:sz w:val="18"/>
                <w:szCs w:val="18"/>
                <w:lang w:bidi="ar"/>
              </w:rPr>
              <w:t>万元</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A2180">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8</w:t>
            </w:r>
            <w:r>
              <w:rPr>
                <w:rFonts w:hint="default"/>
                <w:color w:val="000000"/>
                <w:sz w:val="18"/>
                <w:szCs w:val="18"/>
                <w:lang w:bidi="ar"/>
              </w:rPr>
              <w:t>万元</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0368B">
            <w:pPr>
              <w:autoSpaceDE/>
              <w:autoSpaceDN/>
              <w:adjustRightInd/>
              <w:jc w:val="center"/>
              <w:rPr>
                <w:rFonts w:hint="default" w:ascii="Times New Roman"/>
                <w:color w:val="000000"/>
                <w:kern w:val="2"/>
                <w:sz w:val="18"/>
                <w:szCs w:val="18"/>
              </w:rPr>
            </w:pPr>
          </w:p>
        </w:tc>
      </w:tr>
      <w:tr w14:paraId="5FDB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C5594">
            <w:pPr>
              <w:autoSpaceDE/>
              <w:autoSpaceDN/>
              <w:adjustRightInd/>
              <w:jc w:val="center"/>
              <w:rPr>
                <w:rFonts w:hint="default" w:ascii="Times New Roman"/>
                <w:color w:val="000000"/>
                <w:kern w:val="2"/>
                <w:sz w:val="18"/>
                <w:szCs w:val="18"/>
              </w:rPr>
            </w:pPr>
          </w:p>
        </w:tc>
        <w:tc>
          <w:tcPr>
            <w:tcW w:w="635" w:type="dxa"/>
            <w:tcBorders>
              <w:top w:val="single" w:color="000000" w:sz="4" w:space="0"/>
              <w:left w:val="nil"/>
              <w:bottom w:val="single" w:color="000000" w:sz="4" w:space="0"/>
              <w:right w:val="single" w:color="000000" w:sz="4" w:space="0"/>
              <w:tl2br w:val="nil"/>
              <w:tr2bl w:val="nil"/>
            </w:tcBorders>
            <w:noWrap w:val="0"/>
            <w:vAlign w:val="center"/>
          </w:tcPr>
          <w:p w14:paraId="5B0811E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效益指标</w:t>
            </w:r>
          </w:p>
        </w:tc>
        <w:tc>
          <w:tcPr>
            <w:tcW w:w="10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46CE7">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社会效益</w:t>
            </w:r>
            <w:r>
              <w:rPr>
                <w:rFonts w:hint="default" w:ascii="Times New Roman"/>
                <w:color w:val="000000"/>
                <w:sz w:val="18"/>
                <w:szCs w:val="18"/>
                <w:lang w:bidi="ar"/>
              </w:rPr>
              <w:br w:type="textWrapping"/>
            </w:r>
            <w:r>
              <w:rPr>
                <w:rFonts w:hint="default"/>
                <w:color w:val="000000"/>
                <w:sz w:val="18"/>
                <w:szCs w:val="18"/>
                <w:lang w:bidi="ar"/>
              </w:rPr>
              <w:t>指标</w:t>
            </w: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5C5AC67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149220B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残疾人对国家政策的知晓度</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E2B82">
            <w:pPr>
              <w:widowControl/>
              <w:autoSpaceDE/>
              <w:autoSpaceDN/>
              <w:adjustRightInd/>
              <w:textAlignment w:val="center"/>
              <w:rPr>
                <w:rFonts w:hint="default" w:ascii="Times New Roman"/>
                <w:color w:val="000000"/>
                <w:kern w:val="2"/>
                <w:sz w:val="18"/>
                <w:szCs w:val="18"/>
              </w:rPr>
            </w:pPr>
            <w:r>
              <w:rPr>
                <w:rFonts w:hint="default"/>
                <w:color w:val="000000"/>
                <w:sz w:val="18"/>
                <w:szCs w:val="18"/>
                <w:lang w:bidi="ar"/>
              </w:rPr>
              <w:t>普遍知晓</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1F37A">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普遍知晓</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7C08B">
            <w:pPr>
              <w:autoSpaceDE/>
              <w:autoSpaceDN/>
              <w:adjustRightInd/>
              <w:jc w:val="center"/>
              <w:rPr>
                <w:rFonts w:hint="default" w:ascii="Times New Roman"/>
                <w:color w:val="000000"/>
                <w:kern w:val="2"/>
                <w:sz w:val="18"/>
                <w:szCs w:val="18"/>
              </w:rPr>
            </w:pPr>
          </w:p>
        </w:tc>
      </w:tr>
      <w:tr w14:paraId="172B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1958C">
            <w:pPr>
              <w:autoSpaceDE/>
              <w:autoSpaceDN/>
              <w:adjustRightInd/>
              <w:jc w:val="center"/>
              <w:rPr>
                <w:rFonts w:hint="default" w:ascii="Times New Roman"/>
                <w:color w:val="000000"/>
                <w:kern w:val="2"/>
                <w:sz w:val="18"/>
                <w:szCs w:val="18"/>
              </w:rPr>
            </w:pPr>
          </w:p>
        </w:tc>
        <w:tc>
          <w:tcPr>
            <w:tcW w:w="635" w:type="dxa"/>
            <w:vMerge w:val="restart"/>
            <w:tcBorders>
              <w:top w:val="single" w:color="000000" w:sz="4" w:space="0"/>
              <w:left w:val="nil"/>
              <w:bottom w:val="single" w:color="000000" w:sz="4" w:space="0"/>
              <w:right w:val="single" w:color="000000" w:sz="4" w:space="0"/>
              <w:tl2br w:val="nil"/>
              <w:tr2bl w:val="nil"/>
            </w:tcBorders>
            <w:noWrap w:val="0"/>
            <w:vAlign w:val="center"/>
          </w:tcPr>
          <w:p w14:paraId="5234353B">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满意度</w:t>
            </w:r>
            <w:r>
              <w:rPr>
                <w:rFonts w:hint="default" w:ascii="Times New Roman"/>
                <w:color w:val="000000"/>
                <w:sz w:val="18"/>
                <w:szCs w:val="18"/>
                <w:lang w:bidi="ar"/>
              </w:rPr>
              <w:br w:type="textWrapping"/>
            </w:r>
            <w:r>
              <w:rPr>
                <w:rFonts w:hint="default"/>
                <w:color w:val="000000"/>
                <w:sz w:val="18"/>
                <w:szCs w:val="18"/>
                <w:lang w:bidi="ar"/>
              </w:rPr>
              <w:t>指标</w:t>
            </w:r>
          </w:p>
        </w:tc>
        <w:tc>
          <w:tcPr>
            <w:tcW w:w="10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04FEC">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服务对象满意度指标</w:t>
            </w: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3F1D2481">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指标1：</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0962C27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摸排对象满意度</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85E23">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≥90%</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F24E4">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95%</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FCFDA">
            <w:pPr>
              <w:autoSpaceDE/>
              <w:autoSpaceDN/>
              <w:adjustRightInd/>
              <w:jc w:val="center"/>
              <w:rPr>
                <w:rFonts w:hint="default" w:ascii="Times New Roman"/>
                <w:color w:val="000000"/>
                <w:kern w:val="2"/>
                <w:sz w:val="18"/>
                <w:szCs w:val="18"/>
              </w:rPr>
            </w:pPr>
          </w:p>
        </w:tc>
      </w:tr>
      <w:tr w14:paraId="124C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D1813">
            <w:pPr>
              <w:autoSpaceDE/>
              <w:autoSpaceDN/>
              <w:adjustRightInd/>
              <w:jc w:val="center"/>
              <w:rPr>
                <w:rFonts w:hint="default" w:ascii="Times New Roman"/>
                <w:color w:val="000000"/>
                <w:kern w:val="2"/>
                <w:sz w:val="18"/>
                <w:szCs w:val="18"/>
              </w:rPr>
            </w:pPr>
          </w:p>
        </w:tc>
        <w:tc>
          <w:tcPr>
            <w:tcW w:w="635" w:type="dxa"/>
            <w:vMerge w:val="continue"/>
            <w:tcBorders>
              <w:top w:val="single" w:color="000000" w:sz="4" w:space="0"/>
              <w:left w:val="nil"/>
              <w:bottom w:val="single" w:color="000000" w:sz="4" w:space="0"/>
              <w:right w:val="single" w:color="000000" w:sz="4" w:space="0"/>
              <w:tl2br w:val="nil"/>
              <w:tr2bl w:val="nil"/>
            </w:tcBorders>
            <w:noWrap w:val="0"/>
            <w:vAlign w:val="center"/>
          </w:tcPr>
          <w:p w14:paraId="01B61850">
            <w:pPr>
              <w:autoSpaceDE/>
              <w:autoSpaceDN/>
              <w:adjustRightInd/>
              <w:jc w:val="center"/>
              <w:rPr>
                <w:rFonts w:hint="default" w:ascii="Times New Roman"/>
                <w:color w:val="000000"/>
                <w:kern w:val="2"/>
                <w:sz w:val="18"/>
                <w:szCs w:val="18"/>
              </w:rPr>
            </w:pPr>
          </w:p>
        </w:tc>
        <w:tc>
          <w:tcPr>
            <w:tcW w:w="101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AA9AF">
            <w:pPr>
              <w:autoSpaceDE/>
              <w:autoSpaceDN/>
              <w:adjustRightInd/>
              <w:jc w:val="center"/>
              <w:rPr>
                <w:rFonts w:hint="default" w:ascii="Times New Roman"/>
                <w:color w:val="000000"/>
                <w:kern w:val="2"/>
                <w:sz w:val="18"/>
                <w:szCs w:val="18"/>
              </w:rPr>
            </w:pPr>
          </w:p>
        </w:tc>
        <w:tc>
          <w:tcPr>
            <w:tcW w:w="831" w:type="dxa"/>
            <w:tcBorders>
              <w:top w:val="single" w:color="000000" w:sz="4" w:space="0"/>
              <w:left w:val="single" w:color="000000" w:sz="4" w:space="0"/>
              <w:bottom w:val="single" w:color="000000" w:sz="4" w:space="0"/>
              <w:right w:val="nil"/>
              <w:tl2br w:val="nil"/>
              <w:tr2bl w:val="nil"/>
            </w:tcBorders>
            <w:noWrap w:val="0"/>
            <w:vAlign w:val="center"/>
          </w:tcPr>
          <w:p w14:paraId="794C78D6">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指标2：</w:t>
            </w:r>
          </w:p>
        </w:tc>
        <w:tc>
          <w:tcPr>
            <w:tcW w:w="2407" w:type="dxa"/>
            <w:gridSpan w:val="2"/>
            <w:tcBorders>
              <w:top w:val="single" w:color="000000" w:sz="4" w:space="0"/>
              <w:left w:val="nil"/>
              <w:bottom w:val="single" w:color="000000" w:sz="4" w:space="0"/>
              <w:right w:val="single" w:color="000000" w:sz="4" w:space="0"/>
              <w:tl2br w:val="nil"/>
              <w:tr2bl w:val="nil"/>
            </w:tcBorders>
            <w:noWrap w:val="0"/>
            <w:vAlign w:val="center"/>
          </w:tcPr>
          <w:p w14:paraId="605EB2B9">
            <w:pPr>
              <w:widowControl/>
              <w:autoSpaceDE/>
              <w:autoSpaceDN/>
              <w:adjustRightInd/>
              <w:jc w:val="center"/>
              <w:textAlignment w:val="center"/>
              <w:rPr>
                <w:rFonts w:hint="default" w:ascii="Times New Roman"/>
                <w:color w:val="000000"/>
                <w:kern w:val="2"/>
                <w:sz w:val="18"/>
                <w:szCs w:val="18"/>
              </w:rPr>
            </w:pPr>
            <w:r>
              <w:rPr>
                <w:rFonts w:hint="default"/>
                <w:color w:val="000000"/>
                <w:sz w:val="18"/>
                <w:szCs w:val="18"/>
                <w:lang w:bidi="ar"/>
              </w:rPr>
              <w:t>临聘人员满意度</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17FD4">
            <w:pPr>
              <w:widowControl/>
              <w:autoSpaceDE/>
              <w:autoSpaceDN/>
              <w:adjustRightInd/>
              <w:textAlignment w:val="center"/>
              <w:rPr>
                <w:rFonts w:hint="default" w:ascii="Times New Roman"/>
                <w:color w:val="000000"/>
                <w:kern w:val="2"/>
                <w:sz w:val="18"/>
                <w:szCs w:val="18"/>
              </w:rPr>
            </w:pPr>
            <w:r>
              <w:rPr>
                <w:rFonts w:hint="default" w:ascii="Times New Roman"/>
                <w:color w:val="000000"/>
                <w:sz w:val="18"/>
                <w:szCs w:val="18"/>
                <w:lang w:bidi="ar"/>
              </w:rPr>
              <w:t>≥95%</w:t>
            </w:r>
          </w:p>
        </w:tc>
        <w:tc>
          <w:tcPr>
            <w:tcW w:w="11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BA047">
            <w:pPr>
              <w:widowControl/>
              <w:autoSpaceDE/>
              <w:autoSpaceDN/>
              <w:adjustRightInd/>
              <w:jc w:val="center"/>
              <w:textAlignment w:val="center"/>
              <w:rPr>
                <w:rFonts w:hint="default" w:ascii="Times New Roman"/>
                <w:color w:val="000000"/>
                <w:kern w:val="2"/>
                <w:sz w:val="18"/>
                <w:szCs w:val="18"/>
              </w:rPr>
            </w:pPr>
            <w:r>
              <w:rPr>
                <w:rFonts w:hint="default" w:ascii="Times New Roman"/>
                <w:color w:val="000000"/>
                <w:sz w:val="18"/>
                <w:szCs w:val="18"/>
                <w:lang w:bidi="ar"/>
              </w:rPr>
              <w:t>100%</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F872C">
            <w:pPr>
              <w:autoSpaceDE/>
              <w:autoSpaceDN/>
              <w:adjustRightInd/>
              <w:jc w:val="center"/>
              <w:rPr>
                <w:rFonts w:hint="default" w:ascii="Times New Roman"/>
                <w:color w:val="000000"/>
                <w:kern w:val="2"/>
                <w:sz w:val="18"/>
                <w:szCs w:val="18"/>
              </w:rPr>
            </w:pPr>
          </w:p>
        </w:tc>
      </w:tr>
    </w:tbl>
    <w:p w14:paraId="7CEB9784">
      <w:pPr>
        <w:pStyle w:val="2"/>
        <w:rPr>
          <w:rFonts w:hint="eastAsia"/>
          <w:sz w:val="30"/>
          <w:szCs w:val="24"/>
          <w:lang w:val="zh-CN"/>
        </w:rPr>
      </w:pPr>
    </w:p>
    <w:p w14:paraId="78CAF414">
      <w:pPr>
        <w:keepNext/>
        <w:keepLines/>
        <w:pageBreakBefore/>
        <w:spacing w:line="576" w:lineRule="exact"/>
        <w:jc w:val="both"/>
        <w:rPr>
          <w:rFonts w:hint="eastAsia" w:ascii="仿宋_GB2312" w:hAnsi="仿宋_GB2312" w:eastAsia="黑体"/>
          <w:kern w:val="2"/>
          <w:sz w:val="32"/>
          <w:szCs w:val="24"/>
        </w:rPr>
      </w:pPr>
      <w:r>
        <w:rPr>
          <w:rFonts w:hint="eastAsia" w:ascii="黑体" w:hAnsi="黑体" w:eastAsia="黑体"/>
          <w:kern w:val="2"/>
          <w:sz w:val="32"/>
          <w:szCs w:val="24"/>
        </w:rPr>
        <w:t>附件2</w:t>
      </w:r>
    </w:p>
    <w:p w14:paraId="0F769A0C">
      <w:pPr>
        <w:pStyle w:val="2"/>
        <w:jc w:val="center"/>
        <w:rPr>
          <w:rFonts w:hint="eastAsia" w:ascii="黑体" w:hAnsi="黑体" w:eastAsia="黑体"/>
          <w:kern w:val="2"/>
          <w:sz w:val="36"/>
          <w:szCs w:val="24"/>
          <w:lang w:val="zh-CN"/>
        </w:rPr>
      </w:pPr>
      <w:r>
        <w:rPr>
          <w:rFonts w:hint="eastAsia" w:ascii="黑体" w:hAnsi="黑体" w:eastAsia="黑体"/>
          <w:kern w:val="2"/>
          <w:sz w:val="36"/>
          <w:szCs w:val="24"/>
        </w:rPr>
        <w:t>2023年残疾人事业发展补助</w:t>
      </w:r>
      <w:r>
        <w:rPr>
          <w:rFonts w:hint="eastAsia" w:ascii="黑体" w:hAnsi="黑体" w:eastAsia="黑体"/>
          <w:kern w:val="2"/>
          <w:sz w:val="36"/>
          <w:szCs w:val="24"/>
          <w:lang w:val="zh-CN"/>
        </w:rPr>
        <w:t>专项预算</w:t>
      </w:r>
    </w:p>
    <w:p w14:paraId="7914F7F8">
      <w:pPr>
        <w:pStyle w:val="2"/>
        <w:jc w:val="center"/>
        <w:rPr>
          <w:rFonts w:hint="eastAsia" w:ascii="黑体" w:hAnsi="黑体" w:eastAsia="黑体"/>
          <w:kern w:val="2"/>
          <w:sz w:val="36"/>
          <w:szCs w:val="24"/>
          <w:lang w:val="zh-CN"/>
        </w:rPr>
      </w:pPr>
      <w:r>
        <w:rPr>
          <w:rFonts w:hint="eastAsia" w:ascii="黑体" w:hAnsi="黑体" w:eastAsia="黑体"/>
          <w:kern w:val="2"/>
          <w:sz w:val="36"/>
          <w:szCs w:val="24"/>
          <w:lang w:val="zh-CN"/>
        </w:rPr>
        <w:t>项目绩效评价报告</w:t>
      </w:r>
    </w:p>
    <w:p w14:paraId="71775109">
      <w:pPr>
        <w:autoSpaceDE/>
        <w:autoSpaceDN/>
        <w:adjustRightInd/>
        <w:snapToGrid w:val="0"/>
        <w:spacing w:line="576" w:lineRule="exact"/>
        <w:ind w:firstLine="640" w:firstLineChars="200"/>
        <w:jc w:val="both"/>
        <w:outlineLvl w:val="2"/>
        <w:rPr>
          <w:rFonts w:hint="default" w:ascii="Times New Roman" w:eastAsia="仿宋_GB2312"/>
          <w:color w:val="000000"/>
          <w:kern w:val="2"/>
          <w:sz w:val="32"/>
          <w:szCs w:val="32"/>
        </w:rPr>
      </w:pPr>
      <w:r>
        <w:rPr>
          <w:rFonts w:hint="eastAsia" w:ascii="Times New Roman" w:eastAsia="黑体"/>
          <w:color w:val="000000"/>
          <w:kern w:val="2"/>
          <w:sz w:val="32"/>
          <w:szCs w:val="32"/>
        </w:rPr>
        <w:t>一、财政政策基本情况</w:t>
      </w:r>
    </w:p>
    <w:p w14:paraId="6BDC9011">
      <w:pPr>
        <w:autoSpaceDE/>
        <w:autoSpaceDN/>
        <w:adjustRightInd/>
        <w:snapToGrid w:val="0"/>
        <w:spacing w:line="576" w:lineRule="exact"/>
        <w:ind w:firstLine="640" w:firstLineChars="200"/>
        <w:jc w:val="both"/>
        <w:rPr>
          <w:rFonts w:hint="default" w:ascii="Times New Roman" w:eastAsia="仿宋_GB2312"/>
          <w:color w:val="000000"/>
          <w:kern w:val="2"/>
          <w:sz w:val="32"/>
          <w:szCs w:val="32"/>
          <w:highlight w:val="lightGray"/>
        </w:rPr>
      </w:pPr>
      <w:r>
        <w:rPr>
          <w:rFonts w:hint="eastAsia" w:ascii="Times New Roman" w:eastAsia="仿宋_GB2312"/>
          <w:color w:val="000000"/>
          <w:kern w:val="2"/>
          <w:sz w:val="32"/>
          <w:szCs w:val="32"/>
        </w:rPr>
        <w:t>为贯彻落实省委、省、区政府深入实施预算绩效管理文件精神，进一步推进预算绩效评价管理工作，提高财政资金使用效益，按照《关于开展2024年部门、政策和项目支出绩效评价工作的通知》（昭财发〔</w:t>
      </w:r>
      <w:r>
        <w:rPr>
          <w:rFonts w:hint="default" w:ascii="Times New Roman" w:eastAsia="仿宋_GB2312"/>
          <w:color w:val="000000"/>
          <w:kern w:val="2"/>
          <w:sz w:val="32"/>
          <w:szCs w:val="32"/>
        </w:rPr>
        <w:t>2024</w:t>
      </w:r>
      <w:r>
        <w:rPr>
          <w:rFonts w:hint="eastAsia" w:ascii="Times New Roman" w:eastAsia="仿宋_GB2312"/>
          <w:color w:val="000000"/>
          <w:kern w:val="2"/>
          <w:sz w:val="32"/>
          <w:szCs w:val="32"/>
        </w:rPr>
        <w:t>〕</w:t>
      </w:r>
      <w:r>
        <w:rPr>
          <w:rFonts w:hint="default" w:ascii="Times New Roman" w:eastAsia="仿宋_GB2312"/>
          <w:color w:val="000000"/>
          <w:kern w:val="2"/>
          <w:sz w:val="32"/>
          <w:szCs w:val="32"/>
        </w:rPr>
        <w:t>11</w:t>
      </w:r>
      <w:r>
        <w:rPr>
          <w:rFonts w:hint="eastAsia" w:ascii="Times New Roman" w:eastAsia="仿宋_GB2312"/>
          <w:color w:val="000000"/>
          <w:kern w:val="2"/>
          <w:sz w:val="32"/>
          <w:szCs w:val="32"/>
        </w:rPr>
        <w:t>号）文件要求，区残联及时安排部署，认真开展</w:t>
      </w:r>
      <w:r>
        <w:rPr>
          <w:rFonts w:hint="default" w:ascii="Times New Roman" w:eastAsia="仿宋_GB2312"/>
          <w:color w:val="000000"/>
          <w:kern w:val="2"/>
          <w:sz w:val="32"/>
          <w:szCs w:val="32"/>
        </w:rPr>
        <w:t>2023</w:t>
      </w:r>
      <w:r>
        <w:rPr>
          <w:rFonts w:hint="eastAsia" w:ascii="Times New Roman" w:eastAsia="仿宋_GB2312"/>
          <w:color w:val="000000"/>
          <w:kern w:val="2"/>
          <w:sz w:val="32"/>
          <w:szCs w:val="32"/>
        </w:rPr>
        <w:t>年残疾人事业发展补助项目的绩效评价工作。</w:t>
      </w:r>
    </w:p>
    <w:p w14:paraId="2ADDD85A">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二、自评工作开展情况</w:t>
      </w:r>
    </w:p>
    <w:p w14:paraId="0A3415D3">
      <w:pPr>
        <w:autoSpaceDE/>
        <w:autoSpaceDN/>
        <w:adjustRightInd/>
        <w:snapToGrid w:val="0"/>
        <w:spacing w:line="576" w:lineRule="exact"/>
        <w:ind w:firstLine="640" w:firstLineChars="200"/>
        <w:jc w:val="both"/>
        <w:rPr>
          <w:rFonts w:hint="default" w:ascii="Times New Roman" w:eastAsia="仿宋_GB2312"/>
          <w:kern w:val="2"/>
          <w:sz w:val="32"/>
          <w:szCs w:val="32"/>
        </w:rPr>
      </w:pPr>
      <w:r>
        <w:rPr>
          <w:rFonts w:hint="eastAsia" w:ascii="Times New Roman" w:eastAsia="仿宋_GB2312"/>
          <w:kern w:val="2"/>
          <w:sz w:val="32"/>
          <w:szCs w:val="32"/>
        </w:rPr>
        <w:t>残疾人康复方面：为1854名持证残疾人提供基本康复服务。落实“市定民生实事工程-残疾儿童康复救助项目”，为39名0-6岁残疾儿童提供抢救性康复救助。为263名残疾人免费适配轮椅、拐杖、助听器、盲杖等辅助器具393件。为8名肢体残疾人适配假肢，其中大腿4例、小腿4例。为86名精神残疾人进行1000元/人·年的免费服药补贴。联合区卫生健康局建立《0-12岁儿童残疾筛查干预服务和康复救助工作机制》，进一步完善儿童残疾初筛、复筛、诊断确认、康复救助服务。积极协调医疗、卫健等部门开展残疾预防宣传，有效减少了残疾的发生。</w:t>
      </w:r>
    </w:p>
    <w:p w14:paraId="6FCF61FB">
      <w:pPr>
        <w:autoSpaceDE/>
        <w:autoSpaceDN/>
        <w:adjustRightInd/>
        <w:snapToGrid w:val="0"/>
        <w:spacing w:line="576" w:lineRule="exact"/>
        <w:ind w:firstLine="640" w:firstLineChars="200"/>
        <w:jc w:val="both"/>
        <w:rPr>
          <w:rFonts w:hint="default" w:ascii="Times New Roman" w:eastAsia="仿宋_GB2312"/>
          <w:kern w:val="2"/>
          <w:sz w:val="32"/>
          <w:szCs w:val="32"/>
        </w:rPr>
      </w:pPr>
      <w:r>
        <w:rPr>
          <w:rFonts w:hint="eastAsia" w:ascii="Times New Roman" w:eastAsia="仿宋_GB2312"/>
          <w:kern w:val="2"/>
          <w:sz w:val="32"/>
          <w:szCs w:val="32"/>
        </w:rPr>
        <w:t>残疾人教育就业方面：依法推进按比例就业，审核机关、企事业单位按比例安置残疾人就业51家。兑现残疾人灵活就业创业补贴348人。首次整合“土专家”技术资源，为残疾人“量身定制”培训课程，举办农村残疾人实用技术培训班5期，培训323人；举办残疾人职业技能培训班2期，培训116人。打造“寄宿托养+居家托养”服务模式，在元坝镇、昭化镇、射箭镇、红岩镇等地开展试点服务。挖掘以熊明乐、步现合等为代表的残疾人就业创业典型37人。</w:t>
      </w:r>
    </w:p>
    <w:p w14:paraId="01078B3B">
      <w:pPr>
        <w:autoSpaceDE/>
        <w:autoSpaceDN/>
        <w:adjustRightInd/>
        <w:snapToGrid w:val="0"/>
        <w:spacing w:line="576" w:lineRule="exact"/>
        <w:ind w:firstLine="640" w:firstLineChars="200"/>
        <w:jc w:val="both"/>
        <w:rPr>
          <w:rFonts w:hint="default" w:ascii="Times New Roman" w:eastAsia="仿宋_GB2312"/>
          <w:kern w:val="2"/>
          <w:sz w:val="32"/>
          <w:szCs w:val="32"/>
        </w:rPr>
      </w:pPr>
      <w:r>
        <w:rPr>
          <w:rFonts w:hint="eastAsia" w:ascii="Times New Roman" w:eastAsia="仿宋_GB2312"/>
          <w:kern w:val="2"/>
          <w:sz w:val="32"/>
          <w:szCs w:val="32"/>
        </w:rPr>
        <w:t>残疾人宣文维权方面：按照“一户一案、按需改造”原则，为51户困难重度残疾人家庭实施无障碍改造。在主题教育中持续深化“我为群众办实事”活动，大力开展“上门办证”服务，组织昭化区人民医院组成评残鉴定服务组，深入12个镇为176名行动不便的重度困难肢体残疾人上门办理残疾人证，真正做到把服务窗口搬到残疾人的家门口，切实解决残疾人急难愁盼问题。为69名残疾人提供机动轮椅车燃油补贴。在香香嘴食品有限公司、昭化区卫子镇卫子村建设残疾人自强健身示范点2处；承办四川省第四届全民健身运动会残疾人柔力球项目比赛，组织昭化区残疾人运动员参加体育赛事，培养体育人才。</w:t>
      </w:r>
    </w:p>
    <w:p w14:paraId="6644081B">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三、政策绩效情况</w:t>
      </w:r>
    </w:p>
    <w:p w14:paraId="70DB5AE4">
      <w:pPr>
        <w:autoSpaceDE/>
        <w:autoSpaceDN/>
        <w:adjustRightInd/>
        <w:snapToGrid w:val="0"/>
        <w:spacing w:line="576" w:lineRule="exact"/>
        <w:ind w:firstLine="640" w:firstLineChars="200"/>
        <w:jc w:val="both"/>
        <w:outlineLvl w:val="1"/>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（一）项目决策</w:t>
      </w:r>
    </w:p>
    <w:p w14:paraId="13BC147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程序严密。</w:t>
      </w:r>
      <w:r>
        <w:rPr>
          <w:rFonts w:hint="eastAsia" w:ascii="Times New Roman" w:eastAsia="仿宋_GB2312"/>
          <w:kern w:val="2"/>
          <w:sz w:val="32"/>
          <w:szCs w:val="32"/>
          <w:lang w:val="zh-CN"/>
        </w:rPr>
        <w:t>该项目为上级转移性项目，</w:t>
      </w:r>
      <w:r>
        <w:rPr>
          <w:rFonts w:hint="eastAsia" w:ascii="Times New Roman" w:eastAsia="仿宋_GB2312"/>
          <w:color w:val="000000"/>
          <w:kern w:val="2"/>
          <w:sz w:val="32"/>
          <w:szCs w:val="32"/>
        </w:rPr>
        <w:t>政策设立环节经过严格评估论证，与部门职责相符，属于公共财政支持范围，符合地方事权支出责任划分原则。</w:t>
      </w:r>
    </w:p>
    <w:p w14:paraId="5A9C712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规划合理。项目规划符合区委和区政府重大决策部署，与项目年度目标一致，与相关部门同类项目或部门内部相关项目没有重复。</w:t>
      </w:r>
    </w:p>
    <w:p w14:paraId="5D3B5CE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制度完备。项目指导意见、管理办法、申报指南、实施细则等管理制度完善，不存在脱离实际、缺陷、漏洞导致执行偏离预期。</w:t>
      </w:r>
    </w:p>
    <w:p w14:paraId="719C2054">
      <w:pPr>
        <w:autoSpaceDE/>
        <w:autoSpaceDN/>
        <w:adjustRightInd/>
        <w:snapToGrid w:val="0"/>
        <w:spacing w:line="576" w:lineRule="exact"/>
        <w:ind w:firstLine="640" w:firstLineChars="200"/>
        <w:jc w:val="both"/>
        <w:outlineLvl w:val="1"/>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（二）政策实施</w:t>
      </w:r>
    </w:p>
    <w:p w14:paraId="2B2B24B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分配科学。政策资金区域分布结果公平合理、资金分配及时高效，下达预算同步下达绩效目标；资金分配结果与规划计划一致，按规定及时分配专项预算资金。</w:t>
      </w:r>
    </w:p>
    <w:p w14:paraId="79C4A6F4">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使用合规。资金拨付有完整的审批程序和手续；符合项目预算批复或合同规定用途；不存在截留、挤占、挪用、虚列支出等情况。</w:t>
      </w:r>
    </w:p>
    <w:p w14:paraId="79C77B71">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执行有效。政策实施遵守相关法律法规；项目调整手续完备；项目合同、验收报告、技术鉴定等资料齐全并及时归档；项目实施的人员条件、场地设备、信息支撑等落实到位。</w:t>
      </w:r>
    </w:p>
    <w:p w14:paraId="7426555E">
      <w:pPr>
        <w:autoSpaceDE/>
        <w:autoSpaceDN/>
        <w:adjustRightInd/>
        <w:snapToGrid w:val="0"/>
        <w:spacing w:line="576" w:lineRule="exact"/>
        <w:ind w:firstLine="640" w:firstLineChars="200"/>
        <w:jc w:val="both"/>
        <w:outlineLvl w:val="1"/>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（三）完成结果</w:t>
      </w:r>
    </w:p>
    <w:p w14:paraId="69A2DC6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目标完成方面。项目实施后顺利完成预期目标，所有绩效目标均已完成。</w:t>
      </w:r>
    </w:p>
    <w:p w14:paraId="2CA968C7">
      <w:pPr>
        <w:autoSpaceDE/>
        <w:autoSpaceDN/>
        <w:adjustRightInd/>
        <w:snapToGrid w:val="0"/>
        <w:spacing w:line="576" w:lineRule="exact"/>
        <w:ind w:firstLine="640" w:firstLineChars="200"/>
        <w:jc w:val="both"/>
        <w:outlineLvl w:val="0"/>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预算完成方面。项目资金能够及时准确拨付到具体支持对象。</w:t>
      </w:r>
    </w:p>
    <w:p w14:paraId="457422D1">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完成及时。项目实际计划完成时间情况为1年，能够保障资金支付到位率。</w:t>
      </w:r>
    </w:p>
    <w:p w14:paraId="794BA497">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4.</w:t>
      </w:r>
      <w:r>
        <w:rPr>
          <w:rFonts w:hint="eastAsia" w:ascii="Times New Roman" w:eastAsia="仿宋_GB2312"/>
          <w:color w:val="000000"/>
          <w:kern w:val="2"/>
          <w:sz w:val="32"/>
          <w:szCs w:val="32"/>
        </w:rPr>
        <w:t>资金结余。项目资金结余共计97.81万元，因市级资金共计96.92万元下达时间较晚，集中在11、12月份下达，而多数项目已在2023年前三季度使用存量等资金完成，故产生资金结余。</w:t>
      </w:r>
    </w:p>
    <w:p w14:paraId="41E3D810">
      <w:pPr>
        <w:autoSpaceDE/>
        <w:autoSpaceDN/>
        <w:adjustRightInd/>
        <w:snapToGrid w:val="0"/>
        <w:spacing w:line="576" w:lineRule="exact"/>
        <w:ind w:firstLine="640" w:firstLineChars="200"/>
        <w:jc w:val="both"/>
        <w:outlineLvl w:val="1"/>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（四）政策协同</w:t>
      </w:r>
    </w:p>
    <w:p w14:paraId="352CA4EB">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同向相关。政策专项间制度机制顶层设计统筹协调、相互衔接，无交叉重叠的情况，政策专项实施过程中方式方法同向，不存在相悖或不合理。项目资金遵循单位管理制度机制，财务管理制度机制。</w:t>
      </w:r>
    </w:p>
    <w:p w14:paraId="646B23E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对象精准。政策支持方向、实施对象识别精准，政策支持方向、实施对象与实际需求有效衔接、精准契合。</w:t>
      </w:r>
    </w:p>
    <w:p w14:paraId="1E2C875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标准合理。政策标准制定合理，通过对象、区域、环境、经济发展等因素设定政策标准。</w:t>
      </w:r>
    </w:p>
    <w:p w14:paraId="154012F8">
      <w:pPr>
        <w:autoSpaceDE/>
        <w:autoSpaceDN/>
        <w:adjustRightInd/>
        <w:snapToGrid w:val="0"/>
        <w:spacing w:line="576" w:lineRule="exact"/>
        <w:ind w:firstLine="640" w:firstLineChars="200"/>
        <w:jc w:val="both"/>
        <w:outlineLvl w:val="1"/>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（五）政策效果</w:t>
      </w:r>
    </w:p>
    <w:p w14:paraId="083C298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民生保障类：测算依据选取科学合理，分配结果公平合理，已充分考虑地域条件、经济条件等。政策实施对象中不存在不合理的排他性规定，政策实施后相关受益群体的整体满意达95%及以上，政策在顶层设计、制度构建、管理实施及成效各环节完成情况良好。</w:t>
      </w:r>
    </w:p>
    <w:p w14:paraId="20AFB22B">
      <w:pPr>
        <w:autoSpaceDE/>
        <w:autoSpaceDN/>
        <w:adjustRightInd/>
        <w:snapToGrid w:val="0"/>
        <w:spacing w:line="576" w:lineRule="exact"/>
        <w:ind w:firstLine="640" w:firstLineChars="200"/>
        <w:jc w:val="both"/>
        <w:outlineLvl w:val="1"/>
        <w:rPr>
          <w:rFonts w:hint="eastAsia" w:ascii="楷体_GB2312" w:hAnsi="楷体_GB2312" w:eastAsia="楷体_GB2312" w:cs="楷体_GB2312"/>
          <w:color w:val="000000"/>
          <w:kern w:val="2"/>
          <w:sz w:val="32"/>
          <w:szCs w:val="32"/>
          <w:lang w:val="zh-CN"/>
        </w:rPr>
      </w:pPr>
      <w:r>
        <w:rPr>
          <w:rFonts w:hint="eastAsia" w:ascii="楷体_GB2312" w:hAnsi="楷体_GB2312" w:eastAsia="楷体_GB2312" w:cs="楷体_GB2312"/>
          <w:color w:val="000000"/>
          <w:kern w:val="2"/>
          <w:sz w:val="32"/>
          <w:szCs w:val="32"/>
        </w:rPr>
        <w:t>（六）违规记录</w:t>
      </w:r>
    </w:p>
    <w:p w14:paraId="15AE556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无</w:t>
      </w:r>
    </w:p>
    <w:p w14:paraId="3AC599FC">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四、存在问题</w:t>
      </w:r>
    </w:p>
    <w:p w14:paraId="27A4E916">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一）救助资金拨付较慢。残疾儿童开展康复训练有一定的康复期，或以入院康复为主，结算时限较长，导致中省资金拨付进度缓慢。为提升拨付效率，采用资金预拨方式，加大了后期康复资金结算难度。加上期间资料准备、审核与纠正较多，导致进度缓慢。</w:t>
      </w:r>
    </w:p>
    <w:p w14:paraId="293E5650">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二）存在实际就业创业中的一部分残疾人不能纳入补贴。省残联对于女性残疾人的就业年龄段界定与实际就业情况有一定的偏差，对于农村50-60岁残疾等级较轻的女性残疾人还具有的一定劳动能力，同时实际也在就业或创业，然而这部份残疾人按上级政策要求不能纳入补贴享受对象，在一定程度上不能更好激发残疾人就业创业。</w:t>
      </w:r>
    </w:p>
    <w:p w14:paraId="42532ACC">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（三）家庭无障碍改造工作欠细致，技术支持不到位，缺乏对家庭无障碍改造工作个性化特征的认识。</w:t>
      </w:r>
    </w:p>
    <w:p w14:paraId="59C53045">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 xml:space="preserve">五、相关建议  </w:t>
      </w:r>
    </w:p>
    <w:p w14:paraId="1497098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（一）优化资金拨付。与康复机构加强对接交流，前期核定好残疾儿童在训名单，定期到点查看服务进度。要求配合残联向在训的残疾儿童宣传康复救助政策，为他们准备相关救助申请资料，节约审核纠正时间。</w:t>
      </w:r>
    </w:p>
    <w:p w14:paraId="4F6009BF">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二）一是上级业务部门在制定残疾人就业创业补贴政策时，希望多下基层调研走访，了解农村残疾人实际就业年龄段和就业创业情况。二是残疾人是弱视群体，需要我们更加关心关注，尤其是在产业发展过程中由于资金周转困难而影响产业发展，故申请残疾人就业创业补贴资金时，希望上级主管部门能及时拨付该项补贴资金。</w:t>
      </w:r>
    </w:p>
    <w:p w14:paraId="0D76BD99">
      <w:pPr>
        <w:autoSpaceDE/>
        <w:autoSpaceDN/>
        <w:snapToGrid w:val="0"/>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000000"/>
          <w:kern w:val="2"/>
          <w:sz w:val="32"/>
          <w:szCs w:val="32"/>
        </w:rPr>
        <w:t>（三）积极开展对建筑设计及建筑施工人员的宣传教育工作，提高他们对于无障碍建设的认知水平，使他们的设计和施工能做到真正为残疾人服务。</w:t>
      </w:r>
    </w:p>
    <w:p w14:paraId="0E971DE5">
      <w:pPr>
        <w:autoSpaceDE/>
        <w:autoSpaceDN/>
        <w:adjustRightInd/>
        <w:spacing w:line="576" w:lineRule="exact"/>
        <w:ind w:firstLine="640" w:firstLineChars="200"/>
        <w:jc w:val="both"/>
        <w:rPr>
          <w:rFonts w:hint="default" w:ascii="Times New Roman" w:eastAsia="仿宋_GB2312"/>
          <w:color w:val="auto"/>
          <w:kern w:val="2"/>
          <w:sz w:val="32"/>
          <w:szCs w:val="22"/>
        </w:rPr>
      </w:pPr>
    </w:p>
    <w:p w14:paraId="13F8D255">
      <w:pPr>
        <w:keepNext/>
        <w:keepLines/>
        <w:pageBreakBefore/>
        <w:spacing w:line="576" w:lineRule="exact"/>
        <w:jc w:val="both"/>
        <w:rPr>
          <w:rFonts w:hint="eastAsia" w:ascii="仿宋_GB2312" w:hAnsi="仿宋_GB2312" w:eastAsia="黑体"/>
          <w:kern w:val="2"/>
          <w:sz w:val="32"/>
          <w:szCs w:val="24"/>
        </w:rPr>
      </w:pPr>
      <w:r>
        <w:rPr>
          <w:rFonts w:hint="eastAsia" w:ascii="黑体" w:hAnsi="黑体" w:eastAsia="黑体"/>
          <w:kern w:val="2"/>
          <w:sz w:val="32"/>
          <w:szCs w:val="24"/>
        </w:rPr>
        <w:t>附件3</w:t>
      </w:r>
    </w:p>
    <w:p w14:paraId="717A3EC0">
      <w:pPr>
        <w:pStyle w:val="2"/>
        <w:jc w:val="center"/>
        <w:rPr>
          <w:rFonts w:hint="eastAsia" w:ascii="黑体" w:hAnsi="黑体" w:eastAsia="黑体"/>
          <w:kern w:val="2"/>
          <w:sz w:val="36"/>
          <w:szCs w:val="24"/>
          <w:lang w:val="zh-CN"/>
        </w:rPr>
      </w:pPr>
      <w:r>
        <w:rPr>
          <w:rFonts w:hint="eastAsia" w:ascii="黑体" w:hAnsi="黑体" w:eastAsia="黑体"/>
          <w:kern w:val="2"/>
          <w:sz w:val="36"/>
          <w:szCs w:val="24"/>
        </w:rPr>
        <w:t>2023年残疾人事业民生项目</w:t>
      </w:r>
      <w:r>
        <w:rPr>
          <w:rFonts w:hint="eastAsia" w:ascii="黑体" w:hAnsi="黑体" w:eastAsia="黑体"/>
          <w:kern w:val="2"/>
          <w:sz w:val="36"/>
          <w:szCs w:val="24"/>
          <w:lang w:val="zh-CN"/>
        </w:rPr>
        <w:t>专项预算</w:t>
      </w:r>
    </w:p>
    <w:p w14:paraId="52836FFB">
      <w:pPr>
        <w:pStyle w:val="2"/>
        <w:jc w:val="center"/>
        <w:rPr>
          <w:rFonts w:hint="eastAsia" w:ascii="黑体" w:hAnsi="黑体" w:eastAsia="黑体"/>
          <w:kern w:val="2"/>
          <w:sz w:val="36"/>
          <w:szCs w:val="24"/>
          <w:lang w:val="zh-CN"/>
        </w:rPr>
      </w:pPr>
      <w:r>
        <w:rPr>
          <w:rFonts w:hint="eastAsia" w:ascii="黑体" w:hAnsi="黑体" w:eastAsia="黑体"/>
          <w:kern w:val="2"/>
          <w:sz w:val="36"/>
          <w:szCs w:val="24"/>
          <w:lang w:val="zh-CN"/>
        </w:rPr>
        <w:t>项目绩效评价报告</w:t>
      </w:r>
    </w:p>
    <w:p w14:paraId="18AA240E">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一、财政政策基本情况</w:t>
      </w:r>
      <w:r>
        <w:rPr>
          <w:rFonts w:hint="default" w:ascii="Times New Roman" w:eastAsia="黑体"/>
          <w:color w:val="000000"/>
          <w:kern w:val="2"/>
          <w:sz w:val="32"/>
          <w:szCs w:val="32"/>
        </w:rPr>
        <w:tab/>
      </w:r>
    </w:p>
    <w:p w14:paraId="2156943E">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为贯彻落实省委、省、区政府深入实施预算绩效管理文件精神，进一步推进预算绩效评价管理工作，提高财政资金使用效益，按照《关于开展2024年部门、政策和项目支出绩效评价工作的通知》（昭财发〔</w:t>
      </w:r>
      <w:r>
        <w:rPr>
          <w:rFonts w:hint="default" w:ascii="Times New Roman" w:eastAsia="仿宋_GB2312"/>
          <w:color w:val="000000"/>
          <w:kern w:val="2"/>
          <w:sz w:val="32"/>
          <w:szCs w:val="32"/>
        </w:rPr>
        <w:t>2024</w:t>
      </w:r>
      <w:r>
        <w:rPr>
          <w:rFonts w:hint="eastAsia" w:ascii="Times New Roman" w:eastAsia="仿宋_GB2312"/>
          <w:color w:val="000000"/>
          <w:kern w:val="2"/>
          <w:sz w:val="32"/>
          <w:szCs w:val="32"/>
        </w:rPr>
        <w:t>〕</w:t>
      </w:r>
      <w:r>
        <w:rPr>
          <w:rFonts w:hint="default" w:ascii="Times New Roman" w:eastAsia="仿宋_GB2312"/>
          <w:color w:val="000000"/>
          <w:kern w:val="2"/>
          <w:sz w:val="32"/>
          <w:szCs w:val="32"/>
        </w:rPr>
        <w:t>11</w:t>
      </w:r>
      <w:r>
        <w:rPr>
          <w:rFonts w:hint="eastAsia" w:ascii="Times New Roman" w:eastAsia="仿宋_GB2312"/>
          <w:color w:val="000000"/>
          <w:kern w:val="2"/>
          <w:sz w:val="32"/>
          <w:szCs w:val="32"/>
        </w:rPr>
        <w:t>号）文件要求，区残联及时安排部署，认真开展</w:t>
      </w:r>
      <w:r>
        <w:rPr>
          <w:rFonts w:hint="default" w:ascii="Times New Roman" w:eastAsia="仿宋_GB2312"/>
          <w:color w:val="000000"/>
          <w:kern w:val="2"/>
          <w:sz w:val="32"/>
          <w:szCs w:val="32"/>
        </w:rPr>
        <w:t>2023</w:t>
      </w:r>
      <w:r>
        <w:rPr>
          <w:rFonts w:hint="eastAsia" w:ascii="Times New Roman" w:eastAsia="仿宋_GB2312"/>
          <w:color w:val="000000"/>
          <w:kern w:val="2"/>
          <w:sz w:val="32"/>
          <w:szCs w:val="32"/>
        </w:rPr>
        <w:t>年残疾人事业民生项目的绩效评价工作。</w:t>
      </w:r>
    </w:p>
    <w:p w14:paraId="1D7F5031">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二、自评工作开展情况</w:t>
      </w:r>
    </w:p>
    <w:p w14:paraId="42065362">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（一）项目资金收入情况</w:t>
      </w:r>
    </w:p>
    <w:p w14:paraId="0F86DDF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区残联2023年残疾人事业民生项目</w:t>
      </w:r>
      <w:r>
        <w:rPr>
          <w:rFonts w:hint="eastAsia" w:ascii="Times New Roman" w:eastAsia="仿宋_GB2312"/>
          <w:kern w:val="2"/>
          <w:sz w:val="32"/>
          <w:szCs w:val="32"/>
          <w:lang w:val="zh-CN"/>
        </w:rPr>
        <w:t>资金批复</w:t>
      </w:r>
      <w:r>
        <w:rPr>
          <w:rFonts w:hint="default" w:ascii="Times New Roman" w:eastAsia="仿宋_GB2312"/>
          <w:kern w:val="2"/>
          <w:sz w:val="32"/>
          <w:szCs w:val="32"/>
        </w:rPr>
        <w:t>35</w:t>
      </w:r>
      <w:r>
        <w:rPr>
          <w:rFonts w:hint="eastAsia" w:ascii="Times New Roman" w:eastAsia="仿宋_GB2312"/>
          <w:kern w:val="2"/>
          <w:sz w:val="32"/>
          <w:szCs w:val="32"/>
        </w:rPr>
        <w:t>万元，根据《关于调整我区2020年部门争取资金工作经费的请示》昭财（2021）23号文件，追减2020年争取资金工作经费，预算调减3.54万元，即该项目2023年预算数为31.46万元。</w:t>
      </w:r>
    </w:p>
    <w:p w14:paraId="00A15351">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（二）项目资金支出情况</w:t>
      </w:r>
    </w:p>
    <w:p w14:paraId="44C12C4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lang w:val="zh-CN"/>
        </w:rPr>
        <w:t>项目资金实际支出</w:t>
      </w:r>
      <w:r>
        <w:rPr>
          <w:rFonts w:hint="default" w:ascii="Times New Roman" w:eastAsia="仿宋_GB2312"/>
          <w:color w:val="000000"/>
          <w:kern w:val="2"/>
          <w:sz w:val="32"/>
          <w:szCs w:val="32"/>
        </w:rPr>
        <w:t>29.61</w:t>
      </w:r>
      <w:r>
        <w:rPr>
          <w:rFonts w:hint="eastAsia" w:ascii="Times New Roman" w:eastAsia="仿宋_GB2312"/>
          <w:color w:val="000000"/>
          <w:kern w:val="2"/>
          <w:sz w:val="32"/>
          <w:szCs w:val="32"/>
        </w:rPr>
        <w:t>万元。资金支付进度为94.13%，其中临聘人员劳务费15.04万元，助残日活动经费2万元，残疾大学新生或残疾人家庭子女大学新生资助4.6万元，归雁工厂补助0.68万元，残疾人居家无障碍改造、体育健身器材和辅助器具采购7.29万元。</w:t>
      </w:r>
    </w:p>
    <w:p w14:paraId="40B2F769">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三、政策绩效情况</w:t>
      </w:r>
    </w:p>
    <w:p w14:paraId="7F58BE13">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（一）项目决策</w:t>
      </w:r>
    </w:p>
    <w:p w14:paraId="1A36DCEC">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程序严密。</w:t>
      </w:r>
      <w:r>
        <w:rPr>
          <w:rFonts w:hint="eastAsia" w:ascii="Times New Roman" w:eastAsia="仿宋_GB2312"/>
          <w:kern w:val="2"/>
          <w:sz w:val="32"/>
          <w:szCs w:val="32"/>
          <w:lang w:val="zh-CN"/>
        </w:rPr>
        <w:t>该项目为单位的延续性项目，</w:t>
      </w:r>
      <w:r>
        <w:rPr>
          <w:rFonts w:hint="eastAsia" w:ascii="Times New Roman" w:eastAsia="仿宋_GB2312"/>
          <w:color w:val="000000"/>
          <w:kern w:val="2"/>
          <w:sz w:val="32"/>
          <w:szCs w:val="32"/>
        </w:rPr>
        <w:t>政策设立环节经过严格评估论证，与部门职责相符，属于公共财政支持范围，符合地方事权支出责任划分原则。</w:t>
      </w:r>
    </w:p>
    <w:p w14:paraId="4417758F">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规划合理。项目规划符合区委和区政府重大决策部署，与项目年度目标一致，与相关部门同类项目或部门内部相关项目没有重复。</w:t>
      </w:r>
    </w:p>
    <w:p w14:paraId="5CA782C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制度完备。项目指导意见、管理办法、申报指南、实施细则等管理制度完善，不存在脱离实际、缺陷、漏洞导致执行偏离预期。</w:t>
      </w:r>
    </w:p>
    <w:p w14:paraId="0B358619">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（二）政策实施</w:t>
      </w:r>
    </w:p>
    <w:p w14:paraId="775226E5">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分配科学。政策资金区域分布结果公平合理、资金分配及时高效，下达预算同步下达绩效目标；资金分配结果与规划计划一致，按规定及时分配专项预算资金。</w:t>
      </w:r>
    </w:p>
    <w:p w14:paraId="0E9C673C">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使用合规。资金拨付有完整的审批程序和手续；符合项目预算批复或合同规定用途；不存在截留、挤占、挪用、虚列支出等情况。</w:t>
      </w:r>
    </w:p>
    <w:p w14:paraId="495E9537">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执行有效。政策实施遵守相关法律法规；项目调整手续完备；项目合同、验收报告、技术鉴定等资料齐全并及时归档；项目实施的人员条件、场地设备、信息支撑等落实到位。</w:t>
      </w:r>
    </w:p>
    <w:p w14:paraId="400FDAEB">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（三）完成结果</w:t>
      </w:r>
    </w:p>
    <w:p w14:paraId="6274DA1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目标完成方面。项目实施后顺利完成预期目标，所有绩效目标均已完成。</w:t>
      </w:r>
    </w:p>
    <w:p w14:paraId="28471815">
      <w:pPr>
        <w:autoSpaceDE/>
        <w:autoSpaceDN/>
        <w:adjustRightInd/>
        <w:snapToGrid w:val="0"/>
        <w:spacing w:line="576" w:lineRule="exact"/>
        <w:ind w:firstLine="640" w:firstLineChars="200"/>
        <w:jc w:val="both"/>
        <w:outlineLvl w:val="0"/>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预算完成方面。项目资金能够及时准确拨付到具体支持对象。</w:t>
      </w:r>
    </w:p>
    <w:p w14:paraId="69DEE41F">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完成及时。项目实际计划完成时间情况为1年，能够保障资金支付到位率。</w:t>
      </w:r>
    </w:p>
    <w:p w14:paraId="7141A3D3">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4.</w:t>
      </w:r>
      <w:r>
        <w:rPr>
          <w:rFonts w:hint="eastAsia" w:ascii="Times New Roman" w:eastAsia="仿宋_GB2312"/>
          <w:color w:val="000000"/>
          <w:kern w:val="2"/>
          <w:sz w:val="32"/>
          <w:szCs w:val="32"/>
        </w:rPr>
        <w:t>资金结余。项目资金结余共计1.85万元，在2023年已有支出计划，且在2024年实现支出。</w:t>
      </w:r>
    </w:p>
    <w:p w14:paraId="223337E7">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（四）政策协同</w:t>
      </w:r>
    </w:p>
    <w:p w14:paraId="56063B5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同向相关。政策专项间制度机制顶层设计统筹协调、相互衔接，无交叉重叠的情况，政策专项实施过程中方式方法同向，不存在相悖或不合理。项目资金遵循单位管理制度机制，财务管理制度机制。</w:t>
      </w:r>
    </w:p>
    <w:p w14:paraId="4774B9F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对象精准。政策支持方向、实施对象识别精准，政策支持方向、实施对象与实际需求有效衔接、精准契合。</w:t>
      </w:r>
    </w:p>
    <w:p w14:paraId="52B2C64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标准合理。政策标准制定合理，通过对象、区域、环境、经济发展等因素设定政策标准。</w:t>
      </w:r>
    </w:p>
    <w:p w14:paraId="6B3EE36C">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（五）政策效果</w:t>
      </w:r>
    </w:p>
    <w:p w14:paraId="2FB9258A">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民生保障类：测算依据选取科学合理，分配结果公平合理，已充分考虑地域条件、经济条件等。政策实施对象中不存在不合理的排他性规定，政策实施后相关受益群体的整体满意达95%以上，政策在顶层设计、制度构建、管理实施及成效各环节完成情况良好。</w:t>
      </w:r>
    </w:p>
    <w:p w14:paraId="4E358C8C">
      <w:pPr>
        <w:numPr>
          <w:ilvl w:val="0"/>
          <w:numId w:val="0"/>
        </w:numPr>
        <w:autoSpaceDE/>
        <w:autoSpaceDN/>
        <w:snapToGrid w:val="0"/>
        <w:spacing w:line="576" w:lineRule="exact"/>
        <w:ind w:firstLine="640" w:firstLineChars="200"/>
        <w:jc w:val="both"/>
        <w:outlineLvl w:val="1"/>
        <w:rPr>
          <w:rFonts w:hint="default" w:ascii="Times New Roman" w:eastAsia="楷体_GB2312"/>
          <w:kern w:val="2"/>
          <w:sz w:val="32"/>
          <w:szCs w:val="32"/>
          <w:lang w:val="zh-CN"/>
        </w:rPr>
      </w:pPr>
      <w:r>
        <w:rPr>
          <w:rFonts w:hint="eastAsia" w:ascii="Times New Roman" w:eastAsia="楷体_GB2312"/>
          <w:color w:val="000000"/>
          <w:kern w:val="2"/>
          <w:sz w:val="32"/>
          <w:szCs w:val="32"/>
        </w:rPr>
        <w:t>（六）违规记录</w:t>
      </w:r>
    </w:p>
    <w:p w14:paraId="706DB5E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无</w:t>
      </w:r>
    </w:p>
    <w:p w14:paraId="6A674B66">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四、存在问题</w:t>
      </w:r>
    </w:p>
    <w:p w14:paraId="1977476E">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无</w:t>
      </w:r>
    </w:p>
    <w:p w14:paraId="2D4C585D">
      <w:p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 xml:space="preserve">五、相关建议  </w:t>
      </w:r>
    </w:p>
    <w:p w14:paraId="049D0E34">
      <w:pPr>
        <w:autoSpaceDE/>
        <w:autoSpaceDN/>
        <w:snapToGrid w:val="0"/>
        <w:spacing w:line="576" w:lineRule="exact"/>
        <w:ind w:firstLine="640" w:firstLineChars="200"/>
        <w:jc w:val="both"/>
        <w:rPr>
          <w:rFonts w:hint="eastAsia" w:ascii="黑体" w:hAnsi="黑体" w:eastAsia="黑体"/>
          <w:kern w:val="2"/>
          <w:sz w:val="36"/>
          <w:szCs w:val="24"/>
          <w:lang w:val="zh-CN"/>
        </w:rPr>
      </w:pPr>
      <w:r>
        <w:rPr>
          <w:rFonts w:hint="eastAsia" w:ascii="Times New Roman" w:eastAsia="仿宋_GB2312"/>
          <w:color w:val="000000"/>
          <w:kern w:val="2"/>
          <w:sz w:val="32"/>
          <w:szCs w:val="32"/>
        </w:rPr>
        <w:t>无</w:t>
      </w:r>
    </w:p>
    <w:p w14:paraId="4B04694E">
      <w:pPr>
        <w:keepNext/>
        <w:keepLines/>
        <w:pageBreakBefore/>
        <w:spacing w:line="576" w:lineRule="exact"/>
        <w:jc w:val="both"/>
        <w:rPr>
          <w:rFonts w:hint="eastAsia" w:ascii="仿宋_GB2312" w:hAnsi="仿宋_GB2312" w:eastAsia="黑体"/>
          <w:kern w:val="2"/>
          <w:sz w:val="32"/>
          <w:szCs w:val="24"/>
        </w:rPr>
      </w:pPr>
      <w:r>
        <w:rPr>
          <w:rFonts w:hint="eastAsia" w:ascii="黑体" w:hAnsi="黑体" w:eastAsia="黑体"/>
          <w:kern w:val="2"/>
          <w:sz w:val="32"/>
          <w:szCs w:val="24"/>
        </w:rPr>
        <w:t>附件4</w:t>
      </w:r>
    </w:p>
    <w:p w14:paraId="43F5B4F0">
      <w:pPr>
        <w:pStyle w:val="2"/>
        <w:jc w:val="center"/>
        <w:rPr>
          <w:rFonts w:hint="eastAsia" w:ascii="黑体" w:hAnsi="黑体" w:eastAsia="黑体"/>
          <w:kern w:val="2"/>
          <w:sz w:val="36"/>
          <w:szCs w:val="24"/>
          <w:lang w:val="zh-CN"/>
        </w:rPr>
      </w:pPr>
      <w:r>
        <w:rPr>
          <w:rFonts w:hint="eastAsia" w:ascii="黑体" w:hAnsi="黑体" w:eastAsia="黑体"/>
          <w:kern w:val="2"/>
          <w:sz w:val="36"/>
          <w:szCs w:val="24"/>
        </w:rPr>
        <w:t>2023年农村残疾人就业帮扶基地奖补</w:t>
      </w:r>
      <w:r>
        <w:rPr>
          <w:rFonts w:hint="eastAsia" w:ascii="黑体" w:hAnsi="黑体" w:eastAsia="黑体"/>
          <w:kern w:val="2"/>
          <w:sz w:val="36"/>
          <w:szCs w:val="24"/>
          <w:lang w:val="zh-CN"/>
        </w:rPr>
        <w:t>专项预算</w:t>
      </w:r>
    </w:p>
    <w:p w14:paraId="1B9D7E8E">
      <w:pPr>
        <w:pStyle w:val="2"/>
        <w:jc w:val="center"/>
        <w:rPr>
          <w:rFonts w:hint="eastAsia" w:ascii="黑体" w:hAnsi="黑体" w:eastAsia="黑体"/>
          <w:kern w:val="2"/>
          <w:sz w:val="36"/>
          <w:szCs w:val="24"/>
          <w:lang w:val="zh-CN"/>
        </w:rPr>
      </w:pPr>
      <w:r>
        <w:rPr>
          <w:rFonts w:hint="eastAsia" w:ascii="黑体" w:hAnsi="黑体" w:eastAsia="黑体"/>
          <w:kern w:val="2"/>
          <w:sz w:val="36"/>
          <w:szCs w:val="24"/>
          <w:lang w:val="zh-CN"/>
        </w:rPr>
        <w:t>项目绩效评价报告</w:t>
      </w:r>
    </w:p>
    <w:p w14:paraId="6EC11E49">
      <w:pPr>
        <w:numPr>
          <w:ilvl w:val="0"/>
          <w:numId w:val="0"/>
        </w:numPr>
        <w:autoSpaceDE/>
        <w:autoSpaceDN/>
        <w:adjustRightInd/>
        <w:snapToGrid w:val="0"/>
        <w:spacing w:line="576" w:lineRule="exact"/>
        <w:ind w:firstLine="640" w:firstLineChars="200"/>
        <w:jc w:val="both"/>
        <w:outlineLvl w:val="2"/>
        <w:rPr>
          <w:rFonts w:hint="default" w:ascii="Times New Roman" w:eastAsia="仿宋_GB2312"/>
          <w:color w:val="000000"/>
          <w:kern w:val="2"/>
          <w:sz w:val="32"/>
          <w:szCs w:val="32"/>
        </w:rPr>
      </w:pPr>
      <w:r>
        <w:rPr>
          <w:rFonts w:hint="eastAsia" w:ascii="Times New Roman" w:eastAsia="黑体"/>
          <w:color w:val="000000"/>
          <w:kern w:val="2"/>
          <w:sz w:val="32"/>
          <w:szCs w:val="32"/>
        </w:rPr>
        <w:t>一、财政政策基本情况</w:t>
      </w:r>
    </w:p>
    <w:p w14:paraId="6B11D731">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昭化区农村残疾人就业帮扶基地奖补贴项目，安排资金</w:t>
      </w:r>
      <w:r>
        <w:rPr>
          <w:rFonts w:hint="default" w:ascii="Times New Roman" w:eastAsia="仿宋_GB2312"/>
          <w:color w:val="000000"/>
          <w:kern w:val="2"/>
          <w:sz w:val="32"/>
          <w:szCs w:val="32"/>
        </w:rPr>
        <w:t>29</w:t>
      </w:r>
      <w:r>
        <w:rPr>
          <w:rFonts w:hint="eastAsia" w:ascii="Times New Roman" w:eastAsia="仿宋_GB2312"/>
          <w:color w:val="000000"/>
          <w:kern w:val="2"/>
          <w:sz w:val="32"/>
          <w:szCs w:val="32"/>
        </w:rPr>
        <w:t>万元，其中省级资金</w:t>
      </w:r>
      <w:r>
        <w:rPr>
          <w:rFonts w:hint="default" w:ascii="Times New Roman" w:eastAsia="仿宋_GB2312"/>
          <w:color w:val="000000"/>
          <w:kern w:val="2"/>
          <w:sz w:val="32"/>
          <w:szCs w:val="32"/>
        </w:rPr>
        <w:t>29</w:t>
      </w:r>
      <w:r>
        <w:rPr>
          <w:rFonts w:hint="eastAsia" w:ascii="Times New Roman" w:eastAsia="仿宋_GB2312"/>
          <w:color w:val="000000"/>
          <w:kern w:val="2"/>
          <w:sz w:val="32"/>
          <w:szCs w:val="32"/>
        </w:rPr>
        <w:t>万元。结合我区农村残疾人就业情况，昭化区残联按照《关于印发〈广元市昭化区</w:t>
      </w:r>
      <w:r>
        <w:rPr>
          <w:rFonts w:hint="default" w:ascii="Times New Roman" w:eastAsia="仿宋_GB2312"/>
          <w:color w:val="000000"/>
          <w:kern w:val="2"/>
          <w:sz w:val="32"/>
          <w:szCs w:val="32"/>
        </w:rPr>
        <w:t>2023</w:t>
      </w:r>
      <w:r>
        <w:rPr>
          <w:rFonts w:hint="eastAsia" w:ascii="Times New Roman" w:eastAsia="仿宋_GB2312"/>
          <w:color w:val="000000"/>
          <w:kern w:val="2"/>
          <w:sz w:val="32"/>
          <w:szCs w:val="32"/>
        </w:rPr>
        <w:t>年农村残疾人就业帮扶基地奖补贴项目〉的通知》（昭残发〔202</w:t>
      </w: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〕7号）要求，为广元市昭化区安合家种养殖家庭农场、广元市昭化区农乡情蛋鸡养殖专业合作社、广元市昭化区隆吉中药材农民专业合作社等</w:t>
      </w: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个农村残疾人就业帮扶基地分别给予帮扶。</w:t>
      </w:r>
    </w:p>
    <w:p w14:paraId="5786121F">
      <w:pPr>
        <w:numPr>
          <w:ilvl w:val="0"/>
          <w:numId w:val="0"/>
        </w:num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二、自评工作开展情况</w:t>
      </w:r>
    </w:p>
    <w:p w14:paraId="4BE29AA8">
      <w:pPr>
        <w:numPr>
          <w:ilvl w:val="0"/>
          <w:numId w:val="0"/>
        </w:numPr>
        <w:autoSpaceDE/>
        <w:autoSpaceDN/>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楷体_GB2312"/>
          <w:color w:val="000000"/>
          <w:kern w:val="2"/>
          <w:sz w:val="32"/>
          <w:szCs w:val="32"/>
        </w:rPr>
        <w:t>（一）</w:t>
      </w:r>
      <w:r>
        <w:rPr>
          <w:rFonts w:hint="eastAsia" w:ascii="Times New Roman" w:eastAsia="楷体_GB2312"/>
          <w:color w:val="000000"/>
          <w:kern w:val="2"/>
          <w:sz w:val="32"/>
          <w:szCs w:val="32"/>
          <w:lang w:val="en"/>
        </w:rPr>
        <w:t>项目库建设管理情况</w:t>
      </w:r>
      <w:r>
        <w:rPr>
          <w:rFonts w:hint="eastAsia" w:ascii="Times New Roman" w:eastAsia="楷体_GB2312"/>
          <w:color w:val="000000"/>
          <w:kern w:val="2"/>
          <w:sz w:val="32"/>
          <w:szCs w:val="32"/>
        </w:rPr>
        <w:t>。</w:t>
      </w:r>
      <w:r>
        <w:rPr>
          <w:rFonts w:hint="eastAsia" w:ascii="Times New Roman" w:eastAsia="仿宋_GB2312"/>
          <w:color w:val="000000"/>
          <w:kern w:val="2"/>
          <w:sz w:val="32"/>
          <w:szCs w:val="32"/>
        </w:rPr>
        <w:t>按照“村申报、镇审核、区审定”程序开展项目入库管理，项目入库及时充分，绩效指标信息录入完整、详实。</w:t>
      </w:r>
    </w:p>
    <w:p w14:paraId="0F0C00C6">
      <w:pPr>
        <w:numPr>
          <w:ilvl w:val="0"/>
          <w:numId w:val="0"/>
        </w:numPr>
        <w:autoSpaceDE/>
        <w:autoSpaceDN/>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楷体_GB2312"/>
          <w:color w:val="000000"/>
          <w:kern w:val="2"/>
          <w:sz w:val="32"/>
          <w:szCs w:val="32"/>
        </w:rPr>
        <w:t>（二）</w:t>
      </w:r>
      <w:r>
        <w:rPr>
          <w:rFonts w:hint="eastAsia" w:ascii="Times New Roman" w:eastAsia="楷体_GB2312"/>
          <w:color w:val="000000"/>
          <w:kern w:val="2"/>
          <w:sz w:val="32"/>
          <w:szCs w:val="32"/>
          <w:lang w:val="en"/>
        </w:rPr>
        <w:t>项目绩效管理情况。</w:t>
      </w:r>
      <w:r>
        <w:rPr>
          <w:rFonts w:hint="eastAsia" w:ascii="Times New Roman" w:eastAsia="仿宋_GB2312"/>
          <w:color w:val="000000"/>
          <w:kern w:val="2"/>
          <w:sz w:val="32"/>
          <w:szCs w:val="32"/>
        </w:rPr>
        <w:t>我单位衔接资金（农村残疾人就业帮扶基地奖补项目）项目实施方案中均明确了项目绩效目标，项目库中绩效申报、绩效信息录入完整、规范、真实，且及时开展项目绩效跟踪监督、动态监控和事后评价工作。</w:t>
      </w:r>
    </w:p>
    <w:p w14:paraId="3E0D2C7F">
      <w:pPr>
        <w:numPr>
          <w:ilvl w:val="0"/>
          <w:numId w:val="0"/>
        </w:numPr>
        <w:autoSpaceDE/>
        <w:autoSpaceDN/>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楷体_GB2312"/>
          <w:color w:val="000000"/>
          <w:kern w:val="2"/>
          <w:sz w:val="32"/>
          <w:szCs w:val="32"/>
        </w:rPr>
        <w:t>（三）信息公开和公告公示制度落实情况。</w:t>
      </w:r>
      <w:r>
        <w:rPr>
          <w:rFonts w:hint="eastAsia" w:ascii="Times New Roman" w:eastAsia="仿宋_GB2312"/>
          <w:color w:val="000000"/>
          <w:kern w:val="2"/>
          <w:sz w:val="32"/>
          <w:szCs w:val="32"/>
        </w:rPr>
        <w:t>我单位严格按照衔接资金管理办法，及时在昭化区残联政务公开栏上公开资金分配结果、项目库、资金项目计划等。并在项目所在的镇、村两级政务公开栏和项目实施地公开公示。</w:t>
      </w:r>
    </w:p>
    <w:p w14:paraId="30D522EF">
      <w:pPr>
        <w:numPr>
          <w:ilvl w:val="0"/>
          <w:numId w:val="0"/>
        </w:numPr>
        <w:autoSpaceDE/>
        <w:autoSpaceDN/>
        <w:adjustRightInd/>
        <w:spacing w:line="576" w:lineRule="exact"/>
        <w:ind w:firstLine="640" w:firstLineChars="200"/>
        <w:jc w:val="both"/>
        <w:rPr>
          <w:rFonts w:hint="default" w:ascii="Times New Roman" w:eastAsia="仿宋_GB2312"/>
          <w:kern w:val="2"/>
          <w:sz w:val="32"/>
          <w:szCs w:val="32"/>
        </w:rPr>
      </w:pPr>
      <w:r>
        <w:rPr>
          <w:rFonts w:hint="eastAsia" w:ascii="Times New Roman" w:eastAsia="楷体_GB2312"/>
          <w:color w:val="000000"/>
          <w:kern w:val="2"/>
          <w:sz w:val="32"/>
          <w:szCs w:val="32"/>
        </w:rPr>
        <w:t>（四）跟踪督促及发现问题整改情况</w:t>
      </w:r>
      <w:r>
        <w:rPr>
          <w:rFonts w:hint="eastAsia" w:ascii="Times New Roman" w:eastAsia="楷体_GB2312"/>
          <w:color w:val="000000"/>
          <w:kern w:val="2"/>
          <w:sz w:val="32"/>
          <w:szCs w:val="32"/>
          <w:lang w:val="en"/>
        </w:rPr>
        <w:t>。</w:t>
      </w:r>
      <w:r>
        <w:rPr>
          <w:rFonts w:hint="eastAsia" w:ascii="Times New Roman" w:eastAsia="仿宋_GB2312"/>
          <w:color w:val="000000"/>
          <w:kern w:val="2"/>
          <w:sz w:val="32"/>
          <w:szCs w:val="32"/>
        </w:rPr>
        <w:t>我单位多次开展衔接资金项目实施和资金支出进度等跟踪督促，该资金项目检查发现和反馈的问题，如资金拨付不及时，项目建设缓慢，程序不规范的问题，并一一整改到位。</w:t>
      </w:r>
    </w:p>
    <w:p w14:paraId="355715A4">
      <w:pPr>
        <w:numPr>
          <w:ilvl w:val="0"/>
          <w:numId w:val="0"/>
        </w:num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三、政策绩效情况</w:t>
      </w:r>
    </w:p>
    <w:p w14:paraId="368CF6DB">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（一）项目决策</w:t>
      </w:r>
    </w:p>
    <w:p w14:paraId="2DA70AB9">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程序严密。项目实施方案严格评估论证，根据省残联系实施方案要求，并结合我区实际情况制定具体帮扶实施方案。与本部门职责相符，对全区吸纳安置残疾人灵活就业或辐射带动残疾人家庭生产发展增收的农村新型经营主体单位给予帮扶扶持。本项目被纳入民生实事，是属于</w:t>
      </w:r>
      <w:r>
        <w:rPr>
          <w:rFonts w:hint="eastAsia" w:ascii="Times New Roman" w:eastAsia="仿宋_GB2312"/>
          <w:color w:val="000000"/>
          <w:kern w:val="2"/>
          <w:sz w:val="32"/>
          <w:szCs w:val="32"/>
          <w:lang w:eastAsia="zh-CN"/>
        </w:rPr>
        <w:t>巩固拓展脱贫攻坚成果同乡村振兴有效衔接</w:t>
      </w:r>
      <w:r>
        <w:rPr>
          <w:rFonts w:hint="eastAsia" w:ascii="Times New Roman" w:eastAsia="仿宋_GB2312"/>
          <w:color w:val="000000"/>
          <w:kern w:val="2"/>
          <w:sz w:val="32"/>
          <w:szCs w:val="32"/>
        </w:rPr>
        <w:t>，符合地方事权支出责任划分原则。</w:t>
      </w:r>
    </w:p>
    <w:p w14:paraId="2B5E5E0F">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规划合理。本项目规划是符合省（市、区</w:t>
      </w:r>
      <w:r>
        <w:rPr>
          <w:rFonts w:hint="default" w:ascii="Times New Roman" w:eastAsia="仿宋_GB2312"/>
          <w:color w:val="000000"/>
          <w:kern w:val="2"/>
          <w:sz w:val="32"/>
          <w:szCs w:val="32"/>
        </w:rPr>
        <w:t>)</w:t>
      </w:r>
      <w:r>
        <w:rPr>
          <w:rFonts w:hint="eastAsia" w:ascii="Times New Roman" w:eastAsia="仿宋_GB2312"/>
          <w:color w:val="000000"/>
          <w:kern w:val="2"/>
          <w:sz w:val="32"/>
          <w:szCs w:val="32"/>
        </w:rPr>
        <w:t>委和省</w:t>
      </w:r>
      <w:r>
        <w:rPr>
          <w:rFonts w:hint="default" w:ascii="Times New Roman" w:eastAsia="仿宋_GB2312"/>
          <w:color w:val="000000"/>
          <w:kern w:val="2"/>
          <w:sz w:val="32"/>
          <w:szCs w:val="32"/>
        </w:rPr>
        <w:t>(</w:t>
      </w:r>
      <w:r>
        <w:rPr>
          <w:rFonts w:hint="eastAsia" w:ascii="Times New Roman" w:eastAsia="仿宋_GB2312"/>
          <w:color w:val="000000"/>
          <w:kern w:val="2"/>
          <w:sz w:val="32"/>
          <w:szCs w:val="32"/>
        </w:rPr>
        <w:t>市、区）政府重大决策部署，着力解决农村残疾人就业及辐射带动残疾人家庭生产发展增收，与项目年度目标一致，不存在相关部门同类项目或部门内部相关项目重复。</w:t>
      </w:r>
    </w:p>
    <w:p w14:paraId="06E3D9D8">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制度完备。本项目属于民生保障类，依据特定帮扶政策扶持农村残疾人就业帮扶基地，促进残疾人就业或带动残疾人家庭生产发展增收。相关申报指南完善、程序合规正当。不存在脱离实际、缺陷、漏洞导致执行偏离预期。</w:t>
      </w:r>
    </w:p>
    <w:p w14:paraId="40EB6B55">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（二）政策实施</w:t>
      </w:r>
    </w:p>
    <w:p w14:paraId="07A3F41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分配科学。在全区范围内为符合帮扶条件的农村残疾人就业帮扶基地给予扶持，政策资金区域分布结果公平合理、资金分配及时高效，下达预算同步下达绩效目标；资金分配结果与规划计划一致，按省残联文件要求发放第一批残疾人工资后预拨帮扶资金，兑现全年工资后结算的方式，按帮扶标准和实际及时分配专项预算资金。</w:t>
      </w:r>
    </w:p>
    <w:p w14:paraId="5AF3AE67">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使用合规。资金拨付有按文件要求具备完整的申报资料、被帮扶单位出具的发票及经残疾人确认签字的工资名单及银行打款凭据，有完整的审批程序和手续，符合项目签订协议的规定用途；不存在截留、挤占、挪用、虚列支出等情况。</w:t>
      </w:r>
    </w:p>
    <w:p w14:paraId="4FBB526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执行有效。政策实施遵守相关法律法规；各定点帮扶基地按“一户一策”建立帮扶档案，项目申报、审批、验收报告、技术鉴定等资料齐全并及时归档。项目实施的人员条件、场地设备、信息支撑等均落实到位。</w:t>
      </w:r>
    </w:p>
    <w:p w14:paraId="0DAE93FD">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（三）完成结果</w:t>
      </w:r>
    </w:p>
    <w:p w14:paraId="35106344">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目标完成方面。项目实施后顺利完成预期目标，所有绩效目标均已完成。</w:t>
      </w:r>
    </w:p>
    <w:p w14:paraId="38BEDB28">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预算完成方面。项目资金全部拨付到三个农村残疾人就业帮扶基地。</w:t>
      </w:r>
    </w:p>
    <w:p w14:paraId="1FE4F5E9">
      <w:pPr>
        <w:autoSpaceDE/>
        <w:autoSpaceDN/>
        <w:adjustRightInd/>
        <w:snapToGrid w:val="0"/>
        <w:spacing w:line="576" w:lineRule="exact"/>
        <w:ind w:firstLine="640" w:firstLineChars="200"/>
        <w:jc w:val="both"/>
        <w:outlineLvl w:val="0"/>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完成及时。项目在2023年12月底前完成。</w:t>
      </w:r>
    </w:p>
    <w:p w14:paraId="602AC455">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4.</w:t>
      </w:r>
      <w:r>
        <w:rPr>
          <w:rFonts w:hint="eastAsia" w:ascii="Times New Roman" w:eastAsia="仿宋_GB2312"/>
          <w:color w:val="000000"/>
          <w:kern w:val="2"/>
          <w:sz w:val="32"/>
          <w:szCs w:val="32"/>
        </w:rPr>
        <w:t>资金结余。项目实施周期结束，省级29万元的衔接资金已全部用于三个农村残疾人就业帮扶基地，无资金结余。</w:t>
      </w:r>
    </w:p>
    <w:p w14:paraId="1985DB49">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（四）政策协同</w:t>
      </w:r>
    </w:p>
    <w:p w14:paraId="0B8DAA9D">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1.</w:t>
      </w:r>
      <w:r>
        <w:rPr>
          <w:rFonts w:hint="eastAsia" w:ascii="Times New Roman" w:eastAsia="仿宋_GB2312"/>
          <w:color w:val="000000"/>
          <w:kern w:val="2"/>
          <w:sz w:val="32"/>
          <w:szCs w:val="32"/>
        </w:rPr>
        <w:t>同向相关。政策专项间制度机制顶层设计统筹协调、相互衔接，不存在交叉重叠的情况，政策专项实施过程中方式方法同向，不存在相悖或不合理。</w:t>
      </w:r>
    </w:p>
    <w:p w14:paraId="7F151262">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对象精准。政策支持方向、实施对象识别精准，与解决残疾人就业或带动残疾人家庭生产发展增收实际需求有效衔接、精准契合。</w:t>
      </w:r>
    </w:p>
    <w:p w14:paraId="2099ADA8">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3.</w:t>
      </w:r>
      <w:r>
        <w:rPr>
          <w:rFonts w:hint="eastAsia" w:ascii="Times New Roman" w:eastAsia="仿宋_GB2312"/>
          <w:color w:val="000000"/>
          <w:kern w:val="2"/>
          <w:sz w:val="32"/>
          <w:szCs w:val="32"/>
        </w:rPr>
        <w:t>标准合理。反映政策标准制定合理性，考虑对象、区域、环境、经济发展等因素设定政策标准。</w:t>
      </w:r>
    </w:p>
    <w:p w14:paraId="151666B1">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（五）政策效果</w:t>
      </w:r>
    </w:p>
    <w:p w14:paraId="686DBBD4">
      <w:pPr>
        <w:numPr>
          <w:ilvl w:val="0"/>
          <w:numId w:val="0"/>
        </w:numPr>
        <w:autoSpaceDE/>
        <w:autoSpaceDN/>
        <w:snapToGrid w:val="0"/>
        <w:spacing w:line="576" w:lineRule="exact"/>
        <w:ind w:firstLine="640" w:firstLineChars="200"/>
        <w:jc w:val="both"/>
        <w:rPr>
          <w:rFonts w:hint="default" w:ascii="Times New Roman" w:eastAsia="仿宋_GB2312"/>
          <w:color w:val="000000"/>
          <w:kern w:val="2"/>
          <w:sz w:val="32"/>
          <w:szCs w:val="32"/>
        </w:rPr>
      </w:pPr>
      <w:r>
        <w:rPr>
          <w:rFonts w:hint="default" w:ascii="Times New Roman" w:eastAsia="仿宋_GB2312"/>
          <w:color w:val="000000"/>
          <w:kern w:val="2"/>
          <w:sz w:val="32"/>
          <w:szCs w:val="32"/>
        </w:rPr>
        <w:t>2.</w:t>
      </w:r>
      <w:r>
        <w:rPr>
          <w:rFonts w:hint="eastAsia" w:ascii="Times New Roman" w:eastAsia="仿宋_GB2312"/>
          <w:color w:val="000000"/>
          <w:kern w:val="2"/>
          <w:sz w:val="32"/>
          <w:szCs w:val="32"/>
        </w:rPr>
        <w:t>民生保障类：依据特定农村残疾人就业帮扶基地奖补项目，分配结果公平合理，充分考虑帮扶对象覆盖范围，且就业对象放宽到脱贫残疾人、动态监测户家庭残疾人、低保残疾人、特困残疾人及低保边缘残疾人。加强人员摸底和政策宣讲，政策实施对象中不存在明显不合理的排他性规定等，促进残疾人灵活就业或辐射带动残疾人家庭生产发展，提升了残疾人家庭经济收入，服务对象满意度达到95%及以上。</w:t>
      </w:r>
    </w:p>
    <w:p w14:paraId="0D6A9575">
      <w:pPr>
        <w:numPr>
          <w:ilvl w:val="0"/>
          <w:numId w:val="0"/>
        </w:numPr>
        <w:autoSpaceDE/>
        <w:autoSpaceDN/>
        <w:snapToGrid w:val="0"/>
        <w:spacing w:line="576" w:lineRule="exact"/>
        <w:ind w:firstLine="640" w:firstLineChars="200"/>
        <w:jc w:val="both"/>
        <w:outlineLvl w:val="1"/>
        <w:rPr>
          <w:rFonts w:hint="default" w:ascii="Times New Roman" w:eastAsia="楷体_GB2312"/>
          <w:color w:val="000000"/>
          <w:kern w:val="2"/>
          <w:sz w:val="32"/>
          <w:szCs w:val="32"/>
        </w:rPr>
      </w:pPr>
      <w:r>
        <w:rPr>
          <w:rFonts w:hint="eastAsia" w:ascii="Times New Roman" w:eastAsia="楷体_GB2312"/>
          <w:color w:val="000000"/>
          <w:kern w:val="2"/>
          <w:sz w:val="32"/>
          <w:szCs w:val="32"/>
        </w:rPr>
        <w:t>（六）违规记录</w:t>
      </w:r>
    </w:p>
    <w:p w14:paraId="28CAFDF0">
      <w:pPr>
        <w:numPr>
          <w:ilvl w:val="0"/>
          <w:numId w:val="0"/>
        </w:numPr>
        <w:autoSpaceDE/>
        <w:autoSpaceDN/>
        <w:snapToGrid w:val="0"/>
        <w:spacing w:line="576" w:lineRule="exact"/>
        <w:ind w:firstLine="640" w:firstLineChars="200"/>
        <w:jc w:val="both"/>
        <w:rPr>
          <w:rFonts w:hint="default" w:ascii="Times New Roman" w:eastAsia="仿宋_GB2312"/>
          <w:kern w:val="2"/>
          <w:sz w:val="32"/>
          <w:szCs w:val="32"/>
          <w:lang w:val="zh-CN"/>
        </w:rPr>
      </w:pPr>
      <w:r>
        <w:rPr>
          <w:rFonts w:hint="eastAsia" w:ascii="Times New Roman" w:eastAsia="仿宋_GB2312"/>
          <w:kern w:val="2"/>
          <w:sz w:val="32"/>
          <w:szCs w:val="32"/>
          <w:lang w:val="zh-CN"/>
        </w:rPr>
        <w:t>无</w:t>
      </w:r>
    </w:p>
    <w:p w14:paraId="305FF084">
      <w:pPr>
        <w:numPr>
          <w:ilvl w:val="0"/>
          <w:numId w:val="0"/>
        </w:num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四、存在问题</w:t>
      </w:r>
    </w:p>
    <w:p w14:paraId="76C1B564">
      <w:pPr>
        <w:autoSpaceDE/>
        <w:autoSpaceDN/>
        <w:adjustRightInd/>
        <w:snapToGrid w:val="0"/>
        <w:spacing w:line="576" w:lineRule="exact"/>
        <w:ind w:firstLine="640" w:firstLineChars="200"/>
        <w:jc w:val="both"/>
        <w:rPr>
          <w:rFonts w:hint="default" w:ascii="Times New Roman" w:eastAsia="仿宋_GB2312"/>
          <w:color w:val="000000"/>
          <w:kern w:val="2"/>
          <w:sz w:val="32"/>
          <w:szCs w:val="32"/>
        </w:rPr>
      </w:pPr>
      <w:r>
        <w:rPr>
          <w:rFonts w:hint="eastAsia" w:ascii="Times New Roman" w:eastAsia="仿宋_GB2312"/>
          <w:color w:val="000000"/>
          <w:kern w:val="2"/>
          <w:sz w:val="32"/>
          <w:szCs w:val="32"/>
        </w:rPr>
        <w:t>无</w:t>
      </w:r>
    </w:p>
    <w:p w14:paraId="7BA32F8D">
      <w:pPr>
        <w:numPr>
          <w:ilvl w:val="0"/>
          <w:numId w:val="0"/>
        </w:numPr>
        <w:autoSpaceDE/>
        <w:autoSpaceDN/>
        <w:adjustRightInd/>
        <w:snapToGrid w:val="0"/>
        <w:spacing w:line="576" w:lineRule="exact"/>
        <w:ind w:firstLine="640" w:firstLineChars="200"/>
        <w:jc w:val="both"/>
        <w:outlineLvl w:val="2"/>
        <w:rPr>
          <w:rFonts w:hint="default" w:ascii="Times New Roman" w:eastAsia="黑体"/>
          <w:color w:val="000000"/>
          <w:kern w:val="2"/>
          <w:sz w:val="32"/>
          <w:szCs w:val="32"/>
        </w:rPr>
      </w:pPr>
      <w:r>
        <w:rPr>
          <w:rFonts w:hint="eastAsia" w:ascii="Times New Roman" w:eastAsia="黑体"/>
          <w:color w:val="000000"/>
          <w:kern w:val="2"/>
          <w:sz w:val="32"/>
          <w:szCs w:val="32"/>
        </w:rPr>
        <w:t>五、相关建议</w:t>
      </w:r>
    </w:p>
    <w:p w14:paraId="1CC51A43">
      <w:pPr>
        <w:autoSpaceDE/>
        <w:autoSpaceDN/>
        <w:snapToGrid w:val="0"/>
        <w:spacing w:line="576" w:lineRule="exact"/>
        <w:ind w:firstLine="640" w:firstLineChars="200"/>
        <w:jc w:val="both"/>
        <w:rPr>
          <w:rFonts w:hint="default" w:ascii="Times New Roman" w:eastAsia="仿宋_GB2312"/>
          <w:color w:val="auto"/>
          <w:kern w:val="2"/>
          <w:sz w:val="32"/>
          <w:szCs w:val="32"/>
        </w:rPr>
      </w:pPr>
      <w:r>
        <w:rPr>
          <w:rFonts w:hint="eastAsia" w:ascii="Times New Roman" w:eastAsia="仿宋_GB2312"/>
          <w:color w:val="000000"/>
          <w:kern w:val="2"/>
          <w:sz w:val="32"/>
          <w:szCs w:val="32"/>
        </w:rPr>
        <w:t>无</w:t>
      </w:r>
    </w:p>
    <w:p w14:paraId="6FD9B7E5">
      <w:pPr>
        <w:pStyle w:val="2"/>
        <w:rPr>
          <w:rFonts w:hint="eastAsia" w:ascii="黑体" w:hAnsi="黑体" w:eastAsia="黑体"/>
          <w:kern w:val="2"/>
          <w:sz w:val="36"/>
          <w:szCs w:val="24"/>
          <w:lang w:val="zh-CN"/>
        </w:rPr>
        <w:sectPr>
          <w:pgSz w:w="12240" w:h="15840"/>
          <w:pgMar w:top="2098" w:right="1474" w:bottom="1984" w:left="1587" w:header="720" w:footer="720" w:gutter="0"/>
          <w:lnNumType w:countBy="0" w:distance="360"/>
          <w:cols w:space="720" w:num="1"/>
        </w:sectPr>
      </w:pPr>
    </w:p>
    <w:p w14:paraId="7BF20DBD">
      <w:pPr>
        <w:keepNext/>
        <w:keepLines/>
        <w:pageBreakBefore/>
        <w:spacing w:after="313"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364E4575">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0032838B">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55160E27">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47629AD9">
      <w:pPr>
        <w:pStyle w:val="4"/>
        <w:keepNext/>
        <w:keepLines/>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75DF35D7">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64CE658A">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6DACBF73">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082CB31F">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673F4C2E">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6DA0A523">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4C679447">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02E01EDC">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3522B146">
      <w:pPr>
        <w:spacing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1834">
    <w:pPr>
      <w:pStyle w:val="6"/>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28EE5">
                          <w:pPr>
                            <w:pStyle w:val="6"/>
                            <w:rPr>
                              <w:rFonts w:hint="default" w:hAnsi="宋体" w:cs="宋体"/>
                              <w:sz w:val="28"/>
                              <w:szCs w:val="28"/>
                            </w:rPr>
                          </w:pPr>
                          <w:r>
                            <w:rPr>
                              <w:rFonts w:hint="default" w:hAnsi="宋体" w:cs="宋体"/>
                              <w:sz w:val="28"/>
                              <w:szCs w:val="28"/>
                            </w:rPr>
                            <w:t xml:space="preserve">— </w:t>
                          </w:r>
                          <w:r>
                            <w:rPr>
                              <w:rFonts w:hint="default" w:hAnsi="宋体" w:cs="宋体"/>
                              <w:sz w:val="28"/>
                              <w:szCs w:val="28"/>
                            </w:rPr>
                            <w:fldChar w:fldCharType="begin"/>
                          </w:r>
                          <w:r>
                            <w:rPr>
                              <w:rFonts w:hint="default" w:hAnsi="宋体" w:cs="宋体"/>
                              <w:sz w:val="28"/>
                              <w:szCs w:val="28"/>
                            </w:rPr>
                            <w:instrText xml:space="preserve"> PAGE  \* MERGEFORMAT </w:instrText>
                          </w:r>
                          <w:r>
                            <w:rPr>
                              <w:rFonts w:hint="default" w:hAnsi="宋体" w:cs="宋体"/>
                              <w:sz w:val="28"/>
                              <w:szCs w:val="28"/>
                            </w:rPr>
                            <w:fldChar w:fldCharType="separate"/>
                          </w:r>
                          <w:r>
                            <w:rPr>
                              <w:rFonts w:hint="default" w:hAnsi="宋体" w:cs="宋体"/>
                              <w:sz w:val="28"/>
                              <w:szCs w:val="28"/>
                            </w:rPr>
                            <w:t>4</w:t>
                          </w:r>
                          <w:r>
                            <w:rPr>
                              <w:rFonts w:hint="default" w:hAnsi="宋体" w:cs="宋体"/>
                              <w:sz w:val="28"/>
                              <w:szCs w:val="28"/>
                            </w:rPr>
                            <w:fldChar w:fldCharType="end"/>
                          </w:r>
                          <w:r>
                            <w:rPr>
                              <w:rFonts w:hint="default"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GCXcNIAAAAIAQAADwAAAAAAAAAB&#10;ACAAAAAiAAAAZHJzL2Rvd25yZXYueG1sUEsBAhQAFAAAAAgAh07iQNQ+4/TdAQAAvgMAAA4AAAAA&#10;AAAAAQAgAAAAIQEAAGRycy9lMm9Eb2MueG1sUEsFBgAAAAAGAAYAWQEAAHAFAAAAAA==&#10;">
              <v:fill on="f" focussize="0,0"/>
              <v:stroke on="f"/>
              <v:imagedata o:title=""/>
              <o:lock v:ext="edit" aspectratio="f"/>
              <v:textbox inset="0mm,0mm,0mm,0mm" style="mso-fit-shape-to-text:t;">
                <w:txbxContent>
                  <w:p w14:paraId="49728EE5">
                    <w:pPr>
                      <w:pStyle w:val="6"/>
                      <w:rPr>
                        <w:rFonts w:hint="default" w:hAnsi="宋体" w:cs="宋体"/>
                        <w:sz w:val="28"/>
                        <w:szCs w:val="28"/>
                      </w:rPr>
                    </w:pPr>
                    <w:r>
                      <w:rPr>
                        <w:rFonts w:hint="default" w:hAnsi="宋体" w:cs="宋体"/>
                        <w:sz w:val="28"/>
                        <w:szCs w:val="28"/>
                      </w:rPr>
                      <w:t xml:space="preserve">— </w:t>
                    </w:r>
                    <w:r>
                      <w:rPr>
                        <w:rFonts w:hint="default" w:hAnsi="宋体" w:cs="宋体"/>
                        <w:sz w:val="28"/>
                        <w:szCs w:val="28"/>
                      </w:rPr>
                      <w:fldChar w:fldCharType="begin"/>
                    </w:r>
                    <w:r>
                      <w:rPr>
                        <w:rFonts w:hint="default" w:hAnsi="宋体" w:cs="宋体"/>
                        <w:sz w:val="28"/>
                        <w:szCs w:val="28"/>
                      </w:rPr>
                      <w:instrText xml:space="preserve"> PAGE  \* MERGEFORMAT </w:instrText>
                    </w:r>
                    <w:r>
                      <w:rPr>
                        <w:rFonts w:hint="default" w:hAnsi="宋体" w:cs="宋体"/>
                        <w:sz w:val="28"/>
                        <w:szCs w:val="28"/>
                      </w:rPr>
                      <w:fldChar w:fldCharType="separate"/>
                    </w:r>
                    <w:r>
                      <w:rPr>
                        <w:rFonts w:hint="default" w:hAnsi="宋体" w:cs="宋体"/>
                        <w:sz w:val="28"/>
                        <w:szCs w:val="28"/>
                      </w:rPr>
                      <w:t>4</w:t>
                    </w:r>
                    <w:r>
                      <w:rPr>
                        <w:rFonts w:hint="default" w:hAnsi="宋体" w:cs="宋体"/>
                        <w:sz w:val="28"/>
                        <w:szCs w:val="28"/>
                      </w:rPr>
                      <w:fldChar w:fldCharType="end"/>
                    </w:r>
                    <w:r>
                      <w:rPr>
                        <w:rFonts w:hint="default"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19C63E66"/>
    <w:rsid w:val="2A5F58CE"/>
    <w:rsid w:val="7AEA63AF"/>
    <w:rsid w:val="7FA94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iPriority="0"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3">
    <w:name w:val="heading 1"/>
    <w:basedOn w:val="1"/>
    <w:link w:val="15"/>
    <w:unhideWhenUsed/>
    <w:qFormat/>
    <w:uiPriority w:val="99"/>
    <w:pPr>
      <w:outlineLvl w:val="0"/>
    </w:pPr>
    <w:rPr>
      <w:rFonts w:hint="default"/>
      <w:sz w:val="24"/>
      <w:szCs w:val="24"/>
    </w:rPr>
  </w:style>
  <w:style w:type="paragraph" w:styleId="4">
    <w:name w:val="heading 2"/>
    <w:basedOn w:val="1"/>
    <w:link w:val="12"/>
    <w:unhideWhenUsed/>
    <w:qFormat/>
    <w:uiPriority w:val="99"/>
    <w:pPr>
      <w:outlineLvl w:val="1"/>
    </w:pPr>
    <w:rPr>
      <w:rFonts w:hint="default"/>
      <w:sz w:val="24"/>
      <w:szCs w:val="24"/>
    </w:rPr>
  </w:style>
  <w:style w:type="character" w:default="1" w:styleId="9">
    <w:name w:val="Default Paragraph Font"/>
    <w:unhideWhenUsed/>
    <w:qFormat/>
    <w:uiPriority w:val="99"/>
    <w:rPr>
      <w:rFonts w:hint="default"/>
      <w:sz w:val="24"/>
      <w:szCs w:val="24"/>
    </w:rPr>
  </w:style>
  <w:style w:type="table" w:default="1" w:styleId="8">
    <w:name w:val="Normal Table"/>
    <w:qFormat/>
    <w:uiPriority w:val="0"/>
    <w:tblPr>
      <w:tblCellMar>
        <w:top w:w="0" w:type="dxa"/>
        <w:left w:w="108" w:type="dxa"/>
        <w:bottom w:w="0" w:type="dxa"/>
        <w:right w:w="108" w:type="dxa"/>
      </w:tblCellMar>
    </w:tblPr>
  </w:style>
  <w:style w:type="paragraph" w:styleId="2">
    <w:name w:val="Body Text"/>
    <w:basedOn w:val="1"/>
    <w:link w:val="16"/>
    <w:unhideWhenUsed/>
    <w:qFormat/>
    <w:uiPriority w:val="99"/>
    <w:pPr>
      <w:spacing w:beforeLines="30"/>
    </w:pPr>
    <w:rPr>
      <w:rFonts w:hint="eastAsia" w:ascii="仿宋_GB2312" w:eastAsia="仿宋_GB2312"/>
      <w:sz w:val="30"/>
      <w:szCs w:val="24"/>
    </w:rPr>
  </w:style>
  <w:style w:type="paragraph" w:styleId="5">
    <w:name w:val="index 8"/>
    <w:basedOn w:val="1"/>
    <w:next w:val="1"/>
    <w:unhideWhenUsed/>
    <w:qFormat/>
    <w:uiPriority w:val="0"/>
    <w:pPr>
      <w:ind w:left="2940"/>
    </w:pPr>
    <w:rPr>
      <w:rFonts w:hint="default" w:cs="黑体"/>
      <w:sz w:val="24"/>
      <w:szCs w:val="22"/>
    </w:rPr>
  </w:style>
  <w:style w:type="paragraph" w:styleId="6">
    <w:name w:val="footer"/>
    <w:basedOn w:val="1"/>
    <w:link w:val="18"/>
    <w:unhideWhenUsed/>
    <w:qFormat/>
    <w:uiPriority w:val="99"/>
    <w:pPr>
      <w:tabs>
        <w:tab w:val="center" w:pos="4153"/>
        <w:tab w:val="right" w:pos="8306"/>
      </w:tabs>
      <w:snapToGrid w:val="0"/>
    </w:pPr>
    <w:rPr>
      <w:rFonts w:hint="default"/>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customStyle="1" w:styleId="10">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1">
    <w:name w:val="font21"/>
    <w:basedOn w:val="9"/>
    <w:unhideWhenUsed/>
    <w:qFormat/>
    <w:uiPriority w:val="0"/>
    <w:rPr>
      <w:rFonts w:hint="default" w:ascii="宋体" w:hAnsi="宋体" w:eastAsia="宋体" w:cs="宋体"/>
      <w:color w:val="000000"/>
      <w:sz w:val="18"/>
      <w:szCs w:val="18"/>
    </w:rPr>
  </w:style>
  <w:style w:type="character" w:customStyle="1" w:styleId="12">
    <w:name w:val="标题 2 Char"/>
    <w:basedOn w:val="9"/>
    <w:link w:val="4"/>
    <w:unhideWhenUsed/>
    <w:qFormat/>
    <w:locked/>
    <w:uiPriority w:val="9"/>
    <w:rPr>
      <w:rFonts w:hint="default" w:ascii="宋体" w:hAnsi="Cambria" w:eastAsia="宋体" w:cs="Times New Roman"/>
      <w:b/>
      <w:sz w:val="32"/>
      <w:szCs w:val="32"/>
    </w:rPr>
  </w:style>
  <w:style w:type="character" w:customStyle="1" w:styleId="13">
    <w:name w:val="font51"/>
    <w:basedOn w:val="9"/>
    <w:unhideWhenUsed/>
    <w:qFormat/>
    <w:uiPriority w:val="0"/>
    <w:rPr>
      <w:rFonts w:hint="default" w:ascii="宋体" w:hAnsi="宋体" w:eastAsia="宋体" w:cs="宋体"/>
      <w:color w:val="000000"/>
      <w:sz w:val="18"/>
      <w:szCs w:val="18"/>
    </w:rPr>
  </w:style>
  <w:style w:type="character" w:customStyle="1" w:styleId="14">
    <w:name w:val="font41"/>
    <w:basedOn w:val="9"/>
    <w:unhideWhenUsed/>
    <w:qFormat/>
    <w:uiPriority w:val="0"/>
    <w:rPr>
      <w:rFonts w:hint="default" w:ascii="宋体" w:hAnsi="宋体" w:eastAsia="宋体" w:cs="宋体"/>
      <w:color w:val="000000"/>
      <w:sz w:val="20"/>
      <w:szCs w:val="20"/>
    </w:rPr>
  </w:style>
  <w:style w:type="character" w:customStyle="1" w:styleId="15">
    <w:name w:val="标题 1 Char"/>
    <w:basedOn w:val="9"/>
    <w:link w:val="3"/>
    <w:unhideWhenUsed/>
    <w:qFormat/>
    <w:locked/>
    <w:uiPriority w:val="9"/>
    <w:rPr>
      <w:rFonts w:hint="default" w:cs="Times New Roman"/>
      <w:b/>
      <w:kern w:val="44"/>
      <w:sz w:val="44"/>
      <w:szCs w:val="44"/>
    </w:rPr>
  </w:style>
  <w:style w:type="character" w:customStyle="1" w:styleId="16">
    <w:name w:val="正文文本 Char"/>
    <w:basedOn w:val="9"/>
    <w:link w:val="2"/>
    <w:unhideWhenUsed/>
    <w:qFormat/>
    <w:locked/>
    <w:uiPriority w:val="99"/>
    <w:rPr>
      <w:rFonts w:hint="default" w:cs="Times New Roman"/>
      <w:sz w:val="24"/>
      <w:szCs w:val="24"/>
    </w:rPr>
  </w:style>
  <w:style w:type="character" w:customStyle="1" w:styleId="17">
    <w:name w:val="页眉 Char"/>
    <w:basedOn w:val="9"/>
    <w:link w:val="7"/>
    <w:unhideWhenUsed/>
    <w:qFormat/>
    <w:locked/>
    <w:uiPriority w:val="99"/>
    <w:rPr>
      <w:rFonts w:hint="default" w:cs="Times New Roman"/>
      <w:sz w:val="18"/>
      <w:szCs w:val="18"/>
    </w:rPr>
  </w:style>
  <w:style w:type="character" w:customStyle="1" w:styleId="18">
    <w:name w:val="页脚 Char"/>
    <w:basedOn w:val="9"/>
    <w:link w:val="6"/>
    <w:unhideWhenUsed/>
    <w:qFormat/>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4338</Words>
  <Characters>4816</Characters>
  <TotalTime>0</TotalTime>
  <ScaleCrop>false</ScaleCrop>
  <LinksUpToDate>false</LinksUpToDate>
  <CharactersWithSpaces>4863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2024-09-25T10:51:00Z</dcterms:created>
  <dc:creator>Administrator</dc:creator>
  <cp:lastModifiedBy>昭化融媒体</cp:lastModifiedBy>
  <dcterms:modified xsi:type="dcterms:W3CDTF">2025-06-16T00:49:20Z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94DA2A685F4245D4A7511A74090A0A2F_13</vt:lpwstr>
  </property>
  <property fmtid="{D5CDD505-2E9C-101B-9397-08002B2CF9AE}" pid="4" name="KSOTemplateDocerSaveRecord">
    <vt:lpwstr>eyJoZGlkIjoiMGVhYTg4NGNkZWJkODFjNzcyZDRjM2M4Y2UzNjI5ZmUiLCJ1c2VySWQiOiI2MTE2MzEwMDYifQ==</vt:lpwstr>
  </property>
</Properties>
</file>