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eastAsia="方正小标宋简体" w:cs="Times New Roman"/>
          <w:b w:val="0"/>
          <w:bCs w:val="0"/>
          <w:i w:val="0"/>
          <w:caps w:val="0"/>
          <w:color w:val="000000" w:themeColor="text1"/>
          <w:spacing w:val="0"/>
          <w:sz w:val="44"/>
          <w:szCs w:val="44"/>
          <w:highlight w:val="none"/>
          <w:lang w:val="en-US"/>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广元市昭化区残疾人联合会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hint="default" w:ascii="Times New Roman" w:hAnsi="Times New Roman" w:eastAsia="宋体" w:cs="Times New Roman"/>
          <w:color w:val="auto"/>
          <w:kern w:val="2"/>
          <w:sz w:val="21"/>
          <w:szCs w:val="24"/>
          <w:lang w:val="en-US" w:eastAsia="zh-CN" w:bidi="ar-SA"/>
        </w:rPr>
        <w:id w:val="147455675"/>
        <w15:color w:val="DBDBDB"/>
        <w:docPartObj>
          <w:docPartGallery w:val="Table of Contents"/>
          <w:docPartUnique/>
        </w:docPartObj>
      </w:sdtPr>
      <w:sdtEndPr>
        <w:rPr>
          <w:rFonts w:hint="default" w:ascii="Times New Roman" w:hAnsi="Times New Roman" w:eastAsia="宋体" w:cs="Times New Roman"/>
          <w:color w:val="auto"/>
          <w:kern w:val="2"/>
          <w:sz w:val="21"/>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rPr>
              <w:rFonts w:hint="default" w:ascii="Times New Roman" w:hAnsi="Times New Roman" w:cs="Times New Roman"/>
              <w:sz w:val="32"/>
              <w:szCs w:val="32"/>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_Toc10133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_Toc10133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_Toc31290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_Toc31290 \h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_Toc9643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_Toc9643 \h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_Toc616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_Toc616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_Toc13173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_Toc13173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_Toc23856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_Toc23856 \h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_Toc12621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_Toc12621 \h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_Toc26945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_Toc26945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_Toc27635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_Toc27635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_Toc19936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_Toc19936 \h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_Toc27901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_Toc27901 \h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_Toc30761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_Toc30761 \h </w:instrTex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_Toc14217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_Toc14217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_Toc18284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_Toc18284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_Toc7082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_Toc7082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_Toc2410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_Toc2410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_Toc24113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_Toc24113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12</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jc w:val="both"/>
            <w:textAlignment w:val="auto"/>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_Toc11640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_Toc11640 \h </w:instrTex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12</w:t>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default" w:ascii="Times New Roman" w:hAnsi="Times New Roman" w:eastAsia="黑体"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76" w:lineRule="exact"/>
            <w:ind w:left="0"/>
            <w:textAlignment w:val="auto"/>
            <w:rPr>
              <w:rFonts w:hint="default" w:ascii="Times New Roman" w:hAnsi="Times New Roman" w:cs="Times New Roman"/>
            </w:rPr>
          </w:pPr>
          <w:r>
            <w:rPr>
              <w:rFonts w:hint="default" w:ascii="Times New Roman" w:hAnsi="Times New Roman" w:cs="Times New Roman"/>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黑体" w:cs="Times New Roman"/>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bookmarkStart w:id="0" w:name="_Toc10133"/>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1"/>
        <w:rPr>
          <w:rFonts w:hint="default" w:ascii="Times New Roman" w:hAnsi="Times New Roman" w:eastAsia="楷体_GB2312" w:cs="Times New Roman"/>
          <w:sz w:val="32"/>
          <w:szCs w:val="32"/>
        </w:rPr>
      </w:pPr>
      <w:bookmarkStart w:id="1" w:name="_Toc31290"/>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广元市昭化区残疾人联合会</w:t>
      </w:r>
      <w:r>
        <w:rPr>
          <w:rFonts w:hint="default" w:ascii="Times New Roman" w:hAnsi="Times New Roman" w:eastAsia="楷体_GB2312" w:cs="Times New Roman"/>
          <w:sz w:val="32"/>
          <w:szCs w:val="32"/>
        </w:rPr>
        <w:t>职能简介</w:t>
      </w:r>
      <w:bookmarkEnd w:id="1"/>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1、听取残疾人意见，反映残疾人需求，维护残疾人权益，为残疾人服务。</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2、团结、教育残疾人遵守法律，履行应尽的义务，发挥乐观进取精神，自尊、自信、自强、自立，为社会主义主义建设贡献力量。</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3、弘扬人道主义，宣传残疾人事业，沟通政府、社会与残疾人之间的联系。</w:t>
      </w:r>
      <w:bookmarkStart w:id="18" w:name="_GoBack"/>
      <w:bookmarkEnd w:id="18"/>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4、开展残疾人康复、扶贫、教育、劳动就业、文化体育用品供应、社会福利等。</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5、协助政府研究、制定和实施残疾人事业政策、规定和计划，起草有关保障残疾人权益的法律法规，调查掌握残疾人状况。</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6、承担区人民政府残疾人工作协调委员会的日常工作，做好综合、组织、协调和服务工作。</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7、组织实施残疾人按比例就业</w:t>
      </w:r>
      <w:r>
        <w:rPr>
          <w:rFonts w:hint="default" w:ascii="Times New Roman" w:hAnsi="Times New Roman" w:eastAsia="仿宋_GB2312" w:cs="Times New Roman"/>
          <w:color w:val="auto"/>
          <w:sz w:val="32"/>
          <w:szCs w:val="32"/>
          <w:lang w:eastAsia="zh-CN"/>
        </w:rPr>
        <w:t>联网</w:t>
      </w:r>
      <w:r>
        <w:rPr>
          <w:rFonts w:hint="default" w:ascii="Times New Roman" w:hAnsi="Times New Roman" w:eastAsia="仿宋_GB2312" w:cs="Times New Roman"/>
          <w:color w:val="auto"/>
          <w:sz w:val="32"/>
          <w:szCs w:val="32"/>
        </w:rPr>
        <w:t>工作，组织管理残疾人福利企业，会同有关部门制定并监督实施残疾人社会福利的扶持保护政策。</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eastAsia="zh-CN"/>
        </w:rPr>
        <w:t>指导</w:t>
      </w:r>
      <w:r>
        <w:rPr>
          <w:rFonts w:hint="default" w:ascii="Times New Roman" w:hAnsi="Times New Roman" w:eastAsia="仿宋_GB2312" w:cs="Times New Roman"/>
          <w:color w:val="auto"/>
          <w:sz w:val="32"/>
          <w:szCs w:val="32"/>
        </w:rPr>
        <w:t>和管理残疾人社会组织。</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9、统筹和管理残疾人事业的对外募捐活动。</w:t>
      </w:r>
    </w:p>
    <w:p>
      <w:pPr>
        <w:keepNext w:val="0"/>
        <w:keepLines w:val="0"/>
        <w:pageBreakBefore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残疾人事业的对外合作与交流。</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color w:val="auto"/>
          <w:sz w:val="32"/>
          <w:szCs w:val="32"/>
        </w:rPr>
        <w:t>11、承办区政府和上级残联</w:t>
      </w:r>
      <w:r>
        <w:rPr>
          <w:rFonts w:hint="default" w:ascii="Times New Roman" w:hAnsi="Times New Roman" w:eastAsia="仿宋_GB2312" w:cs="Times New Roman"/>
          <w:color w:val="auto"/>
          <w:sz w:val="32"/>
          <w:szCs w:val="32"/>
          <w:lang w:eastAsia="zh-CN"/>
        </w:rPr>
        <w:t>交办</w:t>
      </w:r>
      <w:r>
        <w:rPr>
          <w:rFonts w:hint="default" w:ascii="Times New Roman" w:hAnsi="Times New Roman" w:eastAsia="仿宋_GB2312" w:cs="Times New Roman"/>
          <w:color w:val="auto"/>
          <w:sz w:val="32"/>
          <w:szCs w:val="32"/>
        </w:rPr>
        <w:t>的其他工作。</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1"/>
        <w:rPr>
          <w:rFonts w:hint="default" w:ascii="Times New Roman" w:hAnsi="Times New Roman" w:eastAsia="楷体_GB2312" w:cs="Times New Roman"/>
          <w:sz w:val="32"/>
          <w:szCs w:val="32"/>
        </w:rPr>
      </w:pPr>
      <w:bookmarkStart w:id="2" w:name="_Toc9643"/>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广元市昭化区残疾人联合会</w:t>
      </w:r>
      <w:r>
        <w:rPr>
          <w:rFonts w:hint="default" w:ascii="Times New Roman" w:hAnsi="Times New Roman" w:eastAsia="楷体_GB2312" w:cs="Times New Roman"/>
          <w:sz w:val="32"/>
          <w:szCs w:val="32"/>
          <w:lang w:val="en-US"/>
        </w:rPr>
        <w:t>2024</w:t>
      </w:r>
      <w:r>
        <w:rPr>
          <w:rFonts w:hint="default" w:ascii="Times New Roman" w:hAnsi="Times New Roman" w:eastAsia="楷体_GB2312" w:cs="Times New Roman"/>
          <w:sz w:val="32"/>
          <w:szCs w:val="32"/>
        </w:rPr>
        <w:t>年重点工作</w:t>
      </w:r>
      <w:bookmarkEnd w:id="2"/>
    </w:p>
    <w:p>
      <w:pPr>
        <w:pStyle w:val="10"/>
        <w:keepNext w:val="0"/>
        <w:keepLines w:val="0"/>
        <w:pageBreakBefore w:val="0"/>
        <w:widowControl/>
        <w:suppressLineNumbers w:val="0"/>
        <w:kinsoku/>
        <w:wordWrap/>
        <w:overflowPunct/>
        <w:topLinePunct w:val="0"/>
        <w:autoSpaceDE/>
        <w:autoSpaceDN/>
        <w:bidi w:val="0"/>
        <w:adjustRightInd/>
        <w:snapToGrid/>
        <w:spacing w:line="554" w:lineRule="exact"/>
        <w:ind w:left="0" w:firstLine="640" w:firstLineChars="200"/>
        <w:jc w:val="left"/>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楷体_GB2312" w:cs="Times New Roman"/>
          <w:color w:val="auto"/>
          <w:kern w:val="2"/>
          <w:sz w:val="32"/>
          <w:szCs w:val="32"/>
          <w:lang w:val="en-US" w:eastAsia="zh-CN" w:bidi="ar-SA"/>
        </w:rPr>
        <w:t>1、</w:t>
      </w:r>
      <w:r>
        <w:rPr>
          <w:rFonts w:hint="default" w:ascii="Times New Roman" w:hAnsi="Times New Roman" w:eastAsia="楷体_GB2312" w:cs="Times New Roman"/>
          <w:color w:val="auto"/>
          <w:kern w:val="2"/>
          <w:sz w:val="32"/>
          <w:szCs w:val="32"/>
          <w:lang w:val="en-US" w:eastAsia="zh-CN" w:bidi="ar-SA"/>
        </w:rPr>
        <w:t>始终保持残疾人事业发展正确政治方向</w:t>
      </w:r>
    </w:p>
    <w:p>
      <w:pPr>
        <w:pStyle w:val="10"/>
        <w:keepNext w:val="0"/>
        <w:keepLines w:val="0"/>
        <w:pageBreakBefore w:val="0"/>
        <w:widowControl/>
        <w:suppressLineNumbers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深学细悟党的创新理论。始终把学习习近平新时代中国特色社会主义思想作为首要政治任务，持续推动习近平总书记</w:t>
      </w:r>
      <w:r>
        <w:rPr>
          <w:rFonts w:hint="default" w:ascii="Times New Roman" w:hAnsi="Times New Roman" w:eastAsia="仿宋_GB2312" w:cs="Times New Roman"/>
          <w:color w:val="auto"/>
          <w:sz w:val="32"/>
          <w:szCs w:val="32"/>
          <w:lang w:eastAsia="zh-CN"/>
        </w:rPr>
        <w:t>来川来广视察重要指示精神和</w:t>
      </w:r>
      <w:r>
        <w:rPr>
          <w:rFonts w:hint="default" w:ascii="Times New Roman" w:hAnsi="Times New Roman" w:eastAsia="仿宋_GB2312" w:cs="Times New Roman"/>
          <w:color w:val="auto"/>
          <w:sz w:val="32"/>
          <w:szCs w:val="32"/>
        </w:rPr>
        <w:t>关于</w:t>
      </w:r>
      <w:r>
        <w:rPr>
          <w:rFonts w:hint="default" w:ascii="Times New Roman" w:hAnsi="Times New Roman" w:eastAsia="仿宋_GB2312" w:cs="Times New Roman"/>
          <w:color w:val="auto"/>
          <w:sz w:val="32"/>
          <w:szCs w:val="32"/>
          <w:lang w:eastAsia="zh-CN"/>
        </w:rPr>
        <w:t>残疾人</w:t>
      </w:r>
      <w:r>
        <w:rPr>
          <w:rFonts w:hint="default" w:ascii="Times New Roman" w:hAnsi="Times New Roman" w:eastAsia="仿宋_GB2312" w:cs="Times New Roman"/>
          <w:color w:val="auto"/>
          <w:sz w:val="32"/>
          <w:szCs w:val="32"/>
        </w:rPr>
        <w:t>工作的重要论述精神落地生根。严格落实“第一议题”制度，巩固拓展主题教育成果，建立健全长效机制，教育引导</w:t>
      </w:r>
      <w:r>
        <w:rPr>
          <w:rFonts w:hint="default" w:ascii="Times New Roman" w:hAnsi="Times New Roman" w:eastAsia="仿宋_GB2312" w:cs="Times New Roman"/>
          <w:color w:val="auto"/>
          <w:sz w:val="32"/>
          <w:szCs w:val="32"/>
          <w:lang w:eastAsia="zh-CN"/>
        </w:rPr>
        <w:t>残联</w:t>
      </w:r>
      <w:r>
        <w:rPr>
          <w:rFonts w:hint="default" w:ascii="Times New Roman" w:hAnsi="Times New Roman" w:eastAsia="仿宋_GB2312" w:cs="Times New Roman"/>
          <w:color w:val="auto"/>
          <w:sz w:val="32"/>
          <w:szCs w:val="32"/>
        </w:rPr>
        <w:t>系统党员干部坚定拥护“两个确立”、坚决做到“两个维护”，持续推动党的创新理论入脑、入心、入行。</w:t>
      </w:r>
    </w:p>
    <w:p>
      <w:pPr>
        <w:pStyle w:val="10"/>
        <w:keepNext w:val="0"/>
        <w:keepLines w:val="0"/>
        <w:pageBreakBefore w:val="0"/>
        <w:widowControl/>
        <w:suppressLineNumbers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切实加强全面从严治党。深刻领会习近平总书记关于党的自我革命的重要思想，认真履行全面从严治党主体责任，把全面从严治党贯穿到</w:t>
      </w:r>
      <w:r>
        <w:rPr>
          <w:rFonts w:hint="default" w:ascii="Times New Roman" w:hAnsi="Times New Roman" w:eastAsia="仿宋_GB2312" w:cs="Times New Roman"/>
          <w:color w:val="auto"/>
          <w:sz w:val="32"/>
          <w:szCs w:val="32"/>
          <w:lang w:eastAsia="zh-CN"/>
        </w:rPr>
        <w:t>残联</w:t>
      </w:r>
      <w:r>
        <w:rPr>
          <w:rFonts w:hint="default" w:ascii="Times New Roman" w:hAnsi="Times New Roman" w:eastAsia="仿宋_GB2312" w:cs="Times New Roman"/>
          <w:color w:val="auto"/>
          <w:sz w:val="32"/>
          <w:szCs w:val="32"/>
        </w:rPr>
        <w:t>工作各环节、全过程，以坚强有力的党建引领保障各项民生实事落地见效。牢牢把握</w:t>
      </w:r>
      <w:r>
        <w:rPr>
          <w:rFonts w:hint="default" w:ascii="Times New Roman" w:hAnsi="Times New Roman" w:eastAsia="仿宋_GB2312" w:cs="Times New Roman"/>
          <w:color w:val="auto"/>
          <w:sz w:val="32"/>
          <w:szCs w:val="32"/>
          <w:lang w:eastAsia="zh-CN"/>
        </w:rPr>
        <w:t>残联</w:t>
      </w:r>
      <w:r>
        <w:rPr>
          <w:rFonts w:hint="default" w:ascii="Times New Roman" w:hAnsi="Times New Roman" w:eastAsia="仿宋_GB2312" w:cs="Times New Roman"/>
          <w:color w:val="auto"/>
          <w:sz w:val="32"/>
          <w:szCs w:val="32"/>
        </w:rPr>
        <w:t>工作的政治属性，严明政治纪律和政治规矩，严肃党内政治生活，培育积极健康的党内政治文化，不断涵养风清气正的政治生态。</w:t>
      </w:r>
    </w:p>
    <w:p>
      <w:pPr>
        <w:pStyle w:val="10"/>
        <w:keepNext w:val="0"/>
        <w:keepLines w:val="0"/>
        <w:pageBreakBefore w:val="0"/>
        <w:widowControl/>
        <w:suppressLineNumbers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加强党风廉政建设。切实履行全面从严治党主体责任，坚持以严的基调强化正风肃纪，一体推进不敢腐、不能腐、不想腐，营造风清气正的政治生态。全面加强党的纪律建设，强化对“一把手”及其他班子成员的监督，督促领导干部严于律己、严负其责、严管所辖。坚持把纪律规矩挺在前面，综合运用监督执纪“四种形态”，立足抓早抓小、防微杜渐。强化源头治理，抓好廉政风险防控和重点岗位监管。深入贯彻中央八项规定及其实施细则精神，结合</w:t>
      </w:r>
      <w:r>
        <w:rPr>
          <w:rFonts w:hint="default" w:ascii="Times New Roman" w:hAnsi="Times New Roman" w:eastAsia="仿宋_GB2312" w:cs="Times New Roman"/>
          <w:color w:val="auto"/>
          <w:sz w:val="32"/>
          <w:szCs w:val="32"/>
          <w:lang w:eastAsia="zh-CN"/>
        </w:rPr>
        <w:t>残联</w:t>
      </w:r>
      <w:r>
        <w:rPr>
          <w:rFonts w:hint="default" w:ascii="Times New Roman" w:hAnsi="Times New Roman" w:eastAsia="仿宋_GB2312" w:cs="Times New Roman"/>
          <w:color w:val="auto"/>
          <w:sz w:val="32"/>
          <w:szCs w:val="32"/>
        </w:rPr>
        <w:t>实际，组织开展纠“四风”树新风专项行动。加强新时代</w:t>
      </w:r>
      <w:r>
        <w:rPr>
          <w:rFonts w:hint="default" w:ascii="Times New Roman" w:hAnsi="Times New Roman" w:eastAsia="仿宋_GB2312" w:cs="Times New Roman"/>
          <w:color w:val="auto"/>
          <w:sz w:val="32"/>
          <w:szCs w:val="32"/>
          <w:lang w:eastAsia="zh-CN"/>
        </w:rPr>
        <w:t>残联</w:t>
      </w:r>
      <w:r>
        <w:rPr>
          <w:rFonts w:hint="default" w:ascii="Times New Roman" w:hAnsi="Times New Roman" w:eastAsia="仿宋_GB2312" w:cs="Times New Roman"/>
          <w:color w:val="auto"/>
          <w:sz w:val="32"/>
          <w:szCs w:val="32"/>
        </w:rPr>
        <w:t>廉洁文化建设，坚持党性党风党纪一起抓，教育引导广大党员、干部涵养廉洁奉公的思想根基和道德操守，不断增强拒腐防变的思想意识。</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val="en-US" w:eastAsia="zh-CN"/>
        </w:rPr>
        <w:t>强化残疾人社会保障和关爱服务体系建设</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持续巩固拓展残疾人脱贫攻坚成果。加大工作力度，主动融入全面推进乡村振兴，聚焦“巩固拓展脱贫攻坚成果同乡村振兴有效衔接、确保不发生规模性返贫”这个底线，做好易返贫致贫残疾人数据比对分析，精准掌握监测范围内残疾人困难需求，发现存在返贫致贫风险的残疾人家庭，及时向乡村振兴部门反映。开展“单位包村、个人保户”活动和残疾人证上门办理活动。</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落实残疾人社会保障政策。配合民政部门做好残疾人两项补贴审核工作，进一步常态化做好残疾人证到期换证工作，落实残疾人证到（逾）期通知提醒，提前6个月通知残疾人到期换证。</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扩大重度残疾人托养照护服务供给。持续完善就业年龄段智力、精神和重度肢体残疾人托养服务项目，稳步提高托养服务覆盖率。推进残疾人托养服务设施体系建设，加强托养服务机构培育、指导、监管，促进托养服务机构专业化水平提升。</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t>着力促进残疾人就业创业增收</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全面深化促进残疾人就业三年行动（2022—2024年）。联动社会力量、整合各方面资源，深化促进残疾人就业三年行动。持续推动昭化区机关事业单位、国有企业带头安置残疾人就业。加强民营企业残疾人用工服务，指导民营企业开发适残岗位安排残疾人就业。</w:t>
      </w:r>
    </w:p>
    <w:p>
      <w:pPr>
        <w:pStyle w:val="10"/>
        <w:keepNext w:val="0"/>
        <w:keepLines w:val="0"/>
        <w:pageBreakBefore w:val="0"/>
        <w:widowControl/>
        <w:suppressLineNumbers w:val="0"/>
        <w:kinsoku/>
        <w:wordWrap/>
        <w:overflowPunct/>
        <w:topLinePunct w:val="0"/>
        <w:autoSpaceDE/>
        <w:autoSpaceDN/>
        <w:bidi w:val="0"/>
        <w:adjustRightInd/>
        <w:snapToGrid/>
        <w:spacing w:line="554" w:lineRule="exact"/>
        <w:ind w:left="0" w:firstLine="64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拓宽残疾人就业途径。</w:t>
      </w:r>
      <w:r>
        <w:rPr>
          <w:rFonts w:hint="default" w:ascii="Times New Roman" w:hAnsi="Times New Roman" w:eastAsia="仿宋_GB2312" w:cs="Times New Roman"/>
          <w:sz w:val="32"/>
          <w:szCs w:val="32"/>
          <w:shd w:val="clear" w:fill="FFFFFF"/>
        </w:rPr>
        <w:t>积极对接</w:t>
      </w:r>
      <w:r>
        <w:rPr>
          <w:rFonts w:hint="default" w:ascii="Times New Roman" w:hAnsi="Times New Roman" w:eastAsia="仿宋_GB2312" w:cs="Times New Roman"/>
          <w:sz w:val="32"/>
          <w:szCs w:val="32"/>
          <w:shd w:val="clear" w:fill="FFFFFF"/>
          <w:lang w:eastAsia="zh-CN"/>
        </w:rPr>
        <w:t>区人力资源社会保障局</w:t>
      </w:r>
      <w:r>
        <w:rPr>
          <w:rFonts w:hint="default" w:ascii="Times New Roman" w:hAnsi="Times New Roman" w:eastAsia="仿宋_GB2312" w:cs="Times New Roman"/>
          <w:sz w:val="32"/>
          <w:szCs w:val="32"/>
          <w:shd w:val="clear" w:fill="FFFFFF"/>
        </w:rPr>
        <w:t>、</w:t>
      </w:r>
      <w:r>
        <w:rPr>
          <w:rFonts w:hint="default" w:ascii="Times New Roman" w:hAnsi="Times New Roman" w:eastAsia="仿宋_GB2312" w:cs="Times New Roman"/>
          <w:sz w:val="32"/>
          <w:szCs w:val="32"/>
          <w:shd w:val="clear" w:fill="FFFFFF"/>
          <w:lang w:eastAsia="zh-CN"/>
        </w:rPr>
        <w:t>区</w:t>
      </w:r>
      <w:r>
        <w:rPr>
          <w:rFonts w:hint="default" w:ascii="Times New Roman" w:hAnsi="Times New Roman" w:eastAsia="仿宋_GB2312" w:cs="Times New Roman"/>
          <w:sz w:val="32"/>
          <w:szCs w:val="32"/>
          <w:shd w:val="clear" w:fill="FFFFFF"/>
        </w:rPr>
        <w:t>民政局、相关企业、爱心人士等，了解</w:t>
      </w:r>
      <w:r>
        <w:rPr>
          <w:rFonts w:hint="default" w:ascii="Times New Roman" w:hAnsi="Times New Roman" w:eastAsia="仿宋_GB2312" w:cs="Times New Roman"/>
          <w:sz w:val="32"/>
          <w:szCs w:val="32"/>
          <w:shd w:val="clear" w:fill="FFFFFF"/>
          <w:lang w:eastAsia="zh-CN"/>
        </w:rPr>
        <w:t>区</w:t>
      </w:r>
      <w:r>
        <w:rPr>
          <w:rFonts w:hint="default" w:ascii="Times New Roman" w:hAnsi="Times New Roman" w:eastAsia="仿宋_GB2312" w:cs="Times New Roman"/>
          <w:sz w:val="32"/>
          <w:szCs w:val="32"/>
          <w:shd w:val="clear" w:fill="FFFFFF"/>
        </w:rPr>
        <w:t>内外企业工作岗位需求信息，及时推送给残疾人。</w:t>
      </w:r>
      <w:r>
        <w:rPr>
          <w:rFonts w:hint="default" w:ascii="Times New Roman" w:hAnsi="Times New Roman" w:eastAsia="仿宋_GB2312" w:cs="Times New Roman"/>
          <w:sz w:val="32"/>
          <w:szCs w:val="32"/>
          <w:shd w:val="clear" w:fill="FFFFFF"/>
          <w:lang w:eastAsia="zh-CN"/>
        </w:rPr>
        <w:t>通过春风送暖、就业援助月活动</w:t>
      </w:r>
      <w:r>
        <w:rPr>
          <w:rFonts w:hint="default" w:ascii="Times New Roman" w:hAnsi="Times New Roman" w:eastAsia="仿宋_GB2312" w:cs="Times New Roman"/>
          <w:sz w:val="32"/>
          <w:szCs w:val="32"/>
          <w:shd w:val="clear" w:fill="FFFFFF"/>
        </w:rPr>
        <w:t>开展残疾人</w:t>
      </w:r>
      <w:r>
        <w:rPr>
          <w:rFonts w:hint="default" w:ascii="Times New Roman" w:hAnsi="Times New Roman" w:eastAsia="仿宋_GB2312" w:cs="Times New Roman"/>
          <w:sz w:val="32"/>
          <w:szCs w:val="32"/>
          <w:shd w:val="clear" w:fill="FFFFFF"/>
          <w:lang w:eastAsia="zh-CN"/>
        </w:rPr>
        <w:t>专场招聘会，推介残疾人就近就便就业</w:t>
      </w:r>
      <w:r>
        <w:rPr>
          <w:rFonts w:hint="default" w:ascii="Times New Roman" w:hAnsi="Times New Roman" w:eastAsia="仿宋_GB2312" w:cs="Times New Roman"/>
          <w:sz w:val="32"/>
          <w:szCs w:val="32"/>
          <w:shd w:val="clear" w:fill="FFFFFF"/>
        </w:rPr>
        <w:t>。</w:t>
      </w:r>
      <w:r>
        <w:rPr>
          <w:rFonts w:hint="default" w:ascii="Times New Roman" w:hAnsi="Times New Roman" w:cs="Times New Roman"/>
          <w:shd w:val="clear" w:fill="FFFFFF"/>
        </w:rPr>
        <w:t xml:space="preserve"> </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提升残疾人职业能力，强化残疾人就业创业指导。加强残疾人职业技能培训，以“土洋结合”的方式开展职业技能培训、农村实用技术培训等项目。针对不同残疾类别、年龄、重点保障群体开展就业指导，制定“一人一策”就业帮扶方案，精细化就业服务，着力解决残疾人就业困难问题。</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t>大力推进康复服务水平提升</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持续实施残疾人精准康复服务行动。坚持全生命周期、全流程服务理念，分类别、分程度、分层级推进残疾人康复服务工作，推进康复项目融合实施。为符合条件的0—6岁残疾儿童（脑瘫儿童可放宽到12岁）提供康复救助服务，为7岁以上的残疾人提供基本康复服务。探索实施残疾人辅助器具补贴制度。落实残疾人家庭医生签约增值服务，加大残疾人就医便利机构的培育，做好精神残疾人门诊服药补贴和残疾人医保参保资助工作。</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提升康复机构服务质量。大力培育“康教融合”和“医康结合”定点康复机构，加强定点康复机构规范化建设与管理，开展康复机构业务规范化建设评估。促进康复专业技术骨干师资和一线康复专业人员规范化培训。</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全面加强残疾预防和防残知识宣传。建立完善残疾早预防、早发现、早干预、早康复联动机制。强化宣传教育，精心谋划并组织开展残疾预防日、爱耳日等宣传教育活动，提升全社会残疾预防意识。进一步健全部门协调联动工作机制，实施重点预防行动，推进残疾预防科技创新、机制创新。</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持续深化教体文全面发展</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分类实施残疾人特殊教育提升行动。全面摸排掌握残疾学生情况，建立残疾人学生教育台账，分门别类做到情况清、底数明、数据准，及时向教育部门反映有关情况，推动解决智力和孤独症残疾儿童少年就近就便入学，不断满足残疾人教育需求。积极发展学前特殊教育，保障适龄儿童少年入学，确保入学率达95%以上。</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加大残疾人教育支持资助力度。为残疾学生参加各类考试提供合理便利等服务。实施残疾人大学生和残疾人家庭大学生新生资助制度。</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全面开展残疾人体育健身运动。加大残疾人自强健身示范点改造升级。强化残疾人体育健身宣传，提高残疾人体育的社会知晓度。摸排有运动潜能的体育人才，建立残疾人运动员台账，积极参加各级各类体育赛事。协同文体部门和残疾人柔力球协会，做好残疾人柔力球体育运动推广，鼓励更多残疾人参与柔力球赛事。争取挂牌“四川省残疾人柔力球协会”。争取“全省残疾人柔力球培训项目”在昭化区落地。</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提升残疾人文化事业发展水平。加大特殊文艺人才培养和品牌打造力度，推动残疾人作品、产品走向市场。实施残疾人文化“五个一”项目。组织参加省市残联各种文化活动。加快推广国家通用手语和国家通用盲文。</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lang w:val="en-US" w:eastAsia="zh-CN"/>
        </w:rPr>
        <w:t>全面优化残疾人事业发展社会环境</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提升残疾人权益保障水平。深入学习贯彻习近平法治思想，依法发展残疾人事业，依法保障残疾人权益。积极开展残联系统普法工作，提升残疾人法律救助服务质量。紧紧抓住残疾人涉法涉诉问题不放松，力求在扶残助残和信访维稳上取得新成效。学习宣传贯彻《信访工作条例》，畅通残疾人信访渠道，做好来信来电来访、12345热线办理等工作，深入开展残疾人矛盾纠纷排查。加大特护期值班备勤</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建立突发事件应急处置机制</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维护残疾人稳定。</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推进无障碍环境建设。协调有关部门推进无障碍环境建设和信息化无障碍，不断加强公共场所无障碍设施建设，推进落实《无障碍环境建设法》，积极开展无障碍环境建设宣传活动，进一步健全无障碍环境建设推进工作机制。加强困难残疾人家庭无障碍改造，着力提升残疾人家庭无障碍改造质量和水平。</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构建残疾人事业发展氛围。拓展社会志愿服务建设，积极倡导志愿助残活动，鼓励和引导社会组织参与助残服务，结合“全国助残日”和“国际残疾人日”等节日开展主题活动，大力开展“志愿助残”等群众性活动。创新宣传方式</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拓展宣传阵地</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运用新媒体平台做好残疾人事业宣传工作。结合重大活动和重要节点，宣传残疾人事业取得的成就，传播好残疾人自强声音、展示残疾人自强不息的精神风貌。加强残联政务建设，协助市区级主流媒体，宣传好党和政府对残疾人事业发展的高度重视和对残疾人群众的关心关爱，解读好党和政府“十四五”时期保障和发展残疾人事业的各项措施。</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守住安全底线。强化忧患意识，树立底线思维，深入排查风险隐患，始终把残疾人生命安全和身体健康放在第一位，认真落实安全生产各项要求。加强对残疾人服务机构督导检查，督促落实安全生产责任制，加强应急能力建设。</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不断提升残联组织能力水平</w:t>
      </w:r>
    </w:p>
    <w:p>
      <w:pPr>
        <w:keepNext w:val="0"/>
        <w:keepLines w:val="0"/>
        <w:pageBreakBefore w:val="0"/>
        <w:kinsoku/>
        <w:wordWrap/>
        <w:overflowPunct/>
        <w:topLinePunct w:val="0"/>
        <w:autoSpaceDE/>
        <w:autoSpaceDN/>
        <w:bidi w:val="0"/>
        <w:adjustRightInd/>
        <w:snapToGrid/>
        <w:spacing w:line="554"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完善基层队伍建设。持续巩固镇残联、村（社区）残协建设成果。加强各级专门协会的组织建设、能力建设，活跃协会工作。发挥专职委员在线平台作用，加强基层残疾人工作者综合能力培训，加强对基层残联考核，进一步提升基层残疾人工作者服务能力。</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eastAsia="zh-CN"/>
        </w:rPr>
        <w:t>提升残疾人事业治理效能。培育壮大助残志愿者队伍，丰富志愿助残服务形式。继续开展持证残疾人基本状况调查，提升数据质量，推动数据调查利用与促进服务供给相结合。提升财务管理水平，规范内部控制，提高资金使用效益。</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3" w:name="_Toc616"/>
      <w:r>
        <w:rPr>
          <w:rFonts w:hint="default" w:ascii="Times New Roman" w:hAnsi="Times New Roman" w:eastAsia="黑体" w:cs="Times New Roman"/>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广元市昭化区残疾人联合会下属二级预算单位1个，其中行政单位0个，参照公务员法管理的事业单位0个，其他事业单位1个，</w:t>
      </w:r>
      <w:r>
        <w:rPr>
          <w:rFonts w:hint="default" w:ascii="Times New Roman" w:hAnsi="Times New Roman" w:eastAsia="仿宋_GB2312" w:cs="Times New Roman"/>
          <w:color w:val="auto"/>
          <w:sz w:val="32"/>
          <w:szCs w:val="32"/>
          <w:highlight w:val="none"/>
          <w:lang w:eastAsia="zh-CN"/>
        </w:rPr>
        <w:t>下属二级单位未单独编报预算</w:t>
      </w:r>
      <w:r>
        <w:rPr>
          <w:rFonts w:hint="default" w:ascii="Times New Roman" w:hAnsi="Times New Roman" w:eastAsia="仿宋_GB2312" w:cs="Times New Roman"/>
          <w:sz w:val="32"/>
          <w:szCs w:val="32"/>
          <w:highlight w:val="none"/>
          <w:lang w:val="en-US" w:eastAsia="zh-CN"/>
        </w:rPr>
        <w:t>。主要包括：</w:t>
      </w:r>
      <w:r>
        <w:rPr>
          <w:rFonts w:hint="default" w:ascii="Times New Roman" w:hAnsi="Times New Roman" w:eastAsia="仿宋_GB2312" w:cs="Times New Roman"/>
          <w:color w:val="auto"/>
          <w:sz w:val="32"/>
          <w:szCs w:val="32"/>
          <w:highlight w:val="none"/>
        </w:rPr>
        <w:t>广元市昭化区残疾人康复中心</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4" w:name="_Toc13173"/>
      <w:r>
        <w:rPr>
          <w:rFonts w:hint="default" w:ascii="Times New Roman" w:hAnsi="Times New Roman" w:eastAsia="黑体" w:cs="Times New Roman"/>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按照综合预算的原则，区残联所有收入和支出均纳入部门预算管理。收入包括：一般公共预算拨款收入；支出包括：社会保障和就业支出、卫生健康支</w:t>
      </w:r>
      <w:r>
        <w:rPr>
          <w:rFonts w:hint="default" w:ascii="Times New Roman" w:hAnsi="Times New Roman" w:eastAsia="仿宋_GB2312" w:cs="Times New Roman"/>
          <w:sz w:val="32"/>
          <w:szCs w:val="32"/>
          <w:lang w:val="en-US" w:eastAsia="zh-CN"/>
        </w:rPr>
        <w:t>出、住房保障支出。区残联2024年收支预算总数326.1万元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比2023年收支预算总数</w:t>
      </w:r>
      <w:r>
        <w:rPr>
          <w:rFonts w:hint="default" w:ascii="Times New Roman" w:hAnsi="Times New Roman" w:eastAsia="仿宋_GB2312" w:cs="Times New Roman"/>
          <w:sz w:val="32"/>
          <w:szCs w:val="32"/>
          <w:lang w:val="en-US" w:eastAsia="zh-CN"/>
        </w:rPr>
        <w:t>276.17万元</w:t>
      </w:r>
      <w:r>
        <w:rPr>
          <w:rFonts w:hint="default" w:ascii="Times New Roman" w:hAnsi="Times New Roman" w:eastAsia="仿宋_GB2312" w:cs="Times New Roman"/>
          <w:sz w:val="32"/>
          <w:szCs w:val="32"/>
          <w:lang w:val="en-US" w:eastAsia="zh-CN"/>
        </w:rPr>
        <w:t>增加49.93万元，主要原因是新增1名事业干部和残疾人医保代缴项目预算收支增加。</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1"/>
        <w:rPr>
          <w:rFonts w:hint="default" w:ascii="Times New Roman" w:hAnsi="Times New Roman" w:eastAsia="楷体_GB2312" w:cs="Times New Roman"/>
          <w:sz w:val="32"/>
          <w:szCs w:val="32"/>
          <w:lang w:val="en-US" w:eastAsia="zh-CN"/>
        </w:rPr>
      </w:pPr>
      <w:bookmarkStart w:id="5" w:name="_Toc23856"/>
      <w:r>
        <w:rPr>
          <w:rFonts w:hint="default" w:ascii="Times New Roman" w:hAnsi="Times New Roman" w:eastAsia="楷体_GB2312" w:cs="Times New Roman"/>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区残联2024年收入预算326.1万元，其中：一般公共预算拨款收入326.1万元，占100%。</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1"/>
        <w:rPr>
          <w:rFonts w:hint="default" w:ascii="Times New Roman" w:hAnsi="Times New Roman" w:eastAsia="楷体_GB2312" w:cs="Times New Roman"/>
          <w:sz w:val="32"/>
          <w:szCs w:val="32"/>
          <w:lang w:val="en-US" w:eastAsia="zh-CN"/>
        </w:rPr>
      </w:pPr>
      <w:bookmarkStart w:id="6" w:name="_Toc12621"/>
      <w:r>
        <w:rPr>
          <w:rFonts w:hint="default" w:ascii="Times New Roman" w:hAnsi="Times New Roman" w:eastAsia="楷体_GB2312" w:cs="Times New Roman"/>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区残联2024年支出预算326.1万元，其中：基本支出145.1万元，占44.5%；项目支出181万元，占55.5%</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7" w:name="_Toc26945"/>
      <w:r>
        <w:rPr>
          <w:rFonts w:hint="default" w:ascii="Times New Roman" w:hAnsi="Times New Roman" w:eastAsia="黑体" w:cs="Times New Roman"/>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区残联2024年财政拨款收支预算总数326.1万元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比2023年财政拨款收支预算总数</w:t>
      </w:r>
      <w:r>
        <w:rPr>
          <w:rFonts w:hint="default" w:ascii="Times New Roman" w:hAnsi="Times New Roman" w:eastAsia="仿宋_GB2312" w:cs="Times New Roman"/>
          <w:sz w:val="32"/>
          <w:szCs w:val="32"/>
          <w:lang w:val="en-US" w:eastAsia="zh-CN"/>
        </w:rPr>
        <w:t>276.17万元</w:t>
      </w:r>
      <w:r>
        <w:rPr>
          <w:rFonts w:hint="default" w:ascii="Times New Roman" w:hAnsi="Times New Roman" w:eastAsia="仿宋_GB2312" w:cs="Times New Roman"/>
          <w:sz w:val="32"/>
          <w:szCs w:val="32"/>
          <w:lang w:val="en-US" w:eastAsia="zh-CN"/>
        </w:rPr>
        <w:t>增加49.93万元，主要原因是新增1名事业干部和残疾人医保代缴项目预算收支增加。</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收入包括：本年一般公共预算拨款收入326.1万元；支出包括：社会保障和就业支出310.42万元、卫生健康支出5.09万元、住房保障支出10.59万元。</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8" w:name="_Toc27635"/>
      <w:r>
        <w:rPr>
          <w:rFonts w:hint="default" w:ascii="Times New Roman" w:hAnsi="Times New Roman" w:eastAsia="黑体" w:cs="Times New Roman"/>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1"/>
        <w:rPr>
          <w:rFonts w:hint="default" w:ascii="Times New Roman" w:hAnsi="Times New Roman" w:eastAsia="楷体_GB2312" w:cs="Times New Roman"/>
          <w:sz w:val="32"/>
          <w:szCs w:val="32"/>
          <w:lang w:val="en-US" w:eastAsia="zh-CN"/>
        </w:rPr>
      </w:pPr>
      <w:bookmarkStart w:id="9" w:name="_Toc19936"/>
      <w:r>
        <w:rPr>
          <w:rFonts w:hint="default" w:ascii="Times New Roman" w:hAnsi="Times New Roman" w:eastAsia="楷体_GB2312" w:cs="Times New Roman"/>
          <w:sz w:val="32"/>
          <w:szCs w:val="32"/>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区残联2024年一般公共预算当年拨款326.1万元，比2023年预算数</w:t>
      </w:r>
      <w:r>
        <w:rPr>
          <w:rFonts w:hint="default" w:ascii="Times New Roman" w:hAnsi="Times New Roman" w:eastAsia="仿宋_GB2312" w:cs="Times New Roman"/>
          <w:sz w:val="32"/>
          <w:szCs w:val="32"/>
          <w:lang w:val="en-US" w:eastAsia="zh-CN"/>
        </w:rPr>
        <w:t>276.17万元</w:t>
      </w:r>
      <w:r>
        <w:rPr>
          <w:rFonts w:hint="default" w:ascii="Times New Roman" w:hAnsi="Times New Roman" w:eastAsia="仿宋_GB2312" w:cs="Times New Roman"/>
          <w:sz w:val="32"/>
          <w:szCs w:val="32"/>
          <w:lang w:val="en-US" w:eastAsia="zh-CN"/>
        </w:rPr>
        <w:t>增加49.93万元，主要原因是新增1名事业干部和残疾人医保代缴项目预算收支增加。</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1"/>
        <w:rPr>
          <w:rFonts w:hint="default" w:ascii="Times New Roman" w:hAnsi="Times New Roman" w:eastAsia="楷体_GB2312" w:cs="Times New Roman"/>
          <w:sz w:val="32"/>
          <w:szCs w:val="32"/>
          <w:lang w:val="en-US" w:eastAsia="zh-CN"/>
        </w:rPr>
      </w:pPr>
      <w:bookmarkStart w:id="10" w:name="_Toc27901"/>
      <w:r>
        <w:rPr>
          <w:rFonts w:hint="default" w:ascii="Times New Roman" w:hAnsi="Times New Roman" w:eastAsia="楷体_GB2312" w:cs="Times New Roman"/>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社会保障和就业支出310.42万元，占95.19%；卫生健康支出5.09万元，占1.56%；住房保障支出10.59万元，占3.25%。</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1"/>
        <w:rPr>
          <w:rFonts w:hint="default" w:ascii="Times New Roman" w:hAnsi="Times New Roman" w:eastAsia="仿宋_GB2312" w:cs="Times New Roman"/>
          <w:sz w:val="32"/>
          <w:szCs w:val="32"/>
          <w:lang w:val="en-US" w:eastAsia="zh-CN"/>
        </w:rPr>
      </w:pPr>
      <w:bookmarkStart w:id="11" w:name="_Toc30761"/>
      <w:r>
        <w:rPr>
          <w:rFonts w:hint="default" w:ascii="Times New Roman" w:hAnsi="Times New Roman" w:eastAsia="楷体_GB2312" w:cs="Times New Roman"/>
          <w:sz w:val="32"/>
          <w:szCs w:val="32"/>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社会保障和就业（类）行政事业单位养老支出（款）行政单位离退休（项）2024年预算数为10万元，主要用于：机关及参公管理事业单位离退休人员经费支出。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社会保障和就业（类）行政事业单位养老支出（款）机关事业单位基本养老保险缴费支出（项）2024年预算数为14.12万元，主要用于：实施养老保险制度由单位缴纳的基本养老保险支出。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社会保障和就业（类）残疾人事业（款）行政运行（项）2024年预算数为123.04万元，主要用于：行政</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单位正常运转的基本支出，包括基本工资、津贴补贴等人员经费以及办公费、印刷费、水电费等日常公用经费</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保障部门正常运转。</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社会保障和就业（类）残疾人事业（款）残疾人康复（项）2024年预算数为12万元，主要用于：残疾人康复方面的支出。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社会保障和就业（类）残疾人事业（款）其他残疾人事业支出（项）2024年预算数为151万元，主要用于：</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其他残疾人事业支出，包括争取资金工资经费、残疾人教育就业、残疾人医保代缴等其他残疾人事业支出，保障残疾人工作正常运转</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社会保障和就业（类）</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其他社会保障和就业支出</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其他社会保障和就业支出</w:t>
      </w:r>
      <w:r>
        <w:rPr>
          <w:rFonts w:hint="default" w:ascii="Times New Roman" w:hAnsi="Times New Roman" w:eastAsia="仿宋_GB2312" w:cs="Times New Roman"/>
          <w:sz w:val="32"/>
          <w:szCs w:val="32"/>
          <w:lang w:val="en-US" w:eastAsia="zh-CN"/>
        </w:rPr>
        <w:t>（项）2024年预算数为0.26万元，主要用于：</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单位缴纳的工伤失业</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等</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保险支出</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卫生健康（类）行政事业单位医疗（款）行政单位医疗（项）2024年预算数为3.01万元，主要用于：机关及参公管理事业单位按规定由单位缴纳的基本医疗保险支出。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卫生健康（类）行政事业单位医疗（款）事业单位医疗（项）2024年预算数为2.08万元，主要用于：事业单位按规定由单位缴纳的基本医疗保险支出。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住房保障（类）住房改革支出（款）住房公积金（项）2024年预算数为10.59万元，主要用于：部门按规定为职工缴纳的住房公积金支出。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12" w:name="_Toc14217"/>
      <w:r>
        <w:rPr>
          <w:rFonts w:hint="default" w:ascii="Times New Roman" w:hAnsi="Times New Roman" w:eastAsia="黑体" w:cs="Times New Roman"/>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区残联2024年一般公共预算基本支出145.1万元，其中：</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人员经费128.31万元，主要包括：基本工资、津贴补贴、奖金、绩效工资、机关事业单位基本养老保险缴费、职工基本医疗保险缴费、其他社会保障缴费、住房公积金、退休目标奖等支出。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lang w:val="en-US" w:eastAsia="zh-CN"/>
        </w:rPr>
        <w:t>公用经费16.79万元，主要包括：办公费、印刷费、手续费、水费、电费、物业管理费、差旅费、租赁费、公务接待费、劳务费、委托业务费、工会经费、其他交通费用等支出。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13" w:name="_Toc18284"/>
      <w:r>
        <w:rPr>
          <w:rFonts w:hint="default" w:ascii="Times New Roman" w:hAnsi="Times New Roman" w:eastAsia="黑体" w:cs="Times New Roman"/>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区残联2024年“三公”经费财政拨款预算数1.5万元，其中：公务接待费1.5万元，公务用车购置及运行维护费0万元，因公出国（境）经费0万元。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公务接待费1.5万元，与2023年预算相持平。</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公务用车购置及运行维护费0万元，与2023年预算相比持平。单位现有公务用车0辆。2024年未安排公务用车购置费。2024年安排公务用车运行维护费0万元。</w:t>
      </w:r>
    </w:p>
    <w:p>
      <w:pPr>
        <w:keepNext w:val="0"/>
        <w:keepLines w:val="0"/>
        <w:pageBreakBefore w:val="0"/>
        <w:widowControl w:val="0"/>
        <w:kinsoku/>
        <w:wordWrap/>
        <w:overflowPunct/>
        <w:topLinePunct w:val="0"/>
        <w:autoSpaceDE/>
        <w:autoSpaceDN/>
        <w:bidi w:val="0"/>
        <w:adjustRightInd/>
        <w:snapToGrid/>
        <w:spacing w:line="554"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因公出国（境）经费0万元，与2023年预算相比持平。</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14" w:name="_Toc7082"/>
      <w:r>
        <w:rPr>
          <w:rFonts w:hint="default" w:ascii="Times New Roman" w:hAnsi="Times New Roman" w:eastAsia="黑体" w:cs="Times New Roman"/>
          <w:sz w:val="32"/>
          <w:szCs w:val="32"/>
          <w:lang w:val="en-US" w:eastAsia="zh-CN"/>
        </w:rPr>
        <w:t>八、政府性基金预算支出情况说明</w:t>
      </w:r>
      <w:bookmarkEnd w:id="14"/>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区残联2024年无政府性基金预算拨款安排的支出。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15" w:name="_Toc2410"/>
      <w:r>
        <w:rPr>
          <w:rFonts w:hint="default" w:ascii="Times New Roman" w:hAnsi="Times New Roman" w:eastAsia="黑体" w:cs="Times New Roman"/>
          <w:sz w:val="32"/>
          <w:szCs w:val="32"/>
          <w:lang w:val="en-US" w:eastAsia="zh-CN"/>
        </w:rPr>
        <w:t>九、国有资本经营预算支出情况说明</w:t>
      </w:r>
      <w:bookmarkEnd w:id="15"/>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区残联2024年无国有资本经营预算拨款安排的支出。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16" w:name="_Toc24113"/>
      <w:r>
        <w:rPr>
          <w:rFonts w:hint="default" w:ascii="Times New Roman" w:hAnsi="Times New Roman" w:eastAsia="黑体" w:cs="Times New Roman"/>
          <w:sz w:val="32"/>
          <w:szCs w:val="32"/>
          <w:lang w:val="en-US" w:eastAsia="zh-CN"/>
        </w:rPr>
        <w:t>十、其他重要事项的情况说明</w:t>
      </w:r>
      <w:bookmarkEnd w:id="16"/>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2024年，区残联机关运行经费财政拨款预算为16.79万元，比2023年预算11.2万元，增加5.59万元，增长49.91%。主要原因是新增1名事业干部和公务交通补贴从人员经费调整为公用经费。</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2024年，区残联未安排政府采购预算。</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截至2023年底，区残联共有车辆0辆，单位无价值200万元以上的大型设备。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2024年部门预算安排车辆购置经费0万元。其中，财政拨款预算安排0万元，非财政拨款安排0万元。拟购置定向保障用车0辆、执法执勤用车0辆。2024年部门预算未安排购置车辆及单位价值200万元以上大型设备。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2024年区残联开展绩效目标管理的项目7个，涉及预算197.79万元。其中：运转类项目2个，涉及预算16.79万元；特定目标类项目5个，涉及预算181万元。因部分项目内容涉密，不予公开。</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17" w:name="_Toc11640"/>
      <w:r>
        <w:rPr>
          <w:rFonts w:hint="default" w:ascii="Times New Roman" w:hAnsi="Times New Roman" w:eastAsia="黑体" w:cs="Times New Roman"/>
          <w:sz w:val="32"/>
          <w:szCs w:val="32"/>
          <w:lang w:val="en-US" w:eastAsia="zh-CN"/>
        </w:rPr>
        <w:t>十一、名词解释</w:t>
      </w:r>
      <w:bookmarkEnd w:id="17"/>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（一）财政拨款收入</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指区财政当年安排的财政预算收入。按现行管理制度，部门预算中反映的财政拨款包括一般公共预算拨款和政府性基金预算拨款。</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（二）社会保障和就业（类）行政事业单位养老支出（款）行政单位离退休（项）：</w:t>
      </w:r>
      <w:r>
        <w:rPr>
          <w:rFonts w:hint="default" w:ascii="Times New Roman" w:hAnsi="Times New Roman" w:eastAsia="仿宋_GB2312" w:cs="Times New Roman"/>
          <w:sz w:val="32"/>
          <w:szCs w:val="32"/>
          <w:lang w:val="en-US" w:eastAsia="zh-CN"/>
        </w:rPr>
        <w:t>指行政及参公管理事业单位离退休人员的支出。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（三）社会保障和就业（类）行政事业单位养老支出（款）机关事业单位基本养老保险缴费支出（项）：</w:t>
      </w:r>
      <w:r>
        <w:rPr>
          <w:rFonts w:hint="default" w:ascii="Times New Roman" w:hAnsi="Times New Roman" w:eastAsia="仿宋_GB2312" w:cs="Times New Roman"/>
          <w:sz w:val="32"/>
          <w:szCs w:val="32"/>
          <w:lang w:val="en-US" w:eastAsia="zh-CN"/>
        </w:rPr>
        <w:t>指部门实施养老保险制度由单位缴纳的养老保险的支出。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（四）社会保障和就业（类）残疾人事业（款）行政运行（项）：</w:t>
      </w:r>
      <w:r>
        <w:rPr>
          <w:rFonts w:hint="default" w:ascii="Times New Roman" w:hAnsi="Times New Roman" w:eastAsia="仿宋_GB2312" w:cs="Times New Roman"/>
          <w:sz w:val="32"/>
          <w:szCs w:val="32"/>
          <w:lang w:val="en-US" w:eastAsia="zh-CN"/>
        </w:rPr>
        <w:t>指行政单位的基本支出。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（五）社会保障和就业（类）残疾人事业（款）残疾人康复（项）：</w:t>
      </w:r>
      <w:r>
        <w:rPr>
          <w:rFonts w:hint="default" w:ascii="Times New Roman" w:hAnsi="Times New Roman" w:eastAsia="仿宋_GB2312" w:cs="Times New Roman"/>
          <w:sz w:val="32"/>
          <w:szCs w:val="32"/>
          <w:lang w:val="en-US" w:eastAsia="zh-CN"/>
        </w:rPr>
        <w:t>指残疾人康复方面的支出。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（六）社会保障和就业（类）残疾人事业（款）其他残疾人事业支出（项）：</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其他</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用于</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残疾人事业</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方面的</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支出</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（七）社会保障和就业（类）</w:t>
      </w:r>
      <w:r>
        <w:rPr>
          <w:rFonts w:hint="default" w:ascii="Times New Roman" w:hAnsi="Times New Roman" w:eastAsia="楷体_GB2312" w:cs="Times New Roman"/>
          <w:sz w:val="32"/>
          <w:szCs w:val="32"/>
          <w:lang w:val="en-US" w:eastAsia="zh-CN"/>
        </w:rPr>
        <w:t>其他社会保障和就业支出</w:t>
      </w:r>
      <w:r>
        <w:rPr>
          <w:rFonts w:hint="default" w:ascii="Times New Roman" w:hAnsi="Times New Roman" w:eastAsia="楷体_GB2312" w:cs="Times New Roman"/>
          <w:sz w:val="32"/>
          <w:szCs w:val="32"/>
          <w:lang w:val="en-US" w:eastAsia="zh-CN"/>
        </w:rPr>
        <w:t>（款）</w:t>
      </w:r>
      <w:r>
        <w:rPr>
          <w:rFonts w:hint="default" w:ascii="Times New Roman" w:hAnsi="Times New Roman" w:eastAsia="楷体_GB2312" w:cs="Times New Roman"/>
          <w:sz w:val="32"/>
          <w:szCs w:val="32"/>
          <w:lang w:val="en-US" w:eastAsia="zh-CN"/>
        </w:rPr>
        <w:t>其他社会保障和就业支出</w:t>
      </w:r>
      <w:r>
        <w:rPr>
          <w:rFonts w:hint="default" w:ascii="Times New Roman" w:hAnsi="Times New Roman" w:eastAsia="楷体_GB2312" w:cs="Times New Roman"/>
          <w:sz w:val="32"/>
          <w:szCs w:val="32"/>
          <w:lang w:val="en-US" w:eastAsia="zh-CN"/>
        </w:rPr>
        <w:t>（项）：</w:t>
      </w:r>
      <w:r>
        <w:rPr>
          <w:rFonts w:hint="default" w:ascii="Times New Roman" w:hAnsi="Times New Roman" w:eastAsia="仿宋_GB2312" w:cs="Times New Roman"/>
          <w:sz w:val="32"/>
          <w:szCs w:val="32"/>
          <w:lang w:val="en-US" w:eastAsia="zh-CN"/>
        </w:rPr>
        <w:t>指其他用于社会保障和就业方面的支出。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（八）卫生健康（类）行政事业单位医疗（款）行政单位医疗（项）：</w:t>
      </w:r>
      <w:r>
        <w:rPr>
          <w:rFonts w:hint="default" w:ascii="Times New Roman" w:hAnsi="Times New Roman" w:eastAsia="仿宋_GB2312" w:cs="Times New Roman"/>
          <w:sz w:val="32"/>
          <w:szCs w:val="32"/>
          <w:lang w:val="en-US" w:eastAsia="zh-CN"/>
        </w:rPr>
        <w:t>指机关及参公管理事业单位用于单位应缴纳基本医疗保险支出。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（九）卫生健康（类）行政事业单位医疗（款）事业单位医疗（项）：</w:t>
      </w:r>
      <w:r>
        <w:rPr>
          <w:rFonts w:hint="default" w:ascii="Times New Roman" w:hAnsi="Times New Roman" w:eastAsia="仿宋_GB2312" w:cs="Times New Roman"/>
          <w:sz w:val="32"/>
          <w:szCs w:val="32"/>
          <w:lang w:val="en-US" w:eastAsia="zh-CN"/>
        </w:rPr>
        <w:t>指事业单位用于单位应</w:t>
      </w:r>
      <w:r>
        <w:rPr>
          <w:rFonts w:hint="default" w:ascii="Times New Roman" w:hAnsi="Times New Roman" w:eastAsia="楷体_GB2312" w:cs="Times New Roman"/>
          <w:sz w:val="32"/>
          <w:szCs w:val="32"/>
          <w:lang w:val="en-US" w:eastAsia="zh-CN"/>
        </w:rPr>
        <w:t>缴纳</w:t>
      </w:r>
      <w:r>
        <w:rPr>
          <w:rFonts w:hint="default" w:ascii="Times New Roman" w:hAnsi="Times New Roman" w:eastAsia="仿宋_GB2312" w:cs="Times New Roman"/>
          <w:sz w:val="32"/>
          <w:szCs w:val="32"/>
          <w:lang w:val="en-US" w:eastAsia="zh-CN"/>
        </w:rPr>
        <w:t>基本医疗保险支出。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（十）住房保障（类）住房改革支出（款）住房公积金（项）：</w:t>
      </w:r>
      <w:r>
        <w:rPr>
          <w:rFonts w:hint="default" w:ascii="Times New Roman" w:hAnsi="Times New Roman" w:eastAsia="仿宋_GB2312" w:cs="Times New Roman"/>
          <w:sz w:val="32"/>
          <w:szCs w:val="32"/>
          <w:lang w:val="en-US" w:eastAsia="zh-CN"/>
        </w:rPr>
        <w:t>指按照《住房公积金管理条例》的规定，由单位及其在职职工缴存的长期住房储金。</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（十一）基本支出：</w:t>
      </w:r>
      <w:r>
        <w:rPr>
          <w:rFonts w:hint="default" w:ascii="Times New Roman" w:hAnsi="Times New Roman" w:eastAsia="仿宋_GB2312" w:cs="Times New Roman"/>
          <w:sz w:val="32"/>
          <w:szCs w:val="32"/>
          <w:lang w:val="en-US" w:eastAsia="zh-CN"/>
        </w:rPr>
        <w:t>指为保证机构正常运转，完成日常工作任务而发生的人员支出和公用支出。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sz w:val="32"/>
          <w:szCs w:val="32"/>
          <w:lang w:val="en-US" w:eastAsia="zh-CN"/>
        </w:rPr>
        <w:t>（十二）项目支出：</w:t>
      </w:r>
      <w:r>
        <w:rPr>
          <w:rFonts w:hint="default" w:ascii="Times New Roman" w:hAnsi="Times New Roman" w:eastAsia="仿宋_GB2312" w:cs="Times New Roman"/>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（十三）“三公”经费：</w:t>
      </w:r>
      <w:r>
        <w:rPr>
          <w:rFonts w:hint="default" w:ascii="Times New Roman" w:hAnsi="Times New Roman" w:eastAsia="仿宋_GB2312" w:cs="Times New Roman"/>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（十四）机关运行经费：</w:t>
      </w:r>
      <w:r>
        <w:rPr>
          <w:rFonts w:hint="default" w:ascii="Times New Roman" w:hAnsi="Times New Roman" w:eastAsia="仿宋_GB2312" w:cs="Times New Roman"/>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sz w:val="32"/>
          <w:szCs w:val="32"/>
          <w:lang w:val="en-US" w:eastAsia="zh-CN"/>
        </w:rPr>
        <w:t>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1600" w:firstLineChars="5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sz w:val="32"/>
          <w:szCs w:val="32"/>
          <w:lang w:val="en-US" w:eastAsia="zh-CN"/>
        </w:rPr>
        <w:t>部门整体支出绩效目标表</w:t>
      </w: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YzcxYTU0OWQyNjQzYjkzNDc3ZDhiMmZhOWQzNzQifQ=="/>
  </w:docVars>
  <w:rsids>
    <w:rsidRoot w:val="00000000"/>
    <w:rsid w:val="012352D1"/>
    <w:rsid w:val="022963AB"/>
    <w:rsid w:val="034F75CA"/>
    <w:rsid w:val="05551D4C"/>
    <w:rsid w:val="06177D1B"/>
    <w:rsid w:val="07C141CE"/>
    <w:rsid w:val="085B4429"/>
    <w:rsid w:val="08FD0E39"/>
    <w:rsid w:val="09776735"/>
    <w:rsid w:val="09BE6968"/>
    <w:rsid w:val="0A6D72BD"/>
    <w:rsid w:val="0AA03A6A"/>
    <w:rsid w:val="0AB80568"/>
    <w:rsid w:val="0BE92833"/>
    <w:rsid w:val="0C923562"/>
    <w:rsid w:val="0D7F305A"/>
    <w:rsid w:val="0F4243D6"/>
    <w:rsid w:val="0FBF0E36"/>
    <w:rsid w:val="105A07A8"/>
    <w:rsid w:val="13580A0A"/>
    <w:rsid w:val="13A45BBC"/>
    <w:rsid w:val="14004C93"/>
    <w:rsid w:val="143839F9"/>
    <w:rsid w:val="156A5AB1"/>
    <w:rsid w:val="168E50BE"/>
    <w:rsid w:val="17383951"/>
    <w:rsid w:val="1B907EBD"/>
    <w:rsid w:val="1C7B4336"/>
    <w:rsid w:val="1F7BF06F"/>
    <w:rsid w:val="1FEE4B73"/>
    <w:rsid w:val="20A03CEB"/>
    <w:rsid w:val="21690C01"/>
    <w:rsid w:val="22230DB0"/>
    <w:rsid w:val="227930C6"/>
    <w:rsid w:val="22825B11"/>
    <w:rsid w:val="238D5B9A"/>
    <w:rsid w:val="23CE9849"/>
    <w:rsid w:val="260B6B9B"/>
    <w:rsid w:val="268051E3"/>
    <w:rsid w:val="273B45F3"/>
    <w:rsid w:val="27C43035"/>
    <w:rsid w:val="2A5225F6"/>
    <w:rsid w:val="2AF76522"/>
    <w:rsid w:val="2B392261"/>
    <w:rsid w:val="2D46460C"/>
    <w:rsid w:val="2D4E1D0E"/>
    <w:rsid w:val="2D8E17DF"/>
    <w:rsid w:val="2EAC6F08"/>
    <w:rsid w:val="2ED34F37"/>
    <w:rsid w:val="2EED3536"/>
    <w:rsid w:val="2FE04785"/>
    <w:rsid w:val="307F4383"/>
    <w:rsid w:val="30CF050F"/>
    <w:rsid w:val="30EE1123"/>
    <w:rsid w:val="33385662"/>
    <w:rsid w:val="33D83A45"/>
    <w:rsid w:val="347451E9"/>
    <w:rsid w:val="34C9456A"/>
    <w:rsid w:val="360C24AB"/>
    <w:rsid w:val="36683FB4"/>
    <w:rsid w:val="36F56D67"/>
    <w:rsid w:val="37003071"/>
    <w:rsid w:val="375170C8"/>
    <w:rsid w:val="376161AB"/>
    <w:rsid w:val="39F304DD"/>
    <w:rsid w:val="3A805B11"/>
    <w:rsid w:val="3AC214F7"/>
    <w:rsid w:val="3F511B9F"/>
    <w:rsid w:val="3FD9024B"/>
    <w:rsid w:val="405C39B3"/>
    <w:rsid w:val="427174BE"/>
    <w:rsid w:val="447C5582"/>
    <w:rsid w:val="45686297"/>
    <w:rsid w:val="48206981"/>
    <w:rsid w:val="48650C15"/>
    <w:rsid w:val="49697141"/>
    <w:rsid w:val="49D161C3"/>
    <w:rsid w:val="4C4E54BB"/>
    <w:rsid w:val="4D015F66"/>
    <w:rsid w:val="4D1B477C"/>
    <w:rsid w:val="4D697710"/>
    <w:rsid w:val="503118B6"/>
    <w:rsid w:val="51022355"/>
    <w:rsid w:val="53AF3411"/>
    <w:rsid w:val="53B81B75"/>
    <w:rsid w:val="53CB2582"/>
    <w:rsid w:val="54244390"/>
    <w:rsid w:val="54662A63"/>
    <w:rsid w:val="549E5F97"/>
    <w:rsid w:val="56A56043"/>
    <w:rsid w:val="58064E12"/>
    <w:rsid w:val="586236D9"/>
    <w:rsid w:val="5ACA0E33"/>
    <w:rsid w:val="5BFEE015"/>
    <w:rsid w:val="5C4E644E"/>
    <w:rsid w:val="5C58107B"/>
    <w:rsid w:val="5E9345EC"/>
    <w:rsid w:val="60347295"/>
    <w:rsid w:val="60B6293A"/>
    <w:rsid w:val="61574E06"/>
    <w:rsid w:val="61AB5FF1"/>
    <w:rsid w:val="61EE346F"/>
    <w:rsid w:val="63EDCF55"/>
    <w:rsid w:val="63FBFBCF"/>
    <w:rsid w:val="641C5084"/>
    <w:rsid w:val="64E542CC"/>
    <w:rsid w:val="64E71438"/>
    <w:rsid w:val="65DB6C69"/>
    <w:rsid w:val="65F91B21"/>
    <w:rsid w:val="668245FD"/>
    <w:rsid w:val="669360FD"/>
    <w:rsid w:val="67234DA6"/>
    <w:rsid w:val="67A463CF"/>
    <w:rsid w:val="67D22629"/>
    <w:rsid w:val="687D3F14"/>
    <w:rsid w:val="68FF6A83"/>
    <w:rsid w:val="694140E5"/>
    <w:rsid w:val="6B7439F8"/>
    <w:rsid w:val="6BAC4F3F"/>
    <w:rsid w:val="6C5C664E"/>
    <w:rsid w:val="6E4F6056"/>
    <w:rsid w:val="6EA113FA"/>
    <w:rsid w:val="6ED45815"/>
    <w:rsid w:val="6FBBC9CF"/>
    <w:rsid w:val="70A505D3"/>
    <w:rsid w:val="710C0396"/>
    <w:rsid w:val="71B763EC"/>
    <w:rsid w:val="71BE3C1E"/>
    <w:rsid w:val="71C80925"/>
    <w:rsid w:val="72BDE561"/>
    <w:rsid w:val="7416389E"/>
    <w:rsid w:val="747C351C"/>
    <w:rsid w:val="75A356A3"/>
    <w:rsid w:val="75B25848"/>
    <w:rsid w:val="76BB697E"/>
    <w:rsid w:val="78462278"/>
    <w:rsid w:val="78FD7415"/>
    <w:rsid w:val="7997EA6C"/>
    <w:rsid w:val="7A5522A6"/>
    <w:rsid w:val="7A5C3FD5"/>
    <w:rsid w:val="7AEAE675"/>
    <w:rsid w:val="7B976EA4"/>
    <w:rsid w:val="7BAE260E"/>
    <w:rsid w:val="7BAFCE5D"/>
    <w:rsid w:val="7C523723"/>
    <w:rsid w:val="7D31427A"/>
    <w:rsid w:val="7D46598C"/>
    <w:rsid w:val="7DBC48CB"/>
    <w:rsid w:val="7DFB240B"/>
    <w:rsid w:val="7E0935ED"/>
    <w:rsid w:val="7E762BF0"/>
    <w:rsid w:val="7F030F9C"/>
    <w:rsid w:val="7F4821E1"/>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Salutation"/>
    <w:basedOn w:val="1"/>
    <w:next w:val="1"/>
    <w:autoRedefine/>
    <w:qFormat/>
    <w:uiPriority w:val="0"/>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List"/>
    <w:basedOn w:val="4"/>
    <w:autoRedefine/>
    <w:qFormat/>
    <w:uiPriority w:val="0"/>
  </w:style>
  <w:style w:type="paragraph" w:styleId="9">
    <w:name w:val="toc 2"/>
    <w:basedOn w:val="1"/>
    <w:next w:val="1"/>
    <w:autoRedefine/>
    <w:qFormat/>
    <w:uiPriority w:val="0"/>
    <w:pPr>
      <w:ind w:left="420" w:leftChars="200"/>
    </w:pPr>
  </w:style>
  <w:style w:type="paragraph" w:styleId="10">
    <w:name w:val="Normal (Web)"/>
    <w:basedOn w:val="1"/>
    <w:autoRedefine/>
    <w:qFormat/>
    <w:uiPriority w:val="0"/>
    <w:rPr>
      <w:sz w:val="24"/>
    </w:rPr>
  </w:style>
  <w:style w:type="character" w:customStyle="1" w:styleId="13">
    <w:name w:val="默认段落字体1"/>
    <w:autoRedefine/>
    <w:qFormat/>
    <w:uiPriority w:val="0"/>
  </w:style>
  <w:style w:type="paragraph" w:customStyle="1" w:styleId="14">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 w:type="paragraph" w:customStyle="1" w:styleId="16">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WPS_1649988542</cp:lastModifiedBy>
  <dcterms:modified xsi:type="dcterms:W3CDTF">2024-04-07T07:01:43Z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CABB458ED79046808B0DF0552ADA7B75_13</vt:lpwstr>
  </property>
</Properties>
</file>