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both"/>
        <w:outlineLvl w:val="9"/>
        <w:rPr>
          <w:rFonts w:ascii="方正小标宋简体" w:eastAsia="方正小标宋简体"/>
          <w:color w:val="000000"/>
          <w:sz w:val="72"/>
          <w:szCs w:val="72"/>
        </w:rPr>
      </w:pPr>
      <w:bookmarkStart w:id="0" w:name="_Toc15306267"/>
    </w:p>
    <w:p>
      <w:pPr>
        <w:spacing w:line="600" w:lineRule="exact"/>
        <w:jc w:val="both"/>
        <w:outlineLvl w:val="9"/>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color w:val="000000"/>
          <w:sz w:val="72"/>
          <w:szCs w:val="72"/>
        </w:rPr>
      </w:pPr>
      <w:bookmarkStart w:id="1" w:name="_Toc15396597"/>
      <w:bookmarkStart w:id="2" w:name="_Toc15377193"/>
      <w:bookmarkStart w:id="3" w:name="_Toc27344"/>
      <w:bookmarkStart w:id="4" w:name="_Toc15377425"/>
      <w:bookmarkStart w:id="5" w:name="_Toc15396475"/>
      <w:bookmarkStart w:id="6" w:name="_Toc15378441"/>
      <w:r>
        <w:rPr>
          <w:rFonts w:ascii="黑体" w:eastAsia="黑体"/>
          <w:color w:val="000000"/>
          <w:sz w:val="72"/>
          <w:szCs w:val="72"/>
        </w:rPr>
        <w:t>2020</w:t>
      </w:r>
      <w:r>
        <w:rPr>
          <w:rFonts w:ascii="方正小标宋简体" w:eastAsia="方正小标宋简体" w:hint="eastAsia"/>
          <w:color w:val="000000"/>
          <w:sz w:val="72"/>
          <w:szCs w:val="72"/>
        </w:rPr>
        <w:t>年度</w:t>
      </w:r>
      <w:bookmarkEnd w:id="1"/>
      <w:bookmarkEnd w:id="2"/>
      <w:bookmarkEnd w:id="3"/>
      <w:bookmarkEnd w:id="4"/>
      <w:bookmarkEnd w:id="5"/>
      <w:bookmarkEnd w:id="6"/>
    </w:p>
    <w:p>
      <w:pPr>
        <w:adjustRightInd w:val="0"/>
        <w:snapToGrid w:val="0"/>
        <w:spacing w:line="360" w:lineRule="auto"/>
        <w:jc w:val="center"/>
        <w:outlineLvl w:val="0"/>
        <w:rPr>
          <w:rFonts w:ascii="方正小标宋简体" w:eastAsia="方正小标宋简体"/>
          <w:color w:val="000000"/>
          <w:sz w:val="72"/>
          <w:szCs w:val="72"/>
        </w:rPr>
      </w:pPr>
      <w:bookmarkStart w:id="7" w:name="_Toc8236"/>
      <w:bookmarkStart w:id="8" w:name="_Toc15396598"/>
      <w:bookmarkStart w:id="9" w:name="_Toc15396476"/>
      <w:bookmarkStart w:id="10" w:name="_Toc15377194"/>
      <w:bookmarkStart w:id="11" w:name="_Toc15378442"/>
      <w:bookmarkStart w:id="12" w:name="_Toc15377426"/>
      <w:r>
        <w:rPr>
          <w:rFonts w:ascii="方正小标宋简体" w:eastAsia="方正小标宋简体" w:hint="eastAsia"/>
          <w:color w:val="000000"/>
          <w:sz w:val="72"/>
          <w:szCs w:val="72"/>
        </w:rPr>
        <w:t>四川省</w:t>
      </w:r>
      <w:bookmarkStart w:id="13" w:name="_Toc15306268"/>
      <w:bookmarkEnd w:id="0"/>
      <w:r>
        <w:rPr>
          <w:rFonts w:ascii="方正小标宋简体" w:eastAsia="方正小标宋简体" w:hint="eastAsia"/>
          <w:color w:val="000000"/>
          <w:sz w:val="72"/>
          <w:szCs w:val="72"/>
          <w:lang w:eastAsia="zh-CN"/>
        </w:rPr>
        <w:t>广元市昭化区残疾人联合会</w:t>
      </w:r>
      <w:r>
        <w:rPr>
          <w:rFonts w:ascii="方正小标宋简体" w:eastAsia="方正小标宋简体" w:hint="eastAsia"/>
          <w:color w:val="000000"/>
          <w:sz w:val="72"/>
          <w:szCs w:val="72"/>
        </w:rPr>
        <w:t>部门决算</w:t>
      </w:r>
      <w:bookmarkEnd w:id="7"/>
      <w:bookmarkEnd w:id="8"/>
      <w:bookmarkEnd w:id="9"/>
      <w:bookmarkEnd w:id="10"/>
      <w:bookmarkEnd w:id="11"/>
      <w:bookmarkEnd w:id="12"/>
      <w:bookmarkEnd w:id="13"/>
    </w:p>
    <w:p>
      <w:pPr>
        <w:widowControl/>
        <w:snapToGrid/>
        <w:spacing w:before="320" w:beforeAutospacing="0" w:after="40" w:afterAutospacing="0" w:line="240" w:lineRule="auto"/>
        <w:ind w:left="0" w:right="0" w:firstLine="0"/>
        <w:jc w:val="center"/>
        <w:rPr>
          <w:rFonts w:ascii="黑体" w:eastAsia="黑体"/>
          <w:sz w:val="32"/>
          <w:szCs w:val="32"/>
        </w:rPr>
      </w:pPr>
      <w:r>
        <w:rPr>
          <w:rFonts w:ascii="方正小标宋简体" w:eastAsia="汉仪中宋简" w:hAnsi="方正小标宋简体"/>
          <w:b w:val="0"/>
          <w:color w:val="auto"/>
          <w:sz w:val="40"/>
          <w:szCs w:val="36"/>
        </w:rPr>
        <w:br w:type="page"/>
      </w:r>
      <w:r>
        <w:rPr>
          <w:rFonts w:ascii="黑体" w:eastAsia="汉仪中宋简" w:hAnsi="黑体" w:hint="eastAsia"/>
          <w:b w:val="0"/>
          <w:color w:val="auto"/>
          <w:sz w:val="44"/>
          <w:szCs w:val="44"/>
        </w:rPr>
        <w:t>目录</w:t>
      </w:r>
    </w:p>
    <w:p>
      <w:pPr>
        <w:pStyle w:val="20"/>
        <w:tabs>
          <w:tab w:val="right" w:leader="dot" w:pos="8296"/>
        </w:tabs>
        <w:rPr>
          <w:sz w:val="32"/>
          <w:szCs w:val="32"/>
        </w:rPr>
      </w:pPr>
      <w:r>
        <w:rPr>
          <w:rFonts w:hint="eastAsia"/>
          <w:sz w:val="32"/>
          <w:szCs w:val="32"/>
          <w:lang w:eastAsia="zh-CN"/>
        </w:rPr>
        <w:t>决算</w:t>
      </w:r>
      <w:r>
        <w:rPr>
          <w:rFonts w:hint="eastAsia"/>
          <w:sz w:val="32"/>
          <w:szCs w:val="32"/>
        </w:rPr>
        <w:t>公开时间：</w:t>
      </w:r>
      <w:r>
        <w:rPr>
          <w:sz w:val="32"/>
          <w:szCs w:val="32"/>
        </w:rPr>
        <w:t>2021</w:t>
      </w:r>
      <w:r>
        <w:rPr>
          <w:rFonts w:hint="eastAsia"/>
          <w:sz w:val="32"/>
          <w:szCs w:val="32"/>
        </w:rPr>
        <w:t>年</w:t>
      </w:r>
      <w:r>
        <w:rPr>
          <w:rFonts w:hint="eastAsia"/>
          <w:sz w:val="32"/>
          <w:szCs w:val="32"/>
          <w:lang w:val="en-US" w:eastAsia="zh-CN"/>
        </w:rPr>
        <w:t>9</w:t>
      </w:r>
      <w:r>
        <w:rPr>
          <w:rFonts w:hint="eastAsia"/>
          <w:sz w:val="32"/>
          <w:szCs w:val="32"/>
        </w:rPr>
        <w:t>月</w:t>
      </w:r>
      <w:r>
        <w:rPr>
          <w:rFonts w:hint="eastAsia"/>
          <w:sz w:val="32"/>
          <w:szCs w:val="32"/>
          <w:lang w:val="en-US" w:eastAsia="zh-CN"/>
        </w:rPr>
        <w:t>25</w:t>
      </w:r>
      <w:r>
        <w:rPr>
          <w:rFonts w:hint="eastAsia"/>
          <w:sz w:val="32"/>
          <w:szCs w:val="32"/>
        </w:rPr>
        <w:t>日</w:t>
      </w:r>
    </w:p>
    <w:p>
      <w:pPr>
        <w:pStyle w:val="41"/>
        <w:tabs>
          <w:tab w:val="right" w:leader="dot" w:pos="8306"/>
        </w:tabs>
        <w:rPr>
          <w:sz w:val="32"/>
          <w:szCs w:val="32"/>
        </w:rPr>
      </w:pPr>
      <w:bookmarkStart w:id="14" w:name="_Toc15377196"/>
      <w:bookmarkStart w:id="15" w:name="_Toc15396599"/>
      <w:r>
        <w:rPr>
          <w:sz w:val="32"/>
          <w:szCs w:val="32"/>
        </w:rPr>
        <w:fldChar w:fldCharType="begin"/>
      </w:r>
      <w:r>
        <w:rPr>
          <w:sz w:val="32"/>
          <w:szCs w:val="32"/>
        </w:rPr>
        <w:instrText xml:space="preserve">TOC \o "1-3" \h \u </w:instrText>
      </w:r>
      <w:r>
        <w:rPr>
          <w:sz w:val="32"/>
          <w:szCs w:val="32"/>
        </w:rPr>
        <w:fldChar w:fldCharType="separate"/>
      </w:r>
    </w:p>
    <w:p>
      <w:pPr>
        <w:pStyle w:val="41"/>
        <w:tabs>
          <w:tab w:val="right" w:leader="dot" w:pos="8306"/>
        </w:tabs>
        <w:rPr>
          <w:sz w:val="32"/>
          <w:szCs w:val="32"/>
        </w:rPr>
      </w:pPr>
      <w:r>
        <w:rPr>
          <w:sz w:val="32"/>
          <w:szCs w:val="32"/>
        </w:rPr>
        <w:fldChar w:fldCharType="begin"/>
      </w:r>
      <w:r>
        <w:rPr>
          <w:sz w:val="32"/>
          <w:szCs w:val="32"/>
        </w:rPr>
        <w:instrText xml:space="preserve"> HYPERLINK \l _Toc27875 </w:instrText>
      </w:r>
      <w:r>
        <w:rPr>
          <w:sz w:val="32"/>
          <w:szCs w:val="32"/>
        </w:rPr>
        <w:fldChar w:fldCharType="separate"/>
      </w:r>
      <w:r>
        <w:rPr>
          <w:rFonts w:ascii="Times New Roman" w:eastAsia="汉仪中宋简" w:hAnsi="Times New Roman" w:hint="eastAsia"/>
          <w:sz w:val="32"/>
          <w:szCs w:val="32"/>
        </w:rPr>
        <w:t>第一部分</w:t>
      </w:r>
      <w:r>
        <w:rPr>
          <w:rFonts w:ascii="Times New Roman" w:eastAsia="汉仪中宋简" w:hAnsi="Times New Roman"/>
          <w:sz w:val="32"/>
          <w:szCs w:val="32"/>
        </w:rPr>
        <w:t xml:space="preserve"> </w:t>
      </w:r>
      <w:r>
        <w:rPr>
          <w:rFonts w:ascii="Times New Roman" w:eastAsia="汉仪中宋简" w:hAnsi="Times New Roman" w:hint="eastAsia"/>
          <w:sz w:val="32"/>
          <w:szCs w:val="32"/>
        </w:rPr>
        <w:t>部门概况</w:t>
      </w:r>
      <w:r>
        <w:rPr>
          <w:sz w:val="32"/>
          <w:szCs w:val="32"/>
        </w:rPr>
        <w:tab/>
      </w:r>
      <w:r>
        <w:rPr>
          <w:sz w:val="32"/>
          <w:szCs w:val="32"/>
        </w:rPr>
        <w:fldChar w:fldCharType="begin"/>
      </w:r>
      <w:r>
        <w:rPr>
          <w:sz w:val="32"/>
          <w:szCs w:val="32"/>
        </w:rPr>
        <w:instrText xml:space="preserve"> PAGEREF _Toc27875 \h </w:instrText>
      </w:r>
      <w:r>
        <w:rPr>
          <w:sz w:val="32"/>
          <w:szCs w:val="32"/>
        </w:rPr>
        <w:fldChar w:fldCharType="separate"/>
      </w:r>
      <w:r>
        <w:rPr>
          <w:sz w:val="32"/>
          <w:szCs w:val="32"/>
        </w:rPr>
        <w:t>- 4 -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_Toc10699 </w:instrText>
      </w:r>
      <w:r>
        <w:rPr>
          <w:sz w:val="32"/>
          <w:szCs w:val="32"/>
        </w:rPr>
        <w:fldChar w:fldCharType="separate"/>
      </w:r>
      <w:r>
        <w:rPr>
          <w:rFonts w:ascii="Times New Roman" w:eastAsia="汉仪中宋简" w:hAnsi="Times New Roman" w:hint="eastAsia"/>
          <w:sz w:val="32"/>
          <w:szCs w:val="32"/>
        </w:rPr>
        <w:t>一、基本职能及主要工作</w:t>
      </w:r>
      <w:r>
        <w:rPr>
          <w:sz w:val="32"/>
          <w:szCs w:val="32"/>
        </w:rPr>
        <w:tab/>
      </w:r>
      <w:r>
        <w:rPr>
          <w:sz w:val="32"/>
          <w:szCs w:val="32"/>
        </w:rPr>
        <w:fldChar w:fldCharType="begin"/>
      </w:r>
      <w:r>
        <w:rPr>
          <w:sz w:val="32"/>
          <w:szCs w:val="32"/>
        </w:rPr>
        <w:instrText xml:space="preserve"> PAGEREF _Toc10699 \h </w:instrText>
      </w:r>
      <w:r>
        <w:rPr>
          <w:sz w:val="32"/>
          <w:szCs w:val="32"/>
        </w:rPr>
        <w:fldChar w:fldCharType="separate"/>
      </w:r>
      <w:r>
        <w:rPr>
          <w:sz w:val="32"/>
          <w:szCs w:val="32"/>
        </w:rPr>
        <w:t>- 4 -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_Toc3484 </w:instrText>
      </w:r>
      <w:r>
        <w:rPr>
          <w:sz w:val="32"/>
          <w:szCs w:val="32"/>
        </w:rPr>
        <w:fldChar w:fldCharType="separate"/>
      </w:r>
      <w:r>
        <w:rPr>
          <w:rFonts w:ascii="Arial" w:eastAsia="黑体" w:hAnsi="Arial" w:hint="eastAsia"/>
          <w:bCs/>
          <w:sz w:val="32"/>
          <w:szCs w:val="32"/>
        </w:rPr>
        <w:t>（二）</w:t>
      </w:r>
      <w:r>
        <w:rPr>
          <w:rFonts w:ascii="Arial" w:eastAsia="黑体" w:hAnsi="Arial"/>
          <w:bCs/>
          <w:sz w:val="32"/>
          <w:szCs w:val="32"/>
        </w:rPr>
        <w:t>2020</w:t>
      </w:r>
      <w:r>
        <w:rPr>
          <w:rFonts w:ascii="Arial" w:eastAsia="黑体" w:hAnsi="Arial" w:hint="eastAsia"/>
          <w:bCs/>
          <w:sz w:val="32"/>
          <w:szCs w:val="32"/>
        </w:rPr>
        <w:t>年重点工作完成情况。</w:t>
      </w:r>
      <w:r>
        <w:rPr>
          <w:sz w:val="32"/>
          <w:szCs w:val="32"/>
        </w:rPr>
        <w:tab/>
      </w:r>
      <w:r>
        <w:rPr>
          <w:sz w:val="32"/>
          <w:szCs w:val="32"/>
        </w:rPr>
        <w:fldChar w:fldCharType="begin"/>
      </w:r>
      <w:r>
        <w:rPr>
          <w:sz w:val="32"/>
          <w:szCs w:val="32"/>
        </w:rPr>
        <w:instrText xml:space="preserve"> PAGEREF _Toc3484 \h </w:instrText>
      </w:r>
      <w:r>
        <w:rPr>
          <w:sz w:val="32"/>
          <w:szCs w:val="32"/>
        </w:rPr>
        <w:fldChar w:fldCharType="separate"/>
      </w:r>
      <w:r>
        <w:rPr>
          <w:sz w:val="32"/>
          <w:szCs w:val="32"/>
        </w:rPr>
        <w:t>- 4 -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_Toc18302 </w:instrText>
      </w:r>
      <w:r>
        <w:rPr>
          <w:sz w:val="32"/>
          <w:szCs w:val="32"/>
        </w:rPr>
        <w:fldChar w:fldCharType="separate"/>
      </w:r>
      <w:r>
        <w:rPr>
          <w:rFonts w:ascii="Times New Roman" w:eastAsia="汉仪中宋简" w:hAnsi="Times New Roman" w:hint="eastAsia"/>
          <w:sz w:val="32"/>
          <w:szCs w:val="32"/>
        </w:rPr>
        <w:t>二、机构设置</w:t>
      </w:r>
      <w:r>
        <w:rPr>
          <w:sz w:val="32"/>
          <w:szCs w:val="32"/>
        </w:rPr>
        <w:tab/>
      </w:r>
      <w:r>
        <w:rPr>
          <w:sz w:val="32"/>
          <w:szCs w:val="32"/>
        </w:rPr>
        <w:fldChar w:fldCharType="begin"/>
      </w:r>
      <w:r>
        <w:rPr>
          <w:sz w:val="32"/>
          <w:szCs w:val="32"/>
        </w:rPr>
        <w:instrText xml:space="preserve"> PAGEREF _Toc18302 \h </w:instrText>
      </w:r>
      <w:r>
        <w:rPr>
          <w:sz w:val="32"/>
          <w:szCs w:val="32"/>
        </w:rPr>
        <w:fldChar w:fldCharType="separate"/>
      </w:r>
      <w:r>
        <w:rPr>
          <w:sz w:val="32"/>
          <w:szCs w:val="32"/>
        </w:rPr>
        <w:t>- 5 -</w:t>
      </w:r>
      <w:r>
        <w:rPr>
          <w:sz w:val="32"/>
          <w:szCs w:val="32"/>
        </w:rPr>
        <w:fldChar w:fldCharType="end"/>
      </w:r>
      <w:r>
        <w:rPr>
          <w:sz w:val="32"/>
          <w:szCs w:val="32"/>
        </w:rPr>
        <w:fldChar w:fldCharType="end"/>
      </w:r>
    </w:p>
    <w:p>
      <w:pPr>
        <w:pStyle w:val="41"/>
        <w:tabs>
          <w:tab w:val="right" w:leader="dot" w:pos="8306"/>
        </w:tabs>
        <w:rPr>
          <w:sz w:val="32"/>
          <w:szCs w:val="32"/>
        </w:rPr>
      </w:pPr>
      <w:r>
        <w:rPr>
          <w:sz w:val="32"/>
          <w:szCs w:val="32"/>
        </w:rPr>
        <w:fldChar w:fldCharType="begin"/>
      </w:r>
      <w:r>
        <w:rPr>
          <w:sz w:val="32"/>
          <w:szCs w:val="32"/>
        </w:rPr>
        <w:instrText xml:space="preserve"> HYPERLINK \l _Toc2820 </w:instrText>
      </w:r>
      <w:r>
        <w:rPr>
          <w:sz w:val="32"/>
          <w:szCs w:val="32"/>
        </w:rPr>
        <w:fldChar w:fldCharType="separate"/>
      </w:r>
      <w:r>
        <w:rPr>
          <w:rFonts w:ascii="Times New Roman" w:eastAsia="汉仪中宋简" w:hAnsi="Times New Roman" w:hint="eastAsia"/>
          <w:sz w:val="32"/>
          <w:szCs w:val="32"/>
        </w:rPr>
        <w:t>第二部分</w:t>
      </w:r>
      <w:r>
        <w:rPr>
          <w:rFonts w:ascii="Times New Roman" w:eastAsia="汉仪中宋简" w:hAnsi="Times New Roman"/>
          <w:sz w:val="32"/>
          <w:szCs w:val="32"/>
        </w:rPr>
        <w:t xml:space="preserve"> 2020</w:t>
      </w:r>
      <w:r>
        <w:rPr>
          <w:rFonts w:ascii="Times New Roman" w:eastAsia="汉仪中宋简" w:hAnsi="Times New Roman" w:hint="eastAsia"/>
          <w:sz w:val="32"/>
          <w:szCs w:val="32"/>
        </w:rPr>
        <w:t>年度部门决算情况说明</w:t>
      </w:r>
      <w:r>
        <w:rPr>
          <w:sz w:val="32"/>
          <w:szCs w:val="32"/>
        </w:rPr>
        <w:tab/>
      </w:r>
      <w:r>
        <w:rPr>
          <w:sz w:val="32"/>
          <w:szCs w:val="32"/>
        </w:rPr>
        <w:fldChar w:fldCharType="begin"/>
      </w:r>
      <w:r>
        <w:rPr>
          <w:sz w:val="32"/>
          <w:szCs w:val="32"/>
        </w:rPr>
        <w:instrText xml:space="preserve"> PAGEREF _Toc2820 \h </w:instrText>
      </w:r>
      <w:r>
        <w:rPr>
          <w:sz w:val="32"/>
          <w:szCs w:val="32"/>
        </w:rPr>
        <w:fldChar w:fldCharType="separate"/>
      </w:r>
      <w:r>
        <w:rPr>
          <w:sz w:val="32"/>
          <w:szCs w:val="32"/>
        </w:rPr>
        <w:t>- 6 -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_Toc18782 </w:instrText>
      </w:r>
      <w:r>
        <w:rPr>
          <w:sz w:val="32"/>
          <w:szCs w:val="32"/>
        </w:rPr>
        <w:fldChar w:fldCharType="separate"/>
      </w:r>
      <w:r>
        <w:rPr>
          <w:rFonts w:ascii="Times New Roman" w:eastAsia="汉仪中宋简" w:cs="Times New Roman" w:hAnsi="Times New Roman"/>
          <w:sz w:val="32"/>
          <w:szCs w:val="32"/>
        </w:rPr>
        <w:t xml:space="preserve">一、 </w:t>
      </w:r>
      <w:r>
        <w:rPr>
          <w:rFonts w:ascii="Times New Roman" w:eastAsia="汉仪中宋简" w:hAnsi="Times New Roman" w:hint="eastAsia"/>
          <w:sz w:val="32"/>
          <w:szCs w:val="32"/>
        </w:rPr>
        <w:t>收入支出决算总体情况说明</w:t>
      </w:r>
      <w:r>
        <w:rPr>
          <w:sz w:val="32"/>
          <w:szCs w:val="32"/>
        </w:rPr>
        <w:tab/>
      </w:r>
      <w:r>
        <w:rPr>
          <w:sz w:val="32"/>
          <w:szCs w:val="32"/>
        </w:rPr>
        <w:fldChar w:fldCharType="begin"/>
      </w:r>
      <w:r>
        <w:rPr>
          <w:sz w:val="32"/>
          <w:szCs w:val="32"/>
        </w:rPr>
        <w:instrText xml:space="preserve"> PAGEREF _Toc18782 \h </w:instrText>
      </w:r>
      <w:r>
        <w:rPr>
          <w:sz w:val="32"/>
          <w:szCs w:val="32"/>
        </w:rPr>
        <w:fldChar w:fldCharType="separate"/>
      </w:r>
      <w:r>
        <w:rPr>
          <w:sz w:val="32"/>
          <w:szCs w:val="32"/>
        </w:rPr>
        <w:t>- 6 -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_Toc7742 </w:instrText>
      </w:r>
      <w:r>
        <w:rPr>
          <w:sz w:val="32"/>
          <w:szCs w:val="32"/>
        </w:rPr>
        <w:fldChar w:fldCharType="separate"/>
      </w:r>
      <w:r>
        <w:rPr>
          <w:rFonts w:ascii="Times New Roman" w:eastAsia="汉仪中宋简" w:cs="Times New Roman" w:hAnsi="Times New Roman"/>
          <w:sz w:val="32"/>
          <w:szCs w:val="32"/>
        </w:rPr>
        <w:t xml:space="preserve">二、 </w:t>
      </w:r>
      <w:r>
        <w:rPr>
          <w:rFonts w:ascii="Times New Roman" w:eastAsia="汉仪中宋简" w:hAnsi="Times New Roman" w:hint="eastAsia"/>
          <w:sz w:val="32"/>
          <w:szCs w:val="32"/>
        </w:rPr>
        <w:t>收入决算情况说明</w:t>
      </w:r>
      <w:r>
        <w:rPr>
          <w:sz w:val="32"/>
          <w:szCs w:val="32"/>
        </w:rPr>
        <w:tab/>
      </w:r>
      <w:r>
        <w:rPr>
          <w:sz w:val="32"/>
          <w:szCs w:val="32"/>
        </w:rPr>
        <w:fldChar w:fldCharType="begin"/>
      </w:r>
      <w:r>
        <w:rPr>
          <w:sz w:val="32"/>
          <w:szCs w:val="32"/>
        </w:rPr>
        <w:instrText xml:space="preserve"> PAGEREF _Toc7742 \h </w:instrText>
      </w:r>
      <w:r>
        <w:rPr>
          <w:sz w:val="32"/>
          <w:szCs w:val="32"/>
        </w:rPr>
        <w:fldChar w:fldCharType="separate"/>
      </w:r>
      <w:r>
        <w:rPr>
          <w:sz w:val="32"/>
          <w:szCs w:val="32"/>
        </w:rPr>
        <w:t>- 6 -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_Toc19204 </w:instrText>
      </w:r>
      <w:r>
        <w:rPr>
          <w:sz w:val="32"/>
          <w:szCs w:val="32"/>
        </w:rPr>
        <w:fldChar w:fldCharType="separate"/>
      </w:r>
      <w:r>
        <w:rPr>
          <w:rFonts w:ascii="Times New Roman" w:eastAsia="汉仪中宋简" w:cs="Times New Roman" w:hAnsi="Times New Roman"/>
          <w:sz w:val="32"/>
          <w:szCs w:val="32"/>
        </w:rPr>
        <w:t xml:space="preserve">三、 </w:t>
      </w:r>
      <w:r>
        <w:rPr>
          <w:rFonts w:ascii="Times New Roman" w:eastAsia="汉仪中宋简" w:hAnsi="Times New Roman" w:hint="eastAsia"/>
          <w:sz w:val="32"/>
          <w:szCs w:val="32"/>
        </w:rPr>
        <w:t>支出决算情况说明</w:t>
      </w:r>
      <w:r>
        <w:rPr>
          <w:sz w:val="32"/>
          <w:szCs w:val="32"/>
        </w:rPr>
        <w:tab/>
      </w:r>
      <w:r>
        <w:rPr>
          <w:sz w:val="32"/>
          <w:szCs w:val="32"/>
        </w:rPr>
        <w:fldChar w:fldCharType="begin"/>
      </w:r>
      <w:r>
        <w:rPr>
          <w:sz w:val="32"/>
          <w:szCs w:val="32"/>
        </w:rPr>
        <w:instrText xml:space="preserve"> PAGEREF _Toc19204 \h </w:instrText>
      </w:r>
      <w:r>
        <w:rPr>
          <w:sz w:val="32"/>
          <w:szCs w:val="32"/>
        </w:rPr>
        <w:fldChar w:fldCharType="separate"/>
      </w:r>
      <w:r>
        <w:rPr>
          <w:sz w:val="32"/>
          <w:szCs w:val="32"/>
        </w:rPr>
        <w:t>- 6 -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_Toc18765 </w:instrText>
      </w:r>
      <w:r>
        <w:rPr>
          <w:sz w:val="32"/>
          <w:szCs w:val="32"/>
        </w:rPr>
        <w:fldChar w:fldCharType="separate"/>
      </w:r>
      <w:r>
        <w:rPr>
          <w:rFonts w:ascii="Times New Roman" w:eastAsia="汉仪中宋简" w:hAnsi="Times New Roman" w:hint="eastAsia"/>
          <w:sz w:val="32"/>
          <w:szCs w:val="32"/>
        </w:rPr>
        <w:t>四、财政拨款收入支出决算总体情况说明</w:t>
      </w:r>
      <w:r>
        <w:rPr>
          <w:sz w:val="32"/>
          <w:szCs w:val="32"/>
        </w:rPr>
        <w:tab/>
      </w:r>
      <w:r>
        <w:rPr>
          <w:sz w:val="32"/>
          <w:szCs w:val="32"/>
        </w:rPr>
        <w:fldChar w:fldCharType="begin"/>
      </w:r>
      <w:r>
        <w:rPr>
          <w:sz w:val="32"/>
          <w:szCs w:val="32"/>
        </w:rPr>
        <w:instrText xml:space="preserve"> PAGEREF _Toc18765 \h </w:instrText>
      </w:r>
      <w:r>
        <w:rPr>
          <w:sz w:val="32"/>
          <w:szCs w:val="32"/>
        </w:rPr>
        <w:fldChar w:fldCharType="separate"/>
      </w:r>
      <w:r>
        <w:rPr>
          <w:sz w:val="32"/>
          <w:szCs w:val="32"/>
        </w:rPr>
        <w:t>- 6 -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_Toc24547 </w:instrText>
      </w:r>
      <w:r>
        <w:rPr>
          <w:sz w:val="32"/>
          <w:szCs w:val="32"/>
        </w:rPr>
        <w:fldChar w:fldCharType="separate"/>
      </w:r>
      <w:r>
        <w:rPr>
          <w:rFonts w:ascii="Times New Roman" w:eastAsia="汉仪中宋简" w:hAnsi="Times New Roman" w:hint="eastAsia"/>
          <w:sz w:val="32"/>
          <w:szCs w:val="32"/>
        </w:rPr>
        <w:t>五、一般公共预算财政拨款支出决算情况说明</w:t>
      </w:r>
      <w:r>
        <w:rPr>
          <w:sz w:val="32"/>
          <w:szCs w:val="32"/>
        </w:rPr>
        <w:tab/>
      </w:r>
      <w:r>
        <w:rPr>
          <w:sz w:val="32"/>
          <w:szCs w:val="32"/>
        </w:rPr>
        <w:fldChar w:fldCharType="begin"/>
      </w:r>
      <w:r>
        <w:rPr>
          <w:sz w:val="32"/>
          <w:szCs w:val="32"/>
        </w:rPr>
        <w:instrText xml:space="preserve"> PAGEREF _Toc24547 \h </w:instrText>
      </w:r>
      <w:r>
        <w:rPr>
          <w:sz w:val="32"/>
          <w:szCs w:val="32"/>
        </w:rPr>
        <w:fldChar w:fldCharType="separate"/>
      </w:r>
      <w:r>
        <w:rPr>
          <w:sz w:val="32"/>
          <w:szCs w:val="32"/>
        </w:rPr>
        <w:t>- 6 -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_Toc8892 </w:instrText>
      </w:r>
      <w:r>
        <w:rPr>
          <w:sz w:val="32"/>
          <w:szCs w:val="32"/>
        </w:rPr>
        <w:fldChar w:fldCharType="separate"/>
      </w:r>
      <w:r>
        <w:rPr>
          <w:rFonts w:ascii="Times New Roman" w:eastAsia="汉仪中宋简" w:hAnsi="Times New Roman" w:hint="eastAsia"/>
          <w:sz w:val="32"/>
          <w:szCs w:val="32"/>
        </w:rPr>
        <w:t>（一）一般公共预算财政拨款支出决算总体情况</w:t>
      </w:r>
      <w:r>
        <w:rPr>
          <w:sz w:val="32"/>
          <w:szCs w:val="32"/>
        </w:rPr>
        <w:tab/>
      </w:r>
      <w:r>
        <w:rPr>
          <w:sz w:val="32"/>
          <w:szCs w:val="32"/>
        </w:rPr>
        <w:fldChar w:fldCharType="begin"/>
      </w:r>
      <w:r>
        <w:rPr>
          <w:sz w:val="32"/>
          <w:szCs w:val="32"/>
        </w:rPr>
        <w:instrText xml:space="preserve"> PAGEREF _Toc8892 \h </w:instrText>
      </w:r>
      <w:r>
        <w:rPr>
          <w:sz w:val="32"/>
          <w:szCs w:val="32"/>
        </w:rPr>
        <w:fldChar w:fldCharType="separate"/>
      </w:r>
      <w:r>
        <w:rPr>
          <w:sz w:val="32"/>
          <w:szCs w:val="32"/>
        </w:rPr>
        <w:t>- 6 -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_Toc21908 </w:instrText>
      </w:r>
      <w:r>
        <w:rPr>
          <w:sz w:val="32"/>
          <w:szCs w:val="32"/>
        </w:rPr>
        <w:fldChar w:fldCharType="separate"/>
      </w:r>
      <w:r>
        <w:rPr>
          <w:rFonts w:ascii="Times New Roman" w:eastAsia="汉仪中宋简" w:hAnsi="Times New Roman" w:hint="eastAsia"/>
          <w:sz w:val="32"/>
          <w:szCs w:val="32"/>
        </w:rPr>
        <w:t>（二）一般公共预算财政拨款支出决算结构情况</w:t>
      </w:r>
      <w:r>
        <w:rPr>
          <w:sz w:val="32"/>
          <w:szCs w:val="32"/>
        </w:rPr>
        <w:tab/>
      </w:r>
      <w:r>
        <w:rPr>
          <w:sz w:val="32"/>
          <w:szCs w:val="32"/>
        </w:rPr>
        <w:fldChar w:fldCharType="begin"/>
      </w:r>
      <w:r>
        <w:rPr>
          <w:sz w:val="32"/>
          <w:szCs w:val="32"/>
        </w:rPr>
        <w:instrText xml:space="preserve"> PAGEREF _Toc21908 \h </w:instrText>
      </w:r>
      <w:r>
        <w:rPr>
          <w:sz w:val="32"/>
          <w:szCs w:val="32"/>
        </w:rPr>
        <w:fldChar w:fldCharType="separate"/>
      </w:r>
      <w:r>
        <w:rPr>
          <w:sz w:val="32"/>
          <w:szCs w:val="32"/>
        </w:rPr>
        <w:t>- 7 -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_Toc28133 </w:instrText>
      </w:r>
      <w:r>
        <w:rPr>
          <w:sz w:val="32"/>
          <w:szCs w:val="32"/>
        </w:rPr>
        <w:fldChar w:fldCharType="separate"/>
      </w:r>
      <w:r>
        <w:rPr>
          <w:rFonts w:ascii="Times New Roman" w:eastAsia="汉仪中宋简" w:hAnsi="Times New Roman" w:hint="eastAsia"/>
          <w:sz w:val="32"/>
          <w:szCs w:val="32"/>
        </w:rPr>
        <w:t>（三）一般公共预算财政拨款支出决算具体情况</w:t>
      </w:r>
      <w:r>
        <w:rPr>
          <w:sz w:val="32"/>
          <w:szCs w:val="32"/>
        </w:rPr>
        <w:tab/>
      </w:r>
      <w:r>
        <w:rPr>
          <w:sz w:val="32"/>
          <w:szCs w:val="32"/>
        </w:rPr>
        <w:fldChar w:fldCharType="begin"/>
      </w:r>
      <w:r>
        <w:rPr>
          <w:sz w:val="32"/>
          <w:szCs w:val="32"/>
        </w:rPr>
        <w:instrText xml:space="preserve"> PAGEREF _Toc28133 \h </w:instrText>
      </w:r>
      <w:r>
        <w:rPr>
          <w:sz w:val="32"/>
          <w:szCs w:val="32"/>
        </w:rPr>
        <w:fldChar w:fldCharType="separate"/>
      </w:r>
      <w:r>
        <w:rPr>
          <w:sz w:val="32"/>
          <w:szCs w:val="32"/>
        </w:rPr>
        <w:t>- 7 -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_Toc14087 </w:instrText>
      </w:r>
      <w:r>
        <w:rPr>
          <w:sz w:val="32"/>
          <w:szCs w:val="32"/>
        </w:rPr>
        <w:fldChar w:fldCharType="separate"/>
      </w:r>
      <w:r>
        <w:rPr>
          <w:rFonts w:ascii="Times New Roman" w:eastAsia="汉仪中宋简" w:hAnsi="Times New Roman" w:hint="eastAsia"/>
          <w:sz w:val="32"/>
          <w:szCs w:val="32"/>
        </w:rPr>
        <w:t>六、一般公共预算财政拨款基本支出决算情况说明</w:t>
      </w:r>
      <w:r>
        <w:rPr>
          <w:sz w:val="32"/>
          <w:szCs w:val="32"/>
        </w:rPr>
        <w:tab/>
      </w:r>
      <w:r>
        <w:rPr>
          <w:sz w:val="32"/>
          <w:szCs w:val="32"/>
        </w:rPr>
        <w:fldChar w:fldCharType="begin"/>
      </w:r>
      <w:r>
        <w:rPr>
          <w:sz w:val="32"/>
          <w:szCs w:val="32"/>
        </w:rPr>
        <w:instrText xml:space="preserve"> PAGEREF _Toc14087 \h </w:instrText>
      </w:r>
      <w:r>
        <w:rPr>
          <w:sz w:val="32"/>
          <w:szCs w:val="32"/>
        </w:rPr>
        <w:fldChar w:fldCharType="separate"/>
      </w:r>
      <w:r>
        <w:rPr>
          <w:sz w:val="32"/>
          <w:szCs w:val="32"/>
        </w:rPr>
        <w:t>- 8 -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_Toc24399 </w:instrText>
      </w:r>
      <w:r>
        <w:rPr>
          <w:sz w:val="32"/>
          <w:szCs w:val="32"/>
        </w:rPr>
        <w:fldChar w:fldCharType="separate"/>
      </w:r>
      <w:r>
        <w:rPr>
          <w:rFonts w:ascii="Times New Roman" w:eastAsia="汉仪中宋简" w:hAnsi="Times New Roman" w:hint="eastAsia"/>
          <w:sz w:val="32"/>
          <w:szCs w:val="32"/>
        </w:rPr>
        <w:t>七、“三公”经费财政拨款支出决算情况说明</w:t>
      </w:r>
      <w:r>
        <w:rPr>
          <w:sz w:val="32"/>
          <w:szCs w:val="32"/>
        </w:rPr>
        <w:tab/>
      </w:r>
      <w:r>
        <w:rPr>
          <w:sz w:val="32"/>
          <w:szCs w:val="32"/>
        </w:rPr>
        <w:fldChar w:fldCharType="begin"/>
      </w:r>
      <w:r>
        <w:rPr>
          <w:sz w:val="32"/>
          <w:szCs w:val="32"/>
        </w:rPr>
        <w:instrText xml:space="preserve"> PAGEREF _Toc24399 \h </w:instrText>
      </w:r>
      <w:r>
        <w:rPr>
          <w:sz w:val="32"/>
          <w:szCs w:val="32"/>
        </w:rPr>
        <w:fldChar w:fldCharType="separate"/>
      </w:r>
      <w:r>
        <w:rPr>
          <w:sz w:val="32"/>
          <w:szCs w:val="32"/>
        </w:rPr>
        <w:t>- 8 -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_Toc32322 </w:instrText>
      </w:r>
      <w:r>
        <w:rPr>
          <w:sz w:val="32"/>
          <w:szCs w:val="32"/>
        </w:rPr>
        <w:fldChar w:fldCharType="separate"/>
      </w:r>
      <w:r>
        <w:rPr>
          <w:rFonts w:ascii="Times New Roman" w:eastAsia="汉仪中宋简" w:hAnsi="Times New Roman" w:hint="eastAsia"/>
          <w:sz w:val="32"/>
          <w:szCs w:val="32"/>
        </w:rPr>
        <w:t>（一）“三公”经费财政拨款支出决算总体情况说明</w:t>
      </w:r>
      <w:r>
        <w:rPr>
          <w:sz w:val="32"/>
          <w:szCs w:val="32"/>
        </w:rPr>
        <w:tab/>
      </w:r>
      <w:r>
        <w:rPr>
          <w:sz w:val="32"/>
          <w:szCs w:val="32"/>
        </w:rPr>
        <w:fldChar w:fldCharType="begin"/>
      </w:r>
      <w:r>
        <w:rPr>
          <w:sz w:val="32"/>
          <w:szCs w:val="32"/>
        </w:rPr>
        <w:instrText xml:space="preserve"> PAGEREF _Toc32322 \h </w:instrText>
      </w:r>
      <w:r>
        <w:rPr>
          <w:sz w:val="32"/>
          <w:szCs w:val="32"/>
        </w:rPr>
        <w:fldChar w:fldCharType="separate"/>
      </w:r>
      <w:r>
        <w:rPr>
          <w:sz w:val="32"/>
          <w:szCs w:val="32"/>
        </w:rPr>
        <w:t>- 8 -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_Toc23286 </w:instrText>
      </w:r>
      <w:r>
        <w:rPr>
          <w:sz w:val="32"/>
          <w:szCs w:val="32"/>
        </w:rPr>
        <w:fldChar w:fldCharType="separate"/>
      </w:r>
      <w:r>
        <w:rPr>
          <w:rFonts w:ascii="Times New Roman" w:eastAsia="汉仪中宋简" w:hAnsi="Times New Roman" w:hint="eastAsia"/>
          <w:sz w:val="32"/>
          <w:szCs w:val="32"/>
        </w:rPr>
        <w:t>（二）“三公”经费财政拨款支出决算具体情况说明</w:t>
      </w:r>
      <w:r>
        <w:rPr>
          <w:sz w:val="32"/>
          <w:szCs w:val="32"/>
        </w:rPr>
        <w:tab/>
      </w:r>
      <w:r>
        <w:rPr>
          <w:sz w:val="32"/>
          <w:szCs w:val="32"/>
        </w:rPr>
        <w:fldChar w:fldCharType="begin"/>
      </w:r>
      <w:r>
        <w:rPr>
          <w:sz w:val="32"/>
          <w:szCs w:val="32"/>
        </w:rPr>
        <w:instrText xml:space="preserve"> PAGEREF _Toc23286 \h </w:instrText>
      </w:r>
      <w:r>
        <w:rPr>
          <w:sz w:val="32"/>
          <w:szCs w:val="32"/>
        </w:rPr>
        <w:fldChar w:fldCharType="separate"/>
      </w:r>
      <w:r>
        <w:rPr>
          <w:sz w:val="32"/>
          <w:szCs w:val="32"/>
        </w:rPr>
        <w:t>- 8 -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_Toc21856 </w:instrText>
      </w:r>
      <w:r>
        <w:rPr>
          <w:sz w:val="32"/>
          <w:szCs w:val="32"/>
        </w:rPr>
        <w:fldChar w:fldCharType="separate"/>
      </w:r>
      <w:r>
        <w:rPr>
          <w:rFonts w:ascii="Times New Roman" w:eastAsia="汉仪中宋简" w:hAnsi="Times New Roman" w:hint="eastAsia"/>
          <w:sz w:val="32"/>
          <w:szCs w:val="32"/>
        </w:rPr>
        <w:t>八、政府性基金预算支出决算情况说明</w:t>
      </w:r>
      <w:r>
        <w:rPr>
          <w:sz w:val="32"/>
          <w:szCs w:val="32"/>
        </w:rPr>
        <w:tab/>
      </w:r>
      <w:r>
        <w:rPr>
          <w:sz w:val="32"/>
          <w:szCs w:val="32"/>
        </w:rPr>
        <w:fldChar w:fldCharType="begin"/>
      </w:r>
      <w:r>
        <w:rPr>
          <w:sz w:val="32"/>
          <w:szCs w:val="32"/>
        </w:rPr>
        <w:instrText xml:space="preserve"> PAGEREF _Toc21856 \h </w:instrText>
      </w:r>
      <w:r>
        <w:rPr>
          <w:sz w:val="32"/>
          <w:szCs w:val="32"/>
        </w:rPr>
        <w:fldChar w:fldCharType="separate"/>
      </w:r>
      <w:r>
        <w:rPr>
          <w:sz w:val="32"/>
          <w:szCs w:val="32"/>
        </w:rPr>
        <w:t>- 9 -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_Toc15612 </w:instrText>
      </w:r>
      <w:r>
        <w:rPr>
          <w:sz w:val="32"/>
          <w:szCs w:val="32"/>
        </w:rPr>
        <w:fldChar w:fldCharType="separate"/>
      </w:r>
      <w:r>
        <w:rPr>
          <w:rFonts w:ascii="Times New Roman" w:eastAsia="汉仪中宋简" w:cs="Times New Roman" w:hAnsi="Times New Roman" w:hint="eastAsia"/>
          <w:sz w:val="32"/>
          <w:szCs w:val="32"/>
        </w:rPr>
        <w:t xml:space="preserve">九、 </w:t>
      </w:r>
      <w:r>
        <w:rPr>
          <w:rFonts w:ascii="Times New Roman" w:eastAsia="汉仪中宋简" w:hAnsi="Times New Roman" w:hint="eastAsia"/>
          <w:sz w:val="32"/>
          <w:szCs w:val="32"/>
        </w:rPr>
        <w:t>国有资本经营预算支出决算情况说明</w:t>
      </w:r>
      <w:r>
        <w:rPr>
          <w:sz w:val="32"/>
          <w:szCs w:val="32"/>
        </w:rPr>
        <w:tab/>
      </w:r>
      <w:r>
        <w:rPr>
          <w:sz w:val="32"/>
          <w:szCs w:val="32"/>
        </w:rPr>
        <w:fldChar w:fldCharType="begin"/>
      </w:r>
      <w:r>
        <w:rPr>
          <w:sz w:val="32"/>
          <w:szCs w:val="32"/>
        </w:rPr>
        <w:instrText xml:space="preserve"> PAGEREF _Toc15612 \h </w:instrText>
      </w:r>
      <w:r>
        <w:rPr>
          <w:sz w:val="32"/>
          <w:szCs w:val="32"/>
        </w:rPr>
        <w:fldChar w:fldCharType="separate"/>
      </w:r>
      <w:r>
        <w:rPr>
          <w:sz w:val="32"/>
          <w:szCs w:val="32"/>
        </w:rPr>
        <w:t>- 9 -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_Toc10316 </w:instrText>
      </w:r>
      <w:r>
        <w:rPr>
          <w:sz w:val="32"/>
          <w:szCs w:val="32"/>
        </w:rPr>
        <w:fldChar w:fldCharType="separate"/>
      </w:r>
      <w:r>
        <w:rPr>
          <w:rFonts w:ascii="Times New Roman" w:eastAsia="汉仪中宋简" w:hAnsi="Times New Roman" w:hint="eastAsia"/>
          <w:sz w:val="32"/>
          <w:szCs w:val="32"/>
        </w:rPr>
        <w:t>十、其他重要事项的情况说明</w:t>
      </w:r>
      <w:r>
        <w:rPr>
          <w:sz w:val="32"/>
          <w:szCs w:val="32"/>
        </w:rPr>
        <w:tab/>
      </w:r>
      <w:r>
        <w:rPr>
          <w:sz w:val="32"/>
          <w:szCs w:val="32"/>
        </w:rPr>
        <w:fldChar w:fldCharType="begin"/>
      </w:r>
      <w:r>
        <w:rPr>
          <w:sz w:val="32"/>
          <w:szCs w:val="32"/>
        </w:rPr>
        <w:instrText xml:space="preserve"> PAGEREF _Toc10316 \h </w:instrText>
      </w:r>
      <w:r>
        <w:rPr>
          <w:sz w:val="32"/>
          <w:szCs w:val="32"/>
        </w:rPr>
        <w:fldChar w:fldCharType="separate"/>
      </w:r>
      <w:r>
        <w:rPr>
          <w:sz w:val="32"/>
          <w:szCs w:val="32"/>
        </w:rPr>
        <w:t>- 9 -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_Toc19428 </w:instrText>
      </w:r>
      <w:r>
        <w:rPr>
          <w:sz w:val="32"/>
          <w:szCs w:val="32"/>
        </w:rPr>
        <w:fldChar w:fldCharType="separate"/>
      </w:r>
      <w:r>
        <w:rPr>
          <w:rFonts w:ascii="Times New Roman" w:eastAsia="汉仪中宋简" w:hAnsi="Times New Roman" w:hint="eastAsia"/>
          <w:sz w:val="32"/>
          <w:szCs w:val="32"/>
        </w:rPr>
        <w:t>（一）机关运行经费支出情况</w:t>
      </w:r>
      <w:r>
        <w:rPr>
          <w:sz w:val="32"/>
          <w:szCs w:val="32"/>
        </w:rPr>
        <w:tab/>
      </w:r>
      <w:r>
        <w:rPr>
          <w:sz w:val="32"/>
          <w:szCs w:val="32"/>
        </w:rPr>
        <w:fldChar w:fldCharType="begin"/>
      </w:r>
      <w:r>
        <w:rPr>
          <w:sz w:val="32"/>
          <w:szCs w:val="32"/>
        </w:rPr>
        <w:instrText xml:space="preserve"> PAGEREF _Toc19428 \h </w:instrText>
      </w:r>
      <w:r>
        <w:rPr>
          <w:sz w:val="32"/>
          <w:szCs w:val="32"/>
        </w:rPr>
        <w:fldChar w:fldCharType="separate"/>
      </w:r>
      <w:r>
        <w:rPr>
          <w:sz w:val="32"/>
          <w:szCs w:val="32"/>
        </w:rPr>
        <w:t>- 9 -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_Toc3248 </w:instrText>
      </w:r>
      <w:r>
        <w:rPr>
          <w:sz w:val="32"/>
          <w:szCs w:val="32"/>
        </w:rPr>
        <w:fldChar w:fldCharType="separate"/>
      </w:r>
      <w:r>
        <w:rPr>
          <w:rFonts w:ascii="Times New Roman" w:eastAsia="汉仪中宋简" w:hAnsi="Times New Roman" w:hint="eastAsia"/>
          <w:sz w:val="32"/>
          <w:szCs w:val="32"/>
        </w:rPr>
        <w:t>（二）政府采购支出情况</w:t>
      </w:r>
      <w:r>
        <w:rPr>
          <w:sz w:val="32"/>
          <w:szCs w:val="32"/>
        </w:rPr>
        <w:tab/>
      </w:r>
      <w:r>
        <w:rPr>
          <w:sz w:val="32"/>
          <w:szCs w:val="32"/>
        </w:rPr>
        <w:fldChar w:fldCharType="begin"/>
      </w:r>
      <w:r>
        <w:rPr>
          <w:sz w:val="32"/>
          <w:szCs w:val="32"/>
        </w:rPr>
        <w:instrText xml:space="preserve"> PAGEREF _Toc3248 \h </w:instrText>
      </w:r>
      <w:r>
        <w:rPr>
          <w:sz w:val="32"/>
          <w:szCs w:val="32"/>
        </w:rPr>
        <w:fldChar w:fldCharType="separate"/>
      </w:r>
      <w:r>
        <w:rPr>
          <w:sz w:val="32"/>
          <w:szCs w:val="32"/>
        </w:rPr>
        <w:t>- 9 -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_Toc29441 </w:instrText>
      </w:r>
      <w:r>
        <w:rPr>
          <w:sz w:val="32"/>
          <w:szCs w:val="32"/>
        </w:rPr>
        <w:fldChar w:fldCharType="separate"/>
      </w:r>
      <w:r>
        <w:rPr>
          <w:rFonts w:ascii="Times New Roman" w:eastAsia="汉仪中宋简" w:hAnsi="Times New Roman" w:hint="eastAsia"/>
          <w:sz w:val="32"/>
          <w:szCs w:val="32"/>
        </w:rPr>
        <w:t>（三）国有资产占有使用情况</w:t>
      </w:r>
      <w:r>
        <w:rPr>
          <w:sz w:val="32"/>
          <w:szCs w:val="32"/>
        </w:rPr>
        <w:tab/>
      </w:r>
      <w:r>
        <w:rPr>
          <w:sz w:val="32"/>
          <w:szCs w:val="32"/>
        </w:rPr>
        <w:fldChar w:fldCharType="begin"/>
      </w:r>
      <w:r>
        <w:rPr>
          <w:sz w:val="32"/>
          <w:szCs w:val="32"/>
        </w:rPr>
        <w:instrText xml:space="preserve"> PAGEREF _Toc29441 \h </w:instrText>
      </w:r>
      <w:r>
        <w:rPr>
          <w:sz w:val="32"/>
          <w:szCs w:val="32"/>
        </w:rPr>
        <w:fldChar w:fldCharType="separate"/>
      </w:r>
      <w:r>
        <w:rPr>
          <w:sz w:val="32"/>
          <w:szCs w:val="32"/>
        </w:rPr>
        <w:t>- 9 -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_Toc930 </w:instrText>
      </w:r>
      <w:r>
        <w:rPr>
          <w:sz w:val="32"/>
          <w:szCs w:val="32"/>
        </w:rPr>
        <w:fldChar w:fldCharType="separate"/>
      </w:r>
      <w:r>
        <w:rPr>
          <w:rFonts w:ascii="Times New Roman" w:eastAsia="汉仪中宋简" w:hAnsi="Times New Roman" w:hint="eastAsia"/>
          <w:sz w:val="32"/>
          <w:szCs w:val="32"/>
        </w:rPr>
        <w:t>（四）预算绩效管理情况。</w:t>
      </w:r>
      <w:r>
        <w:rPr>
          <w:sz w:val="32"/>
          <w:szCs w:val="32"/>
        </w:rPr>
        <w:tab/>
      </w:r>
      <w:r>
        <w:rPr>
          <w:sz w:val="32"/>
          <w:szCs w:val="32"/>
        </w:rPr>
        <w:fldChar w:fldCharType="begin"/>
      </w:r>
      <w:r>
        <w:rPr>
          <w:sz w:val="32"/>
          <w:szCs w:val="32"/>
        </w:rPr>
        <w:instrText xml:space="preserve"> PAGEREF _Toc930 \h </w:instrText>
      </w:r>
      <w:r>
        <w:rPr>
          <w:sz w:val="32"/>
          <w:szCs w:val="32"/>
        </w:rPr>
        <w:fldChar w:fldCharType="separate"/>
      </w:r>
      <w:r>
        <w:rPr>
          <w:sz w:val="32"/>
          <w:szCs w:val="32"/>
        </w:rPr>
        <w:t>- 9 -</w:t>
      </w:r>
      <w:r>
        <w:rPr>
          <w:sz w:val="32"/>
          <w:szCs w:val="32"/>
        </w:rPr>
        <w:fldChar w:fldCharType="end"/>
      </w:r>
      <w:r>
        <w:rPr>
          <w:sz w:val="32"/>
          <w:szCs w:val="32"/>
        </w:rPr>
        <w:fldChar w:fldCharType="end"/>
      </w:r>
    </w:p>
    <w:p>
      <w:pPr>
        <w:pStyle w:val="41"/>
        <w:tabs>
          <w:tab w:val="right" w:leader="dot" w:pos="8306"/>
        </w:tabs>
        <w:rPr>
          <w:sz w:val="32"/>
          <w:szCs w:val="32"/>
        </w:rPr>
      </w:pPr>
      <w:r>
        <w:rPr>
          <w:sz w:val="32"/>
          <w:szCs w:val="32"/>
        </w:rPr>
        <w:fldChar w:fldCharType="begin"/>
      </w:r>
      <w:r>
        <w:rPr>
          <w:sz w:val="32"/>
          <w:szCs w:val="32"/>
        </w:rPr>
        <w:instrText xml:space="preserve"> HYPERLINK \l _Toc3570 </w:instrText>
      </w:r>
      <w:r>
        <w:rPr>
          <w:sz w:val="32"/>
          <w:szCs w:val="32"/>
        </w:rPr>
        <w:fldChar w:fldCharType="separate"/>
      </w:r>
      <w:r>
        <w:rPr>
          <w:rFonts w:ascii="Times New Roman" w:eastAsia="汉仪中宋简" w:cs="Times New Roman" w:hAnsi="Times New Roman" w:hint="eastAsia"/>
          <w:sz w:val="32"/>
          <w:szCs w:val="32"/>
        </w:rPr>
        <w:t xml:space="preserve">第三部分 </w:t>
      </w:r>
      <w:r>
        <w:rPr>
          <w:rFonts w:ascii="Times New Roman" w:eastAsia="汉仪中宋简" w:hAnsi="Times New Roman" w:hint="eastAsia"/>
          <w:sz w:val="32"/>
          <w:szCs w:val="32"/>
        </w:rPr>
        <w:t>名词解释</w:t>
      </w:r>
      <w:r>
        <w:rPr>
          <w:sz w:val="32"/>
          <w:szCs w:val="32"/>
        </w:rPr>
        <w:tab/>
      </w:r>
      <w:r>
        <w:rPr>
          <w:sz w:val="32"/>
          <w:szCs w:val="32"/>
        </w:rPr>
        <w:fldChar w:fldCharType="begin"/>
      </w:r>
      <w:r>
        <w:rPr>
          <w:sz w:val="32"/>
          <w:szCs w:val="32"/>
        </w:rPr>
        <w:instrText xml:space="preserve"> PAGEREF _Toc3570 \h </w:instrText>
      </w:r>
      <w:r>
        <w:rPr>
          <w:sz w:val="32"/>
          <w:szCs w:val="32"/>
        </w:rPr>
        <w:fldChar w:fldCharType="separate"/>
      </w:r>
      <w:r>
        <w:rPr>
          <w:sz w:val="32"/>
          <w:szCs w:val="32"/>
        </w:rPr>
        <w:t>- 12 -</w:t>
      </w:r>
      <w:r>
        <w:rPr>
          <w:sz w:val="32"/>
          <w:szCs w:val="32"/>
        </w:rPr>
        <w:fldChar w:fldCharType="end"/>
      </w:r>
      <w:r>
        <w:rPr>
          <w:sz w:val="32"/>
          <w:szCs w:val="32"/>
        </w:rPr>
        <w:fldChar w:fldCharType="end"/>
      </w:r>
    </w:p>
    <w:p>
      <w:pPr>
        <w:pStyle w:val="41"/>
        <w:tabs>
          <w:tab w:val="right" w:leader="dot" w:pos="8306"/>
        </w:tabs>
        <w:rPr>
          <w:sz w:val="32"/>
          <w:szCs w:val="32"/>
        </w:rPr>
      </w:pPr>
      <w:r>
        <w:rPr>
          <w:sz w:val="32"/>
          <w:szCs w:val="32"/>
        </w:rPr>
        <w:fldChar w:fldCharType="begin"/>
      </w:r>
      <w:r>
        <w:rPr>
          <w:sz w:val="32"/>
          <w:szCs w:val="32"/>
        </w:rPr>
        <w:instrText xml:space="preserve"> HYPERLINK \l _Toc26015 </w:instrText>
      </w:r>
      <w:r>
        <w:rPr>
          <w:sz w:val="32"/>
          <w:szCs w:val="32"/>
        </w:rPr>
        <w:fldChar w:fldCharType="separate"/>
      </w:r>
      <w:r>
        <w:rPr>
          <w:rFonts w:ascii="Times New Roman" w:eastAsia="汉仪中宋简" w:hAnsi="Times New Roman" w:hint="eastAsia"/>
          <w:sz w:val="32"/>
          <w:szCs w:val="32"/>
        </w:rPr>
        <w:t>第四部分</w:t>
      </w:r>
      <w:r>
        <w:rPr>
          <w:rFonts w:ascii="Times New Roman" w:eastAsia="汉仪中宋简" w:hAnsi="Times New Roman"/>
          <w:sz w:val="32"/>
          <w:szCs w:val="32"/>
        </w:rPr>
        <w:t xml:space="preserve"> </w:t>
      </w:r>
      <w:r>
        <w:rPr>
          <w:rFonts w:ascii="Times New Roman" w:eastAsia="汉仪中宋简" w:hAnsi="Times New Roman" w:hint="eastAsia"/>
          <w:sz w:val="32"/>
          <w:szCs w:val="32"/>
        </w:rPr>
        <w:t>附件</w:t>
      </w:r>
      <w:r>
        <w:rPr>
          <w:sz w:val="32"/>
          <w:szCs w:val="32"/>
        </w:rPr>
        <w:tab/>
      </w:r>
      <w:r>
        <w:rPr>
          <w:sz w:val="32"/>
          <w:szCs w:val="32"/>
        </w:rPr>
        <w:fldChar w:fldCharType="begin"/>
      </w:r>
      <w:r>
        <w:rPr>
          <w:sz w:val="32"/>
          <w:szCs w:val="32"/>
        </w:rPr>
        <w:instrText xml:space="preserve"> PAGEREF _Toc26015 \h </w:instrText>
      </w:r>
      <w:r>
        <w:rPr>
          <w:sz w:val="32"/>
          <w:szCs w:val="32"/>
        </w:rPr>
        <w:fldChar w:fldCharType="separate"/>
      </w:r>
      <w:r>
        <w:rPr>
          <w:sz w:val="32"/>
          <w:szCs w:val="32"/>
        </w:rPr>
        <w:t>- 14 -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_Toc14641 </w:instrText>
      </w:r>
      <w:r>
        <w:rPr>
          <w:sz w:val="32"/>
          <w:szCs w:val="32"/>
        </w:rPr>
        <w:fldChar w:fldCharType="separate"/>
      </w:r>
      <w:r>
        <w:rPr>
          <w:rFonts w:ascii="Arial" w:eastAsia="黑体" w:cs="黑体" w:hAnsi="Arial" w:hint="eastAsia"/>
          <w:sz w:val="32"/>
          <w:szCs w:val="32"/>
        </w:rPr>
        <w:t>附件</w:t>
      </w:r>
      <w:r>
        <w:rPr>
          <w:rFonts w:ascii="Arial" w:eastAsia="黑体" w:cs="黑体" w:hAnsi="Arial"/>
          <w:sz w:val="32"/>
          <w:szCs w:val="32"/>
        </w:rPr>
        <w:t>1</w:t>
      </w:r>
      <w:r>
        <w:rPr>
          <w:sz w:val="32"/>
          <w:szCs w:val="32"/>
        </w:rPr>
        <w:tab/>
      </w:r>
      <w:r>
        <w:rPr>
          <w:sz w:val="32"/>
          <w:szCs w:val="32"/>
        </w:rPr>
        <w:fldChar w:fldCharType="begin"/>
      </w:r>
      <w:r>
        <w:rPr>
          <w:sz w:val="32"/>
          <w:szCs w:val="32"/>
        </w:rPr>
        <w:instrText xml:space="preserve"> PAGEREF _Toc14641 \h </w:instrText>
      </w:r>
      <w:r>
        <w:rPr>
          <w:sz w:val="32"/>
          <w:szCs w:val="32"/>
        </w:rPr>
        <w:fldChar w:fldCharType="separate"/>
      </w:r>
      <w:r>
        <w:rPr>
          <w:sz w:val="32"/>
          <w:szCs w:val="32"/>
        </w:rPr>
        <w:t>- 14 -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_Toc13150 </w:instrText>
      </w:r>
      <w:r>
        <w:rPr>
          <w:sz w:val="32"/>
          <w:szCs w:val="32"/>
        </w:rPr>
        <w:fldChar w:fldCharType="separate"/>
      </w:r>
      <w:r>
        <w:rPr>
          <w:rFonts w:ascii="Times New Roman" w:eastAsia="汉仪中宋简" w:cs="宋体" w:hAnsi="Times New Roman" w:hint="eastAsia"/>
          <w:kern w:val="0"/>
          <w:sz w:val="32"/>
          <w:szCs w:val="32"/>
          <w:shd w:val="clear" w:color="auto" w:fill="FFFFFF"/>
        </w:rPr>
        <w:t>一、</w:t>
      </w:r>
      <w:r>
        <w:rPr>
          <w:rFonts w:ascii="Times New Roman" w:eastAsia="汉仪中宋简" w:cs="宋体" w:hAnsi="Times New Roman" w:hint="eastAsia"/>
          <w:kern w:val="0"/>
          <w:sz w:val="32"/>
          <w:szCs w:val="32"/>
          <w:shd w:val="clear" w:color="auto" w:fill="FFFFFF"/>
          <w:lang w:val="zh-CN"/>
        </w:rPr>
        <w:t>部门（单位）概况</w:t>
      </w:r>
      <w:r>
        <w:rPr>
          <w:sz w:val="32"/>
          <w:szCs w:val="32"/>
        </w:rPr>
        <w:tab/>
      </w:r>
      <w:r>
        <w:rPr>
          <w:sz w:val="32"/>
          <w:szCs w:val="32"/>
        </w:rPr>
        <w:fldChar w:fldCharType="begin"/>
      </w:r>
      <w:r>
        <w:rPr>
          <w:sz w:val="32"/>
          <w:szCs w:val="32"/>
        </w:rPr>
        <w:instrText xml:space="preserve"> PAGEREF _Toc13150 \h </w:instrText>
      </w:r>
      <w:r>
        <w:rPr>
          <w:sz w:val="32"/>
          <w:szCs w:val="32"/>
        </w:rPr>
        <w:fldChar w:fldCharType="separate"/>
      </w:r>
      <w:r>
        <w:rPr>
          <w:sz w:val="32"/>
          <w:szCs w:val="32"/>
        </w:rPr>
        <w:t>- 14 -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_Toc6170 </w:instrText>
      </w:r>
      <w:r>
        <w:rPr>
          <w:sz w:val="32"/>
          <w:szCs w:val="32"/>
        </w:rPr>
        <w:fldChar w:fldCharType="separate"/>
      </w:r>
      <w:r>
        <w:rPr>
          <w:rFonts w:ascii="Times New Roman" w:eastAsia="汉仪中宋简" w:cs="宋体" w:hAnsi="Times New Roman" w:hint="eastAsia"/>
          <w:kern w:val="0"/>
          <w:sz w:val="32"/>
          <w:szCs w:val="32"/>
          <w:shd w:val="clear" w:color="auto" w:fill="FFFFFF"/>
        </w:rPr>
        <w:t>二、部门财政资金收支情况</w:t>
      </w:r>
      <w:r>
        <w:rPr>
          <w:sz w:val="32"/>
          <w:szCs w:val="32"/>
        </w:rPr>
        <w:tab/>
      </w:r>
      <w:r>
        <w:rPr>
          <w:sz w:val="32"/>
          <w:szCs w:val="32"/>
        </w:rPr>
        <w:fldChar w:fldCharType="begin"/>
      </w:r>
      <w:r>
        <w:rPr>
          <w:sz w:val="32"/>
          <w:szCs w:val="32"/>
        </w:rPr>
        <w:instrText xml:space="preserve"> PAGEREF _Toc6170 \h </w:instrText>
      </w:r>
      <w:r>
        <w:rPr>
          <w:sz w:val="32"/>
          <w:szCs w:val="32"/>
        </w:rPr>
        <w:fldChar w:fldCharType="separate"/>
      </w:r>
      <w:r>
        <w:rPr>
          <w:sz w:val="32"/>
          <w:szCs w:val="32"/>
        </w:rPr>
        <w:t>- 15 -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_Toc6728 </w:instrText>
      </w:r>
      <w:r>
        <w:rPr>
          <w:sz w:val="32"/>
          <w:szCs w:val="32"/>
        </w:rPr>
        <w:fldChar w:fldCharType="separate"/>
      </w:r>
      <w:r>
        <w:rPr>
          <w:rFonts w:ascii="Times New Roman" w:eastAsia="汉仪中宋简" w:cs="宋体" w:hAnsi="Times New Roman" w:hint="eastAsia"/>
          <w:kern w:val="0"/>
          <w:sz w:val="32"/>
          <w:szCs w:val="32"/>
          <w:shd w:val="clear" w:color="auto" w:fill="FFFFFF"/>
          <w:lang w:val="zh-CN"/>
        </w:rPr>
        <w:t>（一）部门财政资金收入情况。</w:t>
      </w:r>
      <w:r>
        <w:rPr>
          <w:sz w:val="32"/>
          <w:szCs w:val="32"/>
        </w:rPr>
        <w:tab/>
      </w:r>
      <w:r>
        <w:rPr>
          <w:sz w:val="32"/>
          <w:szCs w:val="32"/>
        </w:rPr>
        <w:fldChar w:fldCharType="begin"/>
      </w:r>
      <w:r>
        <w:rPr>
          <w:sz w:val="32"/>
          <w:szCs w:val="32"/>
        </w:rPr>
        <w:instrText xml:space="preserve"> PAGEREF _Toc6728 \h </w:instrText>
      </w:r>
      <w:r>
        <w:rPr>
          <w:sz w:val="32"/>
          <w:szCs w:val="32"/>
        </w:rPr>
        <w:fldChar w:fldCharType="separate"/>
      </w:r>
      <w:r>
        <w:rPr>
          <w:sz w:val="32"/>
          <w:szCs w:val="32"/>
        </w:rPr>
        <w:t>- 15 -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_Toc12688 </w:instrText>
      </w:r>
      <w:r>
        <w:rPr>
          <w:sz w:val="32"/>
          <w:szCs w:val="32"/>
        </w:rPr>
        <w:fldChar w:fldCharType="separate"/>
      </w:r>
      <w:r>
        <w:rPr>
          <w:rFonts w:ascii="Times New Roman" w:eastAsia="汉仪中宋简" w:cs="宋体" w:hAnsi="Times New Roman" w:hint="eastAsia"/>
          <w:kern w:val="0"/>
          <w:sz w:val="32"/>
          <w:szCs w:val="32"/>
          <w:shd w:val="clear" w:color="auto" w:fill="FFFFFF"/>
          <w:lang w:val="zh-CN"/>
        </w:rPr>
        <w:t>（二）部门财政资金支出情况。</w:t>
      </w:r>
      <w:r>
        <w:rPr>
          <w:sz w:val="32"/>
          <w:szCs w:val="32"/>
        </w:rPr>
        <w:tab/>
      </w:r>
      <w:r>
        <w:rPr>
          <w:sz w:val="32"/>
          <w:szCs w:val="32"/>
        </w:rPr>
        <w:fldChar w:fldCharType="begin"/>
      </w:r>
      <w:r>
        <w:rPr>
          <w:sz w:val="32"/>
          <w:szCs w:val="32"/>
        </w:rPr>
        <w:instrText xml:space="preserve"> PAGEREF _Toc12688 \h </w:instrText>
      </w:r>
      <w:r>
        <w:rPr>
          <w:sz w:val="32"/>
          <w:szCs w:val="32"/>
        </w:rPr>
        <w:fldChar w:fldCharType="separate"/>
      </w:r>
      <w:r>
        <w:rPr>
          <w:sz w:val="32"/>
          <w:szCs w:val="32"/>
        </w:rPr>
        <w:t>- 15 -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_Toc30085 </w:instrText>
      </w:r>
      <w:r>
        <w:rPr>
          <w:sz w:val="32"/>
          <w:szCs w:val="32"/>
        </w:rPr>
        <w:fldChar w:fldCharType="separate"/>
      </w:r>
      <w:r>
        <w:rPr>
          <w:rFonts w:ascii="Times New Roman" w:eastAsia="汉仪中宋简" w:cs="宋体" w:hAnsi="Times New Roman" w:hint="eastAsia"/>
          <w:kern w:val="0"/>
          <w:sz w:val="32"/>
          <w:szCs w:val="32"/>
          <w:shd w:val="clear" w:color="auto" w:fill="FFFFFF"/>
        </w:rPr>
        <w:t>三、部门整体预算绩效管理情况</w:t>
      </w:r>
      <w:r>
        <w:rPr>
          <w:sz w:val="32"/>
          <w:szCs w:val="32"/>
        </w:rPr>
        <w:tab/>
      </w:r>
      <w:r>
        <w:rPr>
          <w:sz w:val="32"/>
          <w:szCs w:val="32"/>
        </w:rPr>
        <w:fldChar w:fldCharType="begin"/>
      </w:r>
      <w:r>
        <w:rPr>
          <w:sz w:val="32"/>
          <w:szCs w:val="32"/>
        </w:rPr>
        <w:instrText xml:space="preserve"> PAGEREF _Toc30085 \h </w:instrText>
      </w:r>
      <w:r>
        <w:rPr>
          <w:sz w:val="32"/>
          <w:szCs w:val="32"/>
        </w:rPr>
        <w:fldChar w:fldCharType="separate"/>
      </w:r>
      <w:r>
        <w:rPr>
          <w:sz w:val="32"/>
          <w:szCs w:val="32"/>
        </w:rPr>
        <w:t>- 15 -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_Toc23882 </w:instrText>
      </w:r>
      <w:r>
        <w:rPr>
          <w:sz w:val="32"/>
          <w:szCs w:val="32"/>
        </w:rPr>
        <w:fldChar w:fldCharType="separate"/>
      </w:r>
      <w:r>
        <w:rPr>
          <w:rFonts w:ascii="Times New Roman" w:eastAsia="汉仪中宋简" w:cs="宋体" w:hAnsi="Times New Roman" w:hint="eastAsia"/>
          <w:kern w:val="0"/>
          <w:sz w:val="32"/>
          <w:szCs w:val="32"/>
          <w:shd w:val="clear" w:color="auto" w:fill="FFFFFF"/>
          <w:lang w:val="zh-CN"/>
        </w:rPr>
        <w:t>（一）部门预算管理。</w:t>
      </w:r>
      <w:r>
        <w:rPr>
          <w:sz w:val="32"/>
          <w:szCs w:val="32"/>
        </w:rPr>
        <w:tab/>
      </w:r>
      <w:r>
        <w:rPr>
          <w:sz w:val="32"/>
          <w:szCs w:val="32"/>
        </w:rPr>
        <w:fldChar w:fldCharType="begin"/>
      </w:r>
      <w:r>
        <w:rPr>
          <w:sz w:val="32"/>
          <w:szCs w:val="32"/>
        </w:rPr>
        <w:instrText xml:space="preserve"> PAGEREF _Toc23882 \h </w:instrText>
      </w:r>
      <w:r>
        <w:rPr>
          <w:sz w:val="32"/>
          <w:szCs w:val="32"/>
        </w:rPr>
        <w:fldChar w:fldCharType="separate"/>
      </w:r>
      <w:r>
        <w:rPr>
          <w:sz w:val="32"/>
          <w:szCs w:val="32"/>
        </w:rPr>
        <w:t>- 15 -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_Toc16259 </w:instrText>
      </w:r>
      <w:r>
        <w:rPr>
          <w:sz w:val="32"/>
          <w:szCs w:val="32"/>
        </w:rPr>
        <w:fldChar w:fldCharType="separate"/>
      </w:r>
      <w:r>
        <w:rPr>
          <w:rFonts w:ascii="Times New Roman" w:eastAsia="汉仪中宋简" w:cs="宋体" w:hAnsi="Times New Roman" w:hint="eastAsia"/>
          <w:kern w:val="0"/>
          <w:sz w:val="32"/>
          <w:szCs w:val="32"/>
          <w:shd w:val="clear" w:color="auto" w:fill="FFFFFF"/>
          <w:lang w:val="zh-CN"/>
        </w:rPr>
        <w:t>（二）结果应用情况。</w:t>
      </w:r>
      <w:r>
        <w:rPr>
          <w:sz w:val="32"/>
          <w:szCs w:val="32"/>
        </w:rPr>
        <w:tab/>
      </w:r>
      <w:r>
        <w:rPr>
          <w:sz w:val="32"/>
          <w:szCs w:val="32"/>
        </w:rPr>
        <w:fldChar w:fldCharType="begin"/>
      </w:r>
      <w:r>
        <w:rPr>
          <w:sz w:val="32"/>
          <w:szCs w:val="32"/>
        </w:rPr>
        <w:instrText xml:space="preserve"> PAGEREF _Toc16259 \h </w:instrText>
      </w:r>
      <w:r>
        <w:rPr>
          <w:sz w:val="32"/>
          <w:szCs w:val="32"/>
        </w:rPr>
        <w:fldChar w:fldCharType="separate"/>
      </w:r>
      <w:r>
        <w:rPr>
          <w:sz w:val="32"/>
          <w:szCs w:val="32"/>
        </w:rPr>
        <w:t>- 15 -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_Toc28396 </w:instrText>
      </w:r>
      <w:r>
        <w:rPr>
          <w:sz w:val="32"/>
          <w:szCs w:val="32"/>
        </w:rPr>
        <w:fldChar w:fldCharType="separate"/>
      </w:r>
      <w:r>
        <w:rPr>
          <w:rFonts w:ascii="Times New Roman" w:eastAsia="汉仪中宋简" w:cs="宋体" w:hAnsi="Times New Roman" w:hint="eastAsia"/>
          <w:kern w:val="0"/>
          <w:sz w:val="32"/>
          <w:szCs w:val="32"/>
          <w:shd w:val="clear" w:color="auto" w:fill="FFFFFF"/>
        </w:rPr>
        <w:t>四、评价结论及建议</w:t>
      </w:r>
      <w:r>
        <w:rPr>
          <w:sz w:val="32"/>
          <w:szCs w:val="32"/>
        </w:rPr>
        <w:tab/>
      </w:r>
      <w:r>
        <w:rPr>
          <w:sz w:val="32"/>
          <w:szCs w:val="32"/>
        </w:rPr>
        <w:fldChar w:fldCharType="begin"/>
      </w:r>
      <w:r>
        <w:rPr>
          <w:sz w:val="32"/>
          <w:szCs w:val="32"/>
        </w:rPr>
        <w:instrText xml:space="preserve"> PAGEREF _Toc28396 \h </w:instrText>
      </w:r>
      <w:r>
        <w:rPr>
          <w:sz w:val="32"/>
          <w:szCs w:val="32"/>
        </w:rPr>
        <w:fldChar w:fldCharType="separate"/>
      </w:r>
      <w:r>
        <w:rPr>
          <w:sz w:val="32"/>
          <w:szCs w:val="32"/>
        </w:rPr>
        <w:t>- 16 -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_Toc5915 </w:instrText>
      </w:r>
      <w:r>
        <w:rPr>
          <w:sz w:val="32"/>
          <w:szCs w:val="32"/>
        </w:rPr>
        <w:fldChar w:fldCharType="separate"/>
      </w:r>
      <w:r>
        <w:rPr>
          <w:rFonts w:ascii="Arial" w:eastAsia="黑体" w:cs="黑体" w:hAnsi="Arial" w:hint="eastAsia"/>
          <w:sz w:val="32"/>
          <w:szCs w:val="32"/>
        </w:rPr>
        <w:t>附件</w:t>
      </w:r>
      <w:r>
        <w:rPr>
          <w:rFonts w:ascii="Arial" w:eastAsia="黑体" w:cs="黑体" w:hAnsi="Arial"/>
          <w:sz w:val="32"/>
          <w:szCs w:val="32"/>
        </w:rPr>
        <w:t>2</w:t>
      </w:r>
      <w:r>
        <w:rPr>
          <w:sz w:val="32"/>
          <w:szCs w:val="32"/>
        </w:rPr>
        <w:tab/>
      </w:r>
      <w:r>
        <w:rPr>
          <w:sz w:val="32"/>
          <w:szCs w:val="32"/>
        </w:rPr>
        <w:fldChar w:fldCharType="begin"/>
      </w:r>
      <w:r>
        <w:rPr>
          <w:sz w:val="32"/>
          <w:szCs w:val="32"/>
        </w:rPr>
        <w:instrText xml:space="preserve"> PAGEREF _Toc5915 \h </w:instrText>
      </w:r>
      <w:r>
        <w:rPr>
          <w:sz w:val="32"/>
          <w:szCs w:val="32"/>
        </w:rPr>
        <w:fldChar w:fldCharType="separate"/>
      </w:r>
      <w:r>
        <w:rPr>
          <w:sz w:val="32"/>
          <w:szCs w:val="32"/>
        </w:rPr>
        <w:t>- 17 -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_Toc26374 </w:instrText>
      </w:r>
      <w:r>
        <w:rPr>
          <w:sz w:val="32"/>
          <w:szCs w:val="32"/>
        </w:rPr>
        <w:fldChar w:fldCharType="separate"/>
      </w:r>
      <w:r>
        <w:rPr>
          <w:rFonts w:ascii="Times New Roman" w:eastAsia="汉仪中宋简" w:hAnsi="Times New Roman" w:hint="eastAsia"/>
          <w:sz w:val="32"/>
          <w:szCs w:val="32"/>
        </w:rPr>
        <w:t>一、</w:t>
      </w:r>
      <w:r>
        <w:rPr>
          <w:rFonts w:ascii="Times New Roman" w:eastAsia="汉仪中宋简" w:hAnsi="Times New Roman" w:hint="eastAsia"/>
          <w:sz w:val="32"/>
          <w:szCs w:val="32"/>
          <w:lang w:val="zh-CN"/>
        </w:rPr>
        <w:t>项目概况</w:t>
      </w:r>
      <w:r>
        <w:rPr>
          <w:sz w:val="32"/>
          <w:szCs w:val="32"/>
        </w:rPr>
        <w:tab/>
      </w:r>
      <w:r>
        <w:rPr>
          <w:sz w:val="32"/>
          <w:szCs w:val="32"/>
        </w:rPr>
        <w:fldChar w:fldCharType="begin"/>
      </w:r>
      <w:r>
        <w:rPr>
          <w:sz w:val="32"/>
          <w:szCs w:val="32"/>
        </w:rPr>
        <w:instrText xml:space="preserve"> PAGEREF _Toc26374 \h </w:instrText>
      </w:r>
      <w:r>
        <w:rPr>
          <w:sz w:val="32"/>
          <w:szCs w:val="32"/>
        </w:rPr>
        <w:fldChar w:fldCharType="separate"/>
      </w:r>
      <w:r>
        <w:rPr>
          <w:sz w:val="32"/>
          <w:szCs w:val="32"/>
        </w:rPr>
        <w:t>- 17 -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_Toc6847 </w:instrText>
      </w:r>
      <w:r>
        <w:rPr>
          <w:sz w:val="32"/>
          <w:szCs w:val="32"/>
        </w:rPr>
        <w:fldChar w:fldCharType="separate"/>
      </w:r>
      <w:r>
        <w:rPr>
          <w:rFonts w:ascii="Times New Roman" w:eastAsia="汉仪中宋简" w:hAnsi="Times New Roman" w:hint="eastAsia"/>
          <w:sz w:val="32"/>
          <w:szCs w:val="32"/>
        </w:rPr>
        <w:t>二、项目资金申报及使用情况</w:t>
      </w:r>
      <w:r>
        <w:rPr>
          <w:sz w:val="32"/>
          <w:szCs w:val="32"/>
        </w:rPr>
        <w:tab/>
      </w:r>
      <w:r>
        <w:rPr>
          <w:sz w:val="32"/>
          <w:szCs w:val="32"/>
        </w:rPr>
        <w:fldChar w:fldCharType="begin"/>
      </w:r>
      <w:r>
        <w:rPr>
          <w:sz w:val="32"/>
          <w:szCs w:val="32"/>
        </w:rPr>
        <w:instrText xml:space="preserve"> PAGEREF _Toc6847 \h </w:instrText>
      </w:r>
      <w:r>
        <w:rPr>
          <w:sz w:val="32"/>
          <w:szCs w:val="32"/>
        </w:rPr>
        <w:fldChar w:fldCharType="separate"/>
      </w:r>
      <w:r>
        <w:rPr>
          <w:sz w:val="32"/>
          <w:szCs w:val="32"/>
        </w:rPr>
        <w:t>- 17 -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_Toc26651 </w:instrText>
      </w:r>
      <w:r>
        <w:rPr>
          <w:sz w:val="32"/>
          <w:szCs w:val="32"/>
        </w:rPr>
        <w:fldChar w:fldCharType="separate"/>
      </w:r>
      <w:r>
        <w:rPr>
          <w:rFonts w:ascii="Times New Roman" w:eastAsia="汉仪中宋简" w:hAnsi="Times New Roman" w:hint="eastAsia"/>
          <w:sz w:val="32"/>
          <w:szCs w:val="32"/>
          <w:lang w:val="zh-CN"/>
        </w:rPr>
        <w:t>（一）项目资金申报及批复情况。</w:t>
      </w:r>
      <w:r>
        <w:rPr>
          <w:sz w:val="32"/>
          <w:szCs w:val="32"/>
        </w:rPr>
        <w:tab/>
      </w:r>
      <w:r>
        <w:rPr>
          <w:sz w:val="32"/>
          <w:szCs w:val="32"/>
        </w:rPr>
        <w:fldChar w:fldCharType="begin"/>
      </w:r>
      <w:r>
        <w:rPr>
          <w:sz w:val="32"/>
          <w:szCs w:val="32"/>
        </w:rPr>
        <w:instrText xml:space="preserve"> PAGEREF _Toc26651 \h </w:instrText>
      </w:r>
      <w:r>
        <w:rPr>
          <w:sz w:val="32"/>
          <w:szCs w:val="32"/>
        </w:rPr>
        <w:fldChar w:fldCharType="separate"/>
      </w:r>
      <w:r>
        <w:rPr>
          <w:sz w:val="32"/>
          <w:szCs w:val="32"/>
        </w:rPr>
        <w:t>- 17 -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_Toc3488 </w:instrText>
      </w:r>
      <w:r>
        <w:rPr>
          <w:sz w:val="32"/>
          <w:szCs w:val="32"/>
        </w:rPr>
        <w:fldChar w:fldCharType="separate"/>
      </w:r>
      <w:r>
        <w:rPr>
          <w:rFonts w:ascii="Times New Roman" w:eastAsia="汉仪中宋简" w:hAnsi="Times New Roman" w:hint="eastAsia"/>
          <w:sz w:val="32"/>
          <w:szCs w:val="32"/>
          <w:lang w:val="zh-CN"/>
        </w:rPr>
        <w:t>（二）资金计划、到位及使用情况（可用表格形式反映）。</w:t>
      </w:r>
      <w:r>
        <w:rPr>
          <w:sz w:val="32"/>
          <w:szCs w:val="32"/>
        </w:rPr>
        <w:tab/>
      </w:r>
      <w:r>
        <w:rPr>
          <w:sz w:val="32"/>
          <w:szCs w:val="32"/>
        </w:rPr>
        <w:fldChar w:fldCharType="begin"/>
      </w:r>
      <w:r>
        <w:rPr>
          <w:sz w:val="32"/>
          <w:szCs w:val="32"/>
        </w:rPr>
        <w:instrText xml:space="preserve"> PAGEREF _Toc3488 \h </w:instrText>
      </w:r>
      <w:r>
        <w:rPr>
          <w:sz w:val="32"/>
          <w:szCs w:val="32"/>
        </w:rPr>
        <w:fldChar w:fldCharType="separate"/>
      </w:r>
      <w:r>
        <w:rPr>
          <w:sz w:val="32"/>
          <w:szCs w:val="32"/>
        </w:rPr>
        <w:t>- 18 -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_Toc24248 </w:instrText>
      </w:r>
      <w:r>
        <w:rPr>
          <w:sz w:val="32"/>
          <w:szCs w:val="32"/>
        </w:rPr>
        <w:fldChar w:fldCharType="separate"/>
      </w:r>
      <w:r>
        <w:rPr>
          <w:rFonts w:ascii="Times New Roman" w:eastAsia="汉仪中宋简" w:hAnsi="Times New Roman" w:hint="eastAsia"/>
          <w:sz w:val="32"/>
          <w:szCs w:val="32"/>
          <w:lang w:val="zh-CN"/>
        </w:rPr>
        <w:t>（三）项目财务管理情况。</w:t>
      </w:r>
      <w:r>
        <w:rPr>
          <w:sz w:val="32"/>
          <w:szCs w:val="32"/>
        </w:rPr>
        <w:tab/>
      </w:r>
      <w:r>
        <w:rPr>
          <w:sz w:val="32"/>
          <w:szCs w:val="32"/>
        </w:rPr>
        <w:fldChar w:fldCharType="begin"/>
      </w:r>
      <w:r>
        <w:rPr>
          <w:sz w:val="32"/>
          <w:szCs w:val="32"/>
        </w:rPr>
        <w:instrText xml:space="preserve"> PAGEREF _Toc24248 \h </w:instrText>
      </w:r>
      <w:r>
        <w:rPr>
          <w:sz w:val="32"/>
          <w:szCs w:val="32"/>
        </w:rPr>
        <w:fldChar w:fldCharType="separate"/>
      </w:r>
      <w:r>
        <w:rPr>
          <w:sz w:val="32"/>
          <w:szCs w:val="32"/>
        </w:rPr>
        <w:t>- 18 -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_Toc10024 </w:instrText>
      </w:r>
      <w:r>
        <w:rPr>
          <w:sz w:val="32"/>
          <w:szCs w:val="32"/>
        </w:rPr>
        <w:fldChar w:fldCharType="separate"/>
      </w:r>
      <w:r>
        <w:rPr>
          <w:rFonts w:ascii="Times New Roman" w:eastAsia="汉仪中宋简" w:hAnsi="Times New Roman" w:hint="eastAsia"/>
          <w:sz w:val="32"/>
          <w:szCs w:val="32"/>
        </w:rPr>
        <w:t>三、项目实施及管理情况</w:t>
      </w:r>
      <w:r>
        <w:rPr>
          <w:sz w:val="32"/>
          <w:szCs w:val="32"/>
        </w:rPr>
        <w:tab/>
      </w:r>
      <w:r>
        <w:rPr>
          <w:sz w:val="32"/>
          <w:szCs w:val="32"/>
        </w:rPr>
        <w:fldChar w:fldCharType="begin"/>
      </w:r>
      <w:r>
        <w:rPr>
          <w:sz w:val="32"/>
          <w:szCs w:val="32"/>
        </w:rPr>
        <w:instrText xml:space="preserve"> PAGEREF _Toc10024 \h </w:instrText>
      </w:r>
      <w:r>
        <w:rPr>
          <w:sz w:val="32"/>
          <w:szCs w:val="32"/>
        </w:rPr>
        <w:fldChar w:fldCharType="separate"/>
      </w:r>
      <w:r>
        <w:rPr>
          <w:sz w:val="32"/>
          <w:szCs w:val="32"/>
        </w:rPr>
        <w:t>- 18 -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_Toc22692 </w:instrText>
      </w:r>
      <w:r>
        <w:rPr>
          <w:sz w:val="32"/>
          <w:szCs w:val="32"/>
        </w:rPr>
        <w:fldChar w:fldCharType="separate"/>
      </w:r>
      <w:r>
        <w:rPr>
          <w:rFonts w:ascii="Times New Roman" w:eastAsia="汉仪中宋简" w:hAnsi="Times New Roman" w:hint="eastAsia"/>
          <w:sz w:val="32"/>
          <w:szCs w:val="32"/>
        </w:rPr>
        <w:t>四、项目绩效情况</w:t>
      </w:r>
      <w:r>
        <w:rPr>
          <w:sz w:val="32"/>
          <w:szCs w:val="32"/>
        </w:rPr>
        <w:tab/>
      </w:r>
      <w:r>
        <w:rPr>
          <w:sz w:val="32"/>
          <w:szCs w:val="32"/>
        </w:rPr>
        <w:fldChar w:fldCharType="begin"/>
      </w:r>
      <w:r>
        <w:rPr>
          <w:sz w:val="32"/>
          <w:szCs w:val="32"/>
        </w:rPr>
        <w:instrText xml:space="preserve"> PAGEREF _Toc22692 \h </w:instrText>
      </w:r>
      <w:r>
        <w:rPr>
          <w:sz w:val="32"/>
          <w:szCs w:val="32"/>
        </w:rPr>
        <w:fldChar w:fldCharType="separate"/>
      </w:r>
      <w:r>
        <w:rPr>
          <w:sz w:val="32"/>
          <w:szCs w:val="32"/>
        </w:rPr>
        <w:t>- 18 -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_Toc10747 </w:instrText>
      </w:r>
      <w:r>
        <w:rPr>
          <w:sz w:val="32"/>
          <w:szCs w:val="32"/>
        </w:rPr>
        <w:fldChar w:fldCharType="separate"/>
      </w:r>
      <w:r>
        <w:rPr>
          <w:rFonts w:ascii="Times New Roman" w:eastAsia="汉仪中宋简" w:hAnsi="Times New Roman" w:hint="eastAsia"/>
          <w:sz w:val="32"/>
          <w:szCs w:val="32"/>
          <w:lang w:val="zh-CN"/>
        </w:rPr>
        <w:t>（一）项目完成情况。</w:t>
      </w:r>
      <w:r>
        <w:rPr>
          <w:sz w:val="32"/>
          <w:szCs w:val="32"/>
        </w:rPr>
        <w:tab/>
      </w:r>
      <w:r>
        <w:rPr>
          <w:sz w:val="32"/>
          <w:szCs w:val="32"/>
        </w:rPr>
        <w:fldChar w:fldCharType="begin"/>
      </w:r>
      <w:r>
        <w:rPr>
          <w:sz w:val="32"/>
          <w:szCs w:val="32"/>
        </w:rPr>
        <w:instrText xml:space="preserve"> PAGEREF _Toc10747 \h </w:instrText>
      </w:r>
      <w:r>
        <w:rPr>
          <w:sz w:val="32"/>
          <w:szCs w:val="32"/>
        </w:rPr>
        <w:fldChar w:fldCharType="separate"/>
      </w:r>
      <w:r>
        <w:rPr>
          <w:sz w:val="32"/>
          <w:szCs w:val="32"/>
        </w:rPr>
        <w:t>- 18 -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_Toc12800 </w:instrText>
      </w:r>
      <w:r>
        <w:rPr>
          <w:sz w:val="32"/>
          <w:szCs w:val="32"/>
        </w:rPr>
        <w:fldChar w:fldCharType="separate"/>
      </w:r>
      <w:r>
        <w:rPr>
          <w:rFonts w:ascii="Times New Roman" w:eastAsia="汉仪中宋简" w:hAnsi="Times New Roman" w:hint="eastAsia"/>
          <w:sz w:val="32"/>
          <w:szCs w:val="32"/>
          <w:lang w:val="zh-CN"/>
        </w:rPr>
        <w:t>（二）项目效益情况。</w:t>
      </w:r>
      <w:r>
        <w:rPr>
          <w:sz w:val="32"/>
          <w:szCs w:val="32"/>
        </w:rPr>
        <w:tab/>
      </w:r>
      <w:r>
        <w:rPr>
          <w:sz w:val="32"/>
          <w:szCs w:val="32"/>
        </w:rPr>
        <w:fldChar w:fldCharType="begin"/>
      </w:r>
      <w:r>
        <w:rPr>
          <w:sz w:val="32"/>
          <w:szCs w:val="32"/>
        </w:rPr>
        <w:instrText xml:space="preserve"> PAGEREF _Toc12800 \h </w:instrText>
      </w:r>
      <w:r>
        <w:rPr>
          <w:sz w:val="32"/>
          <w:szCs w:val="32"/>
        </w:rPr>
        <w:fldChar w:fldCharType="separate"/>
      </w:r>
      <w:r>
        <w:rPr>
          <w:sz w:val="32"/>
          <w:szCs w:val="32"/>
        </w:rPr>
        <w:t>- 18 -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_Toc23940 </w:instrText>
      </w:r>
      <w:r>
        <w:rPr>
          <w:sz w:val="32"/>
          <w:szCs w:val="32"/>
        </w:rPr>
        <w:fldChar w:fldCharType="separate"/>
      </w:r>
      <w:r>
        <w:rPr>
          <w:rFonts w:ascii="Times New Roman" w:eastAsia="汉仪中宋简" w:hAnsi="Times New Roman" w:hint="eastAsia"/>
          <w:sz w:val="32"/>
          <w:szCs w:val="32"/>
        </w:rPr>
        <w:t>五、评价结论及建议</w:t>
      </w:r>
      <w:r>
        <w:rPr>
          <w:sz w:val="32"/>
          <w:szCs w:val="32"/>
        </w:rPr>
        <w:tab/>
      </w:r>
      <w:r>
        <w:rPr>
          <w:sz w:val="32"/>
          <w:szCs w:val="32"/>
        </w:rPr>
        <w:fldChar w:fldCharType="begin"/>
      </w:r>
      <w:r>
        <w:rPr>
          <w:sz w:val="32"/>
          <w:szCs w:val="32"/>
        </w:rPr>
        <w:instrText xml:space="preserve"> PAGEREF _Toc23940 \h </w:instrText>
      </w:r>
      <w:r>
        <w:rPr>
          <w:sz w:val="32"/>
          <w:szCs w:val="32"/>
        </w:rPr>
        <w:fldChar w:fldCharType="separate"/>
      </w:r>
      <w:r>
        <w:rPr>
          <w:sz w:val="32"/>
          <w:szCs w:val="32"/>
        </w:rPr>
        <w:t>- 18 -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_Toc10546 </w:instrText>
      </w:r>
      <w:r>
        <w:rPr>
          <w:sz w:val="32"/>
          <w:szCs w:val="32"/>
        </w:rPr>
        <w:fldChar w:fldCharType="separate"/>
      </w:r>
      <w:r>
        <w:rPr>
          <w:rFonts w:ascii="Times New Roman" w:eastAsia="汉仪中宋简" w:hAnsi="Times New Roman" w:hint="eastAsia"/>
          <w:sz w:val="32"/>
          <w:szCs w:val="32"/>
          <w:lang w:val="zh-CN"/>
        </w:rPr>
        <w:t>（一）评价结论。</w:t>
      </w:r>
      <w:r>
        <w:rPr>
          <w:sz w:val="32"/>
          <w:szCs w:val="32"/>
        </w:rPr>
        <w:tab/>
      </w:r>
      <w:r>
        <w:rPr>
          <w:sz w:val="32"/>
          <w:szCs w:val="32"/>
        </w:rPr>
        <w:fldChar w:fldCharType="begin"/>
      </w:r>
      <w:r>
        <w:rPr>
          <w:sz w:val="32"/>
          <w:szCs w:val="32"/>
        </w:rPr>
        <w:instrText xml:space="preserve"> PAGEREF _Toc10546 \h </w:instrText>
      </w:r>
      <w:r>
        <w:rPr>
          <w:sz w:val="32"/>
          <w:szCs w:val="32"/>
        </w:rPr>
        <w:fldChar w:fldCharType="separate"/>
      </w:r>
      <w:r>
        <w:rPr>
          <w:sz w:val="32"/>
          <w:szCs w:val="32"/>
        </w:rPr>
        <w:t>- 19 -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_Toc20645 </w:instrText>
      </w:r>
      <w:r>
        <w:rPr>
          <w:sz w:val="32"/>
          <w:szCs w:val="32"/>
        </w:rPr>
        <w:fldChar w:fldCharType="separate"/>
      </w:r>
      <w:r>
        <w:rPr>
          <w:rFonts w:ascii="Times New Roman" w:eastAsia="汉仪中宋简" w:hAnsi="Times New Roman" w:hint="eastAsia"/>
          <w:sz w:val="32"/>
          <w:szCs w:val="32"/>
          <w:lang w:val="zh-CN"/>
        </w:rPr>
        <w:t>（二）存在的问题。</w:t>
      </w:r>
      <w:r>
        <w:rPr>
          <w:sz w:val="32"/>
          <w:szCs w:val="32"/>
        </w:rPr>
        <w:tab/>
      </w:r>
      <w:r>
        <w:rPr>
          <w:sz w:val="32"/>
          <w:szCs w:val="32"/>
        </w:rPr>
        <w:fldChar w:fldCharType="begin"/>
      </w:r>
      <w:r>
        <w:rPr>
          <w:sz w:val="32"/>
          <w:szCs w:val="32"/>
        </w:rPr>
        <w:instrText xml:space="preserve"> PAGEREF _Toc20645 \h </w:instrText>
      </w:r>
      <w:r>
        <w:rPr>
          <w:sz w:val="32"/>
          <w:szCs w:val="32"/>
        </w:rPr>
        <w:fldChar w:fldCharType="separate"/>
      </w:r>
      <w:r>
        <w:rPr>
          <w:sz w:val="32"/>
          <w:szCs w:val="32"/>
        </w:rPr>
        <w:t>- 19 -</w:t>
      </w:r>
      <w:r>
        <w:rPr>
          <w:sz w:val="32"/>
          <w:szCs w:val="32"/>
        </w:rPr>
        <w:fldChar w:fldCharType="end"/>
      </w:r>
      <w:r>
        <w:rPr>
          <w:sz w:val="32"/>
          <w:szCs w:val="32"/>
        </w:rPr>
        <w:fldChar w:fldCharType="end"/>
      </w:r>
    </w:p>
    <w:p>
      <w:pPr>
        <w:pStyle w:val="43"/>
        <w:tabs>
          <w:tab w:val="right" w:leader="dot" w:pos="8306"/>
        </w:tabs>
        <w:rPr>
          <w:sz w:val="32"/>
          <w:szCs w:val="32"/>
        </w:rPr>
      </w:pPr>
      <w:r>
        <w:rPr>
          <w:sz w:val="32"/>
          <w:szCs w:val="32"/>
        </w:rPr>
        <w:fldChar w:fldCharType="begin"/>
      </w:r>
      <w:r>
        <w:rPr>
          <w:sz w:val="32"/>
          <w:szCs w:val="32"/>
        </w:rPr>
        <w:instrText xml:space="preserve"> HYPERLINK \l _Toc6982 </w:instrText>
      </w:r>
      <w:r>
        <w:rPr>
          <w:sz w:val="32"/>
          <w:szCs w:val="32"/>
        </w:rPr>
        <w:fldChar w:fldCharType="separate"/>
      </w:r>
      <w:r>
        <w:rPr>
          <w:rFonts w:ascii="Times New Roman" w:eastAsia="汉仪中宋简" w:hAnsi="Times New Roman" w:hint="eastAsia"/>
          <w:sz w:val="32"/>
          <w:szCs w:val="32"/>
          <w:lang w:val="zh-CN"/>
        </w:rPr>
        <w:t>（三）相关建议。</w:t>
      </w:r>
      <w:r>
        <w:rPr>
          <w:sz w:val="32"/>
          <w:szCs w:val="32"/>
        </w:rPr>
        <w:tab/>
      </w:r>
      <w:r>
        <w:rPr>
          <w:sz w:val="32"/>
          <w:szCs w:val="32"/>
        </w:rPr>
        <w:fldChar w:fldCharType="begin"/>
      </w:r>
      <w:r>
        <w:rPr>
          <w:sz w:val="32"/>
          <w:szCs w:val="32"/>
        </w:rPr>
        <w:instrText xml:space="preserve"> PAGEREF _Toc6982 \h </w:instrText>
      </w:r>
      <w:r>
        <w:rPr>
          <w:sz w:val="32"/>
          <w:szCs w:val="32"/>
        </w:rPr>
        <w:fldChar w:fldCharType="separate"/>
      </w:r>
      <w:r>
        <w:rPr>
          <w:sz w:val="32"/>
          <w:szCs w:val="32"/>
        </w:rPr>
        <w:t>- 19 -</w:t>
      </w:r>
      <w:r>
        <w:rPr>
          <w:sz w:val="32"/>
          <w:szCs w:val="32"/>
        </w:rPr>
        <w:fldChar w:fldCharType="end"/>
      </w:r>
      <w:r>
        <w:rPr>
          <w:sz w:val="32"/>
          <w:szCs w:val="32"/>
        </w:rPr>
        <w:fldChar w:fldCharType="end"/>
      </w:r>
    </w:p>
    <w:p>
      <w:pPr>
        <w:pStyle w:val="41"/>
        <w:tabs>
          <w:tab w:val="right" w:leader="dot" w:pos="8306"/>
        </w:tabs>
        <w:rPr>
          <w:sz w:val="32"/>
          <w:szCs w:val="32"/>
        </w:rPr>
      </w:pPr>
      <w:r>
        <w:rPr>
          <w:sz w:val="32"/>
          <w:szCs w:val="32"/>
        </w:rPr>
        <w:fldChar w:fldCharType="begin"/>
      </w:r>
      <w:r>
        <w:rPr>
          <w:sz w:val="32"/>
          <w:szCs w:val="32"/>
        </w:rPr>
        <w:instrText xml:space="preserve"> HYPERLINK \l _Toc5930 </w:instrText>
      </w:r>
      <w:r>
        <w:rPr>
          <w:sz w:val="32"/>
          <w:szCs w:val="32"/>
        </w:rPr>
        <w:fldChar w:fldCharType="separate"/>
      </w:r>
      <w:r>
        <w:rPr>
          <w:rFonts w:ascii="Times New Roman" w:eastAsia="汉仪中宋简" w:hAnsi="Times New Roman" w:hint="eastAsia"/>
          <w:sz w:val="32"/>
          <w:szCs w:val="32"/>
        </w:rPr>
        <w:t>第五部分</w:t>
      </w:r>
      <w:r>
        <w:rPr>
          <w:rFonts w:ascii="Times New Roman" w:eastAsia="汉仪中宋简" w:hAnsi="Times New Roman"/>
          <w:sz w:val="32"/>
          <w:szCs w:val="32"/>
        </w:rPr>
        <w:t xml:space="preserve"> </w:t>
      </w:r>
      <w:r>
        <w:rPr>
          <w:rFonts w:ascii="Times New Roman" w:eastAsia="汉仪中宋简" w:hAnsi="Times New Roman" w:hint="eastAsia"/>
          <w:sz w:val="32"/>
          <w:szCs w:val="32"/>
        </w:rPr>
        <w:t>附表</w:t>
      </w:r>
      <w:r>
        <w:rPr>
          <w:sz w:val="32"/>
          <w:szCs w:val="32"/>
        </w:rPr>
        <w:tab/>
      </w:r>
      <w:r>
        <w:rPr>
          <w:sz w:val="32"/>
          <w:szCs w:val="32"/>
        </w:rPr>
        <w:fldChar w:fldCharType="begin"/>
      </w:r>
      <w:r>
        <w:rPr>
          <w:sz w:val="32"/>
          <w:szCs w:val="32"/>
        </w:rPr>
        <w:instrText xml:space="preserve"> PAGEREF _Toc5930 \h </w:instrText>
      </w:r>
      <w:r>
        <w:rPr>
          <w:sz w:val="32"/>
          <w:szCs w:val="32"/>
        </w:rPr>
        <w:fldChar w:fldCharType="separate"/>
      </w:r>
      <w:r>
        <w:rPr>
          <w:sz w:val="32"/>
          <w:szCs w:val="32"/>
        </w:rPr>
        <w:t>- 20 -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_Toc29718 </w:instrText>
      </w:r>
      <w:r>
        <w:rPr>
          <w:sz w:val="32"/>
          <w:szCs w:val="32"/>
        </w:rPr>
        <w:fldChar w:fldCharType="separate"/>
      </w:r>
      <w:r>
        <w:rPr>
          <w:rFonts w:ascii="Times New Roman" w:eastAsia="汉仪中宋简" w:hAnsi="Times New Roman" w:hint="eastAsia"/>
          <w:sz w:val="32"/>
          <w:szCs w:val="32"/>
        </w:rPr>
        <w:t>一、收入支出决算总表</w:t>
      </w:r>
      <w:r>
        <w:rPr>
          <w:sz w:val="32"/>
          <w:szCs w:val="32"/>
        </w:rPr>
        <w:tab/>
      </w:r>
      <w:r>
        <w:rPr>
          <w:sz w:val="32"/>
          <w:szCs w:val="32"/>
        </w:rPr>
        <w:fldChar w:fldCharType="begin"/>
      </w:r>
      <w:r>
        <w:rPr>
          <w:sz w:val="32"/>
          <w:szCs w:val="32"/>
        </w:rPr>
        <w:instrText xml:space="preserve"> PAGEREF _Toc29718 \h </w:instrText>
      </w:r>
      <w:r>
        <w:rPr>
          <w:sz w:val="32"/>
          <w:szCs w:val="32"/>
        </w:rPr>
        <w:fldChar w:fldCharType="separate"/>
      </w:r>
      <w:r>
        <w:rPr>
          <w:sz w:val="32"/>
          <w:szCs w:val="32"/>
        </w:rPr>
        <w:t>- 20 -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_Toc32700 </w:instrText>
      </w:r>
      <w:r>
        <w:rPr>
          <w:sz w:val="32"/>
          <w:szCs w:val="32"/>
        </w:rPr>
        <w:fldChar w:fldCharType="separate"/>
      </w:r>
      <w:r>
        <w:rPr>
          <w:rFonts w:ascii="Times New Roman" w:eastAsia="汉仪中宋简" w:hAnsi="Times New Roman" w:hint="eastAsia"/>
          <w:sz w:val="32"/>
          <w:szCs w:val="32"/>
        </w:rPr>
        <w:t>二、收入决算表</w:t>
      </w:r>
      <w:r>
        <w:rPr>
          <w:sz w:val="32"/>
          <w:szCs w:val="32"/>
        </w:rPr>
        <w:tab/>
      </w:r>
      <w:r>
        <w:rPr>
          <w:sz w:val="32"/>
          <w:szCs w:val="32"/>
        </w:rPr>
        <w:fldChar w:fldCharType="begin"/>
      </w:r>
      <w:r>
        <w:rPr>
          <w:sz w:val="32"/>
          <w:szCs w:val="32"/>
        </w:rPr>
        <w:instrText xml:space="preserve"> PAGEREF _Toc32700 \h </w:instrText>
      </w:r>
      <w:r>
        <w:rPr>
          <w:sz w:val="32"/>
          <w:szCs w:val="32"/>
        </w:rPr>
        <w:fldChar w:fldCharType="separate"/>
      </w:r>
      <w:r>
        <w:rPr>
          <w:sz w:val="32"/>
          <w:szCs w:val="32"/>
        </w:rPr>
        <w:t>- 20 -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_Toc30971 </w:instrText>
      </w:r>
      <w:r>
        <w:rPr>
          <w:sz w:val="32"/>
          <w:szCs w:val="32"/>
        </w:rPr>
        <w:fldChar w:fldCharType="separate"/>
      </w:r>
      <w:r>
        <w:rPr>
          <w:rFonts w:ascii="Times New Roman" w:eastAsia="汉仪中宋简" w:hAnsi="Times New Roman" w:hint="eastAsia"/>
          <w:sz w:val="32"/>
          <w:szCs w:val="32"/>
        </w:rPr>
        <w:t>三、支出决算表</w:t>
      </w:r>
      <w:r>
        <w:rPr>
          <w:sz w:val="32"/>
          <w:szCs w:val="32"/>
        </w:rPr>
        <w:tab/>
      </w:r>
      <w:r>
        <w:rPr>
          <w:sz w:val="32"/>
          <w:szCs w:val="32"/>
        </w:rPr>
        <w:fldChar w:fldCharType="begin"/>
      </w:r>
      <w:r>
        <w:rPr>
          <w:sz w:val="32"/>
          <w:szCs w:val="32"/>
        </w:rPr>
        <w:instrText xml:space="preserve"> PAGEREF _Toc30971 \h </w:instrText>
      </w:r>
      <w:r>
        <w:rPr>
          <w:sz w:val="32"/>
          <w:szCs w:val="32"/>
        </w:rPr>
        <w:fldChar w:fldCharType="separate"/>
      </w:r>
      <w:r>
        <w:rPr>
          <w:sz w:val="32"/>
          <w:szCs w:val="32"/>
        </w:rPr>
        <w:t>- 20 -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_Toc28249 </w:instrText>
      </w:r>
      <w:r>
        <w:rPr>
          <w:sz w:val="32"/>
          <w:szCs w:val="32"/>
        </w:rPr>
        <w:fldChar w:fldCharType="separate"/>
      </w:r>
      <w:r>
        <w:rPr>
          <w:rFonts w:ascii="Times New Roman" w:eastAsia="汉仪中宋简" w:hAnsi="Times New Roman" w:hint="eastAsia"/>
          <w:sz w:val="32"/>
          <w:szCs w:val="32"/>
        </w:rPr>
        <w:t>四、财政拨款收入支出决算总表</w:t>
      </w:r>
      <w:r>
        <w:rPr>
          <w:sz w:val="32"/>
          <w:szCs w:val="32"/>
        </w:rPr>
        <w:tab/>
      </w:r>
      <w:r>
        <w:rPr>
          <w:sz w:val="32"/>
          <w:szCs w:val="32"/>
        </w:rPr>
        <w:fldChar w:fldCharType="begin"/>
      </w:r>
      <w:r>
        <w:rPr>
          <w:sz w:val="32"/>
          <w:szCs w:val="32"/>
        </w:rPr>
        <w:instrText xml:space="preserve"> PAGEREF _Toc28249 \h </w:instrText>
      </w:r>
      <w:r>
        <w:rPr>
          <w:sz w:val="32"/>
          <w:szCs w:val="32"/>
        </w:rPr>
        <w:fldChar w:fldCharType="separate"/>
      </w:r>
      <w:r>
        <w:rPr>
          <w:sz w:val="32"/>
          <w:szCs w:val="32"/>
        </w:rPr>
        <w:t>- 20 -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_Toc2527 </w:instrText>
      </w:r>
      <w:r>
        <w:rPr>
          <w:sz w:val="32"/>
          <w:szCs w:val="32"/>
        </w:rPr>
        <w:fldChar w:fldCharType="separate"/>
      </w:r>
      <w:r>
        <w:rPr>
          <w:rFonts w:ascii="Times New Roman" w:eastAsia="汉仪中宋简" w:hAnsi="Times New Roman" w:hint="eastAsia"/>
          <w:sz w:val="32"/>
          <w:szCs w:val="32"/>
        </w:rPr>
        <w:t>五、财政拨款支出决算明细表</w:t>
      </w:r>
      <w:r>
        <w:rPr>
          <w:sz w:val="32"/>
          <w:szCs w:val="32"/>
        </w:rPr>
        <w:tab/>
      </w:r>
      <w:r>
        <w:rPr>
          <w:sz w:val="32"/>
          <w:szCs w:val="32"/>
        </w:rPr>
        <w:fldChar w:fldCharType="begin"/>
      </w:r>
      <w:r>
        <w:rPr>
          <w:sz w:val="32"/>
          <w:szCs w:val="32"/>
        </w:rPr>
        <w:instrText xml:space="preserve"> PAGEREF _Toc2527 \h </w:instrText>
      </w:r>
      <w:r>
        <w:rPr>
          <w:sz w:val="32"/>
          <w:szCs w:val="32"/>
        </w:rPr>
        <w:fldChar w:fldCharType="separate"/>
      </w:r>
      <w:r>
        <w:rPr>
          <w:sz w:val="32"/>
          <w:szCs w:val="32"/>
        </w:rPr>
        <w:t>- 20 -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_Toc10142 </w:instrText>
      </w:r>
      <w:r>
        <w:rPr>
          <w:sz w:val="32"/>
          <w:szCs w:val="32"/>
        </w:rPr>
        <w:fldChar w:fldCharType="separate"/>
      </w:r>
      <w:r>
        <w:rPr>
          <w:rFonts w:ascii="Times New Roman" w:eastAsia="汉仪中宋简" w:hAnsi="Times New Roman" w:hint="eastAsia"/>
          <w:sz w:val="32"/>
          <w:szCs w:val="32"/>
        </w:rPr>
        <w:t>六、一般公共预算财政拨款支出决算表</w:t>
      </w:r>
      <w:r>
        <w:rPr>
          <w:sz w:val="32"/>
          <w:szCs w:val="32"/>
        </w:rPr>
        <w:tab/>
      </w:r>
      <w:r>
        <w:rPr>
          <w:sz w:val="32"/>
          <w:szCs w:val="32"/>
        </w:rPr>
        <w:fldChar w:fldCharType="begin"/>
      </w:r>
      <w:r>
        <w:rPr>
          <w:sz w:val="32"/>
          <w:szCs w:val="32"/>
        </w:rPr>
        <w:instrText xml:space="preserve"> PAGEREF _Toc10142 \h </w:instrText>
      </w:r>
      <w:r>
        <w:rPr>
          <w:sz w:val="32"/>
          <w:szCs w:val="32"/>
        </w:rPr>
        <w:fldChar w:fldCharType="separate"/>
      </w:r>
      <w:r>
        <w:rPr>
          <w:sz w:val="32"/>
          <w:szCs w:val="32"/>
        </w:rPr>
        <w:t>- 20 -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_Toc5082 </w:instrText>
      </w:r>
      <w:r>
        <w:rPr>
          <w:sz w:val="32"/>
          <w:szCs w:val="32"/>
        </w:rPr>
        <w:fldChar w:fldCharType="separate"/>
      </w:r>
      <w:r>
        <w:rPr>
          <w:rFonts w:ascii="Times New Roman" w:eastAsia="汉仪中宋简" w:hAnsi="Times New Roman" w:hint="eastAsia"/>
          <w:sz w:val="32"/>
          <w:szCs w:val="32"/>
        </w:rPr>
        <w:t>七、一般公共预算财政拨款支出决算明细表</w:t>
      </w:r>
      <w:r>
        <w:rPr>
          <w:sz w:val="32"/>
          <w:szCs w:val="32"/>
        </w:rPr>
        <w:tab/>
      </w:r>
      <w:r>
        <w:rPr>
          <w:sz w:val="32"/>
          <w:szCs w:val="32"/>
        </w:rPr>
        <w:fldChar w:fldCharType="begin"/>
      </w:r>
      <w:r>
        <w:rPr>
          <w:sz w:val="32"/>
          <w:szCs w:val="32"/>
        </w:rPr>
        <w:instrText xml:space="preserve"> PAGEREF _Toc5082 \h </w:instrText>
      </w:r>
      <w:r>
        <w:rPr>
          <w:sz w:val="32"/>
          <w:szCs w:val="32"/>
        </w:rPr>
        <w:fldChar w:fldCharType="separate"/>
      </w:r>
      <w:r>
        <w:rPr>
          <w:sz w:val="32"/>
          <w:szCs w:val="32"/>
        </w:rPr>
        <w:t>- 20 -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_Toc31598 </w:instrText>
      </w:r>
      <w:r>
        <w:rPr>
          <w:sz w:val="32"/>
          <w:szCs w:val="32"/>
        </w:rPr>
        <w:fldChar w:fldCharType="separate"/>
      </w:r>
      <w:r>
        <w:rPr>
          <w:rFonts w:ascii="Times New Roman" w:eastAsia="汉仪中宋简" w:hAnsi="Times New Roman" w:hint="eastAsia"/>
          <w:sz w:val="32"/>
          <w:szCs w:val="32"/>
        </w:rPr>
        <w:t>八、一般公共预算财政拨款基本支出决算表</w:t>
      </w:r>
      <w:r>
        <w:rPr>
          <w:sz w:val="32"/>
          <w:szCs w:val="32"/>
        </w:rPr>
        <w:tab/>
      </w:r>
      <w:r>
        <w:rPr>
          <w:sz w:val="32"/>
          <w:szCs w:val="32"/>
        </w:rPr>
        <w:fldChar w:fldCharType="begin"/>
      </w:r>
      <w:r>
        <w:rPr>
          <w:sz w:val="32"/>
          <w:szCs w:val="32"/>
        </w:rPr>
        <w:instrText xml:space="preserve"> PAGEREF _Toc31598 \h </w:instrText>
      </w:r>
      <w:r>
        <w:rPr>
          <w:sz w:val="32"/>
          <w:szCs w:val="32"/>
        </w:rPr>
        <w:fldChar w:fldCharType="separate"/>
      </w:r>
      <w:r>
        <w:rPr>
          <w:sz w:val="32"/>
          <w:szCs w:val="32"/>
        </w:rPr>
        <w:t>- 20 -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_Toc2502 </w:instrText>
      </w:r>
      <w:r>
        <w:rPr>
          <w:sz w:val="32"/>
          <w:szCs w:val="32"/>
        </w:rPr>
        <w:fldChar w:fldCharType="separate"/>
      </w:r>
      <w:r>
        <w:rPr>
          <w:rFonts w:ascii="Times New Roman" w:eastAsia="汉仪中宋简" w:hAnsi="Times New Roman" w:hint="eastAsia"/>
          <w:sz w:val="32"/>
          <w:szCs w:val="32"/>
        </w:rPr>
        <w:t>九、一般公共预算财政拨款项目支出决算表</w:t>
      </w:r>
      <w:r>
        <w:rPr>
          <w:sz w:val="32"/>
          <w:szCs w:val="32"/>
        </w:rPr>
        <w:tab/>
      </w:r>
      <w:r>
        <w:rPr>
          <w:sz w:val="32"/>
          <w:szCs w:val="32"/>
        </w:rPr>
        <w:fldChar w:fldCharType="begin"/>
      </w:r>
      <w:r>
        <w:rPr>
          <w:sz w:val="32"/>
          <w:szCs w:val="32"/>
        </w:rPr>
        <w:instrText xml:space="preserve"> PAGEREF _Toc2502 \h </w:instrText>
      </w:r>
      <w:r>
        <w:rPr>
          <w:sz w:val="32"/>
          <w:szCs w:val="32"/>
        </w:rPr>
        <w:fldChar w:fldCharType="separate"/>
      </w:r>
      <w:r>
        <w:rPr>
          <w:sz w:val="32"/>
          <w:szCs w:val="32"/>
        </w:rPr>
        <w:t>- 20 -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_Toc29110 </w:instrText>
      </w:r>
      <w:r>
        <w:rPr>
          <w:sz w:val="32"/>
          <w:szCs w:val="32"/>
        </w:rPr>
        <w:fldChar w:fldCharType="separate"/>
      </w:r>
      <w:r>
        <w:rPr>
          <w:rFonts w:ascii="Times New Roman" w:eastAsia="汉仪中宋简" w:hAnsi="Times New Roman" w:hint="eastAsia"/>
          <w:sz w:val="32"/>
          <w:szCs w:val="32"/>
        </w:rPr>
        <w:t>十、一般公共预算财政拨款“三公”经费支出决算表</w:t>
      </w:r>
      <w:r>
        <w:rPr>
          <w:sz w:val="32"/>
          <w:szCs w:val="32"/>
        </w:rPr>
        <w:tab/>
      </w:r>
      <w:r>
        <w:rPr>
          <w:sz w:val="32"/>
          <w:szCs w:val="32"/>
        </w:rPr>
        <w:fldChar w:fldCharType="begin"/>
      </w:r>
      <w:r>
        <w:rPr>
          <w:sz w:val="32"/>
          <w:szCs w:val="32"/>
        </w:rPr>
        <w:instrText xml:space="preserve"> PAGEREF _Toc29110 \h </w:instrText>
      </w:r>
      <w:r>
        <w:rPr>
          <w:sz w:val="32"/>
          <w:szCs w:val="32"/>
        </w:rPr>
        <w:fldChar w:fldCharType="separate"/>
      </w:r>
      <w:r>
        <w:rPr>
          <w:sz w:val="32"/>
          <w:szCs w:val="32"/>
        </w:rPr>
        <w:t>- 20 -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_Toc6766 </w:instrText>
      </w:r>
      <w:r>
        <w:rPr>
          <w:sz w:val="32"/>
          <w:szCs w:val="32"/>
        </w:rPr>
        <w:fldChar w:fldCharType="separate"/>
      </w:r>
      <w:r>
        <w:rPr>
          <w:rFonts w:ascii="Times New Roman" w:eastAsia="汉仪中宋简" w:hAnsi="Times New Roman" w:hint="eastAsia"/>
          <w:sz w:val="32"/>
          <w:szCs w:val="32"/>
        </w:rPr>
        <w:t>十一、政府性基金预算财政拨款收入支出决算表</w:t>
      </w:r>
      <w:r>
        <w:rPr>
          <w:sz w:val="32"/>
          <w:szCs w:val="32"/>
        </w:rPr>
        <w:tab/>
      </w:r>
      <w:r>
        <w:rPr>
          <w:sz w:val="32"/>
          <w:szCs w:val="32"/>
        </w:rPr>
        <w:fldChar w:fldCharType="begin"/>
      </w:r>
      <w:r>
        <w:rPr>
          <w:sz w:val="32"/>
          <w:szCs w:val="32"/>
        </w:rPr>
        <w:instrText xml:space="preserve"> PAGEREF _Toc6766 \h </w:instrText>
      </w:r>
      <w:r>
        <w:rPr>
          <w:sz w:val="32"/>
          <w:szCs w:val="32"/>
        </w:rPr>
        <w:fldChar w:fldCharType="separate"/>
      </w:r>
      <w:r>
        <w:rPr>
          <w:sz w:val="32"/>
          <w:szCs w:val="32"/>
        </w:rPr>
        <w:t>- 20 -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_Toc29274 </w:instrText>
      </w:r>
      <w:r>
        <w:rPr>
          <w:sz w:val="32"/>
          <w:szCs w:val="32"/>
        </w:rPr>
        <w:fldChar w:fldCharType="separate"/>
      </w:r>
      <w:r>
        <w:rPr>
          <w:rFonts w:ascii="Times New Roman" w:eastAsia="汉仪中宋简" w:hAnsi="Times New Roman" w:hint="eastAsia"/>
          <w:sz w:val="32"/>
          <w:szCs w:val="32"/>
        </w:rPr>
        <w:t>十二、政府性基金预算财政拨款“三公”经费支出决算表</w:t>
      </w:r>
      <w:r>
        <w:rPr>
          <w:sz w:val="32"/>
          <w:szCs w:val="32"/>
        </w:rPr>
        <w:tab/>
      </w:r>
      <w:r>
        <w:rPr>
          <w:sz w:val="32"/>
          <w:szCs w:val="32"/>
        </w:rPr>
        <w:fldChar w:fldCharType="begin"/>
      </w:r>
      <w:r>
        <w:rPr>
          <w:sz w:val="32"/>
          <w:szCs w:val="32"/>
        </w:rPr>
        <w:instrText xml:space="preserve"> PAGEREF _Toc29274 \h </w:instrText>
      </w:r>
      <w:r>
        <w:rPr>
          <w:sz w:val="32"/>
          <w:szCs w:val="32"/>
        </w:rPr>
        <w:fldChar w:fldCharType="separate"/>
      </w:r>
      <w:r>
        <w:rPr>
          <w:sz w:val="32"/>
          <w:szCs w:val="32"/>
        </w:rPr>
        <w:t>- 20 -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_Toc22857 </w:instrText>
      </w:r>
      <w:r>
        <w:rPr>
          <w:sz w:val="32"/>
          <w:szCs w:val="32"/>
        </w:rPr>
        <w:fldChar w:fldCharType="separate"/>
      </w:r>
      <w:r>
        <w:rPr>
          <w:rFonts w:ascii="Times New Roman" w:eastAsia="汉仪中宋简" w:hAnsi="Times New Roman" w:hint="eastAsia"/>
          <w:sz w:val="32"/>
          <w:szCs w:val="32"/>
        </w:rPr>
        <w:t>十三、国有资本经营预算财政拨款支出决算表</w:t>
      </w:r>
      <w:r>
        <w:rPr>
          <w:sz w:val="32"/>
          <w:szCs w:val="32"/>
        </w:rPr>
        <w:tab/>
      </w:r>
      <w:r>
        <w:rPr>
          <w:sz w:val="32"/>
          <w:szCs w:val="32"/>
        </w:rPr>
        <w:fldChar w:fldCharType="begin"/>
      </w:r>
      <w:r>
        <w:rPr>
          <w:sz w:val="32"/>
          <w:szCs w:val="32"/>
        </w:rPr>
        <w:instrText xml:space="preserve"> PAGEREF _Toc22857 \h </w:instrText>
      </w:r>
      <w:r>
        <w:rPr>
          <w:sz w:val="32"/>
          <w:szCs w:val="32"/>
        </w:rPr>
        <w:fldChar w:fldCharType="separate"/>
      </w:r>
      <w:r>
        <w:rPr>
          <w:sz w:val="32"/>
          <w:szCs w:val="32"/>
        </w:rPr>
        <w:t>- 20 -</w:t>
      </w:r>
      <w:r>
        <w:rPr>
          <w:sz w:val="32"/>
          <w:szCs w:val="32"/>
        </w:rPr>
        <w:fldChar w:fldCharType="end"/>
      </w:r>
      <w:r>
        <w:rPr>
          <w:sz w:val="32"/>
          <w:szCs w:val="32"/>
        </w:rPr>
        <w:fldChar w:fldCharType="end"/>
      </w:r>
    </w:p>
    <w:p>
      <w:pPr>
        <w:pStyle w:val="42"/>
        <w:tabs>
          <w:tab w:val="right" w:leader="dot" w:pos="8306"/>
        </w:tabs>
        <w:rPr>
          <w:sz w:val="32"/>
          <w:szCs w:val="32"/>
        </w:rPr>
      </w:pPr>
      <w:r>
        <w:rPr>
          <w:sz w:val="32"/>
          <w:szCs w:val="32"/>
        </w:rPr>
        <w:fldChar w:fldCharType="begin"/>
      </w:r>
      <w:r>
        <w:rPr>
          <w:sz w:val="32"/>
          <w:szCs w:val="32"/>
        </w:rPr>
        <w:instrText xml:space="preserve"> HYPERLINK \l _Toc27030 </w:instrText>
      </w:r>
      <w:r>
        <w:rPr>
          <w:sz w:val="32"/>
          <w:szCs w:val="32"/>
        </w:rPr>
        <w:fldChar w:fldCharType="separate"/>
      </w:r>
      <w:r>
        <w:rPr>
          <w:rFonts w:ascii="Times New Roman" w:eastAsia="汉仪中宋简" w:cs="Times New Roman" w:hAnsi="Times New Roman" w:hint="eastAsia"/>
          <w:bCs w:val="0"/>
          <w:sz w:val="32"/>
          <w:szCs w:val="32"/>
          <w:lang w:val="en-US" w:eastAsia="zh-CN" w:bidi="ar-SA"/>
        </w:rPr>
        <w:t>十四、国有资本经营预算财政拨款支出决算表</w:t>
      </w:r>
      <w:r>
        <w:rPr>
          <w:sz w:val="32"/>
          <w:szCs w:val="32"/>
        </w:rPr>
        <w:tab/>
      </w:r>
      <w:r>
        <w:rPr>
          <w:sz w:val="32"/>
          <w:szCs w:val="32"/>
        </w:rPr>
        <w:fldChar w:fldCharType="begin"/>
      </w:r>
      <w:r>
        <w:rPr>
          <w:sz w:val="32"/>
          <w:szCs w:val="32"/>
        </w:rPr>
        <w:instrText xml:space="preserve"> PAGEREF _Toc27030 \h </w:instrText>
      </w:r>
      <w:r>
        <w:rPr>
          <w:sz w:val="32"/>
          <w:szCs w:val="32"/>
        </w:rPr>
        <w:fldChar w:fldCharType="separate"/>
      </w:r>
      <w:r>
        <w:rPr>
          <w:sz w:val="32"/>
          <w:szCs w:val="32"/>
        </w:rPr>
        <w:t>- 20 -</w:t>
      </w:r>
      <w:r>
        <w:rPr>
          <w:sz w:val="32"/>
          <w:szCs w:val="32"/>
        </w:rPr>
        <w:fldChar w:fldCharType="end"/>
      </w:r>
      <w:r>
        <w:rPr>
          <w:sz w:val="32"/>
          <w:szCs w:val="32"/>
        </w:rPr>
        <w:fldChar w:fldCharType="end"/>
      </w:r>
    </w:p>
    <w:p>
      <w:r>
        <w:rPr>
          <w:sz w:val="32"/>
          <w:szCs w:val="32"/>
        </w:rPr>
        <w:fldChar w:fldCharType="end"/>
      </w:r>
    </w:p>
    <w:p>
      <w:pPr>
        <w:widowControl/>
        <w:spacing w:line="440" w:lineRule="exact"/>
        <w:jc w:val="left"/>
        <w:rPr>
          <w:rFonts w:ascii="仿宋" w:eastAsia="仿宋"/>
          <w:bCs/>
          <w:kern w:val="44"/>
          <w:sz w:val="24"/>
        </w:rPr>
      </w:pPr>
      <w:r>
        <w:rPr>
          <w:rFonts w:ascii="仿宋" w:eastAsia="仿宋"/>
          <w:b/>
          <w:sz w:val="24"/>
        </w:rPr>
        <w:br w:type="page"/>
      </w:r>
    </w:p>
    <w:p>
      <w:pPr>
        <w:pStyle w:val="1"/>
        <w:snapToGrid/>
        <w:spacing w:before="320" w:beforeAutospacing="0" w:after="40" w:afterAutospacing="0" w:line="240" w:lineRule="auto"/>
        <w:ind w:left="0" w:right="0" w:firstLine="0"/>
        <w:jc w:val="left"/>
        <w:outlineLvl w:val="0"/>
        <w:rPr>
          <w:rStyle w:val="1Char"/>
          <w:rFonts w:ascii="Times New Roman" w:eastAsia="汉仪中宋简" w:hAnsi="Times New Roman"/>
          <w:b w:val="0"/>
          <w:bCs w:val="0"/>
          <w:sz w:val="36"/>
        </w:rPr>
      </w:pPr>
      <w:bookmarkStart w:id="16" w:name="_Toc27875"/>
      <w:r>
        <w:rPr>
          <w:rFonts w:ascii="Times New Roman" w:eastAsia="汉仪中宋简" w:hAnsi="Times New Roman" w:hint="eastAsia"/>
          <w:b w:val="0"/>
          <w:sz w:val="36"/>
        </w:rPr>
        <w:t>第一部分</w:t>
      </w:r>
      <w:r>
        <w:rPr>
          <w:rFonts w:ascii="Times New Roman" w:eastAsia="汉仪中宋简" w:hAnsi="Times New Roman"/>
          <w:b w:val="0"/>
          <w:sz w:val="36"/>
        </w:rPr>
        <w:t xml:space="preserve"> </w:t>
      </w:r>
      <w:r>
        <w:rPr>
          <w:rStyle w:val="1Char"/>
          <w:rFonts w:ascii="Times New Roman" w:eastAsia="汉仪中宋简" w:hAnsi="Times New Roman" w:hint="eastAsia"/>
          <w:b w:val="0"/>
          <w:bCs w:val="0"/>
          <w:sz w:val="36"/>
        </w:rPr>
        <w:t>部门概况</w:t>
      </w:r>
      <w:bookmarkEnd w:id="14"/>
      <w:bookmarkEnd w:id="15"/>
      <w:bookmarkEnd w:id="16"/>
    </w:p>
    <w:p>
      <w:pPr>
        <w:widowControl/>
        <w:snapToGrid/>
        <w:spacing w:beforeAutospacing="0" w:after="80" w:afterAutospacing="0" w:line="360" w:lineRule="auto"/>
        <w:ind w:left="0" w:firstLine="0"/>
        <w:jc w:val="left"/>
        <w:rPr>
          <w:rFonts w:ascii="Arial" w:eastAsia="黑体" w:hAnsi="Arial"/>
          <w:color w:val="auto"/>
          <w:sz w:val="24"/>
          <w:szCs w:val="32"/>
        </w:rPr>
      </w:pPr>
    </w:p>
    <w:p>
      <w:pPr>
        <w:pStyle w:val="2"/>
        <w:snapToGrid/>
        <w:spacing w:before="80" w:beforeAutospacing="0" w:after="0" w:afterAutospacing="0" w:line="360" w:lineRule="auto"/>
        <w:ind w:left="0" w:right="0" w:firstLine="0"/>
        <w:jc w:val="left"/>
        <w:outlineLvl w:val="1"/>
        <w:rPr>
          <w:rStyle w:val="2Char"/>
          <w:rFonts w:ascii="Times New Roman" w:eastAsia="汉仪中宋简" w:hAnsi="Times New Roman"/>
          <w:b w:val="0"/>
          <w:bCs w:val="0"/>
          <w:color w:val="auto"/>
          <w:sz w:val="28"/>
        </w:rPr>
      </w:pPr>
      <w:bookmarkStart w:id="17" w:name="_Toc15377197"/>
      <w:bookmarkStart w:id="18" w:name="_Toc15396600"/>
      <w:bookmarkStart w:id="19" w:name="_Toc10699"/>
      <w:r>
        <w:rPr>
          <w:rFonts w:ascii="Times New Roman" w:eastAsia="汉仪中宋简" w:hAnsi="Times New Roman" w:hint="eastAsia"/>
          <w:b w:val="0"/>
          <w:color w:val="auto"/>
          <w:sz w:val="28"/>
        </w:rPr>
        <w:t>一、基</w:t>
      </w:r>
      <w:r>
        <w:rPr>
          <w:rStyle w:val="2Char"/>
          <w:rFonts w:ascii="Times New Roman" w:eastAsia="汉仪中宋简" w:hAnsi="Times New Roman" w:hint="eastAsia"/>
          <w:b w:val="0"/>
          <w:bCs w:val="0"/>
          <w:color w:val="auto"/>
          <w:sz w:val="28"/>
        </w:rPr>
        <w:t>本职能及主要工作</w:t>
      </w:r>
      <w:bookmarkEnd w:id="17"/>
      <w:bookmarkEnd w:id="18"/>
      <w:bookmarkEnd w:id="19"/>
    </w:p>
    <w:p>
      <w:pPr>
        <w:pStyle w:val="15"/>
        <w:adjustRightInd w:val="0"/>
        <w:snapToGrid/>
        <w:spacing w:beforeLines="0" w:before="30" w:beforeAutospacing="0" w:after="80" w:afterAutospacing="0" w:line="360" w:lineRule="auto"/>
        <w:ind w:left="0" w:firstLineChars="200" w:firstLine="480"/>
        <w:rPr>
          <w:rFonts w:ascii="Arial" w:eastAsia="黑体" w:hAnsi="Arial" w:hint="eastAsia"/>
          <w:bCs/>
          <w:color w:val="auto"/>
          <w:sz w:val="24"/>
          <w:szCs w:val="32"/>
        </w:rPr>
      </w:pPr>
      <w:bookmarkStart w:id="20" w:name="_Toc15377198"/>
      <w:bookmarkStart w:id="21" w:name="_Toc15378445"/>
      <w:r>
        <w:rPr>
          <w:rFonts w:ascii="Arial" w:eastAsia="黑体" w:hAnsi="Arial" w:hint="eastAsia"/>
          <w:bCs/>
          <w:color w:val="auto"/>
          <w:sz w:val="24"/>
          <w:szCs w:val="32"/>
        </w:rPr>
        <w:t>（一）主要职能。</w:t>
      </w:r>
      <w:bookmarkStart w:id="22" w:name="_Toc15378446"/>
      <w:bookmarkStart w:id="23" w:name="_Toc15377199"/>
      <w:bookmarkEnd w:id="20"/>
      <w:bookmarkEnd w:id="21"/>
      <w:r>
        <w:rPr>
          <w:rFonts w:ascii="Arial" w:eastAsia="黑体" w:cs="仿宋_GB2312" w:hAnsi="Arial" w:hint="eastAsia"/>
          <w:bCs/>
          <w:color w:val="auto"/>
          <w:sz w:val="24"/>
          <w:szCs w:val="32"/>
        </w:rPr>
        <w:t>一</w:t>
      </w:r>
      <w:r>
        <w:rPr>
          <w:rFonts w:ascii="Arial" w:eastAsia="黑体" w:cs="仿宋_GB2312" w:hAnsi="Arial" w:hint="eastAsia"/>
          <w:color w:val="auto"/>
          <w:sz w:val="24"/>
          <w:szCs w:val="32"/>
        </w:rPr>
        <w:t>是贯彻落实《中华人民共和国残疾人保障法》，开展残疾人康复、教育、培训、劳动就业、扶贫、文化、体育、辅助器具供应、社会保障、残疾预防和无障碍设施协调等工作，创造良好环境和条件，扶助残疾人平等参与社会活动。二是参与研究和撰写全区助残规范性文件、发展规划、年度计划和对有关业务领域的工作进行指导和管理。听取残疾人意见，反映残疾人需求，维护残疾人合法权益，为残疾人提供服务。三是团结、教育遵守法律、履行义务，发扬乐观进取精神，自尊、自信、自强、自立。四是弘扬人道主义，宣传残疾人事业，沟通政府、社会、残疾人之间的联系，动员社会理解、尊重、关心、帮助残疾人。五是承担区政府残疾人工作委员会的日常工作。开展残疾人事业的交流与合作。六是对各类残疾人社会组织进行指导、监督和管理。七是推进政务信息公开，建立健全息公开工作制度，面向社会公开有关政务信息。八是承办区委、区政府及上级业务部门交办的其它事项。</w:t>
      </w:r>
    </w:p>
    <w:p>
      <w:pPr>
        <w:keepNext w:val="0"/>
        <w:keepLines w:val="0"/>
        <w:pageBreakBefore w:val="0"/>
        <w:widowControl w:val="0"/>
        <w:kinsoku/>
        <w:wordWrap/>
        <w:overflowPunct/>
        <w:topLinePunct w:val="0"/>
        <w:autoSpaceDE/>
        <w:autoSpaceDN/>
        <w:bidi w:val="0"/>
        <w:adjustRightInd/>
        <w:snapToGrid/>
        <w:spacing w:beforeAutospacing="0" w:after="80" w:afterAutospacing="0" w:line="360" w:lineRule="auto"/>
        <w:ind w:left="0" w:firstLineChars="200" w:firstLine="480"/>
        <w:textAlignment w:val="auto"/>
        <w:outlineLvl w:val="2"/>
        <w:rPr>
          <w:rFonts w:ascii="Arial" w:eastAsia="黑体" w:hAnsi="Arial" w:hint="eastAsia"/>
          <w:bCs/>
          <w:color w:val="auto"/>
          <w:sz w:val="24"/>
          <w:szCs w:val="32"/>
        </w:rPr>
      </w:pPr>
      <w:bookmarkStart w:id="24" w:name="_Toc3484"/>
      <w:r>
        <w:rPr>
          <w:rFonts w:ascii="Arial" w:eastAsia="黑体" w:hAnsi="Arial" w:hint="eastAsia"/>
          <w:bCs/>
          <w:color w:val="auto"/>
          <w:sz w:val="24"/>
          <w:szCs w:val="32"/>
        </w:rPr>
        <w:t>（二）</w:t>
      </w:r>
      <w:r>
        <w:rPr>
          <w:rFonts w:ascii="Arial" w:eastAsia="黑体" w:hAnsi="Arial"/>
          <w:bCs/>
          <w:color w:val="auto"/>
          <w:sz w:val="24"/>
          <w:szCs w:val="32"/>
        </w:rPr>
        <w:t>2020</w:t>
      </w:r>
      <w:r>
        <w:rPr>
          <w:rFonts w:ascii="Arial" w:eastAsia="黑体" w:hAnsi="Arial" w:hint="eastAsia"/>
          <w:bCs/>
          <w:color w:val="auto"/>
          <w:sz w:val="24"/>
          <w:szCs w:val="32"/>
        </w:rPr>
        <w:t>年重点工作完成情况。</w:t>
      </w:r>
      <w:bookmarkEnd w:id="22"/>
      <w:bookmarkEnd w:id="23"/>
      <w:bookmarkEnd w:id="24"/>
    </w:p>
    <w:p>
      <w:pPr>
        <w:keepNext w:val="0"/>
        <w:keepLines w:val="0"/>
        <w:pageBreakBefore w:val="0"/>
        <w:widowControl w:val="0"/>
        <w:kinsoku/>
        <w:wordWrap/>
        <w:overflowPunct/>
        <w:topLinePunct w:val="0"/>
        <w:autoSpaceDE/>
        <w:autoSpaceDN/>
        <w:bidi w:val="0"/>
        <w:adjustRightInd/>
        <w:snapToGrid/>
        <w:spacing w:beforeAutospacing="0" w:after="80" w:afterAutospacing="0" w:line="360" w:lineRule="auto"/>
        <w:ind w:left="0" w:firstLineChars="200" w:firstLine="480"/>
        <w:textAlignment w:val="auto"/>
        <w:rPr>
          <w:rFonts w:ascii="Arial" w:eastAsia="黑体" w:cs="Times New Roman" w:hAnsi="Arial"/>
          <w:color w:val="auto"/>
          <w:kern w:val="0"/>
          <w:sz w:val="24"/>
          <w:szCs w:val="32"/>
          <w:u w:val="none" w:color="000000"/>
          <w:lang w:val="en-US" w:eastAsia="zh-CN"/>
        </w:rPr>
      </w:pPr>
      <w:r>
        <w:rPr>
          <w:rFonts w:ascii="Arial" w:eastAsia="黑体" w:cs="Times New Roman" w:hAnsi="Arial" w:hint="eastAsia"/>
          <w:color w:val="auto"/>
          <w:kern w:val="0"/>
          <w:sz w:val="24"/>
          <w:szCs w:val="32"/>
          <w:u w:val="none" w:color="000000"/>
          <w:lang w:val="en-US" w:eastAsia="zh-CN"/>
        </w:rPr>
        <w:t>（1）做好残疾人教育就业工作。一是扶持残疾人教育。2020年为残疾人大学新生和残疾人家庭子女大学新生发放教育资助金8人2.5万元。二是扶持残疾人就业（创业）。按照“自主创业、特色产业、基地、公益性岗位、社区就业+残疾人”等模式，帮助农村残疾人居家灵活就业（创业）380人，兑现补贴资金21万元，优先安排贫困残疾人公益性岗位就业40人，鼓励残疾人家庭就近务工就业，拓宽增收渠道。三是据实兑现各项惠残补贴。严把重度残疾人护理补贴审核关，发放护理补贴2117人次、155万元；发放残疾人扶贫对象生活补贴480人88万元；发放“阳光家园”补贴560人35万元、残疾人燃油补贴58人2.11万元、办证补贴100人1.5万元。</w:t>
      </w:r>
    </w:p>
    <w:p>
      <w:pPr>
        <w:keepNext w:val="0"/>
        <w:keepLines w:val="0"/>
        <w:pageBreakBefore w:val="0"/>
        <w:widowControl w:val="0"/>
        <w:kinsoku/>
        <w:wordWrap/>
        <w:overflowPunct/>
        <w:topLinePunct w:val="0"/>
        <w:autoSpaceDE/>
        <w:autoSpaceDN/>
        <w:bidi w:val="0"/>
        <w:adjustRightInd/>
        <w:snapToGrid/>
        <w:spacing w:beforeAutospacing="0" w:after="80" w:afterAutospacing="0" w:line="360" w:lineRule="auto"/>
        <w:ind w:left="0" w:firstLineChars="200" w:firstLine="480"/>
        <w:textAlignment w:val="auto"/>
        <w:rPr>
          <w:rFonts w:ascii="Arial" w:eastAsia="黑体" w:cs="Times New Roman" w:hAnsi="Arial"/>
          <w:b w:val="0"/>
          <w:bCs w:val="0"/>
          <w:color w:val="auto"/>
          <w:sz w:val="24"/>
          <w:szCs w:val="32"/>
          <w:lang w:val="en-US" w:eastAsia="zh-CN"/>
        </w:rPr>
      </w:pPr>
      <w:r>
        <w:rPr>
          <w:rFonts w:ascii="Arial" w:eastAsia="黑体" w:cs="楷体_GB2312" w:hAnsi="Arial" w:hint="eastAsia"/>
          <w:color w:val="auto"/>
          <w:sz w:val="24"/>
          <w:szCs w:val="32"/>
          <w:lang w:val="en-US" w:eastAsia="zh-CN"/>
        </w:rPr>
        <w:t>（2）做优残疾人康复工作。</w:t>
      </w:r>
      <w:r>
        <w:rPr>
          <w:rFonts w:ascii="Arial" w:eastAsia="黑体" w:cs="楷体_GB2312" w:hAnsi="Arial" w:hint="eastAsia"/>
          <w:b/>
          <w:bCs/>
          <w:color w:val="auto"/>
          <w:sz w:val="24"/>
          <w:szCs w:val="32"/>
          <w:lang w:val="en-US" w:eastAsia="zh-CN"/>
        </w:rPr>
        <w:t>一</w:t>
      </w:r>
      <w:r>
        <w:rPr>
          <w:rFonts w:ascii="Arial" w:eastAsia="黑体" w:cs="Times New Roman" w:hAnsi="Arial" w:hint="eastAsia"/>
          <w:b/>
          <w:bCs/>
          <w:color w:val="auto"/>
          <w:sz w:val="24"/>
          <w:szCs w:val="32"/>
          <w:lang w:val="en-US" w:eastAsia="zh-CN"/>
        </w:rPr>
        <w:t>是</w:t>
      </w:r>
      <w:r>
        <w:rPr>
          <w:rFonts w:ascii="Arial" w:eastAsia="黑体" w:cs="Times New Roman" w:hAnsi="Arial" w:hint="eastAsia"/>
          <w:b w:val="0"/>
          <w:bCs w:val="0"/>
          <w:color w:val="auto"/>
          <w:sz w:val="24"/>
          <w:szCs w:val="32"/>
          <w:lang w:val="en-US" w:eastAsia="zh-CN"/>
        </w:rPr>
        <w:t>积极开展残疾儿童抢救性康复。2020年开展残疾儿童康复救助30人，其中：脑瘫儿童15人，智力残疾儿童8人，听力残疾儿童4人，自闭症儿童3人。</w:t>
      </w:r>
      <w:r>
        <w:rPr>
          <w:rFonts w:ascii="Arial" w:eastAsia="黑体" w:cs="Times New Roman" w:hAnsi="Arial" w:hint="eastAsia"/>
          <w:color w:val="auto"/>
          <w:kern w:val="0"/>
          <w:sz w:val="24"/>
          <w:szCs w:val="32"/>
          <w:u w:val="none" w:color="000000"/>
          <w:lang w:val="en-US" w:eastAsia="zh-CN"/>
        </w:rPr>
        <w:t>引进民营企业建康复医院1处，有康复儿童37人。</w:t>
      </w:r>
      <w:r>
        <w:rPr>
          <w:rFonts w:ascii="Arial" w:eastAsia="黑体" w:cs="Times New Roman" w:hAnsi="Arial" w:hint="eastAsia"/>
          <w:b/>
          <w:bCs/>
          <w:color w:val="auto"/>
          <w:sz w:val="24"/>
          <w:szCs w:val="32"/>
          <w:lang w:val="en-US" w:eastAsia="zh-CN"/>
        </w:rPr>
        <w:t>二是</w:t>
      </w:r>
      <w:r>
        <w:rPr>
          <w:rFonts w:ascii="Arial" w:eastAsia="黑体" w:cs="Times New Roman" w:hAnsi="Arial" w:hint="eastAsia"/>
          <w:b w:val="0"/>
          <w:bCs w:val="0"/>
          <w:color w:val="auto"/>
          <w:sz w:val="24"/>
          <w:szCs w:val="32"/>
          <w:lang w:val="en-US" w:eastAsia="zh-CN"/>
        </w:rPr>
        <w:t>精准适配残疾人辅助器具。今年共适配轮椅、助听器、拐杖等各类辅具193人220件，解决了残疾人的实际困难。</w:t>
      </w:r>
      <w:r>
        <w:rPr>
          <w:rFonts w:ascii="Arial" w:eastAsia="黑体" w:cs="Times New Roman" w:hAnsi="Arial" w:hint="eastAsia"/>
          <w:b/>
          <w:bCs/>
          <w:color w:val="auto"/>
          <w:sz w:val="24"/>
          <w:szCs w:val="32"/>
          <w:lang w:val="en-US" w:eastAsia="zh-CN"/>
        </w:rPr>
        <w:t>三是</w:t>
      </w:r>
      <w:r>
        <w:rPr>
          <w:rFonts w:ascii="Arial" w:eastAsia="黑体" w:cs="Times New Roman" w:hAnsi="Arial" w:hint="eastAsia"/>
          <w:b w:val="0"/>
          <w:bCs w:val="0"/>
          <w:color w:val="auto"/>
          <w:sz w:val="24"/>
          <w:szCs w:val="32"/>
          <w:lang w:val="en-US" w:eastAsia="zh-CN"/>
        </w:rPr>
        <w:t>实施困难残疾人家庭无障碍改造。</w:t>
      </w:r>
      <w:r>
        <w:rPr>
          <w:rFonts w:ascii="Arial" w:eastAsia="黑体" w:cs="Times New Roman" w:hAnsi="Arial" w:hint="eastAsia"/>
          <w:color w:val="auto"/>
          <w:spacing w:val="0"/>
          <w:sz w:val="24"/>
          <w:szCs w:val="32"/>
          <w:lang w:eastAsia="zh-CN"/>
        </w:rPr>
        <w:t>全区</w:t>
      </w:r>
      <w:r>
        <w:rPr>
          <w:rFonts w:ascii="Arial" w:eastAsia="黑体" w:cs="Times New Roman" w:hAnsi="Arial" w:hint="eastAsia"/>
          <w:color w:val="auto"/>
          <w:spacing w:val="0"/>
          <w:sz w:val="24"/>
          <w:szCs w:val="32"/>
          <w:lang w:val="en-US" w:eastAsia="zh-CN"/>
        </w:rPr>
        <w:t>共</w:t>
      </w:r>
      <w:r>
        <w:rPr>
          <w:rFonts w:ascii="Arial" w:eastAsia="黑体" w:cs="Times New Roman" w:hAnsi="Arial"/>
          <w:color w:val="auto"/>
          <w:spacing w:val="0"/>
          <w:sz w:val="24"/>
          <w:szCs w:val="32"/>
        </w:rPr>
        <w:t>摸排出建档立卡残疾人家庭需求无障碍改造2</w:t>
      </w:r>
      <w:r>
        <w:rPr>
          <w:rFonts w:ascii="Arial" w:eastAsia="黑体" w:cs="Times New Roman" w:hAnsi="Arial"/>
          <w:color w:val="auto"/>
          <w:spacing w:val="0"/>
          <w:sz w:val="24"/>
          <w:szCs w:val="32"/>
          <w:lang w:val="en-US" w:eastAsia="zh-CN"/>
        </w:rPr>
        <w:t>1</w:t>
      </w:r>
      <w:r>
        <w:rPr>
          <w:rFonts w:ascii="Arial" w:eastAsia="黑体" w:cs="Times New Roman" w:hAnsi="Arial"/>
          <w:color w:val="auto"/>
          <w:spacing w:val="0"/>
          <w:sz w:val="24"/>
          <w:szCs w:val="32"/>
        </w:rPr>
        <w:t>0户，</w:t>
      </w:r>
      <w:r>
        <w:rPr>
          <w:rFonts w:ascii="Arial" w:eastAsia="黑体" w:cs="Times New Roman" w:hAnsi="Arial" w:hint="eastAsia"/>
          <w:color w:val="auto"/>
          <w:spacing w:val="0"/>
          <w:sz w:val="24"/>
          <w:szCs w:val="32"/>
          <w:lang w:eastAsia="zh-CN"/>
        </w:rPr>
        <w:t>今年计划实施改造</w:t>
      </w:r>
      <w:r>
        <w:rPr>
          <w:rFonts w:ascii="Arial" w:eastAsia="黑体" w:cs="Times New Roman" w:hAnsi="Arial" w:hint="eastAsia"/>
          <w:color w:val="auto"/>
          <w:spacing w:val="0"/>
          <w:sz w:val="24"/>
          <w:szCs w:val="32"/>
          <w:lang w:val="en-US" w:eastAsia="zh-CN"/>
        </w:rPr>
        <w:t>1</w:t>
      </w:r>
      <w:r>
        <w:rPr>
          <w:rFonts w:ascii="Arial" w:eastAsia="黑体" w:cs="Times New Roman" w:hAnsi="Arial" w:hint="eastAsia"/>
          <w:b w:val="0"/>
          <w:bCs w:val="0"/>
          <w:color w:val="auto"/>
          <w:sz w:val="24"/>
          <w:szCs w:val="32"/>
          <w:lang w:val="en-US" w:eastAsia="zh-CN"/>
        </w:rPr>
        <w:t>24户。</w:t>
      </w:r>
      <w:r>
        <w:rPr>
          <w:rFonts w:ascii="Arial" w:eastAsia="黑体" w:cs="Times New Roman" w:hAnsi="Arial" w:hint="eastAsia"/>
          <w:b/>
          <w:bCs/>
          <w:color w:val="auto"/>
          <w:sz w:val="24"/>
          <w:szCs w:val="32"/>
          <w:lang w:val="en-US" w:eastAsia="zh-CN"/>
        </w:rPr>
        <w:t>四是</w:t>
      </w:r>
      <w:r>
        <w:rPr>
          <w:rFonts w:ascii="Arial" w:eastAsia="黑体" w:cs="Times New Roman" w:hAnsi="Arial" w:hint="eastAsia"/>
          <w:b w:val="0"/>
          <w:bCs w:val="0"/>
          <w:color w:val="auto"/>
          <w:sz w:val="24"/>
          <w:szCs w:val="32"/>
          <w:lang w:val="en-US" w:eastAsia="zh-CN"/>
        </w:rPr>
        <w:t>救助精神残疾人服药（住院）29人，为残疾人免费安装假肢10具。</w:t>
      </w:r>
    </w:p>
    <w:p>
      <w:pPr>
        <w:keepNext w:val="0"/>
        <w:keepLines w:val="0"/>
        <w:pageBreakBefore w:val="0"/>
        <w:widowControl w:val="0"/>
        <w:kinsoku/>
        <w:wordWrap/>
        <w:overflowPunct/>
        <w:topLinePunct w:val="0"/>
        <w:autoSpaceDE/>
        <w:autoSpaceDN/>
        <w:bidi w:val="0"/>
        <w:adjustRightInd/>
        <w:snapToGrid/>
        <w:spacing w:beforeAutospacing="0" w:after="80" w:afterAutospacing="0" w:line="360" w:lineRule="auto"/>
        <w:ind w:left="0" w:firstLineChars="200" w:firstLine="480"/>
        <w:textAlignment w:val="auto"/>
        <w:rPr>
          <w:rFonts w:ascii="Arial" w:eastAsia="黑体" w:cs="Times New Roman" w:hAnsi="Arial" w:hint="eastAsia"/>
          <w:b w:val="0"/>
          <w:bCs w:val="0"/>
          <w:color w:val="auto"/>
          <w:sz w:val="24"/>
          <w:szCs w:val="32"/>
          <w:lang w:val="en-US" w:eastAsia="zh-CN"/>
        </w:rPr>
      </w:pPr>
      <w:r>
        <w:rPr>
          <w:rFonts w:ascii="Arial" w:eastAsia="黑体" w:cs="楷体_GB2312" w:hAnsi="Arial" w:hint="eastAsia"/>
          <w:color w:val="auto"/>
          <w:sz w:val="24"/>
          <w:szCs w:val="32"/>
          <w:lang w:val="en-US" w:eastAsia="zh-CN"/>
        </w:rPr>
        <w:t>（3）做实残疾人脱贫攻坚工作。</w:t>
      </w:r>
      <w:r>
        <w:rPr>
          <w:rFonts w:ascii="Arial" w:eastAsia="黑体" w:cs="Times New Roman" w:hAnsi="Arial" w:hint="eastAsia"/>
          <w:b w:val="0"/>
          <w:bCs w:val="0"/>
          <w:color w:val="auto"/>
          <w:sz w:val="24"/>
          <w:szCs w:val="32"/>
          <w:lang w:val="en-US" w:eastAsia="zh-CN"/>
        </w:rPr>
        <w:t>扎实做好联村帮扶工作。区残联帮扶清水镇贫困村艺丰村、非贫困村龙凤村两个村共110户贫困户，人均10户以上。挤出资金5.85万元，着重为清水镇艺丰村、龙凤村贫困户解决住房功能配套完善及产业扶持等问题，贫困户已全部脱贫。</w:t>
      </w:r>
    </w:p>
    <w:p>
      <w:pPr>
        <w:keepNext w:val="0"/>
        <w:keepLines w:val="0"/>
        <w:pageBreakBefore w:val="0"/>
        <w:widowControl w:val="0"/>
        <w:kinsoku/>
        <w:wordWrap/>
        <w:overflowPunct/>
        <w:topLinePunct w:val="0"/>
        <w:autoSpaceDE/>
        <w:autoSpaceDN/>
        <w:bidi w:val="0"/>
        <w:adjustRightInd/>
        <w:snapToGrid/>
        <w:spacing w:beforeAutospacing="0" w:after="80" w:afterAutospacing="0" w:line="360" w:lineRule="auto"/>
        <w:ind w:left="0" w:firstLineChars="200" w:firstLine="480"/>
        <w:textAlignment w:val="auto"/>
        <w:rPr>
          <w:rFonts w:ascii="Arial" w:eastAsia="黑体" w:cs="Times New Roman" w:hAnsi="Arial"/>
          <w:b w:val="0"/>
          <w:bCs w:val="0"/>
          <w:sz w:val="24"/>
          <w:szCs w:val="32"/>
          <w:lang w:val="en-US" w:eastAsia="zh-CN"/>
        </w:rPr>
      </w:pPr>
      <w:r>
        <w:rPr>
          <w:rFonts w:ascii="Arial" w:eastAsia="黑体" w:cs="Times New Roman" w:hAnsi="Arial" w:hint="eastAsia"/>
          <w:b w:val="0"/>
          <w:bCs w:val="0"/>
          <w:sz w:val="24"/>
          <w:szCs w:val="32"/>
          <w:lang w:val="en-US" w:eastAsia="zh-CN"/>
        </w:rPr>
        <w:t>（</w:t>
      </w:r>
      <w:r>
        <w:rPr>
          <w:rFonts w:ascii="Arial" w:eastAsia="黑体" w:cs="楷体_GB2312" w:hAnsi="Arial" w:hint="eastAsia"/>
          <w:sz w:val="24"/>
          <w:szCs w:val="32"/>
          <w:lang w:val="en-US" w:eastAsia="zh-CN"/>
        </w:rPr>
        <w:t>4）落实东西部扶贫协作残疾人帮扶项目。</w:t>
      </w:r>
      <w:r>
        <w:rPr>
          <w:rFonts w:ascii="Arial" w:eastAsia="黑体" w:cs="Times New Roman" w:hAnsi="Arial" w:hint="eastAsia"/>
          <w:b w:val="0"/>
          <w:bCs w:val="0"/>
          <w:sz w:val="24"/>
          <w:szCs w:val="32"/>
          <w:lang w:val="en-US" w:eastAsia="zh-CN"/>
        </w:rPr>
        <w:t>2020年共投入东西部扶贫协作资金50万元，设立残疾人公益性岗位40个，康复救助自闭症儿童3人、培训康复老师1人，实施无障碍改造7户，发放残疾人基本辅具193人220件。共带动贫困残疾人241人实现增收奔康。</w:t>
      </w:r>
    </w:p>
    <w:p>
      <w:pPr>
        <w:keepNext w:val="0"/>
        <w:keepLines w:val="0"/>
        <w:pageBreakBefore w:val="0"/>
        <w:widowControl w:val="0"/>
        <w:kinsoku/>
        <w:wordWrap/>
        <w:overflowPunct/>
        <w:topLinePunct w:val="0"/>
        <w:autoSpaceDE/>
        <w:autoSpaceDN/>
        <w:bidi w:val="0"/>
        <w:adjustRightInd/>
        <w:snapToGrid/>
        <w:spacing w:beforeAutospacing="0" w:after="80" w:afterAutospacing="0" w:line="360" w:lineRule="auto"/>
        <w:ind w:left="0" w:firstLineChars="200" w:firstLine="480"/>
        <w:textAlignment w:val="auto"/>
        <w:rPr>
          <w:rFonts w:ascii="Arial" w:eastAsia="黑体" w:cs="Times New Roman" w:hAnsi="Arial" w:hint="eastAsia"/>
          <w:sz w:val="24"/>
          <w:szCs w:val="32"/>
          <w:lang w:val="en-US" w:eastAsia="zh-CN"/>
        </w:rPr>
      </w:pPr>
      <w:r>
        <w:rPr>
          <w:rFonts w:ascii="Arial" w:eastAsia="黑体" w:cs="楷体_GB2312" w:hAnsi="Arial" w:hint="eastAsia"/>
          <w:sz w:val="24"/>
          <w:szCs w:val="32"/>
          <w:lang w:val="en-US" w:eastAsia="zh-CN"/>
        </w:rPr>
        <w:t>（5）做细残疾人新冠肺炎疫情防控工作。</w:t>
      </w:r>
      <w:r>
        <w:rPr>
          <w:rFonts w:ascii="Arial" w:eastAsia="黑体" w:cs="Times New Roman" w:hAnsi="Arial" w:hint="eastAsia"/>
          <w:sz w:val="24"/>
          <w:szCs w:val="32"/>
          <w:lang w:val="en-US" w:eastAsia="zh-CN"/>
        </w:rPr>
        <w:t>积极开展残疾人疫情防控物资发放工作，为各镇发放口罩1500个、酒精、消毒液各100套，“防疫爱心包”200余份，帮助残疾人做好自我防护。开展困难残疾人慰问工作，区残联慰问残疾人226户，发放大米、食用油、牛奶等生活物资，为受疫情影响不能外出务工而导致生活困难的残疾人家庭提供了基本生活保障。</w:t>
      </w:r>
    </w:p>
    <w:p>
      <w:pPr>
        <w:keepNext w:val="0"/>
        <w:keepLines w:val="0"/>
        <w:pageBreakBefore w:val="0"/>
        <w:widowControl w:val="0"/>
        <w:kinsoku/>
        <w:wordWrap/>
        <w:overflowPunct/>
        <w:topLinePunct w:val="0"/>
        <w:autoSpaceDE/>
        <w:autoSpaceDN/>
        <w:bidi w:val="0"/>
        <w:adjustRightInd/>
        <w:snapToGrid/>
        <w:spacing w:beforeAutospacing="0" w:after="80" w:afterAutospacing="0" w:line="360" w:lineRule="auto"/>
        <w:ind w:left="0" w:firstLineChars="200" w:firstLine="480"/>
        <w:textAlignment w:val="auto"/>
        <w:rPr>
          <w:rFonts w:ascii="Arial" w:eastAsia="黑体" w:cs="楷体_GB2312" w:hAnsi="Arial"/>
          <w:sz w:val="24"/>
          <w:szCs w:val="32"/>
          <w:lang w:val="en-US" w:eastAsia="zh-CN"/>
        </w:rPr>
      </w:pPr>
      <w:r>
        <w:rPr>
          <w:rFonts w:ascii="Arial" w:eastAsia="黑体" w:cs="楷体_GB2312" w:hAnsi="Arial" w:hint="eastAsia"/>
          <w:sz w:val="24"/>
          <w:szCs w:val="32"/>
          <w:lang w:val="en-US" w:eastAsia="zh-CN"/>
        </w:rPr>
        <w:t>（6）召开昭化区第三次残代会。</w:t>
      </w:r>
      <w:r>
        <w:rPr>
          <w:rFonts w:ascii="Arial" w:eastAsia="黑体" w:cs="Times New Roman" w:hAnsi="Arial" w:hint="eastAsia"/>
          <w:sz w:val="24"/>
          <w:szCs w:val="32"/>
          <w:lang w:val="en-US" w:eastAsia="zh-CN"/>
        </w:rPr>
        <w:t>今年5月，区残联组织召开了昭化区第三次残代会，到会各类残疾人及其亲友代表41人。会议听取了区残联第二届主席团《工作报告》，选举产生了区残联第三届主席团主席、副主席；推举产生了区残联理事长、副理事长。</w:t>
      </w:r>
    </w:p>
    <w:p>
      <w:pPr>
        <w:pStyle w:val="15"/>
        <w:adjustRightInd w:val="0"/>
        <w:snapToGrid/>
        <w:spacing w:beforeLines="0" w:before="30" w:beforeAutospacing="0" w:after="80" w:afterAutospacing="0" w:line="360" w:lineRule="auto"/>
        <w:ind w:left="0" w:firstLineChars="200" w:firstLine="480"/>
        <w:outlineLvl w:val="9"/>
        <w:rPr>
          <w:rFonts w:ascii="Arial" w:eastAsia="黑体" w:hAnsi="Arial"/>
          <w:bCs/>
          <w:color w:val="auto"/>
          <w:sz w:val="24"/>
          <w:szCs w:val="32"/>
        </w:rPr>
      </w:pPr>
    </w:p>
    <w:p>
      <w:pPr>
        <w:pStyle w:val="2"/>
        <w:snapToGrid/>
        <w:spacing w:before="80" w:beforeAutospacing="0" w:after="0" w:afterAutospacing="0" w:line="360" w:lineRule="auto"/>
        <w:ind w:left="0" w:right="0" w:firstLine="0"/>
        <w:jc w:val="left"/>
        <w:outlineLvl w:val="1"/>
        <w:rPr>
          <w:rStyle w:val="2Char"/>
          <w:rFonts w:ascii="Times New Roman" w:eastAsia="汉仪中宋简" w:hAnsi="Times New Roman"/>
          <w:b w:val="0"/>
          <w:bCs w:val="0"/>
          <w:color w:val="auto"/>
          <w:sz w:val="28"/>
        </w:rPr>
      </w:pPr>
      <w:bookmarkStart w:id="25" w:name="_Toc15396601"/>
      <w:bookmarkStart w:id="26" w:name="_Toc18302"/>
      <w:bookmarkStart w:id="27" w:name="_Toc15377200"/>
      <w:r>
        <w:rPr>
          <w:rFonts w:ascii="Times New Roman" w:eastAsia="汉仪中宋简" w:hAnsi="Times New Roman" w:hint="eastAsia"/>
          <w:b w:val="0"/>
          <w:color w:val="auto"/>
          <w:sz w:val="28"/>
        </w:rPr>
        <w:t>二、机</w:t>
      </w:r>
      <w:r>
        <w:rPr>
          <w:rStyle w:val="2Char"/>
          <w:rFonts w:ascii="Times New Roman" w:eastAsia="汉仪中宋简" w:hAnsi="Times New Roman" w:hint="eastAsia"/>
          <w:b w:val="0"/>
          <w:bCs w:val="0"/>
          <w:color w:val="auto"/>
          <w:sz w:val="28"/>
        </w:rPr>
        <w:t>构设置</w:t>
      </w:r>
      <w:bookmarkEnd w:id="25"/>
      <w:bookmarkEnd w:id="26"/>
      <w:bookmarkEnd w:id="27"/>
    </w:p>
    <w:p>
      <w:pPr>
        <w:snapToGrid/>
        <w:spacing w:beforeAutospacing="0" w:after="80" w:afterAutospacing="0" w:line="360" w:lineRule="auto"/>
        <w:ind w:left="0" w:firstLineChars="200" w:firstLine="480"/>
        <w:rPr>
          <w:rFonts w:ascii="Arial" w:eastAsia="黑体" w:hAnsi="Arial"/>
          <w:color w:val="auto"/>
          <w:kern w:val="0"/>
          <w:sz w:val="24"/>
          <w:szCs w:val="32"/>
        </w:rPr>
      </w:pPr>
      <w:r>
        <w:rPr>
          <w:rFonts w:ascii="Arial" w:eastAsia="黑体" w:hAnsi="Arial" w:hint="eastAsia"/>
          <w:color w:val="auto"/>
          <w:sz w:val="24"/>
          <w:szCs w:val="32"/>
          <w:lang w:eastAsia="zh-CN"/>
        </w:rPr>
        <w:t>昭化区残联</w:t>
      </w:r>
      <w:r>
        <w:rPr>
          <w:rFonts w:ascii="Arial" w:eastAsia="黑体" w:hAnsi="Arial" w:hint="eastAsia"/>
          <w:color w:val="auto"/>
          <w:sz w:val="24"/>
          <w:szCs w:val="32"/>
        </w:rPr>
        <w:t>下属</w:t>
      </w:r>
      <w:r>
        <w:rPr>
          <w:rFonts w:ascii="Arial" w:eastAsia="黑体" w:hAnsi="Arial" w:hint="eastAsia"/>
          <w:color w:val="auto"/>
          <w:sz w:val="24"/>
          <w:szCs w:val="32"/>
          <w:lang w:eastAsia="zh-CN"/>
        </w:rPr>
        <w:t>事业</w:t>
      </w:r>
      <w:r>
        <w:rPr>
          <w:rFonts w:ascii="Arial" w:eastAsia="黑体" w:hAnsi="Arial" w:hint="eastAsia"/>
          <w:color w:val="auto"/>
          <w:sz w:val="24"/>
          <w:szCs w:val="32"/>
        </w:rPr>
        <w:t>单位</w:t>
      </w:r>
      <w:r>
        <w:rPr>
          <w:rFonts w:ascii="Arial" w:eastAsia="黑体" w:hAnsi="Arial" w:hint="eastAsia"/>
          <w:color w:val="auto"/>
          <w:sz w:val="24"/>
          <w:szCs w:val="32"/>
          <w:lang w:val="en-US" w:eastAsia="zh-CN"/>
        </w:rPr>
        <w:t>1</w:t>
      </w:r>
      <w:r>
        <w:rPr>
          <w:rFonts w:ascii="Arial" w:eastAsia="黑体" w:hAnsi="Arial" w:hint="eastAsia"/>
          <w:color w:val="auto"/>
          <w:sz w:val="24"/>
          <w:szCs w:val="32"/>
        </w:rPr>
        <w:t>个，其中行政单位</w:t>
      </w:r>
      <w:r>
        <w:rPr>
          <w:rFonts w:ascii="Arial" w:eastAsia="黑体" w:hAnsi="Arial" w:hint="eastAsia"/>
          <w:color w:val="auto"/>
          <w:sz w:val="24"/>
          <w:szCs w:val="32"/>
          <w:lang w:val="en-US" w:eastAsia="zh-CN"/>
        </w:rPr>
        <w:t>0</w:t>
      </w:r>
      <w:r>
        <w:rPr>
          <w:rFonts w:ascii="Arial" w:eastAsia="黑体" w:hAnsi="Arial" w:hint="eastAsia"/>
          <w:color w:val="auto"/>
          <w:sz w:val="24"/>
          <w:szCs w:val="32"/>
        </w:rPr>
        <w:t>个，参照公务员法管理的事业单位</w:t>
      </w:r>
      <w:r>
        <w:rPr>
          <w:rFonts w:ascii="Arial" w:eastAsia="黑体" w:hAnsi="Arial" w:hint="eastAsia"/>
          <w:color w:val="auto"/>
          <w:sz w:val="24"/>
          <w:szCs w:val="32"/>
          <w:lang w:val="en-US" w:eastAsia="zh-CN"/>
        </w:rPr>
        <w:t>0</w:t>
      </w:r>
      <w:r>
        <w:rPr>
          <w:rFonts w:ascii="Arial" w:eastAsia="黑体" w:hAnsi="Arial" w:hint="eastAsia"/>
          <w:color w:val="auto"/>
          <w:sz w:val="24"/>
          <w:szCs w:val="32"/>
        </w:rPr>
        <w:t>个，其他事业单位</w:t>
      </w:r>
      <w:r>
        <w:rPr>
          <w:rFonts w:ascii="Arial" w:eastAsia="黑体" w:hAnsi="Arial" w:hint="eastAsia"/>
          <w:color w:val="auto"/>
          <w:sz w:val="24"/>
          <w:szCs w:val="32"/>
          <w:lang w:val="en-US" w:eastAsia="zh-CN"/>
        </w:rPr>
        <w:t>0</w:t>
      </w:r>
      <w:r>
        <w:rPr>
          <w:rFonts w:ascii="Arial" w:eastAsia="黑体" w:hAnsi="Arial" w:hint="eastAsia"/>
          <w:color w:val="auto"/>
          <w:sz w:val="24"/>
          <w:szCs w:val="32"/>
        </w:rPr>
        <w:t>个。</w:t>
      </w:r>
    </w:p>
    <w:p>
      <w:pPr>
        <w:pStyle w:val="1"/>
        <w:snapToGrid/>
        <w:spacing w:before="0" w:beforeAutospacing="0" w:after="80" w:afterAutospacing="0" w:line="360" w:lineRule="auto"/>
        <w:ind w:left="0" w:right="440" w:firstLine="0"/>
        <w:jc w:val="both"/>
        <w:outlineLvl w:val="9"/>
        <w:rPr>
          <w:rFonts w:ascii="Arial" w:eastAsia="黑体" w:hAnsi="Arial" w:hint="eastAsia"/>
          <w:b w:val="0"/>
          <w:color w:val="auto"/>
          <w:sz w:val="24"/>
        </w:rPr>
      </w:pPr>
      <w:bookmarkStart w:id="28" w:name="_Toc15396602"/>
      <w:bookmarkStart w:id="29" w:name="_Toc15377204"/>
    </w:p>
    <w:p>
      <w:pPr>
        <w:pStyle w:val="1"/>
        <w:snapToGrid/>
        <w:spacing w:before="320" w:beforeAutospacing="0" w:after="40" w:afterAutospacing="0" w:line="240" w:lineRule="auto"/>
        <w:ind w:left="0" w:right="0" w:firstLine="0"/>
        <w:jc w:val="left"/>
        <w:outlineLvl w:val="0"/>
        <w:rPr>
          <w:rFonts w:ascii="Times New Roman" w:eastAsia="汉仪中宋简" w:hAnsi="Times New Roman"/>
          <w:b w:val="0"/>
          <w:color w:val="auto"/>
          <w:sz w:val="36"/>
        </w:rPr>
      </w:pPr>
      <w:bookmarkStart w:id="30" w:name="_Toc2820"/>
      <w:r>
        <w:rPr>
          <w:rFonts w:ascii="Times New Roman" w:eastAsia="汉仪中宋简" w:hAnsi="Times New Roman" w:hint="eastAsia"/>
          <w:b w:val="0"/>
          <w:color w:val="auto"/>
          <w:sz w:val="36"/>
        </w:rPr>
        <w:t>第二部分</w:t>
      </w:r>
      <w:r>
        <w:rPr>
          <w:rFonts w:ascii="Times New Roman" w:eastAsia="汉仪中宋简" w:hAnsi="Times New Roman"/>
          <w:b w:val="0"/>
          <w:color w:val="auto"/>
          <w:sz w:val="36"/>
        </w:rPr>
        <w:t xml:space="preserve"> </w:t>
      </w:r>
      <w:r>
        <w:rPr>
          <w:rStyle w:val="1Char"/>
          <w:rFonts w:ascii="Times New Roman" w:eastAsia="汉仪中宋简" w:hAnsi="Times New Roman"/>
          <w:b w:val="0"/>
          <w:bCs w:val="0"/>
          <w:color w:val="auto"/>
          <w:sz w:val="36"/>
        </w:rPr>
        <w:t>2020</w:t>
      </w:r>
      <w:r>
        <w:rPr>
          <w:rStyle w:val="1Char"/>
          <w:rFonts w:ascii="Times New Roman" w:eastAsia="汉仪中宋简" w:hAnsi="Times New Roman" w:hint="eastAsia"/>
          <w:b w:val="0"/>
          <w:bCs w:val="0"/>
          <w:color w:val="auto"/>
          <w:sz w:val="36"/>
        </w:rPr>
        <w:t>年度部门决算情况说明</w:t>
      </w:r>
      <w:bookmarkEnd w:id="28"/>
      <w:bookmarkEnd w:id="29"/>
      <w:bookmarkEnd w:id="30"/>
    </w:p>
    <w:p>
      <w:pPr>
        <w:pStyle w:val="26"/>
        <w:numPr>
          <w:ilvl w:val="0"/>
          <w:numId w:val="1"/>
        </w:numPr>
        <w:snapToGrid/>
        <w:spacing w:before="80" w:beforeAutospacing="0" w:afterAutospacing="0" w:line="360" w:lineRule="auto"/>
        <w:ind w:left="0" w:right="0" w:firstLineChars="0" w:firstLine="0"/>
        <w:jc w:val="left"/>
        <w:outlineLvl w:val="1"/>
        <w:rPr>
          <w:rStyle w:val="2Char"/>
          <w:rFonts w:ascii="Times New Roman" w:eastAsia="汉仪中宋简" w:hAnsi="Times New Roman"/>
          <w:b w:val="0"/>
          <w:color w:val="auto"/>
          <w:sz w:val="28"/>
        </w:rPr>
      </w:pPr>
      <w:bookmarkStart w:id="31" w:name="_Toc15377205"/>
      <w:bookmarkStart w:id="32" w:name="_Toc18782"/>
      <w:bookmarkStart w:id="33" w:name="_Toc15396603"/>
      <w:r>
        <w:rPr>
          <w:rFonts w:ascii="Times New Roman" w:eastAsia="汉仪中宋简" w:hAnsi="Times New Roman" w:hint="eastAsia"/>
          <w:b w:val="0"/>
          <w:color w:val="auto"/>
          <w:sz w:val="28"/>
          <w:szCs w:val="32"/>
        </w:rPr>
        <w:t>收</w:t>
      </w:r>
      <w:r>
        <w:rPr>
          <w:rStyle w:val="2Char"/>
          <w:rFonts w:ascii="Times New Roman" w:eastAsia="汉仪中宋简" w:hAnsi="Times New Roman" w:hint="eastAsia"/>
          <w:b w:val="0"/>
          <w:color w:val="auto"/>
          <w:sz w:val="28"/>
        </w:rPr>
        <w:t>入支出决算总体情况说明</w:t>
      </w:r>
      <w:bookmarkEnd w:id="31"/>
      <w:bookmarkEnd w:id="32"/>
      <w:bookmarkEnd w:id="33"/>
    </w:p>
    <w:p>
      <w:pPr>
        <w:snapToGrid/>
        <w:spacing w:beforeAutospacing="0" w:after="80" w:afterAutospacing="0" w:line="360" w:lineRule="auto"/>
        <w:ind w:left="0" w:firstLineChars="200" w:firstLine="480"/>
        <w:rPr>
          <w:rFonts w:ascii="Arial" w:eastAsia="黑体" w:hAnsi="Arial"/>
          <w:color w:val="auto"/>
          <w:sz w:val="24"/>
          <w:szCs w:val="32"/>
        </w:rPr>
      </w:pPr>
      <w:r>
        <w:rPr>
          <w:rFonts w:ascii="Arial" w:eastAsia="黑体" w:hAnsi="Arial"/>
          <w:color w:val="auto"/>
          <w:sz w:val="24"/>
          <w:szCs w:val="32"/>
        </w:rPr>
        <w:t>2020</w:t>
      </w:r>
      <w:r>
        <w:rPr>
          <w:rFonts w:ascii="Arial" w:eastAsia="黑体" w:hAnsi="Arial" w:hint="eastAsia"/>
          <w:color w:val="auto"/>
          <w:sz w:val="24"/>
          <w:szCs w:val="32"/>
        </w:rPr>
        <w:t>年度收、支总计</w:t>
      </w:r>
      <w:r>
        <w:rPr>
          <w:rFonts w:ascii="Arial" w:eastAsia="黑体" w:hAnsi="Arial" w:hint="eastAsia"/>
          <w:color w:val="auto"/>
          <w:sz w:val="24"/>
          <w:szCs w:val="32"/>
          <w:lang w:val="en-US" w:eastAsia="zh-CN"/>
        </w:rPr>
        <w:t>1067.23</w:t>
      </w:r>
      <w:r>
        <w:rPr>
          <w:rFonts w:ascii="Arial" w:eastAsia="黑体" w:hAnsi="Arial" w:hint="eastAsia"/>
          <w:color w:val="auto"/>
          <w:sz w:val="24"/>
          <w:szCs w:val="32"/>
        </w:rPr>
        <w:t>万元。与</w:t>
      </w:r>
      <w:r>
        <w:rPr>
          <w:rFonts w:ascii="Arial" w:eastAsia="黑体" w:hAnsi="Arial"/>
          <w:color w:val="auto"/>
          <w:sz w:val="24"/>
          <w:szCs w:val="32"/>
        </w:rPr>
        <w:t>2019</w:t>
      </w:r>
      <w:r>
        <w:rPr>
          <w:rFonts w:ascii="Arial" w:eastAsia="黑体" w:hAnsi="Arial" w:hint="eastAsia"/>
          <w:color w:val="auto"/>
          <w:sz w:val="24"/>
          <w:szCs w:val="32"/>
        </w:rPr>
        <w:t>年相比，收、支总计</w:t>
      </w:r>
      <w:r>
        <w:rPr>
          <w:rFonts w:ascii="Arial" w:eastAsia="黑体" w:hAnsi="Arial" w:hint="eastAsia"/>
          <w:color w:val="auto"/>
          <w:sz w:val="24"/>
          <w:szCs w:val="32"/>
          <w:lang w:eastAsia="zh-CN"/>
        </w:rPr>
        <w:t>增加了</w:t>
      </w:r>
      <w:r>
        <w:rPr>
          <w:rFonts w:ascii="Arial" w:eastAsia="黑体" w:hAnsi="Arial" w:hint="eastAsia"/>
          <w:color w:val="auto"/>
          <w:sz w:val="24"/>
          <w:szCs w:val="32"/>
          <w:lang w:val="en-US" w:eastAsia="zh-CN"/>
        </w:rPr>
        <w:t>198.13</w:t>
      </w:r>
      <w:r>
        <w:rPr>
          <w:rFonts w:ascii="Arial" w:eastAsia="黑体" w:hAnsi="Arial" w:hint="eastAsia"/>
          <w:color w:val="auto"/>
          <w:sz w:val="24"/>
          <w:szCs w:val="32"/>
        </w:rPr>
        <w:t>万元，</w:t>
      </w:r>
      <w:r>
        <w:rPr>
          <w:rFonts w:ascii="Arial" w:eastAsia="黑体" w:hAnsi="Arial" w:hint="eastAsia"/>
          <w:color w:val="auto"/>
          <w:sz w:val="24"/>
          <w:szCs w:val="32"/>
          <w:lang w:eastAsia="zh-CN"/>
        </w:rPr>
        <w:t>增长了</w:t>
      </w:r>
      <w:r>
        <w:rPr>
          <w:rFonts w:ascii="Arial" w:eastAsia="黑体" w:hAnsi="Arial" w:hint="eastAsia"/>
          <w:color w:val="auto"/>
          <w:sz w:val="24"/>
          <w:szCs w:val="32"/>
          <w:lang w:val="en-US" w:eastAsia="zh-CN"/>
        </w:rPr>
        <w:t>22.78</w:t>
      </w:r>
      <w:r>
        <w:rPr>
          <w:rFonts w:ascii="Arial" w:eastAsia="黑体" w:hAnsi="Arial"/>
          <w:color w:val="auto"/>
          <w:sz w:val="24"/>
          <w:szCs w:val="32"/>
        </w:rPr>
        <w:t>%</w:t>
      </w:r>
      <w:r>
        <w:rPr>
          <w:rFonts w:ascii="Arial" w:eastAsia="黑体" w:hAnsi="Arial" w:hint="eastAsia"/>
          <w:color w:val="auto"/>
          <w:sz w:val="24"/>
          <w:szCs w:val="32"/>
        </w:rPr>
        <w:t>。主要变动原因是</w:t>
      </w:r>
      <w:r>
        <w:rPr>
          <w:rFonts w:ascii="Arial" w:eastAsia="黑体" w:hAnsi="Arial" w:hint="eastAsia"/>
          <w:color w:val="auto"/>
          <w:sz w:val="24"/>
          <w:szCs w:val="32"/>
          <w:lang w:eastAsia="zh-CN"/>
        </w:rPr>
        <w:t>残疾人事业发展补助项目增加（残疾人扶贫对象生活补贴、残疾人医保代缴等项目）。</w:t>
      </w:r>
    </w:p>
    <w:p>
      <w:pPr>
        <w:pStyle w:val="26"/>
        <w:numPr>
          <w:ilvl w:val="0"/>
          <w:numId w:val="1"/>
        </w:numPr>
        <w:snapToGrid/>
        <w:spacing w:before="80" w:beforeAutospacing="0" w:afterAutospacing="0" w:line="360" w:lineRule="auto"/>
        <w:ind w:left="0" w:right="0" w:firstLineChars="0" w:firstLine="0"/>
        <w:jc w:val="left"/>
        <w:outlineLvl w:val="1"/>
        <w:rPr>
          <w:rStyle w:val="2Char"/>
          <w:rFonts w:ascii="Times New Roman" w:eastAsia="汉仪中宋简" w:hAnsi="Times New Roman"/>
          <w:b w:val="0"/>
          <w:color w:val="auto"/>
          <w:sz w:val="28"/>
        </w:rPr>
      </w:pPr>
      <w:bookmarkStart w:id="34" w:name="_Toc15377206"/>
      <w:bookmarkStart w:id="35" w:name="_Toc15396604"/>
      <w:bookmarkStart w:id="36" w:name="_Toc7742"/>
      <w:r>
        <w:rPr>
          <w:rFonts w:ascii="Times New Roman" w:eastAsia="汉仪中宋简" w:hAnsi="Times New Roman" w:hint="eastAsia"/>
          <w:b w:val="0"/>
          <w:color w:val="auto"/>
          <w:sz w:val="28"/>
          <w:szCs w:val="32"/>
        </w:rPr>
        <w:t>收</w:t>
      </w:r>
      <w:r>
        <w:rPr>
          <w:rStyle w:val="2Char"/>
          <w:rFonts w:ascii="Times New Roman" w:eastAsia="汉仪中宋简" w:hAnsi="Times New Roman" w:hint="eastAsia"/>
          <w:b w:val="0"/>
          <w:color w:val="auto"/>
          <w:sz w:val="28"/>
        </w:rPr>
        <w:t>入决算情况说明</w:t>
      </w:r>
      <w:bookmarkEnd w:id="34"/>
      <w:bookmarkEnd w:id="35"/>
      <w:bookmarkEnd w:id="36"/>
    </w:p>
    <w:p>
      <w:pPr>
        <w:snapToGrid/>
        <w:spacing w:beforeAutospacing="0" w:after="80" w:afterAutospacing="0" w:line="360" w:lineRule="auto"/>
        <w:ind w:left="0" w:firstLineChars="200" w:firstLine="480"/>
        <w:outlineLvl w:val="1"/>
        <w:rPr>
          <w:rFonts w:ascii="Arial" w:eastAsia="黑体" w:hAnsi="Arial"/>
          <w:color w:val="auto"/>
          <w:sz w:val="24"/>
          <w:szCs w:val="32"/>
        </w:rPr>
      </w:pPr>
      <w:bookmarkStart w:id="37" w:name="_Toc12224"/>
      <w:r>
        <w:rPr>
          <w:rFonts w:ascii="Arial" w:eastAsia="黑体" w:hAnsi="Arial"/>
          <w:color w:val="auto"/>
          <w:sz w:val="24"/>
          <w:szCs w:val="32"/>
        </w:rPr>
        <w:t>2020</w:t>
      </w:r>
      <w:r>
        <w:rPr>
          <w:rFonts w:ascii="Arial" w:eastAsia="黑体" w:hAnsi="Arial" w:hint="eastAsia"/>
          <w:color w:val="auto"/>
          <w:sz w:val="24"/>
          <w:szCs w:val="32"/>
        </w:rPr>
        <w:t>年本年收入合计</w:t>
      </w:r>
      <w:r>
        <w:rPr>
          <w:rFonts w:ascii="Arial" w:eastAsia="黑体" w:hAnsi="Arial" w:hint="eastAsia"/>
          <w:color w:val="auto"/>
          <w:sz w:val="24"/>
          <w:szCs w:val="32"/>
          <w:lang w:val="en-US" w:eastAsia="zh-CN"/>
        </w:rPr>
        <w:t>504.65</w:t>
      </w:r>
      <w:r>
        <w:rPr>
          <w:rFonts w:ascii="Arial" w:eastAsia="黑体" w:hAnsi="Arial" w:hint="eastAsia"/>
          <w:color w:val="auto"/>
          <w:sz w:val="24"/>
          <w:szCs w:val="32"/>
        </w:rPr>
        <w:t>万元，其中：一般公共预算财政拨款收入</w:t>
      </w:r>
      <w:r>
        <w:rPr>
          <w:rFonts w:ascii="Arial" w:eastAsia="黑体" w:hAnsi="Arial" w:hint="eastAsia"/>
          <w:color w:val="auto"/>
          <w:sz w:val="24"/>
          <w:szCs w:val="32"/>
          <w:lang w:val="en-US" w:eastAsia="zh-CN"/>
        </w:rPr>
        <w:t>474.59</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94.1</w:t>
      </w:r>
      <w:r>
        <w:rPr>
          <w:rFonts w:ascii="Arial" w:eastAsia="黑体" w:hAnsi="Arial"/>
          <w:color w:val="auto"/>
          <w:sz w:val="24"/>
          <w:szCs w:val="32"/>
        </w:rPr>
        <w:t>%</w:t>
      </w:r>
      <w:r>
        <w:rPr>
          <w:rFonts w:ascii="Arial" w:eastAsia="黑体" w:hAnsi="Arial" w:hint="eastAsia"/>
          <w:color w:val="auto"/>
          <w:sz w:val="24"/>
          <w:szCs w:val="32"/>
        </w:rPr>
        <w:t>；政府性基金预算财政拨款收入</w:t>
      </w:r>
      <w:r>
        <w:rPr>
          <w:rFonts w:ascii="Arial" w:eastAsia="黑体" w:hAnsi="Arial" w:hint="eastAsia"/>
          <w:color w:val="auto"/>
          <w:sz w:val="24"/>
          <w:szCs w:val="32"/>
          <w:lang w:val="en-US" w:eastAsia="zh-CN"/>
        </w:rPr>
        <w:t>30.06</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5.9</w:t>
      </w:r>
      <w:r>
        <w:rPr>
          <w:rFonts w:ascii="Arial" w:eastAsia="黑体" w:hAnsi="Arial"/>
          <w:color w:val="auto"/>
          <w:sz w:val="24"/>
          <w:szCs w:val="32"/>
        </w:rPr>
        <w:t>%</w:t>
      </w:r>
      <w:r>
        <w:rPr>
          <w:rFonts w:ascii="Arial" w:eastAsia="黑体" w:hAnsi="Arial" w:hint="eastAsia"/>
          <w:color w:val="auto"/>
          <w:sz w:val="24"/>
          <w:szCs w:val="32"/>
        </w:rPr>
        <w:t>；上级补助收入</w:t>
      </w:r>
      <w:r>
        <w:rPr>
          <w:rFonts w:ascii="Arial" w:eastAsia="黑体" w:hAnsi="Arial" w:hint="eastAsia"/>
          <w:color w:val="auto"/>
          <w:sz w:val="24"/>
          <w:szCs w:val="32"/>
          <w:lang w:val="en-US" w:eastAsia="zh-CN"/>
        </w:rPr>
        <w:t>504.65</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100</w:t>
      </w:r>
      <w:r>
        <w:rPr>
          <w:rFonts w:ascii="Arial" w:eastAsia="黑体" w:hAnsi="Arial"/>
          <w:color w:val="auto"/>
          <w:sz w:val="24"/>
          <w:szCs w:val="32"/>
        </w:rPr>
        <w:t>%</w:t>
      </w:r>
      <w:r>
        <w:rPr>
          <w:rFonts w:ascii="Arial" w:eastAsia="黑体" w:hAnsi="Arial" w:hint="eastAsia"/>
          <w:color w:val="auto"/>
          <w:sz w:val="24"/>
          <w:szCs w:val="32"/>
        </w:rPr>
        <w:t>；事业收入</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0</w:t>
      </w:r>
      <w:r>
        <w:rPr>
          <w:rFonts w:ascii="Arial" w:eastAsia="黑体" w:hAnsi="Arial"/>
          <w:color w:val="auto"/>
          <w:sz w:val="24"/>
          <w:szCs w:val="32"/>
        </w:rPr>
        <w:t>%</w:t>
      </w:r>
      <w:r>
        <w:rPr>
          <w:rFonts w:ascii="Arial" w:eastAsia="黑体" w:hAnsi="Arial" w:hint="eastAsia"/>
          <w:color w:val="auto"/>
          <w:sz w:val="24"/>
          <w:szCs w:val="32"/>
        </w:rPr>
        <w:t>；经营收入</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0</w:t>
      </w:r>
      <w:r>
        <w:rPr>
          <w:rFonts w:ascii="Arial" w:eastAsia="黑体" w:hAnsi="Arial"/>
          <w:color w:val="auto"/>
          <w:sz w:val="24"/>
          <w:szCs w:val="32"/>
        </w:rPr>
        <w:t>%</w:t>
      </w:r>
      <w:r>
        <w:rPr>
          <w:rFonts w:ascii="Arial" w:eastAsia="黑体" w:hAnsi="Arial" w:hint="eastAsia"/>
          <w:color w:val="auto"/>
          <w:sz w:val="24"/>
          <w:szCs w:val="32"/>
        </w:rPr>
        <w:t>；附属单位上缴收入</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0</w:t>
      </w:r>
      <w:r>
        <w:rPr>
          <w:rFonts w:ascii="Arial" w:eastAsia="黑体" w:hAnsi="Arial"/>
          <w:color w:val="auto"/>
          <w:sz w:val="24"/>
          <w:szCs w:val="32"/>
        </w:rPr>
        <w:t>%</w:t>
      </w:r>
      <w:r>
        <w:rPr>
          <w:rFonts w:ascii="Arial" w:eastAsia="黑体" w:hAnsi="Arial" w:hint="eastAsia"/>
          <w:color w:val="auto"/>
          <w:sz w:val="24"/>
          <w:szCs w:val="32"/>
        </w:rPr>
        <w:t>；其他收入</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0</w:t>
      </w:r>
      <w:r>
        <w:rPr>
          <w:rFonts w:ascii="Arial" w:eastAsia="黑体" w:hAnsi="Arial"/>
          <w:color w:val="auto"/>
          <w:sz w:val="24"/>
          <w:szCs w:val="32"/>
        </w:rPr>
        <w:t>%</w:t>
      </w:r>
      <w:r>
        <w:rPr>
          <w:rFonts w:ascii="Arial" w:eastAsia="黑体" w:hAnsi="Arial" w:hint="eastAsia"/>
          <w:color w:val="auto"/>
          <w:sz w:val="24"/>
          <w:szCs w:val="32"/>
        </w:rPr>
        <w:t>。</w:t>
      </w:r>
      <w:bookmarkEnd w:id="37"/>
    </w:p>
    <w:p>
      <w:pPr>
        <w:pStyle w:val="26"/>
        <w:numPr>
          <w:ilvl w:val="0"/>
          <w:numId w:val="1"/>
        </w:numPr>
        <w:snapToGrid/>
        <w:spacing w:before="80" w:beforeAutospacing="0" w:afterAutospacing="0" w:line="360" w:lineRule="auto"/>
        <w:ind w:left="0" w:right="0" w:firstLineChars="0" w:firstLine="0"/>
        <w:jc w:val="left"/>
        <w:outlineLvl w:val="1"/>
        <w:rPr>
          <w:rStyle w:val="2Char"/>
          <w:rFonts w:ascii="Times New Roman" w:eastAsia="汉仪中宋简" w:hAnsi="Times New Roman"/>
          <w:b w:val="0"/>
          <w:color w:val="auto"/>
          <w:sz w:val="28"/>
        </w:rPr>
      </w:pPr>
      <w:bookmarkStart w:id="38" w:name="_Toc15396605"/>
      <w:bookmarkStart w:id="39" w:name="_Toc15377207"/>
      <w:bookmarkStart w:id="40" w:name="_Toc19204"/>
      <w:r>
        <w:rPr>
          <w:rFonts w:ascii="Times New Roman" w:eastAsia="汉仪中宋简" w:hAnsi="Times New Roman" w:hint="eastAsia"/>
          <w:b w:val="0"/>
          <w:color w:val="auto"/>
          <w:sz w:val="28"/>
          <w:szCs w:val="32"/>
        </w:rPr>
        <w:t>支</w:t>
      </w:r>
      <w:r>
        <w:rPr>
          <w:rStyle w:val="2Char"/>
          <w:rFonts w:ascii="Times New Roman" w:eastAsia="汉仪中宋简" w:hAnsi="Times New Roman" w:hint="eastAsia"/>
          <w:b w:val="0"/>
          <w:color w:val="auto"/>
          <w:sz w:val="28"/>
        </w:rPr>
        <w:t>出决算情况说明</w:t>
      </w:r>
      <w:bookmarkEnd w:id="38"/>
      <w:bookmarkEnd w:id="39"/>
      <w:bookmarkEnd w:id="40"/>
    </w:p>
    <w:p>
      <w:pPr>
        <w:snapToGrid/>
        <w:spacing w:beforeAutospacing="0" w:after="80" w:afterAutospacing="0" w:line="360" w:lineRule="auto"/>
        <w:ind w:left="0" w:firstLineChars="200" w:firstLine="480"/>
        <w:rPr>
          <w:rFonts w:ascii="Arial" w:eastAsia="黑体" w:hAnsi="Arial"/>
          <w:color w:val="auto"/>
          <w:sz w:val="24"/>
          <w:szCs w:val="32"/>
        </w:rPr>
      </w:pPr>
      <w:r>
        <w:rPr>
          <w:rFonts w:ascii="Arial" w:eastAsia="黑体" w:hAnsi="Arial" w:hint="eastAsia"/>
          <w:color w:val="auto"/>
          <w:sz w:val="24"/>
          <w:szCs w:val="32"/>
          <w:lang w:eastAsia="zh-CN"/>
        </w:rPr>
        <w:t>2020</w:t>
      </w:r>
      <w:r>
        <w:rPr>
          <w:rFonts w:ascii="Arial" w:eastAsia="黑体" w:hAnsi="Arial" w:hint="eastAsia"/>
          <w:color w:val="auto"/>
          <w:sz w:val="24"/>
          <w:szCs w:val="32"/>
        </w:rPr>
        <w:t>年</w:t>
      </w:r>
      <w:r>
        <w:rPr>
          <w:rFonts w:ascii="Arial" w:eastAsia="黑体" w:hAnsi="Arial" w:hint="eastAsia"/>
          <w:color w:val="auto"/>
          <w:sz w:val="24"/>
          <w:szCs w:val="32"/>
          <w:lang w:eastAsia="zh-CN"/>
        </w:rPr>
        <w:t>区残联</w:t>
      </w:r>
      <w:r>
        <w:rPr>
          <w:rFonts w:ascii="Arial" w:eastAsia="黑体" w:hAnsi="Arial" w:hint="eastAsia"/>
          <w:color w:val="auto"/>
          <w:sz w:val="24"/>
          <w:szCs w:val="32"/>
        </w:rPr>
        <w:t>本年支出合计</w:t>
      </w:r>
      <w:r>
        <w:rPr>
          <w:rFonts w:ascii="Arial" w:eastAsia="黑体" w:hAnsi="Arial" w:hint="eastAsia"/>
          <w:color w:val="auto"/>
          <w:sz w:val="24"/>
          <w:szCs w:val="32"/>
          <w:lang w:val="en-US" w:eastAsia="zh-CN"/>
        </w:rPr>
        <w:t>562.58</w:t>
      </w:r>
      <w:r>
        <w:rPr>
          <w:rFonts w:ascii="Arial" w:eastAsia="黑体" w:hAnsi="Arial" w:hint="eastAsia"/>
          <w:color w:val="auto"/>
          <w:sz w:val="24"/>
          <w:szCs w:val="32"/>
        </w:rPr>
        <w:t>万元，其中：基本支出</w:t>
      </w:r>
      <w:r>
        <w:rPr>
          <w:rFonts w:ascii="Arial" w:eastAsia="黑体" w:hAnsi="Arial" w:hint="eastAsia"/>
          <w:color w:val="auto"/>
          <w:sz w:val="24"/>
          <w:szCs w:val="32"/>
          <w:lang w:val="en-US" w:eastAsia="zh-CN"/>
        </w:rPr>
        <w:t>130.51</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23.20</w:t>
      </w:r>
      <w:r>
        <w:rPr>
          <w:rFonts w:ascii="Arial" w:eastAsia="黑体" w:hAnsi="Arial" w:hint="eastAsia"/>
          <w:color w:val="auto"/>
          <w:sz w:val="24"/>
          <w:szCs w:val="32"/>
        </w:rPr>
        <w:t>%；项目支出</w:t>
      </w:r>
      <w:r>
        <w:rPr>
          <w:rFonts w:ascii="Arial" w:eastAsia="黑体" w:hAnsi="Arial" w:hint="eastAsia"/>
          <w:color w:val="auto"/>
          <w:sz w:val="24"/>
          <w:szCs w:val="32"/>
          <w:lang w:val="en-US" w:eastAsia="zh-CN"/>
        </w:rPr>
        <w:t>432.07</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76.80</w:t>
      </w:r>
      <w:r>
        <w:rPr>
          <w:rFonts w:ascii="Arial" w:eastAsia="黑体" w:hAnsi="Arial" w:hint="eastAsia"/>
          <w:color w:val="auto"/>
          <w:sz w:val="24"/>
          <w:szCs w:val="32"/>
        </w:rPr>
        <w:t>%；上缴上级支出</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0</w:t>
      </w:r>
      <w:r>
        <w:rPr>
          <w:rFonts w:ascii="Arial" w:eastAsia="黑体" w:hAnsi="Arial" w:hint="eastAsia"/>
          <w:color w:val="auto"/>
          <w:sz w:val="24"/>
          <w:szCs w:val="32"/>
        </w:rPr>
        <w:t>%；经营支出</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0</w:t>
      </w:r>
      <w:r>
        <w:rPr>
          <w:rFonts w:ascii="Arial" w:eastAsia="黑体" w:hAnsi="Arial" w:hint="eastAsia"/>
          <w:color w:val="auto"/>
          <w:sz w:val="24"/>
          <w:szCs w:val="32"/>
        </w:rPr>
        <w:t>%；对附属单位补助支出</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0</w:t>
      </w:r>
      <w:r>
        <w:rPr>
          <w:rFonts w:ascii="Arial" w:eastAsia="黑体" w:hAnsi="Arial" w:hint="eastAsia"/>
          <w:color w:val="auto"/>
          <w:sz w:val="24"/>
          <w:szCs w:val="32"/>
        </w:rPr>
        <w:t>%。</w:t>
      </w:r>
    </w:p>
    <w:p>
      <w:pPr>
        <w:snapToGrid/>
        <w:spacing w:before="80" w:beforeAutospacing="0" w:afterAutospacing="0" w:line="360" w:lineRule="auto"/>
        <w:ind w:left="0" w:right="0" w:firstLine="0"/>
        <w:jc w:val="left"/>
        <w:outlineLvl w:val="1"/>
        <w:rPr>
          <w:rFonts w:ascii="Times New Roman" w:eastAsia="汉仪中宋简" w:hAnsi="Times New Roman"/>
          <w:b w:val="0"/>
          <w:color w:val="auto"/>
          <w:sz w:val="28"/>
          <w:szCs w:val="32"/>
        </w:rPr>
      </w:pPr>
      <w:bookmarkStart w:id="41" w:name="_Toc15396606"/>
      <w:bookmarkStart w:id="42" w:name="_Toc15377208"/>
      <w:bookmarkStart w:id="43" w:name="_Toc18765"/>
      <w:r>
        <w:rPr>
          <w:rFonts w:ascii="Times New Roman" w:eastAsia="汉仪中宋简" w:hAnsi="Times New Roman" w:hint="eastAsia"/>
          <w:b w:val="0"/>
          <w:color w:val="auto"/>
          <w:sz w:val="28"/>
          <w:szCs w:val="32"/>
        </w:rPr>
        <w:t>四、财</w:t>
      </w:r>
      <w:r>
        <w:rPr>
          <w:rStyle w:val="2Char"/>
          <w:rFonts w:ascii="Times New Roman" w:eastAsia="汉仪中宋简" w:hAnsi="Times New Roman" w:hint="eastAsia"/>
          <w:b w:val="0"/>
          <w:color w:val="auto"/>
          <w:sz w:val="28"/>
        </w:rPr>
        <w:t>政拨款收入支出决算总体情况说明</w:t>
      </w:r>
      <w:bookmarkEnd w:id="41"/>
      <w:bookmarkEnd w:id="42"/>
      <w:bookmarkEnd w:id="43"/>
    </w:p>
    <w:p>
      <w:pPr>
        <w:snapToGrid/>
        <w:spacing w:beforeAutospacing="0" w:after="80" w:afterAutospacing="0" w:line="360" w:lineRule="auto"/>
        <w:ind w:left="0" w:firstLineChars="200" w:firstLine="480"/>
        <w:rPr>
          <w:rFonts w:ascii="Arial" w:eastAsia="黑体" w:hAnsi="Arial" w:hint="eastAsia"/>
          <w:color w:val="auto"/>
          <w:sz w:val="24"/>
          <w:szCs w:val="32"/>
          <w:lang w:eastAsia="zh-CN"/>
        </w:rPr>
      </w:pPr>
      <w:r>
        <w:rPr>
          <w:rFonts w:ascii="Arial" w:eastAsia="黑体" w:hAnsi="Arial" w:hint="eastAsia"/>
          <w:color w:val="auto"/>
          <w:sz w:val="24"/>
          <w:szCs w:val="32"/>
          <w:lang w:eastAsia="zh-CN"/>
        </w:rPr>
        <w:t>2020</w:t>
      </w:r>
      <w:r>
        <w:rPr>
          <w:rFonts w:ascii="Arial" w:eastAsia="黑体" w:hAnsi="Arial" w:hint="eastAsia"/>
          <w:color w:val="auto"/>
          <w:sz w:val="24"/>
          <w:szCs w:val="32"/>
        </w:rPr>
        <w:t>年度财政拨款收、支总计</w:t>
      </w:r>
      <w:r>
        <w:rPr>
          <w:rFonts w:ascii="Arial" w:eastAsia="黑体" w:hAnsi="Arial" w:hint="eastAsia"/>
          <w:color w:val="auto"/>
          <w:sz w:val="24"/>
          <w:szCs w:val="32"/>
          <w:lang w:val="en-US" w:eastAsia="zh-CN"/>
        </w:rPr>
        <w:t>1067.23</w:t>
      </w:r>
      <w:r>
        <w:rPr>
          <w:rFonts w:ascii="Arial" w:eastAsia="黑体" w:hAnsi="Arial" w:hint="eastAsia"/>
          <w:color w:val="auto"/>
          <w:sz w:val="24"/>
          <w:szCs w:val="32"/>
        </w:rPr>
        <w:t>万元。与201</w:t>
      </w:r>
      <w:r>
        <w:rPr>
          <w:rFonts w:ascii="Arial" w:eastAsia="黑体" w:hAnsi="Arial" w:hint="eastAsia"/>
          <w:color w:val="auto"/>
          <w:sz w:val="24"/>
          <w:szCs w:val="32"/>
          <w:lang w:val="en-US" w:eastAsia="zh-CN"/>
        </w:rPr>
        <w:t>9</w:t>
      </w:r>
      <w:r>
        <w:rPr>
          <w:rFonts w:ascii="Arial" w:eastAsia="黑体" w:hAnsi="Arial" w:hint="eastAsia"/>
          <w:color w:val="auto"/>
          <w:sz w:val="24"/>
          <w:szCs w:val="32"/>
        </w:rPr>
        <w:t>年相比，财政拨款收、支总计</w:t>
      </w:r>
      <w:r>
        <w:rPr>
          <w:rFonts w:ascii="Arial" w:eastAsia="黑体" w:hAnsi="Arial" w:hint="eastAsia"/>
          <w:color w:val="auto"/>
          <w:sz w:val="24"/>
          <w:szCs w:val="32"/>
          <w:lang w:eastAsia="zh-CN"/>
        </w:rPr>
        <w:t>增长了</w:t>
      </w:r>
      <w:r>
        <w:rPr>
          <w:rFonts w:ascii="Arial" w:eastAsia="黑体" w:hAnsi="Arial" w:hint="eastAsia"/>
          <w:color w:val="auto"/>
          <w:sz w:val="24"/>
          <w:szCs w:val="32"/>
          <w:lang w:val="en-US" w:eastAsia="zh-CN"/>
        </w:rPr>
        <w:t>198.13</w:t>
      </w:r>
      <w:r>
        <w:rPr>
          <w:rFonts w:ascii="Arial" w:eastAsia="黑体" w:hAnsi="Arial" w:hint="eastAsia"/>
          <w:color w:val="auto"/>
          <w:sz w:val="24"/>
          <w:szCs w:val="32"/>
        </w:rPr>
        <w:t>万元，</w:t>
      </w:r>
      <w:r>
        <w:rPr>
          <w:rFonts w:ascii="Arial" w:eastAsia="黑体" w:hAnsi="Arial" w:hint="eastAsia"/>
          <w:color w:val="auto"/>
          <w:sz w:val="24"/>
          <w:szCs w:val="32"/>
          <w:lang w:eastAsia="zh-CN"/>
        </w:rPr>
        <w:t>增长了</w:t>
      </w:r>
      <w:r>
        <w:rPr>
          <w:rFonts w:ascii="Arial" w:eastAsia="黑体" w:hAnsi="Arial" w:hint="eastAsia"/>
          <w:color w:val="auto"/>
          <w:sz w:val="24"/>
          <w:szCs w:val="32"/>
          <w:lang w:val="en-US" w:eastAsia="zh-CN"/>
        </w:rPr>
        <w:t>22.78</w:t>
      </w:r>
      <w:r>
        <w:rPr>
          <w:rFonts w:ascii="Arial" w:eastAsia="黑体" w:hAnsi="Arial" w:hint="eastAsia"/>
          <w:color w:val="auto"/>
          <w:sz w:val="24"/>
          <w:szCs w:val="32"/>
        </w:rPr>
        <w:t>%。主要变动原因</w:t>
      </w:r>
      <w:r>
        <w:rPr>
          <w:rFonts w:ascii="Arial" w:eastAsia="黑体" w:hAnsi="Arial" w:hint="eastAsia"/>
          <w:color w:val="auto"/>
          <w:sz w:val="24"/>
          <w:szCs w:val="32"/>
          <w:lang w:eastAsia="zh-CN"/>
        </w:rPr>
        <w:t>是残疾人事业发展补助项目增加（残疾人扶贫对象生活补贴、残疾人医保代缴等项目）。</w:t>
      </w:r>
    </w:p>
    <w:p>
      <w:pPr>
        <w:snapToGrid/>
        <w:spacing w:before="80" w:beforeAutospacing="0" w:afterAutospacing="0" w:line="360" w:lineRule="auto"/>
        <w:ind w:left="0" w:right="0" w:firstLine="0"/>
        <w:jc w:val="left"/>
        <w:outlineLvl w:val="1"/>
        <w:rPr>
          <w:rStyle w:val="2Char"/>
          <w:rFonts w:ascii="Times New Roman" w:eastAsia="汉仪中宋简" w:hAnsi="Times New Roman"/>
          <w:b w:val="0"/>
          <w:color w:val="auto"/>
          <w:sz w:val="28"/>
        </w:rPr>
      </w:pPr>
      <w:bookmarkStart w:id="44" w:name="_Toc15377209"/>
      <w:bookmarkStart w:id="45" w:name="_Toc15396607"/>
      <w:bookmarkStart w:id="46" w:name="_Toc24547"/>
      <w:r>
        <w:rPr>
          <w:rFonts w:ascii="Times New Roman" w:eastAsia="汉仪中宋简" w:hAnsi="Times New Roman" w:hint="eastAsia"/>
          <w:b w:val="0"/>
          <w:color w:val="auto"/>
          <w:sz w:val="28"/>
          <w:szCs w:val="32"/>
        </w:rPr>
        <w:t>五、一</w:t>
      </w:r>
      <w:r>
        <w:rPr>
          <w:rStyle w:val="2Char"/>
          <w:rFonts w:ascii="Times New Roman" w:eastAsia="汉仪中宋简" w:hAnsi="Times New Roman" w:hint="eastAsia"/>
          <w:b w:val="0"/>
          <w:color w:val="auto"/>
          <w:sz w:val="28"/>
        </w:rPr>
        <w:t>般公共预算财政拨款支出决算情况说明</w:t>
      </w:r>
      <w:bookmarkEnd w:id="44"/>
      <w:bookmarkEnd w:id="45"/>
      <w:bookmarkEnd w:id="46"/>
    </w:p>
    <w:p>
      <w:pPr>
        <w:snapToGrid/>
        <w:spacing w:before="80" w:beforeAutospacing="0" w:afterAutospacing="0" w:line="240" w:lineRule="auto"/>
        <w:ind w:left="0" w:right="0" w:firstLine="0"/>
        <w:jc w:val="left"/>
        <w:outlineLvl w:val="2"/>
        <w:rPr>
          <w:rFonts w:ascii="Times New Roman" w:eastAsia="汉仪中宋简" w:hAnsi="Times New Roman"/>
          <w:b w:val="0"/>
          <w:color w:val="auto"/>
          <w:sz w:val="26"/>
          <w:szCs w:val="32"/>
        </w:rPr>
      </w:pPr>
      <w:bookmarkStart w:id="47" w:name="_Toc15377210"/>
      <w:bookmarkStart w:id="48" w:name="_Toc8892"/>
      <w:r>
        <w:rPr>
          <w:rFonts w:ascii="Times New Roman" w:eastAsia="汉仪中宋简" w:hAnsi="Times New Roman" w:hint="eastAsia"/>
          <w:b w:val="0"/>
          <w:color w:val="auto"/>
          <w:sz w:val="26"/>
          <w:szCs w:val="32"/>
        </w:rPr>
        <w:t>（一）一般公共预算财政拨款支出决算总体情况</w:t>
      </w:r>
      <w:bookmarkEnd w:id="47"/>
      <w:bookmarkEnd w:id="48"/>
    </w:p>
    <w:p>
      <w:pPr>
        <w:snapToGrid/>
        <w:spacing w:beforeAutospacing="0" w:after="80" w:afterAutospacing="0" w:line="360" w:lineRule="auto"/>
        <w:ind w:left="0" w:firstLineChars="200" w:firstLine="480"/>
        <w:rPr>
          <w:rFonts w:ascii="Arial" w:eastAsia="黑体" w:hAnsi="Arial" w:hint="eastAsia"/>
          <w:color w:val="auto"/>
          <w:sz w:val="24"/>
          <w:szCs w:val="32"/>
          <w:lang w:eastAsia="zh-CN"/>
        </w:rPr>
      </w:pPr>
      <w:r>
        <w:rPr>
          <w:rFonts w:ascii="Arial" w:eastAsia="黑体" w:hAnsi="Arial" w:hint="eastAsia"/>
          <w:color w:val="auto"/>
          <w:sz w:val="24"/>
          <w:szCs w:val="32"/>
          <w:lang w:eastAsia="zh-CN"/>
        </w:rPr>
        <w:t>2020</w:t>
      </w:r>
      <w:r>
        <w:rPr>
          <w:rFonts w:ascii="Arial" w:eastAsia="黑体" w:hAnsi="Arial" w:hint="eastAsia"/>
          <w:color w:val="auto"/>
          <w:sz w:val="24"/>
          <w:szCs w:val="32"/>
        </w:rPr>
        <w:t>年度一般公共预算财政拨款支出</w:t>
      </w:r>
      <w:r>
        <w:rPr>
          <w:rFonts w:ascii="Arial" w:eastAsia="黑体" w:hAnsi="Arial" w:hint="eastAsia"/>
          <w:color w:val="auto"/>
          <w:sz w:val="24"/>
          <w:szCs w:val="32"/>
          <w:lang w:val="en-US" w:eastAsia="zh-CN"/>
        </w:rPr>
        <w:t>541.08</w:t>
      </w:r>
      <w:r>
        <w:rPr>
          <w:rFonts w:ascii="Arial" w:eastAsia="黑体" w:hAnsi="Arial" w:hint="eastAsia"/>
          <w:color w:val="auto"/>
          <w:sz w:val="24"/>
          <w:szCs w:val="32"/>
        </w:rPr>
        <w:t>万元，占本年支出合计的</w:t>
      </w:r>
      <w:r>
        <w:rPr>
          <w:rFonts w:ascii="Arial" w:eastAsia="黑体" w:hAnsi="Arial" w:hint="eastAsia"/>
          <w:color w:val="auto"/>
          <w:sz w:val="24"/>
          <w:szCs w:val="32"/>
          <w:lang w:val="en-US" w:eastAsia="zh-CN"/>
        </w:rPr>
        <w:t>96.17</w:t>
      </w:r>
      <w:r>
        <w:rPr>
          <w:rFonts w:ascii="Arial" w:eastAsia="黑体" w:hAnsi="Arial" w:hint="eastAsia"/>
          <w:color w:val="auto"/>
          <w:sz w:val="24"/>
          <w:szCs w:val="32"/>
        </w:rPr>
        <w:t>%。与201</w:t>
      </w:r>
      <w:r>
        <w:rPr>
          <w:rFonts w:ascii="Arial" w:eastAsia="黑体" w:hAnsi="Arial" w:hint="eastAsia"/>
          <w:color w:val="auto"/>
          <w:sz w:val="24"/>
          <w:szCs w:val="32"/>
          <w:lang w:val="en-US" w:eastAsia="zh-CN"/>
        </w:rPr>
        <w:t>9</w:t>
      </w:r>
      <w:r>
        <w:rPr>
          <w:rFonts w:ascii="Arial" w:eastAsia="黑体" w:hAnsi="Arial" w:hint="eastAsia"/>
          <w:color w:val="auto"/>
          <w:sz w:val="24"/>
          <w:szCs w:val="32"/>
        </w:rPr>
        <w:t>年相比，</w:t>
      </w:r>
      <w:r>
        <w:rPr>
          <w:rFonts w:ascii="Arial" w:eastAsia="黑体" w:hAnsi="Arial" w:hint="eastAsia"/>
          <w:color w:val="auto"/>
          <w:sz w:val="24"/>
          <w:szCs w:val="32"/>
          <w:highlight w:val="auto"/>
        </w:rPr>
        <w:t>一般公共预算财政拨款</w:t>
      </w:r>
      <w:r>
        <w:rPr>
          <w:rFonts w:ascii="Arial" w:eastAsia="黑体" w:hAnsi="Arial" w:hint="eastAsia"/>
          <w:color w:val="auto"/>
          <w:sz w:val="24"/>
          <w:szCs w:val="32"/>
          <w:lang w:eastAsia="zh-CN"/>
          <w:highlight w:val="auto"/>
        </w:rPr>
        <w:t>增加了</w:t>
      </w:r>
      <w:r>
        <w:rPr>
          <w:rFonts w:ascii="Arial" w:eastAsia="黑体" w:hAnsi="Arial" w:hint="eastAsia"/>
          <w:color w:val="auto"/>
          <w:sz w:val="24"/>
          <w:szCs w:val="32"/>
          <w:lang w:val="en-US" w:eastAsia="zh-CN"/>
          <w:highlight w:val="auto"/>
        </w:rPr>
        <w:t>141.51</w:t>
      </w:r>
      <w:r>
        <w:rPr>
          <w:rFonts w:ascii="Arial" w:eastAsia="黑体" w:hAnsi="Arial" w:hint="eastAsia"/>
          <w:color w:val="auto"/>
          <w:sz w:val="24"/>
          <w:szCs w:val="32"/>
          <w:highlight w:val="auto"/>
        </w:rPr>
        <w:t>万元，</w:t>
      </w:r>
      <w:r>
        <w:rPr>
          <w:rFonts w:ascii="Arial" w:eastAsia="黑体" w:hAnsi="Arial" w:hint="eastAsia"/>
          <w:color w:val="auto"/>
          <w:sz w:val="24"/>
          <w:szCs w:val="32"/>
          <w:lang w:eastAsia="zh-CN"/>
          <w:highlight w:val="auto"/>
        </w:rPr>
        <w:t>增长了</w:t>
      </w:r>
      <w:r>
        <w:rPr>
          <w:rFonts w:ascii="Arial" w:eastAsia="黑体" w:hAnsi="Arial" w:hint="eastAsia"/>
          <w:color w:val="auto"/>
          <w:sz w:val="24"/>
          <w:szCs w:val="32"/>
          <w:lang w:val="en-US" w:eastAsia="zh-CN"/>
          <w:highlight w:val="auto"/>
        </w:rPr>
        <w:t>35.41</w:t>
      </w:r>
      <w:r>
        <w:rPr>
          <w:rFonts w:ascii="Arial" w:eastAsia="黑体" w:hAnsi="Arial" w:hint="eastAsia"/>
          <w:color w:val="auto"/>
          <w:sz w:val="24"/>
          <w:szCs w:val="32"/>
          <w:highlight w:val="auto"/>
        </w:rPr>
        <w:t>%。</w:t>
      </w:r>
      <w:r>
        <w:rPr>
          <w:rFonts w:ascii="Arial" w:eastAsia="黑体" w:hAnsi="Arial" w:hint="eastAsia"/>
          <w:color w:val="auto"/>
          <w:sz w:val="24"/>
          <w:szCs w:val="32"/>
        </w:rPr>
        <w:t>主要变动原因是</w:t>
      </w:r>
      <w:r>
        <w:rPr>
          <w:rFonts w:ascii="Arial" w:eastAsia="黑体" w:hAnsi="Arial" w:hint="eastAsia"/>
          <w:color w:val="auto"/>
          <w:sz w:val="24"/>
          <w:szCs w:val="32"/>
          <w:lang w:eastAsia="zh-CN"/>
        </w:rPr>
        <w:t>残疾人事业发展补助项目增加（残疾人扶贫对象生活补贴、残疾人医保代缴等项目）。</w:t>
      </w:r>
    </w:p>
    <w:p>
      <w:pPr>
        <w:snapToGrid/>
        <w:spacing w:before="80" w:beforeAutospacing="0" w:afterAutospacing="0" w:line="240" w:lineRule="auto"/>
        <w:ind w:left="0" w:right="0" w:firstLine="0"/>
        <w:jc w:val="left"/>
        <w:outlineLvl w:val="2"/>
        <w:rPr>
          <w:rFonts w:ascii="Times New Roman" w:eastAsia="汉仪中宋简" w:hAnsi="Times New Roman"/>
          <w:b w:val="0"/>
          <w:color w:val="auto"/>
          <w:sz w:val="26"/>
          <w:szCs w:val="32"/>
        </w:rPr>
      </w:pPr>
      <w:bookmarkStart w:id="49" w:name="_Toc15377211"/>
      <w:bookmarkStart w:id="50" w:name="_Toc21908"/>
      <w:r>
        <w:rPr>
          <w:rFonts w:ascii="Times New Roman" w:eastAsia="汉仪中宋简" w:hAnsi="Times New Roman" w:hint="eastAsia"/>
          <w:b w:val="0"/>
          <w:color w:val="auto"/>
          <w:sz w:val="26"/>
          <w:szCs w:val="32"/>
        </w:rPr>
        <w:t>（二）一般公共预算财政拨款支出决算结构情况</w:t>
      </w:r>
      <w:bookmarkEnd w:id="49"/>
      <w:bookmarkEnd w:id="50"/>
    </w:p>
    <w:p>
      <w:pPr>
        <w:snapToGrid/>
        <w:spacing w:beforeAutospacing="0" w:after="80" w:afterAutospacing="0" w:line="360" w:lineRule="auto"/>
        <w:ind w:left="0" w:firstLineChars="200" w:firstLine="480"/>
        <w:outlineLvl w:val="2"/>
        <w:rPr>
          <w:rFonts w:ascii="Arial" w:eastAsia="黑体" w:hAnsi="Arial" w:hint="eastAsia"/>
          <w:color w:val="auto"/>
          <w:sz w:val="24"/>
          <w:szCs w:val="32"/>
          <w:lang w:eastAsia="zh-CN"/>
          <w:highlight w:val="auto"/>
        </w:rPr>
      </w:pPr>
      <w:bookmarkStart w:id="51" w:name="_Toc23892"/>
      <w:r>
        <w:rPr>
          <w:rFonts w:ascii="Arial" w:eastAsia="黑体" w:hAnsi="Arial"/>
          <w:color w:val="auto"/>
          <w:sz w:val="24"/>
          <w:szCs w:val="32"/>
        </w:rPr>
        <w:t>2020</w:t>
      </w:r>
      <w:r>
        <w:rPr>
          <w:rFonts w:ascii="Arial" w:eastAsia="黑体" w:hAnsi="Arial" w:hint="eastAsia"/>
          <w:color w:val="auto"/>
          <w:sz w:val="24"/>
          <w:szCs w:val="32"/>
        </w:rPr>
        <w:t>年一般公共预算财政拨款支出</w:t>
      </w:r>
      <w:r>
        <w:rPr>
          <w:rFonts w:ascii="Arial" w:eastAsia="黑体" w:hAnsi="Arial" w:hint="eastAsia"/>
          <w:color w:val="auto"/>
          <w:sz w:val="24"/>
          <w:szCs w:val="32"/>
          <w:lang w:val="en-US" w:eastAsia="zh-CN"/>
        </w:rPr>
        <w:t>541.08</w:t>
      </w:r>
      <w:r>
        <w:rPr>
          <w:rFonts w:ascii="Arial" w:eastAsia="黑体" w:hAnsi="Arial" w:hint="eastAsia"/>
          <w:color w:val="auto"/>
          <w:sz w:val="24"/>
          <w:szCs w:val="32"/>
        </w:rPr>
        <w:t>万元，主要用于以下方面</w:t>
      </w:r>
      <w:r>
        <w:rPr>
          <w:rFonts w:ascii="Arial" w:eastAsia="黑体" w:hAnsi="Arial"/>
          <w:color w:val="auto"/>
          <w:sz w:val="24"/>
          <w:szCs w:val="32"/>
        </w:rPr>
        <w:t>:</w:t>
      </w:r>
      <w:r>
        <w:rPr>
          <w:rFonts w:ascii="Arial" w:eastAsia="黑体" w:hAnsi="Arial" w:hint="eastAsia"/>
          <w:b/>
          <w:color w:val="auto"/>
          <w:sz w:val="24"/>
          <w:szCs w:val="32"/>
        </w:rPr>
        <w:t>社会保障和就业（类）</w:t>
      </w:r>
      <w:r>
        <w:rPr>
          <w:rFonts w:ascii="Arial" w:eastAsia="黑体" w:hAnsi="Arial" w:hint="eastAsia"/>
          <w:color w:val="auto"/>
          <w:sz w:val="24"/>
          <w:szCs w:val="32"/>
        </w:rPr>
        <w:t>支出</w:t>
      </w:r>
      <w:r>
        <w:rPr>
          <w:rFonts w:ascii="Arial" w:eastAsia="黑体" w:hAnsi="Arial" w:hint="eastAsia"/>
          <w:color w:val="auto"/>
          <w:sz w:val="24"/>
          <w:szCs w:val="32"/>
          <w:lang w:val="en-US" w:eastAsia="zh-CN"/>
        </w:rPr>
        <w:t>476.52</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88.07</w:t>
      </w:r>
      <w:r>
        <w:rPr>
          <w:rFonts w:ascii="Arial" w:eastAsia="黑体" w:hAnsi="Arial"/>
          <w:color w:val="auto"/>
          <w:sz w:val="24"/>
          <w:szCs w:val="32"/>
        </w:rPr>
        <w:t>%</w:t>
      </w:r>
      <w:r>
        <w:rPr>
          <w:rFonts w:ascii="Arial" w:eastAsia="黑体" w:hAnsi="Arial" w:hint="eastAsia"/>
          <w:color w:val="auto"/>
          <w:sz w:val="24"/>
          <w:szCs w:val="32"/>
        </w:rPr>
        <w:t>；</w:t>
      </w:r>
      <w:r>
        <w:rPr>
          <w:rFonts w:ascii="Arial" w:eastAsia="黑体" w:hAnsi="Arial" w:hint="eastAsia"/>
          <w:b/>
          <w:bCs/>
          <w:color w:val="auto"/>
          <w:sz w:val="24"/>
          <w:szCs w:val="32"/>
          <w:highlight w:val="auto"/>
        </w:rPr>
        <w:t>医疗卫生与计划生育支出</w:t>
      </w:r>
      <w:r>
        <w:rPr>
          <w:rFonts w:ascii="Arial" w:eastAsia="黑体" w:hAnsi="Arial" w:hint="eastAsia"/>
          <w:color w:val="auto"/>
          <w:sz w:val="24"/>
          <w:szCs w:val="32"/>
          <w:lang w:val="en-US" w:eastAsia="zh-CN"/>
          <w:highlight w:val="auto"/>
        </w:rPr>
        <w:t>4.59</w:t>
      </w:r>
      <w:r>
        <w:rPr>
          <w:rFonts w:ascii="Arial" w:eastAsia="黑体" w:hAnsi="Arial" w:hint="eastAsia"/>
          <w:color w:val="auto"/>
          <w:sz w:val="24"/>
          <w:szCs w:val="32"/>
          <w:highlight w:val="auto"/>
        </w:rPr>
        <w:t>万元，占</w:t>
      </w:r>
      <w:r>
        <w:rPr>
          <w:rFonts w:ascii="Arial" w:eastAsia="黑体" w:hAnsi="Arial" w:hint="eastAsia"/>
          <w:color w:val="auto"/>
          <w:sz w:val="24"/>
          <w:szCs w:val="32"/>
          <w:lang w:val="en-US" w:eastAsia="zh-CN"/>
          <w:highlight w:val="auto"/>
        </w:rPr>
        <w:t>0.85</w:t>
      </w:r>
      <w:r>
        <w:rPr>
          <w:rFonts w:ascii="Arial" w:eastAsia="黑体" w:hAnsi="Arial" w:hint="eastAsia"/>
          <w:color w:val="auto"/>
          <w:sz w:val="24"/>
          <w:szCs w:val="32"/>
          <w:highlight w:val="auto"/>
        </w:rPr>
        <w:t>%</w:t>
      </w:r>
      <w:r>
        <w:rPr>
          <w:rFonts w:ascii="Arial" w:eastAsia="黑体" w:hAnsi="Arial" w:hint="eastAsia"/>
          <w:color w:val="auto"/>
          <w:sz w:val="24"/>
          <w:szCs w:val="32"/>
        </w:rPr>
        <w:t>；</w:t>
      </w:r>
      <w:r>
        <w:rPr>
          <w:rFonts w:ascii="Arial" w:eastAsia="黑体" w:hAnsi="Arial" w:hint="eastAsia"/>
          <w:b/>
          <w:bCs/>
          <w:color w:val="auto"/>
          <w:sz w:val="24"/>
          <w:szCs w:val="32"/>
          <w:lang w:eastAsia="zh-CN"/>
        </w:rPr>
        <w:t>住</w:t>
      </w:r>
      <w:r>
        <w:rPr>
          <w:rFonts w:ascii="Arial" w:eastAsia="黑体" w:hAnsi="Arial" w:hint="eastAsia"/>
          <w:b/>
          <w:bCs/>
          <w:color w:val="auto"/>
          <w:sz w:val="24"/>
          <w:szCs w:val="32"/>
          <w:highlight w:val="auto"/>
        </w:rPr>
        <w:t>房保障支出</w:t>
      </w:r>
      <w:r>
        <w:rPr>
          <w:rFonts w:ascii="Arial" w:eastAsia="黑体" w:hAnsi="Arial" w:hint="eastAsia"/>
          <w:color w:val="auto"/>
          <w:sz w:val="24"/>
          <w:szCs w:val="32"/>
          <w:lang w:val="en-US" w:eastAsia="zh-CN"/>
          <w:highlight w:val="auto"/>
        </w:rPr>
        <w:t>9.97</w:t>
      </w:r>
      <w:r>
        <w:rPr>
          <w:rFonts w:ascii="Arial" w:eastAsia="黑体" w:hAnsi="Arial" w:hint="eastAsia"/>
          <w:color w:val="auto"/>
          <w:sz w:val="24"/>
          <w:szCs w:val="32"/>
          <w:highlight w:val="auto"/>
        </w:rPr>
        <w:t>万元，占</w:t>
      </w:r>
      <w:r>
        <w:rPr>
          <w:rFonts w:ascii="Arial" w:eastAsia="黑体" w:hAnsi="Arial" w:hint="eastAsia"/>
          <w:color w:val="auto"/>
          <w:sz w:val="24"/>
          <w:szCs w:val="32"/>
          <w:lang w:val="en-US" w:eastAsia="zh-CN"/>
          <w:highlight w:val="auto"/>
        </w:rPr>
        <w:t>1.84</w:t>
      </w:r>
      <w:r>
        <w:rPr>
          <w:rFonts w:ascii="Arial" w:eastAsia="黑体" w:hAnsi="Arial" w:hint="eastAsia"/>
          <w:color w:val="auto"/>
          <w:sz w:val="24"/>
          <w:szCs w:val="32"/>
          <w:highlight w:val="auto"/>
        </w:rPr>
        <w:t>%</w:t>
      </w:r>
      <w:r>
        <w:rPr>
          <w:rFonts w:ascii="Arial" w:eastAsia="黑体" w:hAnsi="Arial" w:hint="eastAsia"/>
          <w:color w:val="auto"/>
          <w:sz w:val="24"/>
          <w:szCs w:val="32"/>
        </w:rPr>
        <w:t>；</w:t>
      </w:r>
      <w:bookmarkStart w:id="52" w:name="_Toc15377212"/>
      <w:r>
        <w:rPr>
          <w:rFonts w:ascii="Arial" w:eastAsia="黑体" w:hAnsi="Arial" w:hint="eastAsia"/>
          <w:color w:val="auto"/>
          <w:sz w:val="24"/>
          <w:szCs w:val="32"/>
          <w:lang w:eastAsia="zh-CN"/>
        </w:rPr>
        <w:t>农林水支出</w:t>
      </w:r>
      <w:r>
        <w:rPr>
          <w:rFonts w:ascii="Arial" w:eastAsia="黑体" w:hAnsi="Arial" w:hint="eastAsia"/>
          <w:b/>
          <w:bCs/>
          <w:color w:val="auto"/>
          <w:sz w:val="24"/>
          <w:szCs w:val="32"/>
          <w:lang w:val="en-US" w:eastAsia="zh-CN"/>
          <w:highlight w:val="auto"/>
        </w:rPr>
        <w:t>50万元</w:t>
      </w:r>
      <w:r>
        <w:rPr>
          <w:rFonts w:ascii="Arial" w:eastAsia="黑体" w:hAnsi="Arial" w:hint="eastAsia"/>
          <w:color w:val="auto"/>
          <w:sz w:val="24"/>
          <w:szCs w:val="32"/>
          <w:lang w:val="en-US" w:eastAsia="zh-CN"/>
          <w:highlight w:val="auto"/>
        </w:rPr>
        <w:t>，战9.24%</w:t>
      </w:r>
      <w:r>
        <w:rPr>
          <w:rFonts w:ascii="Arial" w:eastAsia="黑体" w:hAnsi="Arial" w:hint="eastAsia"/>
          <w:color w:val="auto"/>
          <w:sz w:val="24"/>
          <w:szCs w:val="32"/>
          <w:lang w:eastAsia="zh-CN"/>
          <w:highlight w:val="auto"/>
        </w:rPr>
        <w:t>。</w:t>
      </w:r>
      <w:bookmarkEnd w:id="51"/>
    </w:p>
    <w:p>
      <w:pPr>
        <w:snapToGrid/>
        <w:spacing w:before="80" w:beforeAutospacing="0" w:afterAutospacing="0" w:line="240" w:lineRule="auto"/>
        <w:ind w:left="0" w:right="0" w:firstLine="0"/>
        <w:jc w:val="left"/>
        <w:outlineLvl w:val="2"/>
        <w:rPr>
          <w:rFonts w:ascii="Times New Roman" w:eastAsia="汉仪中宋简" w:hAnsi="Times New Roman"/>
          <w:b w:val="0"/>
          <w:color w:val="auto"/>
          <w:sz w:val="26"/>
          <w:szCs w:val="32"/>
        </w:rPr>
      </w:pPr>
      <w:bookmarkStart w:id="53" w:name="_Toc28133"/>
      <w:r>
        <w:rPr>
          <w:rFonts w:ascii="Times New Roman" w:eastAsia="汉仪中宋简" w:hAnsi="Times New Roman" w:hint="eastAsia"/>
          <w:b w:val="0"/>
          <w:color w:val="auto"/>
          <w:sz w:val="26"/>
          <w:szCs w:val="32"/>
        </w:rPr>
        <w:t>（三）一般公共预算财政拨款支出决算具体情况</w:t>
      </w:r>
      <w:bookmarkEnd w:id="52"/>
      <w:bookmarkEnd w:id="53"/>
    </w:p>
    <w:p>
      <w:pPr>
        <w:snapToGrid/>
        <w:spacing w:beforeAutospacing="0" w:after="80" w:afterAutospacing="0" w:line="360" w:lineRule="auto"/>
        <w:ind w:left="0" w:firstLineChars="200" w:firstLine="480"/>
        <w:outlineLvl w:val="1"/>
        <w:rPr>
          <w:rFonts w:ascii="Arial" w:eastAsia="黑体" w:hAnsi="Arial"/>
          <w:color w:val="auto"/>
          <w:sz w:val="24"/>
          <w:szCs w:val="32"/>
        </w:rPr>
      </w:pPr>
      <w:bookmarkStart w:id="54" w:name="_Toc15377213"/>
      <w:bookmarkStart w:id="55" w:name="_Toc15378460"/>
      <w:bookmarkStart w:id="56" w:name="_Toc15377444"/>
      <w:bookmarkStart w:id="57" w:name="_Toc27312"/>
      <w:r>
        <w:rPr>
          <w:rFonts w:ascii="Arial" w:eastAsia="黑体" w:hAnsi="Arial"/>
          <w:b/>
          <w:color w:val="auto"/>
          <w:sz w:val="24"/>
          <w:szCs w:val="32"/>
        </w:rPr>
        <w:t>2020</w:t>
      </w:r>
      <w:r>
        <w:rPr>
          <w:rFonts w:ascii="Arial" w:eastAsia="黑体" w:hAnsi="Arial" w:hint="eastAsia"/>
          <w:b/>
          <w:color w:val="auto"/>
          <w:sz w:val="24"/>
          <w:szCs w:val="32"/>
        </w:rPr>
        <w:t>年一般公共预算支出决算数为</w:t>
      </w:r>
      <w:r>
        <w:rPr>
          <w:rFonts w:ascii="Arial" w:eastAsia="黑体" w:hAnsi="Arial" w:hint="eastAsia"/>
          <w:b/>
          <w:color w:val="auto"/>
          <w:sz w:val="24"/>
          <w:szCs w:val="32"/>
          <w:lang w:val="en-US" w:eastAsia="zh-CN"/>
        </w:rPr>
        <w:t>541.08万元</w:t>
      </w:r>
      <w:r>
        <w:rPr>
          <w:rFonts w:ascii="Arial" w:eastAsia="黑体" w:hAnsi="Arial" w:hint="eastAsia"/>
          <w:color w:val="auto"/>
          <w:sz w:val="24"/>
          <w:szCs w:val="32"/>
        </w:rPr>
        <w:t>，</w:t>
      </w:r>
      <w:r>
        <w:rPr>
          <w:rStyle w:val="23"/>
          <w:rFonts w:ascii="Arial" w:eastAsia="黑体" w:hAnsi="Arial" w:hint="eastAsia"/>
          <w:bCs/>
          <w:color w:val="auto"/>
          <w:sz w:val="24"/>
          <w:szCs w:val="32"/>
        </w:rPr>
        <w:t>完成预算</w:t>
      </w:r>
      <w:r>
        <w:rPr>
          <w:rStyle w:val="23"/>
          <w:rFonts w:ascii="Arial" w:eastAsia="黑体" w:hAnsi="Arial" w:hint="eastAsia"/>
          <w:bCs/>
          <w:color w:val="auto"/>
          <w:sz w:val="24"/>
          <w:szCs w:val="32"/>
          <w:lang w:val="en-US" w:eastAsia="zh-CN"/>
        </w:rPr>
        <w:t>114</w:t>
      </w:r>
      <w:r>
        <w:rPr>
          <w:rStyle w:val="23"/>
          <w:rFonts w:ascii="Arial" w:eastAsia="黑体" w:hAnsi="Arial"/>
          <w:bCs/>
          <w:color w:val="auto"/>
          <w:sz w:val="24"/>
          <w:szCs w:val="32"/>
        </w:rPr>
        <w:t>%</w:t>
      </w:r>
      <w:r>
        <w:rPr>
          <w:rStyle w:val="23"/>
          <w:rFonts w:ascii="Arial" w:eastAsia="黑体" w:hAnsi="Arial" w:hint="eastAsia"/>
          <w:bCs/>
          <w:color w:val="auto"/>
          <w:sz w:val="24"/>
          <w:szCs w:val="32"/>
        </w:rPr>
        <w:t>。其中：</w:t>
      </w:r>
      <w:bookmarkEnd w:id="54"/>
      <w:bookmarkEnd w:id="55"/>
      <w:bookmarkEnd w:id="56"/>
      <w:bookmarkEnd w:id="57"/>
    </w:p>
    <w:p>
      <w:pPr>
        <w:numPr>
          <w:ilvl w:val="0"/>
          <w:numId w:val="2"/>
        </w:numPr>
        <w:snapToGrid/>
        <w:spacing w:beforeAutospacing="0" w:after="80" w:afterAutospacing="0" w:line="360" w:lineRule="auto"/>
        <w:ind w:left="0" w:firstLineChars="200" w:firstLine="480"/>
        <w:rPr>
          <w:rStyle w:val="23"/>
          <w:rFonts w:ascii="Arial" w:eastAsia="黑体" w:hAnsi="Arial" w:hint="eastAsia"/>
          <w:b w:val="0"/>
          <w:bCs/>
          <w:color w:val="auto"/>
          <w:sz w:val="24"/>
          <w:szCs w:val="32"/>
        </w:rPr>
      </w:pPr>
      <w:r>
        <w:rPr>
          <w:rStyle w:val="23"/>
          <w:rFonts w:ascii="Arial" w:eastAsia="黑体" w:hAnsi="Arial" w:hint="eastAsia"/>
          <w:color w:val="auto"/>
          <w:sz w:val="24"/>
          <w:szCs w:val="32"/>
          <w:highlight w:val="auto"/>
        </w:rPr>
        <w:t>社会保障和就业（类）行政事业单位离退休（款）  机关事业单位基本养老保险缴费支出（项）</w:t>
      </w:r>
      <w:r>
        <w:rPr>
          <w:rStyle w:val="23"/>
          <w:rFonts w:ascii="Arial" w:eastAsia="黑体" w:hAnsi="Arial" w:hint="eastAsia"/>
          <w:color w:val="auto"/>
          <w:sz w:val="24"/>
          <w:szCs w:val="32"/>
          <w:lang w:eastAsia="zh-CN"/>
          <w:highlight w:val="auto"/>
        </w:rPr>
        <w:t>：</w:t>
      </w:r>
      <w:r>
        <w:rPr>
          <w:rStyle w:val="23"/>
          <w:rFonts w:ascii="Arial" w:eastAsia="黑体" w:hAnsi="Arial" w:hint="eastAsia"/>
          <w:b w:val="0"/>
          <w:bCs/>
          <w:color w:val="auto"/>
          <w:sz w:val="24"/>
          <w:szCs w:val="32"/>
        </w:rPr>
        <w:t>支出决算为</w:t>
      </w:r>
      <w:r>
        <w:rPr>
          <w:rStyle w:val="23"/>
          <w:rFonts w:ascii="Arial" w:eastAsia="黑体" w:hAnsi="Arial" w:hint="eastAsia"/>
          <w:b w:val="0"/>
          <w:bCs/>
          <w:color w:val="auto"/>
          <w:sz w:val="24"/>
          <w:szCs w:val="32"/>
          <w:lang w:val="en-US" w:eastAsia="zh-CN"/>
        </w:rPr>
        <w:t>9.77</w:t>
      </w:r>
      <w:r>
        <w:rPr>
          <w:rStyle w:val="23"/>
          <w:rFonts w:ascii="Arial" w:eastAsia="黑体" w:hAnsi="Arial" w:hint="eastAsia"/>
          <w:b w:val="0"/>
          <w:bCs/>
          <w:color w:val="auto"/>
          <w:sz w:val="24"/>
          <w:szCs w:val="32"/>
        </w:rPr>
        <w:t>万元，完成预算</w:t>
      </w:r>
      <w:r>
        <w:rPr>
          <w:rStyle w:val="23"/>
          <w:rFonts w:ascii="Arial" w:eastAsia="黑体" w:hAnsi="Arial" w:hint="eastAsia"/>
          <w:b w:val="0"/>
          <w:bCs/>
          <w:color w:val="auto"/>
          <w:sz w:val="24"/>
          <w:szCs w:val="32"/>
          <w:lang w:val="en-US" w:eastAsia="zh-CN"/>
        </w:rPr>
        <w:t>111</w:t>
      </w:r>
      <w:r>
        <w:rPr>
          <w:rStyle w:val="23"/>
          <w:rFonts w:ascii="Arial" w:eastAsia="黑体" w:hAnsi="Arial"/>
          <w:b w:val="0"/>
          <w:bCs/>
          <w:color w:val="auto"/>
          <w:sz w:val="24"/>
          <w:szCs w:val="32"/>
        </w:rPr>
        <w:t>%</w:t>
      </w:r>
      <w:r>
        <w:rPr>
          <w:rStyle w:val="23"/>
          <w:rFonts w:ascii="Arial" w:eastAsia="黑体" w:hAnsi="Arial" w:hint="eastAsia"/>
          <w:b w:val="0"/>
          <w:bCs/>
          <w:color w:val="auto"/>
          <w:sz w:val="24"/>
          <w:szCs w:val="32"/>
        </w:rPr>
        <w:t>，决算数小于预算数的主要原因是</w:t>
      </w:r>
      <w:r>
        <w:rPr>
          <w:rStyle w:val="23"/>
          <w:rFonts w:ascii="Arial" w:eastAsia="黑体" w:hAnsi="Arial" w:hint="eastAsia"/>
          <w:b w:val="0"/>
          <w:bCs/>
          <w:color w:val="auto"/>
          <w:sz w:val="24"/>
          <w:szCs w:val="32"/>
          <w:lang w:eastAsia="zh-CN"/>
        </w:rPr>
        <w:t>人员的增加</w:t>
      </w:r>
      <w:r>
        <w:rPr>
          <w:rStyle w:val="23"/>
          <w:rFonts w:ascii="Arial" w:eastAsia="黑体" w:hAnsi="Arial" w:hint="eastAsia"/>
          <w:b w:val="0"/>
          <w:bCs/>
          <w:color w:val="auto"/>
          <w:sz w:val="24"/>
          <w:szCs w:val="32"/>
        </w:rPr>
        <w:t>。</w:t>
      </w:r>
    </w:p>
    <w:p>
      <w:pPr>
        <w:snapToGrid/>
        <w:spacing w:beforeAutospacing="0" w:after="80" w:afterAutospacing="0" w:line="360" w:lineRule="auto"/>
        <w:ind w:left="0" w:firstLineChars="200" w:firstLine="480"/>
        <w:rPr>
          <w:rStyle w:val="23"/>
          <w:rFonts w:ascii="Arial" w:eastAsia="黑体" w:hAnsi="Arial" w:hint="eastAsia"/>
          <w:b w:val="0"/>
          <w:bCs/>
          <w:color w:val="auto"/>
          <w:sz w:val="24"/>
          <w:szCs w:val="32"/>
        </w:rPr>
      </w:pPr>
      <w:r>
        <w:rPr>
          <w:rStyle w:val="23"/>
          <w:rFonts w:ascii="Arial" w:eastAsia="黑体" w:hAnsi="Arial" w:hint="eastAsia"/>
          <w:color w:val="auto"/>
          <w:sz w:val="24"/>
          <w:szCs w:val="32"/>
          <w:lang w:val="en-US" w:eastAsia="zh-CN"/>
          <w:highlight w:val="auto"/>
        </w:rPr>
        <w:t>2.</w:t>
      </w:r>
      <w:r>
        <w:rPr>
          <w:rStyle w:val="23"/>
          <w:rFonts w:ascii="Arial" w:eastAsia="黑体" w:hAnsi="Arial" w:hint="eastAsia"/>
          <w:color w:val="auto"/>
          <w:sz w:val="24"/>
          <w:szCs w:val="32"/>
          <w:highlight w:val="auto"/>
        </w:rPr>
        <w:t>社会保障和就业（类）残疾人事业（款）行政运行（项）：</w:t>
      </w:r>
      <w:r>
        <w:rPr>
          <w:rStyle w:val="23"/>
          <w:rFonts w:ascii="Arial" w:eastAsia="黑体" w:hAnsi="Arial" w:hint="eastAsia"/>
          <w:b w:val="0"/>
          <w:bCs/>
          <w:color w:val="auto"/>
          <w:sz w:val="24"/>
          <w:szCs w:val="32"/>
        </w:rPr>
        <w:t>支出决算为</w:t>
      </w:r>
      <w:r>
        <w:rPr>
          <w:rStyle w:val="23"/>
          <w:rFonts w:ascii="Arial" w:eastAsia="黑体" w:hAnsi="Arial" w:hint="eastAsia"/>
          <w:b w:val="0"/>
          <w:bCs/>
          <w:color w:val="auto"/>
          <w:sz w:val="24"/>
          <w:szCs w:val="32"/>
          <w:lang w:val="en-US" w:eastAsia="zh-CN"/>
        </w:rPr>
        <w:t>106.18</w:t>
      </w:r>
      <w:r>
        <w:rPr>
          <w:rStyle w:val="23"/>
          <w:rFonts w:ascii="Arial" w:eastAsia="黑体" w:hAnsi="Arial" w:hint="eastAsia"/>
          <w:b w:val="0"/>
          <w:bCs/>
          <w:color w:val="auto"/>
          <w:sz w:val="24"/>
          <w:szCs w:val="32"/>
        </w:rPr>
        <w:t>万元，完成预算</w:t>
      </w:r>
      <w:r>
        <w:rPr>
          <w:rStyle w:val="23"/>
          <w:rFonts w:ascii="Arial" w:eastAsia="黑体" w:hAnsi="Arial" w:hint="eastAsia"/>
          <w:b w:val="0"/>
          <w:bCs/>
          <w:color w:val="auto"/>
          <w:sz w:val="24"/>
          <w:szCs w:val="32"/>
          <w:lang w:val="en-US" w:eastAsia="zh-CN"/>
        </w:rPr>
        <w:t>100.6</w:t>
      </w:r>
      <w:r>
        <w:rPr>
          <w:rStyle w:val="23"/>
          <w:rFonts w:ascii="Arial" w:eastAsia="黑体" w:hAnsi="Arial"/>
          <w:b w:val="0"/>
          <w:bCs/>
          <w:color w:val="auto"/>
          <w:sz w:val="24"/>
          <w:szCs w:val="32"/>
        </w:rPr>
        <w:t>%</w:t>
      </w:r>
      <w:r>
        <w:rPr>
          <w:rStyle w:val="23"/>
          <w:rFonts w:ascii="Arial" w:eastAsia="黑体" w:hAnsi="Arial" w:hint="eastAsia"/>
          <w:b w:val="0"/>
          <w:bCs/>
          <w:color w:val="auto"/>
          <w:sz w:val="24"/>
          <w:szCs w:val="32"/>
        </w:rPr>
        <w:t>，决算数</w:t>
      </w:r>
      <w:r>
        <w:rPr>
          <w:rStyle w:val="23"/>
          <w:rFonts w:ascii="Arial" w:eastAsia="黑体" w:hAnsi="Arial" w:hint="eastAsia"/>
          <w:b w:val="0"/>
          <w:bCs/>
          <w:color w:val="auto"/>
          <w:sz w:val="24"/>
          <w:szCs w:val="32"/>
          <w:lang w:eastAsia="zh-CN"/>
        </w:rPr>
        <w:t>大于</w:t>
      </w:r>
      <w:r>
        <w:rPr>
          <w:rStyle w:val="23"/>
          <w:rFonts w:ascii="Arial" w:eastAsia="黑体" w:hAnsi="Arial" w:hint="eastAsia"/>
          <w:b w:val="0"/>
          <w:bCs/>
          <w:color w:val="auto"/>
          <w:sz w:val="24"/>
          <w:szCs w:val="32"/>
        </w:rPr>
        <w:t>预算数的主要原因是</w:t>
      </w:r>
      <w:r>
        <w:rPr>
          <w:rStyle w:val="23"/>
          <w:rFonts w:ascii="Arial" w:eastAsia="黑体" w:hAnsi="Arial" w:hint="eastAsia"/>
          <w:b w:val="0"/>
          <w:bCs/>
          <w:color w:val="auto"/>
          <w:sz w:val="24"/>
          <w:szCs w:val="32"/>
          <w:lang w:eastAsia="zh-CN"/>
        </w:rPr>
        <w:t>残疾人工作项目增加。</w:t>
      </w:r>
    </w:p>
    <w:p>
      <w:pPr>
        <w:snapToGrid/>
        <w:spacing w:beforeAutospacing="0" w:after="80" w:afterAutospacing="0" w:line="360" w:lineRule="auto"/>
        <w:ind w:left="0" w:firstLineChars="200" w:firstLine="480"/>
        <w:rPr>
          <w:rStyle w:val="23"/>
          <w:rFonts w:ascii="Arial" w:eastAsia="黑体" w:hAnsi="Arial" w:hint="eastAsia"/>
          <w:b w:val="0"/>
          <w:bCs/>
          <w:color w:val="auto"/>
          <w:sz w:val="24"/>
          <w:szCs w:val="32"/>
        </w:rPr>
      </w:pPr>
      <w:r>
        <w:rPr>
          <w:rStyle w:val="23"/>
          <w:rFonts w:ascii="Arial" w:eastAsia="黑体" w:hAnsi="Arial" w:hint="eastAsia"/>
          <w:color w:val="auto"/>
          <w:sz w:val="24"/>
          <w:szCs w:val="32"/>
          <w:lang w:val="en-US" w:eastAsia="zh-CN"/>
          <w:highlight w:val="auto"/>
        </w:rPr>
        <w:t>3.</w:t>
      </w:r>
      <w:r>
        <w:rPr>
          <w:rStyle w:val="23"/>
          <w:rFonts w:ascii="Arial" w:eastAsia="黑体" w:hAnsi="Arial" w:hint="eastAsia"/>
          <w:color w:val="auto"/>
          <w:sz w:val="24"/>
          <w:szCs w:val="32"/>
          <w:highlight w:val="auto"/>
        </w:rPr>
        <w:t>社会保障和就业（类）残疾人事业（款）</w:t>
      </w:r>
      <w:r>
        <w:rPr>
          <w:rStyle w:val="23"/>
          <w:rFonts w:ascii="Arial" w:eastAsia="黑体" w:hAnsi="Arial" w:hint="eastAsia"/>
          <w:color w:val="auto"/>
          <w:sz w:val="24"/>
          <w:szCs w:val="32"/>
          <w:lang w:eastAsia="zh-CN"/>
          <w:highlight w:val="auto"/>
        </w:rPr>
        <w:t>残疾人康复</w:t>
      </w:r>
      <w:r>
        <w:rPr>
          <w:rStyle w:val="23"/>
          <w:rFonts w:ascii="Arial" w:eastAsia="黑体" w:hAnsi="Arial" w:hint="eastAsia"/>
          <w:color w:val="auto"/>
          <w:sz w:val="24"/>
          <w:szCs w:val="32"/>
          <w:highlight w:val="auto"/>
        </w:rPr>
        <w:t>（项）：</w:t>
      </w:r>
      <w:r>
        <w:rPr>
          <w:rStyle w:val="23"/>
          <w:rFonts w:ascii="Arial" w:eastAsia="黑体" w:hAnsi="Arial" w:hint="eastAsia"/>
          <w:b w:val="0"/>
          <w:bCs/>
          <w:color w:val="auto"/>
          <w:sz w:val="24"/>
          <w:szCs w:val="32"/>
        </w:rPr>
        <w:t>支出决算为</w:t>
      </w:r>
      <w:r>
        <w:rPr>
          <w:rStyle w:val="23"/>
          <w:rFonts w:ascii="Arial" w:eastAsia="黑体" w:hAnsi="Arial" w:hint="eastAsia"/>
          <w:b w:val="0"/>
          <w:bCs/>
          <w:color w:val="auto"/>
          <w:sz w:val="24"/>
          <w:szCs w:val="32"/>
          <w:lang w:val="en-US" w:eastAsia="zh-CN"/>
        </w:rPr>
        <w:t>5.4</w:t>
      </w:r>
      <w:r>
        <w:rPr>
          <w:rStyle w:val="23"/>
          <w:rFonts w:ascii="Arial" w:eastAsia="黑体" w:hAnsi="Arial" w:hint="eastAsia"/>
          <w:b w:val="0"/>
          <w:bCs/>
          <w:color w:val="auto"/>
          <w:sz w:val="24"/>
          <w:szCs w:val="32"/>
        </w:rPr>
        <w:t>万元，完成预算</w:t>
      </w:r>
      <w:r>
        <w:rPr>
          <w:rStyle w:val="23"/>
          <w:rFonts w:ascii="Arial" w:eastAsia="黑体" w:hAnsi="Arial" w:hint="eastAsia"/>
          <w:b w:val="0"/>
          <w:bCs/>
          <w:color w:val="auto"/>
          <w:sz w:val="24"/>
          <w:szCs w:val="32"/>
          <w:lang w:val="en-US" w:eastAsia="zh-CN"/>
        </w:rPr>
        <w:t>100</w:t>
      </w:r>
      <w:r>
        <w:rPr>
          <w:rStyle w:val="23"/>
          <w:rFonts w:ascii="Arial" w:eastAsia="黑体" w:hAnsi="Arial"/>
          <w:b w:val="0"/>
          <w:bCs/>
          <w:color w:val="auto"/>
          <w:sz w:val="24"/>
          <w:szCs w:val="32"/>
        </w:rPr>
        <w:t>%</w:t>
      </w:r>
      <w:r>
        <w:rPr>
          <w:rStyle w:val="23"/>
          <w:rFonts w:ascii="Arial" w:eastAsia="黑体" w:hAnsi="Arial" w:hint="eastAsia"/>
          <w:b w:val="0"/>
          <w:bCs/>
          <w:color w:val="auto"/>
          <w:sz w:val="24"/>
          <w:szCs w:val="32"/>
        </w:rPr>
        <w:t>，决算数</w:t>
      </w:r>
      <w:r>
        <w:rPr>
          <w:rStyle w:val="23"/>
          <w:rFonts w:ascii="Arial" w:eastAsia="黑体" w:hAnsi="Arial" w:hint="eastAsia"/>
          <w:b w:val="0"/>
          <w:bCs/>
          <w:color w:val="auto"/>
          <w:sz w:val="24"/>
          <w:szCs w:val="32"/>
          <w:lang w:eastAsia="zh-CN"/>
        </w:rPr>
        <w:t>等于</w:t>
      </w:r>
      <w:r>
        <w:rPr>
          <w:rStyle w:val="23"/>
          <w:rFonts w:ascii="Arial" w:eastAsia="黑体" w:hAnsi="Arial" w:hint="eastAsia"/>
          <w:b w:val="0"/>
          <w:bCs/>
          <w:color w:val="auto"/>
          <w:sz w:val="24"/>
          <w:szCs w:val="32"/>
        </w:rPr>
        <w:t>预算数的主要原因是</w:t>
      </w:r>
      <w:r>
        <w:rPr>
          <w:rStyle w:val="23"/>
          <w:rFonts w:ascii="Arial" w:eastAsia="黑体" w:hAnsi="Arial" w:hint="eastAsia"/>
          <w:b w:val="0"/>
          <w:bCs/>
          <w:color w:val="auto"/>
          <w:sz w:val="24"/>
          <w:szCs w:val="32"/>
          <w:lang w:eastAsia="zh-CN"/>
        </w:rPr>
        <w:t>残疾人康复项目无变化。</w:t>
      </w:r>
    </w:p>
    <w:p>
      <w:pPr>
        <w:snapToGrid/>
        <w:spacing w:beforeAutospacing="0" w:after="80" w:afterAutospacing="0" w:line="360" w:lineRule="auto"/>
        <w:ind w:left="0" w:firstLineChars="200" w:firstLine="480"/>
        <w:rPr>
          <w:rStyle w:val="23"/>
          <w:rFonts w:ascii="Arial" w:eastAsia="黑体" w:hAnsi="Arial" w:hint="eastAsia"/>
          <w:b w:val="0"/>
          <w:bCs/>
          <w:color w:val="auto"/>
          <w:sz w:val="24"/>
          <w:szCs w:val="32"/>
          <w:lang w:eastAsia="zh-CN"/>
        </w:rPr>
      </w:pPr>
      <w:r>
        <w:rPr>
          <w:rStyle w:val="23"/>
          <w:rFonts w:ascii="Arial" w:eastAsia="黑体" w:hAnsi="Arial" w:hint="eastAsia"/>
          <w:b w:val="0"/>
          <w:bCs/>
          <w:color w:val="auto"/>
          <w:sz w:val="24"/>
          <w:szCs w:val="32"/>
          <w:lang w:val="en-US" w:eastAsia="zh-CN"/>
        </w:rPr>
        <w:t>4.</w:t>
      </w:r>
      <w:r>
        <w:rPr>
          <w:rStyle w:val="23"/>
          <w:rFonts w:ascii="Arial" w:eastAsia="黑体" w:hAnsi="Arial" w:hint="eastAsia"/>
          <w:color w:val="auto"/>
          <w:sz w:val="24"/>
          <w:szCs w:val="32"/>
          <w:highlight w:val="auto"/>
        </w:rPr>
        <w:t>社会保障和就业（类）残疾人事业（款）</w:t>
      </w:r>
      <w:r>
        <w:rPr>
          <w:rStyle w:val="23"/>
          <w:rFonts w:ascii="Arial" w:eastAsia="黑体" w:hAnsi="Arial" w:hint="eastAsia"/>
          <w:color w:val="auto"/>
          <w:sz w:val="24"/>
          <w:szCs w:val="32"/>
          <w:lang w:eastAsia="zh-CN"/>
          <w:highlight w:val="auto"/>
        </w:rPr>
        <w:t>残疾人就业和扶贫</w:t>
      </w:r>
      <w:r>
        <w:rPr>
          <w:rStyle w:val="23"/>
          <w:rFonts w:ascii="Arial" w:eastAsia="黑体" w:hAnsi="Arial" w:hint="eastAsia"/>
          <w:color w:val="auto"/>
          <w:sz w:val="24"/>
          <w:szCs w:val="32"/>
          <w:highlight w:val="auto"/>
        </w:rPr>
        <w:t>（项）：</w:t>
      </w:r>
      <w:r>
        <w:rPr>
          <w:rStyle w:val="23"/>
          <w:rFonts w:ascii="Arial" w:eastAsia="黑体" w:hAnsi="Arial" w:hint="eastAsia"/>
          <w:b w:val="0"/>
          <w:bCs/>
          <w:color w:val="auto"/>
          <w:sz w:val="24"/>
          <w:szCs w:val="32"/>
        </w:rPr>
        <w:t>支出决算为</w:t>
      </w:r>
      <w:r>
        <w:rPr>
          <w:rStyle w:val="23"/>
          <w:rFonts w:ascii="Arial" w:eastAsia="黑体" w:hAnsi="Arial" w:hint="eastAsia"/>
          <w:b w:val="0"/>
          <w:bCs/>
          <w:color w:val="auto"/>
          <w:sz w:val="24"/>
          <w:szCs w:val="32"/>
          <w:lang w:val="en-US" w:eastAsia="zh-CN"/>
        </w:rPr>
        <w:t>98.27</w:t>
      </w:r>
      <w:r>
        <w:rPr>
          <w:rStyle w:val="23"/>
          <w:rFonts w:ascii="Arial" w:eastAsia="黑体" w:hAnsi="Arial" w:hint="eastAsia"/>
          <w:b w:val="0"/>
          <w:bCs/>
          <w:color w:val="auto"/>
          <w:sz w:val="24"/>
          <w:szCs w:val="32"/>
        </w:rPr>
        <w:t>万元，完成预算</w:t>
      </w:r>
      <w:r>
        <w:rPr>
          <w:rStyle w:val="23"/>
          <w:rFonts w:ascii="Arial" w:eastAsia="黑体" w:hAnsi="Arial" w:hint="eastAsia"/>
          <w:b w:val="0"/>
          <w:bCs/>
          <w:color w:val="auto"/>
          <w:sz w:val="24"/>
          <w:szCs w:val="32"/>
          <w:lang w:val="en-US" w:eastAsia="zh-CN"/>
        </w:rPr>
        <w:t>209</w:t>
      </w:r>
      <w:r>
        <w:rPr>
          <w:rStyle w:val="23"/>
          <w:rFonts w:ascii="Arial" w:eastAsia="黑体" w:hAnsi="Arial"/>
          <w:b w:val="0"/>
          <w:bCs/>
          <w:color w:val="auto"/>
          <w:sz w:val="24"/>
          <w:szCs w:val="32"/>
        </w:rPr>
        <w:t>%</w:t>
      </w:r>
      <w:r>
        <w:rPr>
          <w:rStyle w:val="23"/>
          <w:rFonts w:ascii="Arial" w:eastAsia="黑体" w:hAnsi="Arial" w:hint="eastAsia"/>
          <w:b w:val="0"/>
          <w:bCs/>
          <w:color w:val="auto"/>
          <w:sz w:val="24"/>
          <w:szCs w:val="32"/>
        </w:rPr>
        <w:t>，决算数</w:t>
      </w:r>
      <w:r>
        <w:rPr>
          <w:rStyle w:val="23"/>
          <w:rFonts w:ascii="Arial" w:eastAsia="黑体" w:hAnsi="Arial" w:hint="eastAsia"/>
          <w:b w:val="0"/>
          <w:bCs/>
          <w:color w:val="auto"/>
          <w:sz w:val="24"/>
          <w:szCs w:val="32"/>
          <w:lang w:eastAsia="zh-CN"/>
        </w:rPr>
        <w:t>大于</w:t>
      </w:r>
      <w:r>
        <w:rPr>
          <w:rStyle w:val="23"/>
          <w:rFonts w:ascii="Arial" w:eastAsia="黑体" w:hAnsi="Arial" w:hint="eastAsia"/>
          <w:b w:val="0"/>
          <w:bCs/>
          <w:color w:val="auto"/>
          <w:sz w:val="24"/>
          <w:szCs w:val="32"/>
        </w:rPr>
        <w:t>预算数的主要原因是</w:t>
      </w:r>
      <w:r>
        <w:rPr>
          <w:rStyle w:val="23"/>
          <w:rFonts w:ascii="Arial" w:eastAsia="黑体" w:hAnsi="Arial" w:hint="eastAsia"/>
          <w:b w:val="0"/>
          <w:bCs/>
          <w:color w:val="auto"/>
          <w:sz w:val="24"/>
          <w:szCs w:val="32"/>
          <w:lang w:eastAsia="zh-CN"/>
        </w:rPr>
        <w:t>残疾人事业项目增加。</w:t>
      </w:r>
    </w:p>
    <w:p>
      <w:pPr>
        <w:snapToGrid/>
        <w:spacing w:beforeAutospacing="0" w:after="80" w:afterAutospacing="0" w:line="360" w:lineRule="auto"/>
        <w:ind w:left="0" w:firstLineChars="200" w:firstLine="480"/>
        <w:rPr>
          <w:rStyle w:val="23"/>
          <w:rFonts w:ascii="Arial" w:eastAsia="黑体" w:hAnsi="Arial" w:hint="eastAsia"/>
          <w:b w:val="0"/>
          <w:bCs/>
          <w:color w:val="auto"/>
          <w:sz w:val="24"/>
          <w:szCs w:val="32"/>
          <w:lang w:val="en-US" w:eastAsia="zh-CN"/>
        </w:rPr>
      </w:pPr>
      <w:r>
        <w:rPr>
          <w:rStyle w:val="23"/>
          <w:rFonts w:ascii="Arial" w:eastAsia="黑体" w:hAnsi="Arial" w:hint="eastAsia"/>
          <w:b w:val="0"/>
          <w:bCs/>
          <w:color w:val="auto"/>
          <w:sz w:val="24"/>
          <w:szCs w:val="32"/>
          <w:lang w:val="en-US" w:eastAsia="zh-CN"/>
        </w:rPr>
        <w:t>5.</w:t>
      </w:r>
      <w:r>
        <w:rPr>
          <w:rStyle w:val="23"/>
          <w:rFonts w:ascii="Arial" w:eastAsia="黑体" w:hAnsi="Arial" w:hint="eastAsia"/>
          <w:color w:val="auto"/>
          <w:sz w:val="24"/>
          <w:szCs w:val="32"/>
          <w:highlight w:val="auto"/>
        </w:rPr>
        <w:t>社会保障和就业（类）残疾人事业（款）</w:t>
      </w:r>
      <w:r>
        <w:rPr>
          <w:rStyle w:val="23"/>
          <w:rFonts w:ascii="Arial" w:eastAsia="黑体" w:hAnsi="Arial" w:hint="eastAsia"/>
          <w:color w:val="auto"/>
          <w:sz w:val="24"/>
          <w:szCs w:val="32"/>
          <w:lang w:eastAsia="zh-CN"/>
          <w:highlight w:val="auto"/>
        </w:rPr>
        <w:t>其他残疾人事业支出</w:t>
      </w:r>
      <w:r>
        <w:rPr>
          <w:rStyle w:val="23"/>
          <w:rFonts w:ascii="Arial" w:eastAsia="黑体" w:hAnsi="Arial" w:hint="eastAsia"/>
          <w:color w:val="auto"/>
          <w:sz w:val="24"/>
          <w:szCs w:val="32"/>
          <w:highlight w:val="auto"/>
        </w:rPr>
        <w:t>（项）</w:t>
      </w:r>
      <w:r>
        <w:rPr>
          <w:rStyle w:val="23"/>
          <w:rFonts w:ascii="Arial" w:eastAsia="黑体" w:hAnsi="Arial" w:hint="eastAsia"/>
          <w:color w:val="auto"/>
          <w:sz w:val="24"/>
          <w:szCs w:val="32"/>
          <w:lang w:eastAsia="zh-CN"/>
          <w:highlight w:val="auto"/>
        </w:rPr>
        <w:t>：</w:t>
      </w:r>
      <w:r>
        <w:rPr>
          <w:rStyle w:val="23"/>
          <w:rFonts w:ascii="Arial" w:eastAsia="黑体" w:hAnsi="Arial" w:hint="eastAsia"/>
          <w:b w:val="0"/>
          <w:bCs/>
          <w:color w:val="auto"/>
          <w:sz w:val="24"/>
          <w:szCs w:val="32"/>
        </w:rPr>
        <w:t>支出决算为</w:t>
      </w:r>
      <w:r>
        <w:rPr>
          <w:rStyle w:val="23"/>
          <w:rFonts w:ascii="Arial" w:eastAsia="黑体" w:hAnsi="Arial" w:hint="eastAsia"/>
          <w:b w:val="0"/>
          <w:bCs/>
          <w:color w:val="auto"/>
          <w:sz w:val="24"/>
          <w:szCs w:val="32"/>
          <w:lang w:val="en-US" w:eastAsia="zh-CN"/>
        </w:rPr>
        <w:t>256.9</w:t>
      </w:r>
      <w:r>
        <w:rPr>
          <w:rStyle w:val="23"/>
          <w:rFonts w:ascii="Arial" w:eastAsia="黑体" w:hAnsi="Arial" w:hint="eastAsia"/>
          <w:b w:val="0"/>
          <w:bCs/>
          <w:color w:val="auto"/>
          <w:sz w:val="24"/>
          <w:szCs w:val="32"/>
        </w:rPr>
        <w:t>万元，完成预算</w:t>
      </w:r>
      <w:r>
        <w:rPr>
          <w:rStyle w:val="23"/>
          <w:rFonts w:ascii="Arial" w:eastAsia="黑体" w:hAnsi="Arial" w:hint="eastAsia"/>
          <w:b w:val="0"/>
          <w:bCs/>
          <w:color w:val="auto"/>
          <w:sz w:val="24"/>
          <w:szCs w:val="32"/>
          <w:lang w:val="en-US" w:eastAsia="zh-CN"/>
        </w:rPr>
        <w:t>103</w:t>
      </w:r>
      <w:r>
        <w:rPr>
          <w:rStyle w:val="23"/>
          <w:rFonts w:ascii="Arial" w:eastAsia="黑体" w:hAnsi="Arial"/>
          <w:b w:val="0"/>
          <w:bCs/>
          <w:color w:val="auto"/>
          <w:sz w:val="24"/>
          <w:szCs w:val="32"/>
        </w:rPr>
        <w:t>%</w:t>
      </w:r>
      <w:r>
        <w:rPr>
          <w:rStyle w:val="23"/>
          <w:rFonts w:ascii="Arial" w:eastAsia="黑体" w:hAnsi="Arial" w:hint="eastAsia"/>
          <w:b w:val="0"/>
          <w:bCs/>
          <w:color w:val="auto"/>
          <w:sz w:val="24"/>
          <w:szCs w:val="32"/>
        </w:rPr>
        <w:t>，决算数</w:t>
      </w:r>
      <w:r>
        <w:rPr>
          <w:rStyle w:val="23"/>
          <w:rFonts w:ascii="Arial" w:eastAsia="黑体" w:hAnsi="Arial" w:hint="eastAsia"/>
          <w:b w:val="0"/>
          <w:bCs/>
          <w:color w:val="auto"/>
          <w:sz w:val="24"/>
          <w:szCs w:val="32"/>
          <w:lang w:eastAsia="zh-CN"/>
        </w:rPr>
        <w:t>大于</w:t>
      </w:r>
      <w:r>
        <w:rPr>
          <w:rStyle w:val="23"/>
          <w:rFonts w:ascii="Arial" w:eastAsia="黑体" w:hAnsi="Arial" w:hint="eastAsia"/>
          <w:b w:val="0"/>
          <w:bCs/>
          <w:color w:val="auto"/>
          <w:sz w:val="24"/>
          <w:szCs w:val="32"/>
        </w:rPr>
        <w:t>预算数的主要原因是</w:t>
      </w:r>
      <w:r>
        <w:rPr>
          <w:rStyle w:val="23"/>
          <w:rFonts w:ascii="Arial" w:eastAsia="黑体" w:hAnsi="Arial" w:hint="eastAsia"/>
          <w:b w:val="0"/>
          <w:bCs/>
          <w:color w:val="auto"/>
          <w:sz w:val="24"/>
          <w:szCs w:val="32"/>
          <w:lang w:eastAsia="zh-CN"/>
        </w:rPr>
        <w:t>残疾人事业项目增加。</w:t>
      </w:r>
    </w:p>
    <w:p>
      <w:pPr>
        <w:snapToGrid/>
        <w:spacing w:beforeAutospacing="0" w:after="80" w:afterAutospacing="0" w:line="360" w:lineRule="auto"/>
        <w:ind w:left="0" w:firstLineChars="200" w:firstLine="480"/>
        <w:rPr>
          <w:rStyle w:val="23"/>
          <w:rFonts w:ascii="Arial" w:eastAsia="黑体" w:hAnsi="Arial" w:hint="eastAsia"/>
          <w:b w:val="0"/>
          <w:bCs/>
          <w:color w:val="auto"/>
          <w:sz w:val="24"/>
          <w:szCs w:val="32"/>
        </w:rPr>
      </w:pPr>
      <w:r>
        <w:rPr>
          <w:rStyle w:val="23"/>
          <w:rFonts w:ascii="Arial" w:eastAsia="黑体" w:hAnsi="Arial"/>
          <w:bCs/>
          <w:color w:val="auto"/>
          <w:sz w:val="24"/>
          <w:szCs w:val="32"/>
        </w:rPr>
        <w:t>6.</w:t>
      </w:r>
      <w:r>
        <w:rPr>
          <w:rFonts w:ascii="Arial" w:eastAsia="黑体" w:hAnsi="Arial" w:hint="eastAsia"/>
          <w:b/>
          <w:bCs/>
          <w:color w:val="auto"/>
          <w:sz w:val="24"/>
          <w:szCs w:val="32"/>
        </w:rPr>
        <w:t>卫生健康</w:t>
      </w:r>
      <w:r>
        <w:rPr>
          <w:rStyle w:val="23"/>
          <w:rFonts w:ascii="Arial" w:eastAsia="黑体" w:hAnsi="Arial" w:hint="eastAsia"/>
          <w:bCs/>
          <w:color w:val="auto"/>
          <w:sz w:val="24"/>
          <w:szCs w:val="32"/>
        </w:rPr>
        <w:t>（类）</w:t>
      </w:r>
      <w:r>
        <w:rPr>
          <w:rStyle w:val="23"/>
          <w:rFonts w:ascii="Arial" w:eastAsia="黑体" w:hAnsi="Arial" w:hint="eastAsia"/>
          <w:bCs/>
          <w:color w:val="auto"/>
          <w:sz w:val="24"/>
          <w:szCs w:val="32"/>
          <w:lang w:eastAsia="zh-CN"/>
        </w:rPr>
        <w:t>行政事业单位医疗</w:t>
      </w:r>
      <w:r>
        <w:rPr>
          <w:rStyle w:val="23"/>
          <w:rFonts w:ascii="Arial" w:eastAsia="黑体" w:hAnsi="Arial" w:hint="eastAsia"/>
          <w:bCs/>
          <w:color w:val="auto"/>
          <w:sz w:val="24"/>
          <w:szCs w:val="32"/>
        </w:rPr>
        <w:t>（款）</w:t>
      </w:r>
      <w:r>
        <w:rPr>
          <w:rStyle w:val="23"/>
          <w:rFonts w:ascii="Arial" w:eastAsia="黑体" w:hAnsi="Arial" w:hint="eastAsia"/>
          <w:bCs/>
          <w:color w:val="auto"/>
          <w:sz w:val="24"/>
          <w:szCs w:val="32"/>
          <w:lang w:eastAsia="zh-CN"/>
        </w:rPr>
        <w:t>行政单位医疗</w:t>
      </w:r>
      <w:r>
        <w:rPr>
          <w:rStyle w:val="23"/>
          <w:rFonts w:ascii="Arial" w:eastAsia="黑体" w:hAnsi="Arial" w:hint="eastAsia"/>
          <w:bCs/>
          <w:color w:val="auto"/>
          <w:sz w:val="24"/>
          <w:szCs w:val="32"/>
        </w:rPr>
        <w:t>（项）</w:t>
      </w:r>
      <w:r>
        <w:rPr>
          <w:rStyle w:val="23"/>
          <w:rFonts w:ascii="Arial" w:eastAsia="黑体" w:hAnsi="Arial"/>
          <w:bCs/>
          <w:color w:val="auto"/>
          <w:sz w:val="24"/>
          <w:szCs w:val="32"/>
        </w:rPr>
        <w:t>:</w:t>
      </w:r>
      <w:r>
        <w:rPr>
          <w:rStyle w:val="23"/>
          <w:rFonts w:ascii="Arial" w:eastAsia="黑体" w:hAnsi="Arial" w:hint="eastAsia"/>
          <w:b w:val="0"/>
          <w:bCs/>
          <w:color w:val="auto"/>
          <w:sz w:val="24"/>
          <w:szCs w:val="32"/>
        </w:rPr>
        <w:t>支出决算为</w:t>
      </w:r>
      <w:r>
        <w:rPr>
          <w:rStyle w:val="23"/>
          <w:rFonts w:ascii="Arial" w:eastAsia="黑体" w:hAnsi="Arial" w:hint="eastAsia"/>
          <w:b w:val="0"/>
          <w:bCs/>
          <w:color w:val="auto"/>
          <w:sz w:val="24"/>
          <w:szCs w:val="32"/>
          <w:lang w:val="en-US" w:eastAsia="zh-CN"/>
        </w:rPr>
        <w:t>3.26</w:t>
      </w:r>
      <w:r>
        <w:rPr>
          <w:rStyle w:val="23"/>
          <w:rFonts w:ascii="Arial" w:eastAsia="黑体" w:hAnsi="Arial" w:hint="eastAsia"/>
          <w:b w:val="0"/>
          <w:bCs/>
          <w:color w:val="auto"/>
          <w:sz w:val="24"/>
          <w:szCs w:val="32"/>
        </w:rPr>
        <w:t>万元，完成预算</w:t>
      </w:r>
      <w:r>
        <w:rPr>
          <w:rStyle w:val="23"/>
          <w:rFonts w:ascii="Arial" w:eastAsia="黑体" w:hAnsi="Arial" w:hint="eastAsia"/>
          <w:b w:val="0"/>
          <w:bCs/>
          <w:color w:val="auto"/>
          <w:sz w:val="24"/>
          <w:szCs w:val="32"/>
          <w:lang w:val="en-US" w:eastAsia="zh-CN"/>
        </w:rPr>
        <w:t>100</w:t>
      </w:r>
      <w:r>
        <w:rPr>
          <w:rStyle w:val="23"/>
          <w:rFonts w:ascii="Arial" w:eastAsia="黑体" w:hAnsi="Arial"/>
          <w:b w:val="0"/>
          <w:bCs/>
          <w:color w:val="auto"/>
          <w:sz w:val="24"/>
          <w:szCs w:val="32"/>
        </w:rPr>
        <w:t>%</w:t>
      </w:r>
      <w:r>
        <w:rPr>
          <w:rStyle w:val="23"/>
          <w:rFonts w:ascii="Arial" w:eastAsia="黑体" w:hAnsi="Arial" w:hint="eastAsia"/>
          <w:b w:val="0"/>
          <w:bCs/>
          <w:color w:val="auto"/>
          <w:sz w:val="24"/>
          <w:szCs w:val="32"/>
        </w:rPr>
        <w:t>，决算数等于预算数的主要原因是</w:t>
      </w:r>
      <w:r>
        <w:rPr>
          <w:rStyle w:val="23"/>
          <w:rFonts w:ascii="Arial" w:eastAsia="黑体" w:hAnsi="Arial" w:hint="eastAsia"/>
          <w:b w:val="0"/>
          <w:bCs/>
          <w:color w:val="auto"/>
          <w:sz w:val="24"/>
          <w:szCs w:val="32"/>
          <w:lang w:eastAsia="zh-CN"/>
        </w:rPr>
        <w:t>缴费人数无变化</w:t>
      </w:r>
      <w:r>
        <w:rPr>
          <w:rStyle w:val="23"/>
          <w:rFonts w:ascii="Arial" w:eastAsia="黑体" w:hAnsi="Arial" w:hint="eastAsia"/>
          <w:b w:val="0"/>
          <w:bCs/>
          <w:color w:val="auto"/>
          <w:sz w:val="24"/>
          <w:szCs w:val="32"/>
        </w:rPr>
        <w:t>。</w:t>
      </w:r>
    </w:p>
    <w:p>
      <w:pPr>
        <w:snapToGrid/>
        <w:spacing w:beforeAutospacing="0" w:after="80" w:afterAutospacing="0" w:line="360" w:lineRule="auto"/>
        <w:ind w:left="0" w:firstLineChars="200" w:firstLine="480"/>
        <w:rPr>
          <w:rStyle w:val="23"/>
          <w:rFonts w:ascii="Arial" w:eastAsia="黑体" w:hAnsi="Arial"/>
          <w:b w:val="0"/>
          <w:bCs/>
          <w:color w:val="auto"/>
          <w:sz w:val="24"/>
          <w:szCs w:val="32"/>
          <w:lang w:val="en-US" w:eastAsia="zh-CN"/>
        </w:rPr>
      </w:pPr>
      <w:r>
        <w:rPr>
          <w:rStyle w:val="23"/>
          <w:rFonts w:ascii="Arial" w:eastAsia="黑体" w:hAnsi="Arial" w:hint="eastAsia"/>
          <w:b w:val="0"/>
          <w:bCs/>
          <w:color w:val="auto"/>
          <w:sz w:val="24"/>
          <w:szCs w:val="32"/>
          <w:lang w:val="en-US" w:eastAsia="zh-CN"/>
        </w:rPr>
        <w:t>7.</w:t>
      </w:r>
      <w:r>
        <w:rPr>
          <w:rFonts w:ascii="Arial" w:eastAsia="黑体" w:hAnsi="Arial" w:hint="eastAsia"/>
          <w:b/>
          <w:bCs/>
          <w:color w:val="auto"/>
          <w:sz w:val="24"/>
          <w:szCs w:val="32"/>
        </w:rPr>
        <w:t>卫生健康</w:t>
      </w:r>
      <w:r>
        <w:rPr>
          <w:rStyle w:val="23"/>
          <w:rFonts w:ascii="Arial" w:eastAsia="黑体" w:hAnsi="Arial" w:hint="eastAsia"/>
          <w:bCs/>
          <w:color w:val="auto"/>
          <w:sz w:val="24"/>
          <w:szCs w:val="32"/>
        </w:rPr>
        <w:t>（类）</w:t>
      </w:r>
      <w:r>
        <w:rPr>
          <w:rStyle w:val="23"/>
          <w:rFonts w:ascii="Arial" w:eastAsia="黑体" w:hAnsi="Arial" w:hint="eastAsia"/>
          <w:bCs/>
          <w:color w:val="auto"/>
          <w:sz w:val="24"/>
          <w:szCs w:val="32"/>
          <w:lang w:eastAsia="zh-CN"/>
        </w:rPr>
        <w:t>行政事业单位医疗</w:t>
      </w:r>
      <w:r>
        <w:rPr>
          <w:rStyle w:val="23"/>
          <w:rFonts w:ascii="Arial" w:eastAsia="黑体" w:hAnsi="Arial" w:hint="eastAsia"/>
          <w:bCs/>
          <w:color w:val="auto"/>
          <w:sz w:val="24"/>
          <w:szCs w:val="32"/>
        </w:rPr>
        <w:t>（款）</w:t>
      </w:r>
      <w:r>
        <w:rPr>
          <w:rStyle w:val="23"/>
          <w:rFonts w:ascii="Arial" w:eastAsia="黑体" w:hAnsi="Arial" w:hint="eastAsia"/>
          <w:bCs/>
          <w:color w:val="auto"/>
          <w:sz w:val="24"/>
          <w:szCs w:val="32"/>
          <w:lang w:eastAsia="zh-CN"/>
        </w:rPr>
        <w:t>事业单位医疗</w:t>
      </w:r>
      <w:r>
        <w:rPr>
          <w:rStyle w:val="23"/>
          <w:rFonts w:ascii="Arial" w:eastAsia="黑体" w:hAnsi="Arial" w:hint="eastAsia"/>
          <w:bCs/>
          <w:color w:val="auto"/>
          <w:sz w:val="24"/>
          <w:szCs w:val="32"/>
        </w:rPr>
        <w:t>（项）</w:t>
      </w:r>
      <w:r>
        <w:rPr>
          <w:rStyle w:val="23"/>
          <w:rFonts w:ascii="Arial" w:eastAsia="黑体" w:hAnsi="Arial"/>
          <w:bCs/>
          <w:color w:val="auto"/>
          <w:sz w:val="24"/>
          <w:szCs w:val="32"/>
        </w:rPr>
        <w:t>:</w:t>
      </w:r>
      <w:r>
        <w:rPr>
          <w:rStyle w:val="23"/>
          <w:rFonts w:ascii="Arial" w:eastAsia="黑体" w:hAnsi="Arial" w:hint="eastAsia"/>
          <w:b w:val="0"/>
          <w:bCs/>
          <w:color w:val="auto"/>
          <w:sz w:val="24"/>
          <w:szCs w:val="32"/>
        </w:rPr>
        <w:t>支出决算为</w:t>
      </w:r>
      <w:r>
        <w:rPr>
          <w:rStyle w:val="23"/>
          <w:rFonts w:ascii="Arial" w:eastAsia="黑体" w:hAnsi="Arial" w:hint="eastAsia"/>
          <w:b w:val="0"/>
          <w:bCs/>
          <w:color w:val="auto"/>
          <w:sz w:val="24"/>
          <w:szCs w:val="32"/>
          <w:lang w:val="en-US" w:eastAsia="zh-CN"/>
        </w:rPr>
        <w:t>1.33</w:t>
      </w:r>
      <w:r>
        <w:rPr>
          <w:rStyle w:val="23"/>
          <w:rFonts w:ascii="Arial" w:eastAsia="黑体" w:hAnsi="Arial" w:hint="eastAsia"/>
          <w:b w:val="0"/>
          <w:bCs/>
          <w:color w:val="auto"/>
          <w:sz w:val="24"/>
          <w:szCs w:val="32"/>
        </w:rPr>
        <w:t>万元，完成预算</w:t>
      </w:r>
      <w:r>
        <w:rPr>
          <w:rStyle w:val="23"/>
          <w:rFonts w:ascii="Arial" w:eastAsia="黑体" w:hAnsi="Arial" w:hint="eastAsia"/>
          <w:b w:val="0"/>
          <w:bCs/>
          <w:color w:val="auto"/>
          <w:sz w:val="24"/>
          <w:szCs w:val="32"/>
          <w:lang w:val="en-US" w:eastAsia="zh-CN"/>
        </w:rPr>
        <w:t>100</w:t>
      </w:r>
      <w:r>
        <w:rPr>
          <w:rStyle w:val="23"/>
          <w:rFonts w:ascii="Arial" w:eastAsia="黑体" w:hAnsi="Arial"/>
          <w:b w:val="0"/>
          <w:bCs/>
          <w:color w:val="auto"/>
          <w:sz w:val="24"/>
          <w:szCs w:val="32"/>
        </w:rPr>
        <w:t>%</w:t>
      </w:r>
      <w:r>
        <w:rPr>
          <w:rStyle w:val="23"/>
          <w:rFonts w:ascii="Arial" w:eastAsia="黑体" w:hAnsi="Arial" w:hint="eastAsia"/>
          <w:b w:val="0"/>
          <w:bCs/>
          <w:color w:val="auto"/>
          <w:sz w:val="24"/>
          <w:szCs w:val="32"/>
        </w:rPr>
        <w:t>，决算数等于预算数的主要原因是</w:t>
      </w:r>
      <w:r>
        <w:rPr>
          <w:rStyle w:val="23"/>
          <w:rFonts w:ascii="Arial" w:eastAsia="黑体" w:hAnsi="Arial" w:hint="eastAsia"/>
          <w:b w:val="0"/>
          <w:bCs/>
          <w:color w:val="auto"/>
          <w:sz w:val="24"/>
          <w:szCs w:val="32"/>
          <w:lang w:eastAsia="zh-CN"/>
        </w:rPr>
        <w:t>缴费人数无变化</w:t>
      </w:r>
      <w:r>
        <w:rPr>
          <w:rStyle w:val="23"/>
          <w:rFonts w:ascii="Arial" w:eastAsia="黑体" w:hAnsi="Arial" w:hint="eastAsia"/>
          <w:b w:val="0"/>
          <w:bCs/>
          <w:color w:val="auto"/>
          <w:sz w:val="24"/>
          <w:szCs w:val="32"/>
        </w:rPr>
        <w:t>。</w:t>
      </w:r>
    </w:p>
    <w:p>
      <w:pPr>
        <w:snapToGrid/>
        <w:spacing w:beforeAutospacing="0" w:after="80" w:afterAutospacing="0" w:line="360" w:lineRule="auto"/>
        <w:ind w:left="0" w:firstLineChars="200" w:firstLine="480"/>
        <w:rPr>
          <w:rStyle w:val="23"/>
          <w:rFonts w:ascii="Arial" w:eastAsia="黑体" w:hAnsi="Arial" w:hint="eastAsia"/>
          <w:b w:val="0"/>
          <w:bCs/>
          <w:color w:val="auto"/>
          <w:sz w:val="24"/>
          <w:szCs w:val="32"/>
        </w:rPr>
      </w:pPr>
      <w:r>
        <w:rPr>
          <w:rFonts w:ascii="Arial" w:eastAsia="黑体" w:hAnsi="Arial" w:hint="eastAsia"/>
          <w:b/>
          <w:color w:val="auto"/>
          <w:sz w:val="24"/>
          <w:szCs w:val="32"/>
          <w:lang w:val="en-US" w:eastAsia="zh-CN"/>
        </w:rPr>
        <w:t>8.</w:t>
      </w:r>
      <w:r>
        <w:rPr>
          <w:rFonts w:ascii="Arial" w:eastAsia="黑体" w:hAnsi="Arial" w:hint="eastAsia"/>
          <w:b/>
          <w:bCs/>
          <w:color w:val="auto"/>
          <w:sz w:val="24"/>
          <w:szCs w:val="32"/>
          <w:lang w:eastAsia="zh-CN"/>
        </w:rPr>
        <w:t>农林水支出</w:t>
      </w:r>
      <w:r>
        <w:rPr>
          <w:rStyle w:val="23"/>
          <w:rFonts w:ascii="Arial" w:eastAsia="黑体" w:hAnsi="Arial" w:hint="eastAsia"/>
          <w:bCs/>
          <w:color w:val="auto"/>
          <w:sz w:val="24"/>
          <w:szCs w:val="32"/>
        </w:rPr>
        <w:t>（类）</w:t>
      </w:r>
      <w:r>
        <w:rPr>
          <w:rStyle w:val="23"/>
          <w:rFonts w:ascii="Arial" w:eastAsia="黑体" w:hAnsi="Arial" w:hint="eastAsia"/>
          <w:bCs/>
          <w:color w:val="auto"/>
          <w:sz w:val="24"/>
          <w:szCs w:val="32"/>
          <w:lang w:eastAsia="zh-CN"/>
        </w:rPr>
        <w:t>扶贫</w:t>
      </w:r>
      <w:r>
        <w:rPr>
          <w:rStyle w:val="23"/>
          <w:rFonts w:ascii="Arial" w:eastAsia="黑体" w:hAnsi="Arial" w:hint="eastAsia"/>
          <w:bCs/>
          <w:color w:val="auto"/>
          <w:sz w:val="24"/>
          <w:szCs w:val="32"/>
        </w:rPr>
        <w:t>（款）</w:t>
      </w:r>
      <w:r>
        <w:rPr>
          <w:rStyle w:val="23"/>
          <w:rFonts w:ascii="Arial" w:eastAsia="黑体" w:hAnsi="Arial" w:hint="eastAsia"/>
          <w:bCs/>
          <w:color w:val="auto"/>
          <w:sz w:val="24"/>
          <w:szCs w:val="32"/>
          <w:lang w:eastAsia="zh-CN"/>
        </w:rPr>
        <w:t>其他扶贫支出</w:t>
      </w:r>
      <w:r>
        <w:rPr>
          <w:rStyle w:val="23"/>
          <w:rFonts w:ascii="Arial" w:eastAsia="黑体" w:hAnsi="Arial" w:hint="eastAsia"/>
          <w:bCs/>
          <w:color w:val="auto"/>
          <w:sz w:val="24"/>
          <w:szCs w:val="32"/>
        </w:rPr>
        <w:t>（项）</w:t>
      </w:r>
      <w:r>
        <w:rPr>
          <w:rStyle w:val="23"/>
          <w:rFonts w:ascii="Arial" w:eastAsia="黑体" w:hAnsi="Arial"/>
          <w:bCs/>
          <w:color w:val="auto"/>
          <w:sz w:val="24"/>
          <w:szCs w:val="32"/>
        </w:rPr>
        <w:t>:</w:t>
      </w:r>
      <w:r>
        <w:rPr>
          <w:rStyle w:val="23"/>
          <w:rFonts w:ascii="Arial" w:eastAsia="黑体" w:hAnsi="Arial" w:hint="eastAsia"/>
          <w:b w:val="0"/>
          <w:bCs/>
          <w:color w:val="auto"/>
          <w:sz w:val="24"/>
          <w:szCs w:val="32"/>
        </w:rPr>
        <w:t>支出决算为</w:t>
      </w:r>
      <w:r>
        <w:rPr>
          <w:rStyle w:val="23"/>
          <w:rFonts w:ascii="Arial" w:eastAsia="黑体" w:hAnsi="Arial" w:hint="eastAsia"/>
          <w:b w:val="0"/>
          <w:bCs/>
          <w:color w:val="auto"/>
          <w:sz w:val="24"/>
          <w:szCs w:val="32"/>
          <w:lang w:val="en-US" w:eastAsia="zh-CN"/>
        </w:rPr>
        <w:t>50</w:t>
      </w:r>
      <w:r>
        <w:rPr>
          <w:rStyle w:val="23"/>
          <w:rFonts w:ascii="Arial" w:eastAsia="黑体" w:hAnsi="Arial" w:hint="eastAsia"/>
          <w:b w:val="0"/>
          <w:bCs/>
          <w:color w:val="auto"/>
          <w:sz w:val="24"/>
          <w:szCs w:val="32"/>
        </w:rPr>
        <w:t>万元，完成预算</w:t>
      </w:r>
      <w:r>
        <w:rPr>
          <w:rStyle w:val="23"/>
          <w:rFonts w:ascii="Arial" w:eastAsia="黑体" w:hAnsi="Arial" w:hint="eastAsia"/>
          <w:b w:val="0"/>
          <w:bCs/>
          <w:color w:val="auto"/>
          <w:sz w:val="24"/>
          <w:szCs w:val="32"/>
          <w:lang w:val="en-US" w:eastAsia="zh-CN"/>
        </w:rPr>
        <w:t>100</w:t>
      </w:r>
      <w:r>
        <w:rPr>
          <w:rStyle w:val="23"/>
          <w:rFonts w:ascii="Arial" w:eastAsia="黑体" w:hAnsi="Arial"/>
          <w:b w:val="0"/>
          <w:bCs/>
          <w:color w:val="auto"/>
          <w:sz w:val="24"/>
          <w:szCs w:val="32"/>
        </w:rPr>
        <w:t>%</w:t>
      </w:r>
      <w:r>
        <w:rPr>
          <w:rStyle w:val="23"/>
          <w:rFonts w:ascii="Arial" w:eastAsia="黑体" w:hAnsi="Arial" w:hint="eastAsia"/>
          <w:b w:val="0"/>
          <w:bCs/>
          <w:color w:val="auto"/>
          <w:sz w:val="24"/>
          <w:szCs w:val="32"/>
        </w:rPr>
        <w:t>，决算数等于预算数。</w:t>
      </w:r>
    </w:p>
    <w:p>
      <w:pPr>
        <w:snapToGrid/>
        <w:spacing w:beforeAutospacing="0" w:after="80" w:afterAutospacing="0" w:line="360" w:lineRule="auto"/>
        <w:ind w:left="0" w:firstLineChars="200" w:firstLine="480"/>
        <w:rPr>
          <w:rStyle w:val="23"/>
          <w:rFonts w:ascii="Arial" w:eastAsia="黑体" w:hAnsi="Arial" w:hint="eastAsia"/>
          <w:b w:val="0"/>
          <w:bCs/>
          <w:color w:val="auto"/>
          <w:sz w:val="24"/>
          <w:szCs w:val="32"/>
          <w:lang w:val="en-US" w:eastAsia="zh-CN"/>
        </w:rPr>
      </w:pPr>
      <w:r>
        <w:rPr>
          <w:rStyle w:val="23"/>
          <w:rFonts w:ascii="Arial" w:eastAsia="黑体" w:hAnsi="Arial" w:hint="eastAsia"/>
          <w:b w:val="0"/>
          <w:bCs/>
          <w:color w:val="auto"/>
          <w:sz w:val="24"/>
          <w:szCs w:val="32"/>
          <w:lang w:val="en-US" w:eastAsia="zh-CN"/>
        </w:rPr>
        <w:t>9.</w:t>
      </w:r>
      <w:r>
        <w:rPr>
          <w:rStyle w:val="23"/>
          <w:rFonts w:ascii="Arial" w:eastAsia="黑体" w:hAnsi="Arial" w:hint="eastAsia"/>
          <w:b/>
          <w:bCs/>
          <w:color w:val="auto"/>
          <w:sz w:val="24"/>
          <w:szCs w:val="32"/>
          <w:highlight w:val="auto"/>
        </w:rPr>
        <w:t>住房保障（类）住房改革（款）住房公积金（项）：</w:t>
      </w:r>
      <w:r>
        <w:rPr>
          <w:rStyle w:val="23"/>
          <w:rFonts w:ascii="Arial" w:eastAsia="黑体" w:hAnsi="Arial" w:hint="eastAsia"/>
          <w:b w:val="0"/>
          <w:bCs/>
          <w:color w:val="auto"/>
          <w:sz w:val="24"/>
          <w:szCs w:val="32"/>
        </w:rPr>
        <w:t>支出决算为</w:t>
      </w:r>
      <w:r>
        <w:rPr>
          <w:rStyle w:val="23"/>
          <w:rFonts w:ascii="Arial" w:eastAsia="黑体" w:hAnsi="Arial" w:hint="eastAsia"/>
          <w:b w:val="0"/>
          <w:bCs/>
          <w:color w:val="auto"/>
          <w:sz w:val="24"/>
          <w:szCs w:val="32"/>
          <w:lang w:val="en-US" w:eastAsia="zh-CN"/>
        </w:rPr>
        <w:t>9.97</w:t>
      </w:r>
      <w:r>
        <w:rPr>
          <w:rStyle w:val="23"/>
          <w:rFonts w:ascii="Arial" w:eastAsia="黑体" w:hAnsi="Arial" w:hint="eastAsia"/>
          <w:b w:val="0"/>
          <w:bCs/>
          <w:color w:val="auto"/>
          <w:sz w:val="24"/>
          <w:szCs w:val="32"/>
        </w:rPr>
        <w:t>万元，完成预算</w:t>
      </w:r>
      <w:r>
        <w:rPr>
          <w:rStyle w:val="23"/>
          <w:rFonts w:ascii="Arial" w:eastAsia="黑体" w:hAnsi="Arial" w:hint="eastAsia"/>
          <w:b w:val="0"/>
          <w:bCs/>
          <w:color w:val="auto"/>
          <w:sz w:val="24"/>
          <w:szCs w:val="32"/>
          <w:lang w:val="en-US" w:eastAsia="zh-CN"/>
        </w:rPr>
        <w:t>100</w:t>
      </w:r>
      <w:r>
        <w:rPr>
          <w:rStyle w:val="23"/>
          <w:rFonts w:ascii="Arial" w:eastAsia="黑体" w:hAnsi="Arial"/>
          <w:b w:val="0"/>
          <w:bCs/>
          <w:color w:val="auto"/>
          <w:sz w:val="24"/>
          <w:szCs w:val="32"/>
        </w:rPr>
        <w:t>%</w:t>
      </w:r>
      <w:r>
        <w:rPr>
          <w:rStyle w:val="23"/>
          <w:rFonts w:ascii="Arial" w:eastAsia="黑体" w:hAnsi="Arial" w:hint="eastAsia"/>
          <w:b w:val="0"/>
          <w:bCs/>
          <w:color w:val="auto"/>
          <w:sz w:val="24"/>
          <w:szCs w:val="32"/>
        </w:rPr>
        <w:t>，决算数等于预算数</w:t>
      </w:r>
      <w:r>
        <w:rPr>
          <w:rStyle w:val="23"/>
          <w:rFonts w:ascii="Arial" w:eastAsia="黑体" w:hAnsi="Arial" w:hint="eastAsia"/>
          <w:b w:val="0"/>
          <w:bCs/>
          <w:color w:val="auto"/>
          <w:sz w:val="24"/>
          <w:szCs w:val="32"/>
          <w:lang w:eastAsia="zh-CN"/>
        </w:rPr>
        <w:t>。</w:t>
      </w:r>
    </w:p>
    <w:p>
      <w:pPr>
        <w:tabs>
          <w:tab w:val="right" w:pos="8306"/>
        </w:tabs>
        <w:snapToGrid/>
        <w:spacing w:before="80" w:beforeAutospacing="0" w:afterAutospacing="0" w:line="360" w:lineRule="auto"/>
        <w:ind w:left="0" w:right="0" w:firstLine="0"/>
        <w:jc w:val="left"/>
        <w:outlineLvl w:val="1"/>
        <w:rPr>
          <w:rStyle w:val="2Char"/>
          <w:rFonts w:ascii="Times New Roman" w:eastAsia="汉仪中宋简" w:hAnsi="Times New Roman"/>
          <w:b w:val="0"/>
          <w:color w:val="auto"/>
          <w:sz w:val="28"/>
        </w:rPr>
      </w:pPr>
      <w:bookmarkStart w:id="58" w:name="_Toc15396608"/>
      <w:bookmarkStart w:id="59" w:name="_Toc15377214"/>
      <w:bookmarkStart w:id="60" w:name="_Toc14087"/>
      <w:r>
        <w:rPr>
          <w:rFonts w:ascii="Times New Roman" w:eastAsia="汉仪中宋简" w:hAnsi="Times New Roman" w:hint="eastAsia"/>
          <w:b w:val="0"/>
          <w:color w:val="auto"/>
          <w:sz w:val="28"/>
          <w:szCs w:val="32"/>
        </w:rPr>
        <w:t>六、一</w:t>
      </w:r>
      <w:r>
        <w:rPr>
          <w:rStyle w:val="2Char"/>
          <w:rFonts w:ascii="Times New Roman" w:eastAsia="汉仪中宋简" w:hAnsi="Times New Roman" w:hint="eastAsia"/>
          <w:b w:val="0"/>
          <w:color w:val="auto"/>
          <w:sz w:val="28"/>
        </w:rPr>
        <w:t>般公共预算财政拨款基本支出决算情况说明</w:t>
      </w:r>
      <w:bookmarkEnd w:id="58"/>
      <w:bookmarkEnd w:id="59"/>
      <w:bookmarkEnd w:id="60"/>
      <w:r>
        <w:rPr>
          <w:rStyle w:val="2Char"/>
          <w:rFonts w:ascii="Times New Roman" w:eastAsia="汉仪中宋简" w:hAnsi="Times New Roman"/>
          <w:b w:val="0"/>
          <w:color w:val="auto"/>
          <w:sz w:val="28"/>
        </w:rPr>
        <w:tab/>
      </w:r>
    </w:p>
    <w:p>
      <w:pPr>
        <w:snapToGrid/>
        <w:spacing w:beforeAutospacing="0" w:after="80" w:afterAutospacing="0" w:line="360" w:lineRule="auto"/>
        <w:ind w:left="0" w:firstLineChars="200" w:firstLine="480"/>
        <w:rPr>
          <w:rFonts w:ascii="Arial" w:eastAsia="黑体" w:hAnsi="Arial" w:hint="eastAsia"/>
          <w:color w:val="auto"/>
          <w:sz w:val="24"/>
          <w:szCs w:val="32"/>
          <w:lang w:eastAsia="zh-CN"/>
        </w:rPr>
      </w:pPr>
      <w:r>
        <w:rPr>
          <w:rFonts w:ascii="Arial" w:eastAsia="黑体" w:hAnsi="Arial" w:hint="eastAsia"/>
          <w:color w:val="auto"/>
          <w:sz w:val="24"/>
          <w:szCs w:val="32"/>
          <w:lang w:eastAsia="zh-CN"/>
        </w:rPr>
        <w:t>2020</w:t>
      </w:r>
      <w:r>
        <w:rPr>
          <w:rFonts w:ascii="Arial" w:eastAsia="黑体" w:hAnsi="Arial" w:hint="eastAsia"/>
          <w:color w:val="auto"/>
          <w:sz w:val="24"/>
          <w:szCs w:val="32"/>
        </w:rPr>
        <w:t>年度一般公共预算财政拨款基本</w:t>
      </w:r>
      <w:r>
        <w:rPr>
          <w:rFonts w:ascii="Arial" w:eastAsia="黑体" w:hAnsi="Arial" w:hint="eastAsia"/>
          <w:color w:val="auto"/>
          <w:sz w:val="24"/>
          <w:szCs w:val="32"/>
          <w:lang w:val="en-US" w:eastAsia="zh-CN"/>
        </w:rPr>
        <w:t>130.51</w:t>
      </w:r>
      <w:r>
        <w:rPr>
          <w:rFonts w:ascii="Arial" w:eastAsia="黑体" w:hAnsi="Arial" w:hint="eastAsia"/>
          <w:color w:val="auto"/>
          <w:sz w:val="24"/>
          <w:szCs w:val="32"/>
        </w:rPr>
        <w:t>万元，其中：人员经费</w:t>
      </w:r>
      <w:r>
        <w:rPr>
          <w:rFonts w:ascii="Arial" w:eastAsia="黑体" w:hAnsi="Arial" w:hint="eastAsia"/>
          <w:color w:val="auto"/>
          <w:sz w:val="24"/>
          <w:szCs w:val="32"/>
          <w:lang w:val="en-US" w:eastAsia="zh-CN"/>
        </w:rPr>
        <w:t>109.33</w:t>
      </w:r>
      <w:r>
        <w:rPr>
          <w:rFonts w:ascii="Arial" w:eastAsia="黑体" w:hAnsi="Arial" w:hint="eastAsia"/>
          <w:color w:val="auto"/>
          <w:sz w:val="24"/>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snapToGrid/>
        <w:spacing w:beforeAutospacing="0" w:after="80" w:afterAutospacing="0" w:line="360" w:lineRule="auto"/>
        <w:ind w:left="0" w:firstLineChars="200" w:firstLine="480"/>
        <w:rPr>
          <w:rFonts w:ascii="Arial" w:eastAsia="黑体" w:hAnsi="Arial"/>
          <w:b/>
          <w:color w:val="auto"/>
          <w:sz w:val="24"/>
          <w:szCs w:val="32"/>
        </w:rPr>
      </w:pPr>
      <w:r>
        <w:rPr>
          <w:rFonts w:ascii="Arial" w:eastAsia="黑体" w:hAnsi="Arial" w:hint="eastAsia"/>
          <w:color w:val="auto"/>
          <w:sz w:val="24"/>
          <w:szCs w:val="32"/>
        </w:rPr>
        <w:t>公用经费</w:t>
      </w:r>
      <w:r>
        <w:rPr>
          <w:rFonts w:ascii="Arial" w:eastAsia="黑体" w:hAnsi="Arial" w:hint="eastAsia"/>
          <w:color w:val="auto"/>
          <w:sz w:val="24"/>
          <w:szCs w:val="32"/>
          <w:lang w:val="en-US" w:eastAsia="zh-CN"/>
        </w:rPr>
        <w:t>21.18</w:t>
      </w:r>
      <w:r>
        <w:rPr>
          <w:rFonts w:ascii="Arial" w:eastAsia="黑体" w:hAnsi="Arial" w:hint="eastAsia"/>
          <w:color w:val="auto"/>
          <w:sz w:val="24"/>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napToGrid/>
        <w:spacing w:before="80" w:beforeAutospacing="0" w:afterAutospacing="0" w:line="360" w:lineRule="auto"/>
        <w:ind w:left="0" w:right="0" w:firstLine="0"/>
        <w:jc w:val="left"/>
        <w:outlineLvl w:val="1"/>
        <w:rPr>
          <w:rStyle w:val="2Char"/>
          <w:rFonts w:ascii="Times New Roman" w:eastAsia="汉仪中宋简" w:hAnsi="Times New Roman"/>
          <w:b w:val="0"/>
          <w:color w:val="auto"/>
          <w:sz w:val="28"/>
        </w:rPr>
      </w:pPr>
      <w:bookmarkStart w:id="61" w:name="_Toc15377215"/>
      <w:bookmarkStart w:id="62" w:name="_Toc15396609"/>
      <w:bookmarkStart w:id="63" w:name="_Toc24399"/>
      <w:r>
        <w:rPr>
          <w:rFonts w:ascii="Times New Roman" w:eastAsia="汉仪中宋简" w:hAnsi="Times New Roman" w:hint="eastAsia"/>
          <w:b w:val="0"/>
          <w:color w:val="auto"/>
          <w:sz w:val="28"/>
          <w:szCs w:val="32"/>
        </w:rPr>
        <w:t>七、</w:t>
      </w:r>
      <w:r>
        <w:rPr>
          <w:rStyle w:val="2Char"/>
          <w:rFonts w:ascii="Times New Roman" w:eastAsia="汉仪中宋简" w:hAnsi="Times New Roman" w:hint="eastAsia"/>
          <w:b w:val="0"/>
          <w:color w:val="auto"/>
          <w:sz w:val="28"/>
        </w:rPr>
        <w:t>“三公”经费财政拨款支出决算情况说明</w:t>
      </w:r>
      <w:bookmarkEnd w:id="61"/>
      <w:bookmarkEnd w:id="62"/>
      <w:bookmarkEnd w:id="63"/>
    </w:p>
    <w:p>
      <w:pPr>
        <w:snapToGrid/>
        <w:spacing w:before="80" w:beforeAutospacing="0" w:afterAutospacing="0" w:line="240" w:lineRule="auto"/>
        <w:ind w:left="0" w:right="0" w:firstLine="0"/>
        <w:jc w:val="left"/>
        <w:outlineLvl w:val="2"/>
        <w:rPr>
          <w:rFonts w:ascii="Times New Roman" w:eastAsia="汉仪中宋简" w:hAnsi="Times New Roman"/>
          <w:b w:val="0"/>
          <w:color w:val="auto"/>
          <w:sz w:val="26"/>
          <w:szCs w:val="32"/>
        </w:rPr>
      </w:pPr>
      <w:bookmarkStart w:id="64" w:name="_Toc15377216"/>
      <w:bookmarkStart w:id="65" w:name="_Toc32322"/>
      <w:r>
        <w:rPr>
          <w:rFonts w:ascii="Times New Roman" w:eastAsia="汉仪中宋简" w:hAnsi="Times New Roman" w:hint="eastAsia"/>
          <w:b w:val="0"/>
          <w:color w:val="auto"/>
          <w:sz w:val="26"/>
          <w:szCs w:val="32"/>
        </w:rPr>
        <w:t>（一）“三公”经费财政拨款支出决算总体情况说明</w:t>
      </w:r>
      <w:bookmarkEnd w:id="64"/>
      <w:bookmarkEnd w:id="65"/>
    </w:p>
    <w:p>
      <w:pPr>
        <w:snapToGrid/>
        <w:spacing w:beforeAutospacing="0" w:after="80" w:afterAutospacing="0" w:line="360" w:lineRule="auto"/>
        <w:ind w:left="0" w:firstLineChars="200" w:firstLine="480"/>
        <w:rPr>
          <w:rFonts w:ascii="Arial" w:eastAsia="黑体" w:hAnsi="Arial" w:hint="eastAsia"/>
          <w:color w:val="auto"/>
          <w:sz w:val="24"/>
          <w:szCs w:val="32"/>
        </w:rPr>
      </w:pPr>
      <w:r>
        <w:rPr>
          <w:rFonts w:ascii="Arial" w:eastAsia="黑体" w:hAnsi="Arial" w:hint="eastAsia"/>
          <w:color w:val="auto"/>
          <w:sz w:val="24"/>
          <w:szCs w:val="32"/>
          <w:lang w:eastAsia="zh-CN"/>
        </w:rPr>
        <w:t>2020</w:t>
      </w:r>
      <w:r>
        <w:rPr>
          <w:rFonts w:ascii="Arial" w:eastAsia="黑体" w:hAnsi="Arial" w:hint="eastAsia"/>
          <w:color w:val="auto"/>
          <w:sz w:val="24"/>
          <w:szCs w:val="32"/>
        </w:rPr>
        <w:t>年度“三公”经费财政拨款支出决算为</w:t>
      </w:r>
      <w:r>
        <w:rPr>
          <w:rFonts w:ascii="Arial" w:eastAsia="黑体" w:hAnsi="Arial" w:hint="eastAsia"/>
          <w:color w:val="auto"/>
          <w:sz w:val="24"/>
          <w:szCs w:val="32"/>
          <w:lang w:val="en-US" w:eastAsia="zh-CN"/>
        </w:rPr>
        <w:t>1.5</w:t>
      </w:r>
      <w:r>
        <w:rPr>
          <w:rFonts w:ascii="Arial" w:eastAsia="黑体" w:hAnsi="Arial" w:hint="eastAsia"/>
          <w:color w:val="auto"/>
          <w:sz w:val="24"/>
          <w:szCs w:val="32"/>
        </w:rPr>
        <w:t>万元，完成预算</w:t>
      </w:r>
      <w:r>
        <w:rPr>
          <w:rFonts w:ascii="Arial" w:eastAsia="黑体" w:hAnsi="Arial" w:hint="eastAsia"/>
          <w:color w:val="auto"/>
          <w:sz w:val="24"/>
          <w:szCs w:val="32"/>
          <w:lang w:val="en-US" w:eastAsia="zh-CN"/>
        </w:rPr>
        <w:t>100</w:t>
      </w:r>
      <w:r>
        <w:rPr>
          <w:rFonts w:ascii="Arial" w:eastAsia="黑体" w:hAnsi="Arial" w:hint="eastAsia"/>
          <w:color w:val="auto"/>
          <w:sz w:val="24"/>
          <w:szCs w:val="32"/>
        </w:rPr>
        <w:t>%，决算数</w:t>
      </w:r>
      <w:r>
        <w:rPr>
          <w:rFonts w:ascii="Arial" w:eastAsia="黑体" w:hAnsi="Arial" w:hint="eastAsia"/>
          <w:color w:val="auto"/>
          <w:sz w:val="24"/>
          <w:szCs w:val="32"/>
          <w:lang w:eastAsia="zh-CN"/>
        </w:rPr>
        <w:t>等于</w:t>
      </w:r>
      <w:r>
        <w:rPr>
          <w:rFonts w:ascii="Arial" w:eastAsia="黑体" w:hAnsi="Arial" w:hint="eastAsia"/>
          <w:color w:val="auto"/>
          <w:sz w:val="24"/>
          <w:szCs w:val="32"/>
        </w:rPr>
        <w:t>预算数的主要原因是</w:t>
      </w:r>
      <w:r>
        <w:rPr>
          <w:rFonts w:ascii="Arial" w:eastAsia="黑体" w:hAnsi="Arial" w:hint="eastAsia"/>
          <w:color w:val="auto"/>
          <w:sz w:val="24"/>
          <w:szCs w:val="32"/>
          <w:lang w:eastAsia="zh-CN"/>
        </w:rPr>
        <w:t>严格控制经费</w:t>
      </w:r>
      <w:r>
        <w:rPr>
          <w:rFonts w:ascii="Arial" w:eastAsia="黑体" w:hAnsi="Arial" w:hint="eastAsia"/>
          <w:color w:val="auto"/>
          <w:sz w:val="24"/>
          <w:szCs w:val="32"/>
        </w:rPr>
        <w:t>。</w:t>
      </w:r>
    </w:p>
    <w:p>
      <w:pPr>
        <w:snapToGrid/>
        <w:spacing w:before="80" w:beforeAutospacing="0" w:afterAutospacing="0" w:line="240" w:lineRule="auto"/>
        <w:ind w:left="0" w:right="0" w:firstLine="0"/>
        <w:jc w:val="left"/>
        <w:outlineLvl w:val="2"/>
        <w:rPr>
          <w:rFonts w:ascii="Times New Roman" w:eastAsia="汉仪中宋简" w:hAnsi="Times New Roman"/>
          <w:b w:val="0"/>
          <w:color w:val="auto"/>
          <w:sz w:val="26"/>
          <w:szCs w:val="32"/>
        </w:rPr>
      </w:pPr>
      <w:bookmarkStart w:id="66" w:name="_Toc15377217"/>
      <w:bookmarkStart w:id="67" w:name="_Toc23286"/>
      <w:r>
        <w:rPr>
          <w:rFonts w:ascii="Times New Roman" w:eastAsia="汉仪中宋简" w:hAnsi="Times New Roman" w:hint="eastAsia"/>
          <w:b w:val="0"/>
          <w:color w:val="auto"/>
          <w:sz w:val="26"/>
          <w:szCs w:val="32"/>
        </w:rPr>
        <w:t>（二）“三公”经费财政拨款支出决算具体情况说明</w:t>
      </w:r>
      <w:bookmarkEnd w:id="66"/>
      <w:bookmarkEnd w:id="67"/>
    </w:p>
    <w:p>
      <w:pPr>
        <w:snapToGrid/>
        <w:spacing w:beforeAutospacing="0" w:after="80" w:afterAutospacing="0" w:line="360" w:lineRule="auto"/>
        <w:ind w:left="0" w:firstLineChars="200" w:firstLine="480"/>
        <w:rPr>
          <w:rFonts w:ascii="Arial" w:eastAsia="黑体" w:hAnsi="Arial" w:hint="eastAsia"/>
          <w:color w:val="auto"/>
          <w:sz w:val="24"/>
          <w:szCs w:val="32"/>
        </w:rPr>
      </w:pPr>
      <w:r>
        <w:rPr>
          <w:rFonts w:ascii="Arial" w:eastAsia="黑体" w:hAnsi="Arial" w:hint="eastAsia"/>
          <w:color w:val="auto"/>
          <w:sz w:val="24"/>
          <w:szCs w:val="32"/>
          <w:lang w:eastAsia="zh-CN"/>
        </w:rPr>
        <w:t>2020</w:t>
      </w:r>
      <w:r>
        <w:rPr>
          <w:rFonts w:ascii="Arial" w:eastAsia="黑体" w:hAnsi="Arial" w:hint="eastAsia"/>
          <w:color w:val="auto"/>
          <w:sz w:val="24"/>
          <w:szCs w:val="32"/>
        </w:rPr>
        <w:t>年度“三公”经费财政拨款支出决算中，因公出国（境）费支出决算</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w:t>
      </w:r>
      <w:r>
        <w:rPr>
          <w:rFonts w:ascii="Arial" w:eastAsia="黑体" w:hAnsi="Arial" w:hint="eastAsia"/>
          <w:color w:val="auto"/>
          <w:sz w:val="24"/>
          <w:szCs w:val="32"/>
          <w:lang w:eastAsia="zh-CN"/>
        </w:rPr>
        <w:t>年初未安排预算</w:t>
      </w:r>
      <w:r>
        <w:rPr>
          <w:rFonts w:ascii="Arial" w:eastAsia="黑体" w:hAnsi="Arial" w:hint="eastAsia"/>
          <w:color w:val="auto"/>
          <w:sz w:val="24"/>
          <w:szCs w:val="32"/>
        </w:rPr>
        <w:t>；公务用车购置及运行维护费支出决算</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w:t>
      </w:r>
      <w:r>
        <w:rPr>
          <w:rFonts w:ascii="Arial" w:eastAsia="黑体" w:hAnsi="Arial" w:hint="eastAsia"/>
          <w:color w:val="auto"/>
          <w:sz w:val="24"/>
          <w:szCs w:val="32"/>
          <w:lang w:eastAsia="zh-CN"/>
        </w:rPr>
        <w:t>，年初未安排预算</w:t>
      </w:r>
      <w:r>
        <w:rPr>
          <w:rFonts w:ascii="Arial" w:eastAsia="黑体" w:hAnsi="Arial" w:hint="eastAsia"/>
          <w:color w:val="auto"/>
          <w:sz w:val="24"/>
          <w:szCs w:val="32"/>
        </w:rPr>
        <w:t>，；公务接待费支出决算</w:t>
      </w:r>
      <w:r>
        <w:rPr>
          <w:rFonts w:ascii="Arial" w:eastAsia="黑体" w:hAnsi="Arial" w:hint="eastAsia"/>
          <w:color w:val="auto"/>
          <w:sz w:val="24"/>
          <w:szCs w:val="32"/>
          <w:lang w:val="en-US" w:eastAsia="zh-CN"/>
        </w:rPr>
        <w:t>1.5</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100</w:t>
      </w:r>
      <w:r>
        <w:rPr>
          <w:rFonts w:ascii="Arial" w:eastAsia="黑体" w:hAnsi="Arial" w:hint="eastAsia"/>
          <w:color w:val="auto"/>
          <w:sz w:val="24"/>
          <w:szCs w:val="32"/>
        </w:rPr>
        <w:t>%。具体情况如下：</w:t>
      </w:r>
    </w:p>
    <w:p>
      <w:pPr>
        <w:numPr>
          <w:ilvl w:val="0"/>
          <w:numId w:val="3"/>
        </w:numPr>
        <w:snapToGrid/>
        <w:spacing w:beforeAutospacing="0" w:after="80" w:afterAutospacing="0" w:line="360" w:lineRule="auto"/>
        <w:ind w:left="0" w:firstLineChars="200" w:firstLine="480"/>
        <w:jc w:val="both"/>
        <w:rPr>
          <w:rFonts w:ascii="Arial" w:eastAsia="黑体" w:hAnsi="Arial"/>
          <w:b/>
          <w:color w:val="auto"/>
          <w:sz w:val="24"/>
          <w:szCs w:val="32"/>
        </w:rPr>
      </w:pPr>
      <w:r>
        <w:rPr>
          <w:rFonts w:ascii="Arial" w:eastAsia="黑体" w:hAnsi="Arial" w:hint="eastAsia"/>
          <w:b/>
          <w:color w:val="auto"/>
          <w:sz w:val="24"/>
          <w:szCs w:val="32"/>
        </w:rPr>
        <w:t>因公出国（境）经费支出</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w:t>
      </w:r>
      <w:r>
        <w:rPr>
          <w:rFonts w:ascii="Arial" w:eastAsia="黑体" w:hAnsi="Arial" w:hint="eastAsia"/>
          <w:color w:val="auto"/>
          <w:sz w:val="24"/>
          <w:szCs w:val="32"/>
          <w:lang w:eastAsia="zh-CN"/>
        </w:rPr>
        <w:t>年初未安排预算，与上年数无变化</w:t>
      </w:r>
      <w:r>
        <w:rPr>
          <w:rStyle w:val="23"/>
          <w:rFonts w:ascii="Arial" w:eastAsia="黑体" w:hAnsi="Arial" w:hint="eastAsia"/>
          <w:b w:val="0"/>
          <w:bCs/>
          <w:color w:val="auto"/>
          <w:sz w:val="24"/>
          <w:szCs w:val="32"/>
        </w:rPr>
        <w:t>。</w:t>
      </w:r>
    </w:p>
    <w:p>
      <w:pPr>
        <w:snapToGrid/>
        <w:spacing w:beforeAutospacing="0" w:after="80" w:afterAutospacing="0" w:line="360" w:lineRule="auto"/>
        <w:ind w:left="0" w:firstLineChars="200" w:firstLine="480"/>
        <w:jc w:val="both"/>
        <w:rPr>
          <w:rFonts w:ascii="Arial" w:eastAsia="黑体" w:hAnsi="Arial"/>
          <w:b/>
          <w:color w:val="auto"/>
          <w:sz w:val="24"/>
          <w:szCs w:val="32"/>
        </w:rPr>
      </w:pPr>
      <w:r>
        <w:rPr>
          <w:rFonts w:ascii="Arial" w:eastAsia="黑体" w:hAnsi="Arial"/>
          <w:b/>
          <w:color w:val="auto"/>
          <w:sz w:val="24"/>
          <w:szCs w:val="32"/>
        </w:rPr>
        <w:t>2.</w:t>
      </w:r>
      <w:r>
        <w:rPr>
          <w:rFonts w:ascii="Arial" w:eastAsia="黑体" w:hAnsi="Arial" w:hint="eastAsia"/>
          <w:b/>
          <w:color w:val="auto"/>
          <w:sz w:val="24"/>
          <w:szCs w:val="32"/>
        </w:rPr>
        <w:t>公务用车购置及运行维护费支出</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w:t>
      </w:r>
      <w:r>
        <w:rPr>
          <w:rFonts w:ascii="Arial" w:eastAsia="黑体" w:hAnsi="Arial"/>
          <w:color w:val="auto"/>
          <w:sz w:val="24"/>
          <w:szCs w:val="32"/>
        </w:rPr>
        <w:t>,</w:t>
      </w:r>
      <w:r>
        <w:rPr>
          <w:rFonts w:ascii="Arial" w:eastAsia="黑体" w:hAnsi="Arial" w:hint="eastAsia"/>
          <w:color w:val="auto"/>
          <w:sz w:val="24"/>
          <w:szCs w:val="32"/>
          <w:lang w:eastAsia="zh-CN"/>
        </w:rPr>
        <w:t>年初未安排预算</w:t>
      </w:r>
      <w:r>
        <w:rPr>
          <w:rStyle w:val="23"/>
          <w:rFonts w:ascii="Arial" w:eastAsia="黑体" w:hAnsi="Arial" w:hint="eastAsia"/>
          <w:b w:val="0"/>
          <w:bCs/>
          <w:color w:val="auto"/>
          <w:sz w:val="24"/>
          <w:szCs w:val="32"/>
        </w:rPr>
        <w:t>。</w:t>
      </w:r>
    </w:p>
    <w:p>
      <w:pPr>
        <w:snapToGrid/>
        <w:spacing w:beforeAutospacing="0" w:after="80" w:afterAutospacing="0" w:line="360" w:lineRule="auto"/>
        <w:ind w:left="0" w:firstLineChars="200" w:firstLine="480"/>
        <w:rPr>
          <w:rFonts w:ascii="Arial" w:eastAsia="黑体" w:hAnsi="Arial" w:hint="eastAsia"/>
          <w:color w:val="auto"/>
          <w:sz w:val="24"/>
          <w:szCs w:val="32"/>
          <w:lang w:eastAsia="zh-CN"/>
        </w:rPr>
      </w:pPr>
      <w:r>
        <w:rPr>
          <w:rFonts w:ascii="Arial" w:eastAsia="黑体" w:hAnsi="Arial"/>
          <w:b/>
          <w:color w:val="auto"/>
          <w:sz w:val="24"/>
          <w:szCs w:val="32"/>
        </w:rPr>
        <w:t>3.</w:t>
      </w:r>
      <w:r>
        <w:rPr>
          <w:rFonts w:ascii="Arial" w:eastAsia="黑体" w:hAnsi="Arial" w:hint="eastAsia"/>
          <w:b/>
          <w:color w:val="auto"/>
          <w:sz w:val="24"/>
          <w:szCs w:val="32"/>
        </w:rPr>
        <w:t>公务接待费支出</w:t>
      </w:r>
      <w:r>
        <w:rPr>
          <w:rFonts w:ascii="Arial" w:eastAsia="黑体" w:hAnsi="Arial" w:hint="eastAsia"/>
          <w:color w:val="auto"/>
          <w:sz w:val="24"/>
          <w:szCs w:val="32"/>
          <w:lang w:val="en-US" w:eastAsia="zh-CN"/>
        </w:rPr>
        <w:t>1.5</w:t>
      </w:r>
      <w:r>
        <w:rPr>
          <w:rFonts w:ascii="Arial" w:eastAsia="黑体" w:hAnsi="Arial" w:hint="eastAsia"/>
          <w:color w:val="auto"/>
          <w:sz w:val="24"/>
          <w:szCs w:val="32"/>
        </w:rPr>
        <w:t>万元，</w:t>
      </w:r>
      <w:r>
        <w:rPr>
          <w:rStyle w:val="23"/>
          <w:rFonts w:ascii="Arial" w:eastAsia="黑体" w:hAnsi="Arial" w:hint="eastAsia"/>
          <w:b w:val="0"/>
          <w:bCs/>
          <w:color w:val="auto"/>
          <w:sz w:val="24"/>
          <w:szCs w:val="32"/>
        </w:rPr>
        <w:t>完成预算</w:t>
      </w:r>
      <w:r>
        <w:rPr>
          <w:rStyle w:val="23"/>
          <w:rFonts w:ascii="Arial" w:eastAsia="黑体" w:hAnsi="Arial" w:hint="eastAsia"/>
          <w:b w:val="0"/>
          <w:bCs/>
          <w:color w:val="auto"/>
          <w:sz w:val="24"/>
          <w:szCs w:val="32"/>
          <w:lang w:val="en-US" w:eastAsia="zh-CN"/>
        </w:rPr>
        <w:t>100</w:t>
      </w:r>
      <w:r>
        <w:rPr>
          <w:rStyle w:val="23"/>
          <w:rFonts w:ascii="Arial" w:eastAsia="黑体" w:hAnsi="Arial"/>
          <w:b w:val="0"/>
          <w:bCs/>
          <w:color w:val="auto"/>
          <w:sz w:val="24"/>
          <w:szCs w:val="32"/>
        </w:rPr>
        <w:t>%</w:t>
      </w:r>
      <w:r>
        <w:rPr>
          <w:rStyle w:val="23"/>
          <w:rFonts w:ascii="Arial" w:eastAsia="黑体" w:hAnsi="Arial" w:hint="eastAsia"/>
          <w:b w:val="0"/>
          <w:bCs/>
          <w:color w:val="auto"/>
          <w:sz w:val="24"/>
          <w:szCs w:val="32"/>
        </w:rPr>
        <w:t>。</w:t>
      </w:r>
      <w:r>
        <w:rPr>
          <w:rFonts w:ascii="Arial" w:eastAsia="黑体" w:hAnsi="Arial" w:hint="eastAsia"/>
          <w:color w:val="auto"/>
          <w:sz w:val="24"/>
          <w:szCs w:val="32"/>
        </w:rPr>
        <w:t>公务接待费支出决算</w:t>
      </w:r>
      <w:r>
        <w:rPr>
          <w:rFonts w:ascii="Arial" w:eastAsia="黑体" w:hAnsi="Arial" w:hint="eastAsia"/>
          <w:color w:val="auto"/>
          <w:sz w:val="24"/>
          <w:szCs w:val="32"/>
          <w:lang w:eastAsia="zh-CN"/>
        </w:rPr>
        <w:t>树与</w:t>
      </w:r>
      <w:r>
        <w:rPr>
          <w:rFonts w:ascii="Arial" w:eastAsia="黑体" w:hAnsi="Arial" w:hint="eastAsia"/>
          <w:color w:val="auto"/>
          <w:sz w:val="24"/>
          <w:szCs w:val="32"/>
        </w:rPr>
        <w:t>201</w:t>
      </w:r>
      <w:r>
        <w:rPr>
          <w:rFonts w:ascii="Arial" w:eastAsia="黑体" w:hAnsi="Arial" w:hint="eastAsia"/>
          <w:color w:val="auto"/>
          <w:sz w:val="24"/>
          <w:szCs w:val="32"/>
          <w:lang w:val="en-US" w:eastAsia="zh-CN"/>
        </w:rPr>
        <w:t>9</w:t>
      </w:r>
      <w:r>
        <w:rPr>
          <w:rFonts w:ascii="Arial" w:eastAsia="黑体" w:hAnsi="Arial" w:hint="eastAsia"/>
          <w:color w:val="auto"/>
          <w:sz w:val="24"/>
          <w:szCs w:val="32"/>
        </w:rPr>
        <w:t>年</w:t>
      </w:r>
      <w:r>
        <w:rPr>
          <w:rFonts w:ascii="Arial" w:eastAsia="黑体" w:hAnsi="Arial" w:hint="eastAsia"/>
          <w:color w:val="auto"/>
          <w:sz w:val="24"/>
          <w:szCs w:val="32"/>
          <w:lang w:eastAsia="zh-CN"/>
        </w:rPr>
        <w:t>持平</w:t>
      </w:r>
      <w:r>
        <w:rPr>
          <w:rFonts w:ascii="Arial" w:eastAsia="黑体" w:hAnsi="Arial" w:hint="eastAsia"/>
          <w:color w:val="auto"/>
          <w:sz w:val="24"/>
          <w:szCs w:val="32"/>
        </w:rPr>
        <w:t>。主要原因是</w:t>
      </w:r>
      <w:r>
        <w:rPr>
          <w:rFonts w:ascii="Arial" w:eastAsia="黑体" w:hAnsi="Arial" w:hint="eastAsia"/>
          <w:color w:val="auto"/>
          <w:sz w:val="24"/>
          <w:szCs w:val="32"/>
          <w:lang w:eastAsia="zh-CN"/>
        </w:rPr>
        <w:t>严格控制三公经费支出。</w:t>
      </w:r>
    </w:p>
    <w:p>
      <w:pPr>
        <w:snapToGrid/>
        <w:spacing w:beforeAutospacing="0" w:after="80" w:afterAutospacing="0" w:line="360" w:lineRule="auto"/>
        <w:ind w:left="0" w:firstLineChars="200" w:firstLine="480"/>
        <w:rPr>
          <w:rFonts w:ascii="Arial" w:eastAsia="黑体" w:hAnsi="Arial"/>
          <w:color w:val="auto"/>
          <w:sz w:val="24"/>
          <w:szCs w:val="32"/>
        </w:rPr>
      </w:pPr>
      <w:r>
        <w:rPr>
          <w:rFonts w:ascii="Arial" w:eastAsia="黑体" w:hAnsi="Arial" w:hint="eastAsia"/>
          <w:b/>
          <w:color w:val="auto"/>
          <w:sz w:val="24"/>
          <w:szCs w:val="32"/>
        </w:rPr>
        <w:t>国内公务接待支出</w:t>
      </w:r>
      <w:r>
        <w:rPr>
          <w:rFonts w:ascii="Arial" w:eastAsia="黑体" w:hAnsi="Arial" w:hint="eastAsia"/>
          <w:color w:val="auto"/>
          <w:sz w:val="24"/>
          <w:szCs w:val="32"/>
          <w:lang w:val="en-US" w:eastAsia="zh-CN"/>
        </w:rPr>
        <w:t>1.5</w:t>
      </w:r>
      <w:r>
        <w:rPr>
          <w:rFonts w:ascii="Arial" w:eastAsia="黑体" w:hAnsi="Arial" w:hint="eastAsia"/>
          <w:color w:val="auto"/>
          <w:sz w:val="24"/>
          <w:szCs w:val="32"/>
        </w:rPr>
        <w:t>万元，主要用于主要用于执行公务、开展业务活动开支的交通费、住宿费、用餐费等。国内公务接待</w:t>
      </w:r>
      <w:r>
        <w:rPr>
          <w:rFonts w:ascii="Arial" w:eastAsia="黑体" w:hAnsi="Arial" w:hint="eastAsia"/>
          <w:color w:val="auto"/>
          <w:sz w:val="24"/>
          <w:szCs w:val="32"/>
          <w:lang w:val="en-US" w:eastAsia="zh-CN"/>
        </w:rPr>
        <w:t>18</w:t>
      </w:r>
      <w:r>
        <w:rPr>
          <w:rFonts w:ascii="Arial" w:eastAsia="黑体" w:hAnsi="Arial" w:hint="eastAsia"/>
          <w:color w:val="auto"/>
          <w:sz w:val="24"/>
          <w:szCs w:val="32"/>
        </w:rPr>
        <w:t>批次，</w:t>
      </w:r>
      <w:r>
        <w:rPr>
          <w:rFonts w:ascii="Arial" w:eastAsia="黑体" w:hAnsi="Arial" w:hint="eastAsia"/>
          <w:color w:val="auto"/>
          <w:sz w:val="24"/>
          <w:szCs w:val="32"/>
          <w:lang w:val="en-US" w:eastAsia="zh-CN"/>
        </w:rPr>
        <w:t>190</w:t>
      </w:r>
      <w:r>
        <w:rPr>
          <w:rFonts w:ascii="Arial" w:eastAsia="黑体" w:hAnsi="Arial" w:hint="eastAsia"/>
          <w:color w:val="auto"/>
          <w:sz w:val="24"/>
          <w:szCs w:val="32"/>
        </w:rPr>
        <w:t>人次（不包括陪同人员），共计支出</w:t>
      </w:r>
      <w:r>
        <w:rPr>
          <w:rFonts w:ascii="Arial" w:eastAsia="黑体" w:hAnsi="Arial" w:hint="eastAsia"/>
          <w:color w:val="auto"/>
          <w:sz w:val="24"/>
          <w:szCs w:val="32"/>
          <w:lang w:val="en-US" w:eastAsia="zh-CN"/>
        </w:rPr>
        <w:t>1.5</w:t>
      </w:r>
      <w:r>
        <w:rPr>
          <w:rFonts w:ascii="Arial" w:eastAsia="黑体" w:hAnsi="Arial" w:hint="eastAsia"/>
          <w:color w:val="auto"/>
          <w:sz w:val="24"/>
          <w:szCs w:val="32"/>
        </w:rPr>
        <w:t>万元，具体内容包括：接待省、市残联检查</w:t>
      </w:r>
      <w:r>
        <w:rPr>
          <w:rFonts w:ascii="Arial" w:eastAsia="黑体" w:hAnsi="Arial" w:hint="eastAsia"/>
          <w:color w:val="auto"/>
          <w:sz w:val="24"/>
          <w:szCs w:val="32"/>
          <w:lang w:eastAsia="zh-CN"/>
        </w:rPr>
        <w:t>督查等</w:t>
      </w:r>
      <w:r>
        <w:rPr>
          <w:rFonts w:ascii="Arial" w:eastAsia="黑体" w:hAnsi="Arial" w:hint="eastAsia"/>
          <w:color w:val="auto"/>
          <w:sz w:val="24"/>
          <w:szCs w:val="32"/>
        </w:rPr>
        <w:t>工作支出</w:t>
      </w:r>
      <w:r>
        <w:rPr>
          <w:rFonts w:ascii="Arial" w:eastAsia="黑体" w:hAnsi="Arial" w:hint="eastAsia"/>
          <w:color w:val="auto"/>
          <w:sz w:val="24"/>
          <w:szCs w:val="32"/>
          <w:lang w:val="en-US" w:eastAsia="zh-CN"/>
        </w:rPr>
        <w:t>1.5</w:t>
      </w:r>
      <w:r>
        <w:rPr>
          <w:rFonts w:ascii="Arial" w:eastAsia="黑体" w:hAnsi="Arial" w:hint="eastAsia"/>
          <w:color w:val="auto"/>
          <w:sz w:val="24"/>
          <w:szCs w:val="32"/>
        </w:rPr>
        <w:t>万元。</w:t>
      </w:r>
    </w:p>
    <w:p>
      <w:pPr>
        <w:snapToGrid/>
        <w:spacing w:beforeAutospacing="0" w:after="80" w:afterAutospacing="0" w:line="360" w:lineRule="auto"/>
        <w:ind w:left="0" w:firstLineChars="200" w:firstLine="480"/>
        <w:rPr>
          <w:rFonts w:ascii="Arial" w:eastAsia="黑体" w:hAnsi="Arial" w:hint="eastAsia"/>
          <w:color w:val="auto"/>
          <w:sz w:val="24"/>
          <w:szCs w:val="32"/>
          <w:lang w:eastAsia="zh-CN"/>
        </w:rPr>
      </w:pPr>
      <w:r>
        <w:rPr>
          <w:rFonts w:ascii="Arial" w:eastAsia="黑体" w:hAnsi="Arial" w:hint="eastAsia"/>
          <w:b/>
          <w:color w:val="auto"/>
          <w:sz w:val="24"/>
          <w:szCs w:val="32"/>
        </w:rPr>
        <w:t>外事接待支出</w:t>
      </w:r>
      <w:r>
        <w:rPr>
          <w:rFonts w:ascii="Arial" w:eastAsia="黑体" w:hAnsi="Arial" w:hint="eastAsia"/>
          <w:b/>
          <w:color w:val="auto"/>
          <w:sz w:val="24"/>
          <w:szCs w:val="32"/>
          <w:lang w:val="en-US" w:eastAsia="zh-CN"/>
        </w:rPr>
        <w:t>0</w:t>
      </w:r>
      <w:r>
        <w:rPr>
          <w:rFonts w:ascii="Arial" w:eastAsia="黑体" w:hAnsi="Arial" w:hint="eastAsia"/>
          <w:color w:val="auto"/>
          <w:sz w:val="24"/>
          <w:szCs w:val="32"/>
        </w:rPr>
        <w:t>万元，</w:t>
      </w:r>
      <w:bookmarkStart w:id="68" w:name="_Toc15377218"/>
      <w:bookmarkStart w:id="69" w:name="_Toc15396610"/>
      <w:r>
        <w:rPr>
          <w:rFonts w:ascii="Arial" w:eastAsia="黑体" w:hAnsi="Arial" w:hint="eastAsia"/>
          <w:color w:val="auto"/>
          <w:sz w:val="24"/>
          <w:szCs w:val="32"/>
          <w:lang w:eastAsia="zh-CN"/>
        </w:rPr>
        <w:t>年初未安排预算。</w:t>
      </w:r>
    </w:p>
    <w:p>
      <w:pPr>
        <w:snapToGrid/>
        <w:spacing w:before="80" w:beforeAutospacing="0" w:afterAutospacing="0" w:line="360" w:lineRule="auto"/>
        <w:ind w:left="0" w:right="0" w:firstLine="0"/>
        <w:jc w:val="left"/>
        <w:outlineLvl w:val="1"/>
        <w:rPr>
          <w:rStyle w:val="2Char"/>
          <w:rFonts w:ascii="Times New Roman" w:eastAsia="汉仪中宋简" w:hAnsi="Times New Roman"/>
          <w:b w:val="0"/>
          <w:color w:val="auto"/>
          <w:sz w:val="28"/>
        </w:rPr>
      </w:pPr>
      <w:bookmarkStart w:id="70" w:name="_Toc21856"/>
      <w:r>
        <w:rPr>
          <w:rFonts w:ascii="Times New Roman" w:eastAsia="汉仪中宋简" w:hAnsi="Times New Roman" w:hint="eastAsia"/>
          <w:b w:val="0"/>
          <w:color w:val="auto"/>
          <w:sz w:val="28"/>
          <w:szCs w:val="32"/>
        </w:rPr>
        <w:t>八、</w:t>
      </w:r>
      <w:r>
        <w:rPr>
          <w:rStyle w:val="2Char"/>
          <w:rFonts w:ascii="Times New Roman" w:eastAsia="汉仪中宋简" w:hAnsi="Times New Roman" w:hint="eastAsia"/>
          <w:b w:val="0"/>
          <w:color w:val="auto"/>
          <w:sz w:val="28"/>
        </w:rPr>
        <w:t>政府性基金预算支出决算情况说明</w:t>
      </w:r>
      <w:bookmarkEnd w:id="68"/>
      <w:bookmarkEnd w:id="69"/>
      <w:bookmarkEnd w:id="70"/>
    </w:p>
    <w:p>
      <w:pPr>
        <w:snapToGrid/>
        <w:spacing w:beforeAutospacing="0" w:after="80" w:afterAutospacing="0" w:line="360" w:lineRule="auto"/>
        <w:ind w:left="0" w:firstLineChars="200" w:firstLine="480"/>
        <w:rPr>
          <w:rFonts w:ascii="Arial" w:eastAsia="黑体" w:hAnsi="Arial"/>
          <w:color w:val="auto"/>
          <w:sz w:val="24"/>
          <w:szCs w:val="32"/>
        </w:rPr>
      </w:pPr>
      <w:r>
        <w:rPr>
          <w:rFonts w:ascii="Arial" w:eastAsia="黑体" w:hAnsi="Arial"/>
          <w:color w:val="auto"/>
          <w:sz w:val="24"/>
          <w:szCs w:val="32"/>
        </w:rPr>
        <w:t>2020</w:t>
      </w:r>
      <w:r>
        <w:rPr>
          <w:rFonts w:ascii="Arial" w:eastAsia="黑体" w:hAnsi="Arial" w:hint="eastAsia"/>
          <w:color w:val="auto"/>
          <w:sz w:val="24"/>
          <w:szCs w:val="32"/>
        </w:rPr>
        <w:t>年政府性基金预算拨款支出</w:t>
      </w:r>
      <w:r>
        <w:rPr>
          <w:rFonts w:ascii="Arial" w:eastAsia="黑体" w:hAnsi="Arial" w:hint="eastAsia"/>
          <w:color w:val="auto"/>
          <w:sz w:val="24"/>
          <w:szCs w:val="32"/>
          <w:lang w:val="en-US" w:eastAsia="zh-CN"/>
        </w:rPr>
        <w:t>21.5</w:t>
      </w:r>
      <w:r>
        <w:rPr>
          <w:rFonts w:ascii="Arial" w:eastAsia="黑体" w:hAnsi="Arial" w:hint="eastAsia"/>
          <w:color w:val="auto"/>
          <w:sz w:val="24"/>
          <w:szCs w:val="32"/>
        </w:rPr>
        <w:t>万元。</w:t>
      </w:r>
    </w:p>
    <w:p>
      <w:pPr>
        <w:numPr>
          <w:ilvl w:val="0"/>
          <w:numId w:val="4"/>
        </w:numPr>
        <w:snapToGrid/>
        <w:spacing w:before="80" w:beforeAutospacing="0" w:afterAutospacing="0" w:line="360" w:lineRule="auto"/>
        <w:ind w:left="0" w:right="0" w:firstLine="0"/>
        <w:jc w:val="left"/>
        <w:outlineLvl w:val="1"/>
        <w:rPr>
          <w:rStyle w:val="2Char"/>
          <w:rFonts w:ascii="Times New Roman" w:eastAsia="汉仪中宋简" w:hAnsi="Times New Roman"/>
          <w:b w:val="0"/>
          <w:sz w:val="28"/>
        </w:rPr>
      </w:pPr>
      <w:bookmarkStart w:id="71" w:name="_Toc15377219"/>
      <w:bookmarkStart w:id="72" w:name="_Toc15396611"/>
      <w:bookmarkStart w:id="73" w:name="_Toc15612"/>
      <w:r>
        <w:rPr>
          <w:rStyle w:val="2Char"/>
          <w:rFonts w:ascii="Times New Roman" w:eastAsia="汉仪中宋简" w:hAnsi="Times New Roman" w:hint="eastAsia"/>
          <w:b w:val="0"/>
          <w:sz w:val="28"/>
        </w:rPr>
        <w:t>国有资本经营预算支出决算情况说明</w:t>
      </w:r>
      <w:bookmarkEnd w:id="71"/>
      <w:bookmarkEnd w:id="72"/>
      <w:bookmarkEnd w:id="73"/>
    </w:p>
    <w:p>
      <w:pPr>
        <w:snapToGrid/>
        <w:spacing w:beforeAutospacing="0" w:after="80" w:afterAutospacing="0" w:line="360" w:lineRule="auto"/>
        <w:ind w:left="0" w:firstLineChars="200" w:firstLine="480"/>
        <w:rPr>
          <w:rFonts w:ascii="Arial" w:eastAsia="黑体" w:cs="方正小标宋简体" w:hAnsi="Arial"/>
          <w:color w:val="auto"/>
          <w:sz w:val="24"/>
          <w:szCs w:val="44"/>
        </w:rPr>
      </w:pPr>
      <w:r>
        <w:rPr>
          <w:rFonts w:ascii="Arial" w:eastAsia="黑体" w:hAnsi="Arial"/>
          <w:color w:val="auto"/>
          <w:sz w:val="24"/>
          <w:szCs w:val="32"/>
        </w:rPr>
        <w:t>2020</w:t>
      </w:r>
      <w:r>
        <w:rPr>
          <w:rFonts w:ascii="Arial" w:eastAsia="黑体" w:hAnsi="Arial" w:hint="eastAsia"/>
          <w:color w:val="auto"/>
          <w:sz w:val="24"/>
          <w:szCs w:val="32"/>
        </w:rPr>
        <w:t>年国有资本经营预算拨款支出</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w:t>
      </w:r>
    </w:p>
    <w:p>
      <w:pPr>
        <w:snapToGrid/>
        <w:spacing w:before="80" w:beforeAutospacing="0" w:afterAutospacing="0" w:line="360" w:lineRule="auto"/>
        <w:ind w:left="0" w:right="0" w:firstLine="0"/>
        <w:jc w:val="left"/>
        <w:outlineLvl w:val="1"/>
        <w:rPr>
          <w:rStyle w:val="2Char"/>
          <w:rFonts w:ascii="Times New Roman" w:eastAsia="汉仪中宋简" w:hAnsi="Times New Roman"/>
          <w:b w:val="0"/>
          <w:color w:val="auto"/>
          <w:sz w:val="28"/>
        </w:rPr>
      </w:pPr>
      <w:bookmarkStart w:id="74" w:name="_Toc15396612"/>
      <w:bookmarkStart w:id="75" w:name="_Toc15377221"/>
      <w:bookmarkStart w:id="76" w:name="_Toc10316"/>
      <w:r>
        <w:rPr>
          <w:rFonts w:ascii="Times New Roman" w:eastAsia="汉仪中宋简" w:hAnsi="Times New Roman" w:hint="eastAsia"/>
          <w:b w:val="0"/>
          <w:color w:val="auto"/>
          <w:sz w:val="28"/>
          <w:szCs w:val="32"/>
        </w:rPr>
        <w:t>十</w:t>
      </w:r>
      <w:r>
        <w:rPr>
          <w:rStyle w:val="2Char"/>
          <w:rFonts w:ascii="Times New Roman" w:eastAsia="汉仪中宋简" w:hAnsi="Times New Roman" w:hint="eastAsia"/>
          <w:b w:val="0"/>
          <w:color w:val="auto"/>
          <w:sz w:val="28"/>
        </w:rPr>
        <w:t>、其他重要事项的情况说明</w:t>
      </w:r>
      <w:bookmarkEnd w:id="74"/>
      <w:bookmarkEnd w:id="75"/>
      <w:bookmarkEnd w:id="76"/>
    </w:p>
    <w:p>
      <w:pPr>
        <w:snapToGrid/>
        <w:spacing w:before="80" w:beforeAutospacing="0" w:afterAutospacing="0" w:line="240" w:lineRule="auto"/>
        <w:ind w:left="0" w:right="0" w:firstLine="0"/>
        <w:jc w:val="left"/>
        <w:outlineLvl w:val="2"/>
        <w:rPr>
          <w:rFonts w:ascii="Times New Roman" w:eastAsia="汉仪中宋简" w:hAnsi="Times New Roman"/>
          <w:b w:val="0"/>
          <w:color w:val="auto"/>
          <w:sz w:val="26"/>
          <w:szCs w:val="32"/>
        </w:rPr>
      </w:pPr>
      <w:bookmarkStart w:id="77" w:name="_Toc15377222"/>
      <w:bookmarkStart w:id="78" w:name="_Toc19428"/>
      <w:r>
        <w:rPr>
          <w:rFonts w:ascii="Times New Roman" w:eastAsia="汉仪中宋简" w:hAnsi="Times New Roman" w:hint="eastAsia"/>
          <w:b w:val="0"/>
          <w:color w:val="auto"/>
          <w:sz w:val="26"/>
          <w:szCs w:val="32"/>
        </w:rPr>
        <w:t>（一）机关运行经费支出情况</w:t>
      </w:r>
      <w:bookmarkEnd w:id="77"/>
      <w:bookmarkEnd w:id="78"/>
    </w:p>
    <w:p>
      <w:pPr>
        <w:snapToGrid/>
        <w:spacing w:beforeAutospacing="0" w:after="80" w:afterAutospacing="0" w:line="360" w:lineRule="auto"/>
        <w:ind w:left="0" w:firstLineChars="200" w:firstLine="480"/>
        <w:rPr>
          <w:rFonts w:ascii="Arial" w:eastAsia="黑体" w:hAnsi="Arial" w:hint="eastAsia"/>
          <w:color w:val="auto"/>
          <w:sz w:val="24"/>
          <w:szCs w:val="32"/>
        </w:rPr>
      </w:pPr>
      <w:r>
        <w:rPr>
          <w:rFonts w:ascii="Arial" w:eastAsia="黑体" w:hAnsi="Arial"/>
          <w:color w:val="auto"/>
          <w:sz w:val="24"/>
          <w:szCs w:val="32"/>
        </w:rPr>
        <w:t>2020</w:t>
      </w:r>
      <w:r>
        <w:rPr>
          <w:rFonts w:ascii="Arial" w:eastAsia="黑体" w:hAnsi="Arial" w:hint="eastAsia"/>
          <w:color w:val="auto"/>
          <w:sz w:val="24"/>
          <w:szCs w:val="32"/>
        </w:rPr>
        <w:t>年，</w:t>
      </w:r>
      <w:r>
        <w:rPr>
          <w:rFonts w:ascii="Arial" w:eastAsia="黑体" w:hAnsi="Arial" w:hint="eastAsia"/>
          <w:color w:val="auto"/>
          <w:sz w:val="24"/>
          <w:szCs w:val="32"/>
          <w:lang w:eastAsia="zh-CN"/>
        </w:rPr>
        <w:t>区残联</w:t>
      </w:r>
      <w:r>
        <w:rPr>
          <w:rFonts w:ascii="Arial" w:eastAsia="黑体" w:hAnsi="Arial" w:hint="eastAsia"/>
          <w:color w:val="auto"/>
          <w:sz w:val="24"/>
          <w:szCs w:val="32"/>
        </w:rPr>
        <w:t>机关运行经费支出</w:t>
      </w:r>
      <w:r>
        <w:rPr>
          <w:rFonts w:ascii="Arial" w:eastAsia="黑体" w:hAnsi="Arial" w:hint="eastAsia"/>
          <w:color w:val="auto"/>
          <w:sz w:val="24"/>
          <w:szCs w:val="32"/>
          <w:lang w:val="en-US" w:eastAsia="zh-CN"/>
        </w:rPr>
        <w:t>21.18</w:t>
      </w:r>
      <w:r>
        <w:rPr>
          <w:rFonts w:ascii="Arial" w:eastAsia="黑体" w:hAnsi="Arial" w:hint="eastAsia"/>
          <w:color w:val="auto"/>
          <w:sz w:val="24"/>
          <w:szCs w:val="32"/>
        </w:rPr>
        <w:t>万元，比201</w:t>
      </w:r>
      <w:r>
        <w:rPr>
          <w:rFonts w:ascii="Arial" w:eastAsia="黑体" w:hAnsi="Arial" w:hint="eastAsia"/>
          <w:color w:val="auto"/>
          <w:sz w:val="24"/>
          <w:szCs w:val="32"/>
          <w:lang w:val="en-US" w:eastAsia="zh-CN"/>
        </w:rPr>
        <w:t>9</w:t>
      </w:r>
      <w:r>
        <w:rPr>
          <w:rFonts w:ascii="Arial" w:eastAsia="黑体" w:hAnsi="Arial" w:hint="eastAsia"/>
          <w:color w:val="auto"/>
          <w:sz w:val="24"/>
          <w:szCs w:val="32"/>
        </w:rPr>
        <w:t>年</w:t>
      </w:r>
      <w:r>
        <w:rPr>
          <w:rFonts w:ascii="Arial" w:eastAsia="黑体" w:hAnsi="Arial" w:hint="eastAsia"/>
          <w:color w:val="auto"/>
          <w:sz w:val="24"/>
          <w:szCs w:val="32"/>
          <w:lang w:eastAsia="zh-CN"/>
        </w:rPr>
        <w:t>减少了</w:t>
      </w:r>
      <w:r>
        <w:rPr>
          <w:rFonts w:ascii="Arial" w:eastAsia="黑体" w:hAnsi="Arial" w:hint="eastAsia"/>
          <w:color w:val="auto"/>
          <w:sz w:val="24"/>
          <w:szCs w:val="32"/>
          <w:lang w:val="en-US" w:eastAsia="zh-CN"/>
        </w:rPr>
        <w:t>1.7</w:t>
      </w:r>
      <w:r>
        <w:rPr>
          <w:rFonts w:ascii="Arial" w:eastAsia="黑体" w:hAnsi="Arial" w:hint="eastAsia"/>
          <w:color w:val="auto"/>
          <w:sz w:val="24"/>
          <w:szCs w:val="32"/>
        </w:rPr>
        <w:t>万元，</w:t>
      </w:r>
      <w:r>
        <w:rPr>
          <w:rFonts w:ascii="Arial" w:eastAsia="黑体" w:hAnsi="Arial" w:hint="eastAsia"/>
          <w:color w:val="auto"/>
          <w:sz w:val="24"/>
          <w:szCs w:val="32"/>
          <w:lang w:eastAsia="zh-CN"/>
        </w:rPr>
        <w:t>下降了</w:t>
      </w:r>
      <w:r>
        <w:rPr>
          <w:rFonts w:ascii="Arial" w:eastAsia="黑体" w:hAnsi="Arial" w:hint="eastAsia"/>
          <w:color w:val="auto"/>
          <w:sz w:val="24"/>
          <w:szCs w:val="32"/>
          <w:lang w:val="en-US" w:eastAsia="zh-CN"/>
        </w:rPr>
        <w:t>7.4</w:t>
      </w:r>
      <w:r>
        <w:rPr>
          <w:rFonts w:ascii="Arial" w:eastAsia="黑体" w:hAnsi="Arial" w:hint="eastAsia"/>
          <w:color w:val="auto"/>
          <w:sz w:val="24"/>
          <w:szCs w:val="32"/>
        </w:rPr>
        <w:t>%</w:t>
      </w:r>
      <w:r>
        <w:rPr>
          <w:rFonts w:ascii="Arial" w:eastAsia="黑体" w:hAnsi="Arial" w:hint="eastAsia"/>
          <w:color w:val="auto"/>
          <w:sz w:val="24"/>
          <w:szCs w:val="32"/>
          <w:lang w:eastAsia="zh-CN"/>
        </w:rPr>
        <w:t>，主要原因是控制经费</w:t>
      </w:r>
      <w:r>
        <w:rPr>
          <w:rFonts w:ascii="Arial" w:eastAsia="黑体" w:hAnsi="Arial" w:hint="eastAsia"/>
          <w:color w:val="auto"/>
          <w:sz w:val="24"/>
          <w:szCs w:val="32"/>
        </w:rPr>
        <w:t>。</w:t>
      </w:r>
    </w:p>
    <w:p>
      <w:pPr>
        <w:autoSpaceDE w:val="0"/>
        <w:autoSpaceDN w:val="0"/>
        <w:adjustRightInd w:val="0"/>
        <w:snapToGrid/>
        <w:spacing w:before="80" w:beforeAutospacing="0" w:afterAutospacing="0" w:line="240" w:lineRule="auto"/>
        <w:ind w:left="0" w:right="0" w:firstLine="0"/>
        <w:jc w:val="left"/>
        <w:outlineLvl w:val="2"/>
        <w:rPr>
          <w:rFonts w:ascii="Times New Roman" w:eastAsia="汉仪中宋简" w:hAnsi="Times New Roman"/>
          <w:b w:val="0"/>
          <w:color w:val="auto"/>
          <w:sz w:val="26"/>
          <w:szCs w:val="32"/>
        </w:rPr>
      </w:pPr>
      <w:bookmarkStart w:id="79" w:name="_Toc15377223"/>
      <w:bookmarkStart w:id="80" w:name="_Toc3248"/>
      <w:r>
        <w:rPr>
          <w:rFonts w:ascii="Times New Roman" w:eastAsia="汉仪中宋简" w:hAnsi="Times New Roman" w:hint="eastAsia"/>
          <w:b w:val="0"/>
          <w:color w:val="auto"/>
          <w:sz w:val="26"/>
          <w:szCs w:val="32"/>
        </w:rPr>
        <w:t>（二）政府采购支出情况</w:t>
      </w:r>
      <w:bookmarkEnd w:id="79"/>
      <w:bookmarkEnd w:id="80"/>
    </w:p>
    <w:p>
      <w:pPr>
        <w:snapToGrid/>
        <w:spacing w:beforeAutospacing="0" w:after="80" w:afterAutospacing="0" w:line="360" w:lineRule="auto"/>
        <w:ind w:left="0" w:firstLineChars="200" w:firstLine="480"/>
        <w:rPr>
          <w:rFonts w:ascii="Arial" w:eastAsia="黑体" w:hAnsi="Arial"/>
          <w:color w:val="auto"/>
          <w:sz w:val="24"/>
          <w:szCs w:val="32"/>
        </w:rPr>
      </w:pPr>
      <w:r>
        <w:rPr>
          <w:rFonts w:ascii="Arial" w:eastAsia="黑体" w:hAnsi="Arial"/>
          <w:color w:val="auto"/>
          <w:sz w:val="24"/>
          <w:szCs w:val="32"/>
        </w:rPr>
        <w:t>2020</w:t>
      </w:r>
      <w:r>
        <w:rPr>
          <w:rFonts w:ascii="Arial" w:eastAsia="黑体" w:hAnsi="Arial" w:hint="eastAsia"/>
          <w:color w:val="auto"/>
          <w:sz w:val="24"/>
          <w:szCs w:val="32"/>
        </w:rPr>
        <w:t>年，</w:t>
      </w:r>
      <w:r>
        <w:rPr>
          <w:rFonts w:ascii="Arial" w:eastAsia="黑体" w:hAnsi="Arial" w:hint="eastAsia"/>
          <w:color w:val="auto"/>
          <w:sz w:val="24"/>
          <w:szCs w:val="32"/>
          <w:lang w:eastAsia="zh-CN"/>
        </w:rPr>
        <w:t>区残联</w:t>
      </w:r>
      <w:r>
        <w:rPr>
          <w:rFonts w:ascii="Arial" w:eastAsia="黑体" w:hAnsi="Arial" w:hint="eastAsia"/>
          <w:color w:val="auto"/>
          <w:sz w:val="24"/>
          <w:szCs w:val="32"/>
        </w:rPr>
        <w:t>政府采购支出总额</w:t>
      </w:r>
      <w:r>
        <w:rPr>
          <w:rFonts w:ascii="Arial" w:eastAsia="黑体" w:hAnsi="Arial" w:hint="eastAsia"/>
          <w:color w:val="auto"/>
          <w:sz w:val="24"/>
          <w:szCs w:val="32"/>
          <w:lang w:val="en-US" w:eastAsia="zh-CN"/>
        </w:rPr>
        <w:t>37.25</w:t>
      </w:r>
      <w:r>
        <w:rPr>
          <w:rFonts w:ascii="Arial" w:eastAsia="黑体" w:hAnsi="Arial" w:hint="eastAsia"/>
          <w:color w:val="auto"/>
          <w:sz w:val="24"/>
          <w:szCs w:val="32"/>
        </w:rPr>
        <w:t>万元，其中：政府采购货物支出</w:t>
      </w:r>
      <w:r>
        <w:rPr>
          <w:rFonts w:ascii="Arial" w:eastAsia="黑体" w:hAnsi="Arial" w:hint="eastAsia"/>
          <w:color w:val="auto"/>
          <w:sz w:val="24"/>
          <w:szCs w:val="32"/>
          <w:lang w:val="en-US" w:eastAsia="zh-CN"/>
        </w:rPr>
        <w:t>37.25</w:t>
      </w:r>
      <w:r>
        <w:rPr>
          <w:rFonts w:ascii="Arial" w:eastAsia="黑体" w:hAnsi="Arial" w:hint="eastAsia"/>
          <w:color w:val="auto"/>
          <w:sz w:val="24"/>
          <w:szCs w:val="32"/>
        </w:rPr>
        <w:t>万元、政府采购工程支出</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万元、政府采购服务支出</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万元。主要用于</w:t>
      </w:r>
      <w:r>
        <w:rPr>
          <w:rFonts w:ascii="Arial" w:eastAsia="黑体" w:hAnsi="Arial" w:hint="eastAsia"/>
          <w:color w:val="auto"/>
          <w:sz w:val="24"/>
          <w:szCs w:val="32"/>
          <w:lang w:eastAsia="zh-CN"/>
        </w:rPr>
        <w:t>残疾人居家无障碍改造和残疾人辅助器具采购</w:t>
      </w:r>
      <w:r>
        <w:rPr>
          <w:rFonts w:ascii="Arial" w:eastAsia="黑体" w:hAnsi="Arial" w:hint="eastAsia"/>
          <w:color w:val="auto"/>
          <w:sz w:val="24"/>
          <w:szCs w:val="32"/>
        </w:rPr>
        <w:t>。授予中小企业合同金额</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万元，占政府采购支出总额的</w:t>
      </w:r>
      <w:r>
        <w:rPr>
          <w:rFonts w:ascii="Arial" w:eastAsia="黑体" w:hAnsi="Arial" w:hint="eastAsia"/>
          <w:color w:val="auto"/>
          <w:sz w:val="24"/>
          <w:szCs w:val="32"/>
          <w:lang w:val="en-US" w:eastAsia="zh-CN"/>
        </w:rPr>
        <w:t>0</w:t>
      </w:r>
      <w:r>
        <w:rPr>
          <w:rFonts w:ascii="Arial" w:eastAsia="黑体" w:hAnsi="Arial"/>
          <w:color w:val="auto"/>
          <w:sz w:val="24"/>
          <w:szCs w:val="32"/>
        </w:rPr>
        <w:t>%</w:t>
      </w:r>
      <w:r>
        <w:rPr>
          <w:rFonts w:ascii="Arial" w:eastAsia="黑体" w:hAnsi="Arial" w:hint="eastAsia"/>
          <w:color w:val="auto"/>
          <w:sz w:val="24"/>
          <w:szCs w:val="32"/>
        </w:rPr>
        <w:t>，其中：授予小微企业合同金额</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万元，占政府采购支出总额的</w:t>
      </w:r>
      <w:r>
        <w:rPr>
          <w:rFonts w:ascii="Arial" w:eastAsia="黑体" w:hAnsi="Arial" w:hint="eastAsia"/>
          <w:color w:val="auto"/>
          <w:sz w:val="24"/>
          <w:szCs w:val="32"/>
          <w:lang w:val="en-US" w:eastAsia="zh-CN"/>
        </w:rPr>
        <w:t>0</w:t>
      </w:r>
      <w:r>
        <w:rPr>
          <w:rFonts w:ascii="Arial" w:eastAsia="黑体" w:hAnsi="Arial"/>
          <w:color w:val="auto"/>
          <w:sz w:val="24"/>
          <w:szCs w:val="32"/>
        </w:rPr>
        <w:t>%</w:t>
      </w:r>
      <w:r>
        <w:rPr>
          <w:rFonts w:ascii="Arial" w:eastAsia="黑体" w:hAnsi="Arial" w:hint="eastAsia"/>
          <w:color w:val="auto"/>
          <w:sz w:val="24"/>
          <w:szCs w:val="32"/>
        </w:rPr>
        <w:t>。</w:t>
      </w:r>
    </w:p>
    <w:p>
      <w:pPr>
        <w:autoSpaceDE w:val="0"/>
        <w:autoSpaceDN w:val="0"/>
        <w:adjustRightInd w:val="0"/>
        <w:snapToGrid/>
        <w:spacing w:before="80" w:beforeAutospacing="0" w:afterAutospacing="0" w:line="240" w:lineRule="auto"/>
        <w:ind w:left="0" w:right="0" w:firstLine="0"/>
        <w:jc w:val="left"/>
        <w:outlineLvl w:val="2"/>
        <w:rPr>
          <w:rFonts w:ascii="Times New Roman" w:eastAsia="汉仪中宋简" w:hAnsi="Times New Roman"/>
          <w:b w:val="0"/>
          <w:color w:val="auto"/>
          <w:sz w:val="26"/>
          <w:szCs w:val="32"/>
        </w:rPr>
      </w:pPr>
      <w:bookmarkStart w:id="81" w:name="_Toc15377224"/>
      <w:bookmarkStart w:id="82" w:name="_Toc29441"/>
      <w:r>
        <w:rPr>
          <w:rFonts w:ascii="Times New Roman" w:eastAsia="汉仪中宋简" w:hAnsi="Times New Roman" w:hint="eastAsia"/>
          <w:b w:val="0"/>
          <w:color w:val="auto"/>
          <w:sz w:val="26"/>
          <w:szCs w:val="32"/>
        </w:rPr>
        <w:t>（三）国有资产占有使用情况</w:t>
      </w:r>
      <w:bookmarkEnd w:id="81"/>
      <w:bookmarkEnd w:id="82"/>
    </w:p>
    <w:p>
      <w:pPr>
        <w:autoSpaceDE w:val="0"/>
        <w:autoSpaceDN w:val="0"/>
        <w:adjustRightInd w:val="0"/>
        <w:snapToGrid/>
        <w:spacing w:beforeAutospacing="0" w:after="80" w:afterAutospacing="0" w:line="360" w:lineRule="auto"/>
        <w:ind w:left="0" w:firstLineChars="200" w:firstLine="480"/>
        <w:jc w:val="left"/>
        <w:rPr>
          <w:rFonts w:ascii="Arial" w:eastAsia="黑体" w:hAnsi="Arial"/>
          <w:b/>
          <w:color w:val="auto"/>
          <w:sz w:val="24"/>
          <w:szCs w:val="32"/>
        </w:rPr>
      </w:pPr>
      <w:r>
        <w:rPr>
          <w:rFonts w:ascii="Arial" w:eastAsia="黑体" w:hAnsi="Arial" w:hint="eastAsia"/>
          <w:color w:val="auto"/>
          <w:sz w:val="24"/>
          <w:szCs w:val="32"/>
        </w:rPr>
        <w:t>截至</w:t>
      </w:r>
      <w:r>
        <w:rPr>
          <w:rFonts w:ascii="Arial" w:eastAsia="黑体" w:hAnsi="Arial"/>
          <w:color w:val="auto"/>
          <w:sz w:val="24"/>
          <w:szCs w:val="32"/>
        </w:rPr>
        <w:t>2020</w:t>
      </w:r>
      <w:r>
        <w:rPr>
          <w:rFonts w:ascii="Arial" w:eastAsia="黑体" w:hAnsi="Arial" w:hint="eastAsia"/>
          <w:color w:val="auto"/>
          <w:sz w:val="24"/>
          <w:szCs w:val="32"/>
        </w:rPr>
        <w:t>年</w:t>
      </w:r>
      <w:r>
        <w:rPr>
          <w:rFonts w:ascii="Arial" w:eastAsia="黑体" w:hAnsi="Arial"/>
          <w:color w:val="auto"/>
          <w:sz w:val="24"/>
          <w:szCs w:val="32"/>
        </w:rPr>
        <w:t>12</w:t>
      </w:r>
      <w:r>
        <w:rPr>
          <w:rFonts w:ascii="Arial" w:eastAsia="黑体" w:hAnsi="Arial" w:hint="eastAsia"/>
          <w:color w:val="auto"/>
          <w:sz w:val="24"/>
          <w:szCs w:val="32"/>
        </w:rPr>
        <w:t>月</w:t>
      </w:r>
      <w:r>
        <w:rPr>
          <w:rFonts w:ascii="Arial" w:eastAsia="黑体" w:hAnsi="Arial"/>
          <w:color w:val="auto"/>
          <w:sz w:val="24"/>
          <w:szCs w:val="32"/>
        </w:rPr>
        <w:t>31</w:t>
      </w:r>
      <w:r>
        <w:rPr>
          <w:rFonts w:ascii="Arial" w:eastAsia="黑体" w:hAnsi="Arial" w:hint="eastAsia"/>
          <w:color w:val="auto"/>
          <w:sz w:val="24"/>
          <w:szCs w:val="32"/>
        </w:rPr>
        <w:t>日，</w:t>
      </w:r>
      <w:r>
        <w:rPr>
          <w:rFonts w:ascii="Arial" w:eastAsia="黑体" w:hAnsi="Arial" w:hint="eastAsia"/>
          <w:color w:val="auto"/>
          <w:sz w:val="24"/>
          <w:szCs w:val="32"/>
          <w:lang w:eastAsia="zh-CN"/>
        </w:rPr>
        <w:t>区残联</w:t>
      </w:r>
      <w:r>
        <w:rPr>
          <w:rFonts w:ascii="Arial" w:eastAsia="黑体" w:hAnsi="Arial" w:hint="eastAsia"/>
          <w:color w:val="auto"/>
          <w:sz w:val="24"/>
          <w:szCs w:val="32"/>
        </w:rPr>
        <w:t>共有车辆</w:t>
      </w:r>
      <w:r>
        <w:rPr>
          <w:rFonts w:ascii="Arial" w:eastAsia="黑体" w:hAnsi="Arial" w:hint="eastAsia"/>
          <w:color w:val="auto"/>
          <w:sz w:val="24"/>
          <w:szCs w:val="32"/>
          <w:lang w:val="en-US" w:eastAsia="zh-CN"/>
        </w:rPr>
        <w:t>0</w:t>
      </w:r>
      <w:r>
        <w:rPr>
          <w:rFonts w:ascii="Arial" w:eastAsia="黑体" w:hAnsi="Arial" w:hint="eastAsia"/>
          <w:color w:val="auto"/>
          <w:sz w:val="24"/>
          <w:szCs w:val="32"/>
        </w:rPr>
        <w:t>辆，其中：主要领导干部用车</w:t>
      </w:r>
      <w:r>
        <w:rPr>
          <w:rFonts w:ascii="Arial" w:eastAsia="黑体" w:hAnsi="Arial" w:hint="eastAsia"/>
          <w:color w:val="auto"/>
          <w:sz w:val="24"/>
          <w:szCs w:val="32"/>
          <w:lang w:val="en-US" w:eastAsia="zh-CN"/>
        </w:rPr>
        <w:t>0</w:t>
      </w:r>
      <w:r>
        <w:rPr>
          <w:rFonts w:ascii="Arial" w:eastAsia="黑体" w:hAnsi="Arial" w:hint="eastAsia"/>
          <w:color w:val="auto"/>
          <w:sz w:val="24"/>
          <w:szCs w:val="32"/>
        </w:rPr>
        <w:t>辆、机要通信用车</w:t>
      </w:r>
      <w:r>
        <w:rPr>
          <w:rFonts w:ascii="Arial" w:eastAsia="黑体" w:hAnsi="Arial" w:hint="eastAsia"/>
          <w:color w:val="auto"/>
          <w:sz w:val="24"/>
          <w:szCs w:val="32"/>
          <w:lang w:val="en-US" w:eastAsia="zh-CN"/>
        </w:rPr>
        <w:t>0</w:t>
      </w:r>
      <w:r>
        <w:rPr>
          <w:rFonts w:ascii="Arial" w:eastAsia="黑体" w:hAnsi="Arial" w:hint="eastAsia"/>
          <w:color w:val="auto"/>
          <w:sz w:val="24"/>
          <w:szCs w:val="32"/>
        </w:rPr>
        <w:t>辆、应急保障用车</w:t>
      </w:r>
      <w:r>
        <w:rPr>
          <w:rFonts w:ascii="Arial" w:eastAsia="黑体" w:hAnsi="Arial" w:hint="eastAsia"/>
          <w:color w:val="auto"/>
          <w:sz w:val="24"/>
          <w:szCs w:val="32"/>
          <w:lang w:val="en-US" w:eastAsia="zh-CN"/>
        </w:rPr>
        <w:t>0</w:t>
      </w:r>
      <w:r>
        <w:rPr>
          <w:rFonts w:ascii="Arial" w:eastAsia="黑体" w:hAnsi="Arial" w:hint="eastAsia"/>
          <w:color w:val="auto"/>
          <w:sz w:val="24"/>
          <w:szCs w:val="32"/>
        </w:rPr>
        <w:t>辆、其他用车</w:t>
      </w:r>
      <w:r>
        <w:rPr>
          <w:rFonts w:ascii="Arial" w:eastAsia="黑体" w:hAnsi="Arial" w:hint="eastAsia"/>
          <w:color w:val="auto"/>
          <w:sz w:val="24"/>
          <w:szCs w:val="32"/>
          <w:lang w:val="en-US" w:eastAsia="zh-CN"/>
        </w:rPr>
        <w:t>0</w:t>
      </w:r>
      <w:r>
        <w:rPr>
          <w:rFonts w:ascii="Arial" w:eastAsia="黑体" w:hAnsi="Arial" w:hint="eastAsia"/>
          <w:color w:val="auto"/>
          <w:sz w:val="24"/>
          <w:szCs w:val="32"/>
        </w:rPr>
        <w:t>辆</w:t>
      </w:r>
      <w:r>
        <w:rPr>
          <w:rFonts w:ascii="Arial" w:eastAsia="黑体" w:hAnsi="Arial" w:hint="eastAsia"/>
          <w:color w:val="auto"/>
          <w:sz w:val="24"/>
          <w:szCs w:val="32"/>
          <w:lang w:eastAsia="zh-CN"/>
        </w:rPr>
        <w:t>，</w:t>
      </w:r>
      <w:r>
        <w:rPr>
          <w:rFonts w:ascii="Arial" w:eastAsia="黑体" w:hAnsi="Arial" w:hint="eastAsia"/>
          <w:color w:val="auto"/>
          <w:sz w:val="24"/>
          <w:szCs w:val="32"/>
        </w:rPr>
        <w:t>单价</w:t>
      </w:r>
      <w:r>
        <w:rPr>
          <w:rFonts w:ascii="Arial" w:eastAsia="黑体" w:hAnsi="Arial"/>
          <w:color w:val="auto"/>
          <w:sz w:val="24"/>
          <w:szCs w:val="32"/>
        </w:rPr>
        <w:t>50</w:t>
      </w:r>
      <w:r>
        <w:rPr>
          <w:rFonts w:ascii="Arial" w:eastAsia="黑体" w:hAnsi="Arial" w:hint="eastAsia"/>
          <w:color w:val="auto"/>
          <w:sz w:val="24"/>
          <w:szCs w:val="32"/>
        </w:rPr>
        <w:t>万元以上通用设备</w:t>
      </w:r>
      <w:r>
        <w:rPr>
          <w:rFonts w:ascii="Arial" w:eastAsia="黑体" w:hAnsi="Arial" w:hint="eastAsia"/>
          <w:color w:val="auto"/>
          <w:sz w:val="24"/>
          <w:szCs w:val="32"/>
          <w:lang w:val="en-US" w:eastAsia="zh-CN"/>
        </w:rPr>
        <w:t>0</w:t>
      </w:r>
      <w:r>
        <w:rPr>
          <w:rFonts w:ascii="Arial" w:eastAsia="黑体" w:hAnsi="Arial" w:hint="eastAsia"/>
          <w:color w:val="auto"/>
          <w:sz w:val="24"/>
          <w:szCs w:val="32"/>
        </w:rPr>
        <w:t>台（套），单价</w:t>
      </w:r>
      <w:r>
        <w:rPr>
          <w:rFonts w:ascii="Arial" w:eastAsia="黑体" w:hAnsi="Arial"/>
          <w:color w:val="auto"/>
          <w:sz w:val="24"/>
          <w:szCs w:val="32"/>
        </w:rPr>
        <w:t>100</w:t>
      </w:r>
      <w:r>
        <w:rPr>
          <w:rFonts w:ascii="Arial" w:eastAsia="黑体" w:hAnsi="Arial" w:hint="eastAsia"/>
          <w:color w:val="auto"/>
          <w:sz w:val="24"/>
          <w:szCs w:val="32"/>
        </w:rPr>
        <w:t>万元以上专用设备</w:t>
      </w:r>
      <w:r>
        <w:rPr>
          <w:rFonts w:ascii="Arial" w:eastAsia="黑体" w:hAnsi="Arial" w:hint="eastAsia"/>
          <w:color w:val="auto"/>
          <w:sz w:val="24"/>
          <w:szCs w:val="32"/>
          <w:lang w:val="en-US" w:eastAsia="zh-CN"/>
        </w:rPr>
        <w:t>0</w:t>
      </w:r>
      <w:r>
        <w:rPr>
          <w:rFonts w:ascii="Arial" w:eastAsia="黑体" w:hAnsi="Arial" w:hint="eastAsia"/>
          <w:color w:val="auto"/>
          <w:sz w:val="24"/>
          <w:szCs w:val="32"/>
        </w:rPr>
        <w:t>台（套）。</w:t>
      </w:r>
    </w:p>
    <w:p>
      <w:pPr>
        <w:autoSpaceDE w:val="0"/>
        <w:autoSpaceDN w:val="0"/>
        <w:adjustRightInd w:val="0"/>
        <w:snapToGrid/>
        <w:spacing w:before="80" w:beforeAutospacing="0" w:afterAutospacing="0" w:line="240" w:lineRule="auto"/>
        <w:ind w:left="0" w:right="0" w:firstLine="0"/>
        <w:jc w:val="left"/>
        <w:outlineLvl w:val="2"/>
        <w:rPr>
          <w:rFonts w:ascii="Times New Roman" w:eastAsia="汉仪中宋简" w:hAnsi="Times New Roman"/>
          <w:b w:val="0"/>
          <w:color w:val="auto"/>
          <w:sz w:val="26"/>
          <w:szCs w:val="32"/>
        </w:rPr>
      </w:pPr>
      <w:bookmarkStart w:id="83" w:name="_Toc930"/>
      <w:r>
        <w:rPr>
          <w:rFonts w:ascii="Times New Roman" w:eastAsia="汉仪中宋简" w:hAnsi="Times New Roman" w:hint="eastAsia"/>
          <w:b w:val="0"/>
          <w:color w:val="auto"/>
          <w:sz w:val="26"/>
          <w:szCs w:val="32"/>
        </w:rPr>
        <w:t>（四）预算绩效管理情况。</w:t>
      </w:r>
      <w:bookmarkEnd w:id="83"/>
    </w:p>
    <w:p>
      <w:pPr>
        <w:snapToGrid/>
        <w:spacing w:beforeAutospacing="0" w:after="80" w:afterAutospacing="0" w:line="360" w:lineRule="auto"/>
        <w:ind w:left="0" w:firstLineChars="200" w:firstLine="480"/>
        <w:rPr>
          <w:rFonts w:ascii="Arial" w:eastAsia="黑体" w:cs="仿宋_GB2312" w:hAnsi="Arial" w:hint="eastAsia"/>
          <w:sz w:val="24"/>
          <w:szCs w:val="32"/>
        </w:rPr>
      </w:pPr>
      <w:r>
        <w:rPr>
          <w:rFonts w:ascii="Arial" w:eastAsia="黑体" w:cs="仿宋_GB2312" w:hAnsi="Arial" w:hint="eastAsia"/>
          <w:sz w:val="24"/>
          <w:szCs w:val="32"/>
        </w:rPr>
        <w:t>根据预算绩效管理要求，本部门在年初预算编制阶段，组织对</w:t>
      </w:r>
      <w:r>
        <w:rPr>
          <w:rFonts w:ascii="Arial" w:eastAsia="黑体" w:cs="仿宋_GB2312" w:hAnsi="Arial" w:hint="eastAsia"/>
          <w:sz w:val="24"/>
          <w:szCs w:val="32"/>
          <w:lang w:eastAsia="zh-CN"/>
        </w:rPr>
        <w:t>残疾人扶贫对象生活补贴</w:t>
      </w:r>
      <w:r>
        <w:rPr>
          <w:rFonts w:ascii="Arial" w:eastAsia="黑体" w:cs="仿宋_GB2312" w:hAnsi="Arial" w:hint="eastAsia"/>
          <w:sz w:val="24"/>
          <w:szCs w:val="32"/>
        </w:rPr>
        <w:t>项目开展了预算事前绩效评估，对</w:t>
      </w:r>
      <w:r>
        <w:rPr>
          <w:rFonts w:ascii="Arial" w:eastAsia="黑体" w:cs="仿宋_GB2312" w:hAnsi="Arial" w:hint="eastAsia"/>
          <w:sz w:val="24"/>
          <w:szCs w:val="32"/>
          <w:lang w:val="en-US" w:eastAsia="zh-CN"/>
        </w:rPr>
        <w:t>1</w:t>
      </w:r>
      <w:r>
        <w:rPr>
          <w:rFonts w:ascii="Arial" w:eastAsia="黑体" w:cs="仿宋_GB2312" w:hAnsi="Arial" w:hint="eastAsia"/>
          <w:sz w:val="24"/>
          <w:szCs w:val="32"/>
        </w:rPr>
        <w:t>个项目编制了绩效目标，预算执行过程中，选取</w:t>
      </w:r>
      <w:r>
        <w:rPr>
          <w:rFonts w:ascii="Arial" w:eastAsia="黑体" w:cs="仿宋_GB2312" w:hAnsi="Arial" w:hint="eastAsia"/>
          <w:sz w:val="24"/>
          <w:szCs w:val="32"/>
          <w:lang w:val="en-US" w:eastAsia="zh-CN"/>
        </w:rPr>
        <w:t>1</w:t>
      </w:r>
      <w:r>
        <w:rPr>
          <w:rFonts w:ascii="Arial" w:eastAsia="黑体" w:cs="仿宋_GB2312" w:hAnsi="Arial" w:hint="eastAsia"/>
          <w:sz w:val="24"/>
          <w:szCs w:val="32"/>
        </w:rPr>
        <w:t>个项目开展绩效监控，年终执行完毕后，对</w:t>
      </w:r>
      <w:r>
        <w:rPr>
          <w:rFonts w:ascii="Arial" w:eastAsia="黑体" w:cs="仿宋_GB2312" w:hAnsi="Arial" w:hint="eastAsia"/>
          <w:sz w:val="24"/>
          <w:szCs w:val="32"/>
          <w:lang w:val="en-US" w:eastAsia="zh-CN"/>
        </w:rPr>
        <w:t>1</w:t>
      </w:r>
      <w:r>
        <w:rPr>
          <w:rFonts w:ascii="Arial" w:eastAsia="黑体" w:cs="仿宋_GB2312" w:hAnsi="Arial" w:hint="eastAsia"/>
          <w:sz w:val="24"/>
          <w:szCs w:val="32"/>
        </w:rPr>
        <w:t>个项目开展了绩效目标完成情况自评。</w:t>
      </w:r>
    </w:p>
    <w:p>
      <w:pPr>
        <w:snapToGrid/>
        <w:spacing w:beforeAutospacing="0" w:after="80" w:afterAutospacing="0" w:line="360" w:lineRule="auto"/>
        <w:ind w:left="0" w:firstLineChars="200" w:firstLine="480"/>
        <w:rPr>
          <w:rFonts w:ascii="Arial" w:eastAsia="黑体" w:cs="仿宋_GB2312" w:hAnsi="Arial"/>
          <w:color w:val="auto"/>
          <w:sz w:val="24"/>
          <w:szCs w:val="32"/>
        </w:rPr>
      </w:pPr>
      <w:r>
        <w:rPr>
          <w:rFonts w:ascii="Arial" w:eastAsia="黑体" w:cs="仿宋_GB2312" w:hAnsi="Arial" w:hint="eastAsia"/>
          <w:color w:val="auto"/>
          <w:sz w:val="24"/>
          <w:szCs w:val="32"/>
        </w:rPr>
        <w:t>本部门按要求对</w:t>
      </w:r>
      <w:r>
        <w:rPr>
          <w:rFonts w:ascii="Arial" w:eastAsia="黑体" w:cs="仿宋_GB2312" w:hAnsi="Arial"/>
          <w:color w:val="auto"/>
          <w:sz w:val="24"/>
          <w:szCs w:val="32"/>
        </w:rPr>
        <w:t>2020</w:t>
      </w:r>
      <w:r>
        <w:rPr>
          <w:rFonts w:ascii="Arial" w:eastAsia="黑体" w:cs="仿宋_GB2312" w:hAnsi="Arial" w:hint="eastAsia"/>
          <w:color w:val="auto"/>
          <w:sz w:val="24"/>
          <w:szCs w:val="32"/>
        </w:rPr>
        <w:t>年部门整体支出开展绩效自评，从评价情况来看</w:t>
      </w:r>
      <w:r>
        <w:rPr>
          <w:rFonts w:ascii="Arial" w:eastAsia="黑体" w:cs="仿宋_GB2312" w:hAnsi="Arial" w:hint="eastAsia"/>
          <w:color w:val="auto"/>
          <w:sz w:val="24"/>
          <w:szCs w:val="32"/>
          <w:lang w:eastAsia="zh-CN"/>
        </w:rPr>
        <w:t>按</w:t>
      </w:r>
      <w:r>
        <w:rPr>
          <w:rFonts w:ascii="Arial" w:eastAsia="黑体" w:hAnsi="Arial" w:hint="eastAsia"/>
          <w:color w:val="auto"/>
          <w:sz w:val="24"/>
          <w:szCs w:val="32"/>
        </w:rPr>
        <w:t>照预算绩效管理要求，本部门对20</w:t>
      </w:r>
      <w:r>
        <w:rPr>
          <w:rFonts w:ascii="Arial" w:eastAsia="黑体" w:hAnsi="Arial" w:hint="eastAsia"/>
          <w:color w:val="auto"/>
          <w:sz w:val="24"/>
          <w:szCs w:val="32"/>
          <w:lang w:val="en-US" w:eastAsia="zh-CN"/>
        </w:rPr>
        <w:t>20</w:t>
      </w:r>
      <w:r>
        <w:rPr>
          <w:rFonts w:ascii="Arial" w:eastAsia="黑体" w:hAnsi="Arial" w:hint="eastAsia"/>
          <w:color w:val="auto"/>
          <w:sz w:val="24"/>
          <w:szCs w:val="32"/>
        </w:rPr>
        <w:t>年整体支出开展绩效自评，自评得分</w:t>
      </w:r>
      <w:r>
        <w:rPr>
          <w:rFonts w:ascii="Arial" w:eastAsia="黑体" w:hAnsi="Arial" w:hint="eastAsia"/>
          <w:color w:val="auto"/>
          <w:sz w:val="24"/>
          <w:szCs w:val="32"/>
          <w:lang w:val="en-US" w:eastAsia="zh-CN"/>
        </w:rPr>
        <w:t>97</w:t>
      </w:r>
      <w:r>
        <w:rPr>
          <w:rFonts w:ascii="Arial" w:eastAsia="黑体" w:hAnsi="Arial" w:hint="eastAsia"/>
          <w:color w:val="auto"/>
          <w:sz w:val="24"/>
          <w:szCs w:val="32"/>
        </w:rPr>
        <w:t>分</w:t>
      </w:r>
      <w:r>
        <w:rPr>
          <w:rFonts w:ascii="Arial" w:eastAsia="黑体" w:cs="仿宋_GB2312" w:hAnsi="Arial" w:hint="eastAsia"/>
          <w:color w:val="auto"/>
          <w:sz w:val="24"/>
          <w:szCs w:val="32"/>
        </w:rPr>
        <w:t>。本部门还自行组织了</w:t>
      </w:r>
      <w:r>
        <w:rPr>
          <w:rFonts w:ascii="Arial" w:eastAsia="黑体" w:cs="仿宋_GB2312" w:hAnsi="Arial" w:hint="eastAsia"/>
          <w:color w:val="auto"/>
          <w:sz w:val="24"/>
          <w:szCs w:val="32"/>
          <w:lang w:val="en-US" w:eastAsia="zh-CN"/>
        </w:rPr>
        <w:t>1</w:t>
      </w:r>
      <w:r>
        <w:rPr>
          <w:rFonts w:ascii="Arial" w:eastAsia="黑体" w:cs="仿宋_GB2312" w:hAnsi="Arial" w:hint="eastAsia"/>
          <w:color w:val="auto"/>
          <w:sz w:val="24"/>
          <w:szCs w:val="32"/>
        </w:rPr>
        <w:t>个项目支出绩效评价，从评价情况来看</w:t>
      </w:r>
      <w:r>
        <w:rPr>
          <w:rFonts w:ascii="Arial" w:eastAsia="黑体" w:hAnsi="Arial" w:hint="eastAsia"/>
          <w:color w:val="auto"/>
          <w:sz w:val="24"/>
          <w:szCs w:val="32"/>
        </w:rPr>
        <w:t>本部门对</w:t>
      </w:r>
      <w:r>
        <w:rPr>
          <w:rFonts w:ascii="Arial" w:eastAsia="黑体" w:hAnsi="Arial" w:hint="eastAsia"/>
          <w:color w:val="auto"/>
          <w:sz w:val="24"/>
          <w:szCs w:val="32"/>
          <w:lang w:eastAsia="zh-CN"/>
        </w:rPr>
        <w:t>残疾人扶贫对象生活费补贴</w:t>
      </w:r>
      <w:r>
        <w:rPr>
          <w:rFonts w:ascii="Arial" w:eastAsia="黑体" w:hAnsi="Arial" w:hint="eastAsia"/>
          <w:color w:val="auto"/>
          <w:sz w:val="24"/>
          <w:szCs w:val="32"/>
        </w:rPr>
        <w:t>项目开展了绩效评价，得分为</w:t>
      </w:r>
      <w:r>
        <w:rPr>
          <w:rFonts w:ascii="Arial" w:eastAsia="黑体" w:hAnsi="Arial" w:hint="eastAsia"/>
          <w:color w:val="auto"/>
          <w:sz w:val="24"/>
          <w:szCs w:val="32"/>
          <w:lang w:val="en-US" w:eastAsia="zh-CN"/>
        </w:rPr>
        <w:t>98</w:t>
      </w:r>
      <w:r>
        <w:rPr>
          <w:rFonts w:ascii="Arial" w:eastAsia="黑体" w:hAnsi="Arial" w:hint="eastAsia"/>
          <w:color w:val="auto"/>
          <w:sz w:val="24"/>
          <w:szCs w:val="32"/>
        </w:rPr>
        <w:t>分</w:t>
      </w:r>
      <w:r>
        <w:rPr>
          <w:rFonts w:ascii="Arial" w:eastAsia="黑体" w:cs="仿宋_GB2312" w:hAnsi="Arial" w:hint="eastAsia"/>
          <w:color w:val="auto"/>
          <w:sz w:val="24"/>
          <w:szCs w:val="32"/>
        </w:rPr>
        <w:t>。</w:t>
      </w:r>
    </w:p>
    <w:p>
      <w:pPr>
        <w:snapToGrid/>
        <w:spacing w:beforeAutospacing="0" w:after="80" w:afterAutospacing="0" w:line="360" w:lineRule="auto"/>
        <w:ind w:left="0" w:firstLineChars="200" w:firstLine="480"/>
        <w:rPr>
          <w:rFonts w:ascii="Arial" w:eastAsia="黑体" w:cs="楷体_GB2312" w:hAnsi="Arial" w:hint="eastAsia"/>
          <w:sz w:val="24"/>
          <w:szCs w:val="32"/>
          <w:lang w:eastAsia="zh-CN"/>
        </w:rPr>
      </w:pPr>
      <w:r>
        <w:rPr>
          <w:rFonts w:ascii="Arial" w:eastAsia="黑体" w:cs="楷体_GB2312" w:hAnsi="Arial"/>
          <w:sz w:val="24"/>
          <w:szCs w:val="32"/>
        </w:rPr>
        <w:t>1.</w:t>
      </w:r>
      <w:r>
        <w:rPr>
          <w:rFonts w:ascii="Arial" w:eastAsia="黑体" w:cs="楷体_GB2312" w:hAnsi="Arial" w:hint="eastAsia"/>
          <w:sz w:val="24"/>
          <w:szCs w:val="32"/>
        </w:rPr>
        <w:t>项目绩效目标完成情况。</w:t>
      </w:r>
    </w:p>
    <w:p>
      <w:pPr>
        <w:snapToGrid/>
        <w:spacing w:beforeAutospacing="0" w:after="80" w:afterAutospacing="0" w:line="360" w:lineRule="auto"/>
        <w:ind w:left="0" w:firstLineChars="200" w:firstLine="480"/>
        <w:rPr>
          <w:rFonts w:ascii="Arial" w:eastAsia="黑体" w:hAnsi="Arial"/>
          <w:sz w:val="24"/>
          <w:szCs w:val="32"/>
        </w:rPr>
      </w:pPr>
      <w:r>
        <w:rPr>
          <w:rFonts w:ascii="Arial" w:eastAsia="黑体" w:cs="仿宋_GB2312" w:hAnsi="Arial" w:hint="eastAsia"/>
          <w:sz w:val="24"/>
          <w:szCs w:val="32"/>
        </w:rPr>
        <w:t>本部门在20</w:t>
      </w:r>
      <w:r>
        <w:rPr>
          <w:rFonts w:ascii="Arial" w:eastAsia="黑体" w:cs="仿宋_GB2312" w:hAnsi="Arial" w:hint="eastAsia"/>
          <w:sz w:val="24"/>
          <w:szCs w:val="32"/>
          <w:lang w:val="en-US" w:eastAsia="zh-CN"/>
        </w:rPr>
        <w:t>20</w:t>
      </w:r>
      <w:r>
        <w:rPr>
          <w:rFonts w:ascii="Arial" w:eastAsia="黑体" w:cs="仿宋_GB2312" w:hAnsi="Arial" w:hint="eastAsia"/>
          <w:sz w:val="24"/>
          <w:szCs w:val="32"/>
        </w:rPr>
        <w:t>年度部门决算中反映</w:t>
      </w:r>
      <w:r>
        <w:rPr>
          <w:rFonts w:ascii="Arial" w:eastAsia="黑体" w:cs="仿宋_GB2312" w:hAnsi="Arial" w:hint="eastAsia"/>
          <w:sz w:val="24"/>
          <w:szCs w:val="32"/>
          <w:lang w:val="en-US" w:eastAsia="zh-CN"/>
        </w:rPr>
        <w:t>1</w:t>
      </w:r>
      <w:r>
        <w:rPr>
          <w:rFonts w:ascii="Arial" w:eastAsia="黑体" w:cs="仿宋_GB2312" w:hAnsi="Arial" w:hint="eastAsia"/>
          <w:sz w:val="24"/>
          <w:szCs w:val="32"/>
        </w:rPr>
        <w:t>个项目绩效目标实际完成情况。</w:t>
      </w:r>
      <w:r>
        <w:rPr>
          <w:rFonts w:ascii="Arial" w:eastAsia="黑体" w:cs="仿宋_GB2312" w:hAnsi="Arial" w:hint="eastAsia"/>
          <w:sz w:val="24"/>
          <w:szCs w:val="32"/>
          <w:lang w:val="en-US" w:eastAsia="zh-CN"/>
        </w:rPr>
        <w:t xml:space="preserve"> </w:t>
      </w:r>
    </w:p>
    <w:p>
      <w:pPr>
        <w:snapToGrid/>
        <w:spacing w:beforeAutospacing="0" w:after="80" w:afterAutospacing="0" w:line="360" w:lineRule="auto"/>
        <w:ind w:left="0" w:firstLineChars="200" w:firstLine="480"/>
        <w:rPr>
          <w:rFonts w:ascii="Arial" w:eastAsia="黑体" w:cs="仿宋_GB2312" w:hAnsi="Arial"/>
          <w:color w:val="auto"/>
          <w:sz w:val="24"/>
          <w:szCs w:val="32"/>
        </w:rPr>
      </w:pPr>
      <w:r>
        <w:rPr>
          <w:rFonts w:ascii="Arial" w:eastAsia="黑体" w:hAnsi="Arial" w:hint="eastAsia"/>
          <w:color w:val="auto"/>
          <w:sz w:val="24"/>
          <w:szCs w:val="32"/>
          <w:lang w:eastAsia="zh-CN"/>
        </w:rPr>
        <w:t>残疾人扶贫对象生活费补贴</w:t>
      </w:r>
      <w:r>
        <w:rPr>
          <w:rFonts w:ascii="Arial" w:eastAsia="黑体" w:cs="仿宋_GB2312" w:hAnsi="Arial" w:hint="eastAsia"/>
          <w:color w:val="auto"/>
          <w:sz w:val="24"/>
          <w:szCs w:val="32"/>
        </w:rPr>
        <w:t>项目绩效目标完成情况综述。项目全年预算数</w:t>
      </w:r>
      <w:r>
        <w:rPr>
          <w:rFonts w:ascii="Arial" w:eastAsia="黑体" w:cs="仿宋_GB2312" w:hAnsi="Arial" w:hint="eastAsia"/>
          <w:color w:val="auto"/>
          <w:sz w:val="24"/>
          <w:szCs w:val="32"/>
          <w:lang w:val="en-US" w:eastAsia="zh-CN"/>
        </w:rPr>
        <w:t>62.4</w:t>
      </w:r>
      <w:r>
        <w:rPr>
          <w:rFonts w:ascii="Arial" w:eastAsia="黑体" w:cs="仿宋_GB2312" w:hAnsi="Arial" w:hint="eastAsia"/>
          <w:color w:val="auto"/>
          <w:sz w:val="24"/>
          <w:szCs w:val="32"/>
        </w:rPr>
        <w:t>万元，执行数为</w:t>
      </w:r>
      <w:r>
        <w:rPr>
          <w:rFonts w:ascii="Arial" w:eastAsia="黑体" w:cs="仿宋_GB2312" w:hAnsi="Arial" w:hint="eastAsia"/>
          <w:color w:val="auto"/>
          <w:sz w:val="24"/>
          <w:szCs w:val="32"/>
          <w:lang w:val="en-US" w:eastAsia="zh-CN"/>
        </w:rPr>
        <w:t>86.36</w:t>
      </w:r>
      <w:r>
        <w:rPr>
          <w:rFonts w:ascii="Arial" w:eastAsia="黑体" w:cs="仿宋_GB2312" w:hAnsi="Arial" w:hint="eastAsia"/>
          <w:color w:val="auto"/>
          <w:sz w:val="24"/>
          <w:szCs w:val="32"/>
        </w:rPr>
        <w:t>万元，完成预算的</w:t>
      </w:r>
      <w:r>
        <w:rPr>
          <w:rFonts w:ascii="Arial" w:eastAsia="黑体" w:cs="仿宋_GB2312" w:hAnsi="Arial" w:hint="eastAsia"/>
          <w:color w:val="auto"/>
          <w:sz w:val="24"/>
          <w:szCs w:val="32"/>
          <w:lang w:val="en-US" w:eastAsia="zh-CN"/>
        </w:rPr>
        <w:t>138</w:t>
      </w:r>
      <w:r>
        <w:rPr>
          <w:rFonts w:ascii="Arial" w:eastAsia="黑体" w:cs="仿宋_GB2312" w:hAnsi="Arial" w:hint="eastAsia"/>
          <w:color w:val="auto"/>
          <w:sz w:val="24"/>
          <w:szCs w:val="32"/>
        </w:rPr>
        <w:t>%。通过项目实施，保障</w:t>
      </w:r>
      <w:r>
        <w:rPr>
          <w:rFonts w:ascii="Arial" w:eastAsia="黑体" w:cs="仿宋_GB2312" w:hAnsi="Arial" w:hint="eastAsia"/>
          <w:color w:val="auto"/>
          <w:sz w:val="24"/>
          <w:szCs w:val="32"/>
          <w:lang w:eastAsia="zh-CN"/>
        </w:rPr>
        <w:t>贫困残疾人基本生活保障，助理了残疾脱贫奔康。</w:t>
      </w:r>
      <w:r>
        <w:rPr>
          <w:rFonts w:ascii="Arial" w:eastAsia="黑体" w:cs="仿宋_GB2312" w:hAnsi="Arial" w:hint="eastAsia"/>
          <w:color w:val="auto"/>
          <w:sz w:val="24"/>
          <w:szCs w:val="32"/>
        </w:rPr>
        <w:t>发现的主要问题：</w:t>
      </w:r>
      <w:r>
        <w:rPr>
          <w:rFonts w:ascii="Arial" w:eastAsia="黑体" w:hAnsi="Arial" w:hint="eastAsia"/>
          <w:color w:val="auto"/>
          <w:sz w:val="24"/>
          <w:szCs w:val="32"/>
          <w:lang w:eastAsia="zh-CN"/>
        </w:rPr>
        <w:t>资料装订不规范</w:t>
      </w:r>
      <w:r>
        <w:rPr>
          <w:rFonts w:ascii="Arial" w:eastAsia="黑体" w:hAnsi="Arial"/>
          <w:color w:val="auto"/>
          <w:sz w:val="24"/>
          <w:szCs w:val="32"/>
        </w:rPr>
        <w:t>。</w:t>
      </w:r>
      <w:r>
        <w:rPr>
          <w:rFonts w:ascii="Arial" w:eastAsia="黑体" w:hAnsi="Arial" w:hint="eastAsia"/>
          <w:color w:val="auto"/>
          <w:sz w:val="24"/>
          <w:szCs w:val="32"/>
        </w:rPr>
        <w:t>下一步改进措施：</w:t>
      </w:r>
      <w:r>
        <w:rPr>
          <w:rFonts w:ascii="Arial" w:eastAsia="黑体" w:hAnsi="Arial"/>
          <w:color w:val="auto"/>
          <w:sz w:val="24"/>
          <w:szCs w:val="32"/>
        </w:rPr>
        <w:t>是加强队伍建设，全</w:t>
      </w:r>
      <w:bookmarkStart w:id="84" w:name="_GoBack"/>
      <w:bookmarkEnd w:id="84"/>
      <w:r>
        <w:rPr>
          <w:rFonts w:ascii="Arial" w:eastAsia="黑体" w:hAnsi="Arial"/>
          <w:color w:val="auto"/>
          <w:sz w:val="24"/>
          <w:szCs w:val="32"/>
        </w:rPr>
        <w:t>面提高业务素质，确保</w:t>
      </w:r>
      <w:r>
        <w:rPr>
          <w:rFonts w:ascii="Arial" w:eastAsia="黑体" w:hAnsi="Arial" w:hint="eastAsia"/>
          <w:color w:val="auto"/>
          <w:sz w:val="24"/>
          <w:szCs w:val="32"/>
          <w:lang w:eastAsia="zh-CN"/>
        </w:rPr>
        <w:t>项目发挥最大的效益，</w:t>
      </w:r>
      <w:r>
        <w:rPr>
          <w:rFonts w:ascii="Arial" w:eastAsia="黑体" w:hAnsi="Arial"/>
          <w:color w:val="auto"/>
          <w:sz w:val="24"/>
          <w:szCs w:val="32"/>
        </w:rPr>
        <w:t>强化基础管理</w:t>
      </w:r>
      <w:r>
        <w:rPr>
          <w:rFonts w:ascii="Arial" w:eastAsia="黑体" w:hAnsi="Arial" w:hint="eastAsia"/>
          <w:color w:val="auto"/>
          <w:sz w:val="24"/>
          <w:szCs w:val="32"/>
          <w:lang w:eastAsia="zh-CN"/>
        </w:rPr>
        <w:t>，</w:t>
      </w:r>
      <w:r>
        <w:rPr>
          <w:rFonts w:ascii="Arial" w:eastAsia="黑体" w:hAnsi="Arial"/>
          <w:color w:val="auto"/>
          <w:sz w:val="24"/>
          <w:szCs w:val="32"/>
        </w:rPr>
        <w:t>严格财务管理，确保项目规范化管理</w:t>
      </w:r>
      <w:r>
        <w:rPr>
          <w:rFonts w:ascii="Arial" w:eastAsia="黑体" w:hAnsi="Arial"/>
          <w:color w:val="auto"/>
          <w:sz w:val="24"/>
          <w:szCs w:val="32"/>
        </w:rPr>
        <w:t>。</w:t>
      </w:r>
    </w:p>
    <w:p>
      <w:pPr>
        <w:snapToGrid/>
        <w:spacing w:beforeAutospacing="0" w:after="80" w:afterAutospacing="0" w:line="360" w:lineRule="auto"/>
        <w:ind w:left="0" w:firstLineChars="200" w:firstLine="480"/>
        <w:rPr>
          <w:rFonts w:ascii="Arial" w:eastAsia="黑体" w:cs="仿宋_GB2312" w:hAnsi="Arial"/>
          <w:sz w:val="24"/>
          <w:szCs w:val="32"/>
        </w:rPr>
      </w:pPr>
    </w:p>
    <w:tbl>
      <w:tblPr>
        <w:tblpPr w:leftFromText="180" w:rightFromText="180" w:vertAnchor="text" w:horzAnchor="page" w:tblpXSpec="center" w:tblpY="423"/>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643"/>
        <w:gridCol w:w="1114"/>
        <w:gridCol w:w="1025"/>
        <w:gridCol w:w="2392"/>
        <w:gridCol w:w="2394"/>
        <w:gridCol w:w="2392"/>
      </w:tblGrid>
      <w:tr>
        <w:trPr>
          <w:trHeight w:val="1058"/>
        </w:trPr>
        <w:tc>
          <w:tcPr>
            <w:tcW w:w="996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宋体" w:eastAsia="宋体" w:cs="宋体" w:hint="eastAsia"/>
                <w:b/>
                <w:bCs/>
                <w:color w:val="000000"/>
                <w:kern w:val="0"/>
                <w:sz w:val="36"/>
                <w:szCs w:val="36"/>
                <w:lang w:eastAsia="zh-CN"/>
              </w:rPr>
            </w:pPr>
            <w:r>
              <w:rPr>
                <w:rFonts w:ascii="宋体" w:cs="宋体" w:hint="eastAsia"/>
                <w:b/>
                <w:bCs/>
                <w:color w:val="000000"/>
                <w:kern w:val="0"/>
                <w:sz w:val="36"/>
                <w:szCs w:val="36"/>
              </w:rPr>
              <w:t>项目绩效目标完成情况表</w:t>
            </w:r>
          </w:p>
          <w:p>
            <w:pPr>
              <w:widowControl/>
              <w:jc w:val="center"/>
              <w:textAlignment w:val="center"/>
              <w:rPr>
                <w:rFonts w:ascii="宋体" w:cs="宋体"/>
                <w:color w:val="000000"/>
                <w:sz w:val="36"/>
                <w:szCs w:val="36"/>
              </w:rPr>
            </w:pPr>
            <w:r>
              <w:rPr>
                <w:rFonts w:ascii="宋体" w:cs="宋体" w:hint="eastAsia"/>
                <w:color w:val="000000"/>
                <w:kern w:val="0"/>
                <w:sz w:val="36"/>
                <w:szCs w:val="36"/>
              </w:rPr>
              <w:t>(20</w:t>
            </w:r>
            <w:r>
              <w:rPr>
                <w:rFonts w:ascii="宋体" w:cs="宋体" w:hint="eastAsia"/>
                <w:color w:val="000000"/>
                <w:kern w:val="0"/>
                <w:sz w:val="36"/>
                <w:szCs w:val="36"/>
                <w:lang w:val="en-US" w:eastAsia="zh-CN"/>
              </w:rPr>
              <w:t>20</w:t>
            </w:r>
            <w:r>
              <w:rPr>
                <w:rFonts w:ascii="宋体" w:cs="宋体" w:hint="eastAsia"/>
                <w:color w:val="000000"/>
                <w:kern w:val="0"/>
                <w:sz w:val="36"/>
                <w:szCs w:val="36"/>
              </w:rPr>
              <w:t xml:space="preserve"> 年度)</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lang w:eastAsia="zh-CN"/>
              </w:rPr>
              <w:t>残疾人扶贫对象生活费补贴</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hint="eastAsia"/>
                <w:color w:val="000000"/>
                <w:sz w:val="24"/>
                <w:lang w:eastAsia="zh-CN"/>
              </w:rPr>
            </w:pPr>
            <w:r>
              <w:rPr>
                <w:rFonts w:ascii="宋体" w:cs="宋体" w:hint="eastAsia"/>
                <w:color w:val="000000"/>
                <w:sz w:val="24"/>
                <w:lang w:eastAsia="zh-CN"/>
              </w:rPr>
              <w:t>广元市昭化区残疾人联合会</w:t>
            </w:r>
          </w:p>
        </w:tc>
      </w:tr>
      <w:tr>
        <w:trPr>
          <w:trHeight w:val="276"/>
        </w:trPr>
        <w:tc>
          <w:tcPr>
            <w:tcW w:w="64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cs="宋体" w:hint="eastAsia"/>
                <w:color w:val="000000"/>
                <w:kern w:val="0"/>
                <w:sz w:val="16"/>
                <w:szCs w:val="16"/>
              </w:rPr>
              <w:t>预算执行情况(万元)</w:t>
            </w:r>
          </w:p>
        </w:tc>
        <w:tc>
          <w:tcPr>
            <w:tcW w:w="21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ascii="宋体" w:cs="宋体" w:hint="eastAsia"/>
                <w:color w:val="000000"/>
                <w:sz w:val="24"/>
                <w:lang w:val="en-US" w:eastAsia="zh-CN"/>
              </w:rPr>
              <w:t>62.4万元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ascii="宋体" w:cs="宋体" w:hint="eastAsia"/>
                <w:color w:val="000000"/>
                <w:sz w:val="24"/>
                <w:lang w:val="en-US" w:eastAsia="zh-CN"/>
              </w:rPr>
              <w:t>86.36万元</w:t>
            </w:r>
          </w:p>
        </w:tc>
      </w:tr>
      <w:tr>
        <w:trPr>
          <w:trHeight w:val="276"/>
        </w:trPr>
        <w:tc>
          <w:tcPr>
            <w:tcW w:w="64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1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ascii="宋体" w:cs="宋体" w:hint="eastAsia"/>
                <w:color w:val="000000"/>
                <w:sz w:val="24"/>
                <w:lang w:val="en-US" w:eastAsia="zh-CN"/>
              </w:rPr>
              <w:t>62.4万元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ascii="宋体" w:cs="宋体" w:hint="eastAsia"/>
                <w:color w:val="000000"/>
                <w:sz w:val="24"/>
                <w:lang w:val="en-US" w:eastAsia="zh-CN"/>
              </w:rPr>
              <w:t>86.36万元</w:t>
            </w:r>
          </w:p>
        </w:tc>
      </w:tr>
      <w:tr>
        <w:trPr>
          <w:trHeight w:val="1104"/>
        </w:trPr>
        <w:tc>
          <w:tcPr>
            <w:tcW w:w="64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13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宋体" w:cs="宋体"/>
                <w:color w:val="000000"/>
                <w:sz w:val="24"/>
              </w:rPr>
            </w:pPr>
          </w:p>
        </w:tc>
      </w:tr>
      <w:tr>
        <w:trPr>
          <w:trHeight w:val="276"/>
        </w:trPr>
        <w:tc>
          <w:tcPr>
            <w:tcW w:w="64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18"/>
                <w:szCs w:val="18"/>
              </w:rPr>
            </w:pPr>
            <w:r>
              <w:rPr>
                <w:rFonts w:ascii="宋体" w:cs="宋体" w:hint="eastAsia"/>
                <w:color w:val="000000"/>
                <w:kern w:val="0"/>
                <w:sz w:val="18"/>
                <w:szCs w:val="18"/>
              </w:rPr>
              <w:t>年度目标完成情况</w:t>
            </w:r>
          </w:p>
        </w:tc>
        <w:tc>
          <w:tcPr>
            <w:tcW w:w="453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实际完成目标</w:t>
            </w:r>
          </w:p>
        </w:tc>
      </w:tr>
      <w:tr>
        <w:trPr>
          <w:trHeight w:val="1159"/>
        </w:trPr>
        <w:tc>
          <w:tcPr>
            <w:tcW w:w="643"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453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lang w:eastAsia="zh-CN"/>
              </w:rPr>
              <w:t>预计对</w:t>
            </w:r>
            <w:r>
              <w:rPr>
                <w:rFonts w:ascii="宋体" w:cs="宋体" w:hint="eastAsia"/>
                <w:color w:val="000000"/>
                <w:sz w:val="24"/>
                <w:lang w:val="en-US" w:eastAsia="zh-CN"/>
              </w:rPr>
              <w:t>514名建档立卡贫困残疾人的</w:t>
            </w:r>
            <w:r>
              <w:rPr>
                <w:rFonts w:ascii="宋体" w:cs="宋体" w:hint="eastAsia"/>
                <w:color w:val="000000"/>
                <w:sz w:val="24"/>
              </w:rPr>
              <w:t>收入</w:t>
            </w:r>
            <w:r>
              <w:rPr>
                <w:rFonts w:ascii="宋体" w:cs="宋体" w:hint="eastAsia"/>
                <w:color w:val="000000"/>
                <w:sz w:val="24"/>
                <w:lang w:eastAsia="zh-CN"/>
              </w:rPr>
              <w:t>发放补贴，</w:t>
            </w:r>
            <w:r>
              <w:rPr>
                <w:rFonts w:ascii="宋体" w:cs="宋体" w:hint="eastAsia"/>
                <w:color w:val="000000"/>
                <w:sz w:val="24"/>
              </w:rPr>
              <w:t>低于1000元的，年补助2000元；年收入低于2000元的，年补助1500元；年收入2001元以上的，年补助1000元。</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lang w:eastAsia="zh-CN"/>
              </w:rPr>
              <w:t>已对</w:t>
            </w:r>
            <w:r>
              <w:rPr>
                <w:rFonts w:ascii="宋体" w:cs="宋体" w:hint="eastAsia"/>
                <w:color w:val="000000"/>
                <w:sz w:val="24"/>
                <w:lang w:val="en-US" w:eastAsia="zh-CN"/>
              </w:rPr>
              <w:t>524名建档立卡贫困残疾人的</w:t>
            </w:r>
            <w:r>
              <w:rPr>
                <w:rFonts w:ascii="宋体" w:cs="宋体" w:hint="eastAsia"/>
                <w:color w:val="000000"/>
                <w:sz w:val="24"/>
              </w:rPr>
              <w:t>收入</w:t>
            </w:r>
            <w:r>
              <w:rPr>
                <w:rFonts w:ascii="宋体" w:cs="宋体" w:hint="eastAsia"/>
                <w:color w:val="000000"/>
                <w:sz w:val="24"/>
                <w:lang w:eastAsia="zh-CN"/>
              </w:rPr>
              <w:t>发放补贴，</w:t>
            </w:r>
            <w:r>
              <w:rPr>
                <w:rFonts w:ascii="宋体" w:cs="宋体" w:hint="eastAsia"/>
                <w:color w:val="000000"/>
                <w:sz w:val="24"/>
              </w:rPr>
              <w:t>低于1000元的，年补助2000元；年收入低于2000元的，年补助1500元；年收入2001元以上的，年补助1000元。</w:t>
            </w:r>
          </w:p>
        </w:tc>
      </w:tr>
      <w:tr>
        <w:trPr>
          <w:trHeight w:val="1042"/>
        </w:trPr>
        <w:tc>
          <w:tcPr>
            <w:tcW w:w="643"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16"/>
                <w:szCs w:val="16"/>
              </w:rPr>
              <w:t>绩效指标完成情况</w:t>
            </w:r>
          </w:p>
        </w:tc>
        <w:tc>
          <w:tcPr>
            <w:tcW w:w="11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实际完成指标值(包含数字及文字描述)</w:t>
            </w:r>
          </w:p>
        </w:tc>
      </w:tr>
      <w:tr>
        <w:trPr>
          <w:trHeight w:val="801"/>
        </w:trPr>
        <w:tc>
          <w:tcPr>
            <w:tcW w:w="643" w:type="dxa"/>
            <w:vMerge/>
            <w:tcBorders>
              <w:left w:val="single" w:sz="4" w:space="0" w:color="000000"/>
              <w:right w:val="single" w:sz="4" w:space="0" w:color="000000"/>
            </w:tcBorders>
            <w:noWrap/>
            <w:tcMar>
              <w:top w:w="15" w:type="dxa"/>
              <w:left w:w="15" w:type="dxa"/>
              <w:right w:w="15" w:type="dxa"/>
            </w:tcMar>
            <w:vAlign w:val="center"/>
          </w:tcPr>
          <w:p/>
        </w:tc>
        <w:tc>
          <w:tcPr>
            <w:tcW w:w="11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享受补贴发放的人数。</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≥514人</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color w:val="000000"/>
                <w:sz w:val="24"/>
                <w:lang w:val="en-US" w:eastAsia="zh-CN"/>
              </w:rPr>
            </w:pPr>
            <w:r>
              <w:rPr>
                <w:rFonts w:ascii="宋体" w:cs="宋体" w:hint="eastAsia"/>
                <w:color w:val="000000"/>
                <w:sz w:val="24"/>
                <w:lang w:val="en-US" w:eastAsia="zh-CN"/>
              </w:rPr>
              <w:t>524人</w:t>
            </w:r>
          </w:p>
        </w:tc>
      </w:tr>
      <w:tr>
        <w:trPr>
          <w:trHeight w:val="940"/>
        </w:trPr>
        <w:tc>
          <w:tcPr>
            <w:tcW w:w="643" w:type="dxa"/>
            <w:vMerge/>
            <w:tcBorders>
              <w:left w:val="single" w:sz="4" w:space="0" w:color="000000"/>
              <w:right w:val="single" w:sz="4" w:space="0" w:color="000000"/>
            </w:tcBorders>
            <w:noWrap/>
            <w:tcMar>
              <w:top w:w="15" w:type="dxa"/>
              <w:left w:w="15" w:type="dxa"/>
              <w:right w:w="15" w:type="dxa"/>
            </w:tcMar>
            <w:vAlign w:val="center"/>
          </w:tcPr>
          <w:p/>
        </w:tc>
        <w:tc>
          <w:tcPr>
            <w:tcW w:w="11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补贴标准达标率。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100%</w:t>
            </w:r>
          </w:p>
        </w:tc>
      </w:tr>
      <w:tr>
        <w:trPr>
          <w:trHeight w:val="890"/>
        </w:trPr>
        <w:tc>
          <w:tcPr>
            <w:tcW w:w="643" w:type="dxa"/>
            <w:vMerge/>
            <w:tcBorders>
              <w:left w:val="single" w:sz="4" w:space="0" w:color="000000"/>
              <w:right w:val="single" w:sz="4" w:space="0" w:color="000000"/>
            </w:tcBorders>
            <w:noWrap/>
            <w:tcMar>
              <w:top w:w="15" w:type="dxa"/>
              <w:left w:w="15" w:type="dxa"/>
              <w:right w:w="15" w:type="dxa"/>
            </w:tcMar>
            <w:vAlign w:val="center"/>
          </w:tcPr>
          <w:p/>
        </w:tc>
        <w:tc>
          <w:tcPr>
            <w:tcW w:w="11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项目完成时间。</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2020年12月30日</w:t>
              <w:tab/>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2020年12月30日</w:t>
            </w:r>
          </w:p>
        </w:tc>
      </w:tr>
      <w:tr>
        <w:trPr>
          <w:trHeight w:val="685"/>
        </w:trPr>
        <w:tc>
          <w:tcPr>
            <w:tcW w:w="643" w:type="dxa"/>
            <w:vMerge/>
            <w:tcBorders>
              <w:left w:val="single" w:sz="4" w:space="0" w:color="000000"/>
              <w:right w:val="single" w:sz="4" w:space="0" w:color="000000"/>
            </w:tcBorders>
            <w:noWrap/>
            <w:tcMar>
              <w:top w:w="15" w:type="dxa"/>
              <w:left w:w="15" w:type="dxa"/>
              <w:right w:w="15" w:type="dxa"/>
            </w:tcMar>
            <w:vAlign w:val="center"/>
          </w:tcPr>
          <w:p/>
        </w:tc>
        <w:tc>
          <w:tcPr>
            <w:tcW w:w="11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kern w:val="0"/>
                <w:sz w:val="24"/>
              </w:rPr>
            </w:pPr>
            <w:r>
              <w:rPr>
                <w:rFonts w:asci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建档立卡扶贫对象残疾人（除低保、五保）</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1000-2000元/人/月。</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1000-2000元/人/月。</w:t>
            </w:r>
          </w:p>
        </w:tc>
      </w:tr>
      <w:tr>
        <w:trPr>
          <w:trHeight w:val="849"/>
        </w:trPr>
        <w:tc>
          <w:tcPr>
            <w:tcW w:w="643" w:type="dxa"/>
            <w:vMerge/>
            <w:tcBorders>
              <w:left w:val="single" w:sz="4" w:space="0" w:color="000000"/>
              <w:right w:val="single" w:sz="4" w:space="0" w:color="000000"/>
            </w:tcBorders>
            <w:noWrap/>
            <w:tcMar>
              <w:top w:w="15" w:type="dxa"/>
              <w:left w:w="15" w:type="dxa"/>
              <w:right w:w="15" w:type="dxa"/>
            </w:tcMar>
            <w:vAlign w:val="center"/>
          </w:tcPr>
          <w:p/>
        </w:tc>
        <w:tc>
          <w:tcPr>
            <w:tcW w:w="11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center"/>
              <w:textAlignment w:val="center"/>
              <w:rPr>
                <w:rFonts w:ascii="宋体" w:eastAsia="宋体" w:cs="宋体" w:hint="eastAsia"/>
                <w:i w:val="0"/>
                <w:color w:val="000000"/>
                <w:kern w:val="2"/>
                <w:sz w:val="22"/>
                <w:szCs w:val="22"/>
                <w:u w:val="none"/>
                <w:lang w:val="en-US" w:eastAsia="zh-CN" w:bidi="ar-SA"/>
              </w:rPr>
            </w:pPr>
            <w:r>
              <w:rPr>
                <w:rFonts w:ascii="宋体" w:eastAsia="宋体" w:cs="宋体" w:hint="eastAsia"/>
                <w:i w:val="0"/>
                <w:color w:val="000000"/>
                <w:kern w:val="0"/>
                <w:sz w:val="22"/>
                <w:szCs w:val="22"/>
                <w:u w:val="none"/>
                <w:lang w:val="en-US" w:eastAsia="zh-CN"/>
              </w:rPr>
              <w:t>社会效益指标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享受直补的残疾人的收入</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有所提高</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hint="eastAsia"/>
                <w:color w:val="000000"/>
                <w:sz w:val="24"/>
                <w:lang w:eastAsia="zh-CN"/>
              </w:rPr>
            </w:pPr>
            <w:r>
              <w:rPr>
                <w:rFonts w:ascii="宋体" w:cs="宋体" w:hint="eastAsia"/>
                <w:color w:val="000000"/>
                <w:sz w:val="24"/>
                <w:lang w:eastAsia="zh-CN"/>
              </w:rPr>
              <w:t>明显提高</w:t>
            </w:r>
          </w:p>
        </w:tc>
      </w:tr>
      <w:tr>
        <w:trPr>
          <w:trHeight w:val="774"/>
        </w:trPr>
        <w:tc>
          <w:tcPr>
            <w:tcW w:w="643" w:type="dxa"/>
            <w:vMerge/>
            <w:tcBorders>
              <w:left w:val="single" w:sz="4" w:space="0" w:color="000000"/>
              <w:right w:val="single" w:sz="4" w:space="0" w:color="000000"/>
            </w:tcBorders>
            <w:noWrap/>
            <w:tcMar>
              <w:top w:w="15" w:type="dxa"/>
              <w:left w:w="15" w:type="dxa"/>
              <w:right w:w="15" w:type="dxa"/>
            </w:tcMar>
            <w:vAlign w:val="center"/>
          </w:tcPr>
          <w:p/>
        </w:tc>
        <w:tc>
          <w:tcPr>
            <w:tcW w:w="11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widowControl/>
              <w:suppressLineNumbers w:val="0"/>
              <w:jc w:val="center"/>
              <w:textAlignment w:val="center"/>
              <w:rPr>
                <w:rFonts w:ascii="宋体" w:eastAsia="宋体" w:cs="宋体" w:hint="eastAsia"/>
                <w:i w:val="0"/>
                <w:color w:val="000000"/>
                <w:kern w:val="2"/>
                <w:sz w:val="22"/>
                <w:szCs w:val="22"/>
                <w:u w:val="none"/>
                <w:lang w:val="en-US" w:eastAsia="zh-CN" w:bidi="ar-SA"/>
              </w:rPr>
            </w:pPr>
            <w:r>
              <w:rPr>
                <w:rFonts w:ascii="宋体" w:eastAsia="宋体" w:cs="宋体" w:hint="eastAsia"/>
                <w:i w:val="0"/>
                <w:color w:val="000000"/>
                <w:kern w:val="0"/>
                <w:sz w:val="22"/>
                <w:szCs w:val="22"/>
                <w:u w:val="none"/>
                <w:lang w:val="en-US" w:eastAsia="zh-CN"/>
              </w:rPr>
              <w:t>可持续影响指标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提高残疾人生活水平。</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中长期</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中长期</w:t>
            </w:r>
          </w:p>
        </w:tc>
      </w:tr>
      <w:tr>
        <w:trPr>
          <w:trHeight w:val="775"/>
        </w:trPr>
        <w:tc>
          <w:tcPr>
            <w:tcW w:w="643"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tc>
        <w:tc>
          <w:tcPr>
            <w:tcW w:w="11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享受补贴直补的残疾人满意度。</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≥90%</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color w:val="000000"/>
                <w:sz w:val="24"/>
              </w:rPr>
            </w:pPr>
            <w:r>
              <w:rPr>
                <w:rFonts w:ascii="宋体" w:cs="宋体" w:hint="eastAsia"/>
                <w:color w:val="000000"/>
                <w:sz w:val="24"/>
              </w:rPr>
              <w:t>≥9</w:t>
            </w:r>
            <w:r>
              <w:rPr>
                <w:rFonts w:ascii="宋体" w:cs="宋体" w:hint="eastAsia"/>
                <w:color w:val="000000"/>
                <w:sz w:val="24"/>
                <w:lang w:val="en-US" w:eastAsia="zh-CN"/>
              </w:rPr>
              <w:t>5</w:t>
            </w:r>
            <w:r>
              <w:rPr>
                <w:rFonts w:ascii="宋体" w:cs="宋体" w:hint="eastAsia"/>
                <w:color w:val="000000"/>
                <w:sz w:val="24"/>
              </w:rPr>
              <w:t>%</w:t>
            </w:r>
          </w:p>
        </w:tc>
      </w:tr>
    </w:tbl>
    <w:p>
      <w:pPr>
        <w:snapToGrid/>
        <w:spacing w:beforeAutospacing="0" w:after="80" w:afterAutospacing="0" w:line="360" w:lineRule="auto"/>
        <w:ind w:left="0" w:firstLine="0"/>
        <w:rPr>
          <w:rFonts w:ascii="Arial" w:eastAsia="黑体" w:cs="仿宋_GB2312" w:hAnsi="Arial"/>
          <w:sz w:val="24"/>
          <w:szCs w:val="32"/>
        </w:rPr>
      </w:pPr>
      <w:r>
        <w:rPr>
          <w:rFonts w:ascii="Arial" w:eastAsia="黑体" w:cs="楷体_GB2312" w:hAnsi="Arial"/>
          <w:sz w:val="24"/>
          <w:szCs w:val="32"/>
        </w:rPr>
        <w:t>2.</w:t>
      </w:r>
      <w:r>
        <w:rPr>
          <w:rFonts w:ascii="Arial" w:eastAsia="黑体" w:cs="楷体_GB2312" w:hAnsi="Arial" w:hint="eastAsia"/>
          <w:sz w:val="24"/>
          <w:szCs w:val="32"/>
        </w:rPr>
        <w:t>部门绩效评价结果。</w:t>
      </w:r>
    </w:p>
    <w:p>
      <w:pPr>
        <w:snapToGrid/>
        <w:spacing w:beforeAutospacing="0" w:after="80" w:afterAutospacing="0" w:line="360" w:lineRule="auto"/>
        <w:ind w:left="0" w:firstLineChars="200" w:firstLine="480"/>
        <w:rPr>
          <w:rFonts w:ascii="Arial" w:eastAsia="黑体" w:cs="仿宋_GB2312" w:hAnsi="Arial"/>
          <w:sz w:val="24"/>
          <w:szCs w:val="32"/>
        </w:rPr>
      </w:pPr>
      <w:r>
        <w:rPr>
          <w:rFonts w:ascii="Arial" w:eastAsia="黑体" w:cs="仿宋_GB2312" w:hAnsi="Arial" w:hint="eastAsia"/>
          <w:sz w:val="24"/>
          <w:szCs w:val="32"/>
        </w:rPr>
        <w:t>本部门按要求对20</w:t>
      </w:r>
      <w:r>
        <w:rPr>
          <w:rFonts w:ascii="Arial" w:eastAsia="黑体" w:cs="仿宋_GB2312" w:hAnsi="Arial" w:hint="eastAsia"/>
          <w:sz w:val="24"/>
          <w:szCs w:val="32"/>
          <w:lang w:val="en-US" w:eastAsia="zh-CN"/>
        </w:rPr>
        <w:t>20</w:t>
      </w:r>
      <w:r>
        <w:rPr>
          <w:rFonts w:ascii="Arial" w:eastAsia="黑体" w:cs="仿宋_GB2312" w:hAnsi="Arial" w:hint="eastAsia"/>
          <w:sz w:val="24"/>
          <w:szCs w:val="32"/>
        </w:rPr>
        <w:t>年部门整体支出绩效评价情况开展自评，《</w:t>
      </w:r>
      <w:r>
        <w:rPr>
          <w:rFonts w:ascii="Arial" w:eastAsia="黑体" w:cs="仿宋_GB2312" w:hAnsi="Arial" w:hint="eastAsia"/>
          <w:sz w:val="24"/>
          <w:szCs w:val="32"/>
          <w:lang w:eastAsia="zh-CN"/>
        </w:rPr>
        <w:t>区残联</w:t>
      </w:r>
      <w:r>
        <w:rPr>
          <w:rFonts w:ascii="Arial" w:eastAsia="黑体" w:cs="仿宋_GB2312" w:hAnsi="Arial" w:hint="eastAsia"/>
          <w:sz w:val="24"/>
          <w:szCs w:val="32"/>
        </w:rPr>
        <w:t>部门20</w:t>
      </w:r>
      <w:r>
        <w:rPr>
          <w:rFonts w:ascii="Arial" w:eastAsia="黑体" w:cs="仿宋_GB2312" w:hAnsi="Arial" w:hint="eastAsia"/>
          <w:sz w:val="24"/>
          <w:szCs w:val="32"/>
          <w:lang w:val="en-US" w:eastAsia="zh-CN"/>
        </w:rPr>
        <w:t>20</w:t>
      </w:r>
      <w:r>
        <w:rPr>
          <w:rFonts w:ascii="Arial" w:eastAsia="黑体" w:cs="仿宋_GB2312" w:hAnsi="Arial" w:hint="eastAsia"/>
          <w:sz w:val="24"/>
          <w:szCs w:val="32"/>
        </w:rPr>
        <w:t>年部门整体支出绩效评价报告》见附件（附件1）。</w:t>
      </w:r>
    </w:p>
    <w:p>
      <w:pPr>
        <w:snapToGrid/>
        <w:spacing w:beforeAutospacing="0" w:after="80" w:afterAutospacing="0" w:line="360" w:lineRule="auto"/>
        <w:ind w:left="0" w:firstLineChars="200" w:firstLine="480"/>
        <w:rPr>
          <w:rFonts w:ascii="Arial" w:eastAsia="黑体" w:hAnsi="Arial"/>
          <w:b/>
          <w:color w:val="auto"/>
          <w:sz w:val="24"/>
          <w:szCs w:val="32"/>
        </w:rPr>
      </w:pPr>
      <w:r>
        <w:rPr>
          <w:rFonts w:ascii="Arial" w:eastAsia="黑体" w:cs="仿宋_GB2312" w:hAnsi="Arial" w:hint="eastAsia"/>
          <w:color w:val="auto"/>
          <w:sz w:val="24"/>
          <w:szCs w:val="32"/>
        </w:rPr>
        <w:t>本部门自行组织对</w:t>
      </w:r>
      <w:r>
        <w:rPr>
          <w:rFonts w:ascii="Arial" w:eastAsia="黑体" w:cs="仿宋_GB2312" w:hAnsi="Arial" w:hint="eastAsia"/>
          <w:color w:val="auto"/>
          <w:sz w:val="24"/>
          <w:szCs w:val="32"/>
          <w:lang w:val="en-US" w:eastAsia="zh-CN"/>
        </w:rPr>
        <w:t>1个</w:t>
      </w:r>
      <w:r>
        <w:rPr>
          <w:rFonts w:ascii="Arial" w:eastAsia="黑体" w:cs="仿宋_GB2312" w:hAnsi="Arial" w:hint="eastAsia"/>
          <w:color w:val="auto"/>
          <w:sz w:val="24"/>
          <w:szCs w:val="32"/>
        </w:rPr>
        <w:t>项目、</w:t>
      </w:r>
      <w:r>
        <w:rPr>
          <w:rFonts w:ascii="Arial" w:eastAsia="黑体" w:cs="仿宋_GB2312" w:hAnsi="Arial" w:hint="eastAsia"/>
          <w:color w:val="auto"/>
          <w:sz w:val="24"/>
          <w:szCs w:val="32"/>
          <w:lang w:eastAsia="zh-CN"/>
        </w:rPr>
        <w:t>残疾人扶贫对象生活费补贴</w:t>
      </w:r>
      <w:r>
        <w:rPr>
          <w:rFonts w:ascii="Arial" w:eastAsia="黑体" w:cs="仿宋_GB2312" w:hAnsi="Arial" w:hint="eastAsia"/>
          <w:color w:val="auto"/>
          <w:sz w:val="24"/>
          <w:szCs w:val="32"/>
        </w:rPr>
        <w:t>项目开展了绩效评价，《</w:t>
      </w:r>
      <w:r>
        <w:rPr>
          <w:rFonts w:ascii="Arial" w:eastAsia="黑体" w:cs="仿宋_GB2312" w:hAnsi="Arial" w:hint="eastAsia"/>
          <w:color w:val="auto"/>
          <w:sz w:val="24"/>
          <w:szCs w:val="32"/>
          <w:lang w:eastAsia="zh-CN"/>
        </w:rPr>
        <w:t>残疾人扶贫对象生活费补贴</w:t>
      </w:r>
      <w:r>
        <w:rPr>
          <w:rFonts w:ascii="Arial" w:eastAsia="黑体" w:cs="仿宋_GB2312" w:hAnsi="Arial" w:hint="eastAsia"/>
          <w:color w:val="auto"/>
          <w:sz w:val="24"/>
          <w:szCs w:val="32"/>
        </w:rPr>
        <w:t>项目开展了绩效评价项目20</w:t>
      </w:r>
      <w:r>
        <w:rPr>
          <w:rFonts w:ascii="Arial" w:eastAsia="黑体" w:cs="仿宋_GB2312" w:hAnsi="Arial" w:hint="eastAsia"/>
          <w:color w:val="auto"/>
          <w:sz w:val="24"/>
          <w:szCs w:val="32"/>
          <w:lang w:val="en-US" w:eastAsia="zh-CN"/>
        </w:rPr>
        <w:t>20</w:t>
      </w:r>
      <w:r>
        <w:rPr>
          <w:rFonts w:ascii="Arial" w:eastAsia="黑体" w:cs="仿宋_GB2312" w:hAnsi="Arial" w:hint="eastAsia"/>
          <w:color w:val="auto"/>
          <w:sz w:val="24"/>
          <w:szCs w:val="32"/>
        </w:rPr>
        <w:t>年绩效评价报告》见附件（附件2）。（非涉密部门均需公开部门整体支出评价报告，部门自行组织的绩效评价情况根据部门实际公开，若未组织项目绩效评价，则只需说明部门整体支出绩效评价情况）</w:t>
      </w:r>
    </w:p>
    <w:p>
      <w:pPr>
        <w:widowControl/>
        <w:snapToGrid/>
        <w:spacing w:beforeAutospacing="0" w:after="80" w:afterAutospacing="0" w:line="360" w:lineRule="auto"/>
        <w:ind w:left="0" w:firstLine="0"/>
        <w:jc w:val="left"/>
        <w:rPr>
          <w:rFonts w:ascii="Arial" w:eastAsia="黑体" w:hAnsi="Arial"/>
          <w:b/>
          <w:color w:val="auto"/>
          <w:sz w:val="24"/>
          <w:szCs w:val="32"/>
        </w:rPr>
      </w:pPr>
      <w:r>
        <w:rPr>
          <w:rFonts w:ascii="Arial" w:eastAsia="黑体" w:hAnsi="Arial"/>
          <w:b/>
          <w:color w:val="auto"/>
          <w:sz w:val="24"/>
          <w:szCs w:val="32"/>
        </w:rPr>
        <w:br w:type="page"/>
      </w:r>
    </w:p>
    <w:p>
      <w:pPr>
        <w:numPr>
          <w:ilvl w:val="0"/>
          <w:numId w:val="5"/>
        </w:numPr>
        <w:snapToGrid/>
        <w:spacing w:before="320" w:beforeAutospacing="0" w:after="40" w:afterAutospacing="0" w:line="240" w:lineRule="auto"/>
        <w:ind w:left="0" w:right="0" w:firstLine="0"/>
        <w:jc w:val="left"/>
        <w:outlineLvl w:val="0"/>
        <w:rPr>
          <w:rStyle w:val="1Char"/>
          <w:rFonts w:ascii="Times New Roman" w:eastAsia="汉仪中宋简" w:hAnsi="Times New Roman"/>
          <w:b w:val="0"/>
          <w:color w:val="auto"/>
          <w:sz w:val="36"/>
        </w:rPr>
      </w:pPr>
      <w:bookmarkStart w:id="85" w:name="_Toc15377225"/>
      <w:bookmarkStart w:id="86" w:name="_Toc15396613"/>
      <w:bookmarkStart w:id="87" w:name="_Toc3570"/>
      <w:r>
        <w:rPr>
          <w:rFonts w:ascii="Times New Roman" w:eastAsia="汉仪中宋简" w:hAnsi="Times New Roman" w:hint="eastAsia"/>
          <w:b w:val="0"/>
          <w:color w:val="auto"/>
          <w:sz w:val="36"/>
          <w:szCs w:val="44"/>
        </w:rPr>
        <w:t>名</w:t>
      </w:r>
      <w:r>
        <w:rPr>
          <w:rStyle w:val="1Char"/>
          <w:rFonts w:ascii="Times New Roman" w:eastAsia="汉仪中宋简" w:hAnsi="Times New Roman" w:hint="eastAsia"/>
          <w:b w:val="0"/>
          <w:color w:val="auto"/>
          <w:sz w:val="36"/>
        </w:rPr>
        <w:t>词解释</w:t>
      </w:r>
      <w:bookmarkEnd w:id="85"/>
      <w:bookmarkEnd w:id="86"/>
      <w:bookmarkEnd w:id="87"/>
    </w:p>
    <w:p>
      <w:pPr>
        <w:snapToGrid/>
        <w:spacing w:beforeAutospacing="0" w:after="80" w:afterAutospacing="0" w:line="360" w:lineRule="auto"/>
        <w:ind w:left="0" w:firstLine="0"/>
        <w:jc w:val="left"/>
        <w:rPr>
          <w:rFonts w:ascii="Arial" w:eastAsia="黑体" w:hAnsi="Arial"/>
          <w:b/>
          <w:color w:val="auto"/>
          <w:sz w:val="24"/>
          <w:szCs w:val="44"/>
        </w:rPr>
      </w:pPr>
    </w:p>
    <w:p>
      <w:pPr>
        <w:snapToGrid/>
        <w:spacing w:beforeAutospacing="0" w:after="80" w:afterAutospacing="0" w:line="360" w:lineRule="auto"/>
        <w:ind w:left="0" w:firstLine="0"/>
        <w:jc w:val="left"/>
        <w:rPr>
          <w:rFonts w:ascii="Arial" w:eastAsia="黑体" w:hAnsi="Arial"/>
          <w:b/>
          <w:color w:val="auto"/>
          <w:sz w:val="24"/>
          <w:szCs w:val="44"/>
        </w:rPr>
      </w:pPr>
    </w:p>
    <w:p>
      <w:pPr>
        <w:pStyle w:val="25"/>
        <w:adjustRightInd w:val="0"/>
        <w:snapToGrid/>
        <w:spacing w:beforeAutospacing="0" w:after="80" w:afterAutospacing="0" w:line="360" w:lineRule="auto"/>
        <w:ind w:left="0" w:firstLineChars="200" w:firstLine="480"/>
        <w:rPr>
          <w:rFonts w:ascii="Arial" w:eastAsia="黑体" w:hAnsi="Arial"/>
          <w:color w:val="auto"/>
          <w:sz w:val="24"/>
          <w:szCs w:val="32"/>
        </w:rPr>
      </w:pPr>
      <w:r>
        <w:rPr>
          <w:rFonts w:ascii="Arial" w:eastAsia="黑体" w:hAnsi="Arial"/>
          <w:color w:val="auto"/>
          <w:sz w:val="24"/>
          <w:szCs w:val="32"/>
        </w:rPr>
        <w:t>1.</w:t>
      </w:r>
      <w:r>
        <w:rPr>
          <w:rFonts w:ascii="Arial" w:eastAsia="黑体" w:hAnsi="Arial" w:hint="eastAsia"/>
          <w:color w:val="auto"/>
          <w:sz w:val="24"/>
          <w:szCs w:val="32"/>
        </w:rPr>
        <w:t>财政拨款收入：指单位从同级财政部门取得的财政预算资金。</w:t>
      </w:r>
    </w:p>
    <w:p>
      <w:pPr>
        <w:pStyle w:val="25"/>
        <w:adjustRightInd w:val="0"/>
        <w:snapToGrid/>
        <w:spacing w:beforeAutospacing="0" w:after="80" w:afterAutospacing="0" w:line="360" w:lineRule="auto"/>
        <w:ind w:left="0" w:firstLineChars="200" w:firstLine="480"/>
        <w:rPr>
          <w:rFonts w:ascii="Arial" w:eastAsia="黑体" w:hAnsi="Arial" w:hint="eastAsia"/>
          <w:color w:val="auto"/>
          <w:sz w:val="24"/>
          <w:szCs w:val="32"/>
        </w:rPr>
      </w:pPr>
      <w:r>
        <w:rPr>
          <w:rFonts w:ascii="Arial" w:eastAsia="黑体" w:hAnsi="Arial"/>
          <w:color w:val="auto"/>
          <w:sz w:val="24"/>
          <w:szCs w:val="32"/>
        </w:rPr>
        <w:t>2.</w:t>
      </w:r>
      <w:r>
        <w:rPr>
          <w:rFonts w:ascii="Arial" w:eastAsia="黑体" w:hAnsi="Arial" w:hint="eastAsia"/>
          <w:color w:val="auto"/>
          <w:sz w:val="24"/>
          <w:szCs w:val="32"/>
        </w:rPr>
        <w:t>事业收入：指事业单位开展专业业务活动及辅助活动取得的收入。</w:t>
      </w:r>
    </w:p>
    <w:p>
      <w:pPr>
        <w:pStyle w:val="25"/>
        <w:adjustRightInd w:val="0"/>
        <w:snapToGrid/>
        <w:spacing w:beforeAutospacing="0" w:after="80" w:afterAutospacing="0" w:line="360" w:lineRule="auto"/>
        <w:ind w:left="0" w:firstLineChars="200" w:firstLine="480"/>
        <w:rPr>
          <w:rFonts w:ascii="Arial" w:eastAsia="黑体" w:hAnsi="Arial" w:hint="eastAsia"/>
          <w:color w:val="auto"/>
          <w:sz w:val="24"/>
          <w:szCs w:val="32"/>
        </w:rPr>
      </w:pPr>
      <w:r>
        <w:rPr>
          <w:rFonts w:ascii="Arial" w:eastAsia="黑体" w:hAnsi="Arial"/>
          <w:color w:val="auto"/>
          <w:sz w:val="24"/>
          <w:szCs w:val="32"/>
        </w:rPr>
        <w:t>3.</w:t>
      </w:r>
      <w:r>
        <w:rPr>
          <w:rFonts w:ascii="Arial" w:eastAsia="黑体" w:hAnsi="Arial" w:hint="eastAsia"/>
          <w:color w:val="auto"/>
          <w:sz w:val="24"/>
          <w:szCs w:val="32"/>
        </w:rPr>
        <w:t>经营收入：指事业单位在专业业务活动及其辅助活动之外开展非独立核算经营活动取得的收入。</w:t>
      </w:r>
    </w:p>
    <w:p>
      <w:pPr>
        <w:pStyle w:val="25"/>
        <w:adjustRightInd w:val="0"/>
        <w:snapToGrid/>
        <w:spacing w:beforeAutospacing="0" w:after="80" w:afterAutospacing="0" w:line="360" w:lineRule="auto"/>
        <w:ind w:left="0" w:firstLineChars="200" w:firstLine="480"/>
        <w:rPr>
          <w:rFonts w:ascii="Arial" w:eastAsia="黑体" w:hAnsi="Arial"/>
          <w:color w:val="auto"/>
          <w:sz w:val="24"/>
          <w:szCs w:val="32"/>
        </w:rPr>
      </w:pPr>
      <w:r>
        <w:rPr>
          <w:rFonts w:ascii="Arial" w:eastAsia="黑体" w:hAnsi="Arial"/>
          <w:color w:val="auto"/>
          <w:sz w:val="24"/>
          <w:szCs w:val="32"/>
        </w:rPr>
        <w:t>4.</w:t>
      </w:r>
      <w:r>
        <w:rPr>
          <w:rFonts w:ascii="Arial" w:eastAsia="黑体" w:hAnsi="Arial" w:hint="eastAsia"/>
          <w:color w:val="auto"/>
          <w:sz w:val="24"/>
          <w:szCs w:val="32"/>
        </w:rPr>
        <w:t>其他收入：指单位取得的除上述收入以外的各项收入。</w:t>
      </w:r>
      <w:r>
        <w:rPr>
          <w:rFonts w:ascii="Arial" w:eastAsia="黑体" w:hAnsi="Arial"/>
          <w:color w:val="auto"/>
          <w:sz w:val="24"/>
          <w:szCs w:val="32"/>
        </w:rPr>
        <w:t xml:space="preserve"> </w:t>
      </w:r>
    </w:p>
    <w:p>
      <w:pPr>
        <w:pStyle w:val="25"/>
        <w:adjustRightInd w:val="0"/>
        <w:snapToGrid/>
        <w:spacing w:beforeAutospacing="0" w:after="80" w:afterAutospacing="0" w:line="360" w:lineRule="auto"/>
        <w:ind w:left="0" w:firstLineChars="200" w:firstLine="480"/>
        <w:rPr>
          <w:rFonts w:ascii="Arial" w:eastAsia="黑体" w:hAnsi="Arial"/>
          <w:color w:val="auto"/>
          <w:sz w:val="24"/>
          <w:szCs w:val="32"/>
        </w:rPr>
      </w:pPr>
      <w:r>
        <w:rPr>
          <w:rFonts w:ascii="Arial" w:eastAsia="黑体" w:hAnsi="Arial"/>
          <w:color w:val="auto"/>
          <w:sz w:val="24"/>
          <w:szCs w:val="32"/>
        </w:rPr>
        <w:t>5.</w:t>
      </w:r>
      <w:r>
        <w:rPr>
          <w:rFonts w:ascii="Arial" w:eastAsia="黑体" w:hAnsi="Arial" w:hint="eastAsia"/>
          <w:color w:val="auto"/>
          <w:sz w:val="24"/>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Arial" w:eastAsia="黑体" w:hAnsi="Arial"/>
          <w:color w:val="auto"/>
          <w:sz w:val="24"/>
          <w:szCs w:val="32"/>
        </w:rPr>
        <w:t xml:space="preserve"> </w:t>
      </w:r>
    </w:p>
    <w:p>
      <w:pPr>
        <w:pStyle w:val="25"/>
        <w:adjustRightInd w:val="0"/>
        <w:snapToGrid/>
        <w:spacing w:beforeAutospacing="0" w:after="80" w:afterAutospacing="0" w:line="360" w:lineRule="auto"/>
        <w:ind w:left="0" w:firstLineChars="200" w:firstLine="480"/>
        <w:rPr>
          <w:rFonts w:ascii="Arial" w:eastAsia="黑体" w:hAnsi="Arial"/>
          <w:color w:val="auto"/>
          <w:sz w:val="24"/>
          <w:szCs w:val="32"/>
        </w:rPr>
      </w:pPr>
      <w:r>
        <w:rPr>
          <w:rFonts w:ascii="Arial" w:eastAsia="黑体" w:hAnsi="Arial"/>
          <w:color w:val="auto"/>
          <w:sz w:val="24"/>
          <w:szCs w:val="32"/>
        </w:rPr>
        <w:t>6.</w:t>
      </w:r>
      <w:r>
        <w:rPr>
          <w:rFonts w:ascii="Arial" w:eastAsia="黑体" w:hAnsi="Arial" w:hint="eastAsia"/>
          <w:color w:val="auto"/>
          <w:sz w:val="24"/>
          <w:szCs w:val="32"/>
        </w:rPr>
        <w:t>年初结转和结余：指以前年度尚未完成、结转到本年按有关规定继续使用的资金。</w:t>
      </w:r>
      <w:r>
        <w:rPr>
          <w:rFonts w:ascii="Arial" w:eastAsia="黑体" w:hAnsi="Arial"/>
          <w:color w:val="auto"/>
          <w:sz w:val="24"/>
          <w:szCs w:val="32"/>
        </w:rPr>
        <w:t xml:space="preserve"> </w:t>
      </w:r>
    </w:p>
    <w:p>
      <w:pPr>
        <w:pStyle w:val="25"/>
        <w:adjustRightInd w:val="0"/>
        <w:snapToGrid/>
        <w:spacing w:beforeAutospacing="0" w:after="80" w:afterAutospacing="0" w:line="360" w:lineRule="auto"/>
        <w:ind w:left="0" w:firstLineChars="200" w:firstLine="480"/>
        <w:rPr>
          <w:rFonts w:ascii="Arial" w:eastAsia="黑体" w:hAnsi="Arial"/>
          <w:color w:val="auto"/>
          <w:sz w:val="24"/>
          <w:szCs w:val="32"/>
        </w:rPr>
      </w:pPr>
      <w:r>
        <w:rPr>
          <w:rFonts w:ascii="Arial" w:eastAsia="黑体" w:hAnsi="Arial"/>
          <w:color w:val="auto"/>
          <w:sz w:val="24"/>
          <w:szCs w:val="32"/>
        </w:rPr>
        <w:t>7.</w:t>
      </w:r>
      <w:r>
        <w:rPr>
          <w:rFonts w:ascii="Arial" w:eastAsia="黑体" w:hAnsi="Arial" w:hint="eastAsia"/>
          <w:color w:val="auto"/>
          <w:sz w:val="24"/>
          <w:szCs w:val="32"/>
        </w:rPr>
        <w:t>结余分配：指事业单位按照事业单位会计制度的规定从非财政补助结余中分配的事业基金和职工福利基金等。</w:t>
      </w:r>
    </w:p>
    <w:p>
      <w:pPr>
        <w:pStyle w:val="25"/>
        <w:adjustRightInd w:val="0"/>
        <w:snapToGrid/>
        <w:spacing w:beforeAutospacing="0" w:after="80" w:afterAutospacing="0" w:line="360" w:lineRule="auto"/>
        <w:ind w:left="0" w:firstLineChars="200" w:firstLine="480"/>
        <w:rPr>
          <w:rFonts w:ascii="Arial" w:eastAsia="黑体" w:hAnsi="Arial"/>
          <w:color w:val="auto"/>
          <w:sz w:val="24"/>
          <w:szCs w:val="32"/>
        </w:rPr>
      </w:pPr>
      <w:r>
        <w:rPr>
          <w:rFonts w:ascii="Arial" w:eastAsia="黑体" w:hAnsi="Arial"/>
          <w:color w:val="auto"/>
          <w:sz w:val="24"/>
          <w:szCs w:val="32"/>
        </w:rPr>
        <w:t>8</w:t>
      </w:r>
      <w:r>
        <w:rPr>
          <w:rFonts w:ascii="Arial" w:eastAsia="黑体" w:hAnsi="Arial" w:hint="eastAsia"/>
          <w:color w:val="auto"/>
          <w:sz w:val="24"/>
          <w:szCs w:val="32"/>
        </w:rPr>
        <w:t>、年末结转和结余：指单位按有关规定结转到下年或以后年度继续使用的资金。</w:t>
      </w:r>
    </w:p>
    <w:p>
      <w:pPr>
        <w:snapToGrid/>
        <w:spacing w:beforeAutospacing="0" w:after="80" w:afterAutospacing="0" w:line="360" w:lineRule="auto"/>
        <w:ind w:left="0" w:firstLineChars="200" w:firstLine="480"/>
        <w:rPr>
          <w:rFonts w:ascii="Arial" w:eastAsia="黑体" w:hAnsi="Arial" w:hint="eastAsia"/>
          <w:color w:val="auto"/>
          <w:sz w:val="24"/>
          <w:szCs w:val="32"/>
          <w:lang w:eastAsia="zh-CN"/>
        </w:rPr>
      </w:pPr>
      <w:r>
        <w:rPr>
          <w:rStyle w:val="23"/>
          <w:rFonts w:ascii="Arial" w:eastAsia="黑体" w:hAnsi="Arial" w:hint="eastAsia"/>
          <w:b w:val="0"/>
          <w:bCs w:val="0"/>
          <w:color w:val="auto"/>
          <w:sz w:val="24"/>
          <w:szCs w:val="32"/>
          <w:lang w:val="en-US" w:eastAsia="zh-CN"/>
        </w:rPr>
        <w:t>9</w:t>
      </w:r>
      <w:r>
        <w:rPr>
          <w:rStyle w:val="23"/>
          <w:rFonts w:ascii="Arial" w:eastAsia="黑体" w:hAnsi="Arial" w:hint="eastAsia"/>
          <w:b w:val="0"/>
          <w:bCs w:val="0"/>
          <w:color w:val="auto"/>
          <w:sz w:val="24"/>
          <w:szCs w:val="32"/>
        </w:rPr>
        <w:t>.社会保障和就业（类）行政事业单位离退休（款）（项）:</w:t>
      </w:r>
      <w:r>
        <w:rPr>
          <w:rFonts w:ascii="Arial" w:eastAsia="黑体" w:hAnsi="Arial" w:hint="eastAsia"/>
          <w:color w:val="auto"/>
          <w:sz w:val="24"/>
          <w:szCs w:val="32"/>
        </w:rPr>
        <w:t>是指反映用于行政事业单位离退休方面的支出。</w:t>
      </w:r>
    </w:p>
    <w:p>
      <w:pPr>
        <w:snapToGrid/>
        <w:spacing w:beforeAutospacing="0" w:after="80" w:afterAutospacing="0" w:line="360" w:lineRule="auto"/>
        <w:ind w:left="0" w:firstLineChars="200" w:firstLine="480"/>
        <w:rPr>
          <w:rStyle w:val="23"/>
          <w:rFonts w:ascii="Arial" w:eastAsia="黑体" w:hAnsi="Arial" w:hint="eastAsia"/>
          <w:b w:val="0"/>
          <w:bCs w:val="0"/>
          <w:color w:val="auto"/>
          <w:sz w:val="24"/>
          <w:szCs w:val="32"/>
        </w:rPr>
      </w:pPr>
      <w:r>
        <w:rPr>
          <w:rFonts w:ascii="Arial" w:eastAsia="黑体" w:hAnsi="Arial" w:hint="eastAsia"/>
          <w:color w:val="auto"/>
          <w:sz w:val="24"/>
          <w:szCs w:val="32"/>
          <w:lang w:val="en-US" w:eastAsia="zh-CN"/>
        </w:rPr>
        <w:t>10</w:t>
      </w:r>
      <w:r>
        <w:rPr>
          <w:rStyle w:val="23"/>
          <w:rFonts w:ascii="Arial" w:eastAsia="黑体" w:hAnsi="Arial" w:hint="eastAsia"/>
          <w:b w:val="0"/>
          <w:bCs w:val="0"/>
          <w:color w:val="auto"/>
          <w:sz w:val="24"/>
          <w:szCs w:val="32"/>
        </w:rPr>
        <w:t>.残疾人事业（类）残疾人康复、残疾人就业扶贫和其他残疾人事业支出（款）：是指残疾人联合会在用于残疾人康复、就业和扶贫等方面的支出。</w:t>
      </w:r>
    </w:p>
    <w:p>
      <w:pPr>
        <w:snapToGrid/>
        <w:spacing w:beforeAutospacing="0" w:after="80" w:afterAutospacing="0" w:line="360" w:lineRule="auto"/>
        <w:ind w:left="0" w:firstLineChars="200" w:firstLine="480"/>
        <w:rPr>
          <w:rFonts w:ascii="Arial" w:eastAsia="黑体" w:hAnsi="Arial" w:hint="eastAsia"/>
          <w:color w:val="auto"/>
          <w:sz w:val="24"/>
          <w:szCs w:val="32"/>
        </w:rPr>
      </w:pPr>
      <w:r>
        <w:rPr>
          <w:rStyle w:val="23"/>
          <w:rFonts w:ascii="Arial" w:eastAsia="黑体" w:hAnsi="Arial" w:hint="eastAsia"/>
          <w:b w:val="0"/>
          <w:bCs w:val="0"/>
          <w:color w:val="auto"/>
          <w:sz w:val="24"/>
          <w:szCs w:val="32"/>
          <w:lang w:val="en-US" w:eastAsia="zh-CN"/>
        </w:rPr>
        <w:t>11</w:t>
      </w:r>
      <w:r>
        <w:rPr>
          <w:rStyle w:val="23"/>
          <w:rFonts w:ascii="Arial" w:eastAsia="黑体" w:hAnsi="Arial" w:hint="eastAsia"/>
          <w:b w:val="0"/>
          <w:bCs w:val="0"/>
          <w:color w:val="auto"/>
          <w:sz w:val="24"/>
          <w:szCs w:val="32"/>
        </w:rPr>
        <w:t>.医疗卫生与计划生育（类）医疗保障（款）事业单位医疗（项）:</w:t>
      </w:r>
      <w:r>
        <w:rPr>
          <w:rFonts w:ascii="Arial" w:eastAsia="黑体" w:hAnsi="Arial" w:hint="eastAsia"/>
          <w:color w:val="auto"/>
          <w:sz w:val="24"/>
          <w:szCs w:val="32"/>
        </w:rPr>
        <w:t>是指财政部门集中安排的事业单基本医疗保险缴费经费，未参加医疗保险的事业单位的公费医疗经费，按国家规定享受离休人员待遇人员的医疗经费。</w:t>
      </w:r>
    </w:p>
    <w:p>
      <w:pPr>
        <w:snapToGrid/>
        <w:spacing w:beforeAutospacing="0" w:after="80" w:afterAutospacing="0" w:line="360" w:lineRule="auto"/>
        <w:ind w:left="0" w:firstLineChars="200" w:firstLine="480"/>
        <w:rPr>
          <w:rFonts w:ascii="Arial" w:eastAsia="黑体" w:hAnsi="Arial" w:hint="eastAsia"/>
          <w:color w:val="auto"/>
          <w:sz w:val="24"/>
          <w:szCs w:val="32"/>
        </w:rPr>
      </w:pPr>
      <w:r>
        <w:rPr>
          <w:rFonts w:ascii="Arial" w:eastAsia="黑体" w:hAnsi="Arial" w:hint="eastAsia"/>
          <w:color w:val="auto"/>
          <w:sz w:val="24"/>
          <w:szCs w:val="32"/>
        </w:rPr>
        <w:t>1</w:t>
      </w:r>
      <w:r>
        <w:rPr>
          <w:rFonts w:ascii="Arial" w:eastAsia="黑体" w:hAnsi="Arial" w:hint="eastAsia"/>
          <w:color w:val="auto"/>
          <w:sz w:val="24"/>
          <w:szCs w:val="32"/>
          <w:lang w:val="en-US" w:eastAsia="zh-CN"/>
        </w:rPr>
        <w:t>2</w:t>
      </w:r>
      <w:r>
        <w:rPr>
          <w:rFonts w:ascii="Arial" w:eastAsia="黑体" w:hAnsi="Arial" w:hint="eastAsia"/>
          <w:color w:val="auto"/>
          <w:sz w:val="24"/>
          <w:szCs w:val="32"/>
        </w:rPr>
        <w:t>、住房保障（</w:t>
      </w:r>
      <w:r>
        <w:rPr>
          <w:rStyle w:val="23"/>
          <w:rFonts w:ascii="Arial" w:eastAsia="黑体" w:hAnsi="Arial" w:hint="eastAsia"/>
          <w:b w:val="0"/>
          <w:bCs w:val="0"/>
          <w:color w:val="auto"/>
          <w:sz w:val="24"/>
          <w:szCs w:val="32"/>
        </w:rPr>
        <w:t>类</w:t>
      </w:r>
      <w:r>
        <w:rPr>
          <w:rFonts w:ascii="Arial" w:eastAsia="黑体" w:hAnsi="Arial" w:hint="eastAsia"/>
          <w:color w:val="auto"/>
          <w:sz w:val="24"/>
          <w:szCs w:val="32"/>
        </w:rPr>
        <w:t>）</w:t>
      </w:r>
      <w:r>
        <w:rPr>
          <w:rStyle w:val="23"/>
          <w:rFonts w:ascii="Arial" w:eastAsia="黑体" w:hAnsi="Arial" w:hint="eastAsia"/>
          <w:b w:val="0"/>
          <w:bCs w:val="0"/>
          <w:color w:val="auto"/>
          <w:sz w:val="24"/>
          <w:szCs w:val="32"/>
        </w:rPr>
        <w:t>住房改革（款）住房公积金（项）</w:t>
      </w:r>
      <w:r>
        <w:rPr>
          <w:rFonts w:ascii="Arial" w:eastAsia="黑体" w:hAnsi="Arial" w:hint="eastAsia"/>
          <w:color w:val="auto"/>
          <w:sz w:val="24"/>
          <w:szCs w:val="32"/>
        </w:rPr>
        <w:t>：是指行政事业单位按人力资源和社会保障部、财政部规定的基本工资和津贴以及规定比例为职工缴纳的住房公积金。</w:t>
      </w:r>
    </w:p>
    <w:p>
      <w:pPr>
        <w:snapToGrid/>
        <w:spacing w:beforeAutospacing="0" w:after="80" w:afterAutospacing="0" w:line="360" w:lineRule="auto"/>
        <w:ind w:left="0" w:firstLineChars="200" w:firstLine="480"/>
        <w:rPr>
          <w:rFonts w:ascii="Arial" w:eastAsia="黑体" w:hAnsi="Arial" w:hint="eastAsia"/>
          <w:color w:val="auto"/>
          <w:sz w:val="24"/>
          <w:szCs w:val="32"/>
        </w:rPr>
      </w:pPr>
      <w:r>
        <w:rPr>
          <w:rFonts w:ascii="Arial" w:eastAsia="黑体" w:hAnsi="Arial" w:hint="eastAsia"/>
          <w:color w:val="auto"/>
          <w:sz w:val="24"/>
          <w:szCs w:val="32"/>
        </w:rPr>
        <w:t>1</w:t>
      </w:r>
      <w:r>
        <w:rPr>
          <w:rFonts w:ascii="Arial" w:eastAsia="黑体" w:hAnsi="Arial" w:hint="eastAsia"/>
          <w:color w:val="auto"/>
          <w:sz w:val="24"/>
          <w:szCs w:val="32"/>
          <w:lang w:val="en-US" w:eastAsia="zh-CN"/>
        </w:rPr>
        <w:t>3</w:t>
      </w:r>
      <w:r>
        <w:rPr>
          <w:rFonts w:ascii="Arial" w:eastAsia="黑体" w:hAnsi="Arial" w:hint="eastAsia"/>
          <w:color w:val="auto"/>
          <w:sz w:val="24"/>
          <w:szCs w:val="32"/>
        </w:rPr>
        <w:t>、其他支出（类）彩票公益金及对应专款债务收入安排的支出（款）用于残疾人事业彩票公益金支出（项）：是指用于残疾人事业的彩票公益金支出。</w:t>
      </w:r>
    </w:p>
    <w:p>
      <w:pPr>
        <w:snapToGrid/>
        <w:spacing w:beforeAutospacing="0" w:after="80" w:afterAutospacing="0" w:line="360" w:lineRule="auto"/>
        <w:ind w:left="0" w:firstLineChars="200" w:firstLine="480"/>
        <w:rPr>
          <w:rFonts w:ascii="Arial" w:eastAsia="黑体" w:hAnsi="Arial"/>
          <w:color w:val="auto"/>
          <w:sz w:val="24"/>
          <w:szCs w:val="32"/>
        </w:rPr>
      </w:pPr>
      <w:r>
        <w:rPr>
          <w:rFonts w:ascii="Arial" w:eastAsia="黑体" w:hAnsi="Arial" w:hint="eastAsia"/>
          <w:color w:val="auto"/>
          <w:sz w:val="24"/>
          <w:szCs w:val="32"/>
          <w:lang w:val="en-US" w:eastAsia="zh-CN"/>
        </w:rPr>
        <w:t>14</w:t>
      </w:r>
      <w:r>
        <w:rPr>
          <w:rFonts w:ascii="Arial" w:eastAsia="黑体" w:hAnsi="Arial"/>
          <w:color w:val="auto"/>
          <w:sz w:val="24"/>
          <w:szCs w:val="32"/>
        </w:rPr>
        <w:t>.</w:t>
      </w:r>
      <w:r>
        <w:rPr>
          <w:rFonts w:ascii="Arial" w:eastAsia="黑体" w:hAnsi="Arial" w:hint="eastAsia"/>
          <w:color w:val="auto"/>
          <w:sz w:val="24"/>
          <w:szCs w:val="32"/>
        </w:rPr>
        <w:t>基本支出：指为保障机构正常运转、完成日常工作任务而发生的人员支出和公用支出。</w:t>
      </w:r>
    </w:p>
    <w:p>
      <w:pPr>
        <w:snapToGrid/>
        <w:spacing w:beforeAutospacing="0" w:after="80" w:afterAutospacing="0" w:line="360" w:lineRule="auto"/>
        <w:ind w:left="0" w:firstLineChars="200" w:firstLine="480"/>
        <w:rPr>
          <w:rFonts w:ascii="Arial" w:eastAsia="黑体" w:hAnsi="Arial"/>
          <w:color w:val="auto"/>
          <w:sz w:val="24"/>
          <w:szCs w:val="32"/>
        </w:rPr>
      </w:pPr>
      <w:r>
        <w:rPr>
          <w:rFonts w:ascii="Arial" w:eastAsia="黑体" w:hAnsi="Arial" w:hint="eastAsia"/>
          <w:color w:val="auto"/>
          <w:sz w:val="24"/>
          <w:szCs w:val="32"/>
          <w:lang w:val="en-US" w:eastAsia="zh-CN"/>
        </w:rPr>
        <w:t>15</w:t>
      </w:r>
      <w:r>
        <w:rPr>
          <w:rFonts w:ascii="Arial" w:eastAsia="黑体" w:hAnsi="Arial"/>
          <w:color w:val="auto"/>
          <w:sz w:val="24"/>
          <w:szCs w:val="32"/>
        </w:rPr>
        <w:t>.</w:t>
      </w:r>
      <w:r>
        <w:rPr>
          <w:rFonts w:ascii="Arial" w:eastAsia="黑体" w:hAnsi="Arial" w:hint="eastAsia"/>
          <w:color w:val="auto"/>
          <w:sz w:val="24"/>
          <w:szCs w:val="32"/>
        </w:rPr>
        <w:t>项目支出：指在基本支出之外为完成特定行政任务和事业发展目标所发生的支出。</w:t>
      </w:r>
      <w:r>
        <w:rPr>
          <w:rFonts w:ascii="Arial" w:eastAsia="黑体" w:hAnsi="Arial"/>
          <w:color w:val="auto"/>
          <w:sz w:val="24"/>
          <w:szCs w:val="32"/>
        </w:rPr>
        <w:t xml:space="preserve"> </w:t>
      </w:r>
    </w:p>
    <w:p>
      <w:pPr>
        <w:snapToGrid/>
        <w:spacing w:beforeAutospacing="0" w:after="80" w:afterAutospacing="0" w:line="360" w:lineRule="auto"/>
        <w:ind w:left="0" w:firstLineChars="200" w:firstLine="480"/>
        <w:rPr>
          <w:rFonts w:ascii="Arial" w:eastAsia="黑体" w:hAnsi="Arial"/>
          <w:color w:val="auto"/>
          <w:sz w:val="24"/>
          <w:szCs w:val="32"/>
        </w:rPr>
      </w:pPr>
      <w:r>
        <w:rPr>
          <w:rFonts w:ascii="Arial" w:eastAsia="黑体" w:hAnsi="Arial" w:hint="eastAsia"/>
          <w:color w:val="auto"/>
          <w:sz w:val="24"/>
          <w:szCs w:val="32"/>
          <w:lang w:val="en-US" w:eastAsia="zh-CN"/>
        </w:rPr>
        <w:t>16</w:t>
      </w:r>
      <w:r>
        <w:rPr>
          <w:rFonts w:ascii="Arial" w:eastAsia="黑体" w:hAnsi="Arial"/>
          <w:color w:val="auto"/>
          <w:sz w:val="24"/>
          <w:szCs w:val="32"/>
        </w:rPr>
        <w:t>.</w:t>
      </w:r>
      <w:r>
        <w:rPr>
          <w:rFonts w:ascii="Arial" w:eastAsia="黑体" w:hAnsi="Arial" w:hint="eastAsia"/>
          <w:color w:val="auto"/>
          <w:sz w:val="24"/>
          <w:szCs w:val="32"/>
        </w:rPr>
        <w:t>经营支出：指事业单位在专业业务活动及其辅助活动之外开展非独立核算经营活动发生的支出。</w:t>
      </w:r>
    </w:p>
    <w:p>
      <w:pPr>
        <w:pStyle w:val="25"/>
        <w:adjustRightInd w:val="0"/>
        <w:snapToGrid/>
        <w:spacing w:beforeAutospacing="0" w:after="80" w:afterAutospacing="0" w:line="360" w:lineRule="auto"/>
        <w:ind w:left="0" w:firstLineChars="200" w:firstLine="480"/>
        <w:rPr>
          <w:rFonts w:ascii="Arial" w:eastAsia="黑体" w:hAnsi="Arial"/>
          <w:color w:val="auto"/>
          <w:sz w:val="24"/>
          <w:szCs w:val="32"/>
        </w:rPr>
      </w:pPr>
      <w:r>
        <w:rPr>
          <w:rFonts w:ascii="Arial" w:eastAsia="黑体" w:hAnsi="Arial" w:hint="eastAsia"/>
          <w:color w:val="auto"/>
          <w:sz w:val="24"/>
          <w:szCs w:val="32"/>
          <w:lang w:val="en-US" w:eastAsia="zh-CN"/>
        </w:rPr>
        <w:t>17</w:t>
      </w:r>
      <w:r>
        <w:rPr>
          <w:rFonts w:ascii="Arial" w:eastAsia="黑体" w:hAnsi="Arial"/>
          <w:color w:val="auto"/>
          <w:sz w:val="24"/>
          <w:szCs w:val="32"/>
        </w:rPr>
        <w:t>.</w:t>
      </w:r>
      <w:r>
        <w:rPr>
          <w:rFonts w:ascii="Arial" w:eastAsia="黑体" w:hAnsi="Arial" w:hint="eastAsia"/>
          <w:color w:val="auto"/>
          <w:sz w:val="24"/>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adjustRightInd w:val="0"/>
        <w:snapToGrid/>
        <w:spacing w:beforeAutospacing="0" w:after="80" w:afterAutospacing="0" w:line="360" w:lineRule="auto"/>
        <w:ind w:left="0" w:firstLineChars="200" w:firstLine="480"/>
        <w:rPr>
          <w:rFonts w:ascii="Arial" w:eastAsia="黑体" w:hAnsi="Arial"/>
          <w:color w:val="auto"/>
          <w:sz w:val="24"/>
          <w:szCs w:val="32"/>
        </w:rPr>
      </w:pPr>
      <w:r>
        <w:rPr>
          <w:rFonts w:ascii="Arial" w:eastAsia="黑体" w:hAnsi="Arial" w:hint="eastAsia"/>
          <w:color w:val="auto"/>
          <w:sz w:val="24"/>
          <w:szCs w:val="32"/>
          <w:lang w:val="en-US" w:eastAsia="zh-CN"/>
        </w:rPr>
        <w:t>18</w:t>
      </w:r>
      <w:r>
        <w:rPr>
          <w:rFonts w:ascii="Arial" w:eastAsia="黑体" w:hAnsi="Arial"/>
          <w:color w:val="auto"/>
          <w:sz w:val="24"/>
          <w:szCs w:val="32"/>
        </w:rPr>
        <w:t>.</w:t>
      </w:r>
      <w:r>
        <w:rPr>
          <w:rFonts w:ascii="Arial" w:eastAsia="黑体" w:hAnsi="Arial" w:hint="eastAsia"/>
          <w:color w:val="auto"/>
          <w:sz w:val="24"/>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adjustRightInd w:val="0"/>
        <w:snapToGrid/>
        <w:spacing w:beforeAutospacing="0" w:after="80" w:afterAutospacing="0" w:line="360" w:lineRule="auto"/>
        <w:ind w:left="0" w:firstLineChars="200" w:firstLine="480"/>
        <w:rPr>
          <w:rFonts w:ascii="Arial" w:eastAsia="黑体" w:cs="黑体" w:hAnsi="Arial"/>
          <w:color w:val="auto"/>
          <w:sz w:val="24"/>
          <w:szCs w:val="32"/>
        </w:rPr>
      </w:pPr>
    </w:p>
    <w:p>
      <w:pPr>
        <w:snapToGrid/>
        <w:spacing w:before="320" w:beforeAutospacing="0" w:after="40" w:afterAutospacing="0" w:line="240" w:lineRule="auto"/>
        <w:ind w:left="0" w:right="0" w:firstLine="0"/>
        <w:jc w:val="left"/>
        <w:outlineLvl w:val="0"/>
        <w:rPr>
          <w:rStyle w:val="1Char"/>
          <w:rFonts w:ascii="Times New Roman" w:eastAsia="汉仪中宋简" w:hAnsi="Times New Roman"/>
          <w:b w:val="0"/>
          <w:color w:val="auto"/>
          <w:sz w:val="36"/>
        </w:rPr>
      </w:pPr>
      <w:bookmarkStart w:id="88" w:name="_Toc15377226"/>
      <w:r>
        <w:rPr>
          <w:rFonts w:ascii="Times New Roman" w:eastAsia="汉仪中宋简" w:hAnsi="Times New Roman"/>
          <w:b w:val="0"/>
          <w:color w:val="auto"/>
          <w:sz w:val="36"/>
          <w:szCs w:val="44"/>
        </w:rPr>
        <w:br w:type="page"/>
      </w:r>
      <w:bookmarkStart w:id="89" w:name="_Toc15396614"/>
      <w:bookmarkStart w:id="90" w:name="_Toc26015"/>
      <w:r>
        <w:rPr>
          <w:rFonts w:ascii="Times New Roman" w:eastAsia="汉仪中宋简" w:hAnsi="Times New Roman" w:hint="eastAsia"/>
          <w:b w:val="0"/>
          <w:color w:val="auto"/>
          <w:sz w:val="36"/>
          <w:szCs w:val="44"/>
        </w:rPr>
        <w:t>第</w:t>
      </w:r>
      <w:r>
        <w:rPr>
          <w:rStyle w:val="1Char"/>
          <w:rFonts w:ascii="Times New Roman" w:eastAsia="汉仪中宋简" w:hAnsi="Times New Roman" w:hint="eastAsia"/>
          <w:b w:val="0"/>
          <w:color w:val="auto"/>
          <w:sz w:val="36"/>
        </w:rPr>
        <w:t>四部分</w:t>
      </w:r>
      <w:r>
        <w:rPr>
          <w:rStyle w:val="1Char"/>
          <w:rFonts w:ascii="Times New Roman" w:eastAsia="汉仪中宋简" w:hAnsi="Times New Roman"/>
          <w:b w:val="0"/>
          <w:color w:val="auto"/>
          <w:sz w:val="36"/>
        </w:rPr>
        <w:t xml:space="preserve"> </w:t>
      </w:r>
      <w:r>
        <w:rPr>
          <w:rStyle w:val="1Char"/>
          <w:rFonts w:ascii="Times New Roman" w:eastAsia="汉仪中宋简" w:hAnsi="Times New Roman" w:hint="eastAsia"/>
          <w:b w:val="0"/>
          <w:color w:val="auto"/>
          <w:sz w:val="36"/>
        </w:rPr>
        <w:t>附件</w:t>
      </w:r>
      <w:bookmarkEnd w:id="89"/>
      <w:bookmarkEnd w:id="90"/>
    </w:p>
    <w:p>
      <w:pPr>
        <w:snapToGrid/>
        <w:spacing w:beforeAutospacing="0" w:after="80" w:afterAutospacing="0" w:line="360" w:lineRule="auto"/>
        <w:ind w:left="0" w:firstLine="0"/>
        <w:jc w:val="left"/>
        <w:outlineLvl w:val="1"/>
        <w:rPr>
          <w:rFonts w:ascii="Arial" w:eastAsia="黑体" w:cs="方正小标宋简体" w:hAnsi="Arial"/>
          <w:sz w:val="24"/>
          <w:szCs w:val="32"/>
        </w:rPr>
      </w:pPr>
      <w:bookmarkStart w:id="91" w:name="_Toc14641"/>
      <w:r>
        <w:rPr>
          <w:rFonts w:ascii="Arial" w:eastAsia="黑体" w:cs="黑体" w:hAnsi="Arial" w:hint="eastAsia"/>
          <w:sz w:val="24"/>
          <w:szCs w:val="32"/>
        </w:rPr>
        <w:t>附件</w:t>
      </w:r>
      <w:r>
        <w:rPr>
          <w:rFonts w:ascii="Arial" w:eastAsia="黑体" w:cs="黑体" w:hAnsi="Arial"/>
          <w:sz w:val="24"/>
          <w:szCs w:val="32"/>
        </w:rPr>
        <w:t>1</w:t>
      </w:r>
      <w:bookmarkEnd w:id="91"/>
    </w:p>
    <w:p>
      <w:pPr>
        <w:snapToGrid/>
        <w:spacing w:beforeAutospacing="0" w:after="80" w:afterAutospacing="0" w:line="360" w:lineRule="auto"/>
        <w:ind w:left="0" w:firstLine="0"/>
        <w:jc w:val="center"/>
        <w:rPr>
          <w:rFonts w:ascii="Arial" w:eastAsia="黑体" w:cs="方正小标宋简体" w:hAnsi="Arial"/>
          <w:sz w:val="24"/>
          <w:szCs w:val="44"/>
        </w:rPr>
      </w:pPr>
    </w:p>
    <w:p>
      <w:pPr>
        <w:snapToGrid/>
        <w:spacing w:beforeAutospacing="0" w:after="80" w:afterAutospacing="0" w:line="360" w:lineRule="auto"/>
        <w:ind w:left="0" w:firstLine="0"/>
        <w:jc w:val="center"/>
        <w:rPr>
          <w:rFonts w:ascii="Arial" w:eastAsia="黑体" w:hAnsi="Arial"/>
          <w:color w:val="auto"/>
          <w:kern w:val="0"/>
          <w:sz w:val="24"/>
          <w:szCs w:val="44"/>
          <w:lang w:val="zh-CN"/>
        </w:rPr>
      </w:pPr>
      <w:r>
        <w:rPr>
          <w:rFonts w:ascii="Arial" w:eastAsia="黑体" w:hAnsi="Arial" w:hint="eastAsia"/>
          <w:color w:val="auto"/>
          <w:kern w:val="0"/>
          <w:sz w:val="24"/>
          <w:szCs w:val="44"/>
          <w:lang w:eastAsia="zh-CN"/>
        </w:rPr>
        <w:t>区残联</w:t>
      </w:r>
      <w:r>
        <w:rPr>
          <w:rFonts w:ascii="Arial" w:eastAsia="黑体" w:hAnsi="Arial" w:hint="eastAsia"/>
          <w:color w:val="auto"/>
          <w:kern w:val="0"/>
          <w:sz w:val="24"/>
          <w:szCs w:val="44"/>
          <w:lang w:val="zh-CN"/>
        </w:rPr>
        <w:t>部门</w:t>
      </w:r>
      <w:r>
        <w:rPr>
          <w:rFonts w:ascii="Arial" w:eastAsia="黑体" w:hAnsi="Arial"/>
          <w:color w:val="auto"/>
          <w:kern w:val="0"/>
          <w:sz w:val="24"/>
          <w:szCs w:val="44"/>
        </w:rPr>
        <w:t>2020</w:t>
      </w:r>
      <w:r>
        <w:rPr>
          <w:rFonts w:ascii="Arial" w:eastAsia="黑体" w:hAnsi="Arial" w:hint="eastAsia"/>
          <w:color w:val="auto"/>
          <w:kern w:val="0"/>
          <w:sz w:val="24"/>
          <w:szCs w:val="44"/>
        </w:rPr>
        <w:t>年部门</w:t>
      </w:r>
      <w:r>
        <w:rPr>
          <w:rFonts w:ascii="Arial" w:eastAsia="黑体" w:hAnsi="Arial" w:hint="eastAsia"/>
          <w:color w:val="auto"/>
          <w:kern w:val="0"/>
          <w:sz w:val="24"/>
          <w:szCs w:val="44"/>
          <w:lang w:val="zh-CN"/>
        </w:rPr>
        <w:t>整体支出绩效评价报告</w:t>
      </w:r>
    </w:p>
    <w:p>
      <w:pPr>
        <w:widowControl/>
        <w:snapToGrid/>
        <w:spacing w:beforeAutospacing="0" w:after="80" w:afterAutospacing="0" w:line="360" w:lineRule="auto"/>
        <w:ind w:left="0" w:firstLineChars="200" w:firstLine="480"/>
        <w:contextualSpacing/>
        <w:jc w:val="center"/>
        <w:rPr>
          <w:rFonts w:ascii="Arial" w:eastAsia="黑体" w:hAnsi="Arial"/>
          <w:sz w:val="24"/>
          <w:szCs w:val="32"/>
          <w:shd w:val="clear" w:color="auto" w:fill="FFFFFF"/>
        </w:rPr>
      </w:pPr>
      <w:r>
        <w:rPr>
          <w:rFonts w:ascii="Arial" w:eastAsia="黑体" w:hAnsi="Arial" w:hint="eastAsia"/>
          <w:sz w:val="24"/>
          <w:szCs w:val="32"/>
          <w:shd w:val="clear" w:color="auto" w:fill="FFFFFF"/>
        </w:rPr>
        <w:t>（报告范围包括机关和下属单位）</w:t>
      </w:r>
    </w:p>
    <w:p>
      <w:pPr>
        <w:widowControl/>
        <w:adjustRightInd w:val="0"/>
        <w:snapToGrid/>
        <w:spacing w:beforeAutospacing="0" w:after="80" w:afterAutospacing="0" w:line="360" w:lineRule="auto"/>
        <w:ind w:left="0" w:firstLineChars="200" w:firstLine="480"/>
        <w:contextualSpacing/>
        <w:jc w:val="left"/>
        <w:rPr>
          <w:rFonts w:ascii="Arial" w:eastAsia="黑体" w:cs="宋体" w:hAnsi="Arial"/>
          <w:color w:val="auto"/>
          <w:kern w:val="0"/>
          <w:sz w:val="24"/>
          <w:szCs w:val="32"/>
          <w:shd w:val="clear" w:color="auto" w:fill="FFFFFF"/>
        </w:rPr>
      </w:pPr>
    </w:p>
    <w:p>
      <w:pPr>
        <w:widowControl/>
        <w:adjustRightInd w:val="0"/>
        <w:snapToGrid/>
        <w:spacing w:before="80" w:beforeAutospacing="0" w:afterAutospacing="0" w:line="360" w:lineRule="auto"/>
        <w:ind w:left="0" w:right="0" w:firstLine="0"/>
        <w:contextualSpacing/>
        <w:jc w:val="left"/>
        <w:outlineLvl w:val="1"/>
        <w:rPr>
          <w:rFonts w:ascii="Times New Roman" w:eastAsia="汉仪中宋简" w:cs="宋体" w:hAnsi="Times New Roman"/>
          <w:b w:val="0"/>
          <w:color w:val="auto"/>
          <w:kern w:val="0"/>
          <w:sz w:val="28"/>
          <w:szCs w:val="32"/>
          <w:shd w:val="clear" w:color="auto" w:fill="FFFFFF"/>
          <w:lang w:val="zh-CN"/>
        </w:rPr>
      </w:pPr>
      <w:bookmarkStart w:id="92" w:name="_Toc13150"/>
      <w:r>
        <w:rPr>
          <w:rFonts w:ascii="Times New Roman" w:eastAsia="汉仪中宋简" w:cs="宋体" w:hAnsi="Times New Roman" w:hint="eastAsia"/>
          <w:b w:val="0"/>
          <w:color w:val="auto"/>
          <w:kern w:val="0"/>
          <w:sz w:val="28"/>
          <w:szCs w:val="32"/>
          <w:shd w:val="clear" w:color="auto" w:fill="FFFFFF"/>
        </w:rPr>
        <w:t>一、</w:t>
      </w:r>
      <w:r>
        <w:rPr>
          <w:rFonts w:ascii="Times New Roman" w:eastAsia="汉仪中宋简" w:cs="宋体" w:hAnsi="Times New Roman" w:hint="eastAsia"/>
          <w:b w:val="0"/>
          <w:color w:val="auto"/>
          <w:kern w:val="0"/>
          <w:sz w:val="28"/>
          <w:szCs w:val="32"/>
          <w:shd w:val="clear" w:color="auto" w:fill="FFFFFF"/>
          <w:lang w:val="zh-CN"/>
        </w:rPr>
        <w:t>部门（单位）概况</w:t>
      </w:r>
      <w:bookmarkEnd w:id="92"/>
    </w:p>
    <w:p>
      <w:pPr>
        <w:pStyle w:val="22"/>
        <w:keepNext w:val="0"/>
        <w:keepLines w:val="0"/>
        <w:pageBreakBefore w:val="0"/>
        <w:widowControl/>
        <w:suppressLineNumbers w:val="0"/>
        <w:kinsoku/>
        <w:wordWrap/>
        <w:overflowPunct/>
        <w:topLinePunct w:val="0"/>
        <w:autoSpaceDE/>
        <w:autoSpaceDN/>
        <w:bidi w:val="0"/>
        <w:snapToGrid/>
        <w:spacing w:before="0" w:beforeAutospacing="0" w:after="80" w:afterAutospacing="0" w:line="360" w:lineRule="auto"/>
        <w:ind w:left="0" w:right="0" w:firstLineChars="200" w:firstLine="480"/>
        <w:jc w:val="left"/>
        <w:textAlignment w:val="auto"/>
        <w:rPr>
          <w:rFonts w:ascii="Arial" w:eastAsia="黑体" w:cs="仿宋" w:hAnsi="Arial" w:hint="eastAsia"/>
          <w:color w:val="auto"/>
          <w:kern w:val="0"/>
          <w:sz w:val="24"/>
          <w:szCs w:val="32"/>
          <w:lang w:val="zh-CN" w:eastAsia="zh-CN" w:bidi="ar-SA"/>
        </w:rPr>
      </w:pPr>
      <w:r>
        <w:rPr>
          <w:rFonts w:ascii="Arial" w:eastAsia="黑体" w:cs="仿宋" w:hAnsi="Arial" w:hint="eastAsia"/>
          <w:color w:val="auto"/>
          <w:kern w:val="0"/>
          <w:sz w:val="24"/>
          <w:szCs w:val="32"/>
          <w:lang w:val="zh-CN" w:eastAsia="zh-CN" w:bidi="ar-SA"/>
        </w:rPr>
        <w:t>（一）机构组成。</w:t>
      </w:r>
      <w:r>
        <w:rPr>
          <w:rFonts w:ascii="Arial" w:eastAsia="黑体" w:cs="仿宋" w:hAnsi="Arial" w:hint="eastAsia"/>
          <w:color w:val="auto"/>
          <w:kern w:val="0"/>
          <w:sz w:val="24"/>
          <w:szCs w:val="32"/>
          <w:lang w:val="en-US" w:eastAsia="zh-CN" w:bidi="ar-SA"/>
        </w:rPr>
        <w:t>区残联</w:t>
      </w:r>
      <w:r>
        <w:rPr>
          <w:rFonts w:ascii="Arial" w:eastAsia="黑体" w:cs="仿宋" w:hAnsi="Arial"/>
          <w:color w:val="auto"/>
          <w:kern w:val="0"/>
          <w:sz w:val="24"/>
          <w:szCs w:val="32"/>
          <w:lang w:val="en-US" w:eastAsia="zh-CN" w:bidi="ar-SA"/>
        </w:rPr>
        <w:t>下属</w:t>
      </w:r>
      <w:r>
        <w:rPr>
          <w:rFonts w:ascii="Arial" w:eastAsia="黑体" w:cs="仿宋" w:hAnsi="Arial" w:hint="eastAsia"/>
          <w:color w:val="auto"/>
          <w:kern w:val="0"/>
          <w:sz w:val="24"/>
          <w:szCs w:val="32"/>
          <w:lang w:val="en-US" w:eastAsia="zh-CN" w:bidi="ar-SA"/>
        </w:rPr>
        <w:t>事业单位1</w:t>
      </w:r>
      <w:r>
        <w:rPr>
          <w:rFonts w:ascii="Arial" w:eastAsia="黑体" w:cs="仿宋" w:hAnsi="Arial"/>
          <w:color w:val="auto"/>
          <w:kern w:val="0"/>
          <w:sz w:val="24"/>
          <w:szCs w:val="32"/>
          <w:lang w:val="en-US" w:eastAsia="zh-CN" w:bidi="ar-SA"/>
        </w:rPr>
        <w:t>个</w:t>
      </w:r>
      <w:r>
        <w:rPr>
          <w:rFonts w:ascii="Arial" w:eastAsia="黑体" w:cs="仿宋" w:hAnsi="Arial" w:hint="eastAsia"/>
          <w:color w:val="auto"/>
          <w:kern w:val="0"/>
          <w:sz w:val="24"/>
          <w:szCs w:val="32"/>
          <w:lang w:val="en-US" w:eastAsia="zh-CN" w:bidi="ar-SA"/>
        </w:rPr>
        <w:t>，广元市昭化区残疾人康复中心。</w:t>
      </w:r>
    </w:p>
    <w:p>
      <w:pPr>
        <w:pStyle w:val="22"/>
        <w:keepNext w:val="0"/>
        <w:keepLines w:val="0"/>
        <w:pageBreakBefore w:val="0"/>
        <w:widowControl/>
        <w:suppressLineNumbers w:val="0"/>
        <w:kinsoku/>
        <w:wordWrap/>
        <w:overflowPunct/>
        <w:topLinePunct w:val="0"/>
        <w:autoSpaceDE/>
        <w:autoSpaceDN/>
        <w:bidi w:val="0"/>
        <w:snapToGrid/>
        <w:spacing w:before="0" w:beforeAutospacing="0" w:after="80" w:afterAutospacing="0" w:line="360" w:lineRule="auto"/>
        <w:ind w:left="0" w:right="0" w:firstLineChars="200" w:firstLine="480"/>
        <w:jc w:val="left"/>
        <w:textAlignment w:val="auto"/>
        <w:rPr>
          <w:rFonts w:ascii="Arial" w:eastAsia="黑体" w:cs="仿宋" w:hAnsi="Arial" w:hint="eastAsia"/>
          <w:color w:val="auto"/>
          <w:kern w:val="0"/>
          <w:sz w:val="24"/>
          <w:szCs w:val="32"/>
          <w:lang w:val="en-US" w:eastAsia="zh-CN" w:bidi="ar-SA"/>
        </w:rPr>
      </w:pPr>
      <w:r>
        <w:rPr>
          <w:rFonts w:ascii="Arial" w:eastAsia="黑体" w:cs="仿宋" w:hAnsi="Arial" w:hint="eastAsia"/>
          <w:color w:val="auto"/>
          <w:kern w:val="0"/>
          <w:sz w:val="24"/>
          <w:szCs w:val="32"/>
          <w:lang w:val="zh-CN" w:eastAsia="zh-CN" w:bidi="ar-SA"/>
        </w:rPr>
        <w:t>（二）机构职能。</w:t>
      </w:r>
      <w:r>
        <w:rPr>
          <w:rFonts w:ascii="Arial" w:eastAsia="黑体" w:cs="仿宋" w:hAnsi="Arial" w:hint="eastAsia"/>
          <w:color w:val="auto"/>
          <w:kern w:val="0"/>
          <w:sz w:val="24"/>
          <w:szCs w:val="32"/>
          <w:lang w:val="en-US" w:eastAsia="zh-CN" w:bidi="ar-SA"/>
        </w:rPr>
        <w:t>1.听取残疾人意见，反映残疾人需求，维护残疾人权益，为残疾人服务。</w:t>
      </w:r>
    </w:p>
    <w:p>
      <w:pPr>
        <w:pStyle w:val="22"/>
        <w:keepNext w:val="0"/>
        <w:keepLines w:val="0"/>
        <w:pageBreakBefore w:val="0"/>
        <w:widowControl/>
        <w:suppressLineNumbers w:val="0"/>
        <w:kinsoku/>
        <w:wordWrap/>
        <w:overflowPunct/>
        <w:topLinePunct w:val="0"/>
        <w:autoSpaceDE/>
        <w:autoSpaceDN/>
        <w:bidi w:val="0"/>
        <w:snapToGrid/>
        <w:spacing w:before="0" w:beforeAutospacing="0" w:after="80" w:afterAutospacing="0" w:line="360" w:lineRule="auto"/>
        <w:ind w:left="0" w:right="0" w:firstLineChars="200" w:firstLine="480"/>
        <w:jc w:val="left"/>
        <w:textAlignment w:val="auto"/>
        <w:rPr>
          <w:rFonts w:ascii="Arial" w:eastAsia="黑体" w:cs="仿宋" w:hAnsi="Arial" w:hint="eastAsia"/>
          <w:color w:val="auto"/>
          <w:kern w:val="0"/>
          <w:sz w:val="24"/>
          <w:szCs w:val="32"/>
          <w:lang w:val="en-US" w:eastAsia="zh-CN" w:bidi="ar-SA"/>
        </w:rPr>
      </w:pPr>
      <w:r>
        <w:rPr>
          <w:rFonts w:ascii="Arial" w:eastAsia="黑体" w:cs="仿宋" w:hAnsi="Arial" w:hint="eastAsia"/>
          <w:color w:val="auto"/>
          <w:kern w:val="0"/>
          <w:sz w:val="24"/>
          <w:szCs w:val="32"/>
          <w:lang w:val="en-US" w:eastAsia="zh-CN" w:bidi="ar-SA"/>
        </w:rPr>
        <w:t>2.团结、教育残疾人遵守法律，履行应尽的义务，发挥乐观进取精神，自尊、自信、自强、自立，为社会主义建设贡献力量。</w:t>
      </w:r>
    </w:p>
    <w:p>
      <w:pPr>
        <w:pStyle w:val="22"/>
        <w:keepNext w:val="0"/>
        <w:keepLines w:val="0"/>
        <w:pageBreakBefore w:val="0"/>
        <w:widowControl/>
        <w:suppressLineNumbers w:val="0"/>
        <w:kinsoku/>
        <w:wordWrap/>
        <w:overflowPunct/>
        <w:topLinePunct w:val="0"/>
        <w:autoSpaceDE/>
        <w:autoSpaceDN/>
        <w:bidi w:val="0"/>
        <w:snapToGrid/>
        <w:spacing w:before="0" w:beforeAutospacing="0" w:after="80" w:afterAutospacing="0" w:line="360" w:lineRule="auto"/>
        <w:ind w:left="0" w:right="0" w:firstLineChars="200" w:firstLine="480"/>
        <w:jc w:val="left"/>
        <w:textAlignment w:val="auto"/>
        <w:rPr>
          <w:rFonts w:ascii="Arial" w:eastAsia="黑体" w:cs="仿宋" w:hAnsi="Arial" w:hint="eastAsia"/>
          <w:color w:val="auto"/>
          <w:kern w:val="0"/>
          <w:sz w:val="24"/>
          <w:szCs w:val="32"/>
          <w:lang w:val="en-US" w:eastAsia="zh-CN" w:bidi="ar-SA"/>
        </w:rPr>
      </w:pPr>
      <w:r>
        <w:rPr>
          <w:rFonts w:ascii="Arial" w:eastAsia="黑体" w:cs="仿宋" w:hAnsi="Arial" w:hint="eastAsia"/>
          <w:color w:val="auto"/>
          <w:kern w:val="0"/>
          <w:sz w:val="24"/>
          <w:szCs w:val="32"/>
          <w:lang w:val="en-US" w:eastAsia="zh-CN" w:bidi="ar-SA"/>
        </w:rPr>
        <w:t>3.弘扬人道主义，宣传残疾人事业，沟通政府、社会与残疾人之间的联系，动员社会理解、尊重、关心、帮助残疾人。</w:t>
      </w:r>
    </w:p>
    <w:p>
      <w:pPr>
        <w:pStyle w:val="22"/>
        <w:keepNext w:val="0"/>
        <w:keepLines w:val="0"/>
        <w:pageBreakBefore w:val="0"/>
        <w:widowControl/>
        <w:suppressLineNumbers w:val="0"/>
        <w:kinsoku/>
        <w:wordWrap/>
        <w:overflowPunct/>
        <w:topLinePunct w:val="0"/>
        <w:autoSpaceDE/>
        <w:autoSpaceDN/>
        <w:bidi w:val="0"/>
        <w:snapToGrid/>
        <w:spacing w:before="0" w:beforeAutospacing="0" w:after="80" w:afterAutospacing="0" w:line="360" w:lineRule="auto"/>
        <w:ind w:left="0" w:right="0" w:firstLineChars="200" w:firstLine="480"/>
        <w:jc w:val="left"/>
        <w:textAlignment w:val="auto"/>
        <w:rPr>
          <w:rFonts w:ascii="Arial" w:eastAsia="黑体" w:cs="仿宋" w:hAnsi="Arial" w:hint="eastAsia"/>
          <w:color w:val="auto"/>
          <w:kern w:val="0"/>
          <w:sz w:val="24"/>
          <w:szCs w:val="32"/>
          <w:lang w:val="en-US" w:eastAsia="zh-CN" w:bidi="ar-SA"/>
        </w:rPr>
      </w:pPr>
      <w:r>
        <w:rPr>
          <w:rFonts w:ascii="Arial" w:eastAsia="黑体" w:cs="仿宋" w:hAnsi="Arial" w:hint="eastAsia"/>
          <w:color w:val="auto"/>
          <w:kern w:val="0"/>
          <w:sz w:val="24"/>
          <w:szCs w:val="32"/>
          <w:lang w:val="en-US" w:eastAsia="zh-CN" w:bidi="ar-SA"/>
        </w:rPr>
        <w:t>4.开展残疾人康复、扶贫、教育、劳动就业、文化体育用品供应、福利、社会服务，保障残疾人平等参与社会生活。</w:t>
      </w:r>
    </w:p>
    <w:p>
      <w:pPr>
        <w:pStyle w:val="22"/>
        <w:keepNext w:val="0"/>
        <w:keepLines w:val="0"/>
        <w:pageBreakBefore w:val="0"/>
        <w:widowControl/>
        <w:suppressLineNumbers w:val="0"/>
        <w:kinsoku/>
        <w:wordWrap/>
        <w:overflowPunct/>
        <w:topLinePunct w:val="0"/>
        <w:autoSpaceDE/>
        <w:autoSpaceDN/>
        <w:bidi w:val="0"/>
        <w:snapToGrid/>
        <w:spacing w:before="0" w:beforeAutospacing="0" w:after="80" w:afterAutospacing="0" w:line="360" w:lineRule="auto"/>
        <w:ind w:left="0" w:right="0" w:firstLineChars="200" w:firstLine="480"/>
        <w:jc w:val="left"/>
        <w:textAlignment w:val="auto"/>
        <w:rPr>
          <w:rFonts w:ascii="Arial" w:eastAsia="黑体" w:cs="仿宋" w:hAnsi="Arial" w:hint="eastAsia"/>
          <w:color w:val="auto"/>
          <w:kern w:val="0"/>
          <w:sz w:val="24"/>
          <w:szCs w:val="32"/>
          <w:lang w:val="en-US" w:eastAsia="zh-CN" w:bidi="ar-SA"/>
        </w:rPr>
      </w:pPr>
      <w:r>
        <w:rPr>
          <w:rFonts w:ascii="Arial" w:eastAsia="黑体" w:cs="仿宋" w:hAnsi="Arial" w:hint="eastAsia"/>
          <w:color w:val="auto"/>
          <w:kern w:val="0"/>
          <w:sz w:val="24"/>
          <w:szCs w:val="32"/>
          <w:lang w:val="en-US" w:eastAsia="zh-CN" w:bidi="ar-SA"/>
        </w:rPr>
        <w:t>5.协助政府研究、制定和实施残疾人事业政策、规定和计划，起草有关保障残疾人权益的法规草案，调查掌握残疾人状况，向政府提出决策和建议，对有关业务领域进行指导和管理。</w:t>
      </w:r>
    </w:p>
    <w:p>
      <w:pPr>
        <w:pStyle w:val="22"/>
        <w:keepNext w:val="0"/>
        <w:keepLines w:val="0"/>
        <w:pageBreakBefore w:val="0"/>
        <w:widowControl/>
        <w:suppressLineNumbers w:val="0"/>
        <w:kinsoku/>
        <w:wordWrap/>
        <w:overflowPunct/>
        <w:topLinePunct w:val="0"/>
        <w:autoSpaceDE/>
        <w:autoSpaceDN/>
        <w:bidi w:val="0"/>
        <w:snapToGrid/>
        <w:spacing w:before="0" w:beforeAutospacing="0" w:after="80" w:afterAutospacing="0" w:line="360" w:lineRule="auto"/>
        <w:ind w:left="0" w:right="0" w:firstLineChars="200" w:firstLine="480"/>
        <w:jc w:val="left"/>
        <w:textAlignment w:val="auto"/>
        <w:rPr>
          <w:rFonts w:ascii="Arial" w:eastAsia="黑体" w:cs="仿宋" w:hAnsi="Arial" w:hint="eastAsia"/>
          <w:color w:val="auto"/>
          <w:kern w:val="0"/>
          <w:sz w:val="24"/>
          <w:szCs w:val="32"/>
          <w:lang w:val="en-US" w:eastAsia="zh-CN" w:bidi="ar-SA"/>
        </w:rPr>
      </w:pPr>
      <w:r>
        <w:rPr>
          <w:rFonts w:ascii="Arial" w:eastAsia="黑体" w:cs="仿宋" w:hAnsi="Arial" w:hint="eastAsia"/>
          <w:color w:val="auto"/>
          <w:kern w:val="0"/>
          <w:sz w:val="24"/>
          <w:szCs w:val="32"/>
          <w:lang w:val="en-US" w:eastAsia="zh-CN" w:bidi="ar-SA"/>
        </w:rPr>
        <w:t>6.承担区人民政府残疾人工作协调委员会的日常工作，做好综合、组织、协调和服务工作。</w:t>
      </w:r>
    </w:p>
    <w:p>
      <w:pPr>
        <w:pStyle w:val="22"/>
        <w:keepNext w:val="0"/>
        <w:keepLines w:val="0"/>
        <w:pageBreakBefore w:val="0"/>
        <w:widowControl/>
        <w:suppressLineNumbers w:val="0"/>
        <w:kinsoku/>
        <w:wordWrap/>
        <w:overflowPunct/>
        <w:topLinePunct w:val="0"/>
        <w:autoSpaceDE/>
        <w:autoSpaceDN/>
        <w:bidi w:val="0"/>
        <w:snapToGrid/>
        <w:spacing w:before="0" w:beforeAutospacing="0" w:after="80" w:afterAutospacing="0" w:line="360" w:lineRule="auto"/>
        <w:ind w:left="0" w:right="0" w:firstLineChars="200" w:firstLine="480"/>
        <w:jc w:val="left"/>
        <w:textAlignment w:val="auto"/>
        <w:rPr>
          <w:rFonts w:ascii="Arial" w:eastAsia="黑体" w:cs="仿宋" w:hAnsi="Arial" w:hint="eastAsia"/>
          <w:color w:val="auto"/>
          <w:kern w:val="0"/>
          <w:sz w:val="24"/>
          <w:szCs w:val="32"/>
          <w:lang w:val="en-US" w:eastAsia="zh-CN" w:bidi="ar-SA"/>
        </w:rPr>
      </w:pPr>
      <w:r>
        <w:rPr>
          <w:rFonts w:ascii="Arial" w:eastAsia="黑体" w:cs="仿宋" w:hAnsi="Arial" w:hint="eastAsia"/>
          <w:color w:val="auto"/>
          <w:kern w:val="0"/>
          <w:sz w:val="24"/>
          <w:szCs w:val="32"/>
          <w:lang w:val="en-US" w:eastAsia="zh-CN" w:bidi="ar-SA"/>
        </w:rPr>
        <w:t>7.组织实施残疾人分散按比例就业工作，组织管理残疾人福利企业，会同有关部门制定并监督实施残疾人社会福利企业的扶持保护政策。</w:t>
      </w:r>
    </w:p>
    <w:p>
      <w:pPr>
        <w:pStyle w:val="22"/>
        <w:keepNext w:val="0"/>
        <w:keepLines w:val="0"/>
        <w:pageBreakBefore w:val="0"/>
        <w:widowControl/>
        <w:suppressLineNumbers w:val="0"/>
        <w:kinsoku/>
        <w:wordWrap/>
        <w:overflowPunct/>
        <w:topLinePunct w:val="0"/>
        <w:autoSpaceDE/>
        <w:autoSpaceDN/>
        <w:bidi w:val="0"/>
        <w:snapToGrid/>
        <w:spacing w:before="0" w:beforeAutospacing="0" w:after="80" w:afterAutospacing="0" w:line="360" w:lineRule="auto"/>
        <w:ind w:left="0" w:right="0" w:firstLineChars="200" w:firstLine="480"/>
        <w:jc w:val="left"/>
        <w:textAlignment w:val="auto"/>
        <w:rPr>
          <w:rFonts w:ascii="Arial" w:eastAsia="黑体" w:cs="仿宋" w:hAnsi="Arial" w:hint="eastAsia"/>
          <w:color w:val="auto"/>
          <w:kern w:val="0"/>
          <w:sz w:val="24"/>
          <w:szCs w:val="32"/>
          <w:lang w:val="en-US" w:eastAsia="zh-CN" w:bidi="ar-SA"/>
        </w:rPr>
      </w:pPr>
      <w:r>
        <w:rPr>
          <w:rFonts w:ascii="Arial" w:eastAsia="黑体" w:cs="仿宋" w:hAnsi="Arial" w:hint="eastAsia"/>
          <w:color w:val="auto"/>
          <w:kern w:val="0"/>
          <w:sz w:val="24"/>
          <w:szCs w:val="32"/>
          <w:lang w:val="en-US" w:eastAsia="zh-CN" w:bidi="ar-SA"/>
        </w:rPr>
        <w:t>8.指导和管理残疾人社会团体组织。</w:t>
      </w:r>
    </w:p>
    <w:p>
      <w:pPr>
        <w:pStyle w:val="22"/>
        <w:keepNext w:val="0"/>
        <w:keepLines w:val="0"/>
        <w:pageBreakBefore w:val="0"/>
        <w:widowControl/>
        <w:suppressLineNumbers w:val="0"/>
        <w:kinsoku/>
        <w:wordWrap/>
        <w:overflowPunct/>
        <w:topLinePunct w:val="0"/>
        <w:autoSpaceDE/>
        <w:autoSpaceDN/>
        <w:bidi w:val="0"/>
        <w:snapToGrid/>
        <w:spacing w:before="0" w:beforeAutospacing="0" w:after="80" w:afterAutospacing="0" w:line="360" w:lineRule="auto"/>
        <w:ind w:left="0" w:right="0" w:firstLineChars="200" w:firstLine="480"/>
        <w:jc w:val="left"/>
        <w:textAlignment w:val="auto"/>
        <w:rPr>
          <w:rFonts w:ascii="Arial" w:eastAsia="黑体" w:cs="仿宋" w:hAnsi="Arial" w:hint="eastAsia"/>
          <w:color w:val="auto"/>
          <w:kern w:val="0"/>
          <w:sz w:val="24"/>
          <w:szCs w:val="32"/>
          <w:lang w:val="en-US" w:eastAsia="zh-CN" w:bidi="ar-SA"/>
        </w:rPr>
      </w:pPr>
      <w:r>
        <w:rPr>
          <w:rFonts w:ascii="Arial" w:eastAsia="黑体" w:cs="仿宋" w:hAnsi="Arial" w:hint="eastAsia"/>
          <w:color w:val="auto"/>
          <w:kern w:val="0"/>
          <w:sz w:val="24"/>
          <w:szCs w:val="32"/>
          <w:lang w:val="en-US" w:eastAsia="zh-CN" w:bidi="ar-SA"/>
        </w:rPr>
        <w:t>9.统筹开展为残疾人事业募捐活动。</w:t>
      </w:r>
    </w:p>
    <w:p>
      <w:pPr>
        <w:pStyle w:val="22"/>
        <w:keepNext w:val="0"/>
        <w:keepLines w:val="0"/>
        <w:pageBreakBefore w:val="0"/>
        <w:widowControl/>
        <w:suppressLineNumbers w:val="0"/>
        <w:kinsoku/>
        <w:wordWrap/>
        <w:overflowPunct/>
        <w:topLinePunct w:val="0"/>
        <w:autoSpaceDE/>
        <w:autoSpaceDN/>
        <w:bidi w:val="0"/>
        <w:snapToGrid/>
        <w:spacing w:before="0" w:beforeAutospacing="0" w:after="80" w:afterAutospacing="0" w:line="360" w:lineRule="auto"/>
        <w:ind w:left="0" w:right="0" w:firstLineChars="200" w:firstLine="480"/>
        <w:jc w:val="left"/>
        <w:textAlignment w:val="auto"/>
        <w:rPr>
          <w:rFonts w:ascii="Arial" w:eastAsia="黑体" w:cs="仿宋" w:hAnsi="Arial" w:hint="eastAsia"/>
          <w:color w:val="auto"/>
          <w:kern w:val="0"/>
          <w:sz w:val="24"/>
          <w:szCs w:val="32"/>
          <w:lang w:val="en-US" w:eastAsia="zh-CN" w:bidi="ar-SA"/>
        </w:rPr>
      </w:pPr>
      <w:r>
        <w:rPr>
          <w:rFonts w:ascii="Arial" w:eastAsia="黑体" w:cs="仿宋" w:hAnsi="Arial" w:hint="eastAsia"/>
          <w:color w:val="auto"/>
          <w:kern w:val="0"/>
          <w:sz w:val="24"/>
          <w:szCs w:val="32"/>
          <w:lang w:val="en-US" w:eastAsia="zh-CN" w:bidi="ar-SA"/>
        </w:rPr>
        <w:t>10.开展残疾人事业的对外交流活动与合作。</w:t>
      </w:r>
    </w:p>
    <w:p>
      <w:pPr>
        <w:pStyle w:val="22"/>
        <w:keepNext w:val="0"/>
        <w:keepLines w:val="0"/>
        <w:pageBreakBefore w:val="0"/>
        <w:widowControl/>
        <w:suppressLineNumbers w:val="0"/>
        <w:kinsoku/>
        <w:wordWrap/>
        <w:overflowPunct/>
        <w:topLinePunct w:val="0"/>
        <w:autoSpaceDE/>
        <w:autoSpaceDN/>
        <w:bidi w:val="0"/>
        <w:snapToGrid/>
        <w:spacing w:before="0" w:beforeAutospacing="0" w:after="80" w:afterAutospacing="0" w:line="360" w:lineRule="auto"/>
        <w:ind w:left="0" w:right="0" w:firstLineChars="200" w:firstLine="480"/>
        <w:jc w:val="left"/>
        <w:textAlignment w:val="auto"/>
        <w:rPr>
          <w:rFonts w:ascii="Arial" w:eastAsia="黑体" w:cs="仿宋" w:hAnsi="Arial" w:hint="eastAsia"/>
          <w:color w:val="auto"/>
          <w:kern w:val="0"/>
          <w:sz w:val="24"/>
          <w:szCs w:val="32"/>
          <w:lang w:val="zh-CN" w:eastAsia="zh-CN" w:bidi="ar-SA"/>
        </w:rPr>
      </w:pPr>
      <w:r>
        <w:rPr>
          <w:rFonts w:ascii="Arial" w:eastAsia="黑体" w:cs="仿宋" w:hAnsi="Arial" w:hint="eastAsia"/>
          <w:color w:val="auto"/>
          <w:kern w:val="0"/>
          <w:sz w:val="24"/>
          <w:szCs w:val="32"/>
          <w:lang w:val="en-US" w:eastAsia="zh-CN" w:bidi="ar-SA"/>
        </w:rPr>
        <w:t>11.承办区政府和上级残联交办的其它工作。</w:t>
      </w:r>
    </w:p>
    <w:p>
      <w:pPr>
        <w:keepNext w:val="0"/>
        <w:keepLines w:val="0"/>
        <w:pageBreakBefore w:val="0"/>
        <w:widowControl/>
        <w:kinsoku/>
        <w:wordWrap/>
        <w:overflowPunct/>
        <w:topLinePunct w:val="0"/>
        <w:autoSpaceDE/>
        <w:autoSpaceDN/>
        <w:bidi w:val="0"/>
        <w:adjustRightInd w:val="0"/>
        <w:snapToGrid/>
        <w:spacing w:beforeAutospacing="0" w:after="80" w:afterAutospacing="0" w:line="360" w:lineRule="auto"/>
        <w:ind w:left="0" w:firstLineChars="200" w:firstLine="480"/>
        <w:contextualSpacing/>
        <w:jc w:val="left"/>
        <w:textAlignment w:val="auto"/>
        <w:rPr>
          <w:rFonts w:ascii="Arial" w:eastAsia="黑体" w:cs="仿宋" w:hAnsi="Arial" w:hint="eastAsia"/>
          <w:color w:val="auto"/>
          <w:kern w:val="0"/>
          <w:sz w:val="24"/>
          <w:szCs w:val="32"/>
          <w:lang w:val="zh-CN" w:eastAsia="zh-CN" w:bidi="ar-SA"/>
        </w:rPr>
      </w:pPr>
      <w:r>
        <w:rPr>
          <w:rFonts w:ascii="Arial" w:eastAsia="黑体" w:cs="仿宋" w:hAnsi="Arial" w:hint="eastAsia"/>
          <w:color w:val="auto"/>
          <w:kern w:val="0"/>
          <w:sz w:val="24"/>
          <w:szCs w:val="32"/>
          <w:lang w:val="zh-CN" w:eastAsia="zh-CN" w:bidi="ar-SA"/>
        </w:rPr>
        <w:t>（三）人员概况。</w:t>
      </w:r>
      <w:r>
        <w:rPr>
          <w:rFonts w:ascii="Arial" w:eastAsia="黑体" w:cs="仿宋" w:hAnsi="Arial" w:hint="eastAsia"/>
          <w:color w:val="auto"/>
          <w:kern w:val="0"/>
          <w:sz w:val="24"/>
          <w:szCs w:val="32"/>
          <w:lang w:val="en-US" w:eastAsia="zh-CN" w:bidi="ar-SA"/>
        </w:rPr>
        <w:t>区残疾人联合会下属事业单位1个。总编制5人，其中：行政编制3人，事业编制2人。在职人员共8人，其中：行政人员6人，事业人员2人。退休人员2人。</w:t>
      </w:r>
    </w:p>
    <w:p>
      <w:pPr>
        <w:widowControl/>
        <w:adjustRightInd w:val="0"/>
        <w:snapToGrid/>
        <w:spacing w:before="80" w:beforeAutospacing="0" w:afterAutospacing="0" w:line="360" w:lineRule="auto"/>
        <w:ind w:left="0" w:right="0" w:firstLine="0"/>
        <w:contextualSpacing/>
        <w:jc w:val="left"/>
        <w:outlineLvl w:val="1"/>
        <w:rPr>
          <w:rFonts w:ascii="Times New Roman" w:eastAsia="汉仪中宋简" w:cs="宋体" w:hAnsi="Times New Roman"/>
          <w:b w:val="0"/>
          <w:color w:val="auto"/>
          <w:kern w:val="0"/>
          <w:sz w:val="28"/>
          <w:szCs w:val="32"/>
          <w:shd w:val="clear" w:color="auto" w:fill="FFFFFF"/>
        </w:rPr>
      </w:pPr>
      <w:bookmarkStart w:id="93" w:name="_Toc6170"/>
      <w:r>
        <w:rPr>
          <w:rFonts w:ascii="Times New Roman" w:eastAsia="汉仪中宋简" w:cs="宋体" w:hAnsi="Times New Roman" w:hint="eastAsia"/>
          <w:b w:val="0"/>
          <w:color w:val="auto"/>
          <w:kern w:val="0"/>
          <w:sz w:val="28"/>
          <w:szCs w:val="32"/>
          <w:shd w:val="clear" w:color="auto" w:fill="FFFFFF"/>
        </w:rPr>
        <w:t>二、部门财政资金收支情况</w:t>
      </w:r>
      <w:bookmarkEnd w:id="93"/>
    </w:p>
    <w:p>
      <w:pPr>
        <w:snapToGrid/>
        <w:spacing w:before="80" w:beforeAutospacing="0" w:afterAutospacing="0" w:line="240" w:lineRule="auto"/>
        <w:ind w:left="0" w:right="0" w:firstLine="0"/>
        <w:jc w:val="left"/>
        <w:outlineLvl w:val="2"/>
        <w:rPr>
          <w:rFonts w:ascii="Times New Roman" w:eastAsia="汉仪中宋简" w:cs="宋体" w:hAnsi="Times New Roman" w:hint="eastAsia"/>
          <w:b w:val="0"/>
          <w:color w:val="auto"/>
          <w:kern w:val="0"/>
          <w:sz w:val="26"/>
          <w:szCs w:val="32"/>
          <w:shd w:val="clear" w:color="auto" w:fill="FFFFFF"/>
          <w:lang w:val="en-US" w:eastAsia="zh-CN"/>
        </w:rPr>
      </w:pPr>
      <w:bookmarkStart w:id="94" w:name="_Toc6728"/>
      <w:r>
        <w:rPr>
          <w:rFonts w:ascii="Times New Roman" w:eastAsia="汉仪中宋简" w:cs="宋体" w:hAnsi="Times New Roman" w:hint="eastAsia"/>
          <w:b w:val="0"/>
          <w:color w:val="auto"/>
          <w:kern w:val="0"/>
          <w:sz w:val="26"/>
          <w:szCs w:val="32"/>
          <w:shd w:val="clear" w:color="auto" w:fill="FFFFFF"/>
          <w:lang w:val="zh-CN"/>
        </w:rPr>
        <w:t>（一）部门财政资金收入情况。</w:t>
      </w:r>
      <w:bookmarkEnd w:id="94"/>
      <w:r>
        <w:rPr>
          <w:rFonts w:ascii="Times New Roman" w:eastAsia="汉仪中宋简" w:cs="宋体" w:hAnsi="Times New Roman" w:hint="eastAsia"/>
          <w:b w:val="0"/>
          <w:color w:val="auto"/>
          <w:kern w:val="0"/>
          <w:sz w:val="26"/>
          <w:szCs w:val="32"/>
          <w:shd w:val="clear" w:color="auto" w:fill="FFFFFF"/>
          <w:lang w:val="en-US" w:eastAsia="zh-CN"/>
        </w:rPr>
        <w:t xml:space="preserve"> </w:t>
      </w:r>
    </w:p>
    <w:p>
      <w:pPr>
        <w:snapToGrid/>
        <w:spacing w:beforeAutospacing="0" w:after="80" w:afterAutospacing="0" w:line="360" w:lineRule="auto"/>
        <w:ind w:left="0" w:firstLineChars="200" w:firstLine="480"/>
        <w:outlineLvl w:val="1"/>
        <w:rPr>
          <w:rFonts w:ascii="Arial" w:eastAsia="黑体" w:cs="宋体" w:hAnsi="Arial"/>
          <w:color w:val="auto"/>
          <w:kern w:val="0"/>
          <w:sz w:val="24"/>
          <w:szCs w:val="32"/>
          <w:shd w:val="clear" w:color="auto" w:fill="FFFFFF"/>
          <w:lang w:val="zh-CN"/>
        </w:rPr>
      </w:pPr>
      <w:bookmarkStart w:id="95" w:name="_Toc17419"/>
      <w:r>
        <w:rPr>
          <w:rFonts w:ascii="Arial" w:eastAsia="黑体" w:hAnsi="Arial"/>
          <w:color w:val="auto"/>
          <w:sz w:val="24"/>
          <w:szCs w:val="32"/>
        </w:rPr>
        <w:t>2020</w:t>
      </w:r>
      <w:r>
        <w:rPr>
          <w:rFonts w:ascii="Arial" w:eastAsia="黑体" w:hAnsi="Arial" w:hint="eastAsia"/>
          <w:color w:val="auto"/>
          <w:sz w:val="24"/>
          <w:szCs w:val="32"/>
        </w:rPr>
        <w:t>年本年收入合计</w:t>
      </w:r>
      <w:r>
        <w:rPr>
          <w:rFonts w:ascii="Arial" w:eastAsia="黑体" w:hAnsi="Arial" w:hint="eastAsia"/>
          <w:color w:val="auto"/>
          <w:sz w:val="24"/>
          <w:szCs w:val="32"/>
          <w:lang w:val="en-US" w:eastAsia="zh-CN"/>
        </w:rPr>
        <w:t>504.65</w:t>
      </w:r>
      <w:r>
        <w:rPr>
          <w:rFonts w:ascii="Arial" w:eastAsia="黑体" w:hAnsi="Arial" w:hint="eastAsia"/>
          <w:color w:val="auto"/>
          <w:sz w:val="24"/>
          <w:szCs w:val="32"/>
        </w:rPr>
        <w:t>万元，其中：一般公共预算财政拨款收入</w:t>
      </w:r>
      <w:r>
        <w:rPr>
          <w:rFonts w:ascii="Arial" w:eastAsia="黑体" w:hAnsi="Arial" w:hint="eastAsia"/>
          <w:color w:val="auto"/>
          <w:sz w:val="24"/>
          <w:szCs w:val="32"/>
          <w:lang w:val="en-US" w:eastAsia="zh-CN"/>
        </w:rPr>
        <w:t>474.59</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94.1</w:t>
      </w:r>
      <w:r>
        <w:rPr>
          <w:rFonts w:ascii="Arial" w:eastAsia="黑体" w:hAnsi="Arial"/>
          <w:color w:val="auto"/>
          <w:sz w:val="24"/>
          <w:szCs w:val="32"/>
        </w:rPr>
        <w:t>%</w:t>
      </w:r>
      <w:r>
        <w:rPr>
          <w:rFonts w:ascii="Arial" w:eastAsia="黑体" w:hAnsi="Arial" w:hint="eastAsia"/>
          <w:color w:val="auto"/>
          <w:sz w:val="24"/>
          <w:szCs w:val="32"/>
        </w:rPr>
        <w:t>；政府性基金预算财政拨款收入</w:t>
      </w:r>
      <w:r>
        <w:rPr>
          <w:rFonts w:ascii="Arial" w:eastAsia="黑体" w:hAnsi="Arial" w:hint="eastAsia"/>
          <w:color w:val="auto"/>
          <w:sz w:val="24"/>
          <w:szCs w:val="32"/>
          <w:lang w:val="en-US" w:eastAsia="zh-CN"/>
        </w:rPr>
        <w:t>30.06</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5.9</w:t>
      </w:r>
      <w:r>
        <w:rPr>
          <w:rFonts w:ascii="Arial" w:eastAsia="黑体" w:hAnsi="Arial"/>
          <w:color w:val="auto"/>
          <w:sz w:val="24"/>
          <w:szCs w:val="32"/>
        </w:rPr>
        <w:t>%</w:t>
      </w:r>
      <w:r>
        <w:rPr>
          <w:rFonts w:ascii="Arial" w:eastAsia="黑体" w:hAnsi="Arial" w:hint="eastAsia"/>
          <w:color w:val="auto"/>
          <w:sz w:val="24"/>
          <w:szCs w:val="32"/>
        </w:rPr>
        <w:t>；上级补助收入</w:t>
      </w:r>
      <w:r>
        <w:rPr>
          <w:rFonts w:ascii="Arial" w:eastAsia="黑体" w:hAnsi="Arial" w:hint="eastAsia"/>
          <w:color w:val="auto"/>
          <w:sz w:val="24"/>
          <w:szCs w:val="32"/>
          <w:lang w:val="en-US" w:eastAsia="zh-CN"/>
        </w:rPr>
        <w:t>504.65</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100</w:t>
      </w:r>
      <w:r>
        <w:rPr>
          <w:rFonts w:ascii="Arial" w:eastAsia="黑体" w:hAnsi="Arial"/>
          <w:color w:val="auto"/>
          <w:sz w:val="24"/>
          <w:szCs w:val="32"/>
        </w:rPr>
        <w:t>%</w:t>
      </w:r>
      <w:r>
        <w:rPr>
          <w:rFonts w:ascii="Arial" w:eastAsia="黑体" w:hAnsi="Arial" w:hint="eastAsia"/>
          <w:color w:val="auto"/>
          <w:sz w:val="24"/>
          <w:szCs w:val="32"/>
        </w:rPr>
        <w:t>；事业收入</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0</w:t>
      </w:r>
      <w:r>
        <w:rPr>
          <w:rFonts w:ascii="Arial" w:eastAsia="黑体" w:hAnsi="Arial"/>
          <w:color w:val="auto"/>
          <w:sz w:val="24"/>
          <w:szCs w:val="32"/>
        </w:rPr>
        <w:t>%</w:t>
      </w:r>
      <w:r>
        <w:rPr>
          <w:rFonts w:ascii="Arial" w:eastAsia="黑体" w:hAnsi="Arial" w:hint="eastAsia"/>
          <w:color w:val="auto"/>
          <w:sz w:val="24"/>
          <w:szCs w:val="32"/>
        </w:rPr>
        <w:t>；经营收入</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0</w:t>
      </w:r>
      <w:r>
        <w:rPr>
          <w:rFonts w:ascii="Arial" w:eastAsia="黑体" w:hAnsi="Arial"/>
          <w:color w:val="auto"/>
          <w:sz w:val="24"/>
          <w:szCs w:val="32"/>
        </w:rPr>
        <w:t>%</w:t>
      </w:r>
      <w:r>
        <w:rPr>
          <w:rFonts w:ascii="Arial" w:eastAsia="黑体" w:hAnsi="Arial" w:hint="eastAsia"/>
          <w:color w:val="auto"/>
          <w:sz w:val="24"/>
          <w:szCs w:val="32"/>
        </w:rPr>
        <w:t>；附属单位上缴收入</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0</w:t>
      </w:r>
      <w:r>
        <w:rPr>
          <w:rFonts w:ascii="Arial" w:eastAsia="黑体" w:hAnsi="Arial"/>
          <w:color w:val="auto"/>
          <w:sz w:val="24"/>
          <w:szCs w:val="32"/>
        </w:rPr>
        <w:t>%</w:t>
      </w:r>
      <w:r>
        <w:rPr>
          <w:rFonts w:ascii="Arial" w:eastAsia="黑体" w:hAnsi="Arial" w:hint="eastAsia"/>
          <w:color w:val="auto"/>
          <w:sz w:val="24"/>
          <w:szCs w:val="32"/>
        </w:rPr>
        <w:t>；其他收入</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0</w:t>
      </w:r>
      <w:r>
        <w:rPr>
          <w:rFonts w:ascii="Arial" w:eastAsia="黑体" w:hAnsi="Arial"/>
          <w:color w:val="auto"/>
          <w:sz w:val="24"/>
          <w:szCs w:val="32"/>
        </w:rPr>
        <w:t>%</w:t>
      </w:r>
      <w:r>
        <w:rPr>
          <w:rFonts w:ascii="Arial" w:eastAsia="黑体" w:hAnsi="Arial" w:hint="eastAsia"/>
          <w:color w:val="auto"/>
          <w:sz w:val="24"/>
          <w:szCs w:val="32"/>
        </w:rPr>
        <w:t>。</w:t>
      </w:r>
      <w:bookmarkEnd w:id="95"/>
    </w:p>
    <w:p>
      <w:pPr>
        <w:snapToGrid/>
        <w:spacing w:before="80" w:beforeAutospacing="0" w:afterAutospacing="0" w:line="240" w:lineRule="auto"/>
        <w:ind w:left="0" w:right="0" w:firstLine="0"/>
        <w:jc w:val="left"/>
        <w:outlineLvl w:val="2"/>
        <w:rPr>
          <w:rFonts w:ascii="Times New Roman" w:eastAsia="汉仪中宋简" w:cs="宋体" w:hAnsi="Times New Roman" w:hint="eastAsia"/>
          <w:b w:val="0"/>
          <w:color w:val="auto"/>
          <w:kern w:val="0"/>
          <w:sz w:val="26"/>
          <w:szCs w:val="32"/>
          <w:shd w:val="clear" w:color="auto" w:fill="FFFFFF"/>
          <w:lang w:val="zh-CN"/>
        </w:rPr>
      </w:pPr>
      <w:bookmarkStart w:id="96" w:name="_Toc12688"/>
      <w:r>
        <w:rPr>
          <w:rFonts w:ascii="Times New Roman" w:eastAsia="汉仪中宋简" w:cs="宋体" w:hAnsi="Times New Roman" w:hint="eastAsia"/>
          <w:b w:val="0"/>
          <w:color w:val="auto"/>
          <w:kern w:val="0"/>
          <w:sz w:val="26"/>
          <w:szCs w:val="32"/>
          <w:shd w:val="clear" w:color="auto" w:fill="FFFFFF"/>
          <w:lang w:val="zh-CN"/>
        </w:rPr>
        <w:t>（二）部门财政资金支出情况。</w:t>
      </w:r>
      <w:bookmarkEnd w:id="96"/>
    </w:p>
    <w:p>
      <w:pPr>
        <w:snapToGrid/>
        <w:spacing w:beforeAutospacing="0" w:after="80" w:afterAutospacing="0" w:line="360" w:lineRule="auto"/>
        <w:ind w:left="0" w:firstLineChars="200" w:firstLine="480"/>
        <w:rPr>
          <w:rFonts w:ascii="Arial" w:eastAsia="黑体" w:cs="宋体" w:hAnsi="Arial"/>
          <w:color w:val="auto"/>
          <w:kern w:val="0"/>
          <w:sz w:val="24"/>
          <w:szCs w:val="32"/>
          <w:shd w:val="clear" w:color="auto" w:fill="FFFFFF"/>
          <w:lang w:val="zh-CN"/>
        </w:rPr>
      </w:pPr>
      <w:r>
        <w:rPr>
          <w:rFonts w:ascii="Arial" w:eastAsia="黑体" w:hAnsi="Arial" w:hint="eastAsia"/>
          <w:color w:val="auto"/>
          <w:sz w:val="24"/>
          <w:szCs w:val="32"/>
          <w:lang w:eastAsia="zh-CN"/>
        </w:rPr>
        <w:t>2020</w:t>
      </w:r>
      <w:r>
        <w:rPr>
          <w:rFonts w:ascii="Arial" w:eastAsia="黑体" w:hAnsi="Arial" w:hint="eastAsia"/>
          <w:color w:val="auto"/>
          <w:sz w:val="24"/>
          <w:szCs w:val="32"/>
        </w:rPr>
        <w:t>年</w:t>
      </w:r>
      <w:r>
        <w:rPr>
          <w:rFonts w:ascii="Arial" w:eastAsia="黑体" w:hAnsi="Arial" w:hint="eastAsia"/>
          <w:color w:val="auto"/>
          <w:sz w:val="24"/>
          <w:szCs w:val="32"/>
          <w:lang w:eastAsia="zh-CN"/>
        </w:rPr>
        <w:t>区残联</w:t>
      </w:r>
      <w:r>
        <w:rPr>
          <w:rFonts w:ascii="Arial" w:eastAsia="黑体" w:hAnsi="Arial" w:hint="eastAsia"/>
          <w:color w:val="auto"/>
          <w:sz w:val="24"/>
          <w:szCs w:val="32"/>
        </w:rPr>
        <w:t>本年支出合计</w:t>
      </w:r>
      <w:r>
        <w:rPr>
          <w:rFonts w:ascii="Arial" w:eastAsia="黑体" w:hAnsi="Arial" w:hint="eastAsia"/>
          <w:color w:val="auto"/>
          <w:sz w:val="24"/>
          <w:szCs w:val="32"/>
          <w:lang w:val="en-US" w:eastAsia="zh-CN"/>
        </w:rPr>
        <w:t>562.58</w:t>
      </w:r>
      <w:r>
        <w:rPr>
          <w:rFonts w:ascii="Arial" w:eastAsia="黑体" w:hAnsi="Arial" w:hint="eastAsia"/>
          <w:color w:val="auto"/>
          <w:sz w:val="24"/>
          <w:szCs w:val="32"/>
        </w:rPr>
        <w:t>万元，其中：基本支出</w:t>
      </w:r>
      <w:r>
        <w:rPr>
          <w:rFonts w:ascii="Arial" w:eastAsia="黑体" w:hAnsi="Arial" w:hint="eastAsia"/>
          <w:color w:val="auto"/>
          <w:sz w:val="24"/>
          <w:szCs w:val="32"/>
          <w:lang w:val="en-US" w:eastAsia="zh-CN"/>
        </w:rPr>
        <w:t>130.51</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23.20</w:t>
      </w:r>
      <w:r>
        <w:rPr>
          <w:rFonts w:ascii="Arial" w:eastAsia="黑体" w:hAnsi="Arial" w:hint="eastAsia"/>
          <w:color w:val="auto"/>
          <w:sz w:val="24"/>
          <w:szCs w:val="32"/>
        </w:rPr>
        <w:t>%；项目支出</w:t>
      </w:r>
      <w:r>
        <w:rPr>
          <w:rFonts w:ascii="Arial" w:eastAsia="黑体" w:hAnsi="Arial" w:hint="eastAsia"/>
          <w:color w:val="auto"/>
          <w:sz w:val="24"/>
          <w:szCs w:val="32"/>
          <w:lang w:val="en-US" w:eastAsia="zh-CN"/>
        </w:rPr>
        <w:t>432.07</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76.80</w:t>
      </w:r>
      <w:r>
        <w:rPr>
          <w:rFonts w:ascii="Arial" w:eastAsia="黑体" w:hAnsi="Arial" w:hint="eastAsia"/>
          <w:color w:val="auto"/>
          <w:sz w:val="24"/>
          <w:szCs w:val="32"/>
        </w:rPr>
        <w:t>%；上缴上级支出</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0</w:t>
      </w:r>
      <w:r>
        <w:rPr>
          <w:rFonts w:ascii="Arial" w:eastAsia="黑体" w:hAnsi="Arial" w:hint="eastAsia"/>
          <w:color w:val="auto"/>
          <w:sz w:val="24"/>
          <w:szCs w:val="32"/>
        </w:rPr>
        <w:t>%；经营支出</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0</w:t>
      </w:r>
      <w:r>
        <w:rPr>
          <w:rFonts w:ascii="Arial" w:eastAsia="黑体" w:hAnsi="Arial" w:hint="eastAsia"/>
          <w:color w:val="auto"/>
          <w:sz w:val="24"/>
          <w:szCs w:val="32"/>
        </w:rPr>
        <w:t>%；对附属单位补助支出</w:t>
      </w:r>
      <w:r>
        <w:rPr>
          <w:rFonts w:ascii="Arial" w:eastAsia="黑体" w:hAnsi="Arial" w:hint="eastAsia"/>
          <w:color w:val="auto"/>
          <w:sz w:val="24"/>
          <w:szCs w:val="32"/>
          <w:lang w:val="en-US" w:eastAsia="zh-CN"/>
        </w:rPr>
        <w:t>0</w:t>
      </w:r>
      <w:r>
        <w:rPr>
          <w:rFonts w:ascii="Arial" w:eastAsia="黑体" w:hAnsi="Arial" w:hint="eastAsia"/>
          <w:color w:val="auto"/>
          <w:sz w:val="24"/>
          <w:szCs w:val="32"/>
        </w:rPr>
        <w:t>万元，占</w:t>
      </w:r>
      <w:r>
        <w:rPr>
          <w:rFonts w:ascii="Arial" w:eastAsia="黑体" w:hAnsi="Arial" w:hint="eastAsia"/>
          <w:color w:val="auto"/>
          <w:sz w:val="24"/>
          <w:szCs w:val="32"/>
          <w:lang w:val="en-US" w:eastAsia="zh-CN"/>
        </w:rPr>
        <w:t>0</w:t>
      </w:r>
      <w:r>
        <w:rPr>
          <w:rFonts w:ascii="Arial" w:eastAsia="黑体" w:hAnsi="Arial" w:hint="eastAsia"/>
          <w:color w:val="auto"/>
          <w:sz w:val="24"/>
          <w:szCs w:val="32"/>
        </w:rPr>
        <w:t>%。</w:t>
      </w:r>
    </w:p>
    <w:p>
      <w:pPr>
        <w:widowControl/>
        <w:adjustRightInd w:val="0"/>
        <w:snapToGrid/>
        <w:spacing w:before="80" w:beforeAutospacing="0" w:afterAutospacing="0" w:line="360" w:lineRule="auto"/>
        <w:ind w:left="0" w:right="0" w:firstLine="0"/>
        <w:contextualSpacing/>
        <w:jc w:val="left"/>
        <w:outlineLvl w:val="1"/>
        <w:rPr>
          <w:rFonts w:ascii="Times New Roman" w:eastAsia="汉仪中宋简" w:cs="宋体" w:hAnsi="Times New Roman"/>
          <w:b w:val="0"/>
          <w:color w:val="auto"/>
          <w:kern w:val="0"/>
          <w:sz w:val="28"/>
          <w:szCs w:val="32"/>
          <w:shd w:val="clear" w:color="auto" w:fill="FFFFFF"/>
        </w:rPr>
      </w:pPr>
      <w:bookmarkStart w:id="97" w:name="_Toc30085"/>
      <w:r>
        <w:rPr>
          <w:rFonts w:ascii="Times New Roman" w:eastAsia="汉仪中宋简" w:cs="宋体" w:hAnsi="Times New Roman" w:hint="eastAsia"/>
          <w:b w:val="0"/>
          <w:color w:val="auto"/>
          <w:kern w:val="0"/>
          <w:sz w:val="28"/>
          <w:szCs w:val="32"/>
          <w:shd w:val="clear" w:color="auto" w:fill="FFFFFF"/>
        </w:rPr>
        <w:t>三、部门整体预算绩效管理情况</w:t>
      </w:r>
      <w:bookmarkEnd w:id="97"/>
    </w:p>
    <w:p>
      <w:pPr>
        <w:widowControl/>
        <w:adjustRightInd w:val="0"/>
        <w:snapToGrid/>
        <w:spacing w:before="80" w:beforeAutospacing="0" w:afterAutospacing="0" w:line="240" w:lineRule="auto"/>
        <w:ind w:left="0" w:right="0" w:firstLine="0"/>
        <w:contextualSpacing/>
        <w:jc w:val="left"/>
        <w:outlineLvl w:val="2"/>
        <w:rPr>
          <w:rFonts w:ascii="Times New Roman" w:eastAsia="汉仪中宋简" w:cs="宋体" w:hAnsi="Times New Roman"/>
          <w:b w:val="0"/>
          <w:color w:val="auto"/>
          <w:kern w:val="0"/>
          <w:sz w:val="26"/>
          <w:szCs w:val="32"/>
          <w:shd w:val="clear" w:color="auto" w:fill="FFFFFF"/>
          <w:lang w:val="zh-CN"/>
        </w:rPr>
      </w:pPr>
      <w:bookmarkStart w:id="98" w:name="_Toc23882"/>
      <w:r>
        <w:rPr>
          <w:rFonts w:ascii="Times New Roman" w:eastAsia="汉仪中宋简" w:cs="宋体" w:hAnsi="Times New Roman" w:hint="eastAsia"/>
          <w:b w:val="0"/>
          <w:color w:val="auto"/>
          <w:kern w:val="0"/>
          <w:sz w:val="26"/>
          <w:szCs w:val="32"/>
          <w:shd w:val="clear" w:color="auto" w:fill="FFFFFF"/>
          <w:lang w:val="zh-CN"/>
        </w:rPr>
        <w:t>（一）部门预算管理。</w:t>
      </w:r>
      <w:bookmarkEnd w:id="98"/>
    </w:p>
    <w:p>
      <w:pPr>
        <w:widowControl/>
        <w:adjustRightInd w:val="0"/>
        <w:snapToGrid/>
        <w:spacing w:beforeAutospacing="0" w:after="80" w:afterAutospacing="0" w:line="360" w:lineRule="auto"/>
        <w:ind w:left="0" w:firstLineChars="200" w:firstLine="480"/>
        <w:contextualSpacing/>
        <w:jc w:val="left"/>
        <w:rPr>
          <w:rFonts w:ascii="Arial" w:eastAsia="黑体" w:hAnsi="Arial" w:hint="eastAsia"/>
          <w:color w:val="auto"/>
          <w:sz w:val="24"/>
          <w:szCs w:val="32"/>
        </w:rPr>
      </w:pPr>
      <w:r>
        <w:rPr>
          <w:rFonts w:ascii="Arial" w:eastAsia="黑体" w:hAnsi="Arial" w:hint="eastAsia"/>
          <w:color w:val="auto"/>
          <w:sz w:val="24"/>
          <w:szCs w:val="32"/>
        </w:rPr>
        <w:t>按照预算绩效管理要求，本部门对20</w:t>
      </w:r>
      <w:r>
        <w:rPr>
          <w:rFonts w:ascii="Arial" w:eastAsia="黑体" w:hAnsi="Arial" w:hint="eastAsia"/>
          <w:color w:val="auto"/>
          <w:sz w:val="24"/>
          <w:szCs w:val="32"/>
          <w:lang w:val="en-US" w:eastAsia="zh-CN"/>
        </w:rPr>
        <w:t>20</w:t>
      </w:r>
      <w:r>
        <w:rPr>
          <w:rFonts w:ascii="Arial" w:eastAsia="黑体" w:hAnsi="Arial" w:hint="eastAsia"/>
          <w:color w:val="auto"/>
          <w:sz w:val="24"/>
          <w:szCs w:val="32"/>
        </w:rPr>
        <w:t>年一般公共预算项目支出开展了绩效目标管理，共编制绩效目标</w:t>
      </w:r>
      <w:r>
        <w:rPr>
          <w:rFonts w:ascii="Arial" w:eastAsia="黑体" w:hAnsi="Arial" w:hint="eastAsia"/>
          <w:color w:val="auto"/>
          <w:sz w:val="24"/>
          <w:szCs w:val="32"/>
          <w:lang w:val="en-US" w:eastAsia="zh-CN"/>
        </w:rPr>
        <w:t>1</w:t>
      </w:r>
      <w:r>
        <w:rPr>
          <w:rFonts w:ascii="Arial" w:eastAsia="黑体" w:hAnsi="Arial" w:hint="eastAsia"/>
          <w:color w:val="auto"/>
          <w:sz w:val="24"/>
          <w:szCs w:val="32"/>
        </w:rPr>
        <w:t>个，覆盖率达到</w:t>
      </w:r>
      <w:r>
        <w:rPr>
          <w:rFonts w:ascii="Arial" w:eastAsia="黑体" w:hAnsi="Arial" w:hint="eastAsia"/>
          <w:color w:val="auto"/>
          <w:sz w:val="24"/>
          <w:szCs w:val="32"/>
          <w:lang w:val="en-US" w:eastAsia="zh-CN"/>
        </w:rPr>
        <w:t>100</w:t>
      </w:r>
      <w:r>
        <w:rPr>
          <w:rFonts w:ascii="Arial" w:eastAsia="黑体" w:hAnsi="Arial" w:hint="eastAsia"/>
          <w:color w:val="auto"/>
          <w:sz w:val="24"/>
          <w:szCs w:val="32"/>
        </w:rPr>
        <w:t>%。</w:t>
      </w:r>
      <w:r>
        <w:rPr>
          <w:rFonts w:ascii="Arial" w:eastAsia="黑体" w:hAnsi="Arial" w:hint="eastAsia"/>
          <w:color w:val="auto"/>
          <w:sz w:val="24"/>
          <w:szCs w:val="32"/>
          <w:lang w:eastAsia="zh-CN"/>
        </w:rPr>
        <w:t>全年来，我会</w:t>
      </w:r>
      <w:r>
        <w:rPr>
          <w:rFonts w:ascii="Arial" w:eastAsia="黑体" w:hAnsi="Arial" w:hint="eastAsia"/>
          <w:color w:val="auto"/>
          <w:sz w:val="24"/>
          <w:szCs w:val="32"/>
        </w:rPr>
        <w:t>开展了项目绩效自评，</w:t>
      </w:r>
      <w:r>
        <w:rPr>
          <w:rFonts w:ascii="Arial" w:eastAsia="黑体" w:hAnsi="Arial" w:hint="eastAsia"/>
          <w:color w:val="auto"/>
          <w:sz w:val="24"/>
          <w:szCs w:val="32"/>
          <w:lang w:eastAsia="zh-CN"/>
        </w:rPr>
        <w:t>并将</w:t>
      </w:r>
      <w:r>
        <w:rPr>
          <w:rFonts w:ascii="Arial" w:eastAsia="黑体" w:hAnsi="Arial" w:hint="eastAsia"/>
          <w:color w:val="auto"/>
          <w:sz w:val="24"/>
          <w:szCs w:val="32"/>
        </w:rPr>
        <w:t>自评结果得分</w:t>
      </w:r>
      <w:r>
        <w:rPr>
          <w:rFonts w:ascii="Arial" w:eastAsia="黑体" w:hAnsi="Arial" w:hint="eastAsia"/>
          <w:color w:val="auto"/>
          <w:sz w:val="24"/>
          <w:szCs w:val="32"/>
          <w:lang w:eastAsia="zh-CN"/>
        </w:rPr>
        <w:t>在办公室予以公示，我会领导通过谈心、帮扶结对等方式将职工</w:t>
      </w:r>
      <w:r>
        <w:rPr>
          <w:rFonts w:ascii="Arial" w:eastAsia="黑体" w:hAnsi="Arial" w:hint="eastAsia"/>
          <w:color w:val="auto"/>
          <w:sz w:val="24"/>
          <w:szCs w:val="32"/>
        </w:rPr>
        <w:t>存在的问题</w:t>
      </w:r>
      <w:r>
        <w:rPr>
          <w:rFonts w:ascii="Arial" w:eastAsia="黑体" w:hAnsi="Arial" w:hint="eastAsia"/>
          <w:color w:val="auto"/>
          <w:sz w:val="24"/>
          <w:szCs w:val="32"/>
          <w:lang w:eastAsia="zh-CN"/>
        </w:rPr>
        <w:t>以轻松积极的方式解决，职工也通过相关</w:t>
      </w:r>
      <w:r>
        <w:rPr>
          <w:rFonts w:ascii="Arial" w:eastAsia="黑体" w:hAnsi="Arial" w:hint="eastAsia"/>
          <w:color w:val="auto"/>
          <w:sz w:val="24"/>
          <w:szCs w:val="32"/>
        </w:rPr>
        <w:t>整改措施</w:t>
      </w:r>
      <w:r>
        <w:rPr>
          <w:rFonts w:ascii="Arial" w:eastAsia="黑体" w:hAnsi="Arial" w:hint="eastAsia"/>
          <w:color w:val="auto"/>
          <w:sz w:val="24"/>
          <w:szCs w:val="32"/>
          <w:lang w:eastAsia="zh-CN"/>
        </w:rPr>
        <w:t>不断学习，将落实情况融入到政治思想、脱贫攻坚、业务工作中去</w:t>
      </w:r>
      <w:r>
        <w:rPr>
          <w:rFonts w:ascii="Arial" w:eastAsia="黑体" w:hAnsi="Arial" w:hint="eastAsia"/>
          <w:color w:val="auto"/>
          <w:sz w:val="24"/>
          <w:szCs w:val="32"/>
        </w:rPr>
        <w:t>。</w:t>
      </w:r>
    </w:p>
    <w:p>
      <w:pPr>
        <w:widowControl/>
        <w:adjustRightInd w:val="0"/>
        <w:snapToGrid/>
        <w:spacing w:before="80" w:beforeAutospacing="0" w:afterAutospacing="0" w:line="240" w:lineRule="auto"/>
        <w:ind w:left="0" w:right="0" w:firstLine="0"/>
        <w:contextualSpacing/>
        <w:jc w:val="left"/>
        <w:outlineLvl w:val="2"/>
        <w:rPr>
          <w:rFonts w:ascii="Times New Roman" w:eastAsia="汉仪中宋简" w:cs="宋体" w:hAnsi="Times New Roman"/>
          <w:b w:val="0"/>
          <w:color w:val="auto"/>
          <w:kern w:val="0"/>
          <w:sz w:val="26"/>
          <w:szCs w:val="32"/>
          <w:shd w:val="clear" w:color="auto" w:fill="FFFFFF"/>
          <w:lang w:val="zh-CN"/>
        </w:rPr>
      </w:pPr>
      <w:bookmarkStart w:id="99" w:name="_Toc16259"/>
      <w:r>
        <w:rPr>
          <w:rFonts w:ascii="Times New Roman" w:eastAsia="汉仪中宋简" w:cs="宋体" w:hAnsi="Times New Roman" w:hint="eastAsia"/>
          <w:b w:val="0"/>
          <w:color w:val="auto"/>
          <w:kern w:val="0"/>
          <w:sz w:val="26"/>
          <w:szCs w:val="32"/>
          <w:shd w:val="clear" w:color="auto" w:fill="FFFFFF"/>
          <w:lang w:val="zh-CN"/>
        </w:rPr>
        <w:t>（二）结果应用情况。</w:t>
      </w:r>
      <w:bookmarkEnd w:id="99"/>
    </w:p>
    <w:p>
      <w:pPr>
        <w:snapToGrid/>
        <w:spacing w:beforeAutospacing="0" w:after="80" w:afterAutospacing="0" w:line="360" w:lineRule="auto"/>
        <w:ind w:left="0" w:firstLineChars="200" w:firstLine="480"/>
        <w:rPr>
          <w:rFonts w:ascii="Arial" w:eastAsia="黑体" w:hAnsi="Arial" w:hint="eastAsia"/>
          <w:b/>
          <w:color w:val="auto"/>
          <w:sz w:val="24"/>
          <w:szCs w:val="32"/>
          <w:lang w:eastAsia="zh-CN"/>
        </w:rPr>
      </w:pPr>
      <w:r>
        <w:rPr>
          <w:rFonts w:ascii="Arial" w:eastAsia="黑体" w:hAnsi="Arial" w:hint="eastAsia"/>
          <w:color w:val="auto"/>
          <w:sz w:val="24"/>
          <w:szCs w:val="32"/>
        </w:rPr>
        <w:t>按照预算绩效管理要求，本部门对2</w:t>
      </w:r>
      <w:r>
        <w:rPr>
          <w:rFonts w:ascii="Arial" w:eastAsia="黑体" w:hAnsi="Arial" w:hint="eastAsia"/>
          <w:color w:val="auto"/>
          <w:sz w:val="24"/>
          <w:szCs w:val="32"/>
          <w:lang w:val="en-US" w:eastAsia="zh-CN"/>
        </w:rPr>
        <w:t>020</w:t>
      </w:r>
      <w:r>
        <w:rPr>
          <w:rFonts w:ascii="Arial" w:eastAsia="黑体" w:hAnsi="Arial" w:hint="eastAsia"/>
          <w:color w:val="auto"/>
          <w:sz w:val="24"/>
          <w:szCs w:val="32"/>
        </w:rPr>
        <w:t>年整体支出开展绩效自评，自评得分</w:t>
      </w:r>
      <w:r>
        <w:rPr>
          <w:rFonts w:ascii="Arial" w:eastAsia="黑体" w:hAnsi="Arial" w:hint="eastAsia"/>
          <w:color w:val="auto"/>
          <w:sz w:val="24"/>
          <w:szCs w:val="32"/>
          <w:lang w:val="en-US" w:eastAsia="zh-CN"/>
        </w:rPr>
        <w:t>96</w:t>
      </w:r>
      <w:r>
        <w:rPr>
          <w:rFonts w:ascii="Arial" w:eastAsia="黑体" w:hAnsi="Arial" w:hint="eastAsia"/>
          <w:color w:val="auto"/>
          <w:sz w:val="24"/>
          <w:szCs w:val="32"/>
        </w:rPr>
        <w:t>分</w:t>
      </w:r>
      <w:r>
        <w:rPr>
          <w:rFonts w:ascii="Arial" w:eastAsia="黑体" w:hAnsi="Arial" w:hint="eastAsia"/>
          <w:color w:val="auto"/>
          <w:sz w:val="24"/>
          <w:szCs w:val="32"/>
          <w:lang w:eastAsia="zh-CN"/>
        </w:rPr>
        <w:t>。</w:t>
      </w:r>
    </w:p>
    <w:tbl>
      <w:tblPr>
        <w:jc w:val="left"/>
        <w:tblInd w:w="-176"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702"/>
        <w:gridCol w:w="2268"/>
        <w:gridCol w:w="3402"/>
        <w:gridCol w:w="2126"/>
      </w:tblGrid>
      <w:tr>
        <w:trPr>
          <w:trHeight w:val="240"/>
        </w:trPr>
        <w:tc>
          <w:tcPr>
            <w:tcW w:w="170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ascii="宋体" w:cs="宋体"/>
                <w:b/>
                <w:bCs/>
                <w:color w:val="000000"/>
                <w:kern w:val="0"/>
                <w:sz w:val="20"/>
                <w:szCs w:val="20"/>
              </w:rPr>
            </w:pPr>
            <w:r>
              <w:rPr>
                <w:rFonts w:ascii="宋体" w:cs="宋体" w:hint="eastAsia"/>
                <w:b/>
                <w:bCs/>
                <w:color w:val="000000"/>
                <w:kern w:val="0"/>
                <w:sz w:val="20"/>
                <w:szCs w:val="20"/>
              </w:rPr>
              <w:t>一级指标</w:t>
            </w:r>
          </w:p>
        </w:tc>
        <w:tc>
          <w:tcPr>
            <w:tcW w:w="2268" w:type="dxa"/>
            <w:tcBorders>
              <w:top w:val="single" w:sz="4" w:space="0" w:color="auto"/>
              <w:left w:val="nil"/>
              <w:bottom w:val="single" w:sz="4" w:space="0" w:color="auto"/>
              <w:right w:val="single" w:sz="4" w:space="0" w:color="auto"/>
            </w:tcBorders>
            <w:noWrap/>
            <w:vAlign w:val="center"/>
          </w:tcPr>
          <w:p>
            <w:pPr>
              <w:widowControl/>
              <w:jc w:val="center"/>
              <w:rPr>
                <w:rFonts w:ascii="宋体" w:cs="宋体"/>
                <w:b/>
                <w:bCs/>
                <w:color w:val="000000"/>
                <w:kern w:val="0"/>
                <w:sz w:val="20"/>
                <w:szCs w:val="20"/>
              </w:rPr>
            </w:pPr>
            <w:r>
              <w:rPr>
                <w:rFonts w:ascii="宋体" w:cs="宋体" w:hint="eastAsia"/>
                <w:b/>
                <w:bCs/>
                <w:color w:val="000000"/>
                <w:kern w:val="0"/>
                <w:sz w:val="20"/>
                <w:szCs w:val="20"/>
              </w:rPr>
              <w:t>二级指标</w:t>
            </w:r>
          </w:p>
        </w:tc>
        <w:tc>
          <w:tcPr>
            <w:tcW w:w="3402" w:type="dxa"/>
            <w:tcBorders>
              <w:top w:val="single" w:sz="4" w:space="0" w:color="auto"/>
              <w:left w:val="nil"/>
              <w:bottom w:val="single" w:sz="4" w:space="0" w:color="auto"/>
              <w:right w:val="single" w:sz="4" w:space="0" w:color="auto"/>
            </w:tcBorders>
            <w:noWrap/>
            <w:vAlign w:val="center"/>
          </w:tcPr>
          <w:p>
            <w:pPr>
              <w:widowControl/>
              <w:jc w:val="center"/>
              <w:rPr>
                <w:rFonts w:ascii="宋体" w:cs="宋体"/>
                <w:b/>
                <w:bCs/>
                <w:color w:val="000000"/>
                <w:kern w:val="0"/>
                <w:sz w:val="20"/>
                <w:szCs w:val="20"/>
              </w:rPr>
            </w:pPr>
            <w:r>
              <w:rPr>
                <w:rFonts w:ascii="宋体" w:cs="宋体" w:hint="eastAsia"/>
                <w:b/>
                <w:bCs/>
                <w:color w:val="000000"/>
                <w:kern w:val="0"/>
                <w:sz w:val="20"/>
                <w:szCs w:val="20"/>
              </w:rPr>
              <w:t>三级指标</w:t>
            </w:r>
          </w:p>
        </w:tc>
        <w:tc>
          <w:tcPr>
            <w:tcW w:w="2126" w:type="dxa"/>
            <w:tcBorders>
              <w:top w:val="single" w:sz="4" w:space="0" w:color="auto"/>
              <w:left w:val="nil"/>
              <w:bottom w:val="single" w:sz="4" w:space="0" w:color="auto"/>
              <w:right w:val="single" w:sz="4" w:space="0" w:color="auto"/>
            </w:tcBorders>
            <w:noWrap/>
          </w:tcPr>
          <w:p>
            <w:pPr>
              <w:widowControl/>
              <w:jc w:val="center"/>
              <w:rPr>
                <w:rFonts w:ascii="宋体" w:cs="宋体" w:hint="eastAsia"/>
                <w:b/>
                <w:bCs/>
                <w:color w:val="000000"/>
                <w:kern w:val="0"/>
                <w:sz w:val="20"/>
                <w:szCs w:val="20"/>
              </w:rPr>
            </w:pPr>
            <w:r>
              <w:rPr>
                <w:rFonts w:ascii="宋体" w:cs="宋体" w:hint="eastAsia"/>
                <w:b/>
                <w:bCs/>
                <w:color w:val="000000"/>
                <w:kern w:val="0"/>
                <w:sz w:val="20"/>
                <w:szCs w:val="20"/>
              </w:rPr>
              <w:t>得分</w:t>
            </w:r>
          </w:p>
        </w:tc>
      </w:tr>
      <w:tr>
        <w:trPr>
          <w:trHeight w:val="520"/>
        </w:trPr>
        <w:tc>
          <w:tcPr>
            <w:tcW w:w="1702" w:type="dxa"/>
            <w:vMerge w:val="restart"/>
            <w:tcBorders>
              <w:top w:val="nil"/>
              <w:left w:val="single" w:sz="4" w:space="0" w:color="auto"/>
              <w:right w:val="single" w:sz="4" w:space="0" w:color="auto"/>
            </w:tcBorders>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部门决策（25分）</w:t>
            </w:r>
          </w:p>
        </w:tc>
        <w:tc>
          <w:tcPr>
            <w:tcW w:w="2268" w:type="dxa"/>
            <w:vMerge w:val="restart"/>
            <w:tcBorders>
              <w:top w:val="nil"/>
              <w:left w:val="single" w:sz="4" w:space="0" w:color="auto"/>
              <w:bottom w:val="single" w:sz="4" w:space="0" w:color="auto"/>
              <w:right w:val="single" w:sz="4" w:space="0" w:color="auto"/>
            </w:tcBorders>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目标任务（15分）</w:t>
            </w: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相关性（5分）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5</w:t>
            </w:r>
          </w:p>
        </w:tc>
      </w:tr>
      <w:tr>
        <w:trPr>
          <w:trHeight w:val="413"/>
        </w:trPr>
        <w:tc>
          <w:tcPr>
            <w:tcW w:w="1702" w:type="dxa"/>
            <w:vMerge/>
            <w:tcBorders>
              <w:left w:val="single" w:sz="4" w:space="0" w:color="auto"/>
              <w:right w:val="single" w:sz="4" w:space="0" w:color="auto"/>
            </w:tcBorders>
            <w:noWrap/>
            <w:vAlign w:val="center"/>
          </w:tcPr>
          <w:p/>
        </w:tc>
        <w:tc>
          <w:tcPr>
            <w:tcW w:w="2268" w:type="dxa"/>
            <w:vMerge/>
            <w:tcBorders>
              <w:top w:val="nil"/>
              <w:left w:val="single" w:sz="4" w:space="0" w:color="auto"/>
              <w:bottom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明确性（5分）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5</w:t>
            </w:r>
          </w:p>
        </w:tc>
      </w:tr>
      <w:tr>
        <w:trPr>
          <w:trHeight w:val="420"/>
        </w:trPr>
        <w:tc>
          <w:tcPr>
            <w:tcW w:w="1702" w:type="dxa"/>
            <w:vMerge/>
            <w:tcBorders>
              <w:left w:val="single" w:sz="4" w:space="0" w:color="auto"/>
              <w:right w:val="single" w:sz="4" w:space="0" w:color="auto"/>
            </w:tcBorders>
            <w:noWrap/>
            <w:vAlign w:val="center"/>
          </w:tcPr>
          <w:p/>
        </w:tc>
        <w:tc>
          <w:tcPr>
            <w:tcW w:w="2268" w:type="dxa"/>
            <w:vMerge/>
            <w:tcBorders>
              <w:top w:val="nil"/>
              <w:left w:val="single" w:sz="4" w:space="0" w:color="auto"/>
              <w:bottom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合理性（5分）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5</w:t>
            </w:r>
          </w:p>
        </w:tc>
      </w:tr>
      <w:tr>
        <w:trPr>
          <w:trHeight w:val="269"/>
        </w:trPr>
        <w:tc>
          <w:tcPr>
            <w:tcW w:w="1702" w:type="dxa"/>
            <w:vMerge/>
            <w:tcBorders>
              <w:left w:val="single" w:sz="4" w:space="0" w:color="auto"/>
              <w:right w:val="single" w:sz="4" w:space="0" w:color="auto"/>
            </w:tcBorders>
            <w:noWrap/>
            <w:vAlign w:val="center"/>
          </w:tcPr>
          <w:p/>
        </w:tc>
        <w:tc>
          <w:tcPr>
            <w:tcW w:w="2268" w:type="dxa"/>
            <w:vMerge w:val="restart"/>
            <w:tcBorders>
              <w:top w:val="nil"/>
              <w:left w:val="single" w:sz="4" w:space="0" w:color="auto"/>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预算编制（10分）</w:t>
            </w: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测算依据（5分）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4</w:t>
            </w:r>
          </w:p>
        </w:tc>
      </w:tr>
      <w:tr>
        <w:trPr>
          <w:trHeight w:val="231"/>
        </w:trPr>
        <w:tc>
          <w:tcPr>
            <w:tcW w:w="1702" w:type="dxa"/>
            <w:vMerge/>
            <w:tcBorders>
              <w:left w:val="single" w:sz="4" w:space="0" w:color="auto"/>
              <w:bottom w:val="single" w:sz="4" w:space="0" w:color="auto"/>
              <w:right w:val="single" w:sz="4" w:space="0" w:color="auto"/>
            </w:tcBorders>
            <w:noWrap/>
            <w:vAlign w:val="center"/>
          </w:tcPr>
          <w:p/>
        </w:tc>
        <w:tc>
          <w:tcPr>
            <w:tcW w:w="2268" w:type="dxa"/>
            <w:vMerge/>
            <w:tcBorders>
              <w:top w:val="nil"/>
              <w:left w:val="single" w:sz="4" w:space="0" w:color="auto"/>
              <w:bottom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目标管理（5分）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5</w:t>
            </w:r>
          </w:p>
        </w:tc>
      </w:tr>
      <w:tr>
        <w:trPr>
          <w:trHeight w:val="477"/>
        </w:trPr>
        <w:tc>
          <w:tcPr>
            <w:tcW w:w="1702" w:type="dxa"/>
            <w:vMerge w:val="restart"/>
            <w:tcBorders>
              <w:top w:val="nil"/>
              <w:left w:val="single" w:sz="4" w:space="0" w:color="auto"/>
              <w:right w:val="single" w:sz="4" w:space="0" w:color="auto"/>
            </w:tcBorders>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综合管理（30分）</w:t>
            </w:r>
          </w:p>
        </w:tc>
        <w:tc>
          <w:tcPr>
            <w:tcW w:w="2268" w:type="dxa"/>
            <w:vMerge w:val="restart"/>
            <w:tcBorders>
              <w:top w:val="nil"/>
              <w:left w:val="single" w:sz="4" w:space="0" w:color="auto"/>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专项资金分配时限（2分）</w:t>
            </w: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省级财力专项预算分配时限（1分）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1</w:t>
            </w:r>
          </w:p>
        </w:tc>
      </w:tr>
      <w:tr>
        <w:trPr>
          <w:trHeight w:val="413"/>
        </w:trPr>
        <w:tc>
          <w:tcPr>
            <w:tcW w:w="1702" w:type="dxa"/>
            <w:vMerge/>
            <w:tcBorders>
              <w:left w:val="single" w:sz="4" w:space="0" w:color="auto"/>
              <w:right w:val="single" w:sz="4" w:space="0" w:color="auto"/>
            </w:tcBorders>
            <w:noWrap/>
            <w:vAlign w:val="center"/>
          </w:tcPr>
          <w:p/>
        </w:tc>
        <w:tc>
          <w:tcPr>
            <w:tcW w:w="2268" w:type="dxa"/>
            <w:vMerge/>
            <w:tcBorders>
              <w:top w:val="nil"/>
              <w:left w:val="single" w:sz="4" w:space="0" w:color="auto"/>
              <w:bottom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中央专款分配合规率（1分）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1</w:t>
            </w:r>
          </w:p>
        </w:tc>
      </w:tr>
      <w:tr>
        <w:trPr>
          <w:trHeight w:val="277"/>
        </w:trPr>
        <w:tc>
          <w:tcPr>
            <w:tcW w:w="1702" w:type="dxa"/>
            <w:vMerge/>
            <w:tcBorders>
              <w:left w:val="single" w:sz="4" w:space="0" w:color="auto"/>
              <w:right w:val="single" w:sz="4" w:space="0" w:color="auto"/>
            </w:tcBorders>
            <w:noWrap/>
            <w:vAlign w:val="center"/>
          </w:tcPr>
          <w:p/>
        </w:tc>
        <w:tc>
          <w:tcPr>
            <w:tcW w:w="2268"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中期评估（2分）</w:t>
            </w: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执行中期评估（2分）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2</w:t>
            </w:r>
          </w:p>
        </w:tc>
      </w:tr>
      <w:tr>
        <w:trPr>
          <w:trHeight w:val="381"/>
        </w:trPr>
        <w:tc>
          <w:tcPr>
            <w:tcW w:w="1702" w:type="dxa"/>
            <w:vMerge/>
            <w:tcBorders>
              <w:left w:val="single" w:sz="4" w:space="0" w:color="auto"/>
              <w:right w:val="single" w:sz="4" w:space="0" w:color="auto"/>
            </w:tcBorders>
            <w:noWrap/>
            <w:vAlign w:val="center"/>
          </w:tcPr>
          <w:p/>
        </w:tc>
        <w:tc>
          <w:tcPr>
            <w:tcW w:w="2268" w:type="dxa"/>
            <w:vMerge w:val="restart"/>
            <w:tcBorders>
              <w:top w:val="nil"/>
              <w:left w:val="single" w:sz="4" w:space="0" w:color="auto"/>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绩效监控（5分）</w:t>
            </w: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预算执行进度监控（2分）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2</w:t>
            </w:r>
          </w:p>
        </w:tc>
      </w:tr>
      <w:tr>
        <w:trPr>
          <w:trHeight w:val="273"/>
        </w:trPr>
        <w:tc>
          <w:tcPr>
            <w:tcW w:w="1702" w:type="dxa"/>
            <w:vMerge/>
            <w:tcBorders>
              <w:left w:val="single" w:sz="4" w:space="0" w:color="auto"/>
              <w:right w:val="single" w:sz="4" w:space="0" w:color="auto"/>
            </w:tcBorders>
            <w:noWrap/>
            <w:vAlign w:val="center"/>
          </w:tcPr>
          <w:p/>
        </w:tc>
        <w:tc>
          <w:tcPr>
            <w:tcW w:w="2268" w:type="dxa"/>
            <w:vMerge/>
            <w:tcBorders>
              <w:top w:val="nil"/>
              <w:left w:val="single" w:sz="4" w:space="0" w:color="auto"/>
              <w:bottom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绩效目标动态监控（3分）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3</w:t>
            </w:r>
          </w:p>
        </w:tc>
      </w:tr>
      <w:tr>
        <w:trPr>
          <w:trHeight w:val="235"/>
        </w:trPr>
        <w:tc>
          <w:tcPr>
            <w:tcW w:w="1702" w:type="dxa"/>
            <w:vMerge/>
            <w:tcBorders>
              <w:left w:val="single" w:sz="4" w:space="0" w:color="auto"/>
              <w:right w:val="single" w:sz="4" w:space="0" w:color="auto"/>
            </w:tcBorders>
            <w:noWrap/>
            <w:vAlign w:val="center"/>
          </w:tcPr>
          <w:p/>
        </w:tc>
        <w:tc>
          <w:tcPr>
            <w:tcW w:w="2268" w:type="dxa"/>
            <w:vMerge w:val="restart"/>
            <w:tcBorders>
              <w:top w:val="nil"/>
              <w:left w:val="single" w:sz="4" w:space="0" w:color="auto"/>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非税收入执收情况（2分）</w:t>
            </w: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非税收入征收情况（1分）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2</w:t>
            </w:r>
          </w:p>
        </w:tc>
      </w:tr>
      <w:tr>
        <w:trPr>
          <w:trHeight w:val="325"/>
        </w:trPr>
        <w:tc>
          <w:tcPr>
            <w:tcW w:w="1702" w:type="dxa"/>
            <w:vMerge/>
            <w:tcBorders>
              <w:left w:val="single" w:sz="4" w:space="0" w:color="auto"/>
              <w:right w:val="single" w:sz="4" w:space="0" w:color="auto"/>
            </w:tcBorders>
            <w:noWrap/>
            <w:vAlign w:val="center"/>
          </w:tcPr>
          <w:p/>
        </w:tc>
        <w:tc>
          <w:tcPr>
            <w:tcW w:w="2268" w:type="dxa"/>
            <w:vMerge/>
            <w:tcBorders>
              <w:top w:val="nil"/>
              <w:left w:val="single" w:sz="4" w:space="0" w:color="auto"/>
              <w:bottom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非税收入上缴情况（1分）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1</w:t>
            </w:r>
          </w:p>
        </w:tc>
      </w:tr>
      <w:tr>
        <w:trPr>
          <w:trHeight w:val="287"/>
        </w:trPr>
        <w:tc>
          <w:tcPr>
            <w:tcW w:w="1702" w:type="dxa"/>
            <w:vMerge/>
            <w:tcBorders>
              <w:left w:val="single" w:sz="4" w:space="0" w:color="auto"/>
              <w:right w:val="single" w:sz="4" w:space="0" w:color="auto"/>
            </w:tcBorders>
            <w:noWrap/>
            <w:vAlign w:val="center"/>
          </w:tcPr>
          <w:p/>
        </w:tc>
        <w:tc>
          <w:tcPr>
            <w:tcW w:w="2268" w:type="dxa"/>
            <w:vMerge w:val="restart"/>
            <w:tcBorders>
              <w:top w:val="nil"/>
              <w:left w:val="single" w:sz="4" w:space="0" w:color="auto"/>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资产管理（6分）</w:t>
            </w: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资产管理信息化情况（2分）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2</w:t>
            </w:r>
          </w:p>
        </w:tc>
      </w:tr>
      <w:tr>
        <w:trPr>
          <w:trHeight w:val="235"/>
        </w:trPr>
        <w:tc>
          <w:tcPr>
            <w:tcW w:w="1702" w:type="dxa"/>
            <w:vMerge/>
            <w:tcBorders>
              <w:left w:val="single" w:sz="4" w:space="0" w:color="auto"/>
              <w:right w:val="single" w:sz="4" w:space="0" w:color="auto"/>
            </w:tcBorders>
            <w:noWrap/>
            <w:vAlign w:val="center"/>
          </w:tcPr>
          <w:p/>
        </w:tc>
        <w:tc>
          <w:tcPr>
            <w:tcW w:w="2268" w:type="dxa"/>
            <w:vMerge/>
            <w:tcBorders>
              <w:top w:val="nil"/>
              <w:left w:val="single" w:sz="4" w:space="0" w:color="auto"/>
              <w:bottom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行政事业单位资产报告情况（2分）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2</w:t>
            </w:r>
          </w:p>
        </w:tc>
      </w:tr>
      <w:tr>
        <w:trPr>
          <w:trHeight w:val="353"/>
        </w:trPr>
        <w:tc>
          <w:tcPr>
            <w:tcW w:w="1702" w:type="dxa"/>
            <w:vMerge/>
            <w:tcBorders>
              <w:left w:val="single" w:sz="4" w:space="0" w:color="auto"/>
              <w:right w:val="single" w:sz="4" w:space="0" w:color="auto"/>
            </w:tcBorders>
            <w:noWrap/>
            <w:vAlign w:val="center"/>
          </w:tcPr>
          <w:p/>
        </w:tc>
        <w:tc>
          <w:tcPr>
            <w:tcW w:w="2268" w:type="dxa"/>
            <w:vMerge/>
            <w:tcBorders>
              <w:top w:val="nil"/>
              <w:left w:val="single" w:sz="4" w:space="0" w:color="auto"/>
              <w:bottom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资产管理与预算管理相结合（2分）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2</w:t>
            </w:r>
          </w:p>
        </w:tc>
      </w:tr>
      <w:tr>
        <w:trPr>
          <w:trHeight w:val="272"/>
        </w:trPr>
        <w:tc>
          <w:tcPr>
            <w:tcW w:w="1702" w:type="dxa"/>
            <w:vMerge/>
            <w:tcBorders>
              <w:left w:val="single" w:sz="4" w:space="0" w:color="auto"/>
              <w:right w:val="single" w:sz="4" w:space="0" w:color="auto"/>
            </w:tcBorders>
            <w:noWrap/>
            <w:vAlign w:val="center"/>
          </w:tcPr>
          <w:p/>
        </w:tc>
        <w:tc>
          <w:tcPr>
            <w:tcW w:w="2268"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内控制度管理（2分）</w:t>
            </w: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内部控制度健全完整（2分）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2</w:t>
            </w:r>
          </w:p>
        </w:tc>
      </w:tr>
      <w:tr>
        <w:trPr>
          <w:trHeight w:val="221"/>
        </w:trPr>
        <w:tc>
          <w:tcPr>
            <w:tcW w:w="1702" w:type="dxa"/>
            <w:vMerge/>
            <w:tcBorders>
              <w:left w:val="single" w:sz="4" w:space="0" w:color="auto"/>
              <w:right w:val="single" w:sz="4" w:space="0" w:color="auto"/>
            </w:tcBorders>
            <w:noWrap/>
            <w:vAlign w:val="center"/>
          </w:tcPr>
          <w:p/>
        </w:tc>
        <w:tc>
          <w:tcPr>
            <w:tcW w:w="2268" w:type="dxa"/>
            <w:vMerge w:val="restart"/>
            <w:tcBorders>
              <w:top w:val="nil"/>
              <w:left w:val="single" w:sz="4" w:space="0" w:color="auto"/>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信息公开（6分）</w:t>
            </w: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预算公开（2分）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2</w:t>
            </w:r>
          </w:p>
        </w:tc>
      </w:tr>
      <w:tr>
        <w:trPr>
          <w:trHeight w:val="197"/>
        </w:trPr>
        <w:tc>
          <w:tcPr>
            <w:tcW w:w="1702" w:type="dxa"/>
            <w:vMerge/>
            <w:tcBorders>
              <w:left w:val="single" w:sz="4" w:space="0" w:color="auto"/>
              <w:right w:val="single" w:sz="4" w:space="0" w:color="auto"/>
            </w:tcBorders>
            <w:noWrap/>
            <w:vAlign w:val="center"/>
          </w:tcPr>
          <w:p/>
        </w:tc>
        <w:tc>
          <w:tcPr>
            <w:tcW w:w="2268" w:type="dxa"/>
            <w:vMerge/>
            <w:tcBorders>
              <w:top w:val="nil"/>
              <w:left w:val="single" w:sz="4" w:space="0" w:color="auto"/>
              <w:bottom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决算公开（2分）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2</w:t>
            </w:r>
          </w:p>
        </w:tc>
      </w:tr>
      <w:tr>
        <w:trPr>
          <w:trHeight w:val="287"/>
        </w:trPr>
        <w:tc>
          <w:tcPr>
            <w:tcW w:w="1702" w:type="dxa"/>
            <w:vMerge/>
            <w:tcBorders>
              <w:left w:val="single" w:sz="4" w:space="0" w:color="auto"/>
              <w:right w:val="single" w:sz="4" w:space="0" w:color="auto"/>
            </w:tcBorders>
            <w:noWrap/>
            <w:vAlign w:val="center"/>
          </w:tcPr>
          <w:p/>
        </w:tc>
        <w:tc>
          <w:tcPr>
            <w:tcW w:w="2268" w:type="dxa"/>
            <w:vMerge/>
            <w:tcBorders>
              <w:top w:val="nil"/>
              <w:left w:val="single" w:sz="4" w:space="0" w:color="auto"/>
              <w:bottom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绩效信息公开（2分）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1</w:t>
            </w:r>
          </w:p>
        </w:tc>
      </w:tr>
      <w:tr>
        <w:trPr>
          <w:trHeight w:val="405"/>
        </w:trPr>
        <w:tc>
          <w:tcPr>
            <w:tcW w:w="1702" w:type="dxa"/>
            <w:vMerge/>
            <w:tcBorders>
              <w:left w:val="single" w:sz="4" w:space="0" w:color="auto"/>
              <w:right w:val="single" w:sz="4" w:space="0" w:color="auto"/>
            </w:tcBorders>
            <w:noWrap/>
            <w:vAlign w:val="center"/>
          </w:tcPr>
          <w:p/>
        </w:tc>
        <w:tc>
          <w:tcPr>
            <w:tcW w:w="2268" w:type="dxa"/>
            <w:vMerge w:val="restart"/>
            <w:tcBorders>
              <w:top w:val="nil"/>
              <w:left w:val="single" w:sz="4" w:space="0" w:color="auto"/>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绩效评价（5分）</w:t>
            </w: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绩效评价开展（2分）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2</w:t>
            </w:r>
          </w:p>
        </w:tc>
      </w:tr>
      <w:tr>
        <w:trPr>
          <w:trHeight w:val="127"/>
        </w:trPr>
        <w:tc>
          <w:tcPr>
            <w:tcW w:w="1702" w:type="dxa"/>
            <w:vMerge/>
            <w:tcBorders>
              <w:left w:val="single" w:sz="4" w:space="0" w:color="auto"/>
              <w:bottom w:val="single" w:sz="4" w:space="0" w:color="auto"/>
              <w:right w:val="single" w:sz="4" w:space="0" w:color="auto"/>
            </w:tcBorders>
            <w:noWrap/>
            <w:vAlign w:val="center"/>
          </w:tcPr>
          <w:p/>
        </w:tc>
        <w:tc>
          <w:tcPr>
            <w:tcW w:w="2268" w:type="dxa"/>
            <w:vMerge/>
            <w:tcBorders>
              <w:top w:val="nil"/>
              <w:left w:val="single" w:sz="4" w:space="0" w:color="auto"/>
              <w:bottom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评价结果应用（3分）</w:t>
            </w:r>
          </w:p>
        </w:tc>
        <w:tc>
          <w:tcPr>
            <w:tcW w:w="2126" w:type="dxa"/>
            <w:tcBorders>
              <w:top w:val="nil"/>
              <w:left w:val="nil"/>
              <w:bottom w:val="single" w:sz="4" w:space="0" w:color="auto"/>
              <w:right w:val="single" w:sz="4" w:space="0" w:color="auto"/>
            </w:tcBorders>
            <w:noWrap/>
          </w:tcPr>
          <w:p>
            <w:pPr>
              <w:widowControl/>
              <w:jc w:val="left"/>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2</w:t>
            </w:r>
          </w:p>
        </w:tc>
      </w:tr>
      <w:tr>
        <w:trPr>
          <w:trHeight w:val="231"/>
        </w:trPr>
        <w:tc>
          <w:tcPr>
            <w:tcW w:w="1702" w:type="dxa"/>
            <w:vMerge w:val="restart"/>
            <w:tcBorders>
              <w:top w:val="nil"/>
              <w:left w:val="single" w:sz="4" w:space="0" w:color="auto"/>
              <w:right w:val="single" w:sz="4" w:space="0" w:color="auto"/>
            </w:tcBorders>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部门绩效情况（45分）</w:t>
            </w:r>
          </w:p>
        </w:tc>
        <w:tc>
          <w:tcPr>
            <w:tcW w:w="2268" w:type="dxa"/>
            <w:vMerge w:val="restart"/>
            <w:tcBorders>
              <w:top w:val="nil"/>
              <w:left w:val="single" w:sz="4" w:space="0" w:color="auto"/>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履职成效（20分）</w:t>
            </w:r>
          </w:p>
        </w:tc>
        <w:tc>
          <w:tcPr>
            <w:tcW w:w="3402" w:type="dxa"/>
            <w:tcBorders>
              <w:top w:val="nil"/>
              <w:left w:val="nil"/>
              <w:bottom w:val="single" w:sz="4" w:space="0" w:color="auto"/>
              <w:right w:val="single" w:sz="4" w:space="0" w:color="auto"/>
            </w:tcBorders>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部门特性指标</w:t>
            </w:r>
          </w:p>
        </w:tc>
        <w:tc>
          <w:tcPr>
            <w:tcW w:w="2126" w:type="dxa"/>
            <w:tcBorders>
              <w:top w:val="nil"/>
              <w:left w:val="nil"/>
              <w:bottom w:val="single" w:sz="4" w:space="0" w:color="auto"/>
              <w:right w:val="single" w:sz="4" w:space="0" w:color="auto"/>
            </w:tcBorders>
            <w:noWrap/>
          </w:tcPr>
          <w:p>
            <w:pPr>
              <w:widowControl/>
              <w:jc w:val="center"/>
              <w:rPr>
                <w:rFonts w:ascii="宋体" w:cs="宋体" w:hint="eastAsia"/>
                <w:color w:val="000000"/>
                <w:kern w:val="0"/>
                <w:sz w:val="20"/>
                <w:szCs w:val="20"/>
              </w:rPr>
            </w:pPr>
          </w:p>
        </w:tc>
      </w:tr>
      <w:tr>
        <w:trPr>
          <w:trHeight w:val="180"/>
        </w:trPr>
        <w:tc>
          <w:tcPr>
            <w:tcW w:w="1702" w:type="dxa"/>
            <w:vMerge/>
            <w:tcBorders>
              <w:left w:val="single" w:sz="4" w:space="0" w:color="auto"/>
              <w:right w:val="single" w:sz="4" w:space="0" w:color="auto"/>
            </w:tcBorders>
            <w:noWrap/>
            <w:vAlign w:val="center"/>
          </w:tcPr>
          <w:p/>
        </w:tc>
        <w:tc>
          <w:tcPr>
            <w:tcW w:w="2268" w:type="dxa"/>
            <w:vMerge/>
            <w:tcBorders>
              <w:top w:val="nil"/>
              <w:left w:val="single" w:sz="4" w:space="0" w:color="auto"/>
              <w:bottom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center"/>
              <w:rPr>
                <w:rFonts w:ascii="宋体" w:eastAsia="宋体" w:cs="宋体" w:hint="eastAsia"/>
                <w:color w:val="000000"/>
                <w:kern w:val="0"/>
                <w:sz w:val="20"/>
                <w:szCs w:val="20"/>
                <w:lang w:eastAsia="zh-CN"/>
              </w:rPr>
            </w:pPr>
            <w:r>
              <w:rPr>
                <w:rFonts w:ascii="宋体" w:cs="宋体" w:hint="eastAsia"/>
                <w:color w:val="000000"/>
                <w:kern w:val="0"/>
                <w:sz w:val="20"/>
                <w:szCs w:val="20"/>
                <w:lang w:eastAsia="zh-CN"/>
              </w:rPr>
              <w:t>民生工程完成情况</w:t>
            </w:r>
          </w:p>
        </w:tc>
        <w:tc>
          <w:tcPr>
            <w:tcW w:w="2126" w:type="dxa"/>
            <w:tcBorders>
              <w:top w:val="nil"/>
              <w:left w:val="nil"/>
              <w:bottom w:val="single" w:sz="4" w:space="0" w:color="auto"/>
              <w:right w:val="single" w:sz="4" w:space="0" w:color="auto"/>
            </w:tcBorders>
            <w:noWrap/>
          </w:tcPr>
          <w:p>
            <w:pPr>
              <w:widowControl/>
              <w:jc w:val="both"/>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20</w:t>
            </w:r>
          </w:p>
        </w:tc>
      </w:tr>
      <w:tr>
        <w:trPr>
          <w:trHeight w:val="240"/>
        </w:trPr>
        <w:tc>
          <w:tcPr>
            <w:tcW w:w="1702" w:type="dxa"/>
            <w:vMerge/>
            <w:tcBorders>
              <w:left w:val="single" w:sz="4" w:space="0" w:color="auto"/>
              <w:right w:val="single" w:sz="4" w:space="0" w:color="auto"/>
            </w:tcBorders>
            <w:noWrap/>
            <w:vAlign w:val="center"/>
          </w:tcPr>
          <w:p/>
        </w:tc>
        <w:tc>
          <w:tcPr>
            <w:tcW w:w="2268" w:type="dxa"/>
            <w:vMerge/>
            <w:tcBorders>
              <w:top w:val="nil"/>
              <w:left w:val="single" w:sz="4" w:space="0" w:color="auto"/>
              <w:bottom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center"/>
              <w:rPr>
                <w:rFonts w:ascii="宋体" w:cs="宋体"/>
                <w:color w:val="000000"/>
                <w:kern w:val="0"/>
                <w:sz w:val="20"/>
                <w:szCs w:val="20"/>
              </w:rPr>
            </w:pPr>
          </w:p>
        </w:tc>
        <w:tc>
          <w:tcPr>
            <w:tcW w:w="2126" w:type="dxa"/>
            <w:tcBorders>
              <w:top w:val="nil"/>
              <w:left w:val="nil"/>
              <w:bottom w:val="single" w:sz="4" w:space="0" w:color="auto"/>
              <w:right w:val="single" w:sz="4" w:space="0" w:color="auto"/>
            </w:tcBorders>
            <w:noWrap/>
          </w:tcPr>
          <w:p>
            <w:pPr>
              <w:widowControl/>
              <w:jc w:val="center"/>
              <w:rPr>
                <w:rFonts w:ascii="宋体" w:cs="宋体"/>
                <w:color w:val="000000"/>
                <w:kern w:val="0"/>
                <w:sz w:val="20"/>
                <w:szCs w:val="20"/>
              </w:rPr>
            </w:pPr>
          </w:p>
        </w:tc>
      </w:tr>
      <w:tr>
        <w:trPr>
          <w:trHeight w:val="352"/>
        </w:trPr>
        <w:tc>
          <w:tcPr>
            <w:tcW w:w="1702" w:type="dxa"/>
            <w:vMerge/>
            <w:tcBorders>
              <w:left w:val="single" w:sz="4" w:space="0" w:color="auto"/>
              <w:right w:val="single" w:sz="4" w:space="0" w:color="auto"/>
            </w:tcBorders>
            <w:noWrap/>
            <w:vAlign w:val="center"/>
          </w:tcPr>
          <w:p/>
        </w:tc>
        <w:tc>
          <w:tcPr>
            <w:tcW w:w="2268" w:type="dxa"/>
            <w:vMerge/>
            <w:tcBorders>
              <w:top w:val="nil"/>
              <w:left w:val="single" w:sz="4" w:space="0" w:color="auto"/>
              <w:bottom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center"/>
              <w:rPr>
                <w:rFonts w:ascii="宋体" w:cs="宋体"/>
                <w:color w:val="000000"/>
                <w:kern w:val="0"/>
                <w:sz w:val="20"/>
                <w:szCs w:val="20"/>
              </w:rPr>
            </w:pPr>
          </w:p>
        </w:tc>
        <w:tc>
          <w:tcPr>
            <w:tcW w:w="2126" w:type="dxa"/>
            <w:tcBorders>
              <w:top w:val="nil"/>
              <w:left w:val="nil"/>
              <w:bottom w:val="single" w:sz="4" w:space="0" w:color="auto"/>
              <w:right w:val="single" w:sz="4" w:space="0" w:color="auto"/>
            </w:tcBorders>
            <w:noWrap/>
          </w:tcPr>
          <w:p>
            <w:pPr>
              <w:widowControl/>
              <w:jc w:val="center"/>
              <w:rPr>
                <w:rFonts w:ascii="宋体" w:cs="宋体"/>
                <w:color w:val="000000"/>
                <w:kern w:val="0"/>
                <w:sz w:val="20"/>
                <w:szCs w:val="20"/>
              </w:rPr>
            </w:pPr>
          </w:p>
        </w:tc>
      </w:tr>
      <w:tr>
        <w:trPr>
          <w:trHeight w:val="157"/>
        </w:trPr>
        <w:tc>
          <w:tcPr>
            <w:tcW w:w="1702" w:type="dxa"/>
            <w:vMerge/>
            <w:tcBorders>
              <w:left w:val="single" w:sz="4" w:space="0" w:color="auto"/>
              <w:right w:val="single" w:sz="4" w:space="0" w:color="auto"/>
            </w:tcBorders>
            <w:noWrap/>
            <w:vAlign w:val="center"/>
          </w:tcPr>
          <w:p/>
        </w:tc>
        <w:tc>
          <w:tcPr>
            <w:tcW w:w="2268" w:type="dxa"/>
            <w:vMerge w:val="restart"/>
            <w:tcBorders>
              <w:top w:val="nil"/>
              <w:left w:val="single" w:sz="4" w:space="0" w:color="auto"/>
              <w:bottom w:val="single" w:sz="4" w:space="0" w:color="auto"/>
              <w:right w:val="single" w:sz="4" w:space="0" w:color="auto"/>
            </w:tcBorders>
            <w:noWrap/>
            <w:vAlign w:val="center"/>
          </w:tcPr>
          <w:p>
            <w:pPr>
              <w:widowControl/>
              <w:jc w:val="left"/>
              <w:rPr>
                <w:rFonts w:ascii="宋体" w:cs="宋体"/>
                <w:color w:val="000000"/>
                <w:kern w:val="0"/>
                <w:sz w:val="20"/>
                <w:szCs w:val="20"/>
              </w:rPr>
            </w:pPr>
            <w:r>
              <w:rPr>
                <w:rFonts w:ascii="宋体" w:cs="宋体" w:hint="eastAsia"/>
                <w:color w:val="000000"/>
                <w:kern w:val="0"/>
                <w:sz w:val="20"/>
                <w:szCs w:val="20"/>
              </w:rPr>
              <w:t>可持续发展能力（15分）</w:t>
            </w:r>
          </w:p>
        </w:tc>
        <w:tc>
          <w:tcPr>
            <w:tcW w:w="3402" w:type="dxa"/>
            <w:tcBorders>
              <w:top w:val="nil"/>
              <w:left w:val="nil"/>
              <w:bottom w:val="single" w:sz="4" w:space="0" w:color="auto"/>
              <w:right w:val="single" w:sz="4" w:space="0" w:color="auto"/>
            </w:tcBorders>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重点改革（重点工作）完成情况（5分）</w:t>
            </w:r>
          </w:p>
        </w:tc>
        <w:tc>
          <w:tcPr>
            <w:tcW w:w="2126" w:type="dxa"/>
            <w:tcBorders>
              <w:top w:val="nil"/>
              <w:left w:val="nil"/>
              <w:bottom w:val="single" w:sz="4" w:space="0" w:color="auto"/>
              <w:right w:val="single" w:sz="4" w:space="0" w:color="auto"/>
            </w:tcBorders>
            <w:noWrap/>
          </w:tcPr>
          <w:p>
            <w:pPr>
              <w:widowControl/>
              <w:jc w:val="both"/>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5</w:t>
            </w:r>
          </w:p>
        </w:tc>
      </w:tr>
      <w:tr>
        <w:trPr>
          <w:trHeight w:val="320"/>
        </w:trPr>
        <w:tc>
          <w:tcPr>
            <w:tcW w:w="1702" w:type="dxa"/>
            <w:vMerge/>
            <w:tcBorders>
              <w:left w:val="single" w:sz="4" w:space="0" w:color="auto"/>
              <w:right w:val="single" w:sz="4" w:space="0" w:color="auto"/>
            </w:tcBorders>
            <w:noWrap/>
            <w:vAlign w:val="center"/>
          </w:tcPr>
          <w:p/>
        </w:tc>
        <w:tc>
          <w:tcPr>
            <w:tcW w:w="2268" w:type="dxa"/>
            <w:vMerge/>
            <w:tcBorders>
              <w:top w:val="nil"/>
              <w:left w:val="single" w:sz="4" w:space="0" w:color="auto"/>
              <w:bottom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科技（制度、方法、机制等）创新（5分）</w:t>
            </w:r>
          </w:p>
        </w:tc>
        <w:tc>
          <w:tcPr>
            <w:tcW w:w="2126" w:type="dxa"/>
            <w:tcBorders>
              <w:top w:val="nil"/>
              <w:left w:val="nil"/>
              <w:bottom w:val="single" w:sz="4" w:space="0" w:color="auto"/>
              <w:right w:val="single" w:sz="4" w:space="0" w:color="auto"/>
            </w:tcBorders>
            <w:noWrap/>
          </w:tcPr>
          <w:p>
            <w:pPr>
              <w:widowControl/>
              <w:jc w:val="both"/>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4</w:t>
            </w:r>
          </w:p>
        </w:tc>
      </w:tr>
      <w:tr>
        <w:trPr>
          <w:trHeight w:val="385"/>
        </w:trPr>
        <w:tc>
          <w:tcPr>
            <w:tcW w:w="1702" w:type="dxa"/>
            <w:vMerge/>
            <w:tcBorders>
              <w:left w:val="single" w:sz="4" w:space="0" w:color="auto"/>
              <w:right w:val="single" w:sz="4" w:space="0" w:color="auto"/>
            </w:tcBorders>
            <w:noWrap/>
            <w:vAlign w:val="center"/>
          </w:tcPr>
          <w:p/>
        </w:tc>
        <w:tc>
          <w:tcPr>
            <w:tcW w:w="2268" w:type="dxa"/>
            <w:vMerge/>
            <w:tcBorders>
              <w:top w:val="nil"/>
              <w:left w:val="single" w:sz="4" w:space="0" w:color="auto"/>
              <w:bottom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人才培养（5分）</w:t>
            </w:r>
          </w:p>
        </w:tc>
        <w:tc>
          <w:tcPr>
            <w:tcW w:w="2126" w:type="dxa"/>
            <w:tcBorders>
              <w:top w:val="nil"/>
              <w:left w:val="nil"/>
              <w:bottom w:val="single" w:sz="4" w:space="0" w:color="auto"/>
              <w:right w:val="single" w:sz="4" w:space="0" w:color="auto"/>
            </w:tcBorders>
            <w:noWrap/>
          </w:tcPr>
          <w:p>
            <w:pPr>
              <w:widowControl/>
              <w:jc w:val="both"/>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4</w:t>
            </w:r>
          </w:p>
        </w:tc>
      </w:tr>
      <w:tr>
        <w:trPr>
          <w:trHeight w:val="432"/>
        </w:trPr>
        <w:tc>
          <w:tcPr>
            <w:tcW w:w="1702" w:type="dxa"/>
            <w:vMerge/>
            <w:tcBorders>
              <w:left w:val="single" w:sz="4" w:space="0" w:color="auto"/>
              <w:right w:val="single" w:sz="4" w:space="0" w:color="auto"/>
            </w:tcBorders>
            <w:noWrap/>
            <w:vAlign w:val="center"/>
          </w:tcPr>
          <w:p/>
        </w:tc>
        <w:tc>
          <w:tcPr>
            <w:tcW w:w="2268" w:type="dxa"/>
            <w:vMerge w:val="restart"/>
            <w:tcBorders>
              <w:top w:val="nil"/>
              <w:left w:val="single" w:sz="4" w:space="0" w:color="auto"/>
              <w:right w:val="single" w:sz="4" w:space="0" w:color="auto"/>
            </w:tcBorders>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满意度（10分）</w:t>
            </w:r>
          </w:p>
        </w:tc>
        <w:tc>
          <w:tcPr>
            <w:tcW w:w="3402" w:type="dxa"/>
            <w:tcBorders>
              <w:top w:val="nil"/>
              <w:left w:val="nil"/>
              <w:bottom w:val="single" w:sz="4" w:space="0" w:color="auto"/>
              <w:right w:val="single" w:sz="4" w:space="0" w:color="auto"/>
            </w:tcBorders>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协作部门满意度（3分）</w:t>
            </w:r>
          </w:p>
        </w:tc>
        <w:tc>
          <w:tcPr>
            <w:tcW w:w="2126" w:type="dxa"/>
            <w:tcBorders>
              <w:top w:val="nil"/>
              <w:left w:val="nil"/>
              <w:bottom w:val="single" w:sz="4" w:space="0" w:color="auto"/>
              <w:right w:val="single" w:sz="4" w:space="0" w:color="auto"/>
            </w:tcBorders>
            <w:noWrap/>
          </w:tcPr>
          <w:p>
            <w:pPr>
              <w:widowControl/>
              <w:jc w:val="both"/>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3</w:t>
            </w:r>
          </w:p>
        </w:tc>
      </w:tr>
      <w:tr>
        <w:trPr>
          <w:trHeight w:val="396"/>
        </w:trPr>
        <w:tc>
          <w:tcPr>
            <w:tcW w:w="1702" w:type="dxa"/>
            <w:vMerge/>
            <w:tcBorders>
              <w:left w:val="single" w:sz="4" w:space="0" w:color="auto"/>
              <w:right w:val="single" w:sz="4" w:space="0" w:color="auto"/>
            </w:tcBorders>
            <w:noWrap/>
            <w:vAlign w:val="center"/>
          </w:tcPr>
          <w:p/>
        </w:tc>
        <w:tc>
          <w:tcPr>
            <w:tcW w:w="2268" w:type="dxa"/>
            <w:vMerge/>
            <w:tcBorders>
              <w:left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管理对象满意度（3分）</w:t>
            </w:r>
          </w:p>
        </w:tc>
        <w:tc>
          <w:tcPr>
            <w:tcW w:w="2126" w:type="dxa"/>
            <w:tcBorders>
              <w:top w:val="nil"/>
              <w:left w:val="nil"/>
              <w:bottom w:val="single" w:sz="4" w:space="0" w:color="auto"/>
              <w:right w:val="single" w:sz="4" w:space="0" w:color="auto"/>
            </w:tcBorders>
            <w:noWrap/>
          </w:tcPr>
          <w:p>
            <w:pPr>
              <w:widowControl/>
              <w:jc w:val="both"/>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3</w:t>
            </w:r>
          </w:p>
        </w:tc>
      </w:tr>
      <w:tr>
        <w:trPr>
          <w:trHeight w:val="411"/>
        </w:trPr>
        <w:tc>
          <w:tcPr>
            <w:tcW w:w="1702" w:type="dxa"/>
            <w:vMerge/>
            <w:tcBorders>
              <w:left w:val="single" w:sz="4" w:space="0" w:color="auto"/>
              <w:bottom w:val="single" w:sz="4" w:space="0" w:color="auto"/>
              <w:right w:val="single" w:sz="4" w:space="0" w:color="auto"/>
            </w:tcBorders>
            <w:noWrap/>
            <w:vAlign w:val="center"/>
          </w:tcPr>
          <w:p/>
        </w:tc>
        <w:tc>
          <w:tcPr>
            <w:tcW w:w="2268" w:type="dxa"/>
            <w:vMerge/>
            <w:tcBorders>
              <w:left w:val="single" w:sz="4" w:space="0" w:color="auto"/>
              <w:bottom w:val="single" w:sz="4" w:space="0" w:color="auto"/>
              <w:right w:val="single" w:sz="4" w:space="0" w:color="auto"/>
            </w:tcBorders>
            <w:noWrap/>
            <w:vAlign w:val="center"/>
          </w:tcPr>
          <w:p/>
        </w:tc>
        <w:tc>
          <w:tcPr>
            <w:tcW w:w="3402" w:type="dxa"/>
            <w:tcBorders>
              <w:top w:val="nil"/>
              <w:left w:val="nil"/>
              <w:bottom w:val="single" w:sz="4" w:space="0" w:color="auto"/>
              <w:right w:val="single" w:sz="4" w:space="0" w:color="auto"/>
            </w:tcBorders>
            <w:noWrap/>
            <w:vAlign w:val="center"/>
          </w:tcPr>
          <w:p>
            <w:pPr>
              <w:widowControl/>
              <w:jc w:val="center"/>
              <w:rPr>
                <w:rFonts w:ascii="宋体" w:cs="宋体"/>
                <w:color w:val="000000"/>
                <w:kern w:val="0"/>
                <w:sz w:val="20"/>
                <w:szCs w:val="20"/>
              </w:rPr>
            </w:pPr>
            <w:r>
              <w:rPr>
                <w:rFonts w:ascii="宋体" w:cs="宋体" w:hint="eastAsia"/>
                <w:color w:val="000000"/>
                <w:kern w:val="0"/>
                <w:sz w:val="20"/>
                <w:szCs w:val="20"/>
              </w:rPr>
              <w:t>社会公众满意度（4分）</w:t>
            </w:r>
          </w:p>
        </w:tc>
        <w:tc>
          <w:tcPr>
            <w:tcW w:w="2126" w:type="dxa"/>
            <w:tcBorders>
              <w:top w:val="nil"/>
              <w:left w:val="nil"/>
              <w:bottom w:val="single" w:sz="4" w:space="0" w:color="auto"/>
              <w:right w:val="single" w:sz="4" w:space="0" w:color="auto"/>
            </w:tcBorders>
            <w:noWrap/>
          </w:tcPr>
          <w:p>
            <w:pPr>
              <w:widowControl/>
              <w:jc w:val="both"/>
              <w:rPr>
                <w:rFonts w:ascii="宋体" w:eastAsia="宋体" w:cs="宋体" w:hint="eastAsia"/>
                <w:color w:val="000000"/>
                <w:kern w:val="0"/>
                <w:sz w:val="20"/>
                <w:szCs w:val="20"/>
                <w:lang w:val="en-US" w:eastAsia="zh-CN"/>
              </w:rPr>
            </w:pPr>
            <w:r>
              <w:rPr>
                <w:rFonts w:ascii="宋体" w:cs="宋体" w:hint="eastAsia"/>
                <w:color w:val="000000"/>
                <w:kern w:val="0"/>
                <w:sz w:val="20"/>
                <w:szCs w:val="20"/>
                <w:lang w:val="en-US" w:eastAsia="zh-CN"/>
              </w:rPr>
              <w:t>3</w:t>
            </w:r>
          </w:p>
        </w:tc>
      </w:tr>
    </w:tbl>
    <w:p>
      <w:pPr>
        <w:widowControl/>
        <w:adjustRightInd w:val="0"/>
        <w:snapToGrid/>
        <w:spacing w:beforeAutospacing="0" w:after="80" w:afterAutospacing="0" w:line="360" w:lineRule="auto"/>
        <w:ind w:left="0" w:firstLineChars="200" w:firstLine="480"/>
        <w:contextualSpacing/>
        <w:jc w:val="left"/>
        <w:rPr>
          <w:rFonts w:ascii="Arial" w:eastAsia="黑体" w:cs="宋体" w:hAnsi="Arial"/>
          <w:color w:val="auto"/>
          <w:kern w:val="0"/>
          <w:sz w:val="24"/>
          <w:szCs w:val="32"/>
          <w:shd w:val="clear" w:color="auto" w:fill="FFFFFF"/>
          <w:lang w:val="zh-CN"/>
        </w:rPr>
      </w:pPr>
    </w:p>
    <w:p>
      <w:pPr>
        <w:widowControl/>
        <w:adjustRightInd w:val="0"/>
        <w:snapToGrid/>
        <w:spacing w:before="80" w:beforeAutospacing="0" w:afterAutospacing="0" w:line="360" w:lineRule="auto"/>
        <w:ind w:left="0" w:right="0" w:firstLine="0"/>
        <w:contextualSpacing/>
        <w:jc w:val="left"/>
        <w:outlineLvl w:val="1"/>
        <w:rPr>
          <w:rFonts w:ascii="Times New Roman" w:eastAsia="汉仪中宋简" w:cs="宋体" w:hAnsi="Times New Roman"/>
          <w:b w:val="0"/>
          <w:color w:val="auto"/>
          <w:kern w:val="0"/>
          <w:sz w:val="28"/>
          <w:szCs w:val="32"/>
          <w:shd w:val="clear" w:color="auto" w:fill="FFFFFF"/>
        </w:rPr>
      </w:pPr>
      <w:bookmarkStart w:id="100" w:name="_Toc28396"/>
      <w:r>
        <w:rPr>
          <w:rFonts w:ascii="Times New Roman" w:eastAsia="汉仪中宋简" w:cs="宋体" w:hAnsi="Times New Roman" w:hint="eastAsia"/>
          <w:b w:val="0"/>
          <w:color w:val="auto"/>
          <w:kern w:val="0"/>
          <w:sz w:val="28"/>
          <w:szCs w:val="32"/>
          <w:shd w:val="clear" w:color="auto" w:fill="FFFFFF"/>
        </w:rPr>
        <w:t>四、评价结论及建议</w:t>
      </w:r>
      <w:bookmarkEnd w:id="100"/>
    </w:p>
    <w:p>
      <w:pPr>
        <w:widowControl/>
        <w:adjustRightInd w:val="0"/>
        <w:snapToGrid/>
        <w:spacing w:beforeAutospacing="0" w:after="80" w:afterAutospacing="0" w:line="360" w:lineRule="auto"/>
        <w:ind w:left="0" w:firstLineChars="200" w:firstLine="480"/>
        <w:contextualSpacing/>
        <w:jc w:val="left"/>
        <w:rPr>
          <w:rFonts w:ascii="Arial" w:eastAsia="黑体" w:cs="宋体" w:hAnsi="Arial"/>
          <w:color w:val="auto"/>
          <w:kern w:val="0"/>
          <w:sz w:val="24"/>
          <w:szCs w:val="32"/>
          <w:shd w:val="clear" w:color="auto" w:fill="FFFFFF"/>
          <w:lang w:val="zh-CN"/>
        </w:rPr>
      </w:pPr>
      <w:r>
        <w:rPr>
          <w:rFonts w:ascii="Arial" w:eastAsia="黑体" w:cs="宋体" w:hAnsi="Arial" w:hint="eastAsia"/>
          <w:color w:val="auto"/>
          <w:kern w:val="0"/>
          <w:sz w:val="24"/>
          <w:szCs w:val="32"/>
          <w:shd w:val="clear" w:color="auto" w:fill="FFFFFF"/>
          <w:lang w:val="zh-CN"/>
        </w:rPr>
        <w:t>（一）评价结论。</w:t>
      </w:r>
      <w:r>
        <w:rPr>
          <w:rFonts w:ascii="Arial" w:eastAsia="黑体" w:hAnsi="Arial" w:hint="eastAsia"/>
          <w:color w:val="auto"/>
          <w:sz w:val="24"/>
          <w:szCs w:val="32"/>
          <w:lang w:eastAsia="zh-CN"/>
        </w:rPr>
        <w:t>主要</w:t>
      </w:r>
      <w:r>
        <w:rPr>
          <w:rFonts w:ascii="Arial" w:eastAsia="黑体" w:hAnsi="Arial" w:hint="eastAsia"/>
          <w:color w:val="auto"/>
          <w:sz w:val="24"/>
          <w:szCs w:val="32"/>
        </w:rPr>
        <w:t>是</w:t>
      </w:r>
      <w:r>
        <w:rPr>
          <w:rFonts w:ascii="Arial" w:eastAsia="黑体" w:hAnsi="Arial" w:hint="eastAsia"/>
          <w:color w:val="auto"/>
          <w:sz w:val="24"/>
          <w:szCs w:val="32"/>
          <w:lang w:eastAsia="zh-CN"/>
        </w:rPr>
        <w:t>业务能力待进一步提升，在绩效信息加强公开及时性，加强人才的培养。</w:t>
      </w:r>
    </w:p>
    <w:p>
      <w:pPr>
        <w:widowControl/>
        <w:adjustRightInd w:val="0"/>
        <w:snapToGrid/>
        <w:spacing w:beforeAutospacing="0" w:after="80" w:afterAutospacing="0" w:line="360" w:lineRule="auto"/>
        <w:ind w:left="0" w:firstLineChars="200" w:firstLine="480"/>
        <w:contextualSpacing/>
        <w:jc w:val="left"/>
        <w:outlineLvl w:val="2"/>
        <w:rPr>
          <w:rFonts w:ascii="Arial" w:eastAsia="黑体" w:cs="宋体" w:hAnsi="Arial"/>
          <w:color w:val="auto"/>
          <w:kern w:val="0"/>
          <w:sz w:val="24"/>
          <w:szCs w:val="32"/>
          <w:shd w:val="clear" w:color="auto" w:fill="FFFFFF"/>
          <w:lang w:val="zh-CN"/>
        </w:rPr>
      </w:pPr>
      <w:bookmarkStart w:id="101" w:name="_Toc13923"/>
      <w:r>
        <w:rPr>
          <w:rFonts w:ascii="Arial" w:eastAsia="黑体" w:cs="宋体" w:hAnsi="Arial" w:hint="eastAsia"/>
          <w:color w:val="auto"/>
          <w:kern w:val="0"/>
          <w:sz w:val="24"/>
          <w:szCs w:val="32"/>
          <w:shd w:val="clear" w:color="auto" w:fill="FFFFFF"/>
          <w:lang w:val="zh-CN"/>
        </w:rPr>
        <w:t>（二）存在问题。</w:t>
      </w:r>
      <w:r>
        <w:rPr>
          <w:rFonts w:ascii="Arial" w:eastAsia="黑体" w:hAnsi="Arial" w:hint="eastAsia"/>
          <w:color w:val="auto"/>
          <w:sz w:val="24"/>
          <w:szCs w:val="32"/>
          <w:lang w:eastAsia="zh-CN"/>
        </w:rPr>
        <w:t>资料装订不规范。</w:t>
      </w:r>
      <w:bookmarkEnd w:id="101"/>
    </w:p>
    <w:p>
      <w:pPr>
        <w:snapToGrid/>
        <w:spacing w:beforeAutospacing="0" w:after="80" w:afterAutospacing="0" w:line="360" w:lineRule="auto"/>
        <w:ind w:left="0" w:firstLineChars="200" w:firstLine="480"/>
        <w:rPr>
          <w:rFonts w:ascii="Arial" w:eastAsia="黑体" w:cs="仿宋_GB2312" w:hAnsi="Arial" w:hint="eastAsia"/>
          <w:color w:val="auto"/>
          <w:sz w:val="24"/>
          <w:szCs w:val="32"/>
          <w:lang w:eastAsia="zh-CN"/>
        </w:rPr>
      </w:pPr>
      <w:r>
        <w:rPr>
          <w:rFonts w:ascii="Arial" w:eastAsia="黑体" w:cs="宋体" w:hAnsi="Arial" w:hint="eastAsia"/>
          <w:color w:val="auto"/>
          <w:kern w:val="0"/>
          <w:sz w:val="24"/>
          <w:szCs w:val="32"/>
          <w:shd w:val="clear" w:color="auto" w:fill="FFFFFF"/>
          <w:lang w:val="zh-CN"/>
        </w:rPr>
        <w:t>（三）改进建议。</w:t>
      </w:r>
      <w:r>
        <w:rPr>
          <w:rFonts w:ascii="Arial" w:eastAsia="黑体" w:hAnsi="Arial"/>
          <w:color w:val="auto"/>
          <w:sz w:val="24"/>
          <w:szCs w:val="32"/>
        </w:rPr>
        <w:t>是加强队伍建设，全面提高业务素质，确保</w:t>
      </w:r>
      <w:r>
        <w:rPr>
          <w:rFonts w:ascii="Arial" w:eastAsia="黑体" w:hAnsi="Arial" w:hint="eastAsia"/>
          <w:color w:val="auto"/>
          <w:sz w:val="24"/>
          <w:szCs w:val="32"/>
          <w:lang w:eastAsia="zh-CN"/>
        </w:rPr>
        <w:t>项目发挥最大的效益，</w:t>
      </w:r>
      <w:r>
        <w:rPr>
          <w:rFonts w:ascii="Arial" w:eastAsia="黑体" w:hAnsi="Arial"/>
          <w:color w:val="auto"/>
          <w:sz w:val="24"/>
          <w:szCs w:val="32"/>
        </w:rPr>
        <w:t>强化基础管理</w:t>
      </w:r>
      <w:r>
        <w:rPr>
          <w:rFonts w:ascii="Arial" w:eastAsia="黑体" w:hAnsi="Arial" w:hint="eastAsia"/>
          <w:color w:val="auto"/>
          <w:sz w:val="24"/>
          <w:szCs w:val="32"/>
          <w:lang w:eastAsia="zh-CN"/>
        </w:rPr>
        <w:t>，</w:t>
      </w:r>
      <w:r>
        <w:rPr>
          <w:rFonts w:ascii="Arial" w:eastAsia="黑体" w:hAnsi="Arial"/>
          <w:color w:val="auto"/>
          <w:sz w:val="24"/>
          <w:szCs w:val="32"/>
        </w:rPr>
        <w:t>严格财务管理，确保项目规范化管</w:t>
      </w:r>
      <w:r>
        <w:rPr>
          <w:rFonts w:ascii="Arial" w:eastAsia="黑体" w:hAnsi="Arial" w:hint="eastAsia"/>
          <w:color w:val="auto"/>
          <w:sz w:val="24"/>
          <w:szCs w:val="32"/>
          <w:lang w:eastAsia="zh-CN"/>
        </w:rPr>
        <w:t>。</w:t>
      </w:r>
    </w:p>
    <w:p>
      <w:pPr>
        <w:snapToGrid/>
        <w:spacing w:beforeAutospacing="0" w:after="80" w:afterAutospacing="0" w:line="360" w:lineRule="auto"/>
        <w:ind w:left="0" w:firstLineChars="200" w:firstLine="480"/>
        <w:rPr>
          <w:rFonts w:ascii="Arial" w:eastAsia="黑体" w:cs="仿宋_GB2312" w:hAnsi="Arial"/>
          <w:sz w:val="24"/>
          <w:szCs w:val="32"/>
        </w:rPr>
      </w:pPr>
    </w:p>
    <w:p>
      <w:pPr>
        <w:snapToGrid/>
        <w:spacing w:beforeAutospacing="0" w:after="80" w:afterAutospacing="0" w:line="360" w:lineRule="auto"/>
        <w:ind w:left="0" w:firstLine="0"/>
        <w:outlineLvl w:val="1"/>
        <w:rPr>
          <w:rFonts w:ascii="Arial" w:eastAsia="黑体" w:cs="仿宋_GB2312" w:hAnsi="Arial"/>
          <w:sz w:val="24"/>
          <w:szCs w:val="32"/>
        </w:rPr>
      </w:pPr>
      <w:bookmarkStart w:id="102" w:name="_Toc5915"/>
      <w:r>
        <w:rPr>
          <w:rFonts w:ascii="Arial" w:eastAsia="黑体" w:cs="黑体" w:hAnsi="Arial" w:hint="eastAsia"/>
          <w:sz w:val="24"/>
          <w:szCs w:val="32"/>
        </w:rPr>
        <w:t>附件</w:t>
      </w:r>
      <w:r>
        <w:rPr>
          <w:rFonts w:ascii="Arial" w:eastAsia="黑体" w:cs="黑体" w:hAnsi="Arial"/>
          <w:sz w:val="24"/>
          <w:szCs w:val="32"/>
        </w:rPr>
        <w:t>2</w:t>
      </w:r>
      <w:bookmarkEnd w:id="102"/>
    </w:p>
    <w:p>
      <w:pPr>
        <w:snapToGrid/>
        <w:spacing w:beforeAutospacing="0" w:after="80" w:afterAutospacing="0" w:line="360" w:lineRule="auto"/>
        <w:ind w:left="0" w:firstLineChars="200" w:firstLine="480"/>
        <w:rPr>
          <w:rFonts w:ascii="Arial" w:eastAsia="黑体" w:cs="仿宋_GB2312" w:hAnsi="Arial"/>
          <w:sz w:val="24"/>
          <w:szCs w:val="32"/>
        </w:rPr>
      </w:pPr>
    </w:p>
    <w:p>
      <w:pPr>
        <w:snapToGrid/>
        <w:spacing w:beforeAutospacing="0" w:after="80" w:afterAutospacing="0" w:line="360" w:lineRule="auto"/>
        <w:ind w:left="0" w:firstLineChars="200" w:firstLine="480"/>
        <w:rPr>
          <w:rFonts w:ascii="Arial" w:eastAsia="黑体" w:cs="仿宋_GB2312" w:hAnsi="Arial"/>
          <w:sz w:val="24"/>
          <w:szCs w:val="32"/>
        </w:rPr>
      </w:pPr>
    </w:p>
    <w:p>
      <w:pPr>
        <w:snapToGrid/>
        <w:spacing w:beforeAutospacing="0" w:after="80" w:afterAutospacing="0" w:line="360" w:lineRule="auto"/>
        <w:ind w:left="0" w:firstLine="0"/>
        <w:jc w:val="center"/>
        <w:rPr>
          <w:rFonts w:ascii="Arial" w:eastAsia="黑体" w:cs="方正小标宋简体" w:hAnsi="Arial" w:hint="eastAsia"/>
          <w:sz w:val="24"/>
          <w:szCs w:val="44"/>
          <w:lang w:eastAsia="zh-CN"/>
        </w:rPr>
      </w:pPr>
      <w:r>
        <w:rPr>
          <w:rFonts w:ascii="Arial" w:eastAsia="黑体" w:cs="方正小标宋简体" w:hAnsi="Arial" w:hint="eastAsia"/>
          <w:sz w:val="24"/>
          <w:szCs w:val="44"/>
          <w:lang w:eastAsia="zh-CN"/>
        </w:rPr>
        <w:t>广元市昭化区残疾人联合会</w:t>
      </w:r>
    </w:p>
    <w:p>
      <w:pPr>
        <w:snapToGrid/>
        <w:spacing w:beforeAutospacing="0" w:after="80" w:afterAutospacing="0" w:line="360" w:lineRule="auto"/>
        <w:ind w:left="0" w:firstLine="0"/>
        <w:jc w:val="center"/>
        <w:rPr>
          <w:rFonts w:ascii="Arial" w:eastAsia="黑体" w:hAnsi="Arial"/>
          <w:color w:val="auto"/>
          <w:kern w:val="0"/>
          <w:sz w:val="24"/>
          <w:szCs w:val="44"/>
          <w:lang w:val="zh-CN"/>
        </w:rPr>
      </w:pPr>
      <w:r>
        <w:rPr>
          <w:rFonts w:ascii="Arial" w:eastAsia="黑体" w:cs="方正小标宋简体" w:hAnsi="Arial" w:hint="eastAsia"/>
          <w:color w:val="auto"/>
          <w:sz w:val="24"/>
          <w:szCs w:val="44"/>
          <w:lang w:eastAsia="zh-CN"/>
        </w:rPr>
        <w:t>关于</w:t>
      </w:r>
      <w:r>
        <w:rPr>
          <w:rFonts w:ascii="Arial" w:eastAsia="黑体" w:cs="方正小标宋简体" w:hAnsi="Arial" w:hint="eastAsia"/>
          <w:color w:val="auto"/>
          <w:sz w:val="24"/>
          <w:szCs w:val="44"/>
        </w:rPr>
        <w:t>扶贫对象生活补贴项目</w:t>
      </w:r>
      <w:r>
        <w:rPr>
          <w:rFonts w:ascii="Arial" w:eastAsia="黑体" w:hAnsi="Arial" w:hint="eastAsia"/>
          <w:color w:val="auto"/>
          <w:kern w:val="0"/>
          <w:sz w:val="24"/>
          <w:szCs w:val="44"/>
        </w:rPr>
        <w:t>20</w:t>
      </w:r>
      <w:r>
        <w:rPr>
          <w:rFonts w:ascii="Arial" w:eastAsia="黑体" w:hAnsi="Arial" w:hint="eastAsia"/>
          <w:color w:val="auto"/>
          <w:kern w:val="0"/>
          <w:sz w:val="24"/>
          <w:szCs w:val="44"/>
          <w:lang w:val="en-US" w:eastAsia="zh-CN"/>
        </w:rPr>
        <w:t>20</w:t>
      </w:r>
      <w:r>
        <w:rPr>
          <w:rFonts w:ascii="Arial" w:eastAsia="黑体" w:hAnsi="Arial" w:hint="eastAsia"/>
          <w:color w:val="auto"/>
          <w:kern w:val="0"/>
          <w:sz w:val="24"/>
          <w:szCs w:val="44"/>
        </w:rPr>
        <w:t>年</w:t>
      </w:r>
      <w:r>
        <w:rPr>
          <w:rFonts w:ascii="Arial" w:eastAsia="黑体" w:hAnsi="Arial" w:hint="eastAsia"/>
          <w:color w:val="auto"/>
          <w:kern w:val="0"/>
          <w:sz w:val="24"/>
          <w:szCs w:val="44"/>
          <w:lang w:val="zh-CN"/>
        </w:rPr>
        <w:t>绩效评价报告</w:t>
      </w:r>
    </w:p>
    <w:p>
      <w:pPr>
        <w:adjustRightInd w:val="0"/>
        <w:snapToGrid/>
        <w:spacing w:before="80" w:beforeAutospacing="0" w:afterAutospacing="0" w:line="360" w:lineRule="auto"/>
        <w:ind w:left="0" w:right="0" w:firstLine="0"/>
        <w:jc w:val="left"/>
        <w:outlineLvl w:val="1"/>
        <w:rPr>
          <w:rFonts w:ascii="Times New Roman" w:eastAsia="汉仪中宋简" w:hAnsi="Times New Roman"/>
          <w:b w:val="0"/>
          <w:sz w:val="28"/>
          <w:szCs w:val="32"/>
          <w:lang w:val="zh-CN"/>
        </w:rPr>
      </w:pPr>
      <w:bookmarkStart w:id="103" w:name="_Toc26374"/>
      <w:r>
        <w:rPr>
          <w:rFonts w:ascii="Times New Roman" w:eastAsia="汉仪中宋简" w:hAnsi="Times New Roman" w:hint="eastAsia"/>
          <w:b w:val="0"/>
          <w:sz w:val="28"/>
          <w:szCs w:val="32"/>
        </w:rPr>
        <w:t>一、</w:t>
      </w:r>
      <w:r>
        <w:rPr>
          <w:rFonts w:ascii="Times New Roman" w:eastAsia="汉仪中宋简" w:hAnsi="Times New Roman" w:hint="eastAsia"/>
          <w:b w:val="0"/>
          <w:sz w:val="28"/>
          <w:szCs w:val="32"/>
          <w:lang w:val="zh-CN"/>
        </w:rPr>
        <w:t>项目概况</w:t>
      </w:r>
      <w:bookmarkEnd w:id="103"/>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80" w:afterAutospacing="0" w:line="360" w:lineRule="auto"/>
        <w:ind w:left="0" w:right="0" w:firstLineChars="200" w:firstLine="480"/>
        <w:textAlignment w:val="auto"/>
        <w:outlineLvl w:val="9"/>
        <w:rPr>
          <w:rFonts w:ascii="Arial" w:eastAsia="黑体" w:cs="仿宋_GB2312" w:hAnsi="Arial" w:hint="eastAsia"/>
          <w:color w:val="auto"/>
          <w:sz w:val="24"/>
          <w:szCs w:val="32"/>
          <w:lang w:val="en-US" w:eastAsia="zh-CN"/>
        </w:rPr>
      </w:pPr>
      <w:r>
        <w:rPr>
          <w:rFonts w:ascii="Arial" w:eastAsia="黑体" w:cs="仿宋_GB2312" w:hAnsi="Arial" w:hint="eastAsia"/>
          <w:color w:val="auto"/>
          <w:sz w:val="24"/>
          <w:szCs w:val="32"/>
          <w:lang w:val="en-US" w:eastAsia="zh-CN"/>
        </w:rPr>
        <w:t xml:space="preserve">开展发放残疾人扶贫对象生活补贴，是贯彻落实《中共四川省委关于集中力量打赢扶贫开发攻坚战确保同步全面建成小康社会的决定 》 “率先对残疾人扶贫对象实行生活费补贴，核定其年收入与国定贫困线标准差额，据实发放差额补助，使其年收入达到国定贫困线标准”的政策。根据《关于发放残疾人扶贫对象生活费补贴具体事项的通知》广财社[2016]5号文件精神，于2016年3月实施残疾人扶贫对象生活补贴制度。                                </w:t>
      </w:r>
    </w:p>
    <w:p>
      <w:pPr>
        <w:adjustRightInd w:val="0"/>
        <w:snapToGrid/>
        <w:spacing w:beforeAutospacing="0" w:after="80" w:afterAutospacing="0" w:line="360" w:lineRule="auto"/>
        <w:ind w:left="0" w:firstLineChars="200" w:firstLine="480"/>
        <w:rPr>
          <w:rFonts w:ascii="Arial" w:eastAsia="黑体" w:cs="仿宋_GB2312" w:hAnsi="Arial" w:hint="eastAsia"/>
          <w:b w:val="0"/>
          <w:bCs w:val="0"/>
          <w:color w:val="auto"/>
          <w:sz w:val="24"/>
          <w:szCs w:val="32"/>
        </w:rPr>
      </w:pPr>
      <w:r>
        <w:rPr>
          <w:rFonts w:ascii="Arial" w:eastAsia="黑体" w:cs="仿宋_GB2312" w:hAnsi="Arial" w:hint="eastAsia"/>
          <w:b/>
          <w:bCs/>
          <w:color w:val="auto"/>
          <w:sz w:val="24"/>
          <w:szCs w:val="32"/>
          <w:lang w:val="en-US" w:eastAsia="zh-CN"/>
        </w:rPr>
        <w:t>（一）项目资金申报及批复情况</w:t>
      </w:r>
      <w:r>
        <w:rPr>
          <w:rFonts w:ascii="Arial" w:eastAsia="黑体" w:cs="仿宋_GB2312" w:hAnsi="Arial" w:hint="eastAsia"/>
          <w:b/>
          <w:bCs/>
          <w:color w:val="auto"/>
          <w:sz w:val="24"/>
          <w:szCs w:val="30"/>
          <w:lang w:val="en-US" w:eastAsia="zh-CN"/>
        </w:rPr>
        <w:t>。</w:t>
      </w:r>
      <w:r>
        <w:rPr>
          <w:rFonts w:ascii="Arial" w:eastAsia="黑体" w:cs="仿宋_GB2312" w:hAnsi="Arial" w:hint="eastAsia"/>
          <w:b w:val="0"/>
          <w:bCs w:val="0"/>
          <w:color w:val="auto"/>
          <w:sz w:val="24"/>
          <w:szCs w:val="32"/>
          <w:lang w:val="en-US" w:eastAsia="zh-CN"/>
        </w:rPr>
        <w:t>发放残疾人扶贫对象生活</w:t>
      </w:r>
      <w:r>
        <w:rPr>
          <w:rFonts w:ascii="Arial" w:eastAsia="黑体" w:cs="仿宋_GB2312" w:hAnsi="Arial" w:hint="eastAsia"/>
          <w:b w:val="0"/>
          <w:bCs w:val="0"/>
          <w:color w:val="auto"/>
          <w:sz w:val="24"/>
          <w:szCs w:val="32"/>
        </w:rPr>
        <w:t>补贴</w:t>
      </w:r>
      <w:r>
        <w:rPr>
          <w:rFonts w:ascii="Arial" w:eastAsia="黑体" w:cs="仿宋_GB2312" w:hAnsi="Arial" w:hint="eastAsia"/>
          <w:b w:val="0"/>
          <w:bCs w:val="0"/>
          <w:color w:val="auto"/>
          <w:sz w:val="24"/>
          <w:szCs w:val="32"/>
          <w:lang w:val="zh-CN"/>
        </w:rPr>
        <w:t>经费项目于</w:t>
      </w:r>
      <w:r>
        <w:rPr>
          <w:rFonts w:ascii="Arial" w:eastAsia="黑体" w:cs="仿宋_GB2312" w:hAnsi="Arial" w:hint="eastAsia"/>
          <w:b w:val="0"/>
          <w:bCs w:val="0"/>
          <w:color w:val="auto"/>
          <w:sz w:val="24"/>
          <w:szCs w:val="32"/>
        </w:rPr>
        <w:t>20</w:t>
      </w:r>
      <w:r>
        <w:rPr>
          <w:rFonts w:ascii="Arial" w:eastAsia="黑体" w:cs="仿宋_GB2312" w:hAnsi="Arial" w:hint="eastAsia"/>
          <w:b w:val="0"/>
          <w:bCs w:val="0"/>
          <w:color w:val="auto"/>
          <w:sz w:val="24"/>
          <w:szCs w:val="32"/>
          <w:lang w:val="en-US" w:eastAsia="zh-CN"/>
        </w:rPr>
        <w:t>20</w:t>
      </w:r>
      <w:r>
        <w:rPr>
          <w:rFonts w:ascii="Arial" w:eastAsia="黑体" w:cs="仿宋_GB2312" w:hAnsi="Arial" w:hint="eastAsia"/>
          <w:b w:val="0"/>
          <w:bCs w:val="0"/>
          <w:color w:val="auto"/>
          <w:sz w:val="24"/>
          <w:szCs w:val="32"/>
        </w:rPr>
        <w:t>年年初通过预算申报，由财政预算下达指标，共计</w:t>
      </w:r>
      <w:r>
        <w:rPr>
          <w:rFonts w:ascii="Arial" w:eastAsia="黑体" w:cs="仿宋_GB2312" w:hAnsi="Arial" w:hint="eastAsia"/>
          <w:b w:val="0"/>
          <w:bCs w:val="0"/>
          <w:color w:val="auto"/>
          <w:sz w:val="24"/>
          <w:szCs w:val="32"/>
          <w:lang w:val="en-US" w:eastAsia="zh-CN"/>
        </w:rPr>
        <w:t>62.4</w:t>
      </w:r>
      <w:r>
        <w:rPr>
          <w:rFonts w:ascii="Arial" w:eastAsia="黑体" w:cs="仿宋_GB2312" w:hAnsi="Arial" w:hint="eastAsia"/>
          <w:b w:val="0"/>
          <w:bCs w:val="0"/>
          <w:color w:val="auto"/>
          <w:sz w:val="24"/>
          <w:szCs w:val="32"/>
        </w:rPr>
        <w:t>万元。</w:t>
      </w:r>
    </w:p>
    <w:p>
      <w:pPr>
        <w:adjustRightInd w:val="0"/>
        <w:snapToGrid/>
        <w:spacing w:beforeAutospacing="0" w:after="80" w:afterAutospacing="0" w:line="360" w:lineRule="auto"/>
        <w:ind w:left="0" w:firstLineChars="200" w:firstLine="480"/>
        <w:rPr>
          <w:rFonts w:ascii="Arial" w:eastAsia="黑体" w:cs="仿宋_GB2312" w:hAnsi="Arial" w:hint="eastAsia"/>
          <w:b/>
          <w:bCs/>
          <w:color w:val="auto"/>
          <w:sz w:val="24"/>
          <w:szCs w:val="32"/>
          <w:lang w:val="en-US" w:eastAsia="zh-CN"/>
        </w:rPr>
      </w:pPr>
      <w:r>
        <w:rPr>
          <w:rFonts w:ascii="Arial" w:eastAsia="黑体" w:cs="仿宋_GB2312" w:hAnsi="Arial" w:hint="eastAsia"/>
          <w:b/>
          <w:bCs/>
          <w:color w:val="auto"/>
          <w:sz w:val="24"/>
          <w:szCs w:val="32"/>
          <w:lang w:val="en-US" w:eastAsia="zh-CN"/>
        </w:rPr>
        <w:t>（二）项目绩效目标。</w:t>
      </w:r>
      <w:r>
        <w:rPr>
          <w:rFonts w:ascii="Arial" w:eastAsia="黑体" w:cs="仿宋_GB2312" w:hAnsi="Arial" w:hint="eastAsia"/>
          <w:b w:val="0"/>
          <w:bCs w:val="0"/>
          <w:color w:val="auto"/>
          <w:sz w:val="24"/>
          <w:szCs w:val="32"/>
          <w:lang w:val="en-US" w:eastAsia="zh-CN"/>
        </w:rPr>
        <w:t>根据广财社[2016]5号文件规定，发放残疾人扶贫对象生活</w:t>
      </w:r>
      <w:r>
        <w:rPr>
          <w:rFonts w:ascii="Arial" w:eastAsia="黑体" w:cs="仿宋_GB2312" w:hAnsi="Arial" w:hint="eastAsia"/>
          <w:b w:val="0"/>
          <w:bCs w:val="0"/>
          <w:color w:val="auto"/>
          <w:sz w:val="24"/>
          <w:szCs w:val="32"/>
        </w:rPr>
        <w:t>补贴</w:t>
      </w:r>
      <w:r>
        <w:rPr>
          <w:rFonts w:ascii="Arial" w:eastAsia="黑体" w:cs="仿宋_GB2312" w:hAnsi="Arial" w:hint="eastAsia"/>
          <w:b w:val="0"/>
          <w:bCs w:val="0"/>
          <w:color w:val="auto"/>
          <w:sz w:val="24"/>
          <w:szCs w:val="32"/>
          <w:lang w:val="zh-CN"/>
        </w:rPr>
        <w:t>主要用于</w:t>
      </w:r>
      <w:r>
        <w:rPr>
          <w:rFonts w:ascii="Arial" w:eastAsia="黑体" w:cs="仿宋_GB2312" w:hAnsi="Arial" w:hint="eastAsia"/>
          <w:b w:val="0"/>
          <w:bCs w:val="0"/>
          <w:color w:val="auto"/>
          <w:sz w:val="24"/>
          <w:szCs w:val="32"/>
          <w:lang w:val="en-US" w:eastAsia="zh-CN"/>
        </w:rPr>
        <w:t>对2015年底前已经脱贫的建档立卡残疾人，如其个人收入未超过国定贫困线，据实发放扶贫补贴</w:t>
      </w:r>
      <w:r>
        <w:rPr>
          <w:rFonts w:ascii="Arial" w:eastAsia="黑体" w:cs="仿宋_GB2312" w:hAnsi="Arial" w:hint="eastAsia"/>
          <w:b w:val="0"/>
          <w:bCs w:val="0"/>
          <w:color w:val="auto"/>
          <w:sz w:val="24"/>
          <w:szCs w:val="32"/>
          <w:lang w:val="zh-CN"/>
        </w:rPr>
        <w:t>。</w:t>
      </w:r>
      <w:r>
        <w:rPr>
          <w:rFonts w:ascii="Arial" w:eastAsia="黑体" w:cs="仿宋_GB2312" w:hAnsi="Arial" w:hint="eastAsia"/>
          <w:b w:val="0"/>
          <w:bCs w:val="0"/>
          <w:color w:val="auto"/>
          <w:sz w:val="24"/>
          <w:szCs w:val="32"/>
          <w:lang w:val="zh-CN" w:eastAsia="zh-CN"/>
        </w:rPr>
        <w:t>其中，年收入低于1000元的，年补助2000元；年收入低于2000元的，年补助1500元；年收入2001元以上的，年补助1000元。所需资金，按3：1：6的比例由省市县三级财政共同分担，据实结算。</w:t>
      </w:r>
      <w:r>
        <w:rPr>
          <w:rFonts w:ascii="Arial" w:eastAsia="黑体" w:cs="仿宋_GB2312" w:hAnsi="Arial" w:hint="eastAsia"/>
          <w:b w:val="0"/>
          <w:bCs w:val="0"/>
          <w:color w:val="auto"/>
          <w:sz w:val="24"/>
          <w:szCs w:val="32"/>
          <w:lang w:val="zh-CN"/>
        </w:rPr>
        <w:t>目前项目已实施完毕。</w:t>
      </w:r>
    </w:p>
    <w:p>
      <w:pPr>
        <w:adjustRightInd w:val="0"/>
        <w:snapToGrid/>
        <w:spacing w:before="80" w:beforeAutospacing="0" w:afterAutospacing="0" w:line="360" w:lineRule="auto"/>
        <w:ind w:left="0" w:right="0" w:firstLine="0"/>
        <w:jc w:val="left"/>
        <w:outlineLvl w:val="1"/>
        <w:rPr>
          <w:rFonts w:ascii="Times New Roman" w:eastAsia="汉仪中宋简" w:hAnsi="Times New Roman"/>
          <w:b w:val="0"/>
          <w:sz w:val="28"/>
          <w:szCs w:val="32"/>
        </w:rPr>
      </w:pPr>
      <w:bookmarkStart w:id="104" w:name="_Toc6847"/>
      <w:r>
        <w:rPr>
          <w:rFonts w:ascii="Times New Roman" w:eastAsia="汉仪中宋简" w:hAnsi="Times New Roman" w:hint="eastAsia"/>
          <w:b w:val="0"/>
          <w:sz w:val="28"/>
          <w:szCs w:val="32"/>
        </w:rPr>
        <w:t>二、项目资金申报及使用情况</w:t>
      </w:r>
      <w:bookmarkEnd w:id="104"/>
    </w:p>
    <w:p>
      <w:pPr>
        <w:adjustRightInd w:val="0"/>
        <w:snapToGrid/>
        <w:spacing w:before="80" w:beforeAutospacing="0" w:afterAutospacing="0" w:line="240" w:lineRule="auto"/>
        <w:ind w:left="0" w:right="0" w:firstLine="0"/>
        <w:jc w:val="left"/>
        <w:outlineLvl w:val="2"/>
        <w:rPr>
          <w:rFonts w:ascii="Times New Roman" w:eastAsia="汉仪中宋简" w:hAnsi="Times New Roman"/>
          <w:b w:val="0"/>
          <w:sz w:val="26"/>
          <w:szCs w:val="32"/>
          <w:lang w:val="zh-CN"/>
        </w:rPr>
      </w:pPr>
      <w:bookmarkStart w:id="105" w:name="_Toc26651"/>
      <w:r>
        <w:rPr>
          <w:rFonts w:ascii="Times New Roman" w:eastAsia="汉仪中宋简" w:hAnsi="Times New Roman" w:hint="eastAsia"/>
          <w:b w:val="0"/>
          <w:sz w:val="26"/>
          <w:szCs w:val="32"/>
          <w:lang w:val="zh-CN"/>
        </w:rPr>
        <w:t>（一）项目资金申报及批复情况。</w:t>
      </w:r>
      <w:bookmarkEnd w:id="105"/>
    </w:p>
    <w:p>
      <w:pPr>
        <w:adjustRightInd w:val="0"/>
        <w:snapToGrid/>
        <w:spacing w:beforeAutospacing="0" w:after="80" w:afterAutospacing="0" w:line="360" w:lineRule="auto"/>
        <w:ind w:left="0" w:firstLineChars="200" w:firstLine="480"/>
        <w:rPr>
          <w:rFonts w:ascii="Arial" w:eastAsia="黑体" w:cs="仿宋_GB2312" w:hAnsi="Arial" w:hint="eastAsia"/>
          <w:sz w:val="24"/>
          <w:szCs w:val="32"/>
          <w:lang w:val="zh-CN"/>
        </w:rPr>
      </w:pPr>
      <w:r>
        <w:rPr>
          <w:rFonts w:ascii="Arial" w:eastAsia="黑体" w:cs="仿宋_GB2312" w:hAnsi="Arial" w:hint="eastAsia"/>
          <w:sz w:val="24"/>
          <w:szCs w:val="32"/>
          <w:lang w:val="zh-CN"/>
        </w:rPr>
        <w:t>项目资金申报相符性</w:t>
      </w:r>
      <w:r>
        <w:rPr>
          <w:rFonts w:ascii="Arial" w:eastAsia="黑体" w:cs="仿宋_GB2312" w:hAnsi="Arial" w:hint="eastAsia"/>
          <w:b/>
          <w:sz w:val="24"/>
          <w:szCs w:val="32"/>
          <w:lang w:val="zh-CN"/>
        </w:rPr>
        <w:t>。</w:t>
      </w:r>
      <w:r>
        <w:rPr>
          <w:rFonts w:ascii="Arial" w:eastAsia="黑体" w:cs="仿宋_GB2312" w:hAnsi="Arial" w:hint="eastAsia"/>
          <w:sz w:val="24"/>
          <w:szCs w:val="32"/>
          <w:lang w:val="zh-CN"/>
        </w:rPr>
        <w:t>项目申报内容与具体实施内容相符、申报目标合理可行。</w:t>
      </w:r>
    </w:p>
    <w:p>
      <w:pPr>
        <w:adjustRightInd w:val="0"/>
        <w:snapToGrid/>
        <w:spacing w:before="80" w:beforeAutospacing="0" w:afterAutospacing="0" w:line="240" w:lineRule="auto"/>
        <w:ind w:left="0" w:right="0" w:firstLine="0"/>
        <w:jc w:val="left"/>
        <w:outlineLvl w:val="2"/>
        <w:rPr>
          <w:rFonts w:ascii="Times New Roman" w:eastAsia="汉仪中宋简" w:hAnsi="Times New Roman"/>
          <w:b w:val="0"/>
          <w:sz w:val="26"/>
          <w:szCs w:val="32"/>
          <w:lang w:val="zh-CN"/>
        </w:rPr>
      </w:pPr>
      <w:bookmarkStart w:id="106" w:name="_Toc3488"/>
      <w:r>
        <w:rPr>
          <w:rFonts w:ascii="Times New Roman" w:eastAsia="汉仪中宋简" w:hAnsi="Times New Roman" w:hint="eastAsia"/>
          <w:b w:val="0"/>
          <w:sz w:val="26"/>
          <w:szCs w:val="32"/>
          <w:lang w:val="zh-CN"/>
        </w:rPr>
        <w:t>（二）资金计划、到位及使用情况（可用表格形式反映）。</w:t>
      </w:r>
      <w:bookmarkEnd w:id="106"/>
    </w:p>
    <w:p>
      <w:pPr>
        <w:adjustRightInd w:val="0"/>
        <w:snapToGrid/>
        <w:spacing w:beforeAutospacing="0" w:after="80" w:afterAutospacing="0" w:line="360" w:lineRule="auto"/>
        <w:ind w:left="0" w:firstLineChars="200" w:firstLine="480"/>
        <w:rPr>
          <w:rFonts w:ascii="Arial" w:eastAsia="黑体" w:hAnsi="Arial"/>
          <w:color w:val="auto"/>
          <w:sz w:val="24"/>
          <w:szCs w:val="32"/>
          <w:lang w:val="en-US"/>
        </w:rPr>
      </w:pPr>
      <w:r>
        <w:rPr>
          <w:rFonts w:ascii="Arial" w:eastAsia="黑体" w:hAnsi="Arial"/>
          <w:color w:val="auto"/>
          <w:sz w:val="24"/>
          <w:szCs w:val="32"/>
          <w:lang w:val="zh-CN"/>
        </w:rPr>
        <w:t>1</w:t>
      </w:r>
      <w:r>
        <w:rPr>
          <w:rFonts w:ascii="Arial" w:eastAsia="黑体" w:hAnsi="Arial" w:hint="eastAsia"/>
          <w:color w:val="auto"/>
          <w:sz w:val="24"/>
          <w:szCs w:val="32"/>
          <w:lang w:val="zh-CN"/>
        </w:rPr>
        <w:t>．资金计划。在</w:t>
      </w:r>
      <w:r>
        <w:rPr>
          <w:rFonts w:ascii="Arial" w:eastAsia="黑体" w:cs="仿宋_GB2312" w:hAnsi="Arial" w:hint="eastAsia"/>
          <w:bCs/>
          <w:color w:val="auto"/>
          <w:sz w:val="24"/>
          <w:szCs w:val="32"/>
          <w:lang w:val="en-US" w:eastAsia="zh-CN"/>
        </w:rPr>
        <w:t>2020年残疾人扶贫对象生活补贴实际支付460人，资金共计86.36万元，省财政承担25.91万元、市财政承担8.64万元、区财政承担51.81 万元。</w:t>
      </w:r>
    </w:p>
    <w:p>
      <w:pPr>
        <w:adjustRightInd w:val="0"/>
        <w:snapToGrid/>
        <w:spacing w:beforeAutospacing="0" w:after="80" w:afterAutospacing="0" w:line="360" w:lineRule="auto"/>
        <w:ind w:left="0" w:firstLineChars="200" w:firstLine="480"/>
        <w:rPr>
          <w:rFonts w:ascii="Arial" w:eastAsia="黑体" w:hAnsi="Arial"/>
          <w:sz w:val="24"/>
          <w:szCs w:val="32"/>
          <w:lang w:val="zh-CN"/>
        </w:rPr>
      </w:pPr>
      <w:r>
        <w:rPr>
          <w:rFonts w:ascii="Arial" w:eastAsia="黑体" w:hAnsi="Arial"/>
          <w:sz w:val="24"/>
          <w:szCs w:val="32"/>
          <w:lang w:val="zh-CN"/>
        </w:rPr>
        <w:t>2</w:t>
      </w:r>
      <w:r>
        <w:rPr>
          <w:rFonts w:ascii="Arial" w:eastAsia="黑体" w:hAnsi="Arial" w:hint="eastAsia"/>
          <w:sz w:val="24"/>
          <w:szCs w:val="32"/>
          <w:lang w:val="zh-CN"/>
        </w:rPr>
        <w:t>．资金到位。</w:t>
      </w:r>
      <w:r>
        <w:rPr>
          <w:rFonts w:ascii="Arial" w:eastAsia="黑体" w:cs="仿宋_GB2312" w:hAnsi="Arial" w:hint="eastAsia"/>
          <w:sz w:val="24"/>
          <w:szCs w:val="32"/>
          <w:lang w:val="zh-CN" w:eastAsia="zh-CN"/>
        </w:rPr>
        <w:t>放残疾人扶贫对象生费活补贴</w:t>
      </w:r>
      <w:r>
        <w:rPr>
          <w:rFonts w:ascii="Arial" w:eastAsia="黑体" w:cs="仿宋_GB2312" w:hAnsi="Arial" w:hint="eastAsia"/>
          <w:bCs/>
          <w:sz w:val="24"/>
          <w:szCs w:val="32"/>
          <w:lang w:val="zh-CN"/>
        </w:rPr>
        <w:t>经费于</w:t>
      </w:r>
      <w:r>
        <w:rPr>
          <w:rFonts w:ascii="Arial" w:eastAsia="黑体" w:cs="仿宋_GB2312" w:hAnsi="Arial" w:hint="eastAsia"/>
          <w:bCs/>
          <w:sz w:val="24"/>
          <w:szCs w:val="32"/>
        </w:rPr>
        <w:t>20</w:t>
      </w:r>
      <w:r>
        <w:rPr>
          <w:rFonts w:ascii="Arial" w:eastAsia="黑体" w:cs="仿宋_GB2312" w:hAnsi="Arial" w:hint="eastAsia"/>
          <w:bCs/>
          <w:sz w:val="24"/>
          <w:szCs w:val="32"/>
          <w:lang w:val="en-US" w:eastAsia="zh-CN"/>
        </w:rPr>
        <w:t>20</w:t>
      </w:r>
      <w:r>
        <w:rPr>
          <w:rFonts w:ascii="Arial" w:eastAsia="黑体" w:cs="仿宋_GB2312" w:hAnsi="Arial" w:hint="eastAsia"/>
          <w:bCs/>
          <w:sz w:val="24"/>
          <w:szCs w:val="32"/>
        </w:rPr>
        <w:t>年全部及时到位，到位率 100%，全部由区财政全额预算</w:t>
      </w:r>
      <w:r>
        <w:rPr>
          <w:rFonts w:ascii="Arial" w:eastAsia="黑体" w:cs="仿宋_GB2312" w:hAnsi="Arial" w:hint="eastAsia"/>
          <w:bCs/>
          <w:sz w:val="24"/>
          <w:szCs w:val="32"/>
          <w:lang w:eastAsia="zh-CN"/>
        </w:rPr>
        <w:t>。</w:t>
      </w:r>
    </w:p>
    <w:p>
      <w:pPr>
        <w:snapToGrid/>
        <w:spacing w:beforeAutospacing="0" w:after="80" w:afterAutospacing="0" w:line="360" w:lineRule="auto"/>
        <w:ind w:left="0" w:firstLineChars="200" w:firstLine="480"/>
        <w:rPr>
          <w:rFonts w:ascii="Arial" w:eastAsia="黑体" w:hAnsi="Arial" w:hint="eastAsia"/>
          <w:bCs/>
          <w:sz w:val="24"/>
          <w:szCs w:val="30"/>
          <w:lang w:val="en-US" w:eastAsia="zh-CN"/>
        </w:rPr>
      </w:pPr>
      <w:r>
        <w:rPr>
          <w:rFonts w:ascii="Arial" w:eastAsia="黑体" w:hAnsi="Arial"/>
          <w:sz w:val="24"/>
          <w:szCs w:val="32"/>
          <w:lang w:val="zh-CN"/>
        </w:rPr>
        <w:t>3</w:t>
      </w:r>
      <w:r>
        <w:rPr>
          <w:rFonts w:ascii="Arial" w:eastAsia="黑体" w:hAnsi="Arial" w:hint="eastAsia"/>
          <w:sz w:val="24"/>
          <w:szCs w:val="32"/>
          <w:lang w:val="zh-CN"/>
        </w:rPr>
        <w:t>．资金使用。</w:t>
      </w:r>
      <w:r>
        <w:rPr>
          <w:rFonts w:ascii="Arial" w:eastAsia="黑体" w:cs="仿宋_GB2312" w:hAnsi="Arial" w:hint="eastAsia"/>
          <w:sz w:val="24"/>
          <w:szCs w:val="32"/>
          <w:lang w:val="zh-CN" w:eastAsia="zh-CN"/>
        </w:rPr>
        <w:t>发放残疾人扶贫对象生费活补贴</w:t>
      </w:r>
      <w:r>
        <w:rPr>
          <w:rFonts w:ascii="Arial" w:eastAsia="黑体" w:cs="仿宋_GB2312" w:hAnsi="Arial" w:hint="eastAsia"/>
          <w:bCs/>
          <w:sz w:val="24"/>
          <w:szCs w:val="32"/>
          <w:lang w:val="zh-CN"/>
        </w:rPr>
        <w:t>经费</w:t>
      </w:r>
      <w:r>
        <w:rPr>
          <w:rFonts w:ascii="Arial" w:eastAsia="黑体" w:cs="仿宋_GB2312" w:hAnsi="Arial" w:hint="eastAsia"/>
          <w:bCs/>
          <w:sz w:val="24"/>
          <w:szCs w:val="32"/>
        </w:rPr>
        <w:t>实际支出</w:t>
      </w:r>
      <w:r>
        <w:rPr>
          <w:rFonts w:ascii="Arial" w:eastAsia="黑体" w:cs="仿宋_GB2312" w:hAnsi="Arial" w:hint="eastAsia"/>
          <w:bCs/>
          <w:sz w:val="24"/>
          <w:szCs w:val="32"/>
          <w:lang w:val="en-US" w:eastAsia="zh-CN"/>
        </w:rPr>
        <w:t>86.36</w:t>
      </w:r>
      <w:r>
        <w:rPr>
          <w:rFonts w:ascii="Arial" w:eastAsia="黑体" w:cs="仿宋_GB2312" w:hAnsi="Arial" w:hint="eastAsia"/>
          <w:bCs/>
          <w:sz w:val="24"/>
          <w:szCs w:val="32"/>
        </w:rPr>
        <w:t>万元</w:t>
      </w:r>
      <w:r>
        <w:rPr>
          <w:rFonts w:ascii="Arial" w:eastAsia="黑体" w:cs="仿宋_GB2312" w:hAnsi="Arial" w:hint="eastAsia"/>
          <w:sz w:val="24"/>
          <w:szCs w:val="32"/>
        </w:rPr>
        <w:t>；</w:t>
      </w:r>
      <w:r>
        <w:rPr>
          <w:rFonts w:ascii="Arial" w:eastAsia="黑体" w:cs="仿宋_GB2312" w:hAnsi="Arial" w:hint="eastAsia"/>
          <w:sz w:val="24"/>
          <w:szCs w:val="32"/>
          <w:lang w:val="zh-CN"/>
        </w:rPr>
        <w:t>资金开支范围：对核定符合条件的残疾人发放</w:t>
      </w:r>
      <w:r>
        <w:rPr>
          <w:rFonts w:ascii="Arial" w:eastAsia="黑体" w:cs="仿宋_GB2312" w:hAnsi="Arial" w:hint="eastAsia"/>
          <w:sz w:val="24"/>
          <w:szCs w:val="32"/>
          <w:lang w:val="zh-CN" w:eastAsia="zh-CN"/>
        </w:rPr>
        <w:t>残疾人扶贫对象生费活补贴</w:t>
      </w:r>
      <w:r>
        <w:rPr>
          <w:rFonts w:ascii="Arial" w:eastAsia="黑体" w:cs="仿宋_GB2312" w:hAnsi="Arial" w:hint="eastAsia"/>
          <w:sz w:val="24"/>
          <w:szCs w:val="32"/>
          <w:lang w:val="zh-CN"/>
        </w:rPr>
        <w:t>。</w:t>
      </w:r>
    </w:p>
    <w:p>
      <w:pPr>
        <w:adjustRightInd w:val="0"/>
        <w:snapToGrid/>
        <w:spacing w:before="80" w:beforeAutospacing="0" w:afterAutospacing="0" w:line="240" w:lineRule="auto"/>
        <w:ind w:left="0" w:right="0" w:firstLine="0"/>
        <w:jc w:val="left"/>
        <w:outlineLvl w:val="2"/>
        <w:rPr>
          <w:rFonts w:ascii="Times New Roman" w:eastAsia="汉仪中宋简" w:hAnsi="Times New Roman"/>
          <w:b w:val="0"/>
          <w:sz w:val="26"/>
          <w:szCs w:val="32"/>
          <w:lang w:val="zh-CN"/>
        </w:rPr>
      </w:pPr>
      <w:bookmarkStart w:id="107" w:name="_Toc24248"/>
      <w:r>
        <w:rPr>
          <w:rFonts w:ascii="Times New Roman" w:eastAsia="汉仪中宋简" w:hAnsi="Times New Roman" w:hint="eastAsia"/>
          <w:b w:val="0"/>
          <w:sz w:val="26"/>
          <w:szCs w:val="32"/>
          <w:lang w:val="zh-CN"/>
        </w:rPr>
        <w:t>（三）项目财务管理情况。</w:t>
      </w:r>
      <w:bookmarkEnd w:id="107"/>
    </w:p>
    <w:p>
      <w:pPr>
        <w:adjustRightInd w:val="0"/>
        <w:snapToGrid/>
        <w:spacing w:beforeAutospacing="0" w:after="80" w:afterAutospacing="0" w:line="360" w:lineRule="auto"/>
        <w:ind w:left="0" w:firstLineChars="200" w:firstLine="480"/>
        <w:rPr>
          <w:rFonts w:ascii="Arial" w:eastAsia="黑体" w:hAnsi="Arial" w:hint="eastAsia"/>
          <w:sz w:val="24"/>
          <w:szCs w:val="32"/>
          <w:lang w:val="en-US" w:eastAsia="zh-CN"/>
        </w:rPr>
      </w:pPr>
      <w:r>
        <w:rPr>
          <w:rFonts w:ascii="Arial" w:eastAsia="黑体" w:hAnsi="Arial" w:hint="eastAsia"/>
          <w:sz w:val="24"/>
          <w:szCs w:val="32"/>
          <w:lang w:val="en-US" w:eastAsia="zh-CN"/>
        </w:rPr>
        <w:t>项目财务管理制度</w:t>
      </w:r>
      <w:r>
        <w:rPr>
          <w:rFonts w:ascii="Arial" w:eastAsia="黑体" w:cs="仿宋_GB2312" w:hAnsi="Arial" w:hint="eastAsia"/>
          <w:sz w:val="24"/>
          <w:szCs w:val="32"/>
          <w:lang w:val="en-US" w:eastAsia="zh-CN"/>
        </w:rPr>
        <w:t>严格按照我会“三定”方案中所赋予的职责职能承担年度日常工作和重点工作。</w:t>
      </w:r>
      <w:r>
        <w:rPr>
          <w:rFonts w:ascii="Arial" w:eastAsia="黑体" w:hAnsi="Arial" w:hint="eastAsia"/>
          <w:sz w:val="24"/>
          <w:szCs w:val="32"/>
          <w:lang w:val="en-US" w:eastAsia="zh-CN"/>
        </w:rPr>
        <w:t>对照项目资金管理办法，项目严格执行了财务管理制度、财务处理及时、会计核算规范。</w:t>
      </w:r>
    </w:p>
    <w:p>
      <w:pPr>
        <w:adjustRightInd w:val="0"/>
        <w:snapToGrid/>
        <w:spacing w:before="80" w:beforeAutospacing="0" w:afterAutospacing="0" w:line="360" w:lineRule="auto"/>
        <w:ind w:left="0" w:right="0" w:firstLine="0"/>
        <w:jc w:val="left"/>
        <w:outlineLvl w:val="1"/>
        <w:rPr>
          <w:rFonts w:ascii="Times New Roman" w:eastAsia="汉仪中宋简" w:hAnsi="Times New Roman"/>
          <w:b w:val="0"/>
          <w:sz w:val="28"/>
          <w:szCs w:val="32"/>
        </w:rPr>
      </w:pPr>
      <w:bookmarkStart w:id="108" w:name="_Toc10024"/>
      <w:r>
        <w:rPr>
          <w:rFonts w:ascii="Times New Roman" w:eastAsia="汉仪中宋简" w:hAnsi="Times New Roman" w:hint="eastAsia"/>
          <w:b w:val="0"/>
          <w:sz w:val="28"/>
          <w:szCs w:val="32"/>
        </w:rPr>
        <w:t>三、项目实施及管理情况</w:t>
      </w:r>
      <w:bookmarkEnd w:id="108"/>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80" w:afterAutospacing="0" w:line="360" w:lineRule="auto"/>
        <w:ind w:left="0" w:right="0" w:firstLineChars="200" w:firstLine="480"/>
        <w:textAlignment w:val="auto"/>
        <w:outlineLvl w:val="9"/>
        <w:rPr>
          <w:rFonts w:ascii="Arial" w:eastAsia="黑体" w:cs="仿宋_GB2312" w:hAnsi="Arial"/>
          <w:b w:val="0"/>
          <w:bCs w:val="0"/>
          <w:color w:val="auto"/>
          <w:sz w:val="24"/>
          <w:szCs w:val="32"/>
          <w:lang w:val="en-US" w:eastAsia="zh-CN"/>
        </w:rPr>
      </w:pPr>
      <w:r>
        <w:rPr>
          <w:rFonts w:ascii="Arial" w:eastAsia="黑体" w:cs="仿宋_GB2312" w:hAnsi="Arial" w:hint="eastAsia"/>
          <w:b w:val="0"/>
          <w:bCs w:val="0"/>
          <w:color w:val="auto"/>
          <w:sz w:val="24"/>
          <w:szCs w:val="32"/>
          <w:lang w:val="en-US" w:eastAsia="zh-CN"/>
        </w:rPr>
        <w:t>根据广财社[2016]5号文件规定，对2015年底前已经脱贫的建档立卡残疾人，如其个人收入未超过国定贫困线，据实发放扶贫补贴；对当年新办证的建档立卡残疾人、新纳入建档立卡的残疾人、不再享受低保的建档立卡残疾人，符合条件的据实发放扶贫补贴。扶贫补贴标准一次核定，2016－2020年五年有效，在2020年底前保持扶贫补贴标准不减。但在此期间，如被纳入低保制度而相应领取低保补助和困难残疾人生活补贴的，则不再发放扶贫补贴。</w:t>
      </w:r>
    </w:p>
    <w:p>
      <w:pPr>
        <w:adjustRightInd w:val="0"/>
        <w:snapToGrid/>
        <w:spacing w:before="80" w:beforeAutospacing="0" w:afterAutospacing="0" w:line="360" w:lineRule="auto"/>
        <w:ind w:left="0" w:right="0" w:firstLine="0"/>
        <w:jc w:val="left"/>
        <w:outlineLvl w:val="1"/>
        <w:rPr>
          <w:rFonts w:ascii="Times New Roman" w:eastAsia="汉仪中宋简" w:hAnsi="Times New Roman"/>
          <w:b w:val="0"/>
          <w:sz w:val="28"/>
          <w:szCs w:val="32"/>
          <w:lang w:val="zh-CN"/>
        </w:rPr>
      </w:pPr>
      <w:bookmarkStart w:id="109" w:name="_Toc22692"/>
      <w:r>
        <w:rPr>
          <w:rFonts w:ascii="Times New Roman" w:eastAsia="汉仪中宋简" w:hAnsi="Times New Roman" w:hint="eastAsia"/>
          <w:b w:val="0"/>
          <w:sz w:val="28"/>
          <w:szCs w:val="32"/>
        </w:rPr>
        <w:t>四、项目绩效情况</w:t>
      </w:r>
      <w:bookmarkEnd w:id="109"/>
      <w:r>
        <w:rPr>
          <w:rFonts w:ascii="Times New Roman" w:eastAsia="汉仪中宋简" w:hAnsi="Times New Roman"/>
          <w:b w:val="0"/>
          <w:sz w:val="28"/>
          <w:szCs w:val="32"/>
          <w:lang w:val="zh-CN"/>
        </w:rPr>
        <w:tab/>
      </w:r>
    </w:p>
    <w:p>
      <w:pPr>
        <w:adjustRightInd w:val="0"/>
        <w:snapToGrid/>
        <w:spacing w:before="80" w:beforeAutospacing="0" w:afterAutospacing="0" w:line="240" w:lineRule="auto"/>
        <w:ind w:left="0" w:right="0" w:firstLine="0"/>
        <w:jc w:val="left"/>
        <w:outlineLvl w:val="2"/>
        <w:rPr>
          <w:rFonts w:ascii="Times New Roman" w:eastAsia="汉仪中宋简" w:hAnsi="Times New Roman"/>
          <w:b w:val="0"/>
          <w:sz w:val="26"/>
          <w:szCs w:val="32"/>
          <w:lang w:val="zh-CN"/>
        </w:rPr>
      </w:pPr>
      <w:bookmarkStart w:id="110" w:name="_Toc10747"/>
      <w:r>
        <w:rPr>
          <w:rFonts w:ascii="Times New Roman" w:eastAsia="汉仪中宋简" w:hAnsi="Times New Roman" w:hint="eastAsia"/>
          <w:b w:val="0"/>
          <w:sz w:val="26"/>
          <w:szCs w:val="32"/>
          <w:lang w:val="zh-CN"/>
        </w:rPr>
        <w:t>（一）项目完成情况。</w:t>
      </w:r>
      <w:bookmarkEnd w:id="110"/>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80" w:afterAutospacing="0" w:line="360" w:lineRule="auto"/>
        <w:ind w:left="0" w:right="0" w:firstLineChars="200" w:firstLine="480"/>
        <w:textAlignment w:val="auto"/>
        <w:outlineLvl w:val="9"/>
        <w:rPr>
          <w:rFonts w:ascii="Arial" w:eastAsia="黑体" w:cs="仿宋_GB2312" w:hAnsi="Arial" w:hint="eastAsia"/>
          <w:b/>
          <w:bCs/>
          <w:sz w:val="24"/>
          <w:szCs w:val="32"/>
          <w:lang w:val="en-US" w:eastAsia="zh-CN"/>
        </w:rPr>
      </w:pPr>
      <w:r>
        <w:rPr>
          <w:rFonts w:ascii="Arial" w:eastAsia="黑体" w:cs="仿宋_GB2312" w:hAnsi="Arial" w:hint="eastAsia"/>
          <w:sz w:val="24"/>
          <w:szCs w:val="32"/>
          <w:lang w:val="zh-CN"/>
        </w:rPr>
        <w:t>截止</w:t>
      </w:r>
      <w:r>
        <w:rPr>
          <w:rFonts w:ascii="Arial" w:eastAsia="黑体" w:cs="仿宋_GB2312" w:hAnsi="Arial" w:hint="eastAsia"/>
          <w:sz w:val="24"/>
          <w:szCs w:val="32"/>
        </w:rPr>
        <w:t>20</w:t>
      </w:r>
      <w:r>
        <w:rPr>
          <w:rFonts w:ascii="Arial" w:eastAsia="黑体" w:cs="仿宋_GB2312" w:hAnsi="Arial" w:hint="eastAsia"/>
          <w:sz w:val="24"/>
          <w:szCs w:val="32"/>
          <w:lang w:val="en-US" w:eastAsia="zh-CN"/>
        </w:rPr>
        <w:t>20</w:t>
      </w:r>
      <w:r>
        <w:rPr>
          <w:rFonts w:ascii="Arial" w:eastAsia="黑体" w:cs="仿宋_GB2312" w:hAnsi="Arial" w:hint="eastAsia"/>
          <w:sz w:val="24"/>
          <w:szCs w:val="32"/>
        </w:rPr>
        <w:t>年</w:t>
      </w:r>
      <w:r>
        <w:rPr>
          <w:rFonts w:ascii="Arial" w:eastAsia="黑体" w:cs="仿宋_GB2312" w:hAnsi="Arial" w:hint="eastAsia"/>
          <w:sz w:val="24"/>
          <w:szCs w:val="32"/>
          <w:lang w:val="en-US" w:eastAsia="zh-CN"/>
        </w:rPr>
        <w:t>12</w:t>
      </w:r>
      <w:r>
        <w:rPr>
          <w:rFonts w:ascii="Arial" w:eastAsia="黑体" w:cs="仿宋_GB2312" w:hAnsi="Arial" w:hint="eastAsia"/>
          <w:sz w:val="24"/>
          <w:szCs w:val="32"/>
        </w:rPr>
        <w:t>月30日</w:t>
      </w:r>
      <w:r>
        <w:rPr>
          <w:rFonts w:ascii="Arial" w:eastAsia="黑体" w:cs="仿宋_GB2312" w:hAnsi="Arial" w:hint="eastAsia"/>
          <w:sz w:val="24"/>
          <w:szCs w:val="32"/>
          <w:lang w:val="zh-CN"/>
        </w:rPr>
        <w:t>实际发放完成额</w:t>
      </w:r>
      <w:r>
        <w:rPr>
          <w:rFonts w:ascii="Arial" w:eastAsia="黑体" w:cs="仿宋_GB2312" w:hAnsi="Arial" w:hint="eastAsia"/>
          <w:sz w:val="24"/>
          <w:szCs w:val="32"/>
          <w:lang w:val="en-US" w:eastAsia="zh-CN"/>
        </w:rPr>
        <w:t>86.36</w:t>
      </w:r>
      <w:r>
        <w:rPr>
          <w:rFonts w:ascii="Arial" w:eastAsia="黑体" w:cs="仿宋_GB2312" w:hAnsi="Arial" w:hint="eastAsia"/>
          <w:sz w:val="24"/>
          <w:szCs w:val="32"/>
        </w:rPr>
        <w:t>万元，并全部完成绩效目标</w:t>
      </w:r>
      <w:r>
        <w:rPr>
          <w:rFonts w:ascii="Arial" w:eastAsia="黑体" w:cs="仿宋_GB2312" w:hAnsi="Arial" w:hint="eastAsia"/>
          <w:sz w:val="24"/>
          <w:szCs w:val="32"/>
          <w:lang w:eastAsia="zh-CN"/>
        </w:rPr>
        <w:t>。</w:t>
      </w:r>
    </w:p>
    <w:p>
      <w:pPr>
        <w:adjustRightInd w:val="0"/>
        <w:snapToGrid/>
        <w:spacing w:before="80" w:beforeAutospacing="0" w:afterAutospacing="0" w:line="240" w:lineRule="auto"/>
        <w:ind w:left="0" w:right="0" w:firstLine="0"/>
        <w:jc w:val="left"/>
        <w:outlineLvl w:val="2"/>
        <w:rPr>
          <w:rFonts w:ascii="Times New Roman" w:eastAsia="汉仪中宋简" w:hAnsi="Times New Roman"/>
          <w:b w:val="0"/>
          <w:sz w:val="26"/>
          <w:szCs w:val="32"/>
          <w:lang w:val="zh-CN"/>
        </w:rPr>
      </w:pPr>
      <w:bookmarkStart w:id="111" w:name="_Toc12800"/>
      <w:r>
        <w:rPr>
          <w:rFonts w:ascii="Times New Roman" w:eastAsia="汉仪中宋简" w:hAnsi="Times New Roman" w:hint="eastAsia"/>
          <w:b w:val="0"/>
          <w:sz w:val="26"/>
          <w:szCs w:val="32"/>
          <w:lang w:val="zh-CN"/>
        </w:rPr>
        <w:t>（二）项目效益情况。</w:t>
      </w:r>
      <w:bookmarkEnd w:id="111"/>
    </w:p>
    <w:p>
      <w:pPr>
        <w:adjustRightInd w:val="0"/>
        <w:snapToGrid/>
        <w:spacing w:beforeAutospacing="0" w:after="80" w:afterAutospacing="0" w:line="360" w:lineRule="auto"/>
        <w:ind w:left="0" w:firstLineChars="200" w:firstLine="480"/>
        <w:rPr>
          <w:rFonts w:ascii="Arial" w:eastAsia="黑体" w:hAnsi="Arial" w:hint="eastAsia"/>
          <w:sz w:val="24"/>
          <w:szCs w:val="32"/>
          <w:lang w:val="zh-CN"/>
        </w:rPr>
      </w:pPr>
      <w:r>
        <w:rPr>
          <w:rFonts w:ascii="Arial" w:eastAsia="黑体" w:hAnsi="Arial" w:hint="eastAsia"/>
          <w:sz w:val="24"/>
          <w:szCs w:val="32"/>
          <w:lang w:val="zh-CN"/>
        </w:rPr>
        <w:t>该项目增加了建档立卡贫困残疾人的收入，改善了生活状况，发放服务对象满意度达</w:t>
      </w:r>
      <w:r>
        <w:rPr>
          <w:rFonts w:ascii="Arial" w:eastAsia="黑体" w:hAnsi="Arial" w:hint="eastAsia"/>
          <w:sz w:val="24"/>
          <w:szCs w:val="32"/>
          <w:lang w:val="en-US" w:eastAsia="zh-CN"/>
        </w:rPr>
        <w:t>98%</w:t>
      </w:r>
      <w:r>
        <w:rPr>
          <w:rFonts w:ascii="Arial" w:eastAsia="黑体" w:hAnsi="Arial" w:hint="eastAsia"/>
          <w:sz w:val="24"/>
          <w:szCs w:val="32"/>
          <w:lang w:val="zh-CN"/>
        </w:rPr>
        <w:t>。</w:t>
      </w:r>
    </w:p>
    <w:p>
      <w:pPr>
        <w:adjustRightInd w:val="0"/>
        <w:snapToGrid/>
        <w:spacing w:before="80" w:beforeAutospacing="0" w:afterAutospacing="0" w:line="360" w:lineRule="auto"/>
        <w:ind w:left="0" w:right="0" w:firstLine="0"/>
        <w:jc w:val="left"/>
        <w:outlineLvl w:val="1"/>
        <w:rPr>
          <w:rFonts w:ascii="Times New Roman" w:eastAsia="汉仪中宋简" w:hAnsi="Times New Roman"/>
          <w:b w:val="0"/>
          <w:sz w:val="28"/>
          <w:szCs w:val="32"/>
        </w:rPr>
      </w:pPr>
      <w:bookmarkStart w:id="112" w:name="_Toc23940"/>
      <w:r>
        <w:rPr>
          <w:rFonts w:ascii="Times New Roman" w:eastAsia="汉仪中宋简" w:hAnsi="Times New Roman" w:hint="eastAsia"/>
          <w:b w:val="0"/>
          <w:sz w:val="28"/>
          <w:szCs w:val="32"/>
        </w:rPr>
        <w:t>五、评价结论及建议</w:t>
      </w:r>
      <w:bookmarkEnd w:id="112"/>
    </w:p>
    <w:p>
      <w:pPr>
        <w:adjustRightInd w:val="0"/>
        <w:snapToGrid/>
        <w:spacing w:before="80" w:beforeAutospacing="0" w:afterAutospacing="0" w:line="240" w:lineRule="auto"/>
        <w:ind w:left="0" w:right="0" w:firstLine="0"/>
        <w:jc w:val="left"/>
        <w:outlineLvl w:val="2"/>
        <w:rPr>
          <w:rFonts w:ascii="Times New Roman" w:eastAsia="汉仪中宋简" w:hAnsi="Times New Roman"/>
          <w:b w:val="0"/>
          <w:sz w:val="26"/>
          <w:szCs w:val="32"/>
          <w:lang w:val="zh-CN"/>
        </w:rPr>
      </w:pPr>
      <w:bookmarkStart w:id="113" w:name="_Toc10546"/>
      <w:r>
        <w:rPr>
          <w:rFonts w:ascii="Times New Roman" w:eastAsia="汉仪中宋简" w:hAnsi="Times New Roman" w:hint="eastAsia"/>
          <w:b w:val="0"/>
          <w:sz w:val="26"/>
          <w:szCs w:val="32"/>
          <w:lang w:val="zh-CN"/>
        </w:rPr>
        <w:t>（一）评价结论。</w:t>
      </w:r>
      <w:bookmarkEnd w:id="113"/>
    </w:p>
    <w:p>
      <w:pPr>
        <w:adjustRightInd w:val="0"/>
        <w:snapToGrid/>
        <w:spacing w:beforeAutospacing="0" w:after="80" w:afterAutospacing="0" w:line="360" w:lineRule="auto"/>
        <w:ind w:left="0" w:firstLineChars="200" w:firstLine="480"/>
        <w:rPr>
          <w:rFonts w:ascii="Arial" w:eastAsia="黑体" w:hAnsi="Arial"/>
          <w:sz w:val="24"/>
          <w:szCs w:val="32"/>
          <w:bdr w:val="single" w:sz="4" w:space="0" w:color="auto"/>
          <w:lang w:val="zh-CN"/>
        </w:rPr>
      </w:pPr>
      <w:r>
        <w:rPr>
          <w:rFonts w:ascii="Arial" w:eastAsia="黑体" w:hAnsi="Arial" w:hint="eastAsia"/>
          <w:sz w:val="24"/>
          <w:szCs w:val="28"/>
        </w:rPr>
        <w:t>该项目的绩效目标基本明确，绩效目标完整、决策依据充分</w:t>
      </w:r>
      <w:r>
        <w:rPr>
          <w:rFonts w:ascii="Arial" w:eastAsia="黑体" w:hAnsi="Arial" w:hint="eastAsia"/>
          <w:sz w:val="24"/>
          <w:szCs w:val="32"/>
          <w:lang w:val="zh-CN"/>
        </w:rPr>
        <w:t>。</w:t>
      </w:r>
    </w:p>
    <w:p>
      <w:pPr>
        <w:adjustRightInd w:val="0"/>
        <w:snapToGrid/>
        <w:spacing w:before="80" w:beforeAutospacing="0" w:afterAutospacing="0" w:line="240" w:lineRule="auto"/>
        <w:ind w:left="0" w:right="0" w:firstLine="0"/>
        <w:jc w:val="left"/>
        <w:outlineLvl w:val="2"/>
        <w:rPr>
          <w:rFonts w:ascii="Times New Roman" w:eastAsia="汉仪中宋简" w:hAnsi="Times New Roman"/>
          <w:b w:val="0"/>
          <w:sz w:val="26"/>
          <w:szCs w:val="32"/>
          <w:lang w:val="zh-CN"/>
        </w:rPr>
      </w:pPr>
      <w:bookmarkStart w:id="114" w:name="_Toc20645"/>
      <w:r>
        <w:rPr>
          <w:rFonts w:ascii="Times New Roman" w:eastAsia="汉仪中宋简" w:hAnsi="Times New Roman" w:hint="eastAsia"/>
          <w:b w:val="0"/>
          <w:sz w:val="26"/>
          <w:szCs w:val="32"/>
          <w:lang w:val="zh-CN"/>
        </w:rPr>
        <w:t>（二）存在的问题。</w:t>
      </w:r>
      <w:bookmarkEnd w:id="114"/>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80" w:afterAutospacing="0" w:line="360" w:lineRule="auto"/>
        <w:ind w:left="0" w:right="0" w:firstLineChars="200" w:firstLine="480"/>
        <w:textAlignment w:val="auto"/>
        <w:outlineLvl w:val="9"/>
        <w:rPr>
          <w:rFonts w:ascii="Arial" w:eastAsia="黑体" w:hAnsi="Arial"/>
          <w:color w:val="auto"/>
          <w:sz w:val="24"/>
          <w:szCs w:val="32"/>
          <w:lang w:val="zh-CN"/>
        </w:rPr>
      </w:pPr>
      <w:r>
        <w:rPr>
          <w:rFonts w:ascii="Arial" w:eastAsia="黑体" w:cs="仿宋_GB2312" w:hAnsi="Arial" w:hint="eastAsia"/>
          <w:b w:val="0"/>
          <w:bCs w:val="0"/>
          <w:color w:val="auto"/>
          <w:sz w:val="24"/>
          <w:szCs w:val="32"/>
          <w:lang w:val="en-US" w:eastAsia="zh-CN"/>
        </w:rPr>
        <w:t>乡、村残联干部身兼数职，没有足够的时间来从事残联工作，导致对残疾人动态信息掌握不准，对政策理解度不够，对建档立卡残疾人死亡、退出扶贫系统等情况不及时上报，导致非扶贫户残疾人领取扶贫对象生活补贴。</w:t>
      </w:r>
      <w:r>
        <w:rPr>
          <w:rFonts w:ascii="Arial" w:eastAsia="黑体" w:hAnsi="Arial" w:hint="eastAsia"/>
          <w:color w:val="auto"/>
          <w:sz w:val="24"/>
          <w:szCs w:val="32"/>
          <w:lang w:val="zh-CN"/>
        </w:rPr>
        <w:tab/>
      </w:r>
    </w:p>
    <w:p>
      <w:pPr>
        <w:adjustRightInd w:val="0"/>
        <w:snapToGrid/>
        <w:spacing w:before="80" w:beforeAutospacing="0" w:afterAutospacing="0" w:line="240" w:lineRule="auto"/>
        <w:ind w:left="0" w:right="0" w:firstLine="0"/>
        <w:jc w:val="left"/>
        <w:outlineLvl w:val="2"/>
        <w:rPr>
          <w:rFonts w:ascii="Times New Roman" w:eastAsia="汉仪中宋简" w:hAnsi="Times New Roman"/>
          <w:b w:val="0"/>
          <w:sz w:val="26"/>
          <w:szCs w:val="32"/>
          <w:lang w:val="zh-CN"/>
        </w:rPr>
      </w:pPr>
      <w:bookmarkStart w:id="115" w:name="_Toc6982"/>
      <w:r>
        <w:rPr>
          <w:rFonts w:ascii="Times New Roman" w:eastAsia="汉仪中宋简" w:hAnsi="Times New Roman" w:hint="eastAsia"/>
          <w:b w:val="0"/>
          <w:sz w:val="26"/>
          <w:szCs w:val="32"/>
          <w:lang w:val="zh-CN"/>
        </w:rPr>
        <w:t>（三）相关建议。</w:t>
      </w:r>
      <w:bookmarkEnd w:id="115"/>
    </w:p>
    <w:p>
      <w:pPr>
        <w:adjustRightInd w:val="0"/>
        <w:snapToGrid/>
        <w:spacing w:beforeAutospacing="0" w:after="80" w:afterAutospacing="0" w:line="360" w:lineRule="auto"/>
        <w:ind w:left="0" w:firstLineChars="200" w:firstLine="480"/>
        <w:rPr>
          <w:rStyle w:val="1Char"/>
          <w:rFonts w:ascii="Arial" w:eastAsia="黑体" w:hAnsi="Arial"/>
          <w:b w:val="0"/>
          <w:color w:val="auto"/>
          <w:sz w:val="24"/>
        </w:rPr>
      </w:pPr>
      <w:r>
        <w:rPr>
          <w:rFonts w:ascii="Arial" w:eastAsia="黑体" w:cs="仿宋_GB2312" w:hAnsi="Arial" w:hint="eastAsia"/>
          <w:b w:val="0"/>
          <w:bCs w:val="0"/>
          <w:color w:val="auto"/>
          <w:sz w:val="24"/>
          <w:szCs w:val="32"/>
          <w:lang w:val="en-US" w:eastAsia="zh-CN"/>
        </w:rPr>
        <w:t>建议民政、卫计、公安、人社部门建立死亡人员的动态管理共享信息系统，有助于各项业务信息准确。</w:t>
      </w: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Autospacing="0" w:after="80" w:afterAutospacing="0" w:line="360" w:lineRule="auto"/>
        <w:ind w:left="0" w:firstLine="0"/>
        <w:jc w:val="center"/>
        <w:outlineLvl w:val="9"/>
        <w:rPr>
          <w:rStyle w:val="1Char"/>
          <w:rFonts w:ascii="Arial" w:eastAsia="黑体" w:hAnsi="Arial"/>
          <w:b w:val="0"/>
          <w:sz w:val="24"/>
        </w:rPr>
      </w:pPr>
    </w:p>
    <w:p>
      <w:pPr>
        <w:snapToGrid/>
        <w:spacing w:before="320" w:beforeAutospacing="0" w:after="40" w:afterAutospacing="0" w:line="240" w:lineRule="auto"/>
        <w:ind w:left="0" w:right="0" w:firstLine="0"/>
        <w:jc w:val="left"/>
        <w:outlineLvl w:val="0"/>
        <w:rPr>
          <w:rStyle w:val="1Char"/>
          <w:rFonts w:ascii="Times New Roman" w:eastAsia="汉仪中宋简" w:hAnsi="Times New Roman"/>
          <w:b w:val="0"/>
          <w:color w:val="auto"/>
          <w:sz w:val="36"/>
        </w:rPr>
      </w:pPr>
      <w:bookmarkStart w:id="116" w:name="_Toc15396618"/>
      <w:bookmarkStart w:id="117" w:name="_Toc5930"/>
      <w:r>
        <w:rPr>
          <w:rFonts w:ascii="Times New Roman" w:eastAsia="汉仪中宋简" w:hAnsi="Times New Roman" w:hint="eastAsia"/>
          <w:b w:val="0"/>
          <w:color w:val="auto"/>
          <w:sz w:val="36"/>
          <w:szCs w:val="44"/>
        </w:rPr>
        <w:t>第</w:t>
      </w:r>
      <w:r>
        <w:rPr>
          <w:rStyle w:val="1Char"/>
          <w:rFonts w:ascii="Times New Roman" w:eastAsia="汉仪中宋简" w:hAnsi="Times New Roman" w:hint="eastAsia"/>
          <w:b w:val="0"/>
          <w:color w:val="auto"/>
          <w:sz w:val="36"/>
        </w:rPr>
        <w:t>五部分</w:t>
      </w:r>
      <w:r>
        <w:rPr>
          <w:rStyle w:val="1Char"/>
          <w:rFonts w:ascii="Times New Roman" w:eastAsia="汉仪中宋简" w:hAnsi="Times New Roman"/>
          <w:b w:val="0"/>
          <w:color w:val="auto"/>
          <w:sz w:val="36"/>
        </w:rPr>
        <w:t xml:space="preserve"> </w:t>
      </w:r>
      <w:r>
        <w:rPr>
          <w:rStyle w:val="1Char"/>
          <w:rFonts w:ascii="Times New Roman" w:eastAsia="汉仪中宋简" w:hAnsi="Times New Roman" w:hint="eastAsia"/>
          <w:b w:val="0"/>
          <w:color w:val="auto"/>
          <w:sz w:val="36"/>
        </w:rPr>
        <w:t>附表</w:t>
      </w:r>
      <w:bookmarkEnd w:id="88"/>
      <w:bookmarkEnd w:id="116"/>
      <w:bookmarkEnd w:id="117"/>
    </w:p>
    <w:p>
      <w:pPr>
        <w:snapToGrid/>
        <w:spacing w:beforeAutospacing="0" w:after="80" w:afterAutospacing="0" w:line="360" w:lineRule="auto"/>
        <w:ind w:left="0" w:firstLine="0"/>
        <w:jc w:val="center"/>
        <w:outlineLvl w:val="9"/>
        <w:rPr>
          <w:rFonts w:ascii="Arial" w:eastAsia="黑体" w:hAnsi="Arial"/>
          <w:b/>
          <w:color w:val="auto"/>
          <w:sz w:val="24"/>
          <w:szCs w:val="44"/>
        </w:rPr>
      </w:pPr>
    </w:p>
    <w:p>
      <w:pPr>
        <w:pStyle w:val="2"/>
        <w:snapToGrid/>
        <w:spacing w:before="80" w:beforeAutospacing="0" w:after="0" w:afterAutospacing="0" w:line="360" w:lineRule="auto"/>
        <w:ind w:left="0" w:right="0" w:firstLine="0"/>
        <w:jc w:val="left"/>
        <w:outlineLvl w:val="1"/>
        <w:rPr>
          <w:rFonts w:ascii="Times New Roman" w:eastAsia="汉仪中宋简" w:hAnsi="Times New Roman"/>
          <w:b w:val="0"/>
          <w:color w:val="auto"/>
          <w:sz w:val="28"/>
        </w:rPr>
      </w:pPr>
      <w:bookmarkStart w:id="118" w:name="_Toc15396619"/>
      <w:bookmarkStart w:id="119" w:name="_Toc29718"/>
      <w:r>
        <w:rPr>
          <w:rFonts w:ascii="Times New Roman" w:eastAsia="汉仪中宋简" w:hAnsi="Times New Roman" w:hint="eastAsia"/>
          <w:b w:val="0"/>
          <w:color w:val="auto"/>
          <w:sz w:val="28"/>
        </w:rPr>
        <w:t>一、收</w:t>
      </w:r>
      <w:r>
        <w:rPr>
          <w:rStyle w:val="2Char"/>
          <w:rFonts w:ascii="Times New Roman" w:eastAsia="汉仪中宋简" w:hAnsi="Times New Roman" w:hint="eastAsia"/>
          <w:b w:val="0"/>
          <w:bCs w:val="0"/>
          <w:color w:val="auto"/>
          <w:sz w:val="28"/>
        </w:rPr>
        <w:t>入支出决算总表</w:t>
      </w:r>
      <w:bookmarkEnd w:id="118"/>
      <w:bookmarkEnd w:id="119"/>
    </w:p>
    <w:p>
      <w:pPr>
        <w:pStyle w:val="2"/>
        <w:snapToGrid/>
        <w:spacing w:before="80" w:beforeAutospacing="0" w:after="0" w:afterAutospacing="0" w:line="360" w:lineRule="auto"/>
        <w:ind w:left="0" w:right="0" w:firstLine="0"/>
        <w:jc w:val="left"/>
        <w:outlineLvl w:val="1"/>
        <w:rPr>
          <w:rFonts w:ascii="Times New Roman" w:eastAsia="汉仪中宋简" w:hAnsi="Times New Roman"/>
          <w:b w:val="0"/>
          <w:color w:val="auto"/>
          <w:sz w:val="28"/>
        </w:rPr>
      </w:pPr>
      <w:bookmarkStart w:id="120" w:name="_Toc15396620"/>
      <w:bookmarkStart w:id="121" w:name="_Toc32700"/>
      <w:r>
        <w:rPr>
          <w:rFonts w:ascii="Times New Roman" w:eastAsia="汉仪中宋简" w:hAnsi="Times New Roman" w:hint="eastAsia"/>
          <w:b w:val="0"/>
          <w:color w:val="auto"/>
          <w:sz w:val="28"/>
        </w:rPr>
        <w:t>二、收</w:t>
      </w:r>
      <w:r>
        <w:rPr>
          <w:rStyle w:val="2Char"/>
          <w:rFonts w:ascii="Times New Roman" w:eastAsia="汉仪中宋简" w:hAnsi="Times New Roman" w:hint="eastAsia"/>
          <w:b w:val="0"/>
          <w:bCs w:val="0"/>
          <w:color w:val="auto"/>
          <w:sz w:val="28"/>
        </w:rPr>
        <w:t>入决算表</w:t>
      </w:r>
      <w:bookmarkEnd w:id="120"/>
      <w:bookmarkEnd w:id="121"/>
    </w:p>
    <w:p>
      <w:pPr>
        <w:pStyle w:val="2"/>
        <w:snapToGrid/>
        <w:spacing w:before="80" w:beforeAutospacing="0" w:after="0" w:afterAutospacing="0" w:line="360" w:lineRule="auto"/>
        <w:ind w:left="0" w:right="0" w:firstLine="0"/>
        <w:jc w:val="left"/>
        <w:outlineLvl w:val="1"/>
        <w:rPr>
          <w:rFonts w:ascii="Times New Roman" w:eastAsia="汉仪中宋简" w:hAnsi="Times New Roman"/>
          <w:b w:val="0"/>
          <w:color w:val="auto"/>
          <w:sz w:val="28"/>
        </w:rPr>
      </w:pPr>
      <w:bookmarkStart w:id="122" w:name="_Toc15396621"/>
      <w:bookmarkStart w:id="123" w:name="_Toc30971"/>
      <w:r>
        <w:rPr>
          <w:rStyle w:val="2Char"/>
          <w:rFonts w:ascii="Times New Roman" w:eastAsia="汉仪中宋简" w:hAnsi="Times New Roman" w:hint="eastAsia"/>
          <w:b w:val="0"/>
          <w:bCs w:val="0"/>
          <w:color w:val="auto"/>
          <w:sz w:val="28"/>
        </w:rPr>
        <w:t>三、</w:t>
      </w:r>
      <w:r>
        <w:rPr>
          <w:rFonts w:ascii="Times New Roman" w:eastAsia="汉仪中宋简" w:hAnsi="Times New Roman" w:hint="eastAsia"/>
          <w:b w:val="0"/>
          <w:color w:val="auto"/>
          <w:sz w:val="28"/>
        </w:rPr>
        <w:t>支</w:t>
      </w:r>
      <w:r>
        <w:rPr>
          <w:rStyle w:val="2Char"/>
          <w:rFonts w:ascii="Times New Roman" w:eastAsia="汉仪中宋简" w:hAnsi="Times New Roman" w:hint="eastAsia"/>
          <w:b w:val="0"/>
          <w:bCs w:val="0"/>
          <w:color w:val="auto"/>
          <w:sz w:val="28"/>
        </w:rPr>
        <w:t>出决算表</w:t>
      </w:r>
      <w:bookmarkEnd w:id="122"/>
      <w:bookmarkEnd w:id="123"/>
    </w:p>
    <w:p>
      <w:pPr>
        <w:pStyle w:val="2"/>
        <w:snapToGrid/>
        <w:spacing w:before="80" w:beforeAutospacing="0" w:after="0" w:afterAutospacing="0" w:line="360" w:lineRule="auto"/>
        <w:ind w:left="0" w:right="0" w:firstLine="0"/>
        <w:jc w:val="left"/>
        <w:outlineLvl w:val="1"/>
        <w:rPr>
          <w:rFonts w:ascii="Times New Roman" w:eastAsia="汉仪中宋简" w:hAnsi="Times New Roman"/>
          <w:b w:val="0"/>
          <w:color w:val="auto"/>
          <w:sz w:val="28"/>
        </w:rPr>
      </w:pPr>
      <w:bookmarkStart w:id="124" w:name="_Toc15396622"/>
      <w:bookmarkStart w:id="125" w:name="_Toc28249"/>
      <w:r>
        <w:rPr>
          <w:rStyle w:val="2Char"/>
          <w:rFonts w:ascii="Times New Roman" w:eastAsia="汉仪中宋简" w:hAnsi="Times New Roman" w:hint="eastAsia"/>
          <w:b w:val="0"/>
          <w:bCs w:val="0"/>
          <w:color w:val="auto"/>
          <w:sz w:val="28"/>
        </w:rPr>
        <w:t>四、</w:t>
      </w:r>
      <w:r>
        <w:rPr>
          <w:rFonts w:ascii="Times New Roman" w:eastAsia="汉仪中宋简" w:hAnsi="Times New Roman" w:hint="eastAsia"/>
          <w:b w:val="0"/>
          <w:color w:val="auto"/>
          <w:sz w:val="28"/>
        </w:rPr>
        <w:t>财</w:t>
      </w:r>
      <w:r>
        <w:rPr>
          <w:rStyle w:val="2Char"/>
          <w:rFonts w:ascii="Times New Roman" w:eastAsia="汉仪中宋简" w:hAnsi="Times New Roman" w:hint="eastAsia"/>
          <w:b w:val="0"/>
          <w:bCs w:val="0"/>
          <w:color w:val="auto"/>
          <w:sz w:val="28"/>
        </w:rPr>
        <w:t>政拨款收入支出决算总表</w:t>
      </w:r>
      <w:bookmarkEnd w:id="124"/>
      <w:bookmarkEnd w:id="125"/>
    </w:p>
    <w:p>
      <w:pPr>
        <w:pStyle w:val="2"/>
        <w:snapToGrid/>
        <w:spacing w:before="80" w:beforeAutospacing="0" w:after="0" w:afterAutospacing="0" w:line="360" w:lineRule="auto"/>
        <w:ind w:left="0" w:right="0" w:firstLine="0"/>
        <w:jc w:val="left"/>
        <w:outlineLvl w:val="1"/>
        <w:rPr>
          <w:rStyle w:val="2Char"/>
          <w:rFonts w:ascii="Times New Roman" w:eastAsia="汉仪中宋简" w:hAnsi="Times New Roman"/>
          <w:b w:val="0"/>
          <w:bCs w:val="0"/>
          <w:color w:val="auto"/>
          <w:sz w:val="28"/>
        </w:rPr>
      </w:pPr>
      <w:bookmarkStart w:id="126" w:name="_Toc15396623"/>
      <w:bookmarkStart w:id="127" w:name="_Toc2527"/>
      <w:r>
        <w:rPr>
          <w:rStyle w:val="2Char"/>
          <w:rFonts w:ascii="Times New Roman" w:eastAsia="汉仪中宋简" w:hAnsi="Times New Roman" w:hint="eastAsia"/>
          <w:b w:val="0"/>
          <w:bCs w:val="0"/>
          <w:color w:val="auto"/>
          <w:sz w:val="28"/>
        </w:rPr>
        <w:t>五、</w:t>
      </w:r>
      <w:r>
        <w:rPr>
          <w:rFonts w:ascii="Times New Roman" w:eastAsia="汉仪中宋简" w:hAnsi="Times New Roman" w:hint="eastAsia"/>
          <w:b w:val="0"/>
          <w:color w:val="auto"/>
          <w:sz w:val="28"/>
        </w:rPr>
        <w:t>财</w:t>
      </w:r>
      <w:r>
        <w:rPr>
          <w:rStyle w:val="2Char"/>
          <w:rFonts w:ascii="Times New Roman" w:eastAsia="汉仪中宋简" w:hAnsi="Times New Roman" w:hint="eastAsia"/>
          <w:b w:val="0"/>
          <w:bCs w:val="0"/>
          <w:color w:val="auto"/>
          <w:sz w:val="28"/>
        </w:rPr>
        <w:t>政拨款支出决算明细表</w:t>
      </w:r>
      <w:bookmarkStart w:id="128" w:name="_Toc15396624"/>
      <w:bookmarkEnd w:id="126"/>
      <w:bookmarkEnd w:id="127"/>
    </w:p>
    <w:p>
      <w:pPr>
        <w:pStyle w:val="2"/>
        <w:snapToGrid/>
        <w:spacing w:before="80" w:beforeAutospacing="0" w:after="0" w:afterAutospacing="0" w:line="360" w:lineRule="auto"/>
        <w:ind w:left="0" w:right="0" w:firstLine="0"/>
        <w:jc w:val="left"/>
        <w:outlineLvl w:val="1"/>
        <w:rPr>
          <w:rFonts w:ascii="Times New Roman" w:eastAsia="汉仪中宋简" w:hAnsi="Times New Roman"/>
          <w:b w:val="0"/>
          <w:color w:val="auto"/>
          <w:sz w:val="28"/>
        </w:rPr>
      </w:pPr>
      <w:bookmarkStart w:id="129" w:name="_Toc10142"/>
      <w:r>
        <w:rPr>
          <w:rStyle w:val="2Char"/>
          <w:rFonts w:ascii="Times New Roman" w:eastAsia="汉仪中宋简" w:hAnsi="Times New Roman" w:hint="eastAsia"/>
          <w:b w:val="0"/>
          <w:bCs w:val="0"/>
          <w:color w:val="auto"/>
          <w:sz w:val="28"/>
        </w:rPr>
        <w:t>六、</w:t>
      </w:r>
      <w:r>
        <w:rPr>
          <w:rFonts w:ascii="Times New Roman" w:eastAsia="汉仪中宋简" w:hAnsi="Times New Roman" w:hint="eastAsia"/>
          <w:b w:val="0"/>
          <w:color w:val="auto"/>
          <w:sz w:val="28"/>
        </w:rPr>
        <w:t>一</w:t>
      </w:r>
      <w:r>
        <w:rPr>
          <w:rStyle w:val="2Char"/>
          <w:rFonts w:ascii="Times New Roman" w:eastAsia="汉仪中宋简" w:hAnsi="Times New Roman" w:hint="eastAsia"/>
          <w:b w:val="0"/>
          <w:bCs w:val="0"/>
          <w:color w:val="auto"/>
          <w:sz w:val="28"/>
        </w:rPr>
        <w:t>般公共预算财政拨款支出决算表</w:t>
      </w:r>
      <w:bookmarkEnd w:id="128"/>
      <w:bookmarkEnd w:id="129"/>
    </w:p>
    <w:p>
      <w:pPr>
        <w:pStyle w:val="2"/>
        <w:snapToGrid/>
        <w:spacing w:before="80" w:beforeAutospacing="0" w:after="0" w:afterAutospacing="0" w:line="360" w:lineRule="auto"/>
        <w:ind w:left="0" w:right="0" w:firstLine="0"/>
        <w:jc w:val="left"/>
        <w:outlineLvl w:val="1"/>
        <w:rPr>
          <w:rFonts w:ascii="Times New Roman" w:eastAsia="汉仪中宋简" w:hAnsi="Times New Roman"/>
          <w:b w:val="0"/>
          <w:color w:val="auto"/>
          <w:sz w:val="28"/>
        </w:rPr>
      </w:pPr>
      <w:bookmarkStart w:id="130" w:name="_Toc15396625"/>
      <w:bookmarkStart w:id="131" w:name="_Toc5082"/>
      <w:r>
        <w:rPr>
          <w:rStyle w:val="2Char"/>
          <w:rFonts w:ascii="Times New Roman" w:eastAsia="汉仪中宋简" w:hAnsi="Times New Roman" w:hint="eastAsia"/>
          <w:b w:val="0"/>
          <w:bCs w:val="0"/>
          <w:color w:val="auto"/>
          <w:sz w:val="28"/>
        </w:rPr>
        <w:t>七、</w:t>
      </w:r>
      <w:r>
        <w:rPr>
          <w:rFonts w:ascii="Times New Roman" w:eastAsia="汉仪中宋简" w:hAnsi="Times New Roman" w:hint="eastAsia"/>
          <w:b w:val="0"/>
          <w:color w:val="auto"/>
          <w:sz w:val="28"/>
        </w:rPr>
        <w:t>一</w:t>
      </w:r>
      <w:r>
        <w:rPr>
          <w:rStyle w:val="2Char"/>
          <w:rFonts w:ascii="Times New Roman" w:eastAsia="汉仪中宋简" w:hAnsi="Times New Roman" w:hint="eastAsia"/>
          <w:b w:val="0"/>
          <w:bCs w:val="0"/>
          <w:color w:val="auto"/>
          <w:sz w:val="28"/>
        </w:rPr>
        <w:t>般公共预算财政拨款支出决算明细表</w:t>
      </w:r>
      <w:bookmarkEnd w:id="130"/>
      <w:bookmarkEnd w:id="131"/>
    </w:p>
    <w:p>
      <w:pPr>
        <w:pStyle w:val="2"/>
        <w:snapToGrid/>
        <w:spacing w:before="80" w:beforeAutospacing="0" w:after="0" w:afterAutospacing="0" w:line="360" w:lineRule="auto"/>
        <w:ind w:left="0" w:right="0" w:firstLine="0"/>
        <w:jc w:val="left"/>
        <w:outlineLvl w:val="1"/>
        <w:rPr>
          <w:rFonts w:ascii="Times New Roman" w:eastAsia="汉仪中宋简" w:hAnsi="Times New Roman"/>
          <w:b w:val="0"/>
          <w:color w:val="auto"/>
          <w:sz w:val="28"/>
        </w:rPr>
      </w:pPr>
      <w:bookmarkStart w:id="132" w:name="_Toc15396626"/>
      <w:bookmarkStart w:id="133" w:name="_Toc31598"/>
      <w:r>
        <w:rPr>
          <w:rStyle w:val="2Char"/>
          <w:rFonts w:ascii="Times New Roman" w:eastAsia="汉仪中宋简" w:hAnsi="Times New Roman" w:hint="eastAsia"/>
          <w:b w:val="0"/>
          <w:bCs w:val="0"/>
          <w:color w:val="auto"/>
          <w:sz w:val="28"/>
        </w:rPr>
        <w:t>八、</w:t>
      </w:r>
      <w:r>
        <w:rPr>
          <w:rFonts w:ascii="Times New Roman" w:eastAsia="汉仪中宋简" w:hAnsi="Times New Roman" w:hint="eastAsia"/>
          <w:b w:val="0"/>
          <w:color w:val="auto"/>
          <w:sz w:val="28"/>
        </w:rPr>
        <w:t>一</w:t>
      </w:r>
      <w:r>
        <w:rPr>
          <w:rStyle w:val="2Char"/>
          <w:rFonts w:ascii="Times New Roman" w:eastAsia="汉仪中宋简" w:hAnsi="Times New Roman" w:hint="eastAsia"/>
          <w:b w:val="0"/>
          <w:bCs w:val="0"/>
          <w:color w:val="auto"/>
          <w:sz w:val="28"/>
        </w:rPr>
        <w:t>般公共预算财政拨款基本支出决算表</w:t>
      </w:r>
      <w:bookmarkEnd w:id="132"/>
      <w:bookmarkEnd w:id="133"/>
    </w:p>
    <w:p>
      <w:pPr>
        <w:pStyle w:val="2"/>
        <w:snapToGrid/>
        <w:spacing w:before="80" w:beforeAutospacing="0" w:after="0" w:afterAutospacing="0" w:line="360" w:lineRule="auto"/>
        <w:ind w:left="0" w:right="0" w:firstLine="0"/>
        <w:jc w:val="left"/>
        <w:outlineLvl w:val="1"/>
        <w:rPr>
          <w:rFonts w:ascii="Times New Roman" w:eastAsia="汉仪中宋简" w:hAnsi="Times New Roman"/>
          <w:b w:val="0"/>
          <w:color w:val="auto"/>
          <w:sz w:val="28"/>
        </w:rPr>
      </w:pPr>
      <w:bookmarkStart w:id="134" w:name="_Toc15396627"/>
      <w:bookmarkStart w:id="135" w:name="_Toc2502"/>
      <w:r>
        <w:rPr>
          <w:rStyle w:val="2Char"/>
          <w:rFonts w:ascii="Times New Roman" w:eastAsia="汉仪中宋简" w:hAnsi="Times New Roman" w:hint="eastAsia"/>
          <w:b w:val="0"/>
          <w:bCs w:val="0"/>
          <w:color w:val="auto"/>
          <w:sz w:val="28"/>
        </w:rPr>
        <w:t>九、</w:t>
      </w:r>
      <w:r>
        <w:rPr>
          <w:rFonts w:ascii="Times New Roman" w:eastAsia="汉仪中宋简" w:hAnsi="Times New Roman" w:hint="eastAsia"/>
          <w:b w:val="0"/>
          <w:color w:val="auto"/>
          <w:sz w:val="28"/>
        </w:rPr>
        <w:t>一</w:t>
      </w:r>
      <w:r>
        <w:rPr>
          <w:rStyle w:val="2Char"/>
          <w:rFonts w:ascii="Times New Roman" w:eastAsia="汉仪中宋简" w:hAnsi="Times New Roman" w:hint="eastAsia"/>
          <w:b w:val="0"/>
          <w:bCs w:val="0"/>
          <w:color w:val="auto"/>
          <w:sz w:val="28"/>
        </w:rPr>
        <w:t>般公共预算财政拨款项目支出决算表</w:t>
      </w:r>
      <w:bookmarkEnd w:id="134"/>
      <w:bookmarkEnd w:id="135"/>
    </w:p>
    <w:p>
      <w:pPr>
        <w:pStyle w:val="2"/>
        <w:snapToGrid/>
        <w:spacing w:before="80" w:beforeAutospacing="0" w:after="0" w:afterAutospacing="0" w:line="360" w:lineRule="auto"/>
        <w:ind w:left="0" w:right="0" w:firstLine="0"/>
        <w:jc w:val="left"/>
        <w:outlineLvl w:val="1"/>
        <w:rPr>
          <w:rFonts w:ascii="Times New Roman" w:eastAsia="汉仪中宋简" w:hAnsi="Times New Roman"/>
          <w:b w:val="0"/>
          <w:color w:val="auto"/>
          <w:sz w:val="28"/>
        </w:rPr>
      </w:pPr>
      <w:bookmarkStart w:id="136" w:name="_Toc15396628"/>
      <w:bookmarkStart w:id="137" w:name="_Toc29110"/>
      <w:r>
        <w:rPr>
          <w:rStyle w:val="2Char"/>
          <w:rFonts w:ascii="Times New Roman" w:eastAsia="汉仪中宋简" w:hAnsi="Times New Roman" w:hint="eastAsia"/>
          <w:b w:val="0"/>
          <w:bCs w:val="0"/>
          <w:color w:val="auto"/>
          <w:sz w:val="28"/>
        </w:rPr>
        <w:t>十、</w:t>
      </w:r>
      <w:r>
        <w:rPr>
          <w:rFonts w:ascii="Times New Roman" w:eastAsia="汉仪中宋简" w:hAnsi="Times New Roman" w:hint="eastAsia"/>
          <w:b w:val="0"/>
          <w:color w:val="auto"/>
          <w:sz w:val="28"/>
        </w:rPr>
        <w:t>一</w:t>
      </w:r>
      <w:r>
        <w:rPr>
          <w:rStyle w:val="2Char"/>
          <w:rFonts w:ascii="Times New Roman" w:eastAsia="汉仪中宋简" w:hAnsi="Times New Roman" w:hint="eastAsia"/>
          <w:b w:val="0"/>
          <w:bCs w:val="0"/>
          <w:color w:val="auto"/>
          <w:sz w:val="28"/>
        </w:rPr>
        <w:t>般公共预算财政拨款“三公”经费支出决算表</w:t>
      </w:r>
      <w:bookmarkEnd w:id="136"/>
      <w:bookmarkEnd w:id="137"/>
    </w:p>
    <w:p>
      <w:pPr>
        <w:pStyle w:val="2"/>
        <w:snapToGrid/>
        <w:spacing w:before="80" w:beforeAutospacing="0" w:after="0" w:afterAutospacing="0" w:line="360" w:lineRule="auto"/>
        <w:ind w:left="0" w:right="0" w:firstLine="0"/>
        <w:jc w:val="left"/>
        <w:outlineLvl w:val="1"/>
        <w:rPr>
          <w:rFonts w:ascii="Times New Roman" w:eastAsia="汉仪中宋简" w:hAnsi="Times New Roman"/>
          <w:b w:val="0"/>
          <w:color w:val="auto"/>
          <w:sz w:val="28"/>
        </w:rPr>
      </w:pPr>
      <w:bookmarkStart w:id="138" w:name="_Toc15396629"/>
      <w:bookmarkStart w:id="139" w:name="_Toc6766"/>
      <w:r>
        <w:rPr>
          <w:rStyle w:val="2Char"/>
          <w:rFonts w:ascii="Times New Roman" w:eastAsia="汉仪中宋简" w:hAnsi="Times New Roman" w:hint="eastAsia"/>
          <w:b w:val="0"/>
          <w:bCs w:val="0"/>
          <w:color w:val="auto"/>
          <w:sz w:val="28"/>
        </w:rPr>
        <w:t>十一、</w:t>
      </w:r>
      <w:r>
        <w:rPr>
          <w:rFonts w:ascii="Times New Roman" w:eastAsia="汉仪中宋简" w:hAnsi="Times New Roman" w:hint="eastAsia"/>
          <w:b w:val="0"/>
          <w:color w:val="auto"/>
          <w:sz w:val="28"/>
        </w:rPr>
        <w:t>政</w:t>
      </w:r>
      <w:r>
        <w:rPr>
          <w:rStyle w:val="2Char"/>
          <w:rFonts w:ascii="Times New Roman" w:eastAsia="汉仪中宋简" w:hAnsi="Times New Roman" w:hint="eastAsia"/>
          <w:b w:val="0"/>
          <w:bCs w:val="0"/>
          <w:color w:val="auto"/>
          <w:sz w:val="28"/>
        </w:rPr>
        <w:t>府性基金预算财政拨款收入支出决算表</w:t>
      </w:r>
      <w:bookmarkEnd w:id="138"/>
      <w:bookmarkEnd w:id="139"/>
    </w:p>
    <w:p>
      <w:pPr>
        <w:pStyle w:val="2"/>
        <w:snapToGrid/>
        <w:spacing w:before="80" w:beforeAutospacing="0" w:after="0" w:afterAutospacing="0" w:line="360" w:lineRule="auto"/>
        <w:ind w:left="0" w:right="0" w:firstLine="0"/>
        <w:jc w:val="left"/>
        <w:outlineLvl w:val="1"/>
        <w:rPr>
          <w:rFonts w:ascii="Times New Roman" w:eastAsia="汉仪中宋简" w:hAnsi="Times New Roman"/>
          <w:b w:val="0"/>
          <w:color w:val="auto"/>
          <w:sz w:val="28"/>
        </w:rPr>
      </w:pPr>
      <w:bookmarkStart w:id="140" w:name="_Toc15396630"/>
      <w:bookmarkStart w:id="141" w:name="_Toc29274"/>
      <w:r>
        <w:rPr>
          <w:rStyle w:val="2Char"/>
          <w:rFonts w:ascii="Times New Roman" w:eastAsia="汉仪中宋简" w:hAnsi="Times New Roman" w:hint="eastAsia"/>
          <w:b w:val="0"/>
          <w:bCs w:val="0"/>
          <w:color w:val="auto"/>
          <w:sz w:val="28"/>
        </w:rPr>
        <w:t>十二、</w:t>
      </w:r>
      <w:r>
        <w:rPr>
          <w:rFonts w:ascii="Times New Roman" w:eastAsia="汉仪中宋简" w:hAnsi="Times New Roman" w:hint="eastAsia"/>
          <w:b w:val="0"/>
          <w:color w:val="auto"/>
          <w:sz w:val="28"/>
        </w:rPr>
        <w:t>政</w:t>
      </w:r>
      <w:r>
        <w:rPr>
          <w:rStyle w:val="2Char"/>
          <w:rFonts w:ascii="Times New Roman" w:eastAsia="汉仪中宋简" w:hAnsi="Times New Roman" w:hint="eastAsia"/>
          <w:b w:val="0"/>
          <w:bCs w:val="0"/>
          <w:color w:val="auto"/>
          <w:sz w:val="28"/>
        </w:rPr>
        <w:t>府性基金预算财政拨款“三公”经费支出决算表</w:t>
      </w:r>
      <w:bookmarkEnd w:id="140"/>
      <w:bookmarkEnd w:id="141"/>
    </w:p>
    <w:p>
      <w:pPr>
        <w:pStyle w:val="2"/>
        <w:snapToGrid/>
        <w:spacing w:before="80" w:beforeAutospacing="0" w:after="0" w:afterAutospacing="0" w:line="360" w:lineRule="auto"/>
        <w:ind w:left="0" w:right="0" w:firstLine="0"/>
        <w:jc w:val="left"/>
        <w:outlineLvl w:val="1"/>
        <w:rPr>
          <w:rStyle w:val="2Char"/>
          <w:rFonts w:ascii="Times New Roman" w:eastAsia="汉仪中宋简" w:hAnsi="Times New Roman" w:hint="eastAsia"/>
          <w:b w:val="0"/>
          <w:bCs w:val="0"/>
          <w:color w:val="auto"/>
          <w:sz w:val="28"/>
        </w:rPr>
      </w:pPr>
      <w:bookmarkStart w:id="142" w:name="_Toc15396631"/>
      <w:bookmarkStart w:id="143" w:name="_Toc22857"/>
      <w:r>
        <w:rPr>
          <w:rStyle w:val="2Char"/>
          <w:rFonts w:ascii="Times New Roman" w:eastAsia="汉仪中宋简" w:hAnsi="Times New Roman" w:hint="eastAsia"/>
          <w:b w:val="0"/>
          <w:bCs w:val="0"/>
          <w:color w:val="auto"/>
          <w:sz w:val="28"/>
        </w:rPr>
        <w:t>十三、</w:t>
      </w:r>
      <w:r>
        <w:rPr>
          <w:rFonts w:ascii="Times New Roman" w:eastAsia="汉仪中宋简" w:hAnsi="Times New Roman" w:hint="eastAsia"/>
          <w:b w:val="0"/>
          <w:color w:val="auto"/>
          <w:sz w:val="28"/>
        </w:rPr>
        <w:t>国</w:t>
      </w:r>
      <w:r>
        <w:rPr>
          <w:rStyle w:val="2Char"/>
          <w:rFonts w:ascii="Times New Roman" w:eastAsia="汉仪中宋简" w:hAnsi="Times New Roman" w:hint="eastAsia"/>
          <w:b w:val="0"/>
          <w:bCs w:val="0"/>
          <w:color w:val="auto"/>
          <w:sz w:val="28"/>
        </w:rPr>
        <w:t>有资本经营预算财政拨款支出决算表</w:t>
      </w:r>
      <w:bookmarkEnd w:id="142"/>
      <w:bookmarkEnd w:id="143"/>
    </w:p>
    <w:p>
      <w:pPr>
        <w:snapToGrid/>
        <w:spacing w:before="80" w:beforeAutospacing="0" w:afterAutospacing="0" w:line="360" w:lineRule="auto"/>
        <w:ind w:left="0" w:right="0" w:firstLine="0"/>
        <w:jc w:val="left"/>
        <w:outlineLvl w:val="1"/>
        <w:rPr>
          <w:rStyle w:val="2Char"/>
          <w:rFonts w:ascii="Times New Roman" w:eastAsia="汉仪中宋简" w:cs="Times New Roman" w:hAnsi="Times New Roman" w:hint="eastAsia"/>
          <w:b w:val="0"/>
          <w:bCs w:val="0"/>
          <w:sz w:val="28"/>
          <w:lang w:val="en-US" w:eastAsia="zh-CN" w:bidi="ar-SA"/>
        </w:rPr>
      </w:pPr>
      <w:bookmarkStart w:id="144" w:name="_Toc27030"/>
      <w:r>
        <w:rPr>
          <w:rStyle w:val="2Char"/>
          <w:rFonts w:ascii="Times New Roman" w:eastAsia="汉仪中宋简" w:cs="Times New Roman" w:hAnsi="Times New Roman" w:hint="eastAsia"/>
          <w:b w:val="0"/>
          <w:bCs w:val="0"/>
          <w:sz w:val="28"/>
          <w:lang w:val="en-US" w:eastAsia="zh-CN" w:bidi="ar-SA"/>
        </w:rPr>
        <w:t>十四、国有资本经营预算财政拨款支出决算表</w:t>
      </w:r>
      <w:bookmarkEnd w:id="144"/>
    </w:p>
    <w:sectPr>
      <w:headerReference w:type="default" r:id="rId2"/>
      <w:footerReference w:type="default" r:id="rId3"/>
      <w:footerReference w:type="first" r:id="rId4"/>
      <w:pgSz w:w="11906" w:h="16838"/>
      <w:pgMar w:top="1440" w:right="1800" w:bottom="1440" w:left="1800" w:header="851" w:footer="992" w:gutter="0"/>
      <w:pgNumType w:fmt="numberInDash"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3000509000000000000"/>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汉仪中宋简">
    <w:panose1 w:val="02010600000101010101"/>
    <w:charset w:val="80"/>
    <w:family w:val="auto"/>
    <w:pitch w:val="variable"/>
    <w:sig w:usb0="800002BF" w:usb1="184F6CF8" w:usb2="00000012" w:usb3="00000000" w:csb0="00020001" w:csb1="00000000"/>
  </w:font>
  <w:font w:name="Times New Roman">
    <w:panose1 w:val="02020603050405020304"/>
    <w:charset w:val="CC"/>
    <w:family w:val="auto"/>
    <w:pitch w:val="variable"/>
    <w:sig w:usb0="E0002AFF" w:usb1="C0007841" w:usb2="00000009" w:usb3="00000000" w:csb0="400001FF" w:csb1="FFFF0000"/>
  </w:font>
  <w:font w:name="Arial">
    <w:panose1 w:val="020B0604020202020204"/>
    <w:charset w:val="01"/>
    <w:family w:val="swiss"/>
    <w:pitch w:val="variable"/>
    <w:sig w:usb0="E0002AFF" w:usb1="C0007843" w:usb2="00000009" w:usb3="00000000" w:csb0="400001FF" w:csb1="FFFF0000"/>
  </w:font>
  <w:font w:name="宋体">
    <w:panose1 w:val="02010600030101010101"/>
    <w:charset w:val="86"/>
    <w:family w:val="auto"/>
    <w:pitch w:val="variable"/>
    <w:sig w:usb0="00000003" w:usb1="288F0000" w:usb2="00000006" w:usb3="00000000" w:csb0="00040001" w:csb1="00000000"/>
  </w:font>
  <w:font w:name="仿宋">
    <w:altName w:val="仿宋_GB2312"/>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楷体_GB2312">
    <w:panose1 w:val="02010609030101010101"/>
    <w:charset w:val="86"/>
    <w:family w:val="modern"/>
    <w:pitch w:val="variable"/>
    <w:sig w:usb0="00000001" w:usb1="080E0000" w:usb2="00000000" w:usb3="00000000" w:csb0="00040000" w:csb1="00000000"/>
  </w:font>
  <w:font w:name="Cambria">
    <w:altName w:val="Arial"/>
    <w:panose1 w:val="02040503050406030204"/>
    <w:charset w:val="00"/>
    <w:family w:val="roman"/>
    <w:pitch w:val="variable"/>
    <w:sig w:usb0="E00002FF" w:usb1="400004FF" w:usb2="00000000" w:usb3="00000000" w:csb0="2000019F" w:csb1="00000000"/>
  </w:font>
  <w:font w:name="Calibri">
    <w:altName w:val="Times New Roman"/>
    <w:panose1 w:val="020F0502020204030204"/>
    <w:charset w:val="00"/>
    <w:family w:val="swiss"/>
    <w:pitch w:val="variable"/>
    <w:sig w:usb0="E00002FF" w:usb1="4000ACFF" w:usb2="00000001" w:usb3="00000000" w:csb0="2000019F" w:csb1="00000000"/>
  </w:font>
  <w:font w:name="汉仪中黑简">
    <w:altName w:val="黑体"/>
    <w:panose1 w:val="02010600000101010101"/>
    <w:charset w:val="86"/>
    <w:family w:val="auto"/>
    <w:pitch w:val="variable"/>
    <w:sig w:usb0="00000000" w:usb1="00000000" w:usb2="00000002"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jc w:val="center"/>
    </w:pPr>
    <w:r>
      <w:rPr>
        <w:sz w:val="18"/>
      </w:rPr>
      <mc:AlternateContent>
        <mc:Choice Requires="wps">
          <w:drawing>
            <wp:anchor distT="0" distB="0" distL="114298" distR="114298" simplePos="0" relativeHeight="13" behindDoc="0" locked="0" layoutInCell="1" hidden="0" allowOverlap="1">
              <wp:simplePos x="0" y="0"/>
              <wp:positionH relativeFrom="margin">
                <wp:align>inside</wp:align>
              </wp:positionH>
              <wp:positionV relativeFrom="paragraph">
                <wp:posOffset>0</wp:posOffset>
              </wp:positionV>
              <wp:extent cx="247573" cy="13155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247573" cy="131559"/>
                      </a:xfrm>
                      <a:prstGeom prst="rect"/>
                      <a:noFill/>
                      <a:ln w="9525" cmpd="sng" cap="flat">
                        <a:noFill/>
                        <a:prstDash val="solid"/>
                        <a:round/>
                      </a:ln>
                    </wps:spPr>
                    <wps:txbx id="2">
                      <w:txbxContent>
                        <w:p>
                          <w:pPr>
                            <w:pStyle w:val="18"/>
                            <w:tabs>
                              <w:tab w:val="center" w:pos="4153"/>
                              <w:tab w:val="right" w:pos="8306"/>
                            </w:tabs>
                            <w:jc w:val="center"/>
                          </w:pPr>
                          <w:r>
                            <w:fldChar w:fldCharType="begin"/>
                          </w:r>
                          <w:r>
                            <w:instrText>PAGE   \* MERGEFORMAT</w:instrText>
                          </w:r>
                          <w:r>
                            <w:fldChar w:fldCharType="separate"/>
                          </w:r>
                          <w:r>
                            <w:rPr>
                              <w:lang w:val="zh-CN"/>
                            </w:rPr>
                            <w:t>3</w:t>
                          </w:r>
                          <w: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yle="position:absolute;margin-left:0.0pt;margin-top:0.0pt;width:19.494003pt;height:10.359035pt;z-index:13;mso-position-horizontal:in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8"/>
                      <w:tabs>
                        <w:tab w:val="center" w:pos="4153"/>
                        <w:tab w:val="right" w:pos="8306"/>
                      </w:tabs>
                      <w:jc w:val="center"/>
                    </w:pPr>
                    <w:r>
                      <w:fldChar w:fldCharType="begin"/>
                    </w:r>
                    <w:r>
                      <w:instrText>PAGE   \* MERGEFORMAT</w:instrText>
                    </w:r>
                    <w:r>
                      <w:fldChar w:fldCharType="separate"/>
                    </w:r>
                    <w:r>
                      <w:rPr>
                        <w:lang w:val="zh-CN"/>
                      </w:rPr>
                      <w:t>3</w:t>
                    </w:r>
                    <w:r>
                      <w:fldChar w:fldCharType="end"/>
                    </w:r>
                  </w:p>
                </w:txbxContent>
              </v:textbox>
            </v:shape>
          </w:pict>
        </mc:Fallback>
      </mc:AlternateContent>
    </w:r>
  </w:p>
  <w:p>
    <w:pPr>
      <w:pStyle w:val="18"/>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r>
      <w:rPr>
        <w:sz w:val="18"/>
      </w:rPr>
      <mc:AlternateContent>
        <mc:Choice Requires="wps">
          <w:drawing>
            <wp:anchor distT="0" distB="0" distL="114298" distR="114298" simplePos="0" relativeHeight="15" behindDoc="0" locked="0" layoutInCell="1" hidden="0" allowOverlap="1">
              <wp:simplePos x="0" y="0"/>
              <wp:positionH relativeFrom="margin">
                <wp:align>inside</wp:align>
              </wp:positionH>
              <wp:positionV relativeFrom="paragraph">
                <wp:posOffset>0</wp:posOffset>
              </wp:positionV>
              <wp:extent cx="190423" cy="131559"/>
              <wp:effectExtent l="0" t="0" r="0" b="0"/>
              <wp:wrapNone/>
              <wp:docPr id="4" name="文本框 2"/>
              <wp:cNvGraphicFramePr>
                <a:graphicFrameLocks noChangeAspect="0"/>
              </wp:cNvGraphicFramePr>
              <a:graphic>
                <a:graphicData uri="http://schemas.microsoft.com/office/word/2010/wordprocessingShape">
                  <wps:wsp>
                    <wps:cNvSpPr/>
                    <wps:spPr>
                      <a:xfrm rot="0">
                        <a:off x="0" y="0"/>
                        <a:ext cx="190423" cy="131559"/>
                      </a:xfrm>
                      <a:prstGeom prst="rect"/>
                      <a:noFill/>
                      <a:ln w="9525" cmpd="sng" cap="flat">
                        <a:noFill/>
                        <a:prstDash val="solid"/>
                        <a:round/>
                      </a:ln>
                    </wps:spPr>
                    <wps:txbx id="5">
                      <w:txbxContent>
                        <w:p>
                          <w:pPr>
                            <w:pStyle w:val="18"/>
                            <w:tabs>
                              <w:tab w:val="center" w:pos="4153"/>
                              <w:tab w:val="right" w:pos="8306"/>
                            </w:tabs>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type="#_x0000_t202" id="文本框 2 6" o:spid="_x0000_s6" filled="f" stroked="f" style="position:absolute;margin-left:0.0pt;margin-top:0.0pt;width:14.994004pt;height:10.359pt;z-index:15;mso-position-horizontal:inside;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8"/>
                      <w:tabs>
                        <w:tab w:val="center" w:pos="4153"/>
                        <w:tab w:val="right" w:pos="8306"/>
                      </w:tabs>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272550B"/>
    <w:multiLevelType w:val="multilevel"/>
    <w:tmpl w:val="1272550B"/>
    <w:lvl w:ilvl="0">
      <w:start w:val="1"/>
      <w:numFmt w:val="japaneseCounting"/>
      <w:lvlRestart w:val="0"/>
      <w:lvlText w:val="%1、"/>
      <w:lvlJc w:val="left"/>
      <w:pPr>
        <w:tabs>
          <w:tab w:val="num" w:pos="0"/>
        </w:tabs>
        <w:ind w:left="1360" w:hanging="720"/>
      </w:pPr>
      <w:rPr>
        <w:rFonts w:cs="Times New Roman" w:hint="default"/>
        <w:b w:val="0"/>
      </w:rPr>
    </w:lvl>
    <w:lvl w:ilvl="1">
      <w:start w:val="1"/>
      <w:numFmt w:val="lowerLetter"/>
      <w:lvlText w:val="%2)"/>
      <w:lvlJc w:val="left"/>
      <w:pPr>
        <w:tabs>
          <w:tab w:val="num" w:pos="0"/>
        </w:tabs>
        <w:ind w:left="1480" w:hanging="420"/>
      </w:pPr>
      <w:rPr>
        <w:rFonts w:cs="Times New Roman"/>
      </w:rPr>
    </w:lvl>
    <w:lvl w:ilvl="2">
      <w:start w:val="1"/>
      <w:numFmt w:val="lowerRoman"/>
      <w:lvlText w:val="%3."/>
      <w:lvlJc w:val="right"/>
      <w:pPr>
        <w:tabs>
          <w:tab w:val="num" w:pos="0"/>
        </w:tabs>
        <w:ind w:left="1900" w:hanging="420"/>
      </w:pPr>
      <w:rPr>
        <w:rFonts w:cs="Times New Roman"/>
      </w:rPr>
    </w:lvl>
    <w:lvl w:ilvl="3">
      <w:start w:val="1"/>
      <w:numFmt w:val="decimal"/>
      <w:lvlText w:val="%4."/>
      <w:lvlJc w:val="left"/>
      <w:pPr>
        <w:tabs>
          <w:tab w:val="num" w:pos="0"/>
        </w:tabs>
        <w:ind w:left="2320" w:hanging="420"/>
      </w:pPr>
      <w:rPr>
        <w:rFonts w:cs="Times New Roman"/>
      </w:rPr>
    </w:lvl>
    <w:lvl w:ilvl="4">
      <w:start w:val="1"/>
      <w:numFmt w:val="lowerLetter"/>
      <w:lvlText w:val="%5)"/>
      <w:lvlJc w:val="left"/>
      <w:pPr>
        <w:tabs>
          <w:tab w:val="num" w:pos="0"/>
        </w:tabs>
        <w:ind w:left="2740" w:hanging="420"/>
      </w:pPr>
      <w:rPr>
        <w:rFonts w:cs="Times New Roman"/>
      </w:rPr>
    </w:lvl>
    <w:lvl w:ilvl="5">
      <w:start w:val="1"/>
      <w:numFmt w:val="lowerRoman"/>
      <w:lvlText w:val="%6."/>
      <w:lvlJc w:val="right"/>
      <w:pPr>
        <w:tabs>
          <w:tab w:val="num" w:pos="0"/>
        </w:tabs>
        <w:ind w:left="3160" w:hanging="420"/>
      </w:pPr>
      <w:rPr>
        <w:rFonts w:cs="Times New Roman"/>
      </w:rPr>
    </w:lvl>
    <w:lvl w:ilvl="6">
      <w:start w:val="1"/>
      <w:numFmt w:val="decimal"/>
      <w:lvlText w:val="%7."/>
      <w:lvlJc w:val="left"/>
      <w:pPr>
        <w:tabs>
          <w:tab w:val="num" w:pos="0"/>
        </w:tabs>
        <w:ind w:left="3580" w:hanging="420"/>
      </w:pPr>
      <w:rPr>
        <w:rFonts w:cs="Times New Roman"/>
      </w:rPr>
    </w:lvl>
    <w:lvl w:ilvl="7">
      <w:start w:val="1"/>
      <w:numFmt w:val="lowerLetter"/>
      <w:lvlText w:val="%8)"/>
      <w:lvlJc w:val="left"/>
      <w:pPr>
        <w:tabs>
          <w:tab w:val="num" w:pos="0"/>
        </w:tabs>
        <w:ind w:left="4000" w:hanging="420"/>
      </w:pPr>
      <w:rPr>
        <w:rFonts w:cs="Times New Roman"/>
      </w:rPr>
    </w:lvl>
    <w:lvl w:ilvl="8">
      <w:start w:val="1"/>
      <w:numFmt w:val="lowerRoman"/>
      <w:lvlText w:val="%9."/>
      <w:lvlJc w:val="right"/>
      <w:pPr>
        <w:tabs>
          <w:tab w:val="num" w:pos="0"/>
        </w:tabs>
        <w:ind w:left="4420" w:hanging="420"/>
      </w:pPr>
      <w:rPr>
        <w:rFonts w:cs="Times New Roman"/>
      </w:rPr>
    </w:lvl>
  </w:abstractNum>
  <w:abstractNum w:abstractNumId="1">
    <w:nsid w:val="0BF5C77C"/>
    <w:multiLevelType w:val="singleLevel"/>
    <w:tmpl w:val="0BF5C77C"/>
    <w:lvl w:ilvl="0">
      <w:start w:val="1"/>
      <w:numFmt w:val="decimal"/>
      <w:lvlRestart w:val="0"/>
      <w:lvlText w:val="%1."/>
      <w:lvlJc w:val="left"/>
      <w:pPr>
        <w:tabs>
          <w:tab w:val="num" w:pos="0"/>
        </w:tabs>
        <w:ind w:left="0" w:hanging="0"/>
      </w:pPr>
    </w:lvl>
  </w:abstractNum>
  <w:abstractNum w:abstractNumId="2">
    <w:nsid w:val="DFD6CC69"/>
    <w:multiLevelType w:val="singleLevel"/>
    <w:tmpl w:val="DFD6CC69"/>
    <w:lvl w:ilvl="0">
      <w:start w:val="1"/>
      <w:numFmt w:val="decimal"/>
      <w:lvlRestart w:val="0"/>
      <w:lvlText w:val="%1."/>
      <w:lvlJc w:val="left"/>
      <w:pPr>
        <w:tabs>
          <w:tab w:val="num" w:pos="0"/>
        </w:tabs>
        <w:ind w:left="0" w:hanging="0"/>
      </w:pPr>
    </w:lvl>
  </w:abstractNum>
  <w:abstractNum w:abstractNumId="3">
    <w:nsid w:val="CF652CEC"/>
    <w:multiLevelType w:val="singleLevel"/>
    <w:tmpl w:val="CF652CEC"/>
    <w:lvl w:ilvl="0">
      <w:start w:val="9"/>
      <w:numFmt w:val="chineseCounting"/>
      <w:lvlRestart w:val="0"/>
      <w:suff w:val="nothing"/>
      <w:lvlText w:val="%1、"/>
      <w:lvlJc w:val="left"/>
      <w:pPr>
        <w:tabs>
          <w:tab w:val="num" w:pos="0"/>
        </w:tabs>
        <w:ind w:left="0" w:hanging="0"/>
      </w:pPr>
      <w:rPr>
        <w:rFonts w:cs="Times New Roman" w:hint="eastAsia"/>
      </w:rPr>
    </w:lvl>
  </w:abstractNum>
  <w:abstractNum w:abstractNumId="4">
    <w:nsid w:val="E2FA047D"/>
    <w:multiLevelType w:val="singleLevel"/>
    <w:tmpl w:val="E2FA047D"/>
    <w:lvl w:ilvl="0">
      <w:start w:val="3"/>
      <w:numFmt w:val="chineseCounting"/>
      <w:lvlRestart w:val="0"/>
      <w:suff w:val="space"/>
      <w:lvlText w:val="第%1部分"/>
      <w:lvlJc w:val="left"/>
      <w:pPr>
        <w:tabs>
          <w:tab w:val="num" w:pos="0"/>
        </w:tabs>
        <w:ind w:left="0" w:hanging="0"/>
      </w:pPr>
      <w:rPr>
        <w:rFonts w:cs="Times New Roman"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N2Y3YzcxYTU0OWQyNjQzYjkzNDc3ZDhiMmZhOWQzNz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w:basedOn w:val="0"/>
    <w:pPr>
      <w:spacing w:beforeLines="30" w:before="30"/>
    </w:pPr>
    <w:rPr>
      <w:rFonts w:ascii="仿宋_GB2312" w:eastAsia="仿宋_GB2312"/>
      <w:kern w:val="0"/>
      <w:sz w:val="24"/>
      <w:szCs w:val="20"/>
    </w:rPr>
  </w:style>
  <w:style w:type="paragraph" w:styleId="16">
    <w:name w:val="toc 3"/>
    <w:basedOn w:val="0"/>
    <w:next w:val="0"/>
    <w:pPr>
      <w:tabs>
        <w:tab w:val="right" w:leader="dot" w:pos="8296"/>
      </w:tabs>
      <w:ind w:leftChars="400" w:left="400"/>
    </w:pPr>
  </w:style>
  <w:style w:type="paragraph" w:styleId="17">
    <w:name w:val="Balloon Text"/>
    <w:basedOn w:val="0"/>
    <w:rPr>
      <w:sz w:val="18"/>
      <w:szCs w:val="18"/>
    </w:rPr>
  </w:style>
  <w:style w:type="paragraph" w:styleId="18">
    <w:name w:val="footer"/>
    <w:basedOn w:val="0"/>
    <w:pPr>
      <w:tabs>
        <w:tab w:val="center" w:pos="4153"/>
        <w:tab w:val="right" w:pos="8306"/>
      </w:tabs>
      <w:snapToGrid w:val="0"/>
      <w:jc w:val="left"/>
    </w:pPr>
    <w:rPr>
      <w:rFonts w:ascii="Calibri" w:hAnsi="Calibri"/>
      <w:kern w:val="0"/>
      <w:sz w:val="18"/>
      <w:szCs w:val="20"/>
    </w:rPr>
  </w:style>
  <w:style w:type="paragraph" w:styleId="19">
    <w:name w:val="header"/>
    <w:basedOn w:val="0"/>
    <w:pPr>
      <w:pBdr>
        <w:bottom w:val="single" w:sz="6" w:space="1" w:color="auto"/>
      </w:pBdr>
      <w:tabs>
        <w:tab w:val="center" w:pos="4153"/>
        <w:tab w:val="right" w:pos="8306"/>
      </w:tabs>
      <w:snapToGrid w:val="0"/>
      <w:jc w:val="center"/>
    </w:pPr>
    <w:rPr>
      <w:rFonts w:ascii="Calibri" w:hAnsi="Calibri"/>
      <w:kern w:val="0"/>
      <w:sz w:val="18"/>
      <w:szCs w:val="20"/>
    </w:rPr>
  </w:style>
  <w:style w:type="paragraph" w:styleId="20">
    <w:name w:val="toc 1"/>
    <w:basedOn w:val="0"/>
    <w:next w:val="0"/>
    <w:pPr>
      <w:tabs>
        <w:tab w:val="right" w:leader="dot" w:pos="8296"/>
      </w:tabs>
      <w:spacing w:before="93"/>
      <w:jc w:val="center"/>
    </w:pPr>
    <w:rPr>
      <w:rFonts w:ascii="仿宋" w:eastAsia="仿宋"/>
      <w:sz w:val="28"/>
      <w:szCs w:val="28"/>
    </w:rPr>
  </w:style>
  <w:style w:type="paragraph" w:styleId="21">
    <w:name w:val="toc 2"/>
    <w:basedOn w:val="0"/>
    <w:next w:val="0"/>
    <w:pPr>
      <w:tabs>
        <w:tab w:val="right" w:leader="dot" w:pos="8296"/>
      </w:tabs>
      <w:ind w:leftChars="200" w:left="200"/>
    </w:pPr>
  </w:style>
  <w:style w:type="paragraph" w:styleId="22">
    <w:name w:val="Normal (Web)"/>
    <w:basedOn w:val="0"/>
    <w:pPr>
      <w:spacing w:before="100" w:beforeAutospacing="1" w:after="100" w:afterAutospacing="1"/>
      <w:ind w:left="0" w:right="0"/>
      <w:jc w:val="left"/>
    </w:pPr>
    <w:rPr>
      <w:kern w:val="0"/>
      <w:sz w:val="24"/>
      <w:lang w:val="en-US" w:eastAsia="zh-CN"/>
    </w:rPr>
  </w:style>
  <w:style w:type="character" w:styleId="23">
    <w:name w:val="Strong"/>
    <w:basedOn w:val="10"/>
    <w:rPr>
      <w:rFonts w:cs="Times New Roman"/>
      <w:b/>
    </w:rPr>
  </w:style>
  <w:style w:type="character" w:styleId="24">
    <w:name w:val="Hyperlink"/>
    <w:basedOn w:val="10"/>
    <w:rPr>
      <w:rFonts w:cs="Times New Roman"/>
      <w:color w:val="0000FF"/>
      <w:u w:val="single"/>
    </w:rPr>
  </w:style>
  <w:style w:type="paragraph" w:customStyle="1" w:styleId="25">
    <w:name w:val="Default"/>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26">
    <w:name w:val="List Paragraph"/>
    <w:basedOn w:val="0"/>
    <w:pPr>
      <w:ind w:firstLineChars="200" w:firstLine="200"/>
    </w:pPr>
  </w:style>
  <w:style w:type="paragraph" w:customStyle="1" w:styleId="27">
    <w:name w:val="TOC 标题1"/>
    <w:basedOn w:val="1"/>
    <w:next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28">
    <w:name w:val="TOC Heading1"/>
    <w:basedOn w:val="1"/>
    <w:next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29">
    <w:name w:val="稻壳 标题 1"/>
    <w:basedOn w:val="0"/>
    <w:pPr>
      <w:spacing w:before="320" w:after="40"/>
      <w:jc w:val="left"/>
    </w:pPr>
    <w:rPr>
      <w:rFonts w:eastAsia="汉仪中宋简"/>
      <w:sz w:val="36"/>
    </w:rPr>
  </w:style>
  <w:style w:type="paragraph" w:customStyle="1" w:styleId="30">
    <w:name w:val="稻壳 标题 3"/>
    <w:basedOn w:val="0"/>
    <w:pPr>
      <w:spacing w:before="80"/>
      <w:jc w:val="left"/>
    </w:pPr>
    <w:rPr>
      <w:rFonts w:eastAsia="汉仪中宋简"/>
      <w:sz w:val="26"/>
    </w:rPr>
  </w:style>
  <w:style w:type="paragraph" w:customStyle="1" w:styleId="31">
    <w:name w:val="稻壳 标题 2"/>
    <w:basedOn w:val="0"/>
    <w:pPr>
      <w:spacing w:before="80" w:line="360" w:lineRule="auto"/>
      <w:jc w:val="left"/>
    </w:pPr>
    <w:rPr>
      <w:rFonts w:eastAsia="汉仪中宋简"/>
      <w:sz w:val="28"/>
    </w:rPr>
  </w:style>
  <w:style w:type="paragraph" w:customStyle="1" w:styleId="32">
    <w:name w:val="稻壳 标题 4"/>
    <w:basedOn w:val="0"/>
    <w:pPr>
      <w:spacing w:before="80" w:line="264" w:lineRule="auto"/>
      <w:jc w:val="left"/>
    </w:pPr>
    <w:rPr>
      <w:rFonts w:eastAsia="汉仪中宋简"/>
      <w:sz w:val="24"/>
    </w:rPr>
  </w:style>
  <w:style w:type="paragraph" w:customStyle="1" w:styleId="33">
    <w:name w:val="稻壳 标题"/>
    <w:basedOn w:val="0"/>
    <w:pPr>
      <w:jc w:val="center"/>
    </w:pPr>
    <w:rPr>
      <w:rFonts w:ascii="Arial" w:eastAsia="汉仪中黑简" w:hAnsi="Arial"/>
      <w:sz w:val="60"/>
    </w:rPr>
  </w:style>
  <w:style w:type="paragraph" w:customStyle="1" w:styleId="34">
    <w:name w:val="稻壳 正文"/>
    <w:basedOn w:val="0"/>
    <w:pPr>
      <w:spacing w:after="80" w:line="360" w:lineRule="auto"/>
      <w:ind w:firstLine="482"/>
      <w:jc w:val="left"/>
    </w:pPr>
    <w:rPr>
      <w:rFonts w:ascii="Arial" w:eastAsia="黑体" w:hAnsi="Arial"/>
      <w:sz w:val="24"/>
    </w:rPr>
  </w:style>
  <w:style w:type="paragraph" w:customStyle="1" w:styleId="35">
    <w:name w:val="稻壳 题注"/>
    <w:basedOn w:val="0"/>
    <w:pPr>
      <w:spacing w:after="80" w:line="360" w:lineRule="auto"/>
      <w:jc w:val="center"/>
    </w:pPr>
    <w:rPr>
      <w:rFonts w:ascii="Arial" w:eastAsia="黑体" w:hAnsi="Arial"/>
      <w:sz w:val="24"/>
    </w:rPr>
  </w:style>
  <w:style w:type="paragraph" w:customStyle="1" w:styleId="36">
    <w:name w:val="稻壳 目录标题"/>
    <w:basedOn w:val="0"/>
    <w:pPr>
      <w:spacing w:before="320" w:after="40"/>
      <w:jc w:val="center"/>
    </w:pPr>
    <w:rPr>
      <w:rFonts w:eastAsia="汉仪中宋简"/>
      <w:sz w:val="40"/>
    </w:rPr>
  </w:style>
  <w:style w:type="paragraph" w:customStyle="1" w:styleId="37">
    <w:name w:val="稻壳 目录 1"/>
    <w:basedOn w:val="0"/>
    <w:pPr>
      <w:snapToGrid w:val="0"/>
      <w:spacing w:after="120" w:line="264" w:lineRule="auto"/>
      <w:jc w:val="left"/>
    </w:pPr>
    <w:rPr>
      <w:rFonts w:ascii="Arial" w:eastAsia="黑体" w:hAnsi="Arial"/>
    </w:rPr>
  </w:style>
  <w:style w:type="paragraph" w:customStyle="1" w:styleId="38">
    <w:name w:val="稻壳 目录 3"/>
    <w:basedOn w:val="0"/>
    <w:pPr>
      <w:snapToGrid w:val="0"/>
      <w:spacing w:after="120" w:line="264" w:lineRule="auto"/>
      <w:ind w:leftChars="400" w:left="400"/>
      <w:jc w:val="left"/>
    </w:pPr>
    <w:rPr>
      <w:rFonts w:ascii="Arial" w:eastAsia="黑体" w:hAnsi="Arial"/>
    </w:rPr>
  </w:style>
  <w:style w:type="paragraph" w:customStyle="1" w:styleId="39">
    <w:name w:val="稻壳 目录 2"/>
    <w:basedOn w:val="0"/>
    <w:pPr>
      <w:snapToGrid w:val="0"/>
      <w:spacing w:after="120" w:line="264" w:lineRule="auto"/>
      <w:ind w:leftChars="200" w:left="200"/>
      <w:jc w:val="left"/>
    </w:pPr>
    <w:rPr>
      <w:rFonts w:ascii="Arial" w:eastAsia="黑体" w:hAnsi="Arial"/>
    </w:rPr>
  </w:style>
  <w:style w:type="paragraph" w:customStyle="1" w:styleId="40">
    <w:name w:val="稻壳 目录 4"/>
    <w:basedOn w:val="0"/>
    <w:pPr>
      <w:snapToGrid w:val="0"/>
      <w:spacing w:after="120" w:line="264" w:lineRule="auto"/>
      <w:ind w:leftChars="600" w:left="600"/>
      <w:jc w:val="left"/>
    </w:pPr>
    <w:rPr>
      <w:rFonts w:ascii="Arial" w:eastAsia="黑体" w:hAnsi="Arial"/>
    </w:rPr>
  </w:style>
  <w:style w:type="paragraph" w:customStyle="1" w:styleId="41">
    <w:name w:val="WPSOffice手动目录 1"/>
    <w:rPr>
      <w:rFonts w:ascii="Calibri" w:eastAsia="宋体" w:cs="Times New Roman" w:hAnsi="Calibri"/>
      <w:sz w:val="20"/>
      <w:szCs w:val="20"/>
    </w:rPr>
  </w:style>
  <w:style w:type="paragraph" w:customStyle="1" w:styleId="42">
    <w:name w:val="WPSOffice手动目录 2"/>
    <w:pPr>
      <w:ind w:leftChars="200" w:left="200"/>
    </w:pPr>
    <w:rPr>
      <w:rFonts w:ascii="Calibri" w:eastAsia="宋体" w:cs="Times New Roman" w:hAnsi="Calibri"/>
      <w:sz w:val="20"/>
      <w:szCs w:val="20"/>
    </w:rPr>
  </w:style>
  <w:style w:type="paragraph" w:customStyle="1" w:styleId="43">
    <w:name w:val="WPSOffice手动目录 3"/>
    <w:pPr>
      <w:ind w:leftChars="400" w:left="400"/>
    </w:pPr>
    <w:rPr>
      <w:rFonts w:ascii="Calibri" w:eastAsia="宋体" w:cs="Times New Roman" w:hAnsi="Calibri"/>
      <w:sz w:val="2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8</TotalTime>
  <Application>Yozo_Office27021597764231179</Application>
  <Pages>22</Pages>
  <Words>10703</Words>
  <Characters>11542</Characters>
  <Lines>634</Lines>
  <Paragraphs>374</Paragraphs>
  <CharactersWithSpaces>11802</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36</cp:revision>
  <cp:lastPrinted>2021-07-29T03:56:00Z</cp:lastPrinted>
  <dcterms:created xsi:type="dcterms:W3CDTF">2020-08-04T01:49:00Z</dcterms:created>
  <dcterms:modified xsi:type="dcterms:W3CDTF">2022-09-24T08:00:41Z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2052-11.1.0.12358</vt:lpwstr>
  </property>
  <property fmtid="{D5CDD505-2E9C-101B-9397-08002B2CF9AE}" pid="3" name="ICV">
    <vt:lpwstr>F4132AAF84EB43339061EB3F520A15AE</vt:lpwstr>
  </property>
</Properties>
</file>