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727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广元市昭化国土空间规划编制研究中心</w:t>
      </w:r>
    </w:p>
    <w:p w14:paraId="461B26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w:t>
      </w:r>
      <w:bookmarkStart w:id="0" w:name="_GoBack"/>
      <w:bookmarkEnd w:id="0"/>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说明</w:t>
      </w:r>
    </w:p>
    <w:p w14:paraId="655CA770">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3930860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p>
    <w:p w14:paraId="5FBFEEA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p>
    <w:p w14:paraId="55C3EC4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（二）单位2025年重点工作...........................(3)</w:t>
      </w:r>
    </w:p>
    <w:p w14:paraId="0F00DA4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二、部门预算单位构成................................(4)</w:t>
      </w:r>
    </w:p>
    <w:p w14:paraId="14E6E6F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三、收支预算情况说明................................(4)</w:t>
      </w:r>
    </w:p>
    <w:p w14:paraId="6017C34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（一）收入预算情况..................................(4)</w:t>
      </w:r>
    </w:p>
    <w:p w14:paraId="393ACFE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（二）支出预算情况..................................(4)</w:t>
      </w:r>
    </w:p>
    <w:p w14:paraId="0D86C09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四、财政拨款收支预算情况说明........................(5)</w:t>
      </w:r>
    </w:p>
    <w:p w14:paraId="6CC843C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5)</w:t>
      </w:r>
    </w:p>
    <w:p w14:paraId="32BE50D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（一）一般公共预算当年拨款规模变化情况..............(5)</w:t>
      </w:r>
    </w:p>
    <w:p w14:paraId="37BF15C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（二）一般公共预算当年拨款结构情况..................(5)</w:t>
      </w:r>
    </w:p>
    <w:p w14:paraId="4FE5EC6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（三）一般公共预算当年拨款具体使用情况..............(6)</w:t>
      </w:r>
    </w:p>
    <w:p w14:paraId="1F53951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六、一般公共预算基本支出情况说明....................(6)</w:t>
      </w:r>
    </w:p>
    <w:p w14:paraId="2296727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七、“三公”经费财政拨款预算安排情况说明............(7)</w:t>
      </w:r>
    </w:p>
    <w:p w14:paraId="4B96B2F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八、政府性基金预算支出情况说明......................(7)</w:t>
      </w:r>
    </w:p>
    <w:p w14:paraId="54CD1F1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九、国有资本经营预算支出情况说明....................(8)</w:t>
      </w:r>
    </w:p>
    <w:p w14:paraId="1C9853B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十、其他重要事项的情况说明........................(8)</w:t>
      </w:r>
    </w:p>
    <w:p w14:paraId="51324579">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十一、名词解释....................................(9)</w:t>
      </w:r>
    </w:p>
    <w:p w14:paraId="04D5B35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C86D4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3597ED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4CB7E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2AB78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4A31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4A658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2F072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53635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243BB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AB5972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7D477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B7919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78F4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BED0F3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378F2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253B63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单位</w:t>
      </w:r>
      <w:r>
        <w:rPr>
          <w:rFonts w:hint="eastAsia" w:ascii="黑体" w:hAnsi="黑体" w:eastAsia="黑体" w:cs="黑体"/>
          <w:sz w:val="32"/>
          <w:szCs w:val="32"/>
        </w:rPr>
        <w:t>职能简介</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color w:val="000000"/>
          <w:sz w:val="32"/>
          <w:szCs w:val="32"/>
        </w:rPr>
        <w:t>广元市昭化国土空间规划编制研究中心</w:t>
      </w:r>
      <w:r>
        <w:rPr>
          <w:rFonts w:hint="eastAsia" w:ascii="仿宋_GB2312" w:hAnsi="仿宋_GB2312" w:eastAsia="仿宋_GB2312" w:cs="仿宋_GB2312"/>
          <w:color w:val="000000"/>
          <w:sz w:val="32"/>
          <w:szCs w:val="32"/>
          <w:lang w:eastAsia="zh-CN"/>
        </w:rPr>
        <w:t>属一级预算事业单位，没有下属机构。</w:t>
      </w:r>
      <w:r>
        <w:rPr>
          <w:rFonts w:hint="eastAsia" w:ascii="仿宋_GB2312" w:hAnsi="仿宋_GB2312" w:eastAsia="仿宋_GB2312" w:cs="仿宋_GB2312"/>
          <w:color w:val="000000"/>
          <w:sz w:val="32"/>
          <w:szCs w:val="32"/>
        </w:rPr>
        <w:t>主要职责：</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贯彻执行国家、省、市有关国土空间规划管理的方针、政策和法律、法规；承担指定管辖范围内国土空间发展战略规划、公共政策、项目设计和规划研究；执行市国土空间规划</w:t>
      </w:r>
      <w:r>
        <w:rPr>
          <w:rFonts w:hint="eastAsia" w:ascii="仿宋_GB2312" w:hAnsi="仿宋_GB2312" w:eastAsia="仿宋_GB2312" w:cs="仿宋_GB2312"/>
          <w:color w:val="000000"/>
          <w:sz w:val="32"/>
          <w:szCs w:val="32"/>
        </w:rPr>
        <w:t>管理相关技术标准和技术规定。</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rPr>
        <w:t>受市自然资源局、</w:t>
      </w:r>
      <w:r>
        <w:rPr>
          <w:rFonts w:hint="default" w:ascii="仿宋_GB2312" w:hAnsi="仿宋_GB2312" w:eastAsia="仿宋_GB2312" w:cs="仿宋_GB2312"/>
          <w:color w:val="000000"/>
          <w:sz w:val="32"/>
          <w:szCs w:val="32"/>
        </w:rPr>
        <w:t>辖区人民政府委托，组织编制本辖区国土空间规划、城市设计、概念规划等。</w:t>
      </w:r>
      <w:r>
        <w:rPr>
          <w:rFonts w:hint="default" w:ascii="仿宋_GB2312" w:hAnsi="仿宋_GB2312" w:eastAsia="仿宋_GB2312" w:cs="仿宋_GB2312"/>
          <w:b/>
          <w:bCs/>
          <w:color w:val="000000"/>
          <w:sz w:val="32"/>
          <w:szCs w:val="32"/>
          <w:lang w:val="en-US" w:eastAsia="zh-CN"/>
        </w:rPr>
        <w:t>三是</w:t>
      </w:r>
      <w:r>
        <w:rPr>
          <w:rFonts w:hint="default" w:ascii="仿宋_GB2312" w:hAnsi="仿宋_GB2312" w:eastAsia="仿宋_GB2312" w:cs="仿宋_GB2312"/>
          <w:color w:val="000000"/>
          <w:sz w:val="32"/>
          <w:szCs w:val="32"/>
        </w:rPr>
        <w:t>负责辖区内历史文化名城保护规划编制相关事务，以及名镇、名村和历史文化街区、传统村落规划编制工作。</w:t>
      </w:r>
      <w:r>
        <w:rPr>
          <w:rFonts w:hint="default" w:ascii="仿宋_GB2312" w:hAnsi="仿宋_GB2312" w:eastAsia="仿宋_GB2312" w:cs="仿宋_GB2312"/>
          <w:b/>
          <w:bCs/>
          <w:color w:val="000000"/>
          <w:sz w:val="32"/>
          <w:szCs w:val="32"/>
          <w:lang w:val="en-US" w:eastAsia="zh-CN"/>
        </w:rPr>
        <w:t>四是</w:t>
      </w:r>
      <w:r>
        <w:rPr>
          <w:rFonts w:hint="default" w:ascii="仿宋_GB2312" w:hAnsi="仿宋_GB2312" w:eastAsia="仿宋_GB2312" w:cs="仿宋_GB2312"/>
          <w:color w:val="000000"/>
          <w:sz w:val="32"/>
          <w:szCs w:val="32"/>
        </w:rPr>
        <w:t>承担区国土空间规划方案审查专业委员会、区国土空间规划方案审查领导小组相关事务工作。</w:t>
      </w:r>
      <w:r>
        <w:rPr>
          <w:rFonts w:hint="default" w:ascii="仿宋_GB2312" w:hAnsi="仿宋_GB2312" w:eastAsia="仿宋_GB2312" w:cs="仿宋_GB2312"/>
          <w:b/>
          <w:bCs/>
          <w:color w:val="000000"/>
          <w:sz w:val="32"/>
          <w:szCs w:val="32"/>
          <w:lang w:val="en-US" w:eastAsia="zh-CN"/>
        </w:rPr>
        <w:t>五是</w:t>
      </w:r>
      <w:r>
        <w:rPr>
          <w:rFonts w:hint="default" w:ascii="仿宋_GB2312" w:hAnsi="仿宋_GB2312" w:eastAsia="仿宋_GB2312" w:cs="仿宋_GB2312"/>
          <w:color w:val="000000"/>
          <w:sz w:val="32"/>
          <w:szCs w:val="32"/>
        </w:rPr>
        <w:t>负责指定管辖范围内的项目选址、规划设计前期研究和规划设计方案审查。</w:t>
      </w:r>
      <w:r>
        <w:rPr>
          <w:rFonts w:hint="default" w:ascii="仿宋_GB2312" w:hAnsi="仿宋_GB2312" w:eastAsia="仿宋_GB2312" w:cs="仿宋_GB2312"/>
          <w:b/>
          <w:bCs/>
          <w:color w:val="000000"/>
          <w:sz w:val="32"/>
          <w:szCs w:val="32"/>
          <w:lang w:val="en-US" w:eastAsia="zh-CN"/>
        </w:rPr>
        <w:t>六是</w:t>
      </w:r>
      <w:r>
        <w:rPr>
          <w:rFonts w:hint="default" w:ascii="仿宋_GB2312" w:hAnsi="仿宋_GB2312" w:eastAsia="仿宋_GB2312" w:cs="仿宋_GB2312"/>
          <w:color w:val="000000"/>
          <w:sz w:val="32"/>
          <w:szCs w:val="32"/>
        </w:rPr>
        <w:t>承担辖区规划管理审批相关事务工作。</w:t>
      </w:r>
      <w:r>
        <w:rPr>
          <w:rFonts w:hint="default" w:ascii="仿宋_GB2312" w:hAnsi="仿宋_GB2312" w:eastAsia="仿宋_GB2312" w:cs="仿宋_GB2312"/>
          <w:b/>
          <w:bCs/>
          <w:color w:val="000000"/>
          <w:sz w:val="32"/>
          <w:szCs w:val="32"/>
          <w:lang w:val="en-US" w:eastAsia="zh-CN"/>
        </w:rPr>
        <w:t>七是</w:t>
      </w:r>
      <w:r>
        <w:rPr>
          <w:rFonts w:hint="default" w:ascii="仿宋_GB2312" w:hAnsi="仿宋_GB2312" w:eastAsia="仿宋_GB2312" w:cs="仿宋_GB2312"/>
          <w:color w:val="000000"/>
          <w:sz w:val="32"/>
          <w:szCs w:val="32"/>
        </w:rPr>
        <w:t>完成市自然资源局和区委、区政府交办的其他工作。</w:t>
      </w:r>
    </w:p>
    <w:p w14:paraId="5DB22A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val="en-US"/>
        </w:rPr>
        <w:t>202</w:t>
      </w:r>
      <w:r>
        <w:rPr>
          <w:rFonts w:hint="eastAsia" w:ascii="黑体" w:hAnsi="黑体" w:eastAsia="黑体" w:cs="黑体"/>
          <w:color w:val="000000"/>
          <w:sz w:val="32"/>
          <w:szCs w:val="32"/>
          <w:lang w:val="en-US" w:eastAsia="zh-CN"/>
        </w:rPr>
        <w:t>5</w:t>
      </w:r>
      <w:r>
        <w:rPr>
          <w:rFonts w:hint="eastAsia" w:ascii="黑体" w:hAnsi="黑体" w:eastAsia="黑体" w:cs="黑体"/>
          <w:color w:val="000000"/>
          <w:sz w:val="32"/>
          <w:szCs w:val="32"/>
        </w:rPr>
        <w:t>年重点工作</w:t>
      </w:r>
      <w:r>
        <w:rPr>
          <w:rFonts w:hint="eastAsia" w:ascii="黑体" w:hAnsi="黑体" w:eastAsia="黑体" w:cs="黑体"/>
          <w:color w:val="000000"/>
          <w:sz w:val="32"/>
          <w:szCs w:val="32"/>
          <w:lang w:eastAsia="zh-CN"/>
        </w:rPr>
        <w:t>。</w:t>
      </w:r>
      <w:r>
        <w:rPr>
          <w:rFonts w:hint="eastAsia" w:ascii="仿宋_GB2312" w:hAnsi="仿宋_GB2312" w:eastAsia="仿宋_GB2312" w:cs="仿宋_GB2312"/>
          <w:color w:val="000000"/>
          <w:sz w:val="32"/>
          <w:szCs w:val="32"/>
        </w:rPr>
        <w:t>完成市自然资源局、区委区政府下达的2025年各项目标任务，履行国土空间规划中心职能职责，负责指定管辖范围内的项目选址、规划设计前期研究和规划设计方案审查。承担辖区规划管理审批相关事务工作，执行市国土空间规划管理相关技术标准和技术规定，完成家居产业城等省、市重点项目 规划服务不少于20个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完成5个镇级片区国土空间规划修改完善、报批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7个村级片区规划编制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完成广元市中心城区元坝、昭化片区详细规划编制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承办区国土空间规划专业委员会不少于20次，区国土空间规划方案审查领导小组会不少于12次。争取规划方案审查修改完善后，通过率不低于百分之九十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盘活国有闲置存量</w:t>
      </w:r>
      <w:r>
        <w:rPr>
          <w:rFonts w:hint="eastAsia" w:ascii="仿宋_GB2312" w:hAnsi="仿宋_GB2312" w:eastAsia="仿宋_GB2312" w:cs="仿宋_GB2312"/>
          <w:color w:val="000000"/>
          <w:sz w:val="32"/>
          <w:szCs w:val="32"/>
          <w:lang w:eastAsia="zh-CN"/>
        </w:rPr>
        <w:t>用</w:t>
      </w: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lang w:val="en-US" w:eastAsia="zh-CN"/>
        </w:rPr>
        <w:t>G212改线、家居产业城周边</w:t>
      </w:r>
      <w:r>
        <w:rPr>
          <w:rFonts w:hint="eastAsia" w:ascii="仿宋_GB2312" w:hAnsi="仿宋_GB2312" w:eastAsia="仿宋_GB2312" w:cs="仿宋_GB2312"/>
          <w:color w:val="000000"/>
          <w:sz w:val="32"/>
          <w:szCs w:val="32"/>
        </w:rPr>
        <w:t>5宗地块用地性质调整，调规成果通过广元市规委会审查通过。</w:t>
      </w:r>
    </w:p>
    <w:p w14:paraId="2CE846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二、部门预算单位构成</w:t>
      </w:r>
    </w:p>
    <w:p w14:paraId="1538C7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广元市昭化国土规划编制研究中心为一级预算单位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下属二级预算单位0个，其中行政单位0个，参照公务员法管理的事业单位0个，其他事业单位0个。</w:t>
      </w:r>
    </w:p>
    <w:p w14:paraId="48E0A8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三、收支预算情况说明</w:t>
      </w:r>
    </w:p>
    <w:p w14:paraId="7FEFC6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z w:val="32"/>
          <w:szCs w:val="32"/>
          <w:lang w:val="en-US" w:eastAsia="zh-CN"/>
        </w:rPr>
        <w:t>按照综合预算的原则，广元市昭化国土空间规划编制研究中心所有收入和支出均纳入部门预算管理。收入包括：一般公共预算拨款收入；支出包括：城乡社区支出、社会保障和就业支出、卫生健康支出、住房保障支出。广元市昭化国土空间规划编制研究中心2025年收支预算总数225.04万元,比2024年收支预</w:t>
      </w:r>
      <w:r>
        <w:rPr>
          <w:rFonts w:hint="eastAsia" w:ascii="仿宋_GB2312" w:hAnsi="仿宋_GB2312" w:eastAsia="仿宋_GB2312" w:cs="仿宋_GB2312"/>
          <w:sz w:val="32"/>
          <w:szCs w:val="32"/>
          <w:lang w:val="en-US" w:eastAsia="zh-CN"/>
        </w:rPr>
        <w:t>算总数增加46.73万元，主要原因是本年</w:t>
      </w:r>
      <w:r>
        <w:rPr>
          <w:rFonts w:hint="default"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同时增加了G212线改线、家居产业城周边5宗地调规费用20万元。</w:t>
      </w:r>
    </w:p>
    <w:p w14:paraId="667177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62069E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lang w:val="en-US" w:eastAsia="zh-CN"/>
        </w:rPr>
        <w:t>广元市昭化国土空间规划编制研究中心</w:t>
      </w:r>
      <w:r>
        <w:rPr>
          <w:rFonts w:hint="eastAsia" w:ascii="仿宋_GB2312" w:hAnsi="仿宋_GB2312" w:eastAsia="仿宋_GB2312" w:cs="仿宋_GB2312"/>
          <w:sz w:val="32"/>
          <w:szCs w:val="32"/>
          <w:lang w:val="en-US" w:eastAsia="zh-CN"/>
        </w:rPr>
        <w:t>2025年收入预算225.04万元，其中：一般公共预算拨款收入225.04万元，占100%。</w:t>
      </w:r>
    </w:p>
    <w:p w14:paraId="2B8205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4BC674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2025年支出预算225.04万元，其中：基本支出155.04万元，占68.89%；项目支出70万元，占31.11%</w:t>
      </w:r>
      <w:r>
        <w:rPr>
          <w:rFonts w:hint="eastAsia" w:ascii="仿宋_GB2312" w:hAnsi="仿宋_GB2312" w:eastAsia="仿宋_GB2312" w:cs="仿宋_GB2312"/>
          <w:b w:val="0"/>
          <w:bCs w:val="0"/>
          <w:sz w:val="32"/>
          <w:szCs w:val="32"/>
          <w:lang w:val="en-US" w:eastAsia="zh-CN"/>
        </w:rPr>
        <w:t>。</w:t>
      </w:r>
    </w:p>
    <w:p w14:paraId="4539F2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416BAE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2025年财政拨款收支预算总数225.04万元,比2024年财政拨款收支预算总数增加46.73万元，主要原因是本年</w:t>
      </w:r>
      <w:r>
        <w:rPr>
          <w:rFonts w:hint="default"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同时增加了G212线改线、家居产业城周边5宗地调规费用20万元。</w:t>
      </w:r>
    </w:p>
    <w:p w14:paraId="199935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收入包括：本年一般公共预算拨款收入225.04万元；支出225.04万元。包括：（城乡社区支出189.26万元、社会保障和就业支出17.2万元、卫生健康支出6.12万元、住房保障支出12.46万元。）</w:t>
      </w:r>
    </w:p>
    <w:p w14:paraId="066509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4E8458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714A30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2025年一般公共预算当年拨款225.04万元，比2024年预算数增加46.73万元，主要原因是本年</w:t>
      </w:r>
      <w:r>
        <w:rPr>
          <w:rFonts w:hint="default" w:ascii="Times New Roman" w:hAnsi="Times New Roman" w:eastAsia="仿宋_GB2312" w:cs="Times New Roman"/>
          <w:sz w:val="32"/>
          <w:szCs w:val="32"/>
          <w:lang w:val="en-US" w:eastAsia="zh-CN"/>
        </w:rPr>
        <w:t>人员</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同时增加了G212线改线、家居产业城周边5宗地调规费用20万元。</w:t>
      </w:r>
    </w:p>
    <w:p w14:paraId="14170C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其中：工资福利支出139.62万元，商品和服务支出85.40万元，对个人和家庭的补助0.02万元。</w:t>
      </w:r>
    </w:p>
    <w:p w14:paraId="74E511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12D85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城乡社区支出189.26万元，占84.10%；社会保障和就业支出17.2万元，占7.64%；卫生健康支出6.12万元，占2.72%；住房保障支出12.46万元，占5.54%。</w:t>
      </w:r>
    </w:p>
    <w:p w14:paraId="2B8040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447614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sz w:val="32"/>
          <w:szCs w:val="32"/>
          <w:lang w:val="en-US" w:eastAsia="zh-CN"/>
        </w:rPr>
        <w:t>1.</w:t>
      </w:r>
      <w:r>
        <w:rPr>
          <w:rFonts w:hint="default" w:ascii="Times New Roman" w:hAnsi="Times New Roman" w:eastAsia="仿宋_GB2312" w:cs="Times New Roman"/>
          <w:sz w:val="32"/>
          <w:szCs w:val="32"/>
        </w:rPr>
        <w:t>城乡社区支出（类）城乡社区规划与管理（款）城乡社区规划与管理（项）202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189.26</w:t>
      </w:r>
      <w:r>
        <w:rPr>
          <w:rFonts w:hint="default" w:ascii="Times New Roman" w:hAnsi="Times New Roman" w:eastAsia="仿宋_GB2312" w:cs="Times New Roman"/>
          <w:sz w:val="32"/>
          <w:szCs w:val="32"/>
        </w:rPr>
        <w:t>万元，主要用于干部职工的工资、其他工资福利等人员经费以及办公费、印刷费、水电费等商品服务支出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单位正常运转的基本支出。</w:t>
      </w:r>
    </w:p>
    <w:p w14:paraId="17C1AF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2.社会保障和就业（类）行政事业单位养老支出（款）机关事业单位基本养老保险缴费支出（项）2025年预算数为16.61万元，主要用于：实施养老保险制度由单位缴纳的基本养老保险支出。</w:t>
      </w:r>
    </w:p>
    <w:p w14:paraId="298502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3.社会保障和就业（类）其他社会保险和就业支出（款）其他社会保障和就业支出（项）2025年预算数为0.58万元，主要用于：养老保险以外的其他社会保障和就业方面的支出。</w:t>
      </w:r>
    </w:p>
    <w:p w14:paraId="05572C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4.卫生健康（类）行政事业单位医疗（款）事业单位医疗（项）2025年预算数为6.12万元，主要用于：事业单位按规定由单位缴纳的基本医疗保险支出。</w:t>
      </w:r>
    </w:p>
    <w:p w14:paraId="3DCE43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5.住房保障（类）住房改革支出（款）住房公积金（项）2025年预算数为12.46万元，主要用于：部门按规定为职工缴纳的住房公积金支出。</w:t>
      </w:r>
    </w:p>
    <w:p w14:paraId="7A3343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407CAF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2025年一般公共预算基本支出155.04万元，其中：</w:t>
      </w:r>
    </w:p>
    <w:p w14:paraId="28A201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人员经费139.64万元，主要包括：基本工资、津贴补贴、其他规定的地方津补贴、奖金、基础绩效奖、绩效工资、社会保险缴费、住房公积金等支出。</w:t>
      </w:r>
    </w:p>
    <w:p w14:paraId="4D7323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公用经费15.4万元，主要包括：办公费、手续费、电费、邮电费、物业管理费、工会经费、其他商品和服务支出等支出。</w:t>
      </w:r>
    </w:p>
    <w:p w14:paraId="00D03A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36D1AC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2025年“三公”经费财政拨款预算数1.43万元，其中：公务接待费1.43万元，公务用车购置及运行维护费0万元，因公出国（境）经费0万元。</w:t>
      </w:r>
    </w:p>
    <w:p w14:paraId="2A841B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6475E4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2F13E6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w:t>
      </w:r>
      <w:r>
        <w:rPr>
          <w:rFonts w:hint="default" w:ascii="Times New Roman" w:hAnsi="Times New Roman" w:eastAsia="仿宋_GB2312" w:cs="Times New Roman"/>
          <w:sz w:val="32"/>
          <w:szCs w:val="32"/>
          <w:lang w:val="en-US" w:eastAsia="zh-CN"/>
        </w:rPr>
        <w:t>国土空间规划编制评审、项目用地规划现场选址、市、区专委会（规委会）</w:t>
      </w:r>
      <w:r>
        <w:rPr>
          <w:rFonts w:hint="eastAsia" w:ascii="仿宋_GB2312" w:hAnsi="仿宋_GB2312" w:eastAsia="仿宋_GB2312" w:cs="仿宋_GB2312"/>
          <w:sz w:val="32"/>
          <w:szCs w:val="32"/>
          <w:lang w:val="en-US" w:eastAsia="zh-CN"/>
        </w:rPr>
        <w:t>开支的用餐费等。</w:t>
      </w:r>
    </w:p>
    <w:p w14:paraId="6DD81A0E">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0EE8366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公务用车购置及运行维护费与2024年预算相比无变化预算数均为0万元。</w:t>
      </w:r>
    </w:p>
    <w:p w14:paraId="3172DE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2B6068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609A24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773217D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3BAE2A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sz w:val="32"/>
          <w:szCs w:val="32"/>
          <w:lang w:val="en-US" w:eastAsia="zh-CN"/>
        </w:rPr>
        <w:t>因公出国（境）经费</w:t>
      </w:r>
      <w:r>
        <w:rPr>
          <w:rFonts w:hint="default" w:ascii="Times New Roman" w:hAnsi="Times New Roman" w:eastAsia="楷体_GB2312" w:cs="Times New Roman"/>
          <w:sz w:val="32"/>
          <w:szCs w:val="32"/>
        </w:rPr>
        <w:t>与202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年预算相比</w:t>
      </w:r>
      <w:r>
        <w:rPr>
          <w:rFonts w:hint="default" w:ascii="Times New Roman" w:hAnsi="Times New Roman" w:eastAsia="楷体_GB2312" w:cs="Times New Roman"/>
          <w:sz w:val="32"/>
          <w:szCs w:val="32"/>
          <w:lang w:eastAsia="zh-CN"/>
        </w:rPr>
        <w:t>无变化，预算数均为</w:t>
      </w:r>
      <w:r>
        <w:rPr>
          <w:rFonts w:hint="default" w:ascii="Times New Roman" w:hAnsi="Times New Roman" w:eastAsia="楷体_GB2312" w:cs="Times New Roman"/>
          <w:sz w:val="32"/>
          <w:szCs w:val="32"/>
          <w:lang w:val="en-US" w:eastAsia="zh-CN"/>
        </w:rPr>
        <w:t>0万元。</w:t>
      </w:r>
    </w:p>
    <w:p w14:paraId="75E476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17C35F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2025年无政府性基金预算拨款安排的支出。</w:t>
      </w:r>
    </w:p>
    <w:p w14:paraId="03E701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407DFC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2025年无国有资本经营预算拨款安排的支出。</w:t>
      </w:r>
    </w:p>
    <w:p w14:paraId="53CE0E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52DCFA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3451C5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2025年，广元市昭化国土空间规划编制研究中心无机关运行经费预算。</w:t>
      </w:r>
    </w:p>
    <w:p w14:paraId="2B4770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42B1C9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广元市昭化国土空间规划编制研究中心没有安排政府采购预算资金。</w:t>
      </w:r>
    </w:p>
    <w:p w14:paraId="4235B5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38F1EC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w:t>
      </w:r>
      <w:r>
        <w:rPr>
          <w:rFonts w:hint="default" w:ascii="Times New Roman" w:hAnsi="Times New Roman" w:eastAsia="仿宋_GB2312" w:cs="Times New Roman"/>
          <w:sz w:val="32"/>
          <w:szCs w:val="32"/>
        </w:rPr>
        <w:t>广元市昭化国土空间规划编制研究中心共有</w:t>
      </w:r>
      <w:r>
        <w:rPr>
          <w:rFonts w:hint="eastAsia" w:ascii="仿宋_GB2312" w:hAnsi="仿宋_GB2312" w:eastAsia="仿宋_GB2312" w:cs="仿宋_GB2312"/>
          <w:sz w:val="32"/>
          <w:szCs w:val="32"/>
          <w:lang w:val="en-US" w:eastAsia="zh-CN"/>
        </w:rPr>
        <w:t>车辆0辆，其中，领导干部用车0辆、定向保障用车0辆、执法执勤用车0辆。单位价值200万元以上大型设备0台（套）。</w:t>
      </w:r>
    </w:p>
    <w:p w14:paraId="5A84C0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2025年部门预算安排车辆购置经费0万元。其中，财政拨款预算安排0万元，非财政拨款安排0万元。拟购置定向保障用车0辆、执法执勤用车0辆。安排大型设备购置经费0万元。</w:t>
      </w:r>
      <w:r>
        <w:rPr>
          <w:rFonts w:hint="eastAsia" w:ascii="楷体_GB2312" w:hAnsi="楷体_GB2312" w:eastAsia="楷体_GB2312" w:cs="楷体_GB2312"/>
          <w:sz w:val="32"/>
          <w:szCs w:val="32"/>
          <w:lang w:val="en-US" w:eastAsia="zh-CN"/>
        </w:rPr>
        <w:t>（四）绩效目标设置情况</w:t>
      </w:r>
    </w:p>
    <w:p w14:paraId="65053A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Times New Roman" w:hAnsi="Times New Roman" w:eastAsia="仿宋_GB2312" w:cs="Times New Roman"/>
          <w:sz w:val="32"/>
          <w:szCs w:val="32"/>
          <w:lang w:eastAsia="zh-CN"/>
        </w:rPr>
        <w:t>本单位</w:t>
      </w:r>
      <w:r>
        <w:rPr>
          <w:rFonts w:hint="eastAsia" w:ascii="仿宋_GB2312" w:hAnsi="仿宋_GB2312" w:eastAsia="仿宋_GB2312" w:cs="仿宋_GB2312"/>
          <w:sz w:val="32"/>
          <w:szCs w:val="32"/>
          <w:lang w:val="en-US" w:eastAsia="zh-CN"/>
        </w:rPr>
        <w:t>开展绩效目标管理的项目6个，涉及预算225.04万元。其中：人员类项目1个，涉及预算139.64万元；运转类项目4个，涉及预算65.4万元；特定目标类项目1个，涉及预算20万元。</w:t>
      </w:r>
    </w:p>
    <w:p w14:paraId="3FE604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465E22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Times New Roman" w:hAnsi="Times New Roman" w:eastAsia="仿宋_GB2312" w:cs="Times New Roman"/>
          <w:sz w:val="32"/>
          <w:szCs w:val="32"/>
          <w:lang w:val="en-US" w:eastAsia="zh-CN"/>
        </w:rPr>
        <w:t>指区财政当</w:t>
      </w:r>
      <w:r>
        <w:rPr>
          <w:rFonts w:hint="eastAsia" w:ascii="仿宋_GB2312" w:hAnsi="仿宋_GB2312" w:eastAsia="仿宋_GB2312" w:cs="仿宋_GB2312"/>
          <w:sz w:val="32"/>
          <w:szCs w:val="32"/>
          <w:lang w:val="en-US" w:eastAsia="zh-CN"/>
        </w:rPr>
        <w:t>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2760E3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（二）上年结转：</w:t>
      </w:r>
      <w:r>
        <w:rPr>
          <w:rFonts w:hint="default" w:ascii="Times New Roman" w:hAnsi="Times New Roman" w:eastAsia="仿宋_GB2312" w:cs="Times New Roman"/>
          <w:sz w:val="32"/>
          <w:szCs w:val="32"/>
        </w:rPr>
        <w:t>指以前年度尚未完成，结转到本年仍按原规定用途继续使用的资金。</w:t>
      </w:r>
    </w:p>
    <w:p w14:paraId="7889AE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(三）</w:t>
      </w:r>
      <w:r>
        <w:rPr>
          <w:rFonts w:hint="default" w:ascii="Times New Roman" w:hAnsi="Times New Roman" w:eastAsia="仿宋_GB2312" w:cs="Times New Roman"/>
          <w:sz w:val="32"/>
          <w:szCs w:val="32"/>
        </w:rPr>
        <w:t>城乡社区支出（类）城乡社区规划与管理（款）城乡社区规划与管理（项）</w:t>
      </w:r>
      <w:r>
        <w:rPr>
          <w:rFonts w:hint="eastAsia" w:ascii="Times New Roman" w:hAnsi="Times New Roman" w:eastAsia="仿宋_GB2312" w:cs="Times New Roman"/>
          <w:sz w:val="32"/>
          <w:szCs w:val="32"/>
          <w:lang w:eastAsia="zh-CN"/>
        </w:rPr>
        <w:t>反映城乡社区、防灾减灾、历史名城规划制定与管理等方面在支出。</w:t>
      </w:r>
    </w:p>
    <w:p w14:paraId="5391DF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（四）社会保障和就业（类）行政事业单位养老支出（款）机关事业单位基本养老保险缴费支出（项）反映机关事业单位实施养老保险制度由单位缴纳在基本养老保险支出。</w:t>
      </w:r>
    </w:p>
    <w:p w14:paraId="69915B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（五）社会保障和就业（类）其他社会保险和就业支出（款）其他社会保障和就业支出（项）反映除上述项目以外其他用于社会保障和就业方面的支出。</w:t>
      </w:r>
    </w:p>
    <w:p w14:paraId="2F480C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（六）卫生健康（类）行政事业单位医疗（款）事业单位医疗（项）反映财政部门安排的事业单位基本医疗保险缴费经费，未参加医疗保险的事业单位的公费医疗经费，按国家规定享受离休人员待遇的医疗经费。</w:t>
      </w:r>
    </w:p>
    <w:p w14:paraId="3D2568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（七）住房保障（类）住房改革支出（款）住房公积金（项）反映行政事业单位按人力资源和社会保障部、财政部规定的基本工资和津贴补贴以及规定比例为职工缴纳的住房公积金。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3CBB0B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33B388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附件：1.广元市昭化国土空间规划编制研究中心部门预算公开报表</w:t>
      </w:r>
    </w:p>
    <w:p w14:paraId="365DE570">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广元市昭化国土空间规划编制研究中心部门预算项目绩效目标表</w:t>
      </w:r>
    </w:p>
    <w:p w14:paraId="6EDE6BA5">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广元市昭化国土空间规划编制研究中心部门整体支出绩效目标表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EDBA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CB38D5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IYe4aL9AQAA/wMAAA4AAAAAAAAAAQAgAAAAHwEAAGRycy9lMm9Eb2MueG1s&#10;UEsFBgAAAAAGAAYAWQEAAI4FAAAAAA==&#10;">
              <v:fill on="f" focussize="0,0"/>
              <v:stroke on="f"/>
              <v:imagedata o:title=""/>
              <o:lock v:ext="edit" aspectratio="f"/>
              <v:textbox inset="0mm,0mm,0mm,0mm" style="mso-fit-shape-to-text:t;">
                <w:txbxContent>
                  <w:p w14:paraId="4CB38D5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F8970"/>
    <w:multiLevelType w:val="singleLevel"/>
    <w:tmpl w:val="92BF8970"/>
    <w:lvl w:ilvl="0" w:tentative="0">
      <w:start w:val="2"/>
      <w:numFmt w:val="decimal"/>
      <w:lvlText w:val="%1."/>
      <w:lvlJc w:val="left"/>
      <w:pPr>
        <w:tabs>
          <w:tab w:val="left" w:pos="312"/>
        </w:tabs>
        <w:ind w:left="1600" w:leftChars="0" w:firstLine="0" w:firstLineChars="0"/>
      </w:pPr>
    </w:lvl>
  </w:abstractNum>
  <w:abstractNum w:abstractNumId="1">
    <w:nsid w:val="DECF98EA"/>
    <w:multiLevelType w:val="singleLevel"/>
    <w:tmpl w:val="DECF98E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39E2EE8"/>
    <w:rsid w:val="03B40A04"/>
    <w:rsid w:val="0EF05C4B"/>
    <w:rsid w:val="19623A5D"/>
    <w:rsid w:val="1F4B48B0"/>
    <w:rsid w:val="21984CC5"/>
    <w:rsid w:val="3F416569"/>
    <w:rsid w:val="3F951130"/>
    <w:rsid w:val="437561E3"/>
    <w:rsid w:val="48E66D59"/>
    <w:rsid w:val="4DE5456D"/>
    <w:rsid w:val="57266709"/>
    <w:rsid w:val="584D434C"/>
    <w:rsid w:val="59B3357B"/>
    <w:rsid w:val="76C52039"/>
    <w:rsid w:val="BF79F98F"/>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华文仿宋" w:hAnsi="Times New Roman" w:eastAsia="华文仿宋" w:cs="华文仿宋"/>
      <w:color w:val="000000"/>
      <w:sz w:val="24"/>
      <w:szCs w:val="24"/>
      <w:lang w:val="en-US" w:eastAsia="zh-CN" w:bidi="ar-SA"/>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4013</Words>
  <Characters>4799</Characters>
  <TotalTime>3</TotalTime>
  <ScaleCrop>false</ScaleCrop>
  <LinksUpToDate>false</LinksUpToDate>
  <CharactersWithSpaces>4816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想当颜回的宰予</cp:lastModifiedBy>
  <dcterms:modified xsi:type="dcterms:W3CDTF">2025-02-13T00:42:26Z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8D1B60FFBFA049C384B6BA5E368C1978_13</vt:lpwstr>
  </property>
  <property fmtid="{D5CDD505-2E9C-101B-9397-08002B2CF9AE}" pid="4" name="KSOTemplateDocerSaveRecord">
    <vt:lpwstr>eyJoZGlkIjoiNGI3MWEzOTdiODE3MjU4MGQyMDhmOWM1ODQ4OWIwYzQiLCJ1c2VySWQiOiI0MTM1MzIwMDkifQ==</vt:lpwstr>
  </property>
</Properties>
</file>