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0E572E">
      <w:pPr>
        <w:spacing w:line="600" w:lineRule="exact"/>
        <w:jc w:val="center"/>
        <w:rPr>
          <w:rFonts w:hint="default" w:ascii="Times New Roman" w:hAnsi="Times New Roman" w:eastAsia="方正小标宋简体" w:cs="Times New Roman"/>
          <w:sz w:val="72"/>
          <w:szCs w:val="72"/>
        </w:rPr>
      </w:pPr>
      <w:bookmarkStart w:id="0" w:name="_Toc15378441"/>
      <w:bookmarkStart w:id="1" w:name="_Toc15377425"/>
      <w:bookmarkStart w:id="2" w:name="_Toc15396475"/>
      <w:bookmarkStart w:id="3" w:name="_Toc15377193"/>
      <w:bookmarkStart w:id="4" w:name="_Toc15396597"/>
      <w:bookmarkStart w:id="5" w:name="_Toc15306267"/>
    </w:p>
    <w:p w14:paraId="6B7F17AF">
      <w:pPr>
        <w:adjustRightInd w:val="0"/>
        <w:snapToGrid w:val="0"/>
        <w:spacing w:line="600" w:lineRule="exact"/>
        <w:jc w:val="center"/>
        <w:outlineLvl w:val="0"/>
        <w:rPr>
          <w:rFonts w:hint="default" w:ascii="Times New Roman" w:hAnsi="Times New Roman" w:eastAsia="方正小标宋简体" w:cs="Times New Roman"/>
          <w:spacing w:val="-6"/>
          <w:sz w:val="44"/>
          <w:szCs w:val="44"/>
        </w:rPr>
      </w:pPr>
      <w:bookmarkStart w:id="6" w:name="_Toc2339"/>
      <w:r>
        <w:rPr>
          <w:rFonts w:hint="default" w:ascii="Times New Roman" w:hAnsi="Times New Roman" w:eastAsia="方正小标宋简体" w:cs="Times New Roman"/>
          <w:spacing w:val="-6"/>
          <w:sz w:val="44"/>
          <w:szCs w:val="44"/>
        </w:rPr>
        <w:t>2022年度</w:t>
      </w:r>
      <w:bookmarkEnd w:id="0"/>
      <w:bookmarkEnd w:id="1"/>
      <w:bookmarkEnd w:id="2"/>
      <w:bookmarkEnd w:id="3"/>
      <w:bookmarkEnd w:id="4"/>
      <w:bookmarkStart w:id="7" w:name="_Toc15377194"/>
      <w:bookmarkStart w:id="8" w:name="_Toc15377426"/>
      <w:bookmarkStart w:id="9" w:name="_Toc15378442"/>
      <w:bookmarkStart w:id="10" w:name="_Toc15396476"/>
      <w:bookmarkStart w:id="11" w:name="_Toc15396598"/>
      <w:r>
        <w:rPr>
          <w:rFonts w:hint="default" w:ascii="Times New Roman" w:hAnsi="Times New Roman" w:eastAsia="方正小标宋简体" w:cs="Times New Roman"/>
          <w:spacing w:val="-6"/>
          <w:sz w:val="44"/>
          <w:szCs w:val="44"/>
        </w:rPr>
        <w:t>四川省</w:t>
      </w:r>
      <w:bookmarkEnd w:id="5"/>
      <w:bookmarkStart w:id="12" w:name="_Toc15306268"/>
      <w:r>
        <w:rPr>
          <w:rFonts w:hint="default" w:ascii="Times New Roman" w:hAnsi="Times New Roman" w:eastAsia="方正小标宋简体" w:cs="Times New Roman"/>
          <w:spacing w:val="-6"/>
          <w:sz w:val="44"/>
          <w:szCs w:val="44"/>
        </w:rPr>
        <w:t>广元市自然资源局昭化区分局</w:t>
      </w:r>
      <w:bookmarkEnd w:id="6"/>
    </w:p>
    <w:p w14:paraId="44562189">
      <w:pPr>
        <w:pStyle w:val="7"/>
        <w:spacing w:before="93" w:line="2000" w:lineRule="exact"/>
        <w:rPr>
          <w:rFonts w:hint="default" w:ascii="Times New Roman" w:hAnsi="Times New Roman" w:eastAsia="方正行楷简体" w:cs="Times New Roman"/>
          <w:sz w:val="90"/>
          <w:szCs w:val="90"/>
        </w:rPr>
      </w:pPr>
    </w:p>
    <w:p w14:paraId="23883590">
      <w:pPr>
        <w:adjustRightInd w:val="0"/>
        <w:snapToGrid w:val="0"/>
        <w:spacing w:line="1700" w:lineRule="exact"/>
        <w:jc w:val="center"/>
        <w:outlineLvl w:val="0"/>
        <w:rPr>
          <w:rFonts w:hint="default" w:ascii="Times New Roman" w:hAnsi="Times New Roman" w:eastAsia="方正行楷简体" w:cs="Times New Roman"/>
          <w:sz w:val="110"/>
          <w:szCs w:val="110"/>
        </w:rPr>
      </w:pPr>
      <w:bookmarkStart w:id="13" w:name="_Toc16555"/>
      <w:r>
        <w:rPr>
          <w:rFonts w:hint="default" w:ascii="Times New Roman" w:hAnsi="Times New Roman" w:eastAsia="方正行楷简体" w:cs="Times New Roman"/>
          <w:sz w:val="110"/>
          <w:szCs w:val="110"/>
        </w:rPr>
        <w:t>部</w:t>
      </w:r>
      <w:bookmarkEnd w:id="13"/>
    </w:p>
    <w:p w14:paraId="2745FD2A">
      <w:pPr>
        <w:adjustRightInd w:val="0"/>
        <w:snapToGrid w:val="0"/>
        <w:spacing w:line="1700" w:lineRule="exact"/>
        <w:jc w:val="center"/>
        <w:outlineLvl w:val="0"/>
        <w:rPr>
          <w:rFonts w:hint="default" w:ascii="Times New Roman" w:hAnsi="Times New Roman" w:eastAsia="方正行楷简体" w:cs="Times New Roman"/>
          <w:sz w:val="110"/>
          <w:szCs w:val="110"/>
        </w:rPr>
      </w:pPr>
      <w:bookmarkStart w:id="14" w:name="_Toc10239"/>
      <w:r>
        <w:rPr>
          <w:rFonts w:hint="default" w:ascii="Times New Roman" w:hAnsi="Times New Roman" w:eastAsia="方正行楷简体" w:cs="Times New Roman"/>
          <w:sz w:val="110"/>
          <w:szCs w:val="110"/>
        </w:rPr>
        <w:t>门</w:t>
      </w:r>
      <w:bookmarkEnd w:id="14"/>
    </w:p>
    <w:p w14:paraId="383FA928">
      <w:pPr>
        <w:adjustRightInd w:val="0"/>
        <w:snapToGrid w:val="0"/>
        <w:spacing w:line="1700" w:lineRule="exact"/>
        <w:jc w:val="center"/>
        <w:outlineLvl w:val="0"/>
        <w:rPr>
          <w:rFonts w:hint="default" w:ascii="Times New Roman" w:hAnsi="Times New Roman" w:eastAsia="方正行楷简体" w:cs="Times New Roman"/>
          <w:sz w:val="110"/>
          <w:szCs w:val="110"/>
        </w:rPr>
      </w:pPr>
      <w:bookmarkStart w:id="15" w:name="_Toc30123"/>
      <w:r>
        <w:rPr>
          <w:rFonts w:hint="default" w:ascii="Times New Roman" w:hAnsi="Times New Roman" w:eastAsia="方正行楷简体" w:cs="Times New Roman"/>
          <w:sz w:val="110"/>
          <w:szCs w:val="110"/>
        </w:rPr>
        <w:t>决</w:t>
      </w:r>
      <w:bookmarkEnd w:id="15"/>
    </w:p>
    <w:p w14:paraId="6ED08E1D">
      <w:pPr>
        <w:adjustRightInd w:val="0"/>
        <w:snapToGrid w:val="0"/>
        <w:spacing w:line="1700" w:lineRule="exact"/>
        <w:jc w:val="center"/>
        <w:outlineLvl w:val="0"/>
        <w:rPr>
          <w:rFonts w:hint="default" w:ascii="Times New Roman" w:hAnsi="Times New Roman" w:eastAsia="方正行楷简体" w:cs="Times New Roman"/>
          <w:sz w:val="110"/>
          <w:szCs w:val="110"/>
        </w:rPr>
      </w:pPr>
      <w:bookmarkStart w:id="16" w:name="_Toc14681"/>
      <w:r>
        <w:rPr>
          <w:rFonts w:hint="default" w:ascii="Times New Roman" w:hAnsi="Times New Roman" w:eastAsia="方正行楷简体" w:cs="Times New Roman"/>
          <w:sz w:val="110"/>
          <w:szCs w:val="110"/>
        </w:rPr>
        <w:t>算</w:t>
      </w:r>
      <w:bookmarkEnd w:id="7"/>
      <w:bookmarkEnd w:id="8"/>
      <w:bookmarkEnd w:id="9"/>
      <w:bookmarkEnd w:id="10"/>
      <w:bookmarkEnd w:id="11"/>
      <w:bookmarkEnd w:id="12"/>
      <w:bookmarkEnd w:id="16"/>
    </w:p>
    <w:p w14:paraId="59C35855">
      <w:pPr>
        <w:widowControl/>
        <w:spacing w:line="2000" w:lineRule="exact"/>
        <w:jc w:val="center"/>
        <w:rPr>
          <w:rFonts w:hint="default" w:ascii="Times New Roman" w:hAnsi="Times New Roman" w:cs="Times New Roman"/>
        </w:rPr>
      </w:pPr>
    </w:p>
    <w:p w14:paraId="710D75E2">
      <w:pPr>
        <w:keepNext w:val="0"/>
        <w:keepLines w:val="0"/>
        <w:pageBreakBefore w:val="0"/>
        <w:widowControl/>
        <w:kinsoku/>
        <w:wordWrap/>
        <w:overflowPunct/>
        <w:topLinePunct w:val="0"/>
        <w:autoSpaceDE/>
        <w:autoSpaceDN/>
        <w:bidi w:val="0"/>
        <w:adjustRightInd w:val="0"/>
        <w:snapToGrid w:val="0"/>
        <w:spacing w:line="440" w:lineRule="exact"/>
        <w:ind w:firstLine="0" w:firstLineChars="0"/>
        <w:jc w:val="center"/>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公开时间：2023年</w:t>
      </w:r>
      <w:r>
        <w:rPr>
          <w:rFonts w:hint="default" w:ascii="Times New Roman" w:hAnsi="Times New Roman" w:eastAsia="黑体" w:cs="Times New Roman"/>
          <w:color w:val="auto"/>
          <w:sz w:val="32"/>
          <w:szCs w:val="32"/>
          <w:lang w:val="en-US" w:eastAsia="zh-CN"/>
        </w:rPr>
        <w:t>9</w:t>
      </w:r>
      <w:r>
        <w:rPr>
          <w:rFonts w:hint="default" w:ascii="Times New Roman" w:hAnsi="Times New Roman" w:eastAsia="黑体" w:cs="Times New Roman"/>
          <w:color w:val="auto"/>
          <w:sz w:val="32"/>
          <w:szCs w:val="32"/>
        </w:rPr>
        <w:t>月</w:t>
      </w:r>
      <w:r>
        <w:rPr>
          <w:rFonts w:hint="default" w:ascii="Times New Roman" w:hAnsi="Times New Roman" w:eastAsia="黑体" w:cs="Times New Roman"/>
          <w:color w:val="auto"/>
          <w:sz w:val="32"/>
          <w:szCs w:val="32"/>
          <w:lang w:val="en-US" w:eastAsia="zh-CN"/>
        </w:rPr>
        <w:t>18</w:t>
      </w:r>
      <w:r>
        <w:rPr>
          <w:rFonts w:hint="default" w:ascii="Times New Roman" w:hAnsi="Times New Roman" w:eastAsia="黑体" w:cs="Times New Roman"/>
          <w:color w:val="auto"/>
          <w:sz w:val="32"/>
          <w:szCs w:val="32"/>
        </w:rPr>
        <w:t>日</w:t>
      </w:r>
    </w:p>
    <w:p w14:paraId="15C6003E">
      <w:pPr>
        <w:spacing w:line="600" w:lineRule="exact"/>
        <w:jc w:val="center"/>
        <w:rPr>
          <w:rFonts w:hint="default" w:ascii="Times New Roman" w:hAnsi="Times New Roman" w:cs="Times New Roman"/>
        </w:rPr>
        <w:sectPr>
          <w:footerReference r:id="rId5" w:type="first"/>
          <w:headerReference r:id="rId3" w:type="default"/>
          <w:footerReference r:id="rId4" w:type="default"/>
          <w:pgSz w:w="11906" w:h="16838"/>
          <w:pgMar w:top="2098" w:right="1474" w:bottom="1984" w:left="1587" w:header="851" w:footer="992" w:gutter="0"/>
          <w:pgNumType w:fmt="decimal" w:start="1"/>
          <w:cols w:space="0" w:num="1"/>
          <w:docGrid w:type="lines" w:linePitch="312" w:charSpace="0"/>
        </w:sectPr>
      </w:pPr>
    </w:p>
    <w:sdt>
      <w:sdtPr>
        <w:rPr>
          <w:rFonts w:hint="default" w:ascii="Times New Roman" w:hAnsi="Times New Roman" w:cs="Times New Roman"/>
        </w:rPr>
        <w:id w:val="147471277"/>
        <w:docPartObj>
          <w:docPartGallery w:val="Table of Contents"/>
          <w:docPartUnique/>
        </w:docPartObj>
      </w:sdtPr>
      <w:sdtEndPr>
        <w:rPr>
          <w:rFonts w:hint="default" w:ascii="Times New Roman" w:hAnsi="Times New Roman" w:cs="Times New Roman"/>
          <w:b/>
        </w:rPr>
      </w:sdtEndPr>
      <w:sdtContent>
        <w:p w14:paraId="2264C313">
          <w:pPr>
            <w:spacing w:line="60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目    录</w:t>
          </w:r>
        </w:p>
        <w:p w14:paraId="63F6B01B">
          <w:pPr>
            <w:pStyle w:val="38"/>
            <w:tabs>
              <w:tab w:val="right" w:leader="dot" w:pos="8845"/>
            </w:tabs>
            <w:rPr>
              <w:rFonts w:hint="default" w:ascii="Times New Roman" w:hAnsi="Times New Roman" w:cs="Times New Roman"/>
              <w:b/>
            </w:rPr>
          </w:pPr>
          <w:r>
            <w:rPr>
              <w:rFonts w:hint="default" w:ascii="Times New Roman" w:hAnsi="Times New Roman" w:cs="Times New Roman"/>
            </w:rPr>
            <w:fldChar w:fldCharType="begin"/>
          </w:r>
          <w:r>
            <w:rPr>
              <w:rFonts w:hint="default" w:ascii="Times New Roman" w:hAnsi="Times New Roman" w:cs="Times New Roman"/>
            </w:rPr>
            <w:instrText xml:space="preserve">TOC \o "1-2" \h \u </w:instrText>
          </w:r>
          <w:r>
            <w:rPr>
              <w:rFonts w:hint="default" w:ascii="Times New Roman" w:hAnsi="Times New Roman" w:cs="Times New Roman"/>
            </w:rPr>
            <w:fldChar w:fldCharType="separate"/>
          </w:r>
        </w:p>
        <w:p w14:paraId="08D03288">
          <w:pPr>
            <w:pStyle w:val="38"/>
            <w:tabs>
              <w:tab w:val="right" w:leader="dot" w:pos="8845"/>
            </w:tabs>
            <w:spacing w:line="576" w:lineRule="exact"/>
            <w:ind w:firstLine="400" w:firstLineChars="200"/>
            <w:jc w:val="both"/>
            <w:rPr>
              <w:rFonts w:hint="default" w:ascii="Times New Roman" w:hAnsi="Times New Roman" w:eastAsia="仿宋_GB2312" w:cs="Times New Roman"/>
              <w:bCs/>
              <w:sz w:val="32"/>
              <w:szCs w:val="3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"_Toc301" </w:instrText>
          </w:r>
          <w:r>
            <w:rPr>
              <w:rFonts w:hint="default" w:ascii="Times New Roman" w:hAnsi="Times New Roman" w:cs="Times New Roman"/>
            </w:rPr>
            <w:fldChar w:fldCharType="separate"/>
          </w:r>
          <w:r>
            <w:rPr>
              <w:rFonts w:hint="default" w:ascii="Times New Roman" w:hAnsi="Times New Roman" w:eastAsia="仿宋_GB2312" w:cs="Times New Roman"/>
              <w:bCs/>
              <w:sz w:val="32"/>
              <w:szCs w:val="32"/>
            </w:rPr>
            <w:t>第一部分  部门概况</w:t>
          </w:r>
          <w:r>
            <w:rPr>
              <w:rFonts w:hint="default" w:ascii="Times New Roman" w:hAnsi="Times New Roman" w:eastAsia="仿宋_GB2312" w:cs="Times New Roman"/>
              <w:bCs/>
              <w:sz w:val="32"/>
              <w:szCs w:val="32"/>
            </w:rPr>
            <w:tab/>
          </w:r>
          <w:r>
            <w:rPr>
              <w:rFonts w:hint="default" w:ascii="Times New Roman" w:hAnsi="Times New Roman" w:eastAsia="仿宋_GB2312" w:cs="Times New Roman"/>
              <w:bCs/>
              <w:sz w:val="32"/>
              <w:szCs w:val="32"/>
            </w:rPr>
            <w:fldChar w:fldCharType="begin"/>
          </w:r>
          <w:r>
            <w:rPr>
              <w:rFonts w:hint="default" w:ascii="Times New Roman" w:hAnsi="Times New Roman" w:eastAsia="仿宋_GB2312" w:cs="Times New Roman"/>
              <w:bCs/>
              <w:sz w:val="32"/>
              <w:szCs w:val="32"/>
            </w:rPr>
            <w:instrText xml:space="preserve"> PAGEREF _Toc301 \h </w:instrText>
          </w:r>
          <w:r>
            <w:rPr>
              <w:rFonts w:hint="default" w:ascii="Times New Roman" w:hAnsi="Times New Roman" w:eastAsia="仿宋_GB2312" w:cs="Times New Roman"/>
              <w:bCs/>
              <w:sz w:val="32"/>
              <w:szCs w:val="32"/>
            </w:rPr>
            <w:fldChar w:fldCharType="separate"/>
          </w:r>
          <w:r>
            <w:rPr>
              <w:rFonts w:hint="default" w:ascii="Times New Roman" w:hAnsi="Times New Roman" w:eastAsia="仿宋_GB2312" w:cs="Times New Roman"/>
              <w:bCs/>
              <w:sz w:val="32"/>
              <w:szCs w:val="32"/>
            </w:rPr>
            <w:t>1</w:t>
          </w:r>
          <w:r>
            <w:rPr>
              <w:rFonts w:hint="default" w:ascii="Times New Roman" w:hAnsi="Times New Roman" w:eastAsia="仿宋_GB2312" w:cs="Times New Roman"/>
              <w:bCs/>
              <w:sz w:val="32"/>
              <w:szCs w:val="32"/>
            </w:rPr>
            <w:fldChar w:fldCharType="end"/>
          </w:r>
          <w:r>
            <w:rPr>
              <w:rFonts w:hint="default" w:ascii="Times New Roman" w:hAnsi="Times New Roman" w:eastAsia="仿宋_GB2312" w:cs="Times New Roman"/>
              <w:bCs/>
              <w:sz w:val="32"/>
              <w:szCs w:val="32"/>
            </w:rPr>
            <w:fldChar w:fldCharType="end"/>
          </w:r>
        </w:p>
        <w:p w14:paraId="72591D38">
          <w:pPr>
            <w:pStyle w:val="39"/>
            <w:tabs>
              <w:tab w:val="right" w:leader="dot" w:pos="8845"/>
            </w:tabs>
            <w:spacing w:line="576" w:lineRule="exact"/>
            <w:ind w:leftChars="0" w:firstLine="400" w:firstLineChars="200"/>
            <w:jc w:val="both"/>
            <w:rPr>
              <w:rFonts w:hint="default" w:ascii="Times New Roman" w:hAnsi="Times New Roman" w:eastAsia="仿宋_GB2312" w:cs="Times New Roman"/>
              <w:bCs/>
              <w:sz w:val="32"/>
              <w:szCs w:val="3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"_Toc26189" </w:instrText>
          </w:r>
          <w:r>
            <w:rPr>
              <w:rFonts w:hint="default" w:ascii="Times New Roman" w:hAnsi="Times New Roman" w:cs="Times New Roman"/>
            </w:rPr>
            <w:fldChar w:fldCharType="separate"/>
          </w:r>
          <w:r>
            <w:rPr>
              <w:rFonts w:hint="default" w:ascii="Times New Roman" w:hAnsi="Times New Roman" w:eastAsia="仿宋_GB2312" w:cs="Times New Roman"/>
              <w:bCs/>
              <w:sz w:val="32"/>
              <w:szCs w:val="32"/>
            </w:rPr>
            <w:t>一、部门职责</w:t>
          </w:r>
          <w:r>
            <w:rPr>
              <w:rFonts w:hint="default" w:ascii="Times New Roman" w:hAnsi="Times New Roman" w:eastAsia="仿宋_GB2312" w:cs="Times New Roman"/>
              <w:bCs/>
              <w:sz w:val="32"/>
              <w:szCs w:val="32"/>
            </w:rPr>
            <w:tab/>
          </w:r>
          <w:r>
            <w:rPr>
              <w:rFonts w:hint="default" w:ascii="Times New Roman" w:hAnsi="Times New Roman" w:eastAsia="仿宋_GB2312" w:cs="Times New Roman"/>
              <w:bCs/>
              <w:sz w:val="32"/>
              <w:szCs w:val="32"/>
            </w:rPr>
            <w:fldChar w:fldCharType="begin"/>
          </w:r>
          <w:r>
            <w:rPr>
              <w:rFonts w:hint="default" w:ascii="Times New Roman" w:hAnsi="Times New Roman" w:eastAsia="仿宋_GB2312" w:cs="Times New Roman"/>
              <w:bCs/>
              <w:sz w:val="32"/>
              <w:szCs w:val="32"/>
            </w:rPr>
            <w:instrText xml:space="preserve"> PAGEREF _Toc26189 \h </w:instrText>
          </w:r>
          <w:r>
            <w:rPr>
              <w:rFonts w:hint="default" w:ascii="Times New Roman" w:hAnsi="Times New Roman" w:eastAsia="仿宋_GB2312" w:cs="Times New Roman"/>
              <w:bCs/>
              <w:sz w:val="32"/>
              <w:szCs w:val="32"/>
            </w:rPr>
            <w:fldChar w:fldCharType="separate"/>
          </w:r>
          <w:r>
            <w:rPr>
              <w:rFonts w:hint="default" w:ascii="Times New Roman" w:hAnsi="Times New Roman" w:eastAsia="仿宋_GB2312" w:cs="Times New Roman"/>
              <w:bCs/>
              <w:sz w:val="32"/>
              <w:szCs w:val="32"/>
            </w:rPr>
            <w:t>1</w:t>
          </w:r>
          <w:r>
            <w:rPr>
              <w:rFonts w:hint="default" w:ascii="Times New Roman" w:hAnsi="Times New Roman" w:eastAsia="仿宋_GB2312" w:cs="Times New Roman"/>
              <w:bCs/>
              <w:sz w:val="32"/>
              <w:szCs w:val="32"/>
            </w:rPr>
            <w:fldChar w:fldCharType="end"/>
          </w:r>
          <w:r>
            <w:rPr>
              <w:rFonts w:hint="default" w:ascii="Times New Roman" w:hAnsi="Times New Roman" w:eastAsia="仿宋_GB2312" w:cs="Times New Roman"/>
              <w:bCs/>
              <w:sz w:val="32"/>
              <w:szCs w:val="32"/>
            </w:rPr>
            <w:fldChar w:fldCharType="end"/>
          </w:r>
        </w:p>
        <w:p w14:paraId="3241B98D">
          <w:pPr>
            <w:pStyle w:val="39"/>
            <w:tabs>
              <w:tab w:val="right" w:leader="dot" w:pos="8845"/>
            </w:tabs>
            <w:spacing w:line="576" w:lineRule="exact"/>
            <w:ind w:leftChars="0" w:firstLine="400" w:firstLineChars="200"/>
            <w:jc w:val="both"/>
            <w:rPr>
              <w:rFonts w:hint="default" w:ascii="Times New Roman" w:hAnsi="Times New Roman" w:eastAsia="仿宋_GB2312" w:cs="Times New Roman"/>
              <w:bCs/>
              <w:sz w:val="32"/>
              <w:szCs w:val="3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"_Toc24965" </w:instrText>
          </w:r>
          <w:r>
            <w:rPr>
              <w:rFonts w:hint="default" w:ascii="Times New Roman" w:hAnsi="Times New Roman" w:cs="Times New Roman"/>
            </w:rPr>
            <w:fldChar w:fldCharType="separate"/>
          </w:r>
          <w:r>
            <w:rPr>
              <w:rFonts w:hint="default" w:ascii="Times New Roman" w:hAnsi="Times New Roman" w:eastAsia="仿宋_GB2312" w:cs="Times New Roman"/>
              <w:bCs/>
              <w:sz w:val="32"/>
              <w:szCs w:val="32"/>
            </w:rPr>
            <w:t>二、机构设置</w:t>
          </w:r>
          <w:r>
            <w:rPr>
              <w:rFonts w:hint="default" w:ascii="Times New Roman" w:hAnsi="Times New Roman" w:eastAsia="仿宋_GB2312" w:cs="Times New Roman"/>
              <w:bCs/>
              <w:sz w:val="32"/>
              <w:szCs w:val="32"/>
            </w:rPr>
            <w:tab/>
          </w:r>
          <w:r>
            <w:rPr>
              <w:rFonts w:hint="default" w:ascii="Times New Roman" w:hAnsi="Times New Roman" w:eastAsia="仿宋_GB2312" w:cs="Times New Roman"/>
              <w:bCs/>
              <w:sz w:val="32"/>
              <w:szCs w:val="32"/>
            </w:rPr>
            <w:fldChar w:fldCharType="begin"/>
          </w:r>
          <w:r>
            <w:rPr>
              <w:rFonts w:hint="default" w:ascii="Times New Roman" w:hAnsi="Times New Roman" w:eastAsia="仿宋_GB2312" w:cs="Times New Roman"/>
              <w:bCs/>
              <w:sz w:val="32"/>
              <w:szCs w:val="32"/>
            </w:rPr>
            <w:instrText xml:space="preserve"> PAGEREF _Toc24965 \h </w:instrText>
          </w:r>
          <w:r>
            <w:rPr>
              <w:rFonts w:hint="default" w:ascii="Times New Roman" w:hAnsi="Times New Roman" w:eastAsia="仿宋_GB2312" w:cs="Times New Roman"/>
              <w:bCs/>
              <w:sz w:val="32"/>
              <w:szCs w:val="32"/>
            </w:rPr>
            <w:fldChar w:fldCharType="separate"/>
          </w:r>
          <w:r>
            <w:rPr>
              <w:rFonts w:hint="default" w:ascii="Times New Roman" w:hAnsi="Times New Roman" w:eastAsia="仿宋_GB2312" w:cs="Times New Roman"/>
              <w:bCs/>
              <w:sz w:val="32"/>
              <w:szCs w:val="32"/>
            </w:rPr>
            <w:t>4</w:t>
          </w:r>
          <w:r>
            <w:rPr>
              <w:rFonts w:hint="default" w:ascii="Times New Roman" w:hAnsi="Times New Roman" w:eastAsia="仿宋_GB2312" w:cs="Times New Roman"/>
              <w:bCs/>
              <w:sz w:val="32"/>
              <w:szCs w:val="32"/>
            </w:rPr>
            <w:fldChar w:fldCharType="end"/>
          </w:r>
          <w:r>
            <w:rPr>
              <w:rFonts w:hint="default" w:ascii="Times New Roman" w:hAnsi="Times New Roman" w:eastAsia="仿宋_GB2312" w:cs="Times New Roman"/>
              <w:bCs/>
              <w:sz w:val="32"/>
              <w:szCs w:val="32"/>
            </w:rPr>
            <w:fldChar w:fldCharType="end"/>
          </w:r>
        </w:p>
        <w:p w14:paraId="295FB126">
          <w:pPr>
            <w:pStyle w:val="38"/>
            <w:tabs>
              <w:tab w:val="right" w:leader="dot" w:pos="8845"/>
            </w:tabs>
            <w:spacing w:line="576" w:lineRule="exact"/>
            <w:ind w:firstLine="400" w:firstLineChars="200"/>
            <w:jc w:val="both"/>
            <w:rPr>
              <w:rFonts w:hint="default" w:ascii="Times New Roman" w:hAnsi="Times New Roman" w:eastAsia="仿宋_GB2312" w:cs="Times New Roman"/>
              <w:bCs/>
              <w:sz w:val="32"/>
              <w:szCs w:val="3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"_Toc3782" </w:instrText>
          </w:r>
          <w:r>
            <w:rPr>
              <w:rFonts w:hint="default" w:ascii="Times New Roman" w:hAnsi="Times New Roman" w:cs="Times New Roman"/>
            </w:rPr>
            <w:fldChar w:fldCharType="separate"/>
          </w:r>
          <w:r>
            <w:rPr>
              <w:rFonts w:hint="default" w:ascii="Times New Roman" w:hAnsi="Times New Roman" w:eastAsia="仿宋_GB2312" w:cs="Times New Roman"/>
              <w:bCs/>
              <w:sz w:val="32"/>
              <w:szCs w:val="32"/>
            </w:rPr>
            <w:t>第二部分  2022年度部门决算情况说明</w:t>
          </w:r>
          <w:r>
            <w:rPr>
              <w:rFonts w:hint="default" w:ascii="Times New Roman" w:hAnsi="Times New Roman" w:eastAsia="仿宋_GB2312" w:cs="Times New Roman"/>
              <w:bCs/>
              <w:sz w:val="32"/>
              <w:szCs w:val="32"/>
            </w:rPr>
            <w:tab/>
          </w:r>
          <w:r>
            <w:rPr>
              <w:rFonts w:hint="default" w:ascii="Times New Roman" w:hAnsi="Times New Roman" w:eastAsia="仿宋_GB2312" w:cs="Times New Roman"/>
              <w:bCs/>
              <w:sz w:val="32"/>
              <w:szCs w:val="32"/>
            </w:rPr>
            <w:fldChar w:fldCharType="begin"/>
          </w:r>
          <w:r>
            <w:rPr>
              <w:rFonts w:hint="default" w:ascii="Times New Roman" w:hAnsi="Times New Roman" w:eastAsia="仿宋_GB2312" w:cs="Times New Roman"/>
              <w:bCs/>
              <w:sz w:val="32"/>
              <w:szCs w:val="32"/>
            </w:rPr>
            <w:instrText xml:space="preserve"> PAGEREF _Toc3782 \h </w:instrText>
          </w:r>
          <w:r>
            <w:rPr>
              <w:rFonts w:hint="default" w:ascii="Times New Roman" w:hAnsi="Times New Roman" w:eastAsia="仿宋_GB2312" w:cs="Times New Roman"/>
              <w:bCs/>
              <w:sz w:val="32"/>
              <w:szCs w:val="32"/>
            </w:rPr>
            <w:fldChar w:fldCharType="separate"/>
          </w:r>
          <w:r>
            <w:rPr>
              <w:rFonts w:hint="default" w:ascii="Times New Roman" w:hAnsi="Times New Roman" w:eastAsia="仿宋_GB2312" w:cs="Times New Roman"/>
              <w:bCs/>
              <w:sz w:val="32"/>
              <w:szCs w:val="32"/>
            </w:rPr>
            <w:t>5</w:t>
          </w:r>
          <w:r>
            <w:rPr>
              <w:rFonts w:hint="default" w:ascii="Times New Roman" w:hAnsi="Times New Roman" w:eastAsia="仿宋_GB2312" w:cs="Times New Roman"/>
              <w:bCs/>
              <w:sz w:val="32"/>
              <w:szCs w:val="32"/>
            </w:rPr>
            <w:fldChar w:fldCharType="end"/>
          </w:r>
          <w:r>
            <w:rPr>
              <w:rFonts w:hint="default" w:ascii="Times New Roman" w:hAnsi="Times New Roman" w:eastAsia="仿宋_GB2312" w:cs="Times New Roman"/>
              <w:bCs/>
              <w:sz w:val="32"/>
              <w:szCs w:val="32"/>
            </w:rPr>
            <w:fldChar w:fldCharType="end"/>
          </w:r>
        </w:p>
        <w:p w14:paraId="26A3DAEC">
          <w:pPr>
            <w:pStyle w:val="39"/>
            <w:tabs>
              <w:tab w:val="right" w:leader="dot" w:pos="8845"/>
            </w:tabs>
            <w:spacing w:line="576" w:lineRule="exact"/>
            <w:ind w:leftChars="0" w:firstLine="400" w:firstLineChars="200"/>
            <w:jc w:val="both"/>
            <w:rPr>
              <w:rFonts w:hint="default" w:ascii="Times New Roman" w:hAnsi="Times New Roman" w:eastAsia="仿宋_GB2312" w:cs="Times New Roman"/>
              <w:bCs/>
              <w:sz w:val="32"/>
              <w:szCs w:val="3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"_Toc3642" </w:instrText>
          </w:r>
          <w:r>
            <w:rPr>
              <w:rFonts w:hint="default" w:ascii="Times New Roman" w:hAnsi="Times New Roman" w:cs="Times New Roman"/>
            </w:rPr>
            <w:fldChar w:fldCharType="separate"/>
          </w:r>
          <w:r>
            <w:rPr>
              <w:rFonts w:hint="default" w:ascii="Times New Roman" w:hAnsi="Times New Roman" w:eastAsia="仿宋_GB2312" w:cs="Times New Roman"/>
              <w:bCs/>
              <w:sz w:val="32"/>
              <w:szCs w:val="32"/>
            </w:rPr>
            <w:t>一、收入支出决算总体情况说明</w:t>
          </w:r>
          <w:r>
            <w:rPr>
              <w:rFonts w:hint="default" w:ascii="Times New Roman" w:hAnsi="Times New Roman" w:eastAsia="仿宋_GB2312" w:cs="Times New Roman"/>
              <w:bCs/>
              <w:sz w:val="32"/>
              <w:szCs w:val="32"/>
            </w:rPr>
            <w:tab/>
          </w:r>
          <w:r>
            <w:rPr>
              <w:rFonts w:hint="default" w:ascii="Times New Roman" w:hAnsi="Times New Roman" w:eastAsia="仿宋_GB2312" w:cs="Times New Roman"/>
              <w:bCs/>
              <w:sz w:val="32"/>
              <w:szCs w:val="32"/>
            </w:rPr>
            <w:fldChar w:fldCharType="begin"/>
          </w:r>
          <w:r>
            <w:rPr>
              <w:rFonts w:hint="default" w:ascii="Times New Roman" w:hAnsi="Times New Roman" w:eastAsia="仿宋_GB2312" w:cs="Times New Roman"/>
              <w:bCs/>
              <w:sz w:val="32"/>
              <w:szCs w:val="32"/>
            </w:rPr>
            <w:instrText xml:space="preserve"> PAGEREF _Toc3642 \h </w:instrText>
          </w:r>
          <w:r>
            <w:rPr>
              <w:rFonts w:hint="default" w:ascii="Times New Roman" w:hAnsi="Times New Roman" w:eastAsia="仿宋_GB2312" w:cs="Times New Roman"/>
              <w:bCs/>
              <w:sz w:val="32"/>
              <w:szCs w:val="32"/>
            </w:rPr>
            <w:fldChar w:fldCharType="separate"/>
          </w:r>
          <w:r>
            <w:rPr>
              <w:rFonts w:hint="default" w:ascii="Times New Roman" w:hAnsi="Times New Roman" w:eastAsia="仿宋_GB2312" w:cs="Times New Roman"/>
              <w:bCs/>
              <w:sz w:val="32"/>
              <w:szCs w:val="32"/>
            </w:rPr>
            <w:t>5</w:t>
          </w:r>
          <w:r>
            <w:rPr>
              <w:rFonts w:hint="default" w:ascii="Times New Roman" w:hAnsi="Times New Roman" w:eastAsia="仿宋_GB2312" w:cs="Times New Roman"/>
              <w:bCs/>
              <w:sz w:val="32"/>
              <w:szCs w:val="32"/>
            </w:rPr>
            <w:fldChar w:fldCharType="end"/>
          </w:r>
          <w:r>
            <w:rPr>
              <w:rFonts w:hint="default" w:ascii="Times New Roman" w:hAnsi="Times New Roman" w:eastAsia="仿宋_GB2312" w:cs="Times New Roman"/>
              <w:bCs/>
              <w:sz w:val="32"/>
              <w:szCs w:val="32"/>
            </w:rPr>
            <w:fldChar w:fldCharType="end"/>
          </w:r>
        </w:p>
        <w:p w14:paraId="18CF7647">
          <w:pPr>
            <w:pStyle w:val="39"/>
            <w:tabs>
              <w:tab w:val="right" w:leader="dot" w:pos="8845"/>
            </w:tabs>
            <w:spacing w:line="576" w:lineRule="exact"/>
            <w:ind w:leftChars="0" w:firstLine="400" w:firstLineChars="200"/>
            <w:jc w:val="both"/>
            <w:rPr>
              <w:rFonts w:hint="default" w:ascii="Times New Roman" w:hAnsi="Times New Roman" w:eastAsia="仿宋_GB2312" w:cs="Times New Roman"/>
              <w:bCs/>
              <w:sz w:val="32"/>
              <w:szCs w:val="3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"_Toc3687" </w:instrText>
          </w:r>
          <w:r>
            <w:rPr>
              <w:rFonts w:hint="default" w:ascii="Times New Roman" w:hAnsi="Times New Roman" w:cs="Times New Roman"/>
            </w:rPr>
            <w:fldChar w:fldCharType="separate"/>
          </w:r>
          <w:r>
            <w:rPr>
              <w:rFonts w:hint="default" w:ascii="Times New Roman" w:hAnsi="Times New Roman" w:eastAsia="仿宋_GB2312" w:cs="Times New Roman"/>
              <w:bCs/>
              <w:sz w:val="32"/>
              <w:szCs w:val="32"/>
            </w:rPr>
            <w:t>二、收入决算情况说明</w:t>
          </w:r>
          <w:r>
            <w:rPr>
              <w:rFonts w:hint="default" w:ascii="Times New Roman" w:hAnsi="Times New Roman" w:eastAsia="仿宋_GB2312" w:cs="Times New Roman"/>
              <w:bCs/>
              <w:sz w:val="32"/>
              <w:szCs w:val="32"/>
            </w:rPr>
            <w:tab/>
          </w:r>
          <w:r>
            <w:rPr>
              <w:rFonts w:hint="default" w:ascii="Times New Roman" w:hAnsi="Times New Roman" w:eastAsia="仿宋_GB2312" w:cs="Times New Roman"/>
              <w:bCs/>
              <w:sz w:val="32"/>
              <w:szCs w:val="32"/>
            </w:rPr>
            <w:fldChar w:fldCharType="begin"/>
          </w:r>
          <w:r>
            <w:rPr>
              <w:rFonts w:hint="default" w:ascii="Times New Roman" w:hAnsi="Times New Roman" w:eastAsia="仿宋_GB2312" w:cs="Times New Roman"/>
              <w:bCs/>
              <w:sz w:val="32"/>
              <w:szCs w:val="32"/>
            </w:rPr>
            <w:instrText xml:space="preserve"> PAGEREF _Toc3687 \h </w:instrText>
          </w:r>
          <w:r>
            <w:rPr>
              <w:rFonts w:hint="default" w:ascii="Times New Roman" w:hAnsi="Times New Roman" w:eastAsia="仿宋_GB2312" w:cs="Times New Roman"/>
              <w:bCs/>
              <w:sz w:val="32"/>
              <w:szCs w:val="32"/>
            </w:rPr>
            <w:fldChar w:fldCharType="separate"/>
          </w:r>
          <w:r>
            <w:rPr>
              <w:rFonts w:hint="default" w:ascii="Times New Roman" w:hAnsi="Times New Roman" w:eastAsia="仿宋_GB2312" w:cs="Times New Roman"/>
              <w:bCs/>
              <w:sz w:val="32"/>
              <w:szCs w:val="32"/>
            </w:rPr>
            <w:t>5</w:t>
          </w:r>
          <w:r>
            <w:rPr>
              <w:rFonts w:hint="default" w:ascii="Times New Roman" w:hAnsi="Times New Roman" w:eastAsia="仿宋_GB2312" w:cs="Times New Roman"/>
              <w:bCs/>
              <w:sz w:val="32"/>
              <w:szCs w:val="32"/>
            </w:rPr>
            <w:fldChar w:fldCharType="end"/>
          </w:r>
          <w:r>
            <w:rPr>
              <w:rFonts w:hint="default" w:ascii="Times New Roman" w:hAnsi="Times New Roman" w:eastAsia="仿宋_GB2312" w:cs="Times New Roman"/>
              <w:bCs/>
              <w:sz w:val="32"/>
              <w:szCs w:val="32"/>
            </w:rPr>
            <w:fldChar w:fldCharType="end"/>
          </w:r>
        </w:p>
        <w:p w14:paraId="7EB840AC">
          <w:pPr>
            <w:pStyle w:val="39"/>
            <w:tabs>
              <w:tab w:val="right" w:leader="dot" w:pos="8845"/>
            </w:tabs>
            <w:spacing w:line="576" w:lineRule="exact"/>
            <w:ind w:leftChars="0" w:firstLine="400" w:firstLineChars="200"/>
            <w:jc w:val="both"/>
            <w:rPr>
              <w:rFonts w:hint="default" w:ascii="Times New Roman" w:hAnsi="Times New Roman" w:eastAsia="仿宋_GB2312" w:cs="Times New Roman"/>
              <w:bCs/>
              <w:sz w:val="32"/>
              <w:szCs w:val="3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"_Toc18756" </w:instrText>
          </w:r>
          <w:r>
            <w:rPr>
              <w:rFonts w:hint="default" w:ascii="Times New Roman" w:hAnsi="Times New Roman" w:cs="Times New Roman"/>
            </w:rPr>
            <w:fldChar w:fldCharType="separate"/>
          </w:r>
          <w:r>
            <w:rPr>
              <w:rFonts w:hint="default" w:ascii="Times New Roman" w:hAnsi="Times New Roman" w:eastAsia="仿宋_GB2312" w:cs="Times New Roman"/>
              <w:bCs/>
              <w:sz w:val="32"/>
              <w:szCs w:val="32"/>
            </w:rPr>
            <w:t>三、支出决算情况说明</w:t>
          </w:r>
          <w:r>
            <w:rPr>
              <w:rFonts w:hint="default" w:ascii="Times New Roman" w:hAnsi="Times New Roman" w:eastAsia="仿宋_GB2312" w:cs="Times New Roman"/>
              <w:bCs/>
              <w:sz w:val="32"/>
              <w:szCs w:val="32"/>
            </w:rPr>
            <w:tab/>
          </w:r>
          <w:r>
            <w:rPr>
              <w:rFonts w:hint="default" w:ascii="Times New Roman" w:hAnsi="Times New Roman" w:eastAsia="仿宋_GB2312" w:cs="Times New Roman"/>
              <w:bCs/>
              <w:sz w:val="32"/>
              <w:szCs w:val="32"/>
            </w:rPr>
            <w:fldChar w:fldCharType="begin"/>
          </w:r>
          <w:r>
            <w:rPr>
              <w:rFonts w:hint="default" w:ascii="Times New Roman" w:hAnsi="Times New Roman" w:eastAsia="仿宋_GB2312" w:cs="Times New Roman"/>
              <w:bCs/>
              <w:sz w:val="32"/>
              <w:szCs w:val="32"/>
            </w:rPr>
            <w:instrText xml:space="preserve"> PAGEREF _Toc18756 \h </w:instrText>
          </w:r>
          <w:r>
            <w:rPr>
              <w:rFonts w:hint="default" w:ascii="Times New Roman" w:hAnsi="Times New Roman" w:eastAsia="仿宋_GB2312" w:cs="Times New Roman"/>
              <w:bCs/>
              <w:sz w:val="32"/>
              <w:szCs w:val="32"/>
            </w:rPr>
            <w:fldChar w:fldCharType="separate"/>
          </w:r>
          <w:r>
            <w:rPr>
              <w:rFonts w:hint="default" w:ascii="Times New Roman" w:hAnsi="Times New Roman" w:eastAsia="仿宋_GB2312" w:cs="Times New Roman"/>
              <w:bCs/>
              <w:sz w:val="32"/>
              <w:szCs w:val="32"/>
            </w:rPr>
            <w:t>6</w:t>
          </w:r>
          <w:r>
            <w:rPr>
              <w:rFonts w:hint="default" w:ascii="Times New Roman" w:hAnsi="Times New Roman" w:eastAsia="仿宋_GB2312" w:cs="Times New Roman"/>
              <w:bCs/>
              <w:sz w:val="32"/>
              <w:szCs w:val="32"/>
            </w:rPr>
            <w:fldChar w:fldCharType="end"/>
          </w:r>
          <w:r>
            <w:rPr>
              <w:rFonts w:hint="default" w:ascii="Times New Roman" w:hAnsi="Times New Roman" w:eastAsia="仿宋_GB2312" w:cs="Times New Roman"/>
              <w:bCs/>
              <w:sz w:val="32"/>
              <w:szCs w:val="32"/>
            </w:rPr>
            <w:fldChar w:fldCharType="end"/>
          </w:r>
        </w:p>
        <w:p w14:paraId="260A87B8">
          <w:pPr>
            <w:pStyle w:val="39"/>
            <w:tabs>
              <w:tab w:val="right" w:leader="dot" w:pos="8845"/>
            </w:tabs>
            <w:spacing w:line="576" w:lineRule="exact"/>
            <w:ind w:leftChars="0" w:firstLine="400" w:firstLineChars="200"/>
            <w:jc w:val="both"/>
            <w:rPr>
              <w:rFonts w:hint="default" w:ascii="Times New Roman" w:hAnsi="Times New Roman" w:eastAsia="仿宋_GB2312" w:cs="Times New Roman"/>
              <w:bCs/>
              <w:sz w:val="32"/>
              <w:szCs w:val="3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"_Toc14307" </w:instrText>
          </w:r>
          <w:r>
            <w:rPr>
              <w:rFonts w:hint="default" w:ascii="Times New Roman" w:hAnsi="Times New Roman" w:cs="Times New Roman"/>
            </w:rPr>
            <w:fldChar w:fldCharType="separate"/>
          </w:r>
          <w:r>
            <w:rPr>
              <w:rFonts w:hint="default" w:ascii="Times New Roman" w:hAnsi="Times New Roman" w:eastAsia="仿宋_GB2312" w:cs="Times New Roman"/>
              <w:bCs/>
              <w:sz w:val="32"/>
              <w:szCs w:val="32"/>
            </w:rPr>
            <w:t>四、财政拨款收入支出决算总体情况说明</w:t>
          </w:r>
          <w:r>
            <w:rPr>
              <w:rFonts w:hint="default" w:ascii="Times New Roman" w:hAnsi="Times New Roman" w:eastAsia="仿宋_GB2312" w:cs="Times New Roman"/>
              <w:bCs/>
              <w:sz w:val="32"/>
              <w:szCs w:val="32"/>
            </w:rPr>
            <w:tab/>
          </w:r>
          <w:r>
            <w:rPr>
              <w:rFonts w:hint="default" w:ascii="Times New Roman" w:hAnsi="Times New Roman" w:eastAsia="仿宋_GB2312" w:cs="Times New Roman"/>
              <w:bCs/>
              <w:sz w:val="32"/>
              <w:szCs w:val="32"/>
            </w:rPr>
            <w:fldChar w:fldCharType="begin"/>
          </w:r>
          <w:r>
            <w:rPr>
              <w:rFonts w:hint="default" w:ascii="Times New Roman" w:hAnsi="Times New Roman" w:eastAsia="仿宋_GB2312" w:cs="Times New Roman"/>
              <w:bCs/>
              <w:sz w:val="32"/>
              <w:szCs w:val="32"/>
            </w:rPr>
            <w:instrText xml:space="preserve"> PAGEREF _Toc14307 \h </w:instrText>
          </w:r>
          <w:r>
            <w:rPr>
              <w:rFonts w:hint="default" w:ascii="Times New Roman" w:hAnsi="Times New Roman" w:eastAsia="仿宋_GB2312" w:cs="Times New Roman"/>
              <w:bCs/>
              <w:sz w:val="32"/>
              <w:szCs w:val="32"/>
            </w:rPr>
            <w:fldChar w:fldCharType="separate"/>
          </w:r>
          <w:r>
            <w:rPr>
              <w:rFonts w:hint="default" w:ascii="Times New Roman" w:hAnsi="Times New Roman" w:eastAsia="仿宋_GB2312" w:cs="Times New Roman"/>
              <w:bCs/>
              <w:sz w:val="32"/>
              <w:szCs w:val="32"/>
            </w:rPr>
            <w:t>6</w:t>
          </w:r>
          <w:r>
            <w:rPr>
              <w:rFonts w:hint="default" w:ascii="Times New Roman" w:hAnsi="Times New Roman" w:eastAsia="仿宋_GB2312" w:cs="Times New Roman"/>
              <w:bCs/>
              <w:sz w:val="32"/>
              <w:szCs w:val="32"/>
            </w:rPr>
            <w:fldChar w:fldCharType="end"/>
          </w:r>
          <w:r>
            <w:rPr>
              <w:rFonts w:hint="default" w:ascii="Times New Roman" w:hAnsi="Times New Roman" w:eastAsia="仿宋_GB2312" w:cs="Times New Roman"/>
              <w:bCs/>
              <w:sz w:val="32"/>
              <w:szCs w:val="32"/>
            </w:rPr>
            <w:fldChar w:fldCharType="end"/>
          </w:r>
        </w:p>
        <w:p w14:paraId="66AD8A38">
          <w:pPr>
            <w:pStyle w:val="39"/>
            <w:tabs>
              <w:tab w:val="right" w:leader="dot" w:pos="8845"/>
            </w:tabs>
            <w:spacing w:line="576" w:lineRule="exact"/>
            <w:ind w:leftChars="0" w:firstLine="400" w:firstLineChars="200"/>
            <w:jc w:val="both"/>
            <w:rPr>
              <w:rFonts w:hint="default" w:ascii="Times New Roman" w:hAnsi="Times New Roman" w:eastAsia="仿宋_GB2312" w:cs="Times New Roman"/>
              <w:bCs/>
              <w:sz w:val="32"/>
              <w:szCs w:val="3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"_Toc10336" </w:instrText>
          </w:r>
          <w:r>
            <w:rPr>
              <w:rFonts w:hint="default" w:ascii="Times New Roman" w:hAnsi="Times New Roman" w:cs="Times New Roman"/>
            </w:rPr>
            <w:fldChar w:fldCharType="separate"/>
          </w:r>
          <w:r>
            <w:rPr>
              <w:rFonts w:hint="default" w:ascii="Times New Roman" w:hAnsi="Times New Roman" w:eastAsia="仿宋_GB2312" w:cs="Times New Roman"/>
              <w:bCs/>
              <w:sz w:val="32"/>
              <w:szCs w:val="32"/>
            </w:rPr>
            <w:t>五、一般公共预算财政拨款支出决算情况说明</w:t>
          </w:r>
          <w:r>
            <w:rPr>
              <w:rFonts w:hint="default" w:ascii="Times New Roman" w:hAnsi="Times New Roman" w:eastAsia="仿宋_GB2312" w:cs="Times New Roman"/>
              <w:bCs/>
              <w:sz w:val="32"/>
              <w:szCs w:val="32"/>
            </w:rPr>
            <w:tab/>
          </w:r>
          <w:r>
            <w:rPr>
              <w:rFonts w:hint="default" w:ascii="Times New Roman" w:hAnsi="Times New Roman" w:eastAsia="仿宋_GB2312" w:cs="Times New Roman"/>
              <w:bCs/>
              <w:sz w:val="32"/>
              <w:szCs w:val="32"/>
            </w:rPr>
            <w:fldChar w:fldCharType="begin"/>
          </w:r>
          <w:r>
            <w:rPr>
              <w:rFonts w:hint="default" w:ascii="Times New Roman" w:hAnsi="Times New Roman" w:eastAsia="仿宋_GB2312" w:cs="Times New Roman"/>
              <w:bCs/>
              <w:sz w:val="32"/>
              <w:szCs w:val="32"/>
            </w:rPr>
            <w:instrText xml:space="preserve"> PAGEREF _Toc10336 \h </w:instrText>
          </w:r>
          <w:r>
            <w:rPr>
              <w:rFonts w:hint="default" w:ascii="Times New Roman" w:hAnsi="Times New Roman" w:eastAsia="仿宋_GB2312" w:cs="Times New Roman"/>
              <w:bCs/>
              <w:sz w:val="32"/>
              <w:szCs w:val="32"/>
            </w:rPr>
            <w:fldChar w:fldCharType="separate"/>
          </w:r>
          <w:r>
            <w:rPr>
              <w:rFonts w:hint="default" w:ascii="Times New Roman" w:hAnsi="Times New Roman" w:eastAsia="仿宋_GB2312" w:cs="Times New Roman"/>
              <w:bCs/>
              <w:sz w:val="32"/>
              <w:szCs w:val="32"/>
            </w:rPr>
            <w:t>6</w:t>
          </w:r>
          <w:r>
            <w:rPr>
              <w:rFonts w:hint="default" w:ascii="Times New Roman" w:hAnsi="Times New Roman" w:eastAsia="仿宋_GB2312" w:cs="Times New Roman"/>
              <w:bCs/>
              <w:sz w:val="32"/>
              <w:szCs w:val="32"/>
            </w:rPr>
            <w:fldChar w:fldCharType="end"/>
          </w:r>
          <w:r>
            <w:rPr>
              <w:rFonts w:hint="default" w:ascii="Times New Roman" w:hAnsi="Times New Roman" w:eastAsia="仿宋_GB2312" w:cs="Times New Roman"/>
              <w:bCs/>
              <w:sz w:val="32"/>
              <w:szCs w:val="32"/>
            </w:rPr>
            <w:fldChar w:fldCharType="end"/>
          </w:r>
        </w:p>
        <w:p w14:paraId="6384950E">
          <w:pPr>
            <w:pStyle w:val="39"/>
            <w:tabs>
              <w:tab w:val="right" w:leader="dot" w:pos="8845"/>
            </w:tabs>
            <w:spacing w:line="576" w:lineRule="exact"/>
            <w:ind w:leftChars="0" w:firstLine="400" w:firstLineChars="200"/>
            <w:jc w:val="both"/>
            <w:rPr>
              <w:rFonts w:hint="default" w:ascii="Times New Roman" w:hAnsi="Times New Roman" w:eastAsia="仿宋_GB2312" w:cs="Times New Roman"/>
              <w:bCs/>
              <w:sz w:val="32"/>
              <w:szCs w:val="3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"_Toc13642" </w:instrText>
          </w:r>
          <w:r>
            <w:rPr>
              <w:rFonts w:hint="default" w:ascii="Times New Roman" w:hAnsi="Times New Roman" w:cs="Times New Roman"/>
            </w:rPr>
            <w:fldChar w:fldCharType="separate"/>
          </w:r>
          <w:r>
            <w:rPr>
              <w:rFonts w:hint="default" w:ascii="Times New Roman" w:hAnsi="Times New Roman" w:eastAsia="仿宋_GB2312" w:cs="Times New Roman"/>
              <w:bCs/>
              <w:kern w:val="2"/>
              <w:sz w:val="32"/>
              <w:szCs w:val="32"/>
            </w:rPr>
            <w:t>六、一般公共预算财政拨款基本支出决算情况说明</w:t>
          </w:r>
          <w:r>
            <w:rPr>
              <w:rFonts w:hint="default" w:ascii="Times New Roman" w:hAnsi="Times New Roman" w:eastAsia="仿宋_GB2312" w:cs="Times New Roman"/>
              <w:bCs/>
              <w:sz w:val="32"/>
              <w:szCs w:val="32"/>
            </w:rPr>
            <w:tab/>
          </w:r>
          <w:r>
            <w:rPr>
              <w:rFonts w:hint="default" w:ascii="Times New Roman" w:hAnsi="Times New Roman" w:eastAsia="仿宋_GB2312" w:cs="Times New Roman"/>
              <w:bCs/>
              <w:sz w:val="32"/>
              <w:szCs w:val="32"/>
            </w:rPr>
            <w:fldChar w:fldCharType="begin"/>
          </w:r>
          <w:r>
            <w:rPr>
              <w:rFonts w:hint="default" w:ascii="Times New Roman" w:hAnsi="Times New Roman" w:eastAsia="仿宋_GB2312" w:cs="Times New Roman"/>
              <w:bCs/>
              <w:sz w:val="32"/>
              <w:szCs w:val="32"/>
            </w:rPr>
            <w:instrText xml:space="preserve"> PAGEREF _Toc13642 \h </w:instrText>
          </w:r>
          <w:r>
            <w:rPr>
              <w:rFonts w:hint="default" w:ascii="Times New Roman" w:hAnsi="Times New Roman" w:eastAsia="仿宋_GB2312" w:cs="Times New Roman"/>
              <w:bCs/>
              <w:sz w:val="32"/>
              <w:szCs w:val="32"/>
            </w:rPr>
            <w:fldChar w:fldCharType="separate"/>
          </w:r>
          <w:r>
            <w:rPr>
              <w:rFonts w:hint="default" w:ascii="Times New Roman" w:hAnsi="Times New Roman" w:eastAsia="仿宋_GB2312" w:cs="Times New Roman"/>
              <w:bCs/>
              <w:sz w:val="32"/>
              <w:szCs w:val="32"/>
            </w:rPr>
            <w:t>9</w:t>
          </w:r>
          <w:r>
            <w:rPr>
              <w:rFonts w:hint="default" w:ascii="Times New Roman" w:hAnsi="Times New Roman" w:eastAsia="仿宋_GB2312" w:cs="Times New Roman"/>
              <w:bCs/>
              <w:sz w:val="32"/>
              <w:szCs w:val="32"/>
            </w:rPr>
            <w:fldChar w:fldCharType="end"/>
          </w:r>
          <w:r>
            <w:rPr>
              <w:rFonts w:hint="default" w:ascii="Times New Roman" w:hAnsi="Times New Roman" w:eastAsia="仿宋_GB2312" w:cs="Times New Roman"/>
              <w:bCs/>
              <w:sz w:val="32"/>
              <w:szCs w:val="32"/>
            </w:rPr>
            <w:fldChar w:fldCharType="end"/>
          </w:r>
        </w:p>
        <w:p w14:paraId="737CB8A0">
          <w:pPr>
            <w:pStyle w:val="39"/>
            <w:tabs>
              <w:tab w:val="right" w:leader="dot" w:pos="8845"/>
            </w:tabs>
            <w:spacing w:line="576" w:lineRule="exact"/>
            <w:ind w:leftChars="0" w:firstLine="400" w:firstLineChars="200"/>
            <w:jc w:val="both"/>
            <w:rPr>
              <w:rFonts w:hint="default" w:ascii="Times New Roman" w:hAnsi="Times New Roman" w:eastAsia="仿宋_GB2312" w:cs="Times New Roman"/>
              <w:bCs/>
              <w:sz w:val="32"/>
              <w:szCs w:val="3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"_Toc26272" </w:instrText>
          </w:r>
          <w:r>
            <w:rPr>
              <w:rFonts w:hint="default" w:ascii="Times New Roman" w:hAnsi="Times New Roman" w:cs="Times New Roman"/>
            </w:rPr>
            <w:fldChar w:fldCharType="separate"/>
          </w:r>
          <w:r>
            <w:rPr>
              <w:rFonts w:hint="default" w:ascii="Times New Roman" w:hAnsi="Times New Roman" w:eastAsia="仿宋_GB2312" w:cs="Times New Roman"/>
              <w:bCs/>
              <w:sz w:val="32"/>
              <w:szCs w:val="32"/>
            </w:rPr>
            <w:t>七、财政拨款“三公”经费支出决算情况说明</w:t>
          </w:r>
          <w:r>
            <w:rPr>
              <w:rFonts w:hint="default" w:ascii="Times New Roman" w:hAnsi="Times New Roman" w:eastAsia="仿宋_GB2312" w:cs="Times New Roman"/>
              <w:bCs/>
              <w:sz w:val="32"/>
              <w:szCs w:val="32"/>
            </w:rPr>
            <w:tab/>
          </w:r>
          <w:r>
            <w:rPr>
              <w:rFonts w:hint="default" w:ascii="Times New Roman" w:hAnsi="Times New Roman" w:eastAsia="仿宋_GB2312" w:cs="Times New Roman"/>
              <w:bCs/>
              <w:sz w:val="32"/>
              <w:szCs w:val="32"/>
            </w:rPr>
            <w:fldChar w:fldCharType="begin"/>
          </w:r>
          <w:r>
            <w:rPr>
              <w:rFonts w:hint="default" w:ascii="Times New Roman" w:hAnsi="Times New Roman" w:eastAsia="仿宋_GB2312" w:cs="Times New Roman"/>
              <w:bCs/>
              <w:sz w:val="32"/>
              <w:szCs w:val="32"/>
            </w:rPr>
            <w:instrText xml:space="preserve"> PAGEREF _Toc26272 \h </w:instrText>
          </w:r>
          <w:r>
            <w:rPr>
              <w:rFonts w:hint="default" w:ascii="Times New Roman" w:hAnsi="Times New Roman" w:eastAsia="仿宋_GB2312" w:cs="Times New Roman"/>
              <w:bCs/>
              <w:sz w:val="32"/>
              <w:szCs w:val="32"/>
            </w:rPr>
            <w:fldChar w:fldCharType="separate"/>
          </w:r>
          <w:r>
            <w:rPr>
              <w:rFonts w:hint="default" w:ascii="Times New Roman" w:hAnsi="Times New Roman" w:eastAsia="仿宋_GB2312" w:cs="Times New Roman"/>
              <w:bCs/>
              <w:sz w:val="32"/>
              <w:szCs w:val="32"/>
            </w:rPr>
            <w:t>9</w:t>
          </w:r>
          <w:r>
            <w:rPr>
              <w:rFonts w:hint="default" w:ascii="Times New Roman" w:hAnsi="Times New Roman" w:eastAsia="仿宋_GB2312" w:cs="Times New Roman"/>
              <w:bCs/>
              <w:sz w:val="32"/>
              <w:szCs w:val="32"/>
            </w:rPr>
            <w:fldChar w:fldCharType="end"/>
          </w:r>
          <w:r>
            <w:rPr>
              <w:rFonts w:hint="default" w:ascii="Times New Roman" w:hAnsi="Times New Roman" w:eastAsia="仿宋_GB2312" w:cs="Times New Roman"/>
              <w:bCs/>
              <w:sz w:val="32"/>
              <w:szCs w:val="32"/>
            </w:rPr>
            <w:fldChar w:fldCharType="end"/>
          </w:r>
        </w:p>
        <w:p w14:paraId="4855305D">
          <w:pPr>
            <w:pStyle w:val="39"/>
            <w:tabs>
              <w:tab w:val="right" w:leader="dot" w:pos="8845"/>
            </w:tabs>
            <w:spacing w:line="576" w:lineRule="exact"/>
            <w:ind w:leftChars="0" w:firstLine="400" w:firstLineChars="200"/>
            <w:jc w:val="both"/>
            <w:rPr>
              <w:rFonts w:hint="default" w:ascii="Times New Roman" w:hAnsi="Times New Roman" w:eastAsia="仿宋_GB2312" w:cs="Times New Roman"/>
              <w:bCs/>
              <w:sz w:val="32"/>
              <w:szCs w:val="3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"_Toc3567" </w:instrText>
          </w:r>
          <w:r>
            <w:rPr>
              <w:rFonts w:hint="default" w:ascii="Times New Roman" w:hAnsi="Times New Roman" w:cs="Times New Roman"/>
            </w:rPr>
            <w:fldChar w:fldCharType="separate"/>
          </w:r>
          <w:r>
            <w:rPr>
              <w:rFonts w:hint="default" w:ascii="Times New Roman" w:hAnsi="Times New Roman" w:eastAsia="仿宋_GB2312" w:cs="Times New Roman"/>
              <w:bCs/>
              <w:sz w:val="32"/>
              <w:szCs w:val="32"/>
            </w:rPr>
            <w:t>八、政府性基金预算支出决算情况说明</w:t>
          </w:r>
          <w:r>
            <w:rPr>
              <w:rFonts w:hint="default" w:ascii="Times New Roman" w:hAnsi="Times New Roman" w:eastAsia="仿宋_GB2312" w:cs="Times New Roman"/>
              <w:bCs/>
              <w:sz w:val="32"/>
              <w:szCs w:val="32"/>
            </w:rPr>
            <w:tab/>
          </w:r>
          <w:r>
            <w:rPr>
              <w:rFonts w:hint="default" w:ascii="Times New Roman" w:hAnsi="Times New Roman" w:eastAsia="仿宋_GB2312" w:cs="Times New Roman"/>
              <w:bCs/>
              <w:sz w:val="32"/>
              <w:szCs w:val="32"/>
            </w:rPr>
            <w:fldChar w:fldCharType="begin"/>
          </w:r>
          <w:r>
            <w:rPr>
              <w:rFonts w:hint="default" w:ascii="Times New Roman" w:hAnsi="Times New Roman" w:eastAsia="仿宋_GB2312" w:cs="Times New Roman"/>
              <w:bCs/>
              <w:sz w:val="32"/>
              <w:szCs w:val="32"/>
            </w:rPr>
            <w:instrText xml:space="preserve"> PAGEREF _Toc3567 \h </w:instrText>
          </w:r>
          <w:r>
            <w:rPr>
              <w:rFonts w:hint="default" w:ascii="Times New Roman" w:hAnsi="Times New Roman" w:eastAsia="仿宋_GB2312" w:cs="Times New Roman"/>
              <w:bCs/>
              <w:sz w:val="32"/>
              <w:szCs w:val="32"/>
            </w:rPr>
            <w:fldChar w:fldCharType="separate"/>
          </w:r>
          <w:r>
            <w:rPr>
              <w:rFonts w:hint="default" w:ascii="Times New Roman" w:hAnsi="Times New Roman" w:eastAsia="仿宋_GB2312" w:cs="Times New Roman"/>
              <w:bCs/>
              <w:sz w:val="32"/>
              <w:szCs w:val="32"/>
            </w:rPr>
            <w:t>11</w:t>
          </w:r>
          <w:r>
            <w:rPr>
              <w:rFonts w:hint="default" w:ascii="Times New Roman" w:hAnsi="Times New Roman" w:eastAsia="仿宋_GB2312" w:cs="Times New Roman"/>
              <w:bCs/>
              <w:sz w:val="32"/>
              <w:szCs w:val="32"/>
            </w:rPr>
            <w:fldChar w:fldCharType="end"/>
          </w:r>
          <w:r>
            <w:rPr>
              <w:rFonts w:hint="default" w:ascii="Times New Roman" w:hAnsi="Times New Roman" w:eastAsia="仿宋_GB2312" w:cs="Times New Roman"/>
              <w:bCs/>
              <w:sz w:val="32"/>
              <w:szCs w:val="32"/>
            </w:rPr>
            <w:fldChar w:fldCharType="end"/>
          </w:r>
        </w:p>
        <w:p w14:paraId="407B5E9C">
          <w:pPr>
            <w:pStyle w:val="39"/>
            <w:tabs>
              <w:tab w:val="right" w:leader="dot" w:pos="8845"/>
            </w:tabs>
            <w:spacing w:line="576" w:lineRule="exact"/>
            <w:ind w:leftChars="0" w:firstLine="400" w:firstLineChars="200"/>
            <w:jc w:val="both"/>
            <w:rPr>
              <w:rFonts w:hint="default" w:ascii="Times New Roman" w:hAnsi="Times New Roman" w:eastAsia="仿宋_GB2312" w:cs="Times New Roman"/>
              <w:bCs/>
              <w:sz w:val="32"/>
              <w:szCs w:val="3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"_Toc30524" </w:instrText>
          </w:r>
          <w:r>
            <w:rPr>
              <w:rFonts w:hint="default" w:ascii="Times New Roman" w:hAnsi="Times New Roman" w:cs="Times New Roman"/>
            </w:rPr>
            <w:fldChar w:fldCharType="separate"/>
          </w:r>
          <w:r>
            <w:rPr>
              <w:rFonts w:hint="default" w:ascii="Times New Roman" w:hAnsi="Times New Roman" w:eastAsia="仿宋_GB2312" w:cs="Times New Roman"/>
              <w:bCs/>
              <w:sz w:val="32"/>
              <w:szCs w:val="32"/>
            </w:rPr>
            <w:t>九、国有资本经营预算支出决算情况说明</w:t>
          </w:r>
          <w:r>
            <w:rPr>
              <w:rFonts w:hint="default" w:ascii="Times New Roman" w:hAnsi="Times New Roman" w:eastAsia="仿宋_GB2312" w:cs="Times New Roman"/>
              <w:bCs/>
              <w:sz w:val="32"/>
              <w:szCs w:val="32"/>
            </w:rPr>
            <w:tab/>
          </w:r>
          <w:r>
            <w:rPr>
              <w:rFonts w:hint="default" w:ascii="Times New Roman" w:hAnsi="Times New Roman" w:eastAsia="仿宋_GB2312" w:cs="Times New Roman"/>
              <w:bCs/>
              <w:sz w:val="32"/>
              <w:szCs w:val="32"/>
            </w:rPr>
            <w:fldChar w:fldCharType="begin"/>
          </w:r>
          <w:r>
            <w:rPr>
              <w:rFonts w:hint="default" w:ascii="Times New Roman" w:hAnsi="Times New Roman" w:eastAsia="仿宋_GB2312" w:cs="Times New Roman"/>
              <w:bCs/>
              <w:sz w:val="32"/>
              <w:szCs w:val="32"/>
            </w:rPr>
            <w:instrText xml:space="preserve"> PAGEREF _Toc30524 \h </w:instrText>
          </w:r>
          <w:r>
            <w:rPr>
              <w:rFonts w:hint="default" w:ascii="Times New Roman" w:hAnsi="Times New Roman" w:eastAsia="仿宋_GB2312" w:cs="Times New Roman"/>
              <w:bCs/>
              <w:sz w:val="32"/>
              <w:szCs w:val="32"/>
            </w:rPr>
            <w:fldChar w:fldCharType="separate"/>
          </w:r>
          <w:r>
            <w:rPr>
              <w:rFonts w:hint="default" w:ascii="Times New Roman" w:hAnsi="Times New Roman" w:eastAsia="仿宋_GB2312" w:cs="Times New Roman"/>
              <w:bCs/>
              <w:sz w:val="32"/>
              <w:szCs w:val="32"/>
            </w:rPr>
            <w:t>11</w:t>
          </w:r>
          <w:r>
            <w:rPr>
              <w:rFonts w:hint="default" w:ascii="Times New Roman" w:hAnsi="Times New Roman" w:eastAsia="仿宋_GB2312" w:cs="Times New Roman"/>
              <w:bCs/>
              <w:sz w:val="32"/>
              <w:szCs w:val="32"/>
            </w:rPr>
            <w:fldChar w:fldCharType="end"/>
          </w:r>
          <w:r>
            <w:rPr>
              <w:rFonts w:hint="default" w:ascii="Times New Roman" w:hAnsi="Times New Roman" w:eastAsia="仿宋_GB2312" w:cs="Times New Roman"/>
              <w:bCs/>
              <w:sz w:val="32"/>
              <w:szCs w:val="32"/>
            </w:rPr>
            <w:fldChar w:fldCharType="end"/>
          </w:r>
        </w:p>
        <w:p w14:paraId="1AF04175">
          <w:pPr>
            <w:pStyle w:val="39"/>
            <w:tabs>
              <w:tab w:val="right" w:leader="dot" w:pos="8845"/>
            </w:tabs>
            <w:spacing w:line="576" w:lineRule="exact"/>
            <w:ind w:leftChars="0" w:firstLine="400" w:firstLineChars="200"/>
            <w:jc w:val="both"/>
            <w:rPr>
              <w:rFonts w:hint="default" w:ascii="Times New Roman" w:hAnsi="Times New Roman" w:eastAsia="仿宋_GB2312" w:cs="Times New Roman"/>
              <w:bCs/>
              <w:sz w:val="32"/>
              <w:szCs w:val="3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"_Toc10779" </w:instrText>
          </w:r>
          <w:r>
            <w:rPr>
              <w:rFonts w:hint="default" w:ascii="Times New Roman" w:hAnsi="Times New Roman" w:cs="Times New Roman"/>
            </w:rPr>
            <w:fldChar w:fldCharType="separate"/>
          </w:r>
          <w:r>
            <w:rPr>
              <w:rFonts w:hint="default" w:ascii="Times New Roman" w:hAnsi="Times New Roman" w:eastAsia="仿宋_GB2312" w:cs="Times New Roman"/>
              <w:bCs/>
              <w:sz w:val="32"/>
              <w:szCs w:val="32"/>
            </w:rPr>
            <w:t>十、其他重要事项的情况说明</w:t>
          </w:r>
          <w:r>
            <w:rPr>
              <w:rFonts w:hint="default" w:ascii="Times New Roman" w:hAnsi="Times New Roman" w:eastAsia="仿宋_GB2312" w:cs="Times New Roman"/>
              <w:bCs/>
              <w:sz w:val="32"/>
              <w:szCs w:val="32"/>
            </w:rPr>
            <w:tab/>
          </w:r>
          <w:r>
            <w:rPr>
              <w:rFonts w:hint="default" w:ascii="Times New Roman" w:hAnsi="Times New Roman" w:eastAsia="仿宋_GB2312" w:cs="Times New Roman"/>
              <w:bCs/>
              <w:sz w:val="32"/>
              <w:szCs w:val="32"/>
            </w:rPr>
            <w:fldChar w:fldCharType="begin"/>
          </w:r>
          <w:r>
            <w:rPr>
              <w:rFonts w:hint="default" w:ascii="Times New Roman" w:hAnsi="Times New Roman" w:eastAsia="仿宋_GB2312" w:cs="Times New Roman"/>
              <w:bCs/>
              <w:sz w:val="32"/>
              <w:szCs w:val="32"/>
            </w:rPr>
            <w:instrText xml:space="preserve"> PAGEREF _Toc10779 \h </w:instrText>
          </w:r>
          <w:r>
            <w:rPr>
              <w:rFonts w:hint="default" w:ascii="Times New Roman" w:hAnsi="Times New Roman" w:eastAsia="仿宋_GB2312" w:cs="Times New Roman"/>
              <w:bCs/>
              <w:sz w:val="32"/>
              <w:szCs w:val="32"/>
            </w:rPr>
            <w:fldChar w:fldCharType="separate"/>
          </w:r>
          <w:r>
            <w:rPr>
              <w:rFonts w:hint="default" w:ascii="Times New Roman" w:hAnsi="Times New Roman" w:eastAsia="仿宋_GB2312" w:cs="Times New Roman"/>
              <w:bCs/>
              <w:sz w:val="32"/>
              <w:szCs w:val="32"/>
            </w:rPr>
            <w:t>11</w:t>
          </w:r>
          <w:r>
            <w:rPr>
              <w:rFonts w:hint="default" w:ascii="Times New Roman" w:hAnsi="Times New Roman" w:eastAsia="仿宋_GB2312" w:cs="Times New Roman"/>
              <w:bCs/>
              <w:sz w:val="32"/>
              <w:szCs w:val="32"/>
            </w:rPr>
            <w:fldChar w:fldCharType="end"/>
          </w:r>
          <w:r>
            <w:rPr>
              <w:rFonts w:hint="default" w:ascii="Times New Roman" w:hAnsi="Times New Roman" w:eastAsia="仿宋_GB2312" w:cs="Times New Roman"/>
              <w:bCs/>
              <w:sz w:val="32"/>
              <w:szCs w:val="32"/>
            </w:rPr>
            <w:fldChar w:fldCharType="end"/>
          </w:r>
        </w:p>
        <w:p w14:paraId="1C6A6234">
          <w:pPr>
            <w:pStyle w:val="38"/>
            <w:tabs>
              <w:tab w:val="right" w:leader="dot" w:pos="8845"/>
            </w:tabs>
            <w:spacing w:line="576" w:lineRule="exact"/>
            <w:ind w:firstLine="400" w:firstLineChars="200"/>
            <w:jc w:val="both"/>
            <w:rPr>
              <w:rFonts w:hint="default" w:ascii="Times New Roman" w:hAnsi="Times New Roman" w:eastAsia="仿宋_GB2312" w:cs="Times New Roman"/>
              <w:bCs/>
              <w:sz w:val="32"/>
              <w:szCs w:val="3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"_Toc24537" </w:instrText>
          </w:r>
          <w:r>
            <w:rPr>
              <w:rFonts w:hint="default" w:ascii="Times New Roman" w:hAnsi="Times New Roman" w:cs="Times New Roman"/>
            </w:rPr>
            <w:fldChar w:fldCharType="separate"/>
          </w:r>
          <w:r>
            <w:rPr>
              <w:rFonts w:hint="default" w:ascii="Times New Roman" w:hAnsi="Times New Roman" w:eastAsia="仿宋_GB2312" w:cs="Times New Roman"/>
              <w:bCs/>
              <w:sz w:val="32"/>
              <w:szCs w:val="32"/>
            </w:rPr>
            <w:t>第三部分  名词解释</w:t>
          </w:r>
          <w:r>
            <w:rPr>
              <w:rFonts w:hint="default" w:ascii="Times New Roman" w:hAnsi="Times New Roman" w:eastAsia="仿宋_GB2312" w:cs="Times New Roman"/>
              <w:bCs/>
              <w:sz w:val="32"/>
              <w:szCs w:val="32"/>
            </w:rPr>
            <w:tab/>
          </w:r>
          <w:r>
            <w:rPr>
              <w:rFonts w:hint="default" w:ascii="Times New Roman" w:hAnsi="Times New Roman" w:eastAsia="仿宋_GB2312" w:cs="Times New Roman"/>
              <w:bCs/>
              <w:sz w:val="32"/>
              <w:szCs w:val="32"/>
            </w:rPr>
            <w:fldChar w:fldCharType="begin"/>
          </w:r>
          <w:r>
            <w:rPr>
              <w:rFonts w:hint="default" w:ascii="Times New Roman" w:hAnsi="Times New Roman" w:eastAsia="仿宋_GB2312" w:cs="Times New Roman"/>
              <w:bCs/>
              <w:sz w:val="32"/>
              <w:szCs w:val="32"/>
            </w:rPr>
            <w:instrText xml:space="preserve"> PAGEREF _Toc24537 \h </w:instrText>
          </w:r>
          <w:r>
            <w:rPr>
              <w:rFonts w:hint="default" w:ascii="Times New Roman" w:hAnsi="Times New Roman" w:eastAsia="仿宋_GB2312" w:cs="Times New Roman"/>
              <w:bCs/>
              <w:sz w:val="32"/>
              <w:szCs w:val="32"/>
            </w:rPr>
            <w:fldChar w:fldCharType="separate"/>
          </w:r>
          <w:r>
            <w:rPr>
              <w:rFonts w:hint="default" w:ascii="Times New Roman" w:hAnsi="Times New Roman" w:eastAsia="仿宋_GB2312" w:cs="Times New Roman"/>
              <w:bCs/>
              <w:sz w:val="32"/>
              <w:szCs w:val="32"/>
            </w:rPr>
            <w:t>13</w:t>
          </w:r>
          <w:r>
            <w:rPr>
              <w:rFonts w:hint="default" w:ascii="Times New Roman" w:hAnsi="Times New Roman" w:eastAsia="仿宋_GB2312" w:cs="Times New Roman"/>
              <w:bCs/>
              <w:sz w:val="32"/>
              <w:szCs w:val="32"/>
            </w:rPr>
            <w:fldChar w:fldCharType="end"/>
          </w:r>
          <w:r>
            <w:rPr>
              <w:rFonts w:hint="default" w:ascii="Times New Roman" w:hAnsi="Times New Roman" w:eastAsia="仿宋_GB2312" w:cs="Times New Roman"/>
              <w:bCs/>
              <w:sz w:val="32"/>
              <w:szCs w:val="32"/>
            </w:rPr>
            <w:fldChar w:fldCharType="end"/>
          </w:r>
        </w:p>
        <w:p w14:paraId="38648168">
          <w:pPr>
            <w:pStyle w:val="38"/>
            <w:tabs>
              <w:tab w:val="right" w:leader="dot" w:pos="8845"/>
            </w:tabs>
            <w:spacing w:line="576" w:lineRule="exact"/>
            <w:ind w:firstLine="400" w:firstLineChars="200"/>
            <w:jc w:val="both"/>
            <w:rPr>
              <w:rFonts w:hint="default" w:ascii="Times New Roman" w:hAnsi="Times New Roman" w:eastAsia="仿宋_GB2312" w:cs="Times New Roman"/>
              <w:bCs/>
              <w:sz w:val="32"/>
              <w:szCs w:val="3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"_Toc31271" </w:instrText>
          </w:r>
          <w:r>
            <w:rPr>
              <w:rFonts w:hint="default" w:ascii="Times New Roman" w:hAnsi="Times New Roman" w:cs="Times New Roman"/>
            </w:rPr>
            <w:fldChar w:fldCharType="separate"/>
          </w:r>
          <w:r>
            <w:rPr>
              <w:rFonts w:hint="default" w:ascii="Times New Roman" w:hAnsi="Times New Roman" w:eastAsia="仿宋_GB2312" w:cs="Times New Roman"/>
              <w:bCs/>
              <w:kern w:val="44"/>
              <w:sz w:val="32"/>
              <w:szCs w:val="32"/>
            </w:rPr>
            <w:t>第四部分  附件</w:t>
          </w:r>
          <w:r>
            <w:rPr>
              <w:rFonts w:hint="default" w:ascii="Times New Roman" w:hAnsi="Times New Roman" w:eastAsia="仿宋_GB2312" w:cs="Times New Roman"/>
              <w:bCs/>
              <w:sz w:val="32"/>
              <w:szCs w:val="32"/>
            </w:rPr>
            <w:tab/>
          </w:r>
          <w:r>
            <w:rPr>
              <w:rFonts w:hint="default" w:ascii="Times New Roman" w:hAnsi="Times New Roman" w:eastAsia="仿宋_GB2312" w:cs="Times New Roman"/>
              <w:bCs/>
              <w:sz w:val="32"/>
              <w:szCs w:val="32"/>
            </w:rPr>
            <w:fldChar w:fldCharType="begin"/>
          </w:r>
          <w:r>
            <w:rPr>
              <w:rFonts w:hint="default" w:ascii="Times New Roman" w:hAnsi="Times New Roman" w:eastAsia="仿宋_GB2312" w:cs="Times New Roman"/>
              <w:bCs/>
              <w:sz w:val="32"/>
              <w:szCs w:val="32"/>
            </w:rPr>
            <w:instrText xml:space="preserve"> PAGEREF _Toc31271 \h </w:instrText>
          </w:r>
          <w:r>
            <w:rPr>
              <w:rFonts w:hint="default" w:ascii="Times New Roman" w:hAnsi="Times New Roman" w:eastAsia="仿宋_GB2312" w:cs="Times New Roman"/>
              <w:bCs/>
              <w:sz w:val="32"/>
              <w:szCs w:val="32"/>
            </w:rPr>
            <w:fldChar w:fldCharType="separate"/>
          </w:r>
          <w:r>
            <w:rPr>
              <w:rFonts w:hint="default" w:ascii="Times New Roman" w:hAnsi="Times New Roman" w:eastAsia="仿宋_GB2312" w:cs="Times New Roman"/>
              <w:bCs/>
              <w:sz w:val="32"/>
              <w:szCs w:val="32"/>
            </w:rPr>
            <w:t>15</w:t>
          </w:r>
          <w:r>
            <w:rPr>
              <w:rFonts w:hint="default" w:ascii="Times New Roman" w:hAnsi="Times New Roman" w:eastAsia="仿宋_GB2312" w:cs="Times New Roman"/>
              <w:bCs/>
              <w:sz w:val="32"/>
              <w:szCs w:val="32"/>
            </w:rPr>
            <w:fldChar w:fldCharType="end"/>
          </w:r>
          <w:r>
            <w:rPr>
              <w:rFonts w:hint="default" w:ascii="Times New Roman" w:hAnsi="Times New Roman" w:eastAsia="仿宋_GB2312" w:cs="Times New Roman"/>
              <w:bCs/>
              <w:sz w:val="32"/>
              <w:szCs w:val="32"/>
            </w:rPr>
            <w:fldChar w:fldCharType="end"/>
          </w:r>
        </w:p>
        <w:p w14:paraId="0D9C56D4">
          <w:pPr>
            <w:pStyle w:val="38"/>
            <w:tabs>
              <w:tab w:val="right" w:leader="dot" w:pos="8845"/>
            </w:tabs>
            <w:spacing w:line="576" w:lineRule="exact"/>
            <w:ind w:firstLine="400" w:firstLineChars="200"/>
            <w:jc w:val="both"/>
            <w:rPr>
              <w:rFonts w:hint="default" w:ascii="Times New Roman" w:hAnsi="Times New Roman" w:eastAsia="仿宋_GB2312" w:cs="Times New Roman"/>
              <w:bCs/>
              <w:sz w:val="32"/>
              <w:szCs w:val="3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"_Toc28418" </w:instrText>
          </w:r>
          <w:r>
            <w:rPr>
              <w:rFonts w:hint="default" w:ascii="Times New Roman" w:hAnsi="Times New Roman" w:cs="Times New Roman"/>
            </w:rPr>
            <w:fldChar w:fldCharType="separate"/>
          </w:r>
          <w:r>
            <w:rPr>
              <w:rFonts w:hint="default" w:ascii="Times New Roman" w:hAnsi="Times New Roman" w:eastAsia="仿宋_GB2312" w:cs="Times New Roman"/>
              <w:bCs/>
              <w:kern w:val="44"/>
              <w:sz w:val="32"/>
              <w:szCs w:val="32"/>
            </w:rPr>
            <w:t>第五部分  附表</w:t>
          </w:r>
          <w:r>
            <w:rPr>
              <w:rFonts w:hint="default" w:ascii="Times New Roman" w:hAnsi="Times New Roman" w:eastAsia="仿宋_GB2312" w:cs="Times New Roman"/>
              <w:bCs/>
              <w:sz w:val="32"/>
              <w:szCs w:val="32"/>
            </w:rPr>
            <w:tab/>
          </w:r>
          <w:r>
            <w:rPr>
              <w:rFonts w:hint="default" w:ascii="Times New Roman" w:hAnsi="Times New Roman" w:eastAsia="仿宋_GB2312" w:cs="Times New Roman"/>
              <w:bCs/>
              <w:sz w:val="32"/>
              <w:szCs w:val="32"/>
            </w:rPr>
            <w:fldChar w:fldCharType="begin"/>
          </w:r>
          <w:r>
            <w:rPr>
              <w:rFonts w:hint="default" w:ascii="Times New Roman" w:hAnsi="Times New Roman" w:eastAsia="仿宋_GB2312" w:cs="Times New Roman"/>
              <w:bCs/>
              <w:sz w:val="32"/>
              <w:szCs w:val="32"/>
            </w:rPr>
            <w:instrText xml:space="preserve"> PAGEREF _Toc28418 \h </w:instrText>
          </w:r>
          <w:r>
            <w:rPr>
              <w:rFonts w:hint="default" w:ascii="Times New Roman" w:hAnsi="Times New Roman" w:eastAsia="仿宋_GB2312" w:cs="Times New Roman"/>
              <w:bCs/>
              <w:sz w:val="32"/>
              <w:szCs w:val="32"/>
            </w:rPr>
            <w:fldChar w:fldCharType="separate"/>
          </w:r>
          <w:r>
            <w:rPr>
              <w:rFonts w:hint="default" w:ascii="Times New Roman" w:hAnsi="Times New Roman" w:eastAsia="仿宋_GB2312" w:cs="Times New Roman"/>
              <w:bCs/>
              <w:sz w:val="32"/>
              <w:szCs w:val="32"/>
            </w:rPr>
            <w:t>53</w:t>
          </w:r>
          <w:r>
            <w:rPr>
              <w:rFonts w:hint="default" w:ascii="Times New Roman" w:hAnsi="Times New Roman" w:eastAsia="仿宋_GB2312" w:cs="Times New Roman"/>
              <w:bCs/>
              <w:sz w:val="32"/>
              <w:szCs w:val="32"/>
            </w:rPr>
            <w:fldChar w:fldCharType="end"/>
          </w:r>
          <w:r>
            <w:rPr>
              <w:rFonts w:hint="default" w:ascii="Times New Roman" w:hAnsi="Times New Roman" w:eastAsia="仿宋_GB2312" w:cs="Times New Roman"/>
              <w:bCs/>
              <w:sz w:val="32"/>
              <w:szCs w:val="32"/>
            </w:rPr>
            <w:fldChar w:fldCharType="end"/>
          </w:r>
        </w:p>
        <w:p w14:paraId="1E57DACA">
          <w:pPr>
            <w:pStyle w:val="39"/>
            <w:tabs>
              <w:tab w:val="right" w:leader="dot" w:pos="8845"/>
            </w:tabs>
            <w:spacing w:line="576" w:lineRule="exact"/>
            <w:ind w:leftChars="0" w:firstLine="400" w:firstLineChars="200"/>
            <w:jc w:val="both"/>
            <w:rPr>
              <w:rFonts w:hint="default" w:ascii="Times New Roman" w:hAnsi="Times New Roman" w:eastAsia="仿宋_GB2312" w:cs="Times New Roman"/>
              <w:bCs/>
              <w:sz w:val="32"/>
              <w:szCs w:val="3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"_Toc2567" </w:instrText>
          </w:r>
          <w:r>
            <w:rPr>
              <w:rFonts w:hint="default" w:ascii="Times New Roman" w:hAnsi="Times New Roman" w:cs="Times New Roman"/>
            </w:rPr>
            <w:fldChar w:fldCharType="separate"/>
          </w:r>
          <w:r>
            <w:rPr>
              <w:rFonts w:hint="default" w:ascii="Times New Roman" w:hAnsi="Times New Roman" w:eastAsia="仿宋_GB2312" w:cs="Times New Roman"/>
              <w:bCs/>
              <w:sz w:val="32"/>
              <w:szCs w:val="32"/>
            </w:rPr>
            <w:t>一、收入支出决算总表</w:t>
          </w:r>
          <w:r>
            <w:rPr>
              <w:rFonts w:hint="default" w:ascii="Times New Roman" w:hAnsi="Times New Roman" w:eastAsia="仿宋_GB2312" w:cs="Times New Roman"/>
              <w:bCs/>
              <w:sz w:val="32"/>
              <w:szCs w:val="32"/>
            </w:rPr>
            <w:tab/>
          </w:r>
          <w:r>
            <w:rPr>
              <w:rFonts w:hint="default" w:ascii="Times New Roman" w:hAnsi="Times New Roman" w:eastAsia="仿宋_GB2312" w:cs="Times New Roman"/>
              <w:bCs/>
              <w:sz w:val="32"/>
              <w:szCs w:val="32"/>
            </w:rPr>
            <w:fldChar w:fldCharType="begin"/>
          </w:r>
          <w:r>
            <w:rPr>
              <w:rFonts w:hint="default" w:ascii="Times New Roman" w:hAnsi="Times New Roman" w:eastAsia="仿宋_GB2312" w:cs="Times New Roman"/>
              <w:bCs/>
              <w:sz w:val="32"/>
              <w:szCs w:val="32"/>
            </w:rPr>
            <w:instrText xml:space="preserve"> PAGEREF _Toc2567 \h </w:instrText>
          </w:r>
          <w:r>
            <w:rPr>
              <w:rFonts w:hint="default" w:ascii="Times New Roman" w:hAnsi="Times New Roman" w:eastAsia="仿宋_GB2312" w:cs="Times New Roman"/>
              <w:bCs/>
              <w:sz w:val="32"/>
              <w:szCs w:val="32"/>
            </w:rPr>
            <w:fldChar w:fldCharType="separate"/>
          </w:r>
          <w:r>
            <w:rPr>
              <w:rFonts w:hint="default" w:ascii="Times New Roman" w:hAnsi="Times New Roman" w:eastAsia="仿宋_GB2312" w:cs="Times New Roman"/>
              <w:bCs/>
              <w:sz w:val="32"/>
              <w:szCs w:val="32"/>
            </w:rPr>
            <w:t>53</w:t>
          </w:r>
          <w:r>
            <w:rPr>
              <w:rFonts w:hint="default" w:ascii="Times New Roman" w:hAnsi="Times New Roman" w:eastAsia="仿宋_GB2312" w:cs="Times New Roman"/>
              <w:bCs/>
              <w:sz w:val="32"/>
              <w:szCs w:val="32"/>
            </w:rPr>
            <w:fldChar w:fldCharType="end"/>
          </w:r>
          <w:r>
            <w:rPr>
              <w:rFonts w:hint="default" w:ascii="Times New Roman" w:hAnsi="Times New Roman" w:eastAsia="仿宋_GB2312" w:cs="Times New Roman"/>
              <w:bCs/>
              <w:sz w:val="32"/>
              <w:szCs w:val="32"/>
            </w:rPr>
            <w:fldChar w:fldCharType="end"/>
          </w:r>
        </w:p>
        <w:p w14:paraId="05BCAF28">
          <w:pPr>
            <w:pStyle w:val="39"/>
            <w:tabs>
              <w:tab w:val="right" w:leader="dot" w:pos="8845"/>
            </w:tabs>
            <w:spacing w:line="576" w:lineRule="exact"/>
            <w:ind w:leftChars="0" w:firstLine="400" w:firstLineChars="200"/>
            <w:jc w:val="both"/>
            <w:rPr>
              <w:rFonts w:hint="default" w:ascii="Times New Roman" w:hAnsi="Times New Roman" w:eastAsia="仿宋_GB2312" w:cs="Times New Roman"/>
              <w:bCs/>
              <w:sz w:val="32"/>
              <w:szCs w:val="3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"_Toc12462" </w:instrText>
          </w:r>
          <w:r>
            <w:rPr>
              <w:rFonts w:hint="default" w:ascii="Times New Roman" w:hAnsi="Times New Roman" w:cs="Times New Roman"/>
            </w:rPr>
            <w:fldChar w:fldCharType="separate"/>
          </w:r>
          <w:r>
            <w:rPr>
              <w:rFonts w:hint="default" w:ascii="Times New Roman" w:hAnsi="Times New Roman" w:eastAsia="仿宋_GB2312" w:cs="Times New Roman"/>
              <w:bCs/>
              <w:sz w:val="32"/>
              <w:szCs w:val="32"/>
            </w:rPr>
            <w:t>二、收入决算表</w:t>
          </w:r>
          <w:r>
            <w:rPr>
              <w:rFonts w:hint="default" w:ascii="Times New Roman" w:hAnsi="Times New Roman" w:eastAsia="仿宋_GB2312" w:cs="Times New Roman"/>
              <w:bCs/>
              <w:sz w:val="32"/>
              <w:szCs w:val="32"/>
            </w:rPr>
            <w:tab/>
          </w:r>
          <w:r>
            <w:rPr>
              <w:rFonts w:hint="default" w:ascii="Times New Roman" w:hAnsi="Times New Roman" w:eastAsia="仿宋_GB2312" w:cs="Times New Roman"/>
              <w:bCs/>
              <w:sz w:val="32"/>
              <w:szCs w:val="32"/>
            </w:rPr>
            <w:fldChar w:fldCharType="begin"/>
          </w:r>
          <w:r>
            <w:rPr>
              <w:rFonts w:hint="default" w:ascii="Times New Roman" w:hAnsi="Times New Roman" w:eastAsia="仿宋_GB2312" w:cs="Times New Roman"/>
              <w:bCs/>
              <w:sz w:val="32"/>
              <w:szCs w:val="32"/>
            </w:rPr>
            <w:instrText xml:space="preserve"> PAGEREF _Toc12462 \h </w:instrText>
          </w:r>
          <w:r>
            <w:rPr>
              <w:rFonts w:hint="default" w:ascii="Times New Roman" w:hAnsi="Times New Roman" w:eastAsia="仿宋_GB2312" w:cs="Times New Roman"/>
              <w:bCs/>
              <w:sz w:val="32"/>
              <w:szCs w:val="32"/>
            </w:rPr>
            <w:fldChar w:fldCharType="separate"/>
          </w:r>
          <w:r>
            <w:rPr>
              <w:rFonts w:hint="default" w:ascii="Times New Roman" w:hAnsi="Times New Roman" w:eastAsia="仿宋_GB2312" w:cs="Times New Roman"/>
              <w:bCs/>
              <w:sz w:val="32"/>
              <w:szCs w:val="32"/>
            </w:rPr>
            <w:t>53</w:t>
          </w:r>
          <w:r>
            <w:rPr>
              <w:rFonts w:hint="default" w:ascii="Times New Roman" w:hAnsi="Times New Roman" w:eastAsia="仿宋_GB2312" w:cs="Times New Roman"/>
              <w:bCs/>
              <w:sz w:val="32"/>
              <w:szCs w:val="32"/>
            </w:rPr>
            <w:fldChar w:fldCharType="end"/>
          </w:r>
          <w:r>
            <w:rPr>
              <w:rFonts w:hint="default" w:ascii="Times New Roman" w:hAnsi="Times New Roman" w:eastAsia="仿宋_GB2312" w:cs="Times New Roman"/>
              <w:bCs/>
              <w:sz w:val="32"/>
              <w:szCs w:val="32"/>
            </w:rPr>
            <w:fldChar w:fldCharType="end"/>
          </w:r>
        </w:p>
        <w:p w14:paraId="6D7AD1E4">
          <w:pPr>
            <w:pStyle w:val="39"/>
            <w:tabs>
              <w:tab w:val="right" w:leader="dot" w:pos="8845"/>
            </w:tabs>
            <w:spacing w:line="576" w:lineRule="exact"/>
            <w:ind w:leftChars="0" w:firstLine="400" w:firstLineChars="200"/>
            <w:jc w:val="both"/>
            <w:rPr>
              <w:rFonts w:hint="default" w:ascii="Times New Roman" w:hAnsi="Times New Roman" w:eastAsia="仿宋_GB2312" w:cs="Times New Roman"/>
              <w:bCs/>
              <w:sz w:val="32"/>
              <w:szCs w:val="3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"_Toc27717" </w:instrText>
          </w:r>
          <w:r>
            <w:rPr>
              <w:rFonts w:hint="default" w:ascii="Times New Roman" w:hAnsi="Times New Roman" w:cs="Times New Roman"/>
            </w:rPr>
            <w:fldChar w:fldCharType="separate"/>
          </w:r>
          <w:r>
            <w:rPr>
              <w:rFonts w:hint="default" w:ascii="Times New Roman" w:hAnsi="Times New Roman" w:eastAsia="仿宋_GB2312" w:cs="Times New Roman"/>
              <w:bCs/>
              <w:sz w:val="32"/>
              <w:szCs w:val="32"/>
            </w:rPr>
            <w:t>三、支出决算表</w:t>
          </w:r>
          <w:r>
            <w:rPr>
              <w:rFonts w:hint="default" w:ascii="Times New Roman" w:hAnsi="Times New Roman" w:eastAsia="仿宋_GB2312" w:cs="Times New Roman"/>
              <w:bCs/>
              <w:sz w:val="32"/>
              <w:szCs w:val="32"/>
            </w:rPr>
            <w:tab/>
          </w:r>
          <w:r>
            <w:rPr>
              <w:rFonts w:hint="default" w:ascii="Times New Roman" w:hAnsi="Times New Roman" w:eastAsia="仿宋_GB2312" w:cs="Times New Roman"/>
              <w:bCs/>
              <w:sz w:val="32"/>
              <w:szCs w:val="32"/>
            </w:rPr>
            <w:fldChar w:fldCharType="begin"/>
          </w:r>
          <w:r>
            <w:rPr>
              <w:rFonts w:hint="default" w:ascii="Times New Roman" w:hAnsi="Times New Roman" w:eastAsia="仿宋_GB2312" w:cs="Times New Roman"/>
              <w:bCs/>
              <w:sz w:val="32"/>
              <w:szCs w:val="32"/>
            </w:rPr>
            <w:instrText xml:space="preserve"> PAGEREF _Toc27717 \h </w:instrText>
          </w:r>
          <w:r>
            <w:rPr>
              <w:rFonts w:hint="default" w:ascii="Times New Roman" w:hAnsi="Times New Roman" w:eastAsia="仿宋_GB2312" w:cs="Times New Roman"/>
              <w:bCs/>
              <w:sz w:val="32"/>
              <w:szCs w:val="32"/>
            </w:rPr>
            <w:fldChar w:fldCharType="separate"/>
          </w:r>
          <w:r>
            <w:rPr>
              <w:rFonts w:hint="default" w:ascii="Times New Roman" w:hAnsi="Times New Roman" w:eastAsia="仿宋_GB2312" w:cs="Times New Roman"/>
              <w:bCs/>
              <w:sz w:val="32"/>
              <w:szCs w:val="32"/>
            </w:rPr>
            <w:t>53</w:t>
          </w:r>
          <w:r>
            <w:rPr>
              <w:rFonts w:hint="default" w:ascii="Times New Roman" w:hAnsi="Times New Roman" w:eastAsia="仿宋_GB2312" w:cs="Times New Roman"/>
              <w:bCs/>
              <w:sz w:val="32"/>
              <w:szCs w:val="32"/>
            </w:rPr>
            <w:fldChar w:fldCharType="end"/>
          </w:r>
          <w:r>
            <w:rPr>
              <w:rFonts w:hint="default" w:ascii="Times New Roman" w:hAnsi="Times New Roman" w:eastAsia="仿宋_GB2312" w:cs="Times New Roman"/>
              <w:bCs/>
              <w:sz w:val="32"/>
              <w:szCs w:val="32"/>
            </w:rPr>
            <w:fldChar w:fldCharType="end"/>
          </w:r>
        </w:p>
        <w:p w14:paraId="0399C7BA">
          <w:pPr>
            <w:pStyle w:val="39"/>
            <w:tabs>
              <w:tab w:val="right" w:leader="dot" w:pos="8845"/>
            </w:tabs>
            <w:spacing w:line="576" w:lineRule="exact"/>
            <w:ind w:leftChars="0" w:firstLine="400" w:firstLineChars="200"/>
            <w:jc w:val="both"/>
            <w:rPr>
              <w:rFonts w:hint="default" w:ascii="Times New Roman" w:hAnsi="Times New Roman" w:cs="Times New Roman"/>
            </w:rPr>
            <w:sectPr>
              <w:footerReference r:id="rId6" w:type="default"/>
              <w:pgSz w:w="11906" w:h="16838"/>
              <w:pgMar w:top="2098" w:right="1474" w:bottom="1984" w:left="1587" w:header="851" w:footer="992" w:gutter="0"/>
              <w:pgNumType w:fmt="decimal" w:start="1"/>
              <w:cols w:space="0" w:num="1"/>
              <w:docGrid w:type="lines" w:linePitch="312" w:charSpace="0"/>
            </w:sectPr>
          </w:pPr>
        </w:p>
        <w:p w14:paraId="3F4B3829">
          <w:pPr>
            <w:pStyle w:val="39"/>
            <w:tabs>
              <w:tab w:val="right" w:leader="dot" w:pos="8845"/>
            </w:tabs>
            <w:spacing w:line="576" w:lineRule="exact"/>
            <w:ind w:leftChars="0" w:firstLine="400" w:firstLineChars="200"/>
            <w:jc w:val="both"/>
            <w:rPr>
              <w:rFonts w:hint="default" w:ascii="Times New Roman" w:hAnsi="Times New Roman" w:eastAsia="仿宋_GB2312" w:cs="Times New Roman"/>
              <w:bCs/>
              <w:sz w:val="32"/>
              <w:szCs w:val="3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"_Toc9925" </w:instrText>
          </w:r>
          <w:r>
            <w:rPr>
              <w:rFonts w:hint="default" w:ascii="Times New Roman" w:hAnsi="Times New Roman" w:cs="Times New Roman"/>
            </w:rPr>
            <w:fldChar w:fldCharType="separate"/>
          </w:r>
          <w:r>
            <w:rPr>
              <w:rFonts w:hint="default" w:ascii="Times New Roman" w:hAnsi="Times New Roman" w:eastAsia="仿宋_GB2312" w:cs="Times New Roman"/>
              <w:bCs/>
              <w:sz w:val="32"/>
              <w:szCs w:val="32"/>
            </w:rPr>
            <w:t>四、财政拨款收入支出决算总表</w:t>
          </w:r>
          <w:r>
            <w:rPr>
              <w:rFonts w:hint="default" w:ascii="Times New Roman" w:hAnsi="Times New Roman" w:eastAsia="仿宋_GB2312" w:cs="Times New Roman"/>
              <w:bCs/>
              <w:sz w:val="32"/>
              <w:szCs w:val="32"/>
            </w:rPr>
            <w:tab/>
          </w:r>
          <w:r>
            <w:rPr>
              <w:rFonts w:hint="default" w:ascii="Times New Roman" w:hAnsi="Times New Roman" w:eastAsia="仿宋_GB2312" w:cs="Times New Roman"/>
              <w:bCs/>
              <w:sz w:val="32"/>
              <w:szCs w:val="32"/>
            </w:rPr>
            <w:fldChar w:fldCharType="begin"/>
          </w:r>
          <w:r>
            <w:rPr>
              <w:rFonts w:hint="default" w:ascii="Times New Roman" w:hAnsi="Times New Roman" w:eastAsia="仿宋_GB2312" w:cs="Times New Roman"/>
              <w:bCs/>
              <w:sz w:val="32"/>
              <w:szCs w:val="32"/>
            </w:rPr>
            <w:instrText xml:space="preserve"> PAGEREF _Toc9925 \h </w:instrText>
          </w:r>
          <w:r>
            <w:rPr>
              <w:rFonts w:hint="default" w:ascii="Times New Roman" w:hAnsi="Times New Roman" w:eastAsia="仿宋_GB2312" w:cs="Times New Roman"/>
              <w:bCs/>
              <w:sz w:val="32"/>
              <w:szCs w:val="32"/>
            </w:rPr>
            <w:fldChar w:fldCharType="separate"/>
          </w:r>
          <w:r>
            <w:rPr>
              <w:rFonts w:hint="default" w:ascii="Times New Roman" w:hAnsi="Times New Roman" w:eastAsia="仿宋_GB2312" w:cs="Times New Roman"/>
              <w:bCs/>
              <w:sz w:val="32"/>
              <w:szCs w:val="32"/>
            </w:rPr>
            <w:t>53</w:t>
          </w:r>
          <w:r>
            <w:rPr>
              <w:rFonts w:hint="default" w:ascii="Times New Roman" w:hAnsi="Times New Roman" w:eastAsia="仿宋_GB2312" w:cs="Times New Roman"/>
              <w:bCs/>
              <w:sz w:val="32"/>
              <w:szCs w:val="32"/>
            </w:rPr>
            <w:fldChar w:fldCharType="end"/>
          </w:r>
          <w:r>
            <w:rPr>
              <w:rFonts w:hint="default" w:ascii="Times New Roman" w:hAnsi="Times New Roman" w:eastAsia="仿宋_GB2312" w:cs="Times New Roman"/>
              <w:bCs/>
              <w:sz w:val="32"/>
              <w:szCs w:val="32"/>
            </w:rPr>
            <w:fldChar w:fldCharType="end"/>
          </w:r>
        </w:p>
        <w:p w14:paraId="2128963D">
          <w:pPr>
            <w:pStyle w:val="39"/>
            <w:tabs>
              <w:tab w:val="right" w:leader="dot" w:pos="8845"/>
            </w:tabs>
            <w:spacing w:line="576" w:lineRule="exact"/>
            <w:ind w:leftChars="0" w:firstLine="400" w:firstLineChars="200"/>
            <w:jc w:val="both"/>
            <w:rPr>
              <w:rFonts w:hint="default" w:ascii="Times New Roman" w:hAnsi="Times New Roman" w:eastAsia="仿宋_GB2312" w:cs="Times New Roman"/>
              <w:bCs/>
              <w:sz w:val="32"/>
              <w:szCs w:val="3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"_Toc31654" </w:instrText>
          </w:r>
          <w:r>
            <w:rPr>
              <w:rFonts w:hint="default" w:ascii="Times New Roman" w:hAnsi="Times New Roman" w:cs="Times New Roman"/>
            </w:rPr>
            <w:fldChar w:fldCharType="separate"/>
          </w:r>
          <w:r>
            <w:rPr>
              <w:rFonts w:hint="default" w:ascii="Times New Roman" w:hAnsi="Times New Roman" w:eastAsia="仿宋_GB2312" w:cs="Times New Roman"/>
              <w:bCs/>
              <w:sz w:val="32"/>
              <w:szCs w:val="32"/>
            </w:rPr>
            <w:t>五、财政拨款支出决算明细表</w:t>
          </w:r>
          <w:r>
            <w:rPr>
              <w:rFonts w:hint="default" w:ascii="Times New Roman" w:hAnsi="Times New Roman" w:eastAsia="仿宋_GB2312" w:cs="Times New Roman"/>
              <w:bCs/>
              <w:sz w:val="32"/>
              <w:szCs w:val="32"/>
            </w:rPr>
            <w:tab/>
          </w:r>
          <w:r>
            <w:rPr>
              <w:rFonts w:hint="default" w:ascii="Times New Roman" w:hAnsi="Times New Roman" w:eastAsia="仿宋_GB2312" w:cs="Times New Roman"/>
              <w:bCs/>
              <w:sz w:val="32"/>
              <w:szCs w:val="32"/>
            </w:rPr>
            <w:fldChar w:fldCharType="begin"/>
          </w:r>
          <w:r>
            <w:rPr>
              <w:rFonts w:hint="default" w:ascii="Times New Roman" w:hAnsi="Times New Roman" w:eastAsia="仿宋_GB2312" w:cs="Times New Roman"/>
              <w:bCs/>
              <w:sz w:val="32"/>
              <w:szCs w:val="32"/>
            </w:rPr>
            <w:instrText xml:space="preserve"> PAGEREF _Toc31654 \h </w:instrText>
          </w:r>
          <w:r>
            <w:rPr>
              <w:rFonts w:hint="default" w:ascii="Times New Roman" w:hAnsi="Times New Roman" w:eastAsia="仿宋_GB2312" w:cs="Times New Roman"/>
              <w:bCs/>
              <w:sz w:val="32"/>
              <w:szCs w:val="32"/>
            </w:rPr>
            <w:fldChar w:fldCharType="separate"/>
          </w:r>
          <w:r>
            <w:rPr>
              <w:rFonts w:hint="default" w:ascii="Times New Roman" w:hAnsi="Times New Roman" w:eastAsia="仿宋_GB2312" w:cs="Times New Roman"/>
              <w:bCs/>
              <w:sz w:val="32"/>
              <w:szCs w:val="32"/>
            </w:rPr>
            <w:t>53</w:t>
          </w:r>
          <w:r>
            <w:rPr>
              <w:rFonts w:hint="default" w:ascii="Times New Roman" w:hAnsi="Times New Roman" w:eastAsia="仿宋_GB2312" w:cs="Times New Roman"/>
              <w:bCs/>
              <w:sz w:val="32"/>
              <w:szCs w:val="32"/>
            </w:rPr>
            <w:fldChar w:fldCharType="end"/>
          </w:r>
          <w:r>
            <w:rPr>
              <w:rFonts w:hint="default" w:ascii="Times New Roman" w:hAnsi="Times New Roman" w:eastAsia="仿宋_GB2312" w:cs="Times New Roman"/>
              <w:bCs/>
              <w:sz w:val="32"/>
              <w:szCs w:val="32"/>
            </w:rPr>
            <w:fldChar w:fldCharType="end"/>
          </w:r>
        </w:p>
        <w:p w14:paraId="39B0835E">
          <w:pPr>
            <w:pStyle w:val="39"/>
            <w:tabs>
              <w:tab w:val="right" w:leader="dot" w:pos="8845"/>
            </w:tabs>
            <w:spacing w:line="576" w:lineRule="exact"/>
            <w:ind w:leftChars="0" w:firstLine="400" w:firstLineChars="200"/>
            <w:jc w:val="both"/>
            <w:rPr>
              <w:rFonts w:hint="default" w:ascii="Times New Roman" w:hAnsi="Times New Roman" w:eastAsia="仿宋_GB2312" w:cs="Times New Roman"/>
              <w:bCs/>
              <w:sz w:val="32"/>
              <w:szCs w:val="3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"_Toc19285" </w:instrText>
          </w:r>
          <w:r>
            <w:rPr>
              <w:rFonts w:hint="default" w:ascii="Times New Roman" w:hAnsi="Times New Roman" w:cs="Times New Roman"/>
            </w:rPr>
            <w:fldChar w:fldCharType="separate"/>
          </w:r>
          <w:r>
            <w:rPr>
              <w:rFonts w:hint="default" w:ascii="Times New Roman" w:hAnsi="Times New Roman" w:eastAsia="仿宋_GB2312" w:cs="Times New Roman"/>
              <w:bCs/>
              <w:sz w:val="32"/>
              <w:szCs w:val="32"/>
            </w:rPr>
            <w:t>六、一般公共预算财政拨款支出决算表</w:t>
          </w:r>
          <w:r>
            <w:rPr>
              <w:rFonts w:hint="default" w:ascii="Times New Roman" w:hAnsi="Times New Roman" w:eastAsia="仿宋_GB2312" w:cs="Times New Roman"/>
              <w:bCs/>
              <w:sz w:val="32"/>
              <w:szCs w:val="32"/>
            </w:rPr>
            <w:tab/>
          </w:r>
          <w:r>
            <w:rPr>
              <w:rFonts w:hint="default" w:ascii="Times New Roman" w:hAnsi="Times New Roman" w:eastAsia="仿宋_GB2312" w:cs="Times New Roman"/>
              <w:bCs/>
              <w:sz w:val="32"/>
              <w:szCs w:val="32"/>
            </w:rPr>
            <w:fldChar w:fldCharType="begin"/>
          </w:r>
          <w:r>
            <w:rPr>
              <w:rFonts w:hint="default" w:ascii="Times New Roman" w:hAnsi="Times New Roman" w:eastAsia="仿宋_GB2312" w:cs="Times New Roman"/>
              <w:bCs/>
              <w:sz w:val="32"/>
              <w:szCs w:val="32"/>
            </w:rPr>
            <w:instrText xml:space="preserve"> PAGEREF _Toc19285 \h </w:instrText>
          </w:r>
          <w:r>
            <w:rPr>
              <w:rFonts w:hint="default" w:ascii="Times New Roman" w:hAnsi="Times New Roman" w:eastAsia="仿宋_GB2312" w:cs="Times New Roman"/>
              <w:bCs/>
              <w:sz w:val="32"/>
              <w:szCs w:val="32"/>
            </w:rPr>
            <w:fldChar w:fldCharType="separate"/>
          </w:r>
          <w:r>
            <w:rPr>
              <w:rFonts w:hint="default" w:ascii="Times New Roman" w:hAnsi="Times New Roman" w:eastAsia="仿宋_GB2312" w:cs="Times New Roman"/>
              <w:bCs/>
              <w:sz w:val="32"/>
              <w:szCs w:val="32"/>
            </w:rPr>
            <w:t>53</w:t>
          </w:r>
          <w:r>
            <w:rPr>
              <w:rFonts w:hint="default" w:ascii="Times New Roman" w:hAnsi="Times New Roman" w:eastAsia="仿宋_GB2312" w:cs="Times New Roman"/>
              <w:bCs/>
              <w:sz w:val="32"/>
              <w:szCs w:val="32"/>
            </w:rPr>
            <w:fldChar w:fldCharType="end"/>
          </w:r>
          <w:r>
            <w:rPr>
              <w:rFonts w:hint="default" w:ascii="Times New Roman" w:hAnsi="Times New Roman" w:eastAsia="仿宋_GB2312" w:cs="Times New Roman"/>
              <w:bCs/>
              <w:sz w:val="32"/>
              <w:szCs w:val="32"/>
            </w:rPr>
            <w:fldChar w:fldCharType="end"/>
          </w:r>
        </w:p>
        <w:p w14:paraId="27F9C9A9">
          <w:pPr>
            <w:pStyle w:val="39"/>
            <w:tabs>
              <w:tab w:val="right" w:leader="dot" w:pos="8845"/>
            </w:tabs>
            <w:spacing w:line="576" w:lineRule="exact"/>
            <w:ind w:leftChars="0" w:firstLine="400" w:firstLineChars="200"/>
            <w:jc w:val="both"/>
            <w:rPr>
              <w:rFonts w:hint="default" w:ascii="Times New Roman" w:hAnsi="Times New Roman" w:eastAsia="仿宋_GB2312" w:cs="Times New Roman"/>
              <w:bCs/>
              <w:sz w:val="32"/>
              <w:szCs w:val="3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"_Toc7944" </w:instrText>
          </w:r>
          <w:r>
            <w:rPr>
              <w:rFonts w:hint="default" w:ascii="Times New Roman" w:hAnsi="Times New Roman" w:cs="Times New Roman"/>
            </w:rPr>
            <w:fldChar w:fldCharType="separate"/>
          </w:r>
          <w:r>
            <w:rPr>
              <w:rFonts w:hint="default" w:ascii="Times New Roman" w:hAnsi="Times New Roman" w:eastAsia="仿宋_GB2312" w:cs="Times New Roman"/>
              <w:bCs/>
              <w:sz w:val="32"/>
              <w:szCs w:val="32"/>
            </w:rPr>
            <w:t>七、一般公共预算财政拨款支出决算明细表</w:t>
          </w:r>
          <w:r>
            <w:rPr>
              <w:rFonts w:hint="default" w:ascii="Times New Roman" w:hAnsi="Times New Roman" w:eastAsia="仿宋_GB2312" w:cs="Times New Roman"/>
              <w:bCs/>
              <w:sz w:val="32"/>
              <w:szCs w:val="32"/>
            </w:rPr>
            <w:tab/>
          </w:r>
          <w:r>
            <w:rPr>
              <w:rFonts w:hint="default" w:ascii="Times New Roman" w:hAnsi="Times New Roman" w:eastAsia="仿宋_GB2312" w:cs="Times New Roman"/>
              <w:bCs/>
              <w:sz w:val="32"/>
              <w:szCs w:val="32"/>
            </w:rPr>
            <w:fldChar w:fldCharType="begin"/>
          </w:r>
          <w:r>
            <w:rPr>
              <w:rFonts w:hint="default" w:ascii="Times New Roman" w:hAnsi="Times New Roman" w:eastAsia="仿宋_GB2312" w:cs="Times New Roman"/>
              <w:bCs/>
              <w:sz w:val="32"/>
              <w:szCs w:val="32"/>
            </w:rPr>
            <w:instrText xml:space="preserve"> PAGEREF _Toc7944 \h </w:instrText>
          </w:r>
          <w:r>
            <w:rPr>
              <w:rFonts w:hint="default" w:ascii="Times New Roman" w:hAnsi="Times New Roman" w:eastAsia="仿宋_GB2312" w:cs="Times New Roman"/>
              <w:bCs/>
              <w:sz w:val="32"/>
              <w:szCs w:val="32"/>
            </w:rPr>
            <w:fldChar w:fldCharType="separate"/>
          </w:r>
          <w:r>
            <w:rPr>
              <w:rFonts w:hint="default" w:ascii="Times New Roman" w:hAnsi="Times New Roman" w:eastAsia="仿宋_GB2312" w:cs="Times New Roman"/>
              <w:bCs/>
              <w:sz w:val="32"/>
              <w:szCs w:val="32"/>
            </w:rPr>
            <w:t>53</w:t>
          </w:r>
          <w:r>
            <w:rPr>
              <w:rFonts w:hint="default" w:ascii="Times New Roman" w:hAnsi="Times New Roman" w:eastAsia="仿宋_GB2312" w:cs="Times New Roman"/>
              <w:bCs/>
              <w:sz w:val="32"/>
              <w:szCs w:val="32"/>
            </w:rPr>
            <w:fldChar w:fldCharType="end"/>
          </w:r>
          <w:r>
            <w:rPr>
              <w:rFonts w:hint="default" w:ascii="Times New Roman" w:hAnsi="Times New Roman" w:eastAsia="仿宋_GB2312" w:cs="Times New Roman"/>
              <w:bCs/>
              <w:sz w:val="32"/>
              <w:szCs w:val="32"/>
            </w:rPr>
            <w:fldChar w:fldCharType="end"/>
          </w:r>
        </w:p>
        <w:p w14:paraId="586A9E27">
          <w:pPr>
            <w:pStyle w:val="39"/>
            <w:tabs>
              <w:tab w:val="right" w:leader="dot" w:pos="8845"/>
            </w:tabs>
            <w:spacing w:line="576" w:lineRule="exact"/>
            <w:ind w:leftChars="0" w:firstLine="400" w:firstLineChars="200"/>
            <w:jc w:val="both"/>
            <w:rPr>
              <w:rFonts w:hint="default" w:ascii="Times New Roman" w:hAnsi="Times New Roman" w:eastAsia="仿宋_GB2312" w:cs="Times New Roman"/>
              <w:bCs/>
              <w:sz w:val="32"/>
              <w:szCs w:val="3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"_Toc4764" </w:instrText>
          </w:r>
          <w:r>
            <w:rPr>
              <w:rFonts w:hint="default" w:ascii="Times New Roman" w:hAnsi="Times New Roman" w:cs="Times New Roman"/>
            </w:rPr>
            <w:fldChar w:fldCharType="separate"/>
          </w:r>
          <w:r>
            <w:rPr>
              <w:rFonts w:hint="default" w:ascii="Times New Roman" w:hAnsi="Times New Roman" w:eastAsia="仿宋_GB2312" w:cs="Times New Roman"/>
              <w:bCs/>
              <w:sz w:val="32"/>
              <w:szCs w:val="32"/>
            </w:rPr>
            <w:t>八、一般公共预算财政拨款基本支出决算表</w:t>
          </w:r>
          <w:r>
            <w:rPr>
              <w:rFonts w:hint="default" w:ascii="Times New Roman" w:hAnsi="Times New Roman" w:eastAsia="仿宋_GB2312" w:cs="Times New Roman"/>
              <w:bCs/>
              <w:sz w:val="32"/>
              <w:szCs w:val="32"/>
            </w:rPr>
            <w:tab/>
          </w:r>
          <w:r>
            <w:rPr>
              <w:rFonts w:hint="default" w:ascii="Times New Roman" w:hAnsi="Times New Roman" w:eastAsia="仿宋_GB2312" w:cs="Times New Roman"/>
              <w:bCs/>
              <w:sz w:val="32"/>
              <w:szCs w:val="32"/>
            </w:rPr>
            <w:fldChar w:fldCharType="begin"/>
          </w:r>
          <w:r>
            <w:rPr>
              <w:rFonts w:hint="default" w:ascii="Times New Roman" w:hAnsi="Times New Roman" w:eastAsia="仿宋_GB2312" w:cs="Times New Roman"/>
              <w:bCs/>
              <w:sz w:val="32"/>
              <w:szCs w:val="32"/>
            </w:rPr>
            <w:instrText xml:space="preserve"> PAGEREF _Toc4764 \h </w:instrText>
          </w:r>
          <w:r>
            <w:rPr>
              <w:rFonts w:hint="default" w:ascii="Times New Roman" w:hAnsi="Times New Roman" w:eastAsia="仿宋_GB2312" w:cs="Times New Roman"/>
              <w:bCs/>
              <w:sz w:val="32"/>
              <w:szCs w:val="32"/>
            </w:rPr>
            <w:fldChar w:fldCharType="separate"/>
          </w:r>
          <w:r>
            <w:rPr>
              <w:rFonts w:hint="default" w:ascii="Times New Roman" w:hAnsi="Times New Roman" w:eastAsia="仿宋_GB2312" w:cs="Times New Roman"/>
              <w:bCs/>
              <w:sz w:val="32"/>
              <w:szCs w:val="32"/>
            </w:rPr>
            <w:t>53</w:t>
          </w:r>
          <w:r>
            <w:rPr>
              <w:rFonts w:hint="default" w:ascii="Times New Roman" w:hAnsi="Times New Roman" w:eastAsia="仿宋_GB2312" w:cs="Times New Roman"/>
              <w:bCs/>
              <w:sz w:val="32"/>
              <w:szCs w:val="32"/>
            </w:rPr>
            <w:fldChar w:fldCharType="end"/>
          </w:r>
          <w:r>
            <w:rPr>
              <w:rFonts w:hint="default" w:ascii="Times New Roman" w:hAnsi="Times New Roman" w:eastAsia="仿宋_GB2312" w:cs="Times New Roman"/>
              <w:bCs/>
              <w:sz w:val="32"/>
              <w:szCs w:val="32"/>
            </w:rPr>
            <w:fldChar w:fldCharType="end"/>
          </w:r>
        </w:p>
        <w:p w14:paraId="528AB86C">
          <w:pPr>
            <w:pStyle w:val="39"/>
            <w:tabs>
              <w:tab w:val="right" w:leader="dot" w:pos="8845"/>
            </w:tabs>
            <w:spacing w:line="576" w:lineRule="exact"/>
            <w:ind w:leftChars="0" w:firstLine="400" w:firstLineChars="200"/>
            <w:jc w:val="both"/>
            <w:rPr>
              <w:rFonts w:hint="default" w:ascii="Times New Roman" w:hAnsi="Times New Roman" w:eastAsia="仿宋_GB2312" w:cs="Times New Roman"/>
              <w:bCs/>
              <w:sz w:val="32"/>
              <w:szCs w:val="3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"_Toc1799" </w:instrText>
          </w:r>
          <w:r>
            <w:rPr>
              <w:rFonts w:hint="default" w:ascii="Times New Roman" w:hAnsi="Times New Roman" w:cs="Times New Roman"/>
            </w:rPr>
            <w:fldChar w:fldCharType="separate"/>
          </w:r>
          <w:r>
            <w:rPr>
              <w:rFonts w:hint="default" w:ascii="Times New Roman" w:hAnsi="Times New Roman" w:eastAsia="仿宋_GB2312" w:cs="Times New Roman"/>
              <w:bCs/>
              <w:sz w:val="32"/>
              <w:szCs w:val="32"/>
            </w:rPr>
            <w:t>九、一般公共预算财政拨款项目支出决算表</w:t>
          </w:r>
          <w:r>
            <w:rPr>
              <w:rFonts w:hint="default" w:ascii="Times New Roman" w:hAnsi="Times New Roman" w:eastAsia="仿宋_GB2312" w:cs="Times New Roman"/>
              <w:bCs/>
              <w:sz w:val="32"/>
              <w:szCs w:val="32"/>
            </w:rPr>
            <w:tab/>
          </w:r>
          <w:r>
            <w:rPr>
              <w:rFonts w:hint="default" w:ascii="Times New Roman" w:hAnsi="Times New Roman" w:eastAsia="仿宋_GB2312" w:cs="Times New Roman"/>
              <w:bCs/>
              <w:sz w:val="32"/>
              <w:szCs w:val="32"/>
            </w:rPr>
            <w:fldChar w:fldCharType="begin"/>
          </w:r>
          <w:r>
            <w:rPr>
              <w:rFonts w:hint="default" w:ascii="Times New Roman" w:hAnsi="Times New Roman" w:eastAsia="仿宋_GB2312" w:cs="Times New Roman"/>
              <w:bCs/>
              <w:sz w:val="32"/>
              <w:szCs w:val="32"/>
            </w:rPr>
            <w:instrText xml:space="preserve"> PAGEREF _Toc1799 \h </w:instrText>
          </w:r>
          <w:r>
            <w:rPr>
              <w:rFonts w:hint="default" w:ascii="Times New Roman" w:hAnsi="Times New Roman" w:eastAsia="仿宋_GB2312" w:cs="Times New Roman"/>
              <w:bCs/>
              <w:sz w:val="32"/>
              <w:szCs w:val="32"/>
            </w:rPr>
            <w:fldChar w:fldCharType="separate"/>
          </w:r>
          <w:r>
            <w:rPr>
              <w:rFonts w:hint="default" w:ascii="Times New Roman" w:hAnsi="Times New Roman" w:eastAsia="仿宋_GB2312" w:cs="Times New Roman"/>
              <w:bCs/>
              <w:sz w:val="32"/>
              <w:szCs w:val="32"/>
            </w:rPr>
            <w:t>53</w:t>
          </w:r>
          <w:r>
            <w:rPr>
              <w:rFonts w:hint="default" w:ascii="Times New Roman" w:hAnsi="Times New Roman" w:eastAsia="仿宋_GB2312" w:cs="Times New Roman"/>
              <w:bCs/>
              <w:sz w:val="32"/>
              <w:szCs w:val="32"/>
            </w:rPr>
            <w:fldChar w:fldCharType="end"/>
          </w:r>
          <w:r>
            <w:rPr>
              <w:rFonts w:hint="default" w:ascii="Times New Roman" w:hAnsi="Times New Roman" w:eastAsia="仿宋_GB2312" w:cs="Times New Roman"/>
              <w:bCs/>
              <w:sz w:val="32"/>
              <w:szCs w:val="32"/>
            </w:rPr>
            <w:fldChar w:fldCharType="end"/>
          </w:r>
        </w:p>
        <w:p w14:paraId="7027446A">
          <w:pPr>
            <w:pStyle w:val="39"/>
            <w:tabs>
              <w:tab w:val="right" w:leader="dot" w:pos="8845"/>
            </w:tabs>
            <w:spacing w:line="576" w:lineRule="exact"/>
            <w:ind w:leftChars="0" w:firstLine="400" w:firstLineChars="200"/>
            <w:jc w:val="both"/>
            <w:rPr>
              <w:rFonts w:hint="default" w:ascii="Times New Roman" w:hAnsi="Times New Roman" w:eastAsia="仿宋_GB2312" w:cs="Times New Roman"/>
              <w:bCs/>
              <w:sz w:val="32"/>
              <w:szCs w:val="3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"_Toc10940" </w:instrText>
          </w:r>
          <w:r>
            <w:rPr>
              <w:rFonts w:hint="default" w:ascii="Times New Roman" w:hAnsi="Times New Roman" w:cs="Times New Roman"/>
            </w:rPr>
            <w:fldChar w:fldCharType="separate"/>
          </w:r>
          <w:r>
            <w:rPr>
              <w:rFonts w:hint="default" w:ascii="Times New Roman" w:hAnsi="Times New Roman" w:eastAsia="仿宋_GB2312" w:cs="Times New Roman"/>
              <w:bCs/>
              <w:sz w:val="32"/>
              <w:szCs w:val="32"/>
            </w:rPr>
            <w:t>十、政府性基金预算财政拨款收入支出决算表</w:t>
          </w:r>
          <w:r>
            <w:rPr>
              <w:rFonts w:hint="default" w:ascii="Times New Roman" w:hAnsi="Times New Roman" w:eastAsia="仿宋_GB2312" w:cs="Times New Roman"/>
              <w:bCs/>
              <w:sz w:val="32"/>
              <w:szCs w:val="32"/>
            </w:rPr>
            <w:tab/>
          </w:r>
          <w:r>
            <w:rPr>
              <w:rFonts w:hint="default" w:ascii="Times New Roman" w:hAnsi="Times New Roman" w:eastAsia="仿宋_GB2312" w:cs="Times New Roman"/>
              <w:bCs/>
              <w:sz w:val="32"/>
              <w:szCs w:val="32"/>
            </w:rPr>
            <w:fldChar w:fldCharType="begin"/>
          </w:r>
          <w:r>
            <w:rPr>
              <w:rFonts w:hint="default" w:ascii="Times New Roman" w:hAnsi="Times New Roman" w:eastAsia="仿宋_GB2312" w:cs="Times New Roman"/>
              <w:bCs/>
              <w:sz w:val="32"/>
              <w:szCs w:val="32"/>
            </w:rPr>
            <w:instrText xml:space="preserve"> PAGEREF _Toc10940 \h </w:instrText>
          </w:r>
          <w:r>
            <w:rPr>
              <w:rFonts w:hint="default" w:ascii="Times New Roman" w:hAnsi="Times New Roman" w:eastAsia="仿宋_GB2312" w:cs="Times New Roman"/>
              <w:bCs/>
              <w:sz w:val="32"/>
              <w:szCs w:val="32"/>
            </w:rPr>
            <w:fldChar w:fldCharType="separate"/>
          </w:r>
          <w:r>
            <w:rPr>
              <w:rFonts w:hint="default" w:ascii="Times New Roman" w:hAnsi="Times New Roman" w:eastAsia="仿宋_GB2312" w:cs="Times New Roman"/>
              <w:bCs/>
              <w:sz w:val="32"/>
              <w:szCs w:val="32"/>
            </w:rPr>
            <w:t>53</w:t>
          </w:r>
          <w:r>
            <w:rPr>
              <w:rFonts w:hint="default" w:ascii="Times New Roman" w:hAnsi="Times New Roman" w:eastAsia="仿宋_GB2312" w:cs="Times New Roman"/>
              <w:bCs/>
              <w:sz w:val="32"/>
              <w:szCs w:val="32"/>
            </w:rPr>
            <w:fldChar w:fldCharType="end"/>
          </w:r>
          <w:r>
            <w:rPr>
              <w:rFonts w:hint="default" w:ascii="Times New Roman" w:hAnsi="Times New Roman" w:eastAsia="仿宋_GB2312" w:cs="Times New Roman"/>
              <w:bCs/>
              <w:sz w:val="32"/>
              <w:szCs w:val="32"/>
            </w:rPr>
            <w:fldChar w:fldCharType="end"/>
          </w:r>
        </w:p>
        <w:p w14:paraId="0A32DE9F">
          <w:pPr>
            <w:pStyle w:val="39"/>
            <w:tabs>
              <w:tab w:val="right" w:leader="dot" w:pos="8845"/>
            </w:tabs>
            <w:spacing w:line="576" w:lineRule="exact"/>
            <w:ind w:leftChars="0" w:firstLine="400" w:firstLineChars="200"/>
            <w:jc w:val="both"/>
            <w:rPr>
              <w:rFonts w:hint="default" w:ascii="Times New Roman" w:hAnsi="Times New Roman" w:eastAsia="仿宋_GB2312" w:cs="Times New Roman"/>
              <w:bCs/>
              <w:sz w:val="32"/>
              <w:szCs w:val="3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"_Toc12654" </w:instrText>
          </w:r>
          <w:r>
            <w:rPr>
              <w:rFonts w:hint="default" w:ascii="Times New Roman" w:hAnsi="Times New Roman" w:cs="Times New Roman"/>
            </w:rPr>
            <w:fldChar w:fldCharType="separate"/>
          </w:r>
          <w:r>
            <w:rPr>
              <w:rFonts w:hint="default" w:ascii="Times New Roman" w:hAnsi="Times New Roman" w:eastAsia="仿宋_GB2312" w:cs="Times New Roman"/>
              <w:bCs/>
              <w:sz w:val="32"/>
              <w:szCs w:val="32"/>
            </w:rPr>
            <w:t>十一、国有资本经营预算财政拨款收入支出决算表</w:t>
          </w:r>
          <w:r>
            <w:rPr>
              <w:rFonts w:hint="default" w:ascii="Times New Roman" w:hAnsi="Times New Roman" w:eastAsia="仿宋_GB2312" w:cs="Times New Roman"/>
              <w:bCs/>
              <w:sz w:val="32"/>
              <w:szCs w:val="32"/>
            </w:rPr>
            <w:tab/>
          </w:r>
          <w:r>
            <w:rPr>
              <w:rFonts w:hint="default" w:ascii="Times New Roman" w:hAnsi="Times New Roman" w:eastAsia="仿宋_GB2312" w:cs="Times New Roman"/>
              <w:bCs/>
              <w:sz w:val="32"/>
              <w:szCs w:val="32"/>
            </w:rPr>
            <w:fldChar w:fldCharType="begin"/>
          </w:r>
          <w:r>
            <w:rPr>
              <w:rFonts w:hint="default" w:ascii="Times New Roman" w:hAnsi="Times New Roman" w:eastAsia="仿宋_GB2312" w:cs="Times New Roman"/>
              <w:bCs/>
              <w:sz w:val="32"/>
              <w:szCs w:val="32"/>
            </w:rPr>
            <w:instrText xml:space="preserve"> PAGEREF _Toc12654 \h </w:instrText>
          </w:r>
          <w:r>
            <w:rPr>
              <w:rFonts w:hint="default" w:ascii="Times New Roman" w:hAnsi="Times New Roman" w:eastAsia="仿宋_GB2312" w:cs="Times New Roman"/>
              <w:bCs/>
              <w:sz w:val="32"/>
              <w:szCs w:val="32"/>
            </w:rPr>
            <w:fldChar w:fldCharType="separate"/>
          </w:r>
          <w:r>
            <w:rPr>
              <w:rFonts w:hint="default" w:ascii="Times New Roman" w:hAnsi="Times New Roman" w:eastAsia="仿宋_GB2312" w:cs="Times New Roman"/>
              <w:bCs/>
              <w:sz w:val="32"/>
              <w:szCs w:val="32"/>
            </w:rPr>
            <w:t>53</w:t>
          </w:r>
          <w:r>
            <w:rPr>
              <w:rFonts w:hint="default" w:ascii="Times New Roman" w:hAnsi="Times New Roman" w:eastAsia="仿宋_GB2312" w:cs="Times New Roman"/>
              <w:bCs/>
              <w:sz w:val="32"/>
              <w:szCs w:val="32"/>
            </w:rPr>
            <w:fldChar w:fldCharType="end"/>
          </w:r>
          <w:r>
            <w:rPr>
              <w:rFonts w:hint="default" w:ascii="Times New Roman" w:hAnsi="Times New Roman" w:eastAsia="仿宋_GB2312" w:cs="Times New Roman"/>
              <w:bCs/>
              <w:sz w:val="32"/>
              <w:szCs w:val="32"/>
            </w:rPr>
            <w:fldChar w:fldCharType="end"/>
          </w:r>
        </w:p>
        <w:p w14:paraId="3E3EE41F">
          <w:pPr>
            <w:pStyle w:val="39"/>
            <w:tabs>
              <w:tab w:val="right" w:leader="dot" w:pos="8845"/>
            </w:tabs>
            <w:spacing w:line="576" w:lineRule="exact"/>
            <w:ind w:leftChars="0" w:firstLine="400" w:firstLineChars="200"/>
            <w:jc w:val="both"/>
            <w:rPr>
              <w:rFonts w:hint="default" w:ascii="Times New Roman" w:hAnsi="Times New Roman" w:eastAsia="仿宋_GB2312" w:cs="Times New Roman"/>
              <w:bCs/>
              <w:sz w:val="32"/>
              <w:szCs w:val="3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"_Toc10711" </w:instrText>
          </w:r>
          <w:r>
            <w:rPr>
              <w:rFonts w:hint="default" w:ascii="Times New Roman" w:hAnsi="Times New Roman" w:cs="Times New Roman"/>
            </w:rPr>
            <w:fldChar w:fldCharType="separate"/>
          </w:r>
          <w:r>
            <w:rPr>
              <w:rFonts w:hint="default" w:ascii="Times New Roman" w:hAnsi="Times New Roman" w:eastAsia="仿宋_GB2312" w:cs="Times New Roman"/>
              <w:bCs/>
              <w:sz w:val="32"/>
              <w:szCs w:val="32"/>
            </w:rPr>
            <w:t>十二、国有资本经营预算财政拨款支出决算表</w:t>
          </w:r>
          <w:r>
            <w:rPr>
              <w:rFonts w:hint="default" w:ascii="Times New Roman" w:hAnsi="Times New Roman" w:eastAsia="仿宋_GB2312" w:cs="Times New Roman"/>
              <w:bCs/>
              <w:sz w:val="32"/>
              <w:szCs w:val="32"/>
            </w:rPr>
            <w:tab/>
          </w:r>
          <w:r>
            <w:rPr>
              <w:rFonts w:hint="default" w:ascii="Times New Roman" w:hAnsi="Times New Roman" w:eastAsia="仿宋_GB2312" w:cs="Times New Roman"/>
              <w:bCs/>
              <w:sz w:val="32"/>
              <w:szCs w:val="32"/>
            </w:rPr>
            <w:fldChar w:fldCharType="begin"/>
          </w:r>
          <w:r>
            <w:rPr>
              <w:rFonts w:hint="default" w:ascii="Times New Roman" w:hAnsi="Times New Roman" w:eastAsia="仿宋_GB2312" w:cs="Times New Roman"/>
              <w:bCs/>
              <w:sz w:val="32"/>
              <w:szCs w:val="32"/>
            </w:rPr>
            <w:instrText xml:space="preserve"> PAGEREF _Toc10711 \h </w:instrText>
          </w:r>
          <w:r>
            <w:rPr>
              <w:rFonts w:hint="default" w:ascii="Times New Roman" w:hAnsi="Times New Roman" w:eastAsia="仿宋_GB2312" w:cs="Times New Roman"/>
              <w:bCs/>
              <w:sz w:val="32"/>
              <w:szCs w:val="32"/>
            </w:rPr>
            <w:fldChar w:fldCharType="separate"/>
          </w:r>
          <w:r>
            <w:rPr>
              <w:rFonts w:hint="default" w:ascii="Times New Roman" w:hAnsi="Times New Roman" w:eastAsia="仿宋_GB2312" w:cs="Times New Roman"/>
              <w:bCs/>
              <w:sz w:val="32"/>
              <w:szCs w:val="32"/>
            </w:rPr>
            <w:t>53</w:t>
          </w:r>
          <w:r>
            <w:rPr>
              <w:rFonts w:hint="default" w:ascii="Times New Roman" w:hAnsi="Times New Roman" w:eastAsia="仿宋_GB2312" w:cs="Times New Roman"/>
              <w:bCs/>
              <w:sz w:val="32"/>
              <w:szCs w:val="32"/>
            </w:rPr>
            <w:fldChar w:fldCharType="end"/>
          </w:r>
          <w:r>
            <w:rPr>
              <w:rFonts w:hint="default" w:ascii="Times New Roman" w:hAnsi="Times New Roman" w:eastAsia="仿宋_GB2312" w:cs="Times New Roman"/>
              <w:bCs/>
              <w:sz w:val="32"/>
              <w:szCs w:val="32"/>
            </w:rPr>
            <w:fldChar w:fldCharType="end"/>
          </w:r>
        </w:p>
        <w:p w14:paraId="651E0EE9">
          <w:pPr>
            <w:pStyle w:val="39"/>
            <w:tabs>
              <w:tab w:val="right" w:leader="dot" w:pos="8845"/>
            </w:tabs>
            <w:spacing w:line="576" w:lineRule="exact"/>
            <w:ind w:leftChars="0" w:firstLine="400" w:firstLineChars="200"/>
            <w:jc w:val="both"/>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"_Toc13643" </w:instrText>
          </w:r>
          <w:r>
            <w:rPr>
              <w:rFonts w:hint="default" w:ascii="Times New Roman" w:hAnsi="Times New Roman" w:cs="Times New Roman"/>
            </w:rPr>
            <w:fldChar w:fldCharType="separate"/>
          </w:r>
          <w:r>
            <w:rPr>
              <w:rFonts w:hint="default" w:ascii="Times New Roman" w:hAnsi="Times New Roman" w:eastAsia="仿宋_GB2312" w:cs="Times New Roman"/>
              <w:bCs/>
              <w:sz w:val="32"/>
              <w:szCs w:val="32"/>
            </w:rPr>
            <w:t>十三、财政拨款“三公”经费支出决算表</w:t>
          </w:r>
          <w:r>
            <w:rPr>
              <w:rFonts w:hint="default" w:ascii="Times New Roman" w:hAnsi="Times New Roman" w:eastAsia="仿宋_GB2312" w:cs="Times New Roman"/>
              <w:bCs/>
              <w:sz w:val="32"/>
              <w:szCs w:val="32"/>
            </w:rPr>
            <w:tab/>
          </w:r>
          <w:r>
            <w:rPr>
              <w:rFonts w:hint="default" w:ascii="Times New Roman" w:hAnsi="Times New Roman" w:eastAsia="仿宋_GB2312" w:cs="Times New Roman"/>
              <w:bCs/>
              <w:sz w:val="32"/>
              <w:szCs w:val="32"/>
            </w:rPr>
            <w:fldChar w:fldCharType="begin"/>
          </w:r>
          <w:r>
            <w:rPr>
              <w:rFonts w:hint="default" w:ascii="Times New Roman" w:hAnsi="Times New Roman" w:eastAsia="仿宋_GB2312" w:cs="Times New Roman"/>
              <w:bCs/>
              <w:sz w:val="32"/>
              <w:szCs w:val="32"/>
            </w:rPr>
            <w:instrText xml:space="preserve"> PAGEREF _Toc13643 \h </w:instrText>
          </w:r>
          <w:r>
            <w:rPr>
              <w:rFonts w:hint="default" w:ascii="Times New Roman" w:hAnsi="Times New Roman" w:eastAsia="仿宋_GB2312" w:cs="Times New Roman"/>
              <w:bCs/>
              <w:sz w:val="32"/>
              <w:szCs w:val="32"/>
            </w:rPr>
            <w:fldChar w:fldCharType="separate"/>
          </w:r>
          <w:r>
            <w:rPr>
              <w:rFonts w:hint="default" w:ascii="Times New Roman" w:hAnsi="Times New Roman" w:eastAsia="仿宋_GB2312" w:cs="Times New Roman"/>
              <w:bCs/>
              <w:sz w:val="32"/>
              <w:szCs w:val="32"/>
            </w:rPr>
            <w:t>53</w:t>
          </w:r>
          <w:r>
            <w:rPr>
              <w:rFonts w:hint="default" w:ascii="Times New Roman" w:hAnsi="Times New Roman" w:eastAsia="仿宋_GB2312" w:cs="Times New Roman"/>
              <w:bCs/>
              <w:sz w:val="32"/>
              <w:szCs w:val="32"/>
            </w:rPr>
            <w:fldChar w:fldCharType="end"/>
          </w:r>
          <w:r>
            <w:rPr>
              <w:rFonts w:hint="default" w:ascii="Times New Roman" w:hAnsi="Times New Roman" w:eastAsia="仿宋_GB2312" w:cs="Times New Roman"/>
              <w:bCs/>
              <w:sz w:val="32"/>
              <w:szCs w:val="32"/>
            </w:rPr>
            <w:fldChar w:fldCharType="end"/>
          </w:r>
        </w:p>
        <w:p w14:paraId="43510237">
          <w:pPr>
            <w:rPr>
              <w:rFonts w:hint="default" w:ascii="Times New Roman" w:hAnsi="Times New Roman" w:cs="Times New Roman"/>
            </w:rPr>
          </w:pPr>
          <w:r>
            <w:rPr>
              <w:rFonts w:hint="default" w:ascii="Times New Roman" w:hAnsi="Times New Roman" w:cs="Times New Roman"/>
              <w:b/>
            </w:rPr>
            <w:fldChar w:fldCharType="end"/>
          </w:r>
        </w:p>
      </w:sdtContent>
    </w:sdt>
    <w:p w14:paraId="2FDCCBC3">
      <w:pPr>
        <w:widowControl/>
        <w:adjustRightInd w:val="0"/>
        <w:snapToGrid w:val="0"/>
        <w:spacing w:line="440" w:lineRule="exact"/>
        <w:ind w:firstLine="1980" w:firstLineChars="550"/>
        <w:jc w:val="left"/>
        <w:rPr>
          <w:rFonts w:hint="default" w:ascii="Times New Roman" w:hAnsi="Times New Roman" w:eastAsia="方正小标宋简体" w:cs="Times New Roman"/>
          <w:b w:val="0"/>
        </w:rPr>
        <w:sectPr>
          <w:footerReference r:id="rId7" w:type="default"/>
          <w:pgSz w:w="11906" w:h="16838"/>
          <w:pgMar w:top="2098" w:right="1474" w:bottom="1984" w:left="1587" w:header="851" w:footer="992" w:gutter="0"/>
          <w:pgNumType w:fmt="decimal" w:start="1"/>
          <w:cols w:space="0" w:num="1"/>
          <w:docGrid w:type="lines" w:linePitch="312" w:charSpace="0"/>
        </w:sectPr>
      </w:pPr>
      <w:r>
        <w:rPr>
          <w:rFonts w:hint="default" w:ascii="Times New Roman" w:hAnsi="Times New Roman" w:eastAsia="方正小标宋简体" w:cs="Times New Roman"/>
          <w:sz w:val="36"/>
          <w:szCs w:val="36"/>
        </w:rPr>
        <w:br w:type="page"/>
      </w:r>
      <w:bookmarkStart w:id="17" w:name="_Toc15396599"/>
      <w:bookmarkStart w:id="18" w:name="_Toc15377196"/>
    </w:p>
    <w:p w14:paraId="3D009393">
      <w:pPr>
        <w:pStyle w:val="3"/>
        <w:spacing w:before="0" w:after="0" w:line="560" w:lineRule="exact"/>
        <w:jc w:val="center"/>
        <w:rPr>
          <w:rStyle w:val="31"/>
          <w:rFonts w:hint="default" w:ascii="Times New Roman" w:hAnsi="Times New Roman" w:eastAsia="方正小标宋简体" w:cs="Times New Roman"/>
          <w:b/>
          <w:bCs w:val="0"/>
        </w:rPr>
      </w:pPr>
      <w:bookmarkStart w:id="19" w:name="_Toc301"/>
      <w:r>
        <w:rPr>
          <w:rFonts w:hint="default" w:ascii="Times New Roman" w:hAnsi="Times New Roman" w:eastAsia="方正小标宋简体" w:cs="Times New Roman"/>
          <w:b w:val="0"/>
        </w:rPr>
        <w:t xml:space="preserve">第一部分  </w:t>
      </w:r>
      <w:r>
        <w:rPr>
          <w:rStyle w:val="31"/>
          <w:rFonts w:hint="default" w:ascii="Times New Roman" w:hAnsi="Times New Roman" w:eastAsia="方正小标宋简体" w:cs="Times New Roman"/>
          <w:b w:val="0"/>
          <w:bCs w:val="0"/>
        </w:rPr>
        <w:t>部门概况</w:t>
      </w:r>
      <w:bookmarkEnd w:id="17"/>
      <w:bookmarkEnd w:id="18"/>
      <w:bookmarkEnd w:id="19"/>
    </w:p>
    <w:p w14:paraId="07AD4E22">
      <w:pPr>
        <w:widowControl/>
        <w:spacing w:line="300" w:lineRule="exact"/>
        <w:ind w:firstLine="640" w:firstLineChars="200"/>
        <w:rPr>
          <w:rFonts w:hint="default" w:ascii="Times New Roman" w:hAnsi="Times New Roman" w:eastAsia="仿宋_GB2312" w:cs="Times New Roman"/>
          <w:sz w:val="32"/>
          <w:szCs w:val="32"/>
        </w:rPr>
      </w:pPr>
    </w:p>
    <w:p w14:paraId="117C1D04">
      <w:pPr>
        <w:pStyle w:val="4"/>
        <w:spacing w:before="0" w:after="0" w:line="566" w:lineRule="exact"/>
        <w:ind w:firstLine="640" w:firstLineChars="200"/>
        <w:rPr>
          <w:rFonts w:hint="default" w:ascii="Times New Roman" w:hAnsi="Times New Roman" w:eastAsia="黑体" w:cs="Times New Roman"/>
          <w:b w:val="0"/>
        </w:rPr>
      </w:pPr>
      <w:bookmarkStart w:id="20" w:name="_Toc15396600"/>
      <w:bookmarkStart w:id="21" w:name="_Toc15377197"/>
      <w:bookmarkStart w:id="22" w:name="_Toc26189"/>
      <w:r>
        <w:rPr>
          <w:rFonts w:hint="default" w:ascii="Times New Roman" w:hAnsi="Times New Roman" w:eastAsia="黑体" w:cs="Times New Roman"/>
          <w:b w:val="0"/>
        </w:rPr>
        <w:t>一、</w:t>
      </w:r>
      <w:bookmarkEnd w:id="20"/>
      <w:bookmarkEnd w:id="21"/>
      <w:r>
        <w:rPr>
          <w:rFonts w:hint="default" w:ascii="Times New Roman" w:hAnsi="Times New Roman" w:eastAsia="黑体" w:cs="Times New Roman"/>
          <w:b w:val="0"/>
        </w:rPr>
        <w:t>部门职责</w:t>
      </w:r>
      <w:bookmarkEnd w:id="22"/>
    </w:p>
    <w:p w14:paraId="1A16AE43">
      <w:pPr>
        <w:pStyle w:val="15"/>
        <w:spacing w:line="566" w:lineRule="exact"/>
        <w:ind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1．按照规定权限，履行全民所有土地、矿产、森林、湿地、水等自然资源资产所有者职责和所有国土空间用途管制职责。制定全区自然资源、国土空间规划和测绘地理信息等政策措施并监督检查执行情况。</w:t>
      </w:r>
    </w:p>
    <w:p w14:paraId="745A9FD8">
      <w:pPr>
        <w:pStyle w:val="15"/>
        <w:spacing w:line="566" w:lineRule="exact"/>
        <w:ind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2．负责全区自然资源调查监测评价。依照自然资源调查监测评价的指标体系和统计标准，建立统一规范的自然资源调查监测评价制度。实施自然资源基础调查、专项调查和监测。负责自然资源调查监测评价成果的监督管理和信息发布。</w:t>
      </w:r>
    </w:p>
    <w:p w14:paraId="0B0EDFE6">
      <w:pPr>
        <w:pStyle w:val="15"/>
        <w:spacing w:line="566" w:lineRule="exact"/>
        <w:ind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3．负责全区自然资源统一确权登记工作。组织实施各类自然资源和不动产统一确权登记、权籍调查、不动产测绘、争议调处、成果应用的制度、标准、规范。建立健全全区自然资源和不动产登记信息管理基础平台。负责自然资源和不动产登记资料收集、整理、共享、汇交管理等。指导监督自然资源和不动产确权登记工作。</w:t>
      </w:r>
    </w:p>
    <w:p w14:paraId="02002D32">
      <w:pPr>
        <w:pStyle w:val="15"/>
        <w:spacing w:line="566" w:lineRule="exact"/>
        <w:ind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4．负责全区自然资源资产有偿使用工作。建立全民所有自然资源资产统计制度，负责全民所有自然资源资产核算。编制全民所有自然资源资产负债表，依照有关标准组织考核。按照规定权限，制定全民所有自然资源资产划拨、出让、租赁、作价出资和土地储备政策，合理配置全民所有自然资源资产。负责自然资源资产价值评估管理，依法收缴相关资产收益。</w:t>
      </w:r>
    </w:p>
    <w:p w14:paraId="424B3B7F">
      <w:pPr>
        <w:pStyle w:val="15"/>
        <w:shd w:val="clear" w:color="auto" w:fill="FFFFFF"/>
        <w:spacing w:line="550" w:lineRule="exact"/>
        <w:ind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5．负责全区自然资源的合理开发利用。组织拟订并实施自然资源发展规划和战略，建立政府公示自然资源价格体系，组织开展自然资源分等定级价格评估，开展自然资源利用评价考核，指导节约集约利用。负责自然资源市场监管。组织研究自然资源管理涉及宏观调控、区域协调和城乡统筹的政策措施。</w:t>
      </w:r>
    </w:p>
    <w:p w14:paraId="7F86E40E">
      <w:pPr>
        <w:pStyle w:val="15"/>
        <w:shd w:val="clear" w:color="auto" w:fill="FFFFFF"/>
        <w:spacing w:line="550" w:lineRule="exact"/>
        <w:ind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6．负责建立全区空间规划体系并监督实施。推进主体功能区战略和制度，组织编制并监督实施国土空间规划、城乡规划和相关专项规划。开展国土空间开发适宜性评价，建立国土空间规划实施监测、评估和预警体系。组织划定生态保护红线、永久基本农田、城镇开发边界等控制线，构建节约资源和保护环境的生产、生活、生态空间布局。建立健全国土空间用途管制制度，研究拟订城乡规划政策并监督实施。组织拟订并实施土地等自然资源年度利用计划。负责土地等国土空间用途转用工作。负责土地征收征用管理。负责城乡规划管理。</w:t>
      </w:r>
    </w:p>
    <w:p w14:paraId="2EC32DE1">
      <w:pPr>
        <w:pStyle w:val="15"/>
        <w:shd w:val="clear" w:color="auto" w:fill="FFFFFF"/>
        <w:spacing w:line="550" w:lineRule="exact"/>
        <w:ind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7．负责统筹全区国土空间生态修复。牵头组织编制全区国土空间生态修复规划并实施有关生态修复重大工程。负责开展国土空间综合整治、土地整理复垦、矿山地质环境恢复治理等工作。牵头建立和实施生态保护补偿制度，制定合理利用社会资金进行生态修复的政策措施，提出重大备选项目。</w:t>
      </w:r>
    </w:p>
    <w:p w14:paraId="3F599416">
      <w:pPr>
        <w:pStyle w:val="15"/>
        <w:shd w:val="clear" w:color="auto" w:fill="FFFFFF"/>
        <w:spacing w:line="550" w:lineRule="exact"/>
        <w:ind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8．负责组织实施最严格的耕地保护制度。牵头拟订并实施全区耕地保护政策，负责耕地数量、质量、生态保护。组织实施耕地保护责任目标考核和永久基本农田特殊保护。完善耕地占补平衡制度，监督占用耕地补偿制度执行情况。</w:t>
      </w:r>
    </w:p>
    <w:p w14:paraId="7D8D8B9F">
      <w:pPr>
        <w:pStyle w:val="15"/>
        <w:shd w:val="clear" w:color="auto" w:fill="FFFFFF"/>
        <w:spacing w:line="576" w:lineRule="exact"/>
        <w:ind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9．负责管理全区地质勘查和地质工作。拟订全区地质勘查规划并监督检查执行情况。组织实施重大地质矿产勘查专项。负责地质灾害预防和治理，监督管理地下水过量开采及引发的地面沉降等地质问题。负责古生物化石的监督管理。</w:t>
      </w:r>
    </w:p>
    <w:p w14:paraId="7325F751">
      <w:pPr>
        <w:pStyle w:val="15"/>
        <w:shd w:val="clear" w:color="auto" w:fill="FFFFFF"/>
        <w:spacing w:line="576" w:lineRule="exact"/>
        <w:ind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10．负责落实综合防灾减灾规划相关要求，组织编制并实施地质灾害防治规划。组织、指导、协调和监督地质灾害调查评价及隐患的普查、详查、排查。组织、指导开展群测群防、专业监测和预报预警等工作，组织、指导开展地质灾害工程治理工作。承担地质灾害应急救援的技术保障工作。</w:t>
      </w:r>
    </w:p>
    <w:p w14:paraId="59AB6D4C">
      <w:pPr>
        <w:pStyle w:val="15"/>
        <w:shd w:val="clear" w:color="auto" w:fill="FFFFFF"/>
        <w:spacing w:line="576" w:lineRule="exact"/>
        <w:ind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11．负责全区矿产资源管理工作。负责矿产资源储量管理及压覆矿产资源审核报批。负责矿业权管理。会同有关部门承担保护性开采的特定矿种、优势矿产的调控及相关管理工作。监督指导矿产资源合理利用和保护。</w:t>
      </w:r>
    </w:p>
    <w:p w14:paraId="2B6C32FC">
      <w:pPr>
        <w:pStyle w:val="15"/>
        <w:shd w:val="clear" w:color="auto" w:fill="FFFFFF"/>
        <w:spacing w:line="576" w:lineRule="exact"/>
        <w:ind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12．推动全区自然资源领域科技发展和对外合作。制定并实施全区自然资源领域科技创新发展和人才培养规划、计划。组织实施重大科技专项及创新能力建设，推进自然资源信息化和信息资料的公共服务。组织开展全区自然资源系统对外交流合作。</w:t>
      </w:r>
    </w:p>
    <w:p w14:paraId="06FBCCA2">
      <w:pPr>
        <w:pStyle w:val="15"/>
        <w:shd w:val="clear" w:color="auto" w:fill="FFFFFF"/>
        <w:spacing w:line="576" w:lineRule="exact"/>
        <w:ind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13．配合国家对区政府落实党中央、国务院关于自然资源和国土空间规划的重大方针政策、决策部署及法律法规执行情况进行督察。按照区委、区政府安排，组织实施自然资源督查相关工作。查处全区自然资源开发利用、国土空间规划等领域重大违法案件。指导有关行政执法工作。</w:t>
      </w:r>
    </w:p>
    <w:p w14:paraId="1821B568">
      <w:pPr>
        <w:pStyle w:val="15"/>
        <w:shd w:val="clear" w:color="auto" w:fill="FFFFFF"/>
        <w:spacing w:line="576" w:lineRule="exact"/>
        <w:ind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14．负责测绘地理信息管理。负责基础测绘和测绘行业管理。监督管理全区测绘地理信息成果、市场秩序、测绘基准和系统。负责地理信息公共服务管理和测量标志保护。</w:t>
      </w:r>
    </w:p>
    <w:p w14:paraId="34DC4678">
      <w:pPr>
        <w:pStyle w:val="15"/>
        <w:shd w:val="clear" w:color="auto" w:fill="FFFFFF"/>
        <w:spacing w:line="576" w:lineRule="exact"/>
        <w:ind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15．负责职责范围内的安全生产和职业健康、生态环境保护、审批服务便民化等工作。</w:t>
      </w:r>
    </w:p>
    <w:p w14:paraId="0BB504E4">
      <w:pPr>
        <w:pStyle w:val="15"/>
        <w:shd w:val="clear" w:color="auto" w:fill="FFFFFF"/>
        <w:spacing w:line="576" w:lineRule="exact"/>
        <w:ind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16．完成区委、区政府交办的其他任务。</w:t>
      </w:r>
    </w:p>
    <w:p w14:paraId="5C439898">
      <w:pPr>
        <w:pStyle w:val="4"/>
        <w:spacing w:before="0" w:after="0" w:line="576" w:lineRule="exact"/>
        <w:ind w:firstLine="640" w:firstLineChars="200"/>
        <w:rPr>
          <w:rFonts w:hint="default" w:ascii="Times New Roman" w:hAnsi="Times New Roman" w:eastAsia="黑体" w:cs="Times New Roman"/>
          <w:b w:val="0"/>
        </w:rPr>
      </w:pPr>
      <w:bookmarkStart w:id="23" w:name="_Toc15377200"/>
      <w:bookmarkStart w:id="24" w:name="_Toc24965"/>
      <w:bookmarkStart w:id="25" w:name="_Toc15396601"/>
      <w:r>
        <w:rPr>
          <w:rFonts w:hint="default" w:ascii="Times New Roman" w:hAnsi="Times New Roman" w:eastAsia="黑体" w:cs="Times New Roman"/>
          <w:b w:val="0"/>
        </w:rPr>
        <w:t>二、机构设置</w:t>
      </w:r>
      <w:bookmarkEnd w:id="23"/>
      <w:bookmarkEnd w:id="24"/>
      <w:bookmarkEnd w:id="25"/>
    </w:p>
    <w:p w14:paraId="7EE3AAAF">
      <w:pPr>
        <w:spacing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广元市自然资源局昭化区分局下属二级预算单位0个，其中行政单位0个，参照公务员法管理的事业单位</w:t>
      </w:r>
      <w:r>
        <w:rPr>
          <w:rFonts w:hint="default" w:ascii="Times New Roman" w:hAnsi="Times New Roman" w:eastAsia="仿宋_GB2312" w:cs="Times New Roman"/>
          <w:bCs/>
          <w:sz w:val="32"/>
          <w:szCs w:val="32"/>
        </w:rPr>
        <w:t>0</w:t>
      </w:r>
      <w:r>
        <w:rPr>
          <w:rFonts w:hint="default" w:ascii="Times New Roman" w:hAnsi="Times New Roman" w:eastAsia="仿宋_GB2312" w:cs="Times New Roman"/>
          <w:sz w:val="32"/>
          <w:szCs w:val="32"/>
        </w:rPr>
        <w:t>个，其他事业单位0个。</w:t>
      </w:r>
    </w:p>
    <w:p w14:paraId="771ECE33">
      <w:pPr>
        <w:widowControl/>
        <w:spacing w:line="576"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rPr>
        <w:br w:type="page"/>
      </w:r>
    </w:p>
    <w:p w14:paraId="4206C76F">
      <w:pPr>
        <w:pStyle w:val="3"/>
        <w:spacing w:before="0" w:after="0" w:line="600" w:lineRule="exact"/>
        <w:jc w:val="center"/>
        <w:rPr>
          <w:rFonts w:hint="default" w:ascii="Times New Roman" w:hAnsi="Times New Roman" w:eastAsia="方正小标宋简体" w:cs="Times New Roman"/>
          <w:b w:val="0"/>
        </w:rPr>
      </w:pPr>
      <w:bookmarkStart w:id="26" w:name="_Toc15377204"/>
      <w:bookmarkStart w:id="27" w:name="_Toc3782"/>
      <w:bookmarkStart w:id="28" w:name="_Toc15396602"/>
      <w:r>
        <w:rPr>
          <w:rFonts w:hint="default" w:ascii="Times New Roman" w:hAnsi="Times New Roman" w:eastAsia="方正小标宋简体" w:cs="Times New Roman"/>
          <w:b w:val="0"/>
        </w:rPr>
        <w:t>第二部分  2022年度部门决算情况说明</w:t>
      </w:r>
      <w:bookmarkEnd w:id="26"/>
      <w:bookmarkEnd w:id="27"/>
      <w:bookmarkEnd w:id="28"/>
    </w:p>
    <w:p w14:paraId="7AF07644">
      <w:pPr>
        <w:spacing w:line="550" w:lineRule="exact"/>
        <w:rPr>
          <w:rFonts w:hint="default" w:ascii="Times New Roman" w:hAnsi="Times New Roman" w:cs="Times New Roman"/>
        </w:rPr>
      </w:pPr>
    </w:p>
    <w:p w14:paraId="569A4AA5">
      <w:pPr>
        <w:pStyle w:val="30"/>
        <w:spacing w:line="550" w:lineRule="exact"/>
        <w:ind w:firstLine="640"/>
        <w:outlineLvl w:val="1"/>
        <w:rPr>
          <w:rStyle w:val="32"/>
          <w:rFonts w:hint="default" w:ascii="Times New Roman" w:hAnsi="Times New Roman" w:eastAsia="黑体" w:cs="Times New Roman"/>
          <w:b w:val="0"/>
          <w:bCs w:val="0"/>
        </w:rPr>
      </w:pPr>
      <w:bookmarkStart w:id="29" w:name="_Toc15396603"/>
      <w:bookmarkStart w:id="30" w:name="_Toc3642"/>
      <w:bookmarkStart w:id="31" w:name="_Toc15377205"/>
      <w:r>
        <w:rPr>
          <w:rFonts w:hint="default" w:ascii="Times New Roman" w:hAnsi="Times New Roman" w:eastAsia="黑体" w:cs="Times New Roman"/>
          <w:sz w:val="32"/>
          <w:szCs w:val="32"/>
        </w:rPr>
        <w:t>一、收</w:t>
      </w:r>
      <w:r>
        <w:rPr>
          <w:rStyle w:val="32"/>
          <w:rFonts w:hint="default" w:ascii="Times New Roman" w:hAnsi="Times New Roman" w:eastAsia="黑体" w:cs="Times New Roman"/>
          <w:b w:val="0"/>
          <w:bCs w:val="0"/>
        </w:rPr>
        <w:t>入支出决算总体情况说明</w:t>
      </w:r>
      <w:bookmarkEnd w:id="29"/>
      <w:bookmarkEnd w:id="30"/>
      <w:bookmarkEnd w:id="31"/>
    </w:p>
    <w:p w14:paraId="2A9892C3">
      <w:pPr>
        <w:spacing w:line="55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2022年度收、支总计9003.24万元。与2021年相比，收、支总计各减少1700.99万元，下降15.89%。主要变动原因是</w:t>
      </w:r>
      <w:bookmarkStart w:id="32" w:name="_Hlk20128608"/>
      <w:r>
        <w:rPr>
          <w:rFonts w:hint="default" w:ascii="Times New Roman" w:hAnsi="Times New Roman" w:eastAsia="仿宋_GB2312" w:cs="Times New Roman"/>
          <w:spacing w:val="-6"/>
          <w:sz w:val="32"/>
          <w:szCs w:val="32"/>
        </w:rPr>
        <w:t>项目资金预算收支</w:t>
      </w:r>
      <w:bookmarkEnd w:id="32"/>
      <w:r>
        <w:rPr>
          <w:rFonts w:hint="default" w:ascii="Times New Roman" w:hAnsi="Times New Roman" w:eastAsia="仿宋_GB2312" w:cs="Times New Roman"/>
          <w:spacing w:val="-6"/>
          <w:sz w:val="32"/>
          <w:szCs w:val="32"/>
        </w:rPr>
        <w:t>减少</w:t>
      </w:r>
      <w:r>
        <w:rPr>
          <w:rFonts w:hint="default" w:ascii="Times New Roman" w:hAnsi="Times New Roman" w:eastAsia="仿宋_GB2312" w:cs="Times New Roman"/>
          <w:sz w:val="32"/>
          <w:szCs w:val="32"/>
        </w:rPr>
        <w:t>。</w:t>
      </w:r>
    </w:p>
    <w:p w14:paraId="12B6D1DD">
      <w:pPr>
        <w:pStyle w:val="7"/>
        <w:spacing w:before="93"/>
        <w:jc w:val="center"/>
        <w:rPr>
          <w:rFonts w:hint="default" w:ascii="Times New Roman" w:hAnsi="Times New Roman" w:cs="Times New Roman"/>
        </w:rPr>
      </w:pPr>
      <w:r>
        <w:rPr>
          <w:rFonts w:hint="default" w:ascii="Times New Roman" w:hAnsi="Times New Roman" w:cs="Times New Roman"/>
        </w:rPr>
        <w:drawing>
          <wp:inline distT="0" distB="0" distL="114300" distR="114300">
            <wp:extent cx="3510915" cy="1871980"/>
            <wp:effectExtent l="0" t="0" r="13335" b="13970"/>
            <wp:docPr id="3" name="图片 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
                    <pic:cNvPicPr>
                      <a:picLocks noChangeAspect="1"/>
                    </pic:cNvPicPr>
                  </pic:nvPicPr>
                  <pic:blipFill>
                    <a:blip r:embed="rId10">
                      <a:lum bright="-12000" contrast="24000"/>
                    </a:blip>
                    <a:srcRect l="3201" t="6154" r="2027" b="8333"/>
                    <a:stretch>
                      <a:fillRect/>
                    </a:stretch>
                  </pic:blipFill>
                  <pic:spPr>
                    <a:xfrm>
                      <a:off x="0" y="0"/>
                      <a:ext cx="3510915" cy="1871980"/>
                    </a:xfrm>
                    <a:prstGeom prst="rect">
                      <a:avLst/>
                    </a:prstGeom>
                  </pic:spPr>
                </pic:pic>
              </a:graphicData>
            </a:graphic>
          </wp:inline>
        </w:drawing>
      </w:r>
    </w:p>
    <w:p w14:paraId="3FDAA0F2">
      <w:pPr>
        <w:shd w:val="clear" w:color="auto" w:fill="FFFFFF" w:themeFill="background1"/>
        <w:spacing w:line="400" w:lineRule="exact"/>
        <w:jc w:val="center"/>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（图1：收、支决算总计变动情况图）</w:t>
      </w:r>
    </w:p>
    <w:p w14:paraId="0B20EC8A">
      <w:pPr>
        <w:pStyle w:val="30"/>
        <w:spacing w:line="550" w:lineRule="exact"/>
        <w:ind w:firstLine="640"/>
        <w:outlineLvl w:val="1"/>
        <w:rPr>
          <w:rFonts w:hint="default" w:ascii="Times New Roman" w:hAnsi="Times New Roman" w:eastAsia="黑体" w:cs="Times New Roman"/>
          <w:sz w:val="32"/>
          <w:szCs w:val="32"/>
        </w:rPr>
      </w:pPr>
      <w:bookmarkStart w:id="33" w:name="_Toc15396604"/>
      <w:bookmarkStart w:id="34" w:name="_Toc15377206"/>
      <w:bookmarkStart w:id="35" w:name="_Toc3687"/>
      <w:r>
        <w:rPr>
          <w:rFonts w:hint="default" w:ascii="Times New Roman" w:hAnsi="Times New Roman" w:eastAsia="黑体" w:cs="Times New Roman"/>
          <w:sz w:val="32"/>
          <w:szCs w:val="32"/>
        </w:rPr>
        <w:t>二、收入决算情况说明</w:t>
      </w:r>
      <w:bookmarkEnd w:id="33"/>
      <w:bookmarkEnd w:id="34"/>
      <w:bookmarkEnd w:id="35"/>
    </w:p>
    <w:p w14:paraId="20BAB257">
      <w:pPr>
        <w:spacing w:line="550" w:lineRule="exact"/>
        <w:ind w:firstLine="640" w:firstLineChars="200"/>
        <w:outlineLvl w:val="1"/>
        <w:rPr>
          <w:rFonts w:hint="default" w:ascii="Times New Roman" w:hAnsi="Times New Roman" w:eastAsia="仿宋_GB2312" w:cs="Times New Roman"/>
          <w:sz w:val="32"/>
          <w:szCs w:val="32"/>
        </w:rPr>
      </w:pPr>
      <w:bookmarkStart w:id="36" w:name="_Toc5555"/>
      <w:r>
        <w:rPr>
          <w:rFonts w:hint="default" w:ascii="Times New Roman" w:hAnsi="Times New Roman" w:eastAsia="仿宋_GB2312" w:cs="Times New Roman"/>
          <w:sz w:val="32"/>
          <w:szCs w:val="32"/>
        </w:rPr>
        <w:t>2022年本年收入合计9003.24万元，其中：一般公共预算财政拨款收入3869.78万元，占42.98%；政府性基金预算财政拨款收入5133.47万元，占57.02%。</w:t>
      </w:r>
      <w:bookmarkEnd w:id="36"/>
    </w:p>
    <w:p w14:paraId="24156A89">
      <w:pPr>
        <w:jc w:val="center"/>
        <w:rPr>
          <w:rFonts w:hint="default" w:ascii="Times New Roman" w:hAnsi="Times New Roman" w:cs="Times New Roman" w:eastAsiaTheme="minorEastAsia"/>
        </w:rPr>
      </w:pPr>
      <w:r>
        <w:rPr>
          <w:rFonts w:hint="default" w:ascii="Times New Roman" w:hAnsi="Times New Roman" w:cs="Times New Roman" w:eastAsiaTheme="minorEastAsia"/>
        </w:rPr>
        <w:drawing>
          <wp:inline distT="0" distB="0" distL="114300" distR="114300">
            <wp:extent cx="3248660" cy="1943735"/>
            <wp:effectExtent l="0" t="0" r="8890" b="18415"/>
            <wp:docPr id="6" name="图片 6"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2"/>
                    <pic:cNvPicPr>
                      <a:picLocks noChangeAspect="1"/>
                    </pic:cNvPicPr>
                  </pic:nvPicPr>
                  <pic:blipFill>
                    <a:blip r:embed="rId11">
                      <a:lum bright="-12000" contrast="24000"/>
                    </a:blip>
                    <a:srcRect l="3277" t="4519" r="6856" b="4487"/>
                    <a:stretch>
                      <a:fillRect/>
                    </a:stretch>
                  </pic:blipFill>
                  <pic:spPr>
                    <a:xfrm>
                      <a:off x="0" y="0"/>
                      <a:ext cx="3248660" cy="1943735"/>
                    </a:xfrm>
                    <a:prstGeom prst="rect">
                      <a:avLst/>
                    </a:prstGeom>
                  </pic:spPr>
                </pic:pic>
              </a:graphicData>
            </a:graphic>
          </wp:inline>
        </w:drawing>
      </w:r>
    </w:p>
    <w:p w14:paraId="0A87F873">
      <w:pPr>
        <w:shd w:val="clear" w:color="auto" w:fill="FFFFFF" w:themeFill="background1"/>
        <w:spacing w:line="400" w:lineRule="exact"/>
        <w:jc w:val="center"/>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（图2：收入决算结构图）</w:t>
      </w:r>
    </w:p>
    <w:p w14:paraId="24CA109F">
      <w:pPr>
        <w:pStyle w:val="30"/>
        <w:spacing w:line="576" w:lineRule="exact"/>
        <w:ind w:firstLine="640"/>
        <w:outlineLvl w:val="1"/>
        <w:rPr>
          <w:rFonts w:hint="default" w:ascii="Times New Roman" w:hAnsi="Times New Roman" w:eastAsia="黑体" w:cs="Times New Roman"/>
          <w:sz w:val="32"/>
          <w:szCs w:val="32"/>
        </w:rPr>
      </w:pPr>
      <w:bookmarkStart w:id="37" w:name="_Toc15377207"/>
      <w:bookmarkStart w:id="38" w:name="_Toc18756"/>
      <w:bookmarkStart w:id="39" w:name="_Toc15396605"/>
      <w:r>
        <w:rPr>
          <w:rFonts w:hint="default" w:ascii="Times New Roman" w:hAnsi="Times New Roman" w:eastAsia="黑体" w:cs="Times New Roman"/>
          <w:sz w:val="32"/>
          <w:szCs w:val="32"/>
        </w:rPr>
        <w:t>三、支出决算情况说明</w:t>
      </w:r>
      <w:bookmarkEnd w:id="37"/>
      <w:bookmarkEnd w:id="38"/>
      <w:bookmarkEnd w:id="39"/>
    </w:p>
    <w:p w14:paraId="6B4C6AA7">
      <w:pPr>
        <w:spacing w:line="576" w:lineRule="exact"/>
        <w:ind w:firstLine="640" w:firstLineChars="200"/>
        <w:outlineLvl w:val="1"/>
        <w:rPr>
          <w:rFonts w:hint="default" w:ascii="Times New Roman" w:hAnsi="Times New Roman" w:eastAsia="仿宋_GB2312" w:cs="Times New Roman"/>
          <w:sz w:val="32"/>
          <w:szCs w:val="32"/>
          <w:highlight w:val="yellow"/>
        </w:rPr>
      </w:pPr>
      <w:bookmarkStart w:id="40" w:name="_Toc24073"/>
      <w:r>
        <w:rPr>
          <w:rFonts w:hint="default" w:ascii="Times New Roman" w:hAnsi="Times New Roman" w:eastAsia="仿宋_GB2312" w:cs="Times New Roman"/>
          <w:sz w:val="32"/>
          <w:szCs w:val="32"/>
        </w:rPr>
        <w:t>2022年本年支出合计9003.24万元，其中：基本支出986.54万元，占10.96%；项目支出8016.71万元，占89.04%。</w:t>
      </w:r>
      <w:bookmarkEnd w:id="40"/>
    </w:p>
    <w:p w14:paraId="729D49BA">
      <w:pPr>
        <w:jc w:val="center"/>
        <w:rPr>
          <w:rFonts w:hint="default" w:ascii="Times New Roman" w:hAnsi="Times New Roman" w:eastAsia="仿宋_GB2312" w:cs="Times New Roman"/>
          <w:sz w:val="32"/>
          <w:szCs w:val="32"/>
          <w:shd w:val="pct10" w:color="auto" w:fill="FFFFFF"/>
        </w:rPr>
      </w:pPr>
      <w:r>
        <w:rPr>
          <w:rFonts w:hint="default" w:ascii="Times New Roman" w:hAnsi="Times New Roman" w:cs="Times New Roman"/>
        </w:rPr>
        <w:drawing>
          <wp:inline distT="0" distB="0" distL="114300" distR="114300">
            <wp:extent cx="2621280" cy="1908175"/>
            <wp:effectExtent l="0" t="0" r="7620" b="15875"/>
            <wp:docPr id="7" name="图片 7" descr="0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0123"/>
                    <pic:cNvPicPr>
                      <a:picLocks noChangeAspect="1"/>
                    </pic:cNvPicPr>
                  </pic:nvPicPr>
                  <pic:blipFill>
                    <a:blip r:embed="rId12"/>
                    <a:srcRect l="4452" t="5650" r="24175" b="6276"/>
                    <a:stretch>
                      <a:fillRect/>
                    </a:stretch>
                  </pic:blipFill>
                  <pic:spPr>
                    <a:xfrm>
                      <a:off x="0" y="0"/>
                      <a:ext cx="2621280" cy="1908175"/>
                    </a:xfrm>
                    <a:prstGeom prst="rect">
                      <a:avLst/>
                    </a:prstGeom>
                  </pic:spPr>
                </pic:pic>
              </a:graphicData>
            </a:graphic>
          </wp:inline>
        </w:drawing>
      </w:r>
    </w:p>
    <w:p w14:paraId="6D7C0522">
      <w:pPr>
        <w:shd w:val="clear" w:color="auto" w:fill="FFFFFF" w:themeFill="background1"/>
        <w:spacing w:line="400" w:lineRule="exact"/>
        <w:jc w:val="center"/>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（图3：支出决算结构图）</w:t>
      </w:r>
    </w:p>
    <w:p w14:paraId="6A791902">
      <w:pPr>
        <w:shd w:val="clear" w:color="auto" w:fill="FFFFFF" w:themeFill="background1"/>
        <w:spacing w:line="240" w:lineRule="exact"/>
        <w:jc w:val="center"/>
        <w:rPr>
          <w:rFonts w:hint="default" w:ascii="Times New Roman" w:hAnsi="Times New Roman" w:cs="Times New Roman" w:eastAsiaTheme="minorEastAsia"/>
          <w:sz w:val="28"/>
          <w:szCs w:val="28"/>
        </w:rPr>
      </w:pPr>
    </w:p>
    <w:p w14:paraId="2F2B5843">
      <w:pPr>
        <w:pStyle w:val="30"/>
        <w:spacing w:line="576" w:lineRule="exact"/>
        <w:ind w:firstLine="640"/>
        <w:outlineLvl w:val="1"/>
        <w:rPr>
          <w:rFonts w:hint="default" w:ascii="Times New Roman" w:hAnsi="Times New Roman" w:eastAsia="黑体" w:cs="Times New Roman"/>
          <w:sz w:val="32"/>
          <w:szCs w:val="32"/>
        </w:rPr>
      </w:pPr>
      <w:bookmarkStart w:id="41" w:name="_Toc15396606"/>
      <w:bookmarkStart w:id="42" w:name="_Toc15377208"/>
      <w:bookmarkStart w:id="43" w:name="_Toc14307"/>
      <w:r>
        <w:rPr>
          <w:rFonts w:hint="default" w:ascii="Times New Roman" w:hAnsi="Times New Roman" w:eastAsia="黑体" w:cs="Times New Roman"/>
          <w:sz w:val="32"/>
          <w:szCs w:val="32"/>
        </w:rPr>
        <w:t>四、财政拨款收入支出决算总体情况说明</w:t>
      </w:r>
      <w:bookmarkEnd w:id="41"/>
      <w:bookmarkEnd w:id="42"/>
      <w:bookmarkEnd w:id="43"/>
    </w:p>
    <w:p w14:paraId="20D9A1C8">
      <w:pPr>
        <w:spacing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2022年财政拨款收、支总计9003.24万元。与2021年相比，财政拨款收、支总计各减少1700.99万元，下降15.89%。主要变动原因是</w:t>
      </w:r>
      <w:r>
        <w:rPr>
          <w:rFonts w:hint="default" w:ascii="Times New Roman" w:hAnsi="Times New Roman" w:eastAsia="仿宋_GB2312" w:cs="Times New Roman"/>
          <w:spacing w:val="-6"/>
          <w:sz w:val="32"/>
          <w:szCs w:val="32"/>
        </w:rPr>
        <w:t>项目资金预算收支减少。</w:t>
      </w:r>
    </w:p>
    <w:p w14:paraId="1D245DD4">
      <w:pPr>
        <w:jc w:val="center"/>
        <w:rPr>
          <w:rFonts w:hint="default" w:ascii="Times New Roman" w:hAnsi="Times New Roman" w:cs="Times New Roman"/>
        </w:rPr>
      </w:pPr>
      <w:r>
        <w:rPr>
          <w:rFonts w:hint="default" w:ascii="Times New Roman" w:hAnsi="Times New Roman" w:cs="Times New Roman"/>
        </w:rPr>
        <w:drawing>
          <wp:inline distT="0" distB="0" distL="114300" distR="114300">
            <wp:extent cx="3783965" cy="1905000"/>
            <wp:effectExtent l="0" t="0" r="6985" b="0"/>
            <wp:docPr id="8" name="图片 8"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4"/>
                    <pic:cNvPicPr>
                      <a:picLocks noChangeAspect="1"/>
                    </pic:cNvPicPr>
                  </pic:nvPicPr>
                  <pic:blipFill>
                    <a:blip r:embed="rId13">
                      <a:lum bright="-18000" contrast="30000"/>
                    </a:blip>
                    <a:srcRect l="3310" t="7222" r="4087" b="9444"/>
                    <a:stretch>
                      <a:fillRect/>
                    </a:stretch>
                  </pic:blipFill>
                  <pic:spPr>
                    <a:xfrm>
                      <a:off x="0" y="0"/>
                      <a:ext cx="3783965" cy="1905000"/>
                    </a:xfrm>
                    <a:prstGeom prst="rect">
                      <a:avLst/>
                    </a:prstGeom>
                  </pic:spPr>
                </pic:pic>
              </a:graphicData>
            </a:graphic>
          </wp:inline>
        </w:drawing>
      </w:r>
    </w:p>
    <w:p w14:paraId="39C10E95">
      <w:pPr>
        <w:shd w:val="clear" w:color="auto" w:fill="FFFFFF" w:themeFill="background1"/>
        <w:spacing w:line="400" w:lineRule="exact"/>
        <w:jc w:val="center"/>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（图4：财政拨款收、支决算总计变动情况）</w:t>
      </w:r>
    </w:p>
    <w:p w14:paraId="7F0F59FF">
      <w:pPr>
        <w:shd w:val="clear" w:color="auto" w:fill="FFFFFF" w:themeFill="background1"/>
        <w:spacing w:line="240" w:lineRule="exact"/>
        <w:jc w:val="center"/>
        <w:rPr>
          <w:rFonts w:hint="default" w:ascii="Times New Roman" w:hAnsi="Times New Roman" w:cs="Times New Roman" w:eastAsiaTheme="minorEastAsia"/>
          <w:sz w:val="28"/>
          <w:szCs w:val="28"/>
        </w:rPr>
      </w:pPr>
    </w:p>
    <w:p w14:paraId="3D2ED505">
      <w:pPr>
        <w:pStyle w:val="30"/>
        <w:spacing w:line="576" w:lineRule="exact"/>
        <w:ind w:firstLine="640"/>
        <w:outlineLvl w:val="1"/>
        <w:rPr>
          <w:rFonts w:hint="default" w:ascii="Times New Roman" w:hAnsi="Times New Roman" w:eastAsia="黑体" w:cs="Times New Roman"/>
          <w:sz w:val="32"/>
          <w:szCs w:val="32"/>
        </w:rPr>
      </w:pPr>
      <w:bookmarkStart w:id="44" w:name="_Toc15377209"/>
      <w:bookmarkStart w:id="45" w:name="_Toc15396607"/>
      <w:bookmarkStart w:id="46" w:name="_Toc10336"/>
      <w:r>
        <w:rPr>
          <w:rFonts w:hint="default" w:ascii="Times New Roman" w:hAnsi="Times New Roman" w:eastAsia="黑体" w:cs="Times New Roman"/>
          <w:sz w:val="32"/>
          <w:szCs w:val="32"/>
        </w:rPr>
        <w:t>五、一般公共预算财政拨款支出决算情况说明</w:t>
      </w:r>
      <w:bookmarkEnd w:id="44"/>
      <w:bookmarkEnd w:id="45"/>
      <w:bookmarkEnd w:id="46"/>
    </w:p>
    <w:p w14:paraId="67254F2F">
      <w:pPr>
        <w:spacing w:line="576" w:lineRule="exact"/>
        <w:ind w:firstLine="640" w:firstLineChars="200"/>
        <w:outlineLvl w:val="2"/>
        <w:rPr>
          <w:rFonts w:hint="default" w:ascii="Times New Roman" w:hAnsi="Times New Roman" w:eastAsia="楷体_GB2312" w:cs="Times New Roman"/>
          <w:sz w:val="32"/>
          <w:szCs w:val="32"/>
        </w:rPr>
      </w:pPr>
      <w:bookmarkStart w:id="47" w:name="_Toc15377210"/>
      <w:r>
        <w:rPr>
          <w:rFonts w:hint="default" w:ascii="Times New Roman" w:hAnsi="Times New Roman" w:eastAsia="楷体_GB2312" w:cs="Times New Roman"/>
          <w:sz w:val="32"/>
          <w:szCs w:val="32"/>
        </w:rPr>
        <w:t>（一）一般公共预算财政拨款支出决算总体情况</w:t>
      </w:r>
      <w:bookmarkEnd w:id="47"/>
    </w:p>
    <w:p w14:paraId="5B165938">
      <w:pPr>
        <w:spacing w:line="576" w:lineRule="exact"/>
        <w:ind w:firstLine="640" w:firstLineChars="200"/>
        <w:rPr>
          <w:rFonts w:hint="default" w:ascii="Times New Roman" w:hAnsi="Times New Roman" w:eastAsia="仿宋_GB2312" w:cs="Times New Roman"/>
          <w:spacing w:val="-6"/>
          <w:sz w:val="32"/>
          <w:szCs w:val="32"/>
        </w:rPr>
      </w:pPr>
      <w:r>
        <w:rPr>
          <w:rFonts w:hint="default" w:ascii="Times New Roman" w:hAnsi="Times New Roman" w:eastAsia="仿宋_GB2312" w:cs="Times New Roman"/>
          <w:sz w:val="32"/>
          <w:szCs w:val="32"/>
        </w:rPr>
        <w:t>2022年一般公共预算财政拨款支出3869.78万元，占本年支出合计的42.98%。与2021年相比，一般公共预算财政拨款支出增加2549.23万元，增长193.04%。主要变动原因是</w:t>
      </w:r>
      <w:r>
        <w:rPr>
          <w:rFonts w:hint="default" w:ascii="Times New Roman" w:hAnsi="Times New Roman" w:eastAsia="仿宋_GB2312" w:cs="Times New Roman"/>
          <w:spacing w:val="-6"/>
          <w:sz w:val="32"/>
          <w:szCs w:val="32"/>
        </w:rPr>
        <w:t>项目资金预算收支曾加。</w:t>
      </w:r>
    </w:p>
    <w:p w14:paraId="2A67CE8B">
      <w:pPr>
        <w:jc w:val="center"/>
        <w:rPr>
          <w:rFonts w:hint="default" w:ascii="Times New Roman" w:hAnsi="Times New Roman" w:cs="Times New Roman"/>
        </w:rPr>
      </w:pPr>
      <w:r>
        <w:rPr>
          <w:rFonts w:hint="default" w:ascii="Times New Roman" w:hAnsi="Times New Roman" w:cs="Times New Roman"/>
        </w:rPr>
        <w:drawing>
          <wp:inline distT="0" distB="0" distL="114300" distR="114300">
            <wp:extent cx="3620135" cy="1764030"/>
            <wp:effectExtent l="0" t="0" r="18415" b="7620"/>
            <wp:docPr id="5" name="图片 5"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5"/>
                    <pic:cNvPicPr>
                      <a:picLocks noChangeAspect="1"/>
                    </pic:cNvPicPr>
                  </pic:nvPicPr>
                  <pic:blipFill>
                    <a:blip r:embed="rId14">
                      <a:lum bright="-12000" contrast="24000"/>
                    </a:blip>
                    <a:srcRect l="1243" t="6417" r="2471" b="9722"/>
                    <a:stretch>
                      <a:fillRect/>
                    </a:stretch>
                  </pic:blipFill>
                  <pic:spPr>
                    <a:xfrm>
                      <a:off x="0" y="0"/>
                      <a:ext cx="3620135" cy="1764030"/>
                    </a:xfrm>
                    <a:prstGeom prst="rect">
                      <a:avLst/>
                    </a:prstGeom>
                  </pic:spPr>
                </pic:pic>
              </a:graphicData>
            </a:graphic>
          </wp:inline>
        </w:drawing>
      </w:r>
    </w:p>
    <w:p w14:paraId="762F2902">
      <w:pPr>
        <w:shd w:val="clear" w:color="auto" w:fill="FFFFFF" w:themeFill="background1"/>
        <w:spacing w:line="400" w:lineRule="exact"/>
        <w:jc w:val="center"/>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（图5：一般公共预算财政拨款支出决算变动情况）（柱状图）</w:t>
      </w:r>
    </w:p>
    <w:p w14:paraId="0E1809CA">
      <w:pPr>
        <w:spacing w:line="576" w:lineRule="exact"/>
        <w:ind w:firstLine="640" w:firstLineChars="200"/>
        <w:outlineLvl w:val="2"/>
        <w:rPr>
          <w:rFonts w:hint="default" w:ascii="Times New Roman" w:hAnsi="Times New Roman" w:eastAsia="楷体_GB2312" w:cs="Times New Roman"/>
          <w:sz w:val="32"/>
          <w:szCs w:val="32"/>
        </w:rPr>
      </w:pPr>
      <w:bookmarkStart w:id="48" w:name="_Toc15377211"/>
      <w:r>
        <w:rPr>
          <w:rFonts w:hint="default" w:ascii="Times New Roman" w:hAnsi="Times New Roman" w:eastAsia="楷体_GB2312" w:cs="Times New Roman"/>
          <w:sz w:val="32"/>
          <w:szCs w:val="32"/>
        </w:rPr>
        <w:t>（二）一般公共预算财政拨款支出决算结构情况</w:t>
      </w:r>
      <w:bookmarkEnd w:id="48"/>
    </w:p>
    <w:p w14:paraId="365D090D">
      <w:pPr>
        <w:spacing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2022年一般公共预算财政拨款支出3869.78万元，主要用于以下方面：社会保障和就业支出123.58万元，占3.19%；卫生健康支出33.53万元，占0.87%；住房保障支出65.68万元，占1.70%；自然资源海洋气象等支出2079.93万元，占53.75%；灾害防治及应急管理支出1567.06万元，占40.49%。</w:t>
      </w:r>
    </w:p>
    <w:p w14:paraId="2A4D6316">
      <w:pPr>
        <w:jc w:val="center"/>
        <w:rPr>
          <w:rFonts w:hint="default" w:ascii="Times New Roman" w:hAnsi="Times New Roman" w:cs="Times New Roman" w:eastAsiaTheme="minorEastAsia"/>
        </w:rPr>
      </w:pPr>
      <w:r>
        <w:rPr>
          <w:rFonts w:hint="default" w:ascii="Times New Roman" w:hAnsi="Times New Roman" w:cs="Times New Roman" w:eastAsiaTheme="minorEastAsia"/>
        </w:rPr>
        <w:drawing>
          <wp:inline distT="0" distB="0" distL="114300" distR="114300">
            <wp:extent cx="3245485" cy="1979930"/>
            <wp:effectExtent l="0" t="0" r="12065" b="1270"/>
            <wp:docPr id="9" name="图片 9"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6"/>
                    <pic:cNvPicPr>
                      <a:picLocks noChangeAspect="1"/>
                    </pic:cNvPicPr>
                  </pic:nvPicPr>
                  <pic:blipFill>
                    <a:blip r:embed="rId15">
                      <a:lum bright="-18000" contrast="36000"/>
                    </a:blip>
                    <a:srcRect l="4050" t="5472" r="14751" b="6194"/>
                    <a:stretch>
                      <a:fillRect/>
                    </a:stretch>
                  </pic:blipFill>
                  <pic:spPr>
                    <a:xfrm>
                      <a:off x="0" y="0"/>
                      <a:ext cx="3245485" cy="1979930"/>
                    </a:xfrm>
                    <a:prstGeom prst="rect">
                      <a:avLst/>
                    </a:prstGeom>
                  </pic:spPr>
                </pic:pic>
              </a:graphicData>
            </a:graphic>
          </wp:inline>
        </w:drawing>
      </w:r>
    </w:p>
    <w:p w14:paraId="5B209A35">
      <w:pPr>
        <w:shd w:val="clear" w:color="auto" w:fill="FFFFFF" w:themeFill="background1"/>
        <w:spacing w:line="400" w:lineRule="exact"/>
        <w:jc w:val="center"/>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（图6：一般公共预算财政拨款支出决算结构）</w:t>
      </w:r>
    </w:p>
    <w:p w14:paraId="65D99C38">
      <w:pPr>
        <w:shd w:val="clear" w:color="auto" w:fill="FFFFFF" w:themeFill="background1"/>
        <w:spacing w:line="240" w:lineRule="exact"/>
        <w:jc w:val="center"/>
        <w:rPr>
          <w:rFonts w:hint="default" w:ascii="Times New Roman" w:hAnsi="Times New Roman" w:cs="Times New Roman" w:eastAsiaTheme="minorEastAsia"/>
          <w:sz w:val="28"/>
          <w:szCs w:val="28"/>
        </w:rPr>
      </w:pPr>
    </w:p>
    <w:p w14:paraId="589833FA">
      <w:pPr>
        <w:spacing w:line="576" w:lineRule="exact"/>
        <w:ind w:firstLine="640" w:firstLineChars="200"/>
        <w:outlineLvl w:val="2"/>
        <w:rPr>
          <w:rFonts w:hint="default" w:ascii="Times New Roman" w:hAnsi="Times New Roman" w:eastAsia="楷体_GB2312" w:cs="Times New Roman"/>
          <w:sz w:val="32"/>
          <w:szCs w:val="32"/>
        </w:rPr>
      </w:pPr>
      <w:bookmarkStart w:id="49" w:name="_Toc15377212"/>
      <w:r>
        <w:rPr>
          <w:rFonts w:hint="default" w:ascii="Times New Roman" w:hAnsi="Times New Roman" w:eastAsia="楷体_GB2312" w:cs="Times New Roman"/>
          <w:sz w:val="32"/>
          <w:szCs w:val="32"/>
        </w:rPr>
        <w:t>（三）一般公共预算财政拨款支出决算具体情况</w:t>
      </w:r>
      <w:bookmarkEnd w:id="49"/>
    </w:p>
    <w:p w14:paraId="21D0ED94">
      <w:pPr>
        <w:spacing w:line="576" w:lineRule="exact"/>
        <w:ind w:firstLine="640" w:firstLineChars="200"/>
        <w:outlineLvl w:val="1"/>
        <w:rPr>
          <w:rFonts w:hint="default" w:ascii="Times New Roman" w:hAnsi="Times New Roman" w:eastAsia="仿宋_GB2312" w:cs="Times New Roman"/>
          <w:color w:val="auto"/>
          <w:sz w:val="32"/>
          <w:szCs w:val="32"/>
        </w:rPr>
      </w:pPr>
      <w:bookmarkStart w:id="50" w:name="_Toc15378460"/>
      <w:bookmarkStart w:id="51" w:name="_Toc31232"/>
      <w:bookmarkStart w:id="52" w:name="_Toc15377444"/>
      <w:bookmarkStart w:id="53" w:name="_Toc15377213"/>
      <w:r>
        <w:rPr>
          <w:rFonts w:hint="default" w:ascii="Times New Roman" w:hAnsi="Times New Roman" w:eastAsia="仿宋_GB2312" w:cs="Times New Roman"/>
          <w:color w:val="auto"/>
          <w:sz w:val="32"/>
          <w:szCs w:val="32"/>
        </w:rPr>
        <w:t>2022年一般公共预算支出决算数为3869.78，</w:t>
      </w:r>
      <w:r>
        <w:rPr>
          <w:rStyle w:val="20"/>
          <w:rFonts w:hint="default" w:ascii="Times New Roman" w:hAnsi="Times New Roman" w:eastAsia="仿宋_GB2312" w:cs="Times New Roman"/>
          <w:b w:val="0"/>
          <w:color w:val="auto"/>
          <w:sz w:val="32"/>
          <w:szCs w:val="32"/>
        </w:rPr>
        <w:t>完成预算100%。其中：</w:t>
      </w:r>
      <w:bookmarkEnd w:id="50"/>
      <w:bookmarkEnd w:id="51"/>
      <w:bookmarkEnd w:id="52"/>
      <w:bookmarkEnd w:id="53"/>
    </w:p>
    <w:p w14:paraId="614FE086">
      <w:pPr>
        <w:spacing w:line="576" w:lineRule="exact"/>
        <w:ind w:firstLine="640" w:firstLineChars="200"/>
        <w:rPr>
          <w:rStyle w:val="20"/>
          <w:rFonts w:hint="default" w:ascii="Times New Roman" w:hAnsi="Times New Roman" w:eastAsia="仿宋_GB2312" w:cs="Times New Roman"/>
          <w:b w:val="0"/>
          <w:color w:val="auto"/>
          <w:sz w:val="32"/>
          <w:szCs w:val="32"/>
        </w:rPr>
      </w:pPr>
      <w:r>
        <w:rPr>
          <w:rStyle w:val="20"/>
          <w:rFonts w:hint="default" w:ascii="Times New Roman" w:hAnsi="Times New Roman" w:eastAsia="仿宋_GB2312" w:cs="Times New Roman"/>
          <w:b w:val="0"/>
          <w:color w:val="auto"/>
          <w:sz w:val="32"/>
          <w:szCs w:val="32"/>
        </w:rPr>
        <w:t>1</w:t>
      </w:r>
      <w:r>
        <w:rPr>
          <w:rStyle w:val="20"/>
          <w:rFonts w:hint="default" w:ascii="Times New Roman" w:hAnsi="Times New Roman" w:eastAsia="仿宋_GB2312" w:cs="Times New Roman"/>
          <w:b w:val="0"/>
          <w:color w:val="auto"/>
          <w:sz w:val="32"/>
          <w:szCs w:val="32"/>
          <w:lang w:eastAsia="zh-CN"/>
        </w:rPr>
        <w:t>．</w:t>
      </w:r>
      <w:r>
        <w:rPr>
          <w:rStyle w:val="20"/>
          <w:rFonts w:hint="default" w:ascii="Times New Roman" w:hAnsi="Times New Roman" w:eastAsia="仿宋_GB2312" w:cs="Times New Roman"/>
          <w:b w:val="0"/>
          <w:color w:val="auto"/>
          <w:sz w:val="32"/>
          <w:szCs w:val="32"/>
        </w:rPr>
        <w:t>社会保障和就业支出（类）行政事业单位养老支出（款）行政单位离退休（项）：支出决算为36万元，完成预算100%，决算数与预算数持平。</w:t>
      </w:r>
    </w:p>
    <w:p w14:paraId="61AC5EFE">
      <w:pPr>
        <w:spacing w:line="576" w:lineRule="exact"/>
        <w:ind w:firstLine="640" w:firstLineChars="200"/>
        <w:rPr>
          <w:rStyle w:val="20"/>
          <w:rFonts w:hint="default" w:ascii="Times New Roman" w:hAnsi="Times New Roman" w:eastAsia="仿宋_GB2312" w:cs="Times New Roman"/>
          <w:b w:val="0"/>
          <w:color w:val="auto"/>
          <w:sz w:val="32"/>
          <w:szCs w:val="32"/>
        </w:rPr>
      </w:pP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lang w:eastAsia="zh-CN"/>
        </w:rPr>
        <w:t>．</w:t>
      </w:r>
      <w:r>
        <w:rPr>
          <w:rStyle w:val="20"/>
          <w:rFonts w:hint="default" w:ascii="Times New Roman" w:hAnsi="Times New Roman" w:eastAsia="仿宋_GB2312" w:cs="Times New Roman"/>
          <w:b w:val="0"/>
          <w:color w:val="auto"/>
          <w:sz w:val="32"/>
          <w:szCs w:val="32"/>
        </w:rPr>
        <w:t>社会保障和就业支出（类）行政事业单位养老支出（款）机关事业单位基本养老保险缴费支出（项）：支出决算为</w:t>
      </w:r>
      <w:r>
        <w:rPr>
          <w:rFonts w:hint="default" w:ascii="Times New Roman" w:hAnsi="Times New Roman" w:eastAsia="仿宋_GB2312" w:cs="Times New Roman"/>
          <w:color w:val="auto"/>
          <w:sz w:val="32"/>
          <w:szCs w:val="32"/>
        </w:rPr>
        <w:t>87.58</w:t>
      </w:r>
      <w:r>
        <w:rPr>
          <w:rStyle w:val="20"/>
          <w:rFonts w:hint="default" w:ascii="Times New Roman" w:hAnsi="Times New Roman" w:eastAsia="仿宋_GB2312" w:cs="Times New Roman"/>
          <w:b w:val="0"/>
          <w:color w:val="auto"/>
          <w:sz w:val="32"/>
          <w:szCs w:val="32"/>
        </w:rPr>
        <w:t>万元，完成预算100%，决算数与预算数持平。</w:t>
      </w:r>
    </w:p>
    <w:p w14:paraId="64BBEBD2">
      <w:pPr>
        <w:spacing w:line="576" w:lineRule="exact"/>
        <w:ind w:firstLine="640" w:firstLineChars="200"/>
        <w:rPr>
          <w:rStyle w:val="20"/>
          <w:rFonts w:hint="default" w:ascii="Times New Roman" w:hAnsi="Times New Roman" w:eastAsia="仿宋_GB2312" w:cs="Times New Roman"/>
          <w:b w:val="0"/>
          <w:color w:val="auto"/>
          <w:sz w:val="32"/>
          <w:szCs w:val="32"/>
        </w:rPr>
      </w:pPr>
      <w:r>
        <w:rPr>
          <w:rFonts w:hint="default" w:ascii="Times New Roman" w:hAnsi="Times New Roman" w:eastAsia="仿宋_GB2312" w:cs="Times New Roman"/>
          <w:color w:val="auto"/>
          <w:sz w:val="32"/>
          <w:szCs w:val="32"/>
        </w:rPr>
        <w:t>3</w:t>
      </w:r>
      <w:r>
        <w:rPr>
          <w:rFonts w:hint="default" w:ascii="Times New Roman" w:hAnsi="Times New Roman" w:eastAsia="仿宋_GB2312" w:cs="Times New Roman"/>
          <w:color w:val="auto"/>
          <w:sz w:val="32"/>
          <w:szCs w:val="32"/>
          <w:lang w:eastAsia="zh-CN"/>
        </w:rPr>
        <w:t>．</w:t>
      </w:r>
      <w:r>
        <w:rPr>
          <w:rStyle w:val="20"/>
          <w:rFonts w:hint="default" w:ascii="Times New Roman" w:hAnsi="Times New Roman" w:eastAsia="仿宋_GB2312" w:cs="Times New Roman"/>
          <w:b w:val="0"/>
          <w:color w:val="auto"/>
          <w:sz w:val="32"/>
          <w:szCs w:val="32"/>
        </w:rPr>
        <w:t>卫生健康支出（类）行政事业单位医疗（款）</w:t>
      </w:r>
      <w:r>
        <w:rPr>
          <w:rFonts w:hint="default" w:ascii="Times New Roman" w:hAnsi="Times New Roman" w:eastAsia="仿宋_GB2312" w:cs="Times New Roman"/>
          <w:color w:val="auto"/>
          <w:sz w:val="32"/>
          <w:szCs w:val="32"/>
        </w:rPr>
        <w:t>行政单位医疗（项）：支出决算数为33.53万元，</w:t>
      </w:r>
      <w:r>
        <w:rPr>
          <w:rStyle w:val="20"/>
          <w:rFonts w:hint="default" w:ascii="Times New Roman" w:hAnsi="Times New Roman" w:eastAsia="仿宋_GB2312" w:cs="Times New Roman"/>
          <w:b w:val="0"/>
          <w:color w:val="auto"/>
          <w:sz w:val="32"/>
          <w:szCs w:val="32"/>
        </w:rPr>
        <w:t>完成预算100%，决算数与预算数持平。</w:t>
      </w:r>
    </w:p>
    <w:p w14:paraId="04603BF0">
      <w:pPr>
        <w:spacing w:line="576" w:lineRule="exact"/>
        <w:ind w:firstLine="640" w:firstLineChars="200"/>
        <w:rPr>
          <w:rStyle w:val="20"/>
          <w:rFonts w:hint="default" w:ascii="Times New Roman" w:hAnsi="Times New Roman" w:eastAsia="仿宋_GB2312" w:cs="Times New Roman"/>
          <w:b w:val="0"/>
          <w:color w:val="auto"/>
          <w:sz w:val="32"/>
          <w:szCs w:val="32"/>
        </w:rPr>
      </w:pPr>
      <w:r>
        <w:rPr>
          <w:rStyle w:val="20"/>
          <w:rFonts w:hint="default" w:ascii="Times New Roman" w:hAnsi="Times New Roman" w:eastAsia="仿宋_GB2312" w:cs="Times New Roman"/>
          <w:b w:val="0"/>
          <w:color w:val="auto"/>
          <w:sz w:val="32"/>
          <w:szCs w:val="32"/>
        </w:rPr>
        <w:t>7</w:t>
      </w:r>
      <w:r>
        <w:rPr>
          <w:rStyle w:val="20"/>
          <w:rFonts w:hint="default" w:ascii="Times New Roman" w:hAnsi="Times New Roman" w:eastAsia="仿宋_GB2312" w:cs="Times New Roman"/>
          <w:b w:val="0"/>
          <w:color w:val="auto"/>
          <w:sz w:val="32"/>
          <w:szCs w:val="32"/>
          <w:lang w:eastAsia="zh-CN"/>
        </w:rPr>
        <w:t>．</w:t>
      </w:r>
      <w:r>
        <w:rPr>
          <w:rStyle w:val="20"/>
          <w:rFonts w:hint="default" w:ascii="Times New Roman" w:hAnsi="Times New Roman" w:eastAsia="仿宋_GB2312" w:cs="Times New Roman"/>
          <w:b w:val="0"/>
          <w:color w:val="auto"/>
          <w:sz w:val="32"/>
          <w:szCs w:val="32"/>
        </w:rPr>
        <w:t>住房保障支出（类）住房改革支出（款）</w:t>
      </w:r>
      <w:r>
        <w:rPr>
          <w:rFonts w:hint="default" w:ascii="Times New Roman" w:hAnsi="Times New Roman" w:eastAsia="仿宋_GB2312" w:cs="Times New Roman"/>
          <w:color w:val="auto"/>
          <w:sz w:val="32"/>
          <w:szCs w:val="32"/>
        </w:rPr>
        <w:t>住房公积金（项）：支出决算数为65.68万元，</w:t>
      </w:r>
      <w:r>
        <w:rPr>
          <w:rStyle w:val="20"/>
          <w:rFonts w:hint="default" w:ascii="Times New Roman" w:hAnsi="Times New Roman" w:eastAsia="仿宋_GB2312" w:cs="Times New Roman"/>
          <w:b w:val="0"/>
          <w:color w:val="auto"/>
          <w:sz w:val="32"/>
          <w:szCs w:val="32"/>
        </w:rPr>
        <w:t>完成预算100%，决算数与预算数持平。</w:t>
      </w:r>
    </w:p>
    <w:p w14:paraId="6E74DFE6">
      <w:pPr>
        <w:spacing w:line="576" w:lineRule="exact"/>
        <w:ind w:firstLine="640" w:firstLineChars="200"/>
        <w:rPr>
          <w:rStyle w:val="20"/>
          <w:rFonts w:hint="default" w:ascii="Times New Roman" w:hAnsi="Times New Roman" w:eastAsia="仿宋_GB2312" w:cs="Times New Roman"/>
          <w:b w:val="0"/>
          <w:color w:val="auto"/>
          <w:sz w:val="32"/>
          <w:szCs w:val="32"/>
        </w:rPr>
      </w:pPr>
      <w:r>
        <w:rPr>
          <w:rFonts w:hint="default" w:ascii="Times New Roman" w:hAnsi="Times New Roman" w:eastAsia="仿宋_GB2312" w:cs="Times New Roman"/>
          <w:color w:val="auto"/>
          <w:sz w:val="32"/>
          <w:szCs w:val="32"/>
        </w:rPr>
        <w:t>4</w:t>
      </w:r>
      <w:r>
        <w:rPr>
          <w:rFonts w:hint="default" w:ascii="Times New Roman" w:hAnsi="Times New Roman" w:eastAsia="仿宋_GB2312" w:cs="Times New Roman"/>
          <w:color w:val="auto"/>
          <w:sz w:val="32"/>
          <w:szCs w:val="32"/>
          <w:lang w:eastAsia="zh-CN"/>
        </w:rPr>
        <w:t>．</w:t>
      </w:r>
      <w:r>
        <w:rPr>
          <w:rStyle w:val="20"/>
          <w:rFonts w:hint="default" w:ascii="Times New Roman" w:hAnsi="Times New Roman" w:eastAsia="仿宋_GB2312" w:cs="Times New Roman"/>
          <w:b w:val="0"/>
          <w:color w:val="auto"/>
          <w:sz w:val="32"/>
          <w:szCs w:val="32"/>
        </w:rPr>
        <w:t>自然资源海洋气象等支出（类）自然资源事务（款）</w:t>
      </w:r>
      <w:r>
        <w:rPr>
          <w:rFonts w:hint="default" w:ascii="Times New Roman" w:hAnsi="Times New Roman" w:eastAsia="仿宋_GB2312" w:cs="Times New Roman"/>
          <w:color w:val="auto"/>
          <w:sz w:val="32"/>
          <w:szCs w:val="32"/>
        </w:rPr>
        <w:t>行政运行（项）：支出决算数为763.75万元，</w:t>
      </w:r>
      <w:r>
        <w:rPr>
          <w:rStyle w:val="20"/>
          <w:rFonts w:hint="default" w:ascii="Times New Roman" w:hAnsi="Times New Roman" w:eastAsia="仿宋_GB2312" w:cs="Times New Roman"/>
          <w:b w:val="0"/>
          <w:color w:val="auto"/>
          <w:sz w:val="32"/>
          <w:szCs w:val="32"/>
        </w:rPr>
        <w:t>完成预算100%，决算数与预算数持平。</w:t>
      </w:r>
    </w:p>
    <w:p w14:paraId="4DA2C936">
      <w:pPr>
        <w:spacing w:line="576" w:lineRule="exact"/>
        <w:ind w:firstLine="640" w:firstLineChars="200"/>
        <w:rPr>
          <w:rStyle w:val="20"/>
          <w:rFonts w:hint="default" w:ascii="Times New Roman" w:hAnsi="Times New Roman" w:eastAsia="仿宋_GB2312" w:cs="Times New Roman"/>
          <w:b w:val="0"/>
          <w:color w:val="auto"/>
          <w:sz w:val="32"/>
          <w:szCs w:val="32"/>
        </w:rPr>
      </w:pPr>
      <w:r>
        <w:rPr>
          <w:rFonts w:hint="default" w:ascii="Times New Roman" w:hAnsi="Times New Roman" w:eastAsia="仿宋_GB2312" w:cs="Times New Roman"/>
          <w:color w:val="auto"/>
          <w:sz w:val="32"/>
          <w:szCs w:val="32"/>
        </w:rPr>
        <w:t>5</w:t>
      </w:r>
      <w:r>
        <w:rPr>
          <w:rFonts w:hint="default" w:ascii="Times New Roman" w:hAnsi="Times New Roman" w:eastAsia="仿宋_GB2312" w:cs="Times New Roman"/>
          <w:color w:val="auto"/>
          <w:sz w:val="32"/>
          <w:szCs w:val="32"/>
          <w:lang w:eastAsia="zh-CN"/>
        </w:rPr>
        <w:t>．</w:t>
      </w:r>
      <w:r>
        <w:rPr>
          <w:rStyle w:val="20"/>
          <w:rFonts w:hint="default" w:ascii="Times New Roman" w:hAnsi="Times New Roman" w:eastAsia="仿宋_GB2312" w:cs="Times New Roman"/>
          <w:b w:val="0"/>
          <w:color w:val="auto"/>
          <w:sz w:val="32"/>
          <w:szCs w:val="32"/>
        </w:rPr>
        <w:t>自然资源海洋气象等支出（类）自然资源事务（款）</w:t>
      </w:r>
      <w:r>
        <w:rPr>
          <w:rFonts w:hint="default" w:ascii="Times New Roman" w:hAnsi="Times New Roman" w:eastAsia="仿宋_GB2312" w:cs="Times New Roman"/>
          <w:color w:val="auto"/>
          <w:sz w:val="32"/>
          <w:szCs w:val="32"/>
        </w:rPr>
        <w:t>自然资源规划及管理（项）：支出决算数为36万元</w:t>
      </w:r>
      <w:r>
        <w:rPr>
          <w:rStyle w:val="20"/>
          <w:rFonts w:hint="default" w:ascii="Times New Roman" w:hAnsi="Times New Roman" w:eastAsia="仿宋_GB2312" w:cs="Times New Roman"/>
          <w:b w:val="0"/>
          <w:color w:val="auto"/>
          <w:sz w:val="32"/>
          <w:szCs w:val="32"/>
        </w:rPr>
        <w:t>，决算数与预算数持平。</w:t>
      </w:r>
    </w:p>
    <w:p w14:paraId="248C0020">
      <w:pPr>
        <w:spacing w:line="576" w:lineRule="exact"/>
        <w:ind w:firstLine="640" w:firstLineChars="200"/>
        <w:rPr>
          <w:rStyle w:val="20"/>
          <w:rFonts w:hint="default" w:ascii="Times New Roman" w:hAnsi="Times New Roman" w:eastAsia="仿宋_GB2312" w:cs="Times New Roman"/>
          <w:b w:val="0"/>
          <w:color w:val="auto"/>
          <w:sz w:val="32"/>
          <w:szCs w:val="32"/>
        </w:rPr>
      </w:pPr>
      <w:r>
        <w:rPr>
          <w:rStyle w:val="20"/>
          <w:rFonts w:hint="default" w:ascii="Times New Roman" w:hAnsi="Times New Roman" w:eastAsia="仿宋_GB2312" w:cs="Times New Roman"/>
          <w:b w:val="0"/>
          <w:color w:val="auto"/>
          <w:sz w:val="32"/>
          <w:szCs w:val="32"/>
        </w:rPr>
        <w:t>6</w:t>
      </w:r>
      <w:r>
        <w:rPr>
          <w:rStyle w:val="20"/>
          <w:rFonts w:hint="default" w:ascii="Times New Roman" w:hAnsi="Times New Roman" w:eastAsia="仿宋_GB2312" w:cs="Times New Roman"/>
          <w:b w:val="0"/>
          <w:color w:val="auto"/>
          <w:sz w:val="32"/>
          <w:szCs w:val="32"/>
          <w:lang w:eastAsia="zh-CN"/>
        </w:rPr>
        <w:t>．</w:t>
      </w:r>
      <w:r>
        <w:rPr>
          <w:rStyle w:val="20"/>
          <w:rFonts w:hint="default" w:ascii="Times New Roman" w:hAnsi="Times New Roman" w:eastAsia="仿宋_GB2312" w:cs="Times New Roman"/>
          <w:b w:val="0"/>
          <w:color w:val="auto"/>
          <w:sz w:val="32"/>
          <w:szCs w:val="32"/>
        </w:rPr>
        <w:t>自然资源海洋气象等支出（类）自然资源事务（款）</w:t>
      </w:r>
      <w:r>
        <w:rPr>
          <w:rFonts w:hint="default" w:ascii="Times New Roman" w:hAnsi="Times New Roman" w:eastAsia="仿宋_GB2312" w:cs="Times New Roman"/>
          <w:color w:val="auto"/>
          <w:sz w:val="32"/>
          <w:szCs w:val="32"/>
        </w:rPr>
        <w:t>自然资源利用与保护（项）：支出决算数为1280.18万元</w:t>
      </w:r>
      <w:r>
        <w:rPr>
          <w:rStyle w:val="20"/>
          <w:rFonts w:hint="default" w:ascii="Times New Roman" w:hAnsi="Times New Roman" w:eastAsia="仿宋_GB2312" w:cs="Times New Roman"/>
          <w:b w:val="0"/>
          <w:color w:val="auto"/>
          <w:sz w:val="32"/>
          <w:szCs w:val="32"/>
        </w:rPr>
        <w:t>，决算数与预算数持平。</w:t>
      </w:r>
    </w:p>
    <w:p w14:paraId="2C0556DA">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8</w:t>
      </w:r>
      <w:r>
        <w:rPr>
          <w:rFonts w:hint="default" w:ascii="Times New Roman" w:hAnsi="Times New Roman" w:eastAsia="仿宋_GB2312" w:cs="Times New Roman"/>
          <w:color w:val="auto"/>
          <w:sz w:val="32"/>
          <w:szCs w:val="32"/>
          <w:lang w:eastAsia="zh-CN"/>
        </w:rPr>
        <w:t>．</w:t>
      </w:r>
      <w:r>
        <w:rPr>
          <w:rStyle w:val="20"/>
          <w:rFonts w:hint="default" w:ascii="Times New Roman" w:hAnsi="Times New Roman" w:eastAsia="仿宋_GB2312" w:cs="Times New Roman"/>
          <w:b w:val="0"/>
          <w:color w:val="auto"/>
          <w:sz w:val="32"/>
          <w:szCs w:val="32"/>
        </w:rPr>
        <w:t>灾害防治及应急管理支出（类）自然灾害防治（款）</w:t>
      </w:r>
      <w:r>
        <w:rPr>
          <w:rFonts w:hint="default" w:ascii="Times New Roman" w:hAnsi="Times New Roman" w:eastAsia="仿宋_GB2312" w:cs="Times New Roman"/>
          <w:color w:val="auto"/>
          <w:sz w:val="32"/>
          <w:szCs w:val="32"/>
        </w:rPr>
        <w:t>地质灾害防治（项）：支出决算数为1567.06万元，</w:t>
      </w:r>
      <w:r>
        <w:rPr>
          <w:rStyle w:val="20"/>
          <w:rFonts w:hint="default" w:ascii="Times New Roman" w:hAnsi="Times New Roman" w:eastAsia="仿宋_GB2312" w:cs="Times New Roman"/>
          <w:b w:val="0"/>
          <w:color w:val="auto"/>
          <w:sz w:val="32"/>
          <w:szCs w:val="32"/>
        </w:rPr>
        <w:t>完成预算100%，决算数与预算数持平。</w:t>
      </w:r>
    </w:p>
    <w:p w14:paraId="41BD2657">
      <w:pPr>
        <w:keepNext w:val="0"/>
        <w:keepLines w:val="0"/>
        <w:pageBreakBefore w:val="0"/>
        <w:widowControl w:val="0"/>
        <w:tabs>
          <w:tab w:val="right" w:pos="8306"/>
        </w:tabs>
        <w:kinsoku/>
        <w:wordWrap/>
        <w:overflowPunct/>
        <w:topLinePunct w:val="0"/>
        <w:autoSpaceDE/>
        <w:autoSpaceDN/>
        <w:bidi w:val="0"/>
        <w:adjustRightInd/>
        <w:snapToGrid/>
        <w:spacing w:line="550" w:lineRule="exact"/>
        <w:ind w:firstLine="640" w:firstLineChars="200"/>
        <w:textAlignment w:val="auto"/>
        <w:outlineLvl w:val="1"/>
        <w:rPr>
          <w:rStyle w:val="32"/>
          <w:rFonts w:hint="default" w:ascii="Times New Roman" w:hAnsi="Times New Roman" w:eastAsia="仿宋_GB2312" w:cs="Times New Roman"/>
          <w:b w:val="0"/>
          <w:bCs w:val="0"/>
        </w:rPr>
      </w:pPr>
      <w:bookmarkStart w:id="54" w:name="_Toc13642"/>
      <w:bookmarkStart w:id="55" w:name="_Toc15396608"/>
      <w:bookmarkStart w:id="56" w:name="_Toc15377214"/>
      <w:r>
        <w:rPr>
          <w:rFonts w:hint="default" w:ascii="Times New Roman" w:hAnsi="Times New Roman" w:eastAsia="黑体" w:cs="Times New Roman"/>
          <w:sz w:val="32"/>
          <w:szCs w:val="32"/>
        </w:rPr>
        <w:t>六、一般公共预算财政拨款基本支出决算情况说明</w:t>
      </w:r>
      <w:bookmarkEnd w:id="54"/>
      <w:bookmarkEnd w:id="55"/>
      <w:bookmarkEnd w:id="56"/>
      <w:r>
        <w:rPr>
          <w:rStyle w:val="32"/>
          <w:rFonts w:hint="default" w:ascii="Times New Roman" w:hAnsi="Times New Roman" w:eastAsia="仿宋_GB2312" w:cs="Times New Roman"/>
          <w:b w:val="0"/>
          <w:bCs w:val="0"/>
        </w:rPr>
        <w:tab/>
      </w:r>
    </w:p>
    <w:p w14:paraId="300B2BDB">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2022年一般公共预算财政拨款基本支出986.54万元，其中：</w:t>
      </w:r>
    </w:p>
    <w:p w14:paraId="787120DB">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人员经费873.94万元，主要包括：基本工资、津贴补贴、奖金、伙食补助费、机关事业单位基本养老保险缴费、职工基本医疗保险缴费、住房公积金、其他工资福利支出、对个人和家庭的补助等。</w:t>
      </w:r>
    </w:p>
    <w:p w14:paraId="5866B1E1">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公用经费112.6万元，主要包括：办公费、印刷费、水费、电费、邮电费、差旅费、会议费、公务接待费、劳务费、工会经费、其他交通费、税金及附加费用。</w:t>
      </w:r>
    </w:p>
    <w:p w14:paraId="32FE03E2">
      <w:pPr>
        <w:pStyle w:val="30"/>
        <w:keepNext w:val="0"/>
        <w:keepLines w:val="0"/>
        <w:pageBreakBefore w:val="0"/>
        <w:widowControl w:val="0"/>
        <w:kinsoku/>
        <w:wordWrap/>
        <w:overflowPunct/>
        <w:topLinePunct w:val="0"/>
        <w:autoSpaceDE/>
        <w:autoSpaceDN/>
        <w:bidi w:val="0"/>
        <w:adjustRightInd/>
        <w:snapToGrid/>
        <w:spacing w:line="550" w:lineRule="exact"/>
        <w:ind w:firstLine="640"/>
        <w:textAlignment w:val="auto"/>
        <w:outlineLvl w:val="1"/>
        <w:rPr>
          <w:rFonts w:hint="default" w:ascii="Times New Roman" w:hAnsi="Times New Roman" w:eastAsia="黑体" w:cs="Times New Roman"/>
          <w:sz w:val="32"/>
          <w:szCs w:val="32"/>
        </w:rPr>
      </w:pPr>
      <w:bookmarkStart w:id="57" w:name="_Toc15377215"/>
      <w:bookmarkStart w:id="58" w:name="_Toc15396609"/>
      <w:bookmarkStart w:id="59" w:name="_Toc26272"/>
      <w:r>
        <w:rPr>
          <w:rFonts w:hint="default" w:ascii="Times New Roman" w:hAnsi="Times New Roman" w:eastAsia="黑体" w:cs="Times New Roman"/>
          <w:sz w:val="32"/>
          <w:szCs w:val="32"/>
        </w:rPr>
        <w:t>七、财政拨款“三公”经费支出决算情况说明</w:t>
      </w:r>
      <w:bookmarkEnd w:id="57"/>
      <w:bookmarkEnd w:id="58"/>
      <w:bookmarkEnd w:id="59"/>
    </w:p>
    <w:p w14:paraId="2EBA5F54">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2"/>
        <w:rPr>
          <w:rFonts w:hint="default" w:ascii="Times New Roman" w:hAnsi="Times New Roman" w:eastAsia="楷体_GB2312" w:cs="Times New Roman"/>
          <w:sz w:val="32"/>
          <w:szCs w:val="32"/>
        </w:rPr>
      </w:pPr>
      <w:bookmarkStart w:id="60" w:name="_Toc15377216"/>
      <w:r>
        <w:rPr>
          <w:rFonts w:hint="default" w:ascii="Times New Roman" w:hAnsi="Times New Roman" w:eastAsia="楷体_GB2312" w:cs="Times New Roman"/>
          <w:sz w:val="32"/>
          <w:szCs w:val="32"/>
        </w:rPr>
        <w:t>（一）“三公”经费财政拨款支出决算总体情况说明</w:t>
      </w:r>
      <w:bookmarkEnd w:id="60"/>
    </w:p>
    <w:p w14:paraId="70D70416">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2022年“三公”经费财政拨款支出决算为6.1万元，完成预算100%，较上年减少0.1万元，下降1.6%。决算与预算数持平。</w:t>
      </w:r>
    </w:p>
    <w:p w14:paraId="6F54864D">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2"/>
        <w:rPr>
          <w:rFonts w:hint="default" w:ascii="Times New Roman" w:hAnsi="Times New Roman" w:eastAsia="楷体_GB2312" w:cs="Times New Roman"/>
          <w:sz w:val="32"/>
          <w:szCs w:val="32"/>
        </w:rPr>
      </w:pPr>
      <w:bookmarkStart w:id="61" w:name="_Toc15377217"/>
      <w:r>
        <w:rPr>
          <w:rFonts w:hint="default" w:ascii="Times New Roman" w:hAnsi="Times New Roman" w:eastAsia="楷体_GB2312" w:cs="Times New Roman"/>
          <w:sz w:val="32"/>
          <w:szCs w:val="32"/>
        </w:rPr>
        <w:t>（二）“三公”经费财政拨款支出决算具体情况说明</w:t>
      </w:r>
      <w:bookmarkEnd w:id="61"/>
    </w:p>
    <w:p w14:paraId="3223CB02">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2022年“三公”经费财政拨款支出决算中，因公出国（境）费支出决算0万元，占0%；公务用车购置及运行维护费支出决算0万元，占0%；公务接待费支出决算6.1万元，占100%。具体情况如下：</w:t>
      </w:r>
    </w:p>
    <w:p w14:paraId="5FAE8783">
      <w:pPr>
        <w:jc w:val="center"/>
        <w:rPr>
          <w:rFonts w:hint="default" w:ascii="Times New Roman" w:hAnsi="Times New Roman" w:cs="Times New Roman" w:eastAsiaTheme="minorEastAsia"/>
          <w:lang w:eastAsia="zh-CN"/>
        </w:rPr>
      </w:pPr>
      <w:r>
        <w:rPr>
          <w:rFonts w:hint="default" w:ascii="Times New Roman" w:hAnsi="Times New Roman" w:cs="Times New Roman" w:eastAsiaTheme="minorEastAsia"/>
          <w:lang w:eastAsia="zh-CN"/>
        </w:rPr>
        <w:drawing>
          <wp:inline distT="0" distB="0" distL="114300" distR="114300">
            <wp:extent cx="3733165" cy="2160270"/>
            <wp:effectExtent l="0" t="0" r="635" b="11430"/>
            <wp:docPr id="1" name="图片 1" descr="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3"/>
                    <pic:cNvPicPr>
                      <a:picLocks noChangeAspect="1"/>
                    </pic:cNvPicPr>
                  </pic:nvPicPr>
                  <pic:blipFill>
                    <a:blip r:embed="rId16">
                      <a:lum bright="-12000" contrast="30000"/>
                    </a:blip>
                    <a:srcRect l="3761" t="5139" r="9638" b="6644"/>
                    <a:stretch>
                      <a:fillRect/>
                    </a:stretch>
                  </pic:blipFill>
                  <pic:spPr>
                    <a:xfrm>
                      <a:off x="0" y="0"/>
                      <a:ext cx="3733165" cy="2160270"/>
                    </a:xfrm>
                    <a:prstGeom prst="rect">
                      <a:avLst/>
                    </a:prstGeom>
                  </pic:spPr>
                </pic:pic>
              </a:graphicData>
            </a:graphic>
          </wp:inline>
        </w:drawing>
      </w:r>
    </w:p>
    <w:p w14:paraId="2E6E1C67">
      <w:pPr>
        <w:spacing w:line="576" w:lineRule="exact"/>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（图7：“三公”经费财政拨款支出结构）</w:t>
      </w:r>
    </w:p>
    <w:p w14:paraId="21E54905">
      <w:pPr>
        <w:spacing w:line="576"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因公出国（境）经费支出0万元，</w:t>
      </w:r>
      <w:r>
        <w:rPr>
          <w:rStyle w:val="20"/>
          <w:rFonts w:hint="default" w:ascii="Times New Roman" w:hAnsi="Times New Roman" w:eastAsia="仿宋_GB2312" w:cs="Times New Roman"/>
          <w:b w:val="0"/>
          <w:color w:val="auto"/>
          <w:sz w:val="32"/>
          <w:szCs w:val="32"/>
        </w:rPr>
        <w:t>年初无预算。</w:t>
      </w:r>
      <w:r>
        <w:rPr>
          <w:rFonts w:hint="default" w:ascii="Times New Roman" w:hAnsi="Times New Roman" w:eastAsia="仿宋_GB2312" w:cs="Times New Roman"/>
          <w:color w:val="auto"/>
          <w:sz w:val="32"/>
          <w:szCs w:val="32"/>
        </w:rPr>
        <w:t>因公出国（境）支出决算较2021年无变化。</w:t>
      </w:r>
    </w:p>
    <w:p w14:paraId="41538DDE">
      <w:pPr>
        <w:spacing w:line="576"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公务用车购置及运行维护费支出0万元</w:t>
      </w:r>
      <w:r>
        <w:rPr>
          <w:rFonts w:hint="default" w:ascii="Times New Roman" w:hAnsi="Times New Roman" w:eastAsia="仿宋_GB2312" w:cs="Times New Roman"/>
          <w:color w:val="auto"/>
          <w:sz w:val="32"/>
          <w:szCs w:val="32"/>
          <w:lang w:eastAsia="zh-CN"/>
        </w:rPr>
        <w:t>，</w:t>
      </w:r>
      <w:r>
        <w:rPr>
          <w:rStyle w:val="20"/>
          <w:rFonts w:hint="default" w:ascii="Times New Roman" w:hAnsi="Times New Roman" w:eastAsia="仿宋_GB2312" w:cs="Times New Roman"/>
          <w:b w:val="0"/>
          <w:color w:val="auto"/>
          <w:sz w:val="32"/>
          <w:szCs w:val="32"/>
        </w:rPr>
        <w:t>年初无预算。</w:t>
      </w:r>
      <w:r>
        <w:rPr>
          <w:rFonts w:hint="default" w:ascii="Times New Roman" w:hAnsi="Times New Roman" w:eastAsia="仿宋_GB2312" w:cs="Times New Roman"/>
          <w:color w:val="auto"/>
          <w:sz w:val="32"/>
          <w:szCs w:val="32"/>
        </w:rPr>
        <w:t>公务用车购置及运行维护费支出决算较2021无变化。</w:t>
      </w:r>
    </w:p>
    <w:p w14:paraId="3CEB6B29">
      <w:pPr>
        <w:spacing w:line="576"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其中：公务用车购置支出0万元。未购置公务用车。截至2021年12月底，单位共有公务用车0辆。</w:t>
      </w:r>
    </w:p>
    <w:p w14:paraId="3314463B">
      <w:pPr>
        <w:spacing w:line="576"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公务用车运行维护费支出0万元。</w:t>
      </w:r>
    </w:p>
    <w:p w14:paraId="1306A4B5">
      <w:pPr>
        <w:spacing w:line="576" w:lineRule="exact"/>
        <w:ind w:firstLine="640" w:firstLineChars="200"/>
        <w:rPr>
          <w:rStyle w:val="20"/>
          <w:rFonts w:hint="default" w:ascii="Times New Roman" w:hAnsi="Times New Roman" w:eastAsia="仿宋_GB2312" w:cs="Times New Roman"/>
          <w:b w:val="0"/>
          <w:color w:val="000000"/>
          <w:sz w:val="32"/>
          <w:szCs w:val="32"/>
        </w:rPr>
      </w:pPr>
      <w:r>
        <w:rPr>
          <w:rFonts w:hint="default" w:ascii="Times New Roman" w:hAnsi="Times New Roman" w:eastAsia="仿宋_GB2312" w:cs="Times New Roman"/>
          <w:color w:val="auto"/>
          <w:sz w:val="32"/>
          <w:szCs w:val="32"/>
        </w:rPr>
        <w:t>3</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公务接待费支出6.1万元，</w:t>
      </w:r>
      <w:r>
        <w:rPr>
          <w:rStyle w:val="20"/>
          <w:rFonts w:hint="default" w:ascii="Times New Roman" w:hAnsi="Times New Roman" w:eastAsia="仿宋_GB2312" w:cs="Times New Roman"/>
          <w:b w:val="0"/>
          <w:color w:val="auto"/>
          <w:sz w:val="32"/>
          <w:szCs w:val="32"/>
        </w:rPr>
        <w:t>完成预算100%。</w:t>
      </w:r>
      <w:r>
        <w:rPr>
          <w:rFonts w:hint="default" w:ascii="Times New Roman" w:hAnsi="Times New Roman" w:eastAsia="仿宋_GB2312" w:cs="Times New Roman"/>
          <w:color w:val="auto"/>
          <w:sz w:val="32"/>
          <w:szCs w:val="32"/>
        </w:rPr>
        <w:t>公务接待费支</w:t>
      </w:r>
      <w:r>
        <w:rPr>
          <w:rFonts w:hint="default" w:ascii="Times New Roman" w:hAnsi="Times New Roman" w:eastAsia="仿宋_GB2312" w:cs="Times New Roman"/>
          <w:sz w:val="32"/>
          <w:szCs w:val="32"/>
        </w:rPr>
        <w:t>出决算比2021年减少0.1万元，下降1.6%。主要原因严</w:t>
      </w:r>
      <w:r>
        <w:rPr>
          <w:rStyle w:val="20"/>
          <w:rFonts w:hint="default" w:ascii="Times New Roman" w:hAnsi="Times New Roman" w:eastAsia="仿宋_GB2312" w:cs="Times New Roman"/>
          <w:b w:val="0"/>
          <w:color w:val="000000"/>
          <w:sz w:val="32"/>
          <w:szCs w:val="32"/>
        </w:rPr>
        <w:t>格按照厉行节约相关规定。</w:t>
      </w:r>
    </w:p>
    <w:p w14:paraId="7C3DFE9C">
      <w:pPr>
        <w:spacing w:line="576" w:lineRule="exact"/>
        <w:ind w:firstLine="640" w:firstLineChars="200"/>
        <w:rPr>
          <w:rFonts w:hint="default" w:ascii="Times New Roman" w:hAnsi="Times New Roman" w:eastAsia="仿宋_GB2312" w:cs="Times New Roman"/>
          <w:sz w:val="32"/>
          <w:szCs w:val="32"/>
        </w:rPr>
      </w:pPr>
      <w:r>
        <w:rPr>
          <w:rStyle w:val="20"/>
          <w:rFonts w:hint="default" w:ascii="Times New Roman" w:hAnsi="Times New Roman" w:eastAsia="仿宋_GB2312" w:cs="Times New Roman"/>
          <w:b w:val="0"/>
          <w:color w:val="000000"/>
          <w:sz w:val="32"/>
          <w:szCs w:val="32"/>
        </w:rPr>
        <w:t>其中：</w:t>
      </w:r>
      <w:r>
        <w:rPr>
          <w:rFonts w:hint="default" w:ascii="Times New Roman" w:hAnsi="Times New Roman" w:eastAsia="仿宋_GB2312" w:cs="Times New Roman"/>
          <w:color w:val="000000"/>
          <w:sz w:val="32"/>
          <w:szCs w:val="32"/>
        </w:rPr>
        <w:t>国内公务接待支出</w:t>
      </w:r>
      <w:r>
        <w:rPr>
          <w:rStyle w:val="20"/>
          <w:rFonts w:hint="default" w:ascii="Times New Roman" w:hAnsi="Times New Roman" w:eastAsia="仿宋_GB2312" w:cs="Times New Roman"/>
          <w:b w:val="0"/>
          <w:color w:val="000000"/>
          <w:sz w:val="32"/>
          <w:szCs w:val="32"/>
        </w:rPr>
        <w:t>6.1万元，主要用于执行公务、开展业务活动开支的交通费、住宿费、用餐费等。国内公务接待43批次，688人次，共计支出6.1万元。具体内容包括：各类检查等接待。</w:t>
      </w:r>
    </w:p>
    <w:p w14:paraId="490B1AC9">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外事接待支出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val="en-US" w:eastAsia="zh-CN"/>
        </w:rPr>
        <w:t>外事接待0批次，0人。</w:t>
      </w:r>
    </w:p>
    <w:p w14:paraId="3D7236DC">
      <w:pPr>
        <w:pStyle w:val="30"/>
        <w:keepNext w:val="0"/>
        <w:keepLines w:val="0"/>
        <w:pageBreakBefore w:val="0"/>
        <w:widowControl w:val="0"/>
        <w:kinsoku/>
        <w:wordWrap/>
        <w:overflowPunct/>
        <w:topLinePunct w:val="0"/>
        <w:bidi w:val="0"/>
        <w:snapToGrid/>
        <w:spacing w:line="576" w:lineRule="exact"/>
        <w:ind w:firstLine="640"/>
        <w:textAlignment w:val="auto"/>
        <w:outlineLvl w:val="1"/>
        <w:rPr>
          <w:rFonts w:hint="default" w:ascii="Times New Roman" w:hAnsi="Times New Roman" w:eastAsia="黑体" w:cs="Times New Roman"/>
          <w:sz w:val="32"/>
          <w:szCs w:val="32"/>
        </w:rPr>
      </w:pPr>
      <w:bookmarkStart w:id="62" w:name="_Toc3567"/>
      <w:bookmarkStart w:id="63" w:name="_Toc15377218"/>
      <w:bookmarkStart w:id="64" w:name="_Toc15396610"/>
      <w:r>
        <w:rPr>
          <w:rFonts w:hint="default" w:ascii="Times New Roman" w:hAnsi="Times New Roman" w:eastAsia="黑体" w:cs="Times New Roman"/>
          <w:sz w:val="32"/>
          <w:szCs w:val="32"/>
        </w:rPr>
        <w:t>八、政府性基金预算支出决算情况说明</w:t>
      </w:r>
      <w:bookmarkEnd w:id="62"/>
      <w:bookmarkEnd w:id="63"/>
      <w:bookmarkEnd w:id="64"/>
    </w:p>
    <w:p w14:paraId="7C495076">
      <w:pPr>
        <w:keepNext w:val="0"/>
        <w:keepLines w:val="0"/>
        <w:pageBreakBefore w:val="0"/>
        <w:widowControl w:val="0"/>
        <w:kinsoku/>
        <w:wordWrap/>
        <w:overflowPunct/>
        <w:topLinePunct w:val="0"/>
        <w:bidi w:val="0"/>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2022年政府性基金预算财政拨款支出5133.47万元。</w:t>
      </w:r>
    </w:p>
    <w:p w14:paraId="3E54A30B">
      <w:pPr>
        <w:keepNext w:val="0"/>
        <w:keepLines w:val="0"/>
        <w:pageBreakBefore w:val="0"/>
        <w:widowControl w:val="0"/>
        <w:kinsoku/>
        <w:wordWrap/>
        <w:overflowPunct/>
        <w:topLinePunct w:val="0"/>
        <w:bidi w:val="0"/>
        <w:snapToGrid/>
        <w:spacing w:line="576" w:lineRule="exact"/>
        <w:ind w:firstLine="640" w:firstLineChars="200"/>
        <w:textAlignment w:val="auto"/>
        <w:outlineLvl w:val="1"/>
        <w:rPr>
          <w:rStyle w:val="32"/>
          <w:rFonts w:hint="default" w:ascii="Times New Roman" w:hAnsi="Times New Roman" w:eastAsia="黑体" w:cs="Times New Roman"/>
          <w:b w:val="0"/>
          <w:bCs w:val="0"/>
        </w:rPr>
      </w:pPr>
      <w:bookmarkStart w:id="65" w:name="_Toc15377219"/>
      <w:bookmarkStart w:id="66" w:name="_Toc15396611"/>
      <w:bookmarkStart w:id="67" w:name="_Toc30524"/>
      <w:r>
        <w:rPr>
          <w:rStyle w:val="32"/>
          <w:rFonts w:hint="default" w:ascii="Times New Roman" w:hAnsi="Times New Roman" w:eastAsia="黑体" w:cs="Times New Roman"/>
          <w:b w:val="0"/>
          <w:bCs w:val="0"/>
        </w:rPr>
        <w:t>九、国有资本经营预算支出决算情况说明</w:t>
      </w:r>
      <w:bookmarkEnd w:id="65"/>
      <w:bookmarkEnd w:id="66"/>
      <w:bookmarkEnd w:id="67"/>
    </w:p>
    <w:p w14:paraId="205D6512">
      <w:pPr>
        <w:keepNext w:val="0"/>
        <w:keepLines w:val="0"/>
        <w:pageBreakBefore w:val="0"/>
        <w:widowControl w:val="0"/>
        <w:kinsoku/>
        <w:wordWrap/>
        <w:overflowPunct/>
        <w:topLinePunct w:val="0"/>
        <w:bidi w:val="0"/>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2022年国有资本经营预算财政拨款支出0万元。</w:t>
      </w:r>
    </w:p>
    <w:p w14:paraId="54190B0D">
      <w:pPr>
        <w:keepNext w:val="0"/>
        <w:keepLines w:val="0"/>
        <w:pageBreakBefore w:val="0"/>
        <w:widowControl w:val="0"/>
        <w:kinsoku/>
        <w:wordWrap/>
        <w:overflowPunct/>
        <w:topLinePunct w:val="0"/>
        <w:bidi w:val="0"/>
        <w:snapToGrid/>
        <w:spacing w:line="576" w:lineRule="exact"/>
        <w:ind w:firstLine="640" w:firstLineChars="200"/>
        <w:textAlignment w:val="auto"/>
        <w:outlineLvl w:val="1"/>
        <w:rPr>
          <w:rStyle w:val="32"/>
          <w:rFonts w:hint="default" w:ascii="Times New Roman" w:hAnsi="Times New Roman" w:eastAsia="黑体" w:cs="Times New Roman"/>
          <w:b w:val="0"/>
          <w:bCs w:val="0"/>
        </w:rPr>
      </w:pPr>
      <w:bookmarkStart w:id="68" w:name="_Toc15377221"/>
      <w:bookmarkStart w:id="69" w:name="_Toc15396612"/>
      <w:bookmarkStart w:id="70" w:name="_Toc10779"/>
      <w:r>
        <w:rPr>
          <w:rStyle w:val="32"/>
          <w:rFonts w:hint="default" w:ascii="Times New Roman" w:hAnsi="Times New Roman" w:eastAsia="黑体" w:cs="Times New Roman"/>
          <w:b w:val="0"/>
          <w:bCs w:val="0"/>
        </w:rPr>
        <w:t>十、其他重要事项的情况说明</w:t>
      </w:r>
      <w:bookmarkEnd w:id="68"/>
      <w:bookmarkEnd w:id="69"/>
      <w:bookmarkEnd w:id="70"/>
    </w:p>
    <w:p w14:paraId="542044C9">
      <w:pPr>
        <w:keepNext w:val="0"/>
        <w:keepLines w:val="0"/>
        <w:pageBreakBefore w:val="0"/>
        <w:widowControl w:val="0"/>
        <w:kinsoku/>
        <w:wordWrap/>
        <w:overflowPunct/>
        <w:topLinePunct w:val="0"/>
        <w:bidi w:val="0"/>
        <w:snapToGrid/>
        <w:spacing w:line="576" w:lineRule="exact"/>
        <w:ind w:firstLine="640" w:firstLineChars="200"/>
        <w:textAlignment w:val="auto"/>
        <w:outlineLvl w:val="2"/>
        <w:rPr>
          <w:rFonts w:hint="default" w:ascii="Times New Roman" w:hAnsi="Times New Roman" w:eastAsia="楷体_GB2312" w:cs="Times New Roman"/>
          <w:sz w:val="32"/>
          <w:szCs w:val="32"/>
        </w:rPr>
      </w:pPr>
      <w:bookmarkStart w:id="71" w:name="_Toc15377222"/>
      <w:r>
        <w:rPr>
          <w:rFonts w:hint="default" w:ascii="Times New Roman" w:hAnsi="Times New Roman" w:eastAsia="楷体_GB2312" w:cs="Times New Roman"/>
          <w:sz w:val="32"/>
          <w:szCs w:val="32"/>
        </w:rPr>
        <w:t>（一）机关运行经费支出情况</w:t>
      </w:r>
      <w:bookmarkEnd w:id="71"/>
    </w:p>
    <w:p w14:paraId="1B8B1D49">
      <w:pPr>
        <w:keepNext w:val="0"/>
        <w:keepLines w:val="0"/>
        <w:pageBreakBefore w:val="0"/>
        <w:widowControl w:val="0"/>
        <w:kinsoku/>
        <w:wordWrap/>
        <w:overflowPunct/>
        <w:topLinePunct w:val="0"/>
        <w:bidi w:val="0"/>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2022年，区自然资源局机关运行经费支出112.6万元，比2021年减少40.98万元，下降26.68%。主要原因是人员减少（考调、退休）和业务工作职能划分减少。</w:t>
      </w:r>
    </w:p>
    <w:p w14:paraId="524B7451">
      <w:pPr>
        <w:keepNext w:val="0"/>
        <w:keepLines w:val="0"/>
        <w:pageBreakBefore w:val="0"/>
        <w:widowControl w:val="0"/>
        <w:kinsoku/>
        <w:wordWrap/>
        <w:overflowPunct/>
        <w:topLinePunct w:val="0"/>
        <w:bidi w:val="0"/>
        <w:snapToGrid/>
        <w:spacing w:line="576" w:lineRule="exact"/>
        <w:ind w:firstLine="640" w:firstLineChars="200"/>
        <w:textAlignment w:val="auto"/>
        <w:outlineLvl w:val="2"/>
        <w:rPr>
          <w:rFonts w:hint="default" w:ascii="Times New Roman" w:hAnsi="Times New Roman" w:eastAsia="楷体_GB2312" w:cs="Times New Roman"/>
          <w:sz w:val="32"/>
          <w:szCs w:val="32"/>
        </w:rPr>
      </w:pPr>
      <w:bookmarkStart w:id="72" w:name="_Toc15377223"/>
      <w:r>
        <w:rPr>
          <w:rFonts w:hint="default" w:ascii="Times New Roman" w:hAnsi="Times New Roman" w:eastAsia="楷体_GB2312" w:cs="Times New Roman"/>
          <w:sz w:val="32"/>
          <w:szCs w:val="32"/>
        </w:rPr>
        <w:t>（二）政府采购支出情况</w:t>
      </w:r>
      <w:bookmarkEnd w:id="72"/>
    </w:p>
    <w:p w14:paraId="733850D0">
      <w:pPr>
        <w:keepNext w:val="0"/>
        <w:keepLines w:val="0"/>
        <w:pageBreakBefore w:val="0"/>
        <w:widowControl w:val="0"/>
        <w:kinsoku/>
        <w:wordWrap/>
        <w:overflowPunct/>
        <w:topLinePunct w:val="0"/>
        <w:bidi w:val="0"/>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2022年，区自然资源局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14:paraId="2FD274AF">
      <w:pPr>
        <w:keepNext w:val="0"/>
        <w:keepLines w:val="0"/>
        <w:pageBreakBefore w:val="0"/>
        <w:widowControl w:val="0"/>
        <w:kinsoku/>
        <w:wordWrap/>
        <w:overflowPunct/>
        <w:topLinePunct w:val="0"/>
        <w:bidi w:val="0"/>
        <w:snapToGrid/>
        <w:spacing w:line="576" w:lineRule="exact"/>
        <w:ind w:firstLine="640" w:firstLineChars="200"/>
        <w:textAlignment w:val="auto"/>
        <w:outlineLvl w:val="2"/>
        <w:rPr>
          <w:rFonts w:hint="default" w:ascii="Times New Roman" w:hAnsi="Times New Roman" w:eastAsia="楷体_GB2312" w:cs="Times New Roman"/>
          <w:sz w:val="32"/>
          <w:szCs w:val="32"/>
        </w:rPr>
      </w:pPr>
      <w:bookmarkStart w:id="73" w:name="_Toc15377224"/>
      <w:r>
        <w:rPr>
          <w:rFonts w:hint="default" w:ascii="Times New Roman" w:hAnsi="Times New Roman" w:eastAsia="楷体_GB2312" w:cs="Times New Roman"/>
          <w:sz w:val="32"/>
          <w:szCs w:val="32"/>
        </w:rPr>
        <w:t>（三）国有资产占有使用情况</w:t>
      </w:r>
      <w:bookmarkEnd w:id="73"/>
    </w:p>
    <w:p w14:paraId="49FE8866">
      <w:pPr>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截至2022年12月31日，区自然资源局共有车辆0辆，其中：主要领导干部用车0辆、机要通信用车0辆、应急保障用车0辆、其他用车0辆。单价100万元以上专用设备0台（套）。</w:t>
      </w:r>
    </w:p>
    <w:p w14:paraId="0BABC3E9">
      <w:pPr>
        <w:keepNext w:val="0"/>
        <w:keepLines w:val="0"/>
        <w:pageBreakBefore w:val="0"/>
        <w:widowControl w:val="0"/>
        <w:kinsoku/>
        <w:wordWrap/>
        <w:overflowPunct/>
        <w:topLinePunct w:val="0"/>
        <w:bidi w:val="0"/>
        <w:snapToGrid/>
        <w:spacing w:line="576" w:lineRule="exact"/>
        <w:ind w:firstLine="640" w:firstLineChars="200"/>
        <w:textAlignment w:val="auto"/>
        <w:outlineLvl w:val="2"/>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（四）预算绩效管理情况</w:t>
      </w:r>
    </w:p>
    <w:p w14:paraId="6EBC7057">
      <w:pPr>
        <w:keepNext w:val="0"/>
        <w:keepLines w:val="0"/>
        <w:pageBreakBefore w:val="0"/>
        <w:widowControl w:val="0"/>
        <w:kinsoku/>
        <w:wordWrap/>
        <w:overflowPunct/>
        <w:topLinePunct w:val="0"/>
        <w:bidi w:val="0"/>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根据预算绩效管理要求，本部门在2022年度预算编制阶段，组织对争取项目资金工作经费等1个项目开展了预算事前绩效评估，对1个项目编制了绩效目标，预算执行过程中，选取1个项目开展绩效监控。</w:t>
      </w:r>
    </w:p>
    <w:p w14:paraId="0863A055">
      <w:pPr>
        <w:spacing w:line="576" w:lineRule="exact"/>
        <w:ind w:firstLine="640" w:firstLineChars="200"/>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sz w:val="32"/>
          <w:szCs w:val="32"/>
        </w:rPr>
        <w:t>组织对2022年度一般公共预算、政府性基金预算、国有资本经营预算、社会保险基金预算以及资本资产、债券资金等全面开展绩效自评，形成区自然资源部门整体（含部门预算项目）绩效自评报告、林权权籍补充调查等专项预算项目绩效自评报告，其中，区自然资源局部门整体（含部门预算项目）绩效自评得分为94.5分，</w:t>
      </w:r>
      <w:r>
        <w:rPr>
          <w:rFonts w:hint="default" w:ascii="Times New Roman" w:hAnsi="Times New Roman" w:eastAsia="仿宋_GB2312" w:cs="Times New Roman"/>
          <w:sz w:val="32"/>
          <w:szCs w:val="32"/>
          <w:highlight w:val="none"/>
        </w:rPr>
        <w:t>绩效自评综述：</w:t>
      </w:r>
      <w:r>
        <w:rPr>
          <w:rFonts w:hint="default" w:ascii="Times New Roman" w:hAnsi="Times New Roman" w:eastAsia="仿宋_GB2312" w:cs="Times New Roman"/>
          <w:color w:val="000000"/>
          <w:sz w:val="32"/>
          <w:szCs w:val="32"/>
          <w:shd w:val="clear" w:color="auto" w:fill="FFFFFF"/>
        </w:rPr>
        <w:t>2022年我单位部门整体支出绩效评价自查自评结果良好，全年</w:t>
      </w:r>
      <w:r>
        <w:rPr>
          <w:rFonts w:hint="default" w:ascii="Times New Roman" w:hAnsi="Times New Roman" w:eastAsia="仿宋_GB2312" w:cs="Times New Roman"/>
          <w:sz w:val="32"/>
          <w:szCs w:val="32"/>
        </w:rPr>
        <w:t>严格按照预算要求进行开支，支出对象明确，支出原因充分合理，总体使用效率高，保证了部门业务的正常开展，</w:t>
      </w:r>
      <w:r>
        <w:rPr>
          <w:rFonts w:hint="default" w:ascii="Times New Roman" w:hAnsi="Times New Roman" w:eastAsia="仿宋_GB2312" w:cs="Times New Roman"/>
          <w:color w:val="000000"/>
          <w:sz w:val="32"/>
          <w:szCs w:val="32"/>
          <w:shd w:val="clear" w:color="auto" w:fill="FFFFFF"/>
        </w:rPr>
        <w:t>达到预期绩效目标。</w:t>
      </w:r>
      <w:r>
        <w:rPr>
          <w:rFonts w:hint="default" w:ascii="Times New Roman" w:hAnsi="Times New Roman" w:eastAsia="仿宋_GB2312" w:cs="Times New Roman"/>
          <w:sz w:val="32"/>
          <w:szCs w:val="32"/>
        </w:rPr>
        <w:t>林权权籍补充调查专项预算项目绩效自评得分为93.76分，</w:t>
      </w:r>
      <w:r>
        <w:rPr>
          <w:rFonts w:hint="default" w:ascii="Times New Roman" w:hAnsi="Times New Roman" w:eastAsia="仿宋_GB2312" w:cs="Times New Roman"/>
          <w:sz w:val="32"/>
          <w:szCs w:val="32"/>
          <w:highlight w:val="none"/>
        </w:rPr>
        <w:t>绩效自评综述：</w:t>
      </w:r>
      <w:r>
        <w:rPr>
          <w:rFonts w:hint="default" w:ascii="Times New Roman" w:hAnsi="Times New Roman" w:eastAsia="仿宋_GB2312" w:cs="Times New Roman"/>
          <w:sz w:val="32"/>
          <w:szCs w:val="32"/>
        </w:rPr>
        <w:t>不动产登记事关产权保护、市场主体、经济体制改革和营商环境优化等方方面面</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涉及千家万户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影响各行各业。党中央、国务院对不动产登记工作高度重视，土地、房屋、森林林木等自然资源确权登记，通过地方政府预算资金来解决确权登记工作经费，为保障农民财产权益，该项目进入全区6.1万户及124万亩林地上开展权籍调查工作，得到群众认可。该项目实施效果与绩效目标总体符合；项目资金分配结果公平合理，与支出绩效评价指标体系相符。</w:t>
      </w:r>
    </w:p>
    <w:p w14:paraId="744416A5">
      <w:pPr>
        <w:widowControl/>
        <w:spacing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绩效自评报告详见附件。</w:t>
      </w:r>
    </w:p>
    <w:p w14:paraId="6BC6CD4C">
      <w:pPr>
        <w:widowControl/>
        <w:spacing w:line="576"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br w:type="page"/>
      </w:r>
    </w:p>
    <w:p w14:paraId="5EE03311">
      <w:pPr>
        <w:pStyle w:val="3"/>
        <w:spacing w:before="0" w:after="0" w:line="600" w:lineRule="exact"/>
        <w:jc w:val="center"/>
        <w:rPr>
          <w:rFonts w:hint="default" w:ascii="Times New Roman" w:hAnsi="Times New Roman" w:eastAsia="方正小标宋简体" w:cs="Times New Roman"/>
          <w:b w:val="0"/>
        </w:rPr>
      </w:pPr>
      <w:bookmarkStart w:id="74" w:name="_Toc15377225"/>
      <w:bookmarkStart w:id="75" w:name="_Toc24537"/>
      <w:bookmarkStart w:id="76" w:name="_Toc15396613"/>
      <w:r>
        <w:rPr>
          <w:rFonts w:hint="default" w:ascii="Times New Roman" w:hAnsi="Times New Roman" w:eastAsia="方正小标宋简体" w:cs="Times New Roman"/>
          <w:b w:val="0"/>
        </w:rPr>
        <w:t>第三部分  名词解释</w:t>
      </w:r>
      <w:bookmarkEnd w:id="74"/>
      <w:bookmarkEnd w:id="75"/>
      <w:bookmarkEnd w:id="76"/>
    </w:p>
    <w:p w14:paraId="3DBA7C4A">
      <w:pPr>
        <w:keepNext w:val="0"/>
        <w:keepLines w:val="0"/>
        <w:pageBreakBefore w:val="0"/>
        <w:widowControl w:val="0"/>
        <w:kinsoku/>
        <w:wordWrap/>
        <w:overflowPunct/>
        <w:topLinePunct w:val="0"/>
        <w:bidi w:val="0"/>
        <w:snapToGrid/>
        <w:spacing w:line="576" w:lineRule="exact"/>
        <w:ind w:firstLine="640" w:firstLineChars="200"/>
        <w:textAlignment w:val="auto"/>
        <w:rPr>
          <w:rFonts w:hint="default" w:ascii="Times New Roman" w:hAnsi="Times New Roman" w:eastAsia="仿宋_GB2312" w:cs="Times New Roman"/>
          <w:b w:val="0"/>
          <w:bCs/>
          <w:sz w:val="32"/>
          <w:szCs w:val="32"/>
        </w:rPr>
      </w:pPr>
    </w:p>
    <w:p w14:paraId="3AA3B546">
      <w:pPr>
        <w:pStyle w:val="29"/>
        <w:keepNext w:val="0"/>
        <w:keepLines w:val="0"/>
        <w:pageBreakBefore w:val="0"/>
        <w:widowControl w:val="0"/>
        <w:kinsoku/>
        <w:wordWrap/>
        <w:overflowPunct/>
        <w:topLinePunct w:val="0"/>
        <w:bidi w:val="0"/>
        <w:snapToGrid/>
        <w:spacing w:line="576" w:lineRule="exact"/>
        <w:ind w:firstLine="640" w:firstLineChars="200"/>
        <w:jc w:val="both"/>
        <w:textAlignment w:val="auto"/>
        <w:outlineLvl w:val="1"/>
        <w:rPr>
          <w:rFonts w:hint="default" w:ascii="Times New Roman" w:hAnsi="Times New Roman" w:eastAsia="仿宋_GB2312" w:cs="Times New Roman"/>
          <w:b w:val="0"/>
          <w:bCs/>
          <w:color w:val="auto"/>
          <w:sz w:val="32"/>
          <w:szCs w:val="32"/>
        </w:rPr>
      </w:pPr>
      <w:bookmarkStart w:id="77" w:name="_Toc17277"/>
      <w:r>
        <w:rPr>
          <w:rFonts w:hint="default" w:ascii="Times New Roman" w:hAnsi="Times New Roman" w:eastAsia="黑体" w:cs="Times New Roman"/>
          <w:b w:val="0"/>
          <w:bCs/>
          <w:color w:val="auto"/>
          <w:sz w:val="32"/>
          <w:szCs w:val="32"/>
        </w:rPr>
        <w:t>1</w:t>
      </w:r>
      <w:r>
        <w:rPr>
          <w:rFonts w:hint="default" w:ascii="Times New Roman" w:hAnsi="Times New Roman" w:eastAsia="黑体" w:cs="Times New Roman"/>
          <w:b w:val="0"/>
          <w:bCs/>
          <w:color w:val="auto"/>
          <w:sz w:val="32"/>
          <w:szCs w:val="32"/>
          <w:lang w:eastAsia="zh-CN"/>
        </w:rPr>
        <w:t>．</w:t>
      </w:r>
      <w:r>
        <w:rPr>
          <w:rFonts w:hint="default" w:ascii="Times New Roman" w:hAnsi="Times New Roman" w:eastAsia="黑体" w:cs="Times New Roman"/>
          <w:b w:val="0"/>
          <w:bCs/>
          <w:color w:val="auto"/>
          <w:sz w:val="32"/>
          <w:szCs w:val="32"/>
        </w:rPr>
        <w:t>财政拨款收入：</w:t>
      </w:r>
      <w:r>
        <w:rPr>
          <w:rFonts w:hint="default" w:ascii="Times New Roman" w:hAnsi="Times New Roman" w:eastAsia="仿宋_GB2312" w:cs="Times New Roman"/>
          <w:b w:val="0"/>
          <w:bCs/>
          <w:color w:val="auto"/>
          <w:sz w:val="32"/>
          <w:szCs w:val="32"/>
        </w:rPr>
        <w:t>指单位从同级财政部门取得的财政预算资金。</w:t>
      </w:r>
      <w:bookmarkEnd w:id="77"/>
    </w:p>
    <w:p w14:paraId="14267E23">
      <w:pPr>
        <w:pStyle w:val="29"/>
        <w:keepNext w:val="0"/>
        <w:keepLines w:val="0"/>
        <w:pageBreakBefore w:val="0"/>
        <w:widowControl w:val="0"/>
        <w:kinsoku/>
        <w:wordWrap/>
        <w:overflowPunct/>
        <w:topLinePunct w:val="0"/>
        <w:bidi w:val="0"/>
        <w:snapToGrid/>
        <w:spacing w:line="576"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黑体" w:cs="Times New Roman"/>
          <w:b w:val="0"/>
          <w:bCs/>
          <w:color w:val="auto"/>
          <w:sz w:val="32"/>
          <w:szCs w:val="32"/>
        </w:rPr>
        <w:t>2</w:t>
      </w:r>
      <w:r>
        <w:rPr>
          <w:rFonts w:hint="default" w:ascii="Times New Roman" w:hAnsi="Times New Roman" w:eastAsia="黑体" w:cs="Times New Roman"/>
          <w:b w:val="0"/>
          <w:bCs/>
          <w:color w:val="auto"/>
          <w:sz w:val="32"/>
          <w:szCs w:val="32"/>
          <w:lang w:eastAsia="zh-CN"/>
        </w:rPr>
        <w:t>．</w:t>
      </w:r>
      <w:r>
        <w:rPr>
          <w:rFonts w:hint="default" w:ascii="Times New Roman" w:hAnsi="Times New Roman" w:eastAsia="黑体" w:cs="Times New Roman"/>
          <w:b w:val="0"/>
          <w:bCs/>
          <w:color w:val="auto"/>
          <w:sz w:val="32"/>
          <w:szCs w:val="32"/>
        </w:rPr>
        <w:t>事业收入：</w:t>
      </w:r>
      <w:r>
        <w:rPr>
          <w:rFonts w:hint="default" w:ascii="Times New Roman" w:hAnsi="Times New Roman" w:eastAsia="仿宋_GB2312" w:cs="Times New Roman"/>
          <w:b w:val="0"/>
          <w:bCs/>
          <w:color w:val="auto"/>
          <w:sz w:val="32"/>
          <w:szCs w:val="32"/>
        </w:rPr>
        <w:t>指事业单位开展专业业务活动及辅助活动取得的收入。</w:t>
      </w:r>
    </w:p>
    <w:p w14:paraId="1131D6D4">
      <w:pPr>
        <w:pStyle w:val="29"/>
        <w:keepNext w:val="0"/>
        <w:keepLines w:val="0"/>
        <w:pageBreakBefore w:val="0"/>
        <w:widowControl w:val="0"/>
        <w:kinsoku/>
        <w:wordWrap/>
        <w:overflowPunct/>
        <w:topLinePunct w:val="0"/>
        <w:bidi w:val="0"/>
        <w:snapToGrid/>
        <w:spacing w:line="576"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黑体" w:cs="Times New Roman"/>
          <w:b w:val="0"/>
          <w:bCs/>
          <w:color w:val="auto"/>
          <w:sz w:val="32"/>
          <w:szCs w:val="32"/>
        </w:rPr>
        <w:t>3</w:t>
      </w:r>
      <w:r>
        <w:rPr>
          <w:rFonts w:hint="default" w:ascii="Times New Roman" w:hAnsi="Times New Roman" w:eastAsia="黑体" w:cs="Times New Roman"/>
          <w:b w:val="0"/>
          <w:bCs/>
          <w:color w:val="auto"/>
          <w:sz w:val="32"/>
          <w:szCs w:val="32"/>
          <w:lang w:eastAsia="zh-CN"/>
        </w:rPr>
        <w:t>．</w:t>
      </w:r>
      <w:r>
        <w:rPr>
          <w:rFonts w:hint="default" w:ascii="Times New Roman" w:hAnsi="Times New Roman" w:eastAsia="黑体" w:cs="Times New Roman"/>
          <w:b w:val="0"/>
          <w:bCs/>
          <w:color w:val="auto"/>
          <w:sz w:val="32"/>
          <w:szCs w:val="32"/>
        </w:rPr>
        <w:t>经营收入：</w:t>
      </w:r>
      <w:r>
        <w:rPr>
          <w:rFonts w:hint="default" w:ascii="Times New Roman" w:hAnsi="Times New Roman" w:eastAsia="仿宋_GB2312" w:cs="Times New Roman"/>
          <w:b w:val="0"/>
          <w:bCs/>
          <w:color w:val="auto"/>
          <w:sz w:val="32"/>
          <w:szCs w:val="32"/>
        </w:rPr>
        <w:t>指事业单位在专业业务活动及其辅助活动之外开展非独立核算经营活动取得的收入。</w:t>
      </w:r>
    </w:p>
    <w:p w14:paraId="1051669F">
      <w:pPr>
        <w:pStyle w:val="29"/>
        <w:keepNext w:val="0"/>
        <w:keepLines w:val="0"/>
        <w:pageBreakBefore w:val="0"/>
        <w:widowControl w:val="0"/>
        <w:kinsoku/>
        <w:wordWrap/>
        <w:overflowPunct/>
        <w:topLinePunct w:val="0"/>
        <w:bidi w:val="0"/>
        <w:snapToGrid/>
        <w:spacing w:line="576"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黑体" w:cs="Times New Roman"/>
          <w:b w:val="0"/>
          <w:bCs/>
          <w:color w:val="auto"/>
          <w:sz w:val="32"/>
          <w:szCs w:val="32"/>
        </w:rPr>
        <w:t>4</w:t>
      </w:r>
      <w:r>
        <w:rPr>
          <w:rFonts w:hint="default" w:ascii="Times New Roman" w:hAnsi="Times New Roman" w:eastAsia="黑体" w:cs="Times New Roman"/>
          <w:b w:val="0"/>
          <w:bCs/>
          <w:color w:val="auto"/>
          <w:sz w:val="32"/>
          <w:szCs w:val="32"/>
          <w:lang w:eastAsia="zh-CN"/>
        </w:rPr>
        <w:t>．</w:t>
      </w:r>
      <w:r>
        <w:rPr>
          <w:rFonts w:hint="default" w:ascii="Times New Roman" w:hAnsi="Times New Roman" w:eastAsia="黑体" w:cs="Times New Roman"/>
          <w:b w:val="0"/>
          <w:bCs/>
          <w:color w:val="auto"/>
          <w:sz w:val="32"/>
          <w:szCs w:val="32"/>
        </w:rPr>
        <w:t>其他收入：</w:t>
      </w:r>
      <w:r>
        <w:rPr>
          <w:rFonts w:hint="default" w:ascii="Times New Roman" w:hAnsi="Times New Roman" w:eastAsia="仿宋_GB2312" w:cs="Times New Roman"/>
          <w:b w:val="0"/>
          <w:bCs/>
          <w:color w:val="auto"/>
          <w:sz w:val="32"/>
          <w:szCs w:val="32"/>
        </w:rPr>
        <w:t>指单位取得的除上述收入以外的各项收入。</w:t>
      </w:r>
    </w:p>
    <w:p w14:paraId="36A47F3E">
      <w:pPr>
        <w:pStyle w:val="29"/>
        <w:keepNext w:val="0"/>
        <w:keepLines w:val="0"/>
        <w:pageBreakBefore w:val="0"/>
        <w:widowControl w:val="0"/>
        <w:kinsoku/>
        <w:wordWrap/>
        <w:overflowPunct/>
        <w:topLinePunct w:val="0"/>
        <w:bidi w:val="0"/>
        <w:snapToGrid/>
        <w:spacing w:line="576"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黑体" w:cs="Times New Roman"/>
          <w:b w:val="0"/>
          <w:bCs/>
          <w:color w:val="auto"/>
          <w:sz w:val="32"/>
          <w:szCs w:val="32"/>
        </w:rPr>
        <w:t>5</w:t>
      </w:r>
      <w:r>
        <w:rPr>
          <w:rFonts w:hint="default" w:ascii="Times New Roman" w:hAnsi="Times New Roman" w:eastAsia="黑体" w:cs="Times New Roman"/>
          <w:b w:val="0"/>
          <w:bCs/>
          <w:color w:val="auto"/>
          <w:sz w:val="32"/>
          <w:szCs w:val="32"/>
          <w:lang w:eastAsia="zh-CN"/>
        </w:rPr>
        <w:t>．</w:t>
      </w:r>
      <w:r>
        <w:rPr>
          <w:rFonts w:hint="default" w:ascii="Times New Roman" w:hAnsi="Times New Roman" w:eastAsia="黑体" w:cs="Times New Roman"/>
          <w:b w:val="0"/>
          <w:bCs/>
          <w:color w:val="auto"/>
          <w:sz w:val="32"/>
          <w:szCs w:val="32"/>
        </w:rPr>
        <w:t>使用非财政拨款结余：</w:t>
      </w:r>
      <w:r>
        <w:rPr>
          <w:rFonts w:hint="default" w:ascii="Times New Roman" w:hAnsi="Times New Roman" w:eastAsia="仿宋_GB2312" w:cs="Times New Roman"/>
          <w:b w:val="0"/>
          <w:bCs/>
          <w:color w:val="auto"/>
          <w:sz w:val="32"/>
          <w:szCs w:val="32"/>
        </w:rPr>
        <w:t xml:space="preserve">指事业单位使用以前年度积累的非财政拨款结余弥补当年收支差额的金额。 </w:t>
      </w:r>
    </w:p>
    <w:p w14:paraId="5F87DCF8">
      <w:pPr>
        <w:pStyle w:val="29"/>
        <w:keepNext w:val="0"/>
        <w:keepLines w:val="0"/>
        <w:pageBreakBefore w:val="0"/>
        <w:widowControl w:val="0"/>
        <w:kinsoku/>
        <w:wordWrap/>
        <w:overflowPunct/>
        <w:topLinePunct w:val="0"/>
        <w:bidi w:val="0"/>
        <w:snapToGrid/>
        <w:spacing w:line="576"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黑体" w:cs="Times New Roman"/>
          <w:b w:val="0"/>
          <w:bCs/>
          <w:color w:val="auto"/>
          <w:sz w:val="32"/>
          <w:szCs w:val="32"/>
        </w:rPr>
        <w:t>6</w:t>
      </w:r>
      <w:r>
        <w:rPr>
          <w:rFonts w:hint="default" w:ascii="Times New Roman" w:hAnsi="Times New Roman" w:eastAsia="黑体" w:cs="Times New Roman"/>
          <w:b w:val="0"/>
          <w:bCs/>
          <w:color w:val="auto"/>
          <w:sz w:val="32"/>
          <w:szCs w:val="32"/>
          <w:lang w:eastAsia="zh-CN"/>
        </w:rPr>
        <w:t>．</w:t>
      </w:r>
      <w:r>
        <w:rPr>
          <w:rFonts w:hint="default" w:ascii="Times New Roman" w:hAnsi="Times New Roman" w:eastAsia="黑体" w:cs="Times New Roman"/>
          <w:b w:val="0"/>
          <w:bCs/>
          <w:color w:val="auto"/>
          <w:sz w:val="32"/>
          <w:szCs w:val="32"/>
        </w:rPr>
        <w:t>年初结转和结余：</w:t>
      </w:r>
      <w:r>
        <w:rPr>
          <w:rFonts w:hint="default" w:ascii="Times New Roman" w:hAnsi="Times New Roman" w:eastAsia="仿宋_GB2312" w:cs="Times New Roman"/>
          <w:b w:val="0"/>
          <w:bCs/>
          <w:color w:val="auto"/>
          <w:sz w:val="32"/>
          <w:szCs w:val="32"/>
        </w:rPr>
        <w:t xml:space="preserve">指以前年度尚未完成、结转到本年按有关规定继续使用的资金。 </w:t>
      </w:r>
    </w:p>
    <w:p w14:paraId="24770D33">
      <w:pPr>
        <w:pStyle w:val="29"/>
        <w:keepNext w:val="0"/>
        <w:keepLines w:val="0"/>
        <w:pageBreakBefore w:val="0"/>
        <w:widowControl w:val="0"/>
        <w:kinsoku/>
        <w:wordWrap/>
        <w:overflowPunct/>
        <w:topLinePunct w:val="0"/>
        <w:bidi w:val="0"/>
        <w:snapToGrid/>
        <w:spacing w:line="576"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黑体" w:cs="Times New Roman"/>
          <w:b w:val="0"/>
          <w:bCs/>
          <w:color w:val="auto"/>
          <w:sz w:val="32"/>
          <w:szCs w:val="32"/>
        </w:rPr>
        <w:t>7</w:t>
      </w:r>
      <w:r>
        <w:rPr>
          <w:rFonts w:hint="default" w:ascii="Times New Roman" w:hAnsi="Times New Roman" w:eastAsia="黑体" w:cs="Times New Roman"/>
          <w:b w:val="0"/>
          <w:bCs/>
          <w:color w:val="auto"/>
          <w:sz w:val="32"/>
          <w:szCs w:val="32"/>
          <w:lang w:eastAsia="zh-CN"/>
        </w:rPr>
        <w:t>．</w:t>
      </w:r>
      <w:r>
        <w:rPr>
          <w:rFonts w:hint="default" w:ascii="Times New Roman" w:hAnsi="Times New Roman" w:eastAsia="黑体" w:cs="Times New Roman"/>
          <w:b w:val="0"/>
          <w:bCs/>
          <w:color w:val="auto"/>
          <w:sz w:val="32"/>
          <w:szCs w:val="32"/>
        </w:rPr>
        <w:t>结余分配：</w:t>
      </w:r>
      <w:r>
        <w:rPr>
          <w:rFonts w:hint="default" w:ascii="Times New Roman" w:hAnsi="Times New Roman" w:eastAsia="仿宋_GB2312" w:cs="Times New Roman"/>
          <w:b w:val="0"/>
          <w:bCs/>
          <w:color w:val="auto"/>
          <w:sz w:val="32"/>
          <w:szCs w:val="32"/>
        </w:rPr>
        <w:t>指事业单位按照会计制度规定缴纳的所得税、提取的专用结余以及转入非财政拨款结余的金额等。</w:t>
      </w:r>
    </w:p>
    <w:p w14:paraId="1D02435E">
      <w:pPr>
        <w:pStyle w:val="29"/>
        <w:keepNext w:val="0"/>
        <w:keepLines w:val="0"/>
        <w:pageBreakBefore w:val="0"/>
        <w:widowControl w:val="0"/>
        <w:kinsoku/>
        <w:wordWrap/>
        <w:overflowPunct/>
        <w:topLinePunct w:val="0"/>
        <w:bidi w:val="0"/>
        <w:snapToGrid/>
        <w:spacing w:line="576"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黑体" w:cs="Times New Roman"/>
          <w:b w:val="0"/>
          <w:bCs/>
          <w:color w:val="auto"/>
          <w:sz w:val="32"/>
          <w:szCs w:val="32"/>
        </w:rPr>
        <w:t>8</w:t>
      </w:r>
      <w:r>
        <w:rPr>
          <w:rFonts w:hint="default" w:ascii="Times New Roman" w:hAnsi="Times New Roman" w:eastAsia="黑体" w:cs="Times New Roman"/>
          <w:b w:val="0"/>
          <w:bCs/>
          <w:color w:val="auto"/>
          <w:sz w:val="32"/>
          <w:szCs w:val="32"/>
          <w:lang w:eastAsia="zh-CN"/>
        </w:rPr>
        <w:t>．</w:t>
      </w:r>
      <w:r>
        <w:rPr>
          <w:rFonts w:hint="default" w:ascii="Times New Roman" w:hAnsi="Times New Roman" w:eastAsia="黑体" w:cs="Times New Roman"/>
          <w:b w:val="0"/>
          <w:bCs/>
          <w:color w:val="auto"/>
          <w:sz w:val="32"/>
          <w:szCs w:val="32"/>
        </w:rPr>
        <w:t>年末结转和结余：</w:t>
      </w:r>
      <w:r>
        <w:rPr>
          <w:rFonts w:hint="default" w:ascii="Times New Roman" w:hAnsi="Times New Roman" w:eastAsia="仿宋_GB2312" w:cs="Times New Roman"/>
          <w:b w:val="0"/>
          <w:bCs/>
          <w:color w:val="auto"/>
          <w:sz w:val="32"/>
          <w:szCs w:val="32"/>
        </w:rPr>
        <w:t>指单位按有关规定结转到下年或以后年度继续使用的资金。</w:t>
      </w:r>
    </w:p>
    <w:p w14:paraId="70ABC382">
      <w:pPr>
        <w:keepNext w:val="0"/>
        <w:keepLines w:val="0"/>
        <w:pageBreakBefore w:val="0"/>
        <w:widowControl w:val="0"/>
        <w:kinsoku/>
        <w:wordWrap/>
        <w:overflowPunct/>
        <w:topLinePunct w:val="0"/>
        <w:bidi w:val="0"/>
        <w:snapToGrid/>
        <w:spacing w:line="576"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黑体" w:cs="Times New Roman"/>
          <w:b w:val="0"/>
          <w:bCs/>
          <w:color w:val="auto"/>
          <w:kern w:val="0"/>
          <w:sz w:val="32"/>
          <w:szCs w:val="32"/>
          <w:lang w:val="en-US" w:eastAsia="zh-CN" w:bidi="ar-SA"/>
        </w:rPr>
        <w:t>9．社会保障和就业（类）行政单位离退休（款）机关事业单位基本养老保险缴费支出（项）：</w:t>
      </w:r>
      <w:r>
        <w:rPr>
          <w:rFonts w:hint="default" w:ascii="Times New Roman" w:hAnsi="Times New Roman" w:eastAsia="仿宋_GB2312" w:cs="Times New Roman"/>
          <w:b w:val="0"/>
          <w:bCs/>
          <w:sz w:val="32"/>
          <w:szCs w:val="32"/>
        </w:rPr>
        <w:t>指机关事业单位实施养老保险由单位缴纳的基本养老保险支出。</w:t>
      </w:r>
    </w:p>
    <w:p w14:paraId="182A3A25">
      <w:pPr>
        <w:keepNext w:val="0"/>
        <w:keepLines w:val="0"/>
        <w:pageBreakBefore w:val="0"/>
        <w:widowControl w:val="0"/>
        <w:kinsoku/>
        <w:wordWrap/>
        <w:overflowPunct/>
        <w:topLinePunct w:val="0"/>
        <w:bidi w:val="0"/>
        <w:snapToGrid/>
        <w:spacing w:line="576"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黑体" w:cs="Times New Roman"/>
          <w:b w:val="0"/>
          <w:bCs/>
          <w:color w:val="auto"/>
          <w:kern w:val="0"/>
          <w:sz w:val="32"/>
          <w:szCs w:val="32"/>
          <w:lang w:val="en-US" w:eastAsia="zh-CN" w:bidi="ar-SA"/>
        </w:rPr>
        <w:t>10．卫生健康（类）行政事业单位医疗（款）行政单位医疗（项）：</w:t>
      </w:r>
      <w:r>
        <w:rPr>
          <w:rFonts w:hint="default" w:ascii="Times New Roman" w:hAnsi="Times New Roman" w:eastAsia="仿宋_GB2312" w:cs="Times New Roman"/>
          <w:b w:val="0"/>
          <w:bCs/>
          <w:sz w:val="32"/>
          <w:szCs w:val="32"/>
        </w:rPr>
        <w:t>指财政部安排的行政单位基本医疗保险缴费经费。</w:t>
      </w:r>
    </w:p>
    <w:p w14:paraId="0A34B3CD">
      <w:pPr>
        <w:keepNext w:val="0"/>
        <w:keepLines w:val="0"/>
        <w:pageBreakBefore w:val="0"/>
        <w:widowControl w:val="0"/>
        <w:kinsoku/>
        <w:wordWrap/>
        <w:overflowPunct/>
        <w:topLinePunct w:val="0"/>
        <w:bidi w:val="0"/>
        <w:snapToGrid/>
        <w:spacing w:line="55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黑体" w:cs="Times New Roman"/>
          <w:b w:val="0"/>
          <w:bCs/>
          <w:color w:val="auto"/>
          <w:kern w:val="0"/>
          <w:sz w:val="32"/>
          <w:szCs w:val="32"/>
          <w:lang w:val="en-US" w:eastAsia="zh-CN" w:bidi="ar-SA"/>
        </w:rPr>
        <w:t>11．自然海洋气象等（类）自然资源事务（款）行政运行（项）：</w:t>
      </w:r>
      <w:r>
        <w:rPr>
          <w:rFonts w:hint="default" w:ascii="Times New Roman" w:hAnsi="Times New Roman" w:eastAsia="仿宋_GB2312" w:cs="Times New Roman"/>
          <w:b w:val="0"/>
          <w:bCs/>
          <w:sz w:val="32"/>
          <w:szCs w:val="32"/>
        </w:rPr>
        <w:t>指行政单位的基本支出。</w:t>
      </w:r>
    </w:p>
    <w:p w14:paraId="0FB3A26B">
      <w:pPr>
        <w:keepNext w:val="0"/>
        <w:keepLines w:val="0"/>
        <w:pageBreakBefore w:val="0"/>
        <w:widowControl w:val="0"/>
        <w:kinsoku/>
        <w:wordWrap/>
        <w:overflowPunct/>
        <w:topLinePunct w:val="0"/>
        <w:bidi w:val="0"/>
        <w:snapToGrid/>
        <w:spacing w:line="55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黑体" w:cs="Times New Roman"/>
          <w:b w:val="0"/>
          <w:bCs/>
          <w:color w:val="auto"/>
          <w:kern w:val="0"/>
          <w:sz w:val="32"/>
          <w:szCs w:val="32"/>
          <w:lang w:val="en-US" w:eastAsia="zh-CN" w:bidi="ar-SA"/>
        </w:rPr>
        <w:t>12．住房保障（类）住房改革支出（款）住房公积金（项）：</w:t>
      </w:r>
      <w:r>
        <w:rPr>
          <w:rFonts w:hint="default" w:ascii="Times New Roman" w:hAnsi="Times New Roman" w:eastAsia="仿宋_GB2312" w:cs="Times New Roman"/>
          <w:b w:val="0"/>
          <w:bCs/>
          <w:sz w:val="32"/>
          <w:szCs w:val="32"/>
        </w:rPr>
        <w:t>指行政单位按人力资源和社会保障部、财政部规定的基本工资和津贴以及规定比例为职工缴纳的住房公积金。</w:t>
      </w:r>
    </w:p>
    <w:p w14:paraId="537769C7">
      <w:pPr>
        <w:keepNext w:val="0"/>
        <w:keepLines w:val="0"/>
        <w:pageBreakBefore w:val="0"/>
        <w:widowControl w:val="0"/>
        <w:kinsoku/>
        <w:wordWrap/>
        <w:overflowPunct/>
        <w:topLinePunct w:val="0"/>
        <w:bidi w:val="0"/>
        <w:snapToGrid/>
        <w:spacing w:line="55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黑体" w:cs="Times New Roman"/>
          <w:b w:val="0"/>
          <w:bCs/>
          <w:color w:val="auto"/>
          <w:kern w:val="0"/>
          <w:sz w:val="32"/>
          <w:szCs w:val="32"/>
          <w:lang w:val="en-US" w:eastAsia="zh-CN" w:bidi="ar-SA"/>
        </w:rPr>
        <w:t>13．基本支出：</w:t>
      </w:r>
      <w:r>
        <w:rPr>
          <w:rFonts w:hint="default" w:ascii="Times New Roman" w:hAnsi="Times New Roman" w:eastAsia="仿宋_GB2312" w:cs="Times New Roman"/>
          <w:b w:val="0"/>
          <w:bCs/>
          <w:sz w:val="32"/>
          <w:szCs w:val="32"/>
        </w:rPr>
        <w:t>指为保障机构正常运转、完成日常工作任务而发生的人员支出和公用支出。</w:t>
      </w:r>
    </w:p>
    <w:p w14:paraId="2D532D5B">
      <w:pPr>
        <w:keepNext w:val="0"/>
        <w:keepLines w:val="0"/>
        <w:pageBreakBefore w:val="0"/>
        <w:widowControl w:val="0"/>
        <w:kinsoku/>
        <w:wordWrap/>
        <w:overflowPunct/>
        <w:topLinePunct w:val="0"/>
        <w:bidi w:val="0"/>
        <w:snapToGrid/>
        <w:spacing w:line="55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黑体" w:cs="Times New Roman"/>
          <w:b w:val="0"/>
          <w:bCs/>
          <w:color w:val="auto"/>
          <w:kern w:val="0"/>
          <w:sz w:val="32"/>
          <w:szCs w:val="32"/>
          <w:lang w:val="en-US" w:eastAsia="zh-CN" w:bidi="ar-SA"/>
        </w:rPr>
        <w:t>14．项目支出：</w:t>
      </w:r>
      <w:r>
        <w:rPr>
          <w:rFonts w:hint="default" w:ascii="Times New Roman" w:hAnsi="Times New Roman" w:eastAsia="仿宋_GB2312" w:cs="Times New Roman"/>
          <w:b w:val="0"/>
          <w:bCs/>
          <w:sz w:val="32"/>
          <w:szCs w:val="32"/>
        </w:rPr>
        <w:t xml:space="preserve">指在基本支出之外为完成特定行政任务和事业发展目标所发生的支出。 </w:t>
      </w:r>
    </w:p>
    <w:p w14:paraId="52DBDEF7">
      <w:pPr>
        <w:keepNext w:val="0"/>
        <w:keepLines w:val="0"/>
        <w:pageBreakBefore w:val="0"/>
        <w:widowControl w:val="0"/>
        <w:kinsoku/>
        <w:wordWrap/>
        <w:overflowPunct/>
        <w:topLinePunct w:val="0"/>
        <w:bidi w:val="0"/>
        <w:snapToGrid/>
        <w:spacing w:line="55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黑体" w:cs="Times New Roman"/>
          <w:b w:val="0"/>
          <w:bCs/>
          <w:color w:val="auto"/>
          <w:kern w:val="0"/>
          <w:sz w:val="32"/>
          <w:szCs w:val="32"/>
          <w:lang w:val="en-US" w:eastAsia="zh-CN" w:bidi="ar-SA"/>
        </w:rPr>
        <w:t>15．经营支出：</w:t>
      </w:r>
      <w:r>
        <w:rPr>
          <w:rFonts w:hint="default" w:ascii="Times New Roman" w:hAnsi="Times New Roman" w:eastAsia="仿宋_GB2312" w:cs="Times New Roman"/>
          <w:b w:val="0"/>
          <w:bCs/>
          <w:sz w:val="32"/>
          <w:szCs w:val="32"/>
        </w:rPr>
        <w:t>指事业单位在专业业务活动及其辅助活动之外开展非独立核算经营活动发生的支出。</w:t>
      </w:r>
    </w:p>
    <w:p w14:paraId="688EAC01">
      <w:pPr>
        <w:pStyle w:val="29"/>
        <w:keepNext w:val="0"/>
        <w:keepLines w:val="0"/>
        <w:pageBreakBefore w:val="0"/>
        <w:widowControl w:val="0"/>
        <w:kinsoku/>
        <w:wordWrap/>
        <w:overflowPunct/>
        <w:topLinePunct w:val="0"/>
        <w:bidi w:val="0"/>
        <w:snapToGrid/>
        <w:spacing w:line="55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黑体" w:cs="Times New Roman"/>
          <w:b w:val="0"/>
          <w:bCs/>
          <w:color w:val="auto"/>
          <w:sz w:val="32"/>
          <w:szCs w:val="32"/>
          <w:lang w:val="en-US" w:eastAsia="zh-CN"/>
        </w:rPr>
        <w:t>16</w:t>
      </w:r>
      <w:r>
        <w:rPr>
          <w:rFonts w:hint="default" w:ascii="Times New Roman" w:hAnsi="Times New Roman" w:eastAsia="黑体" w:cs="Times New Roman"/>
          <w:b w:val="0"/>
          <w:bCs/>
          <w:color w:val="auto"/>
          <w:sz w:val="32"/>
          <w:szCs w:val="32"/>
          <w:lang w:eastAsia="zh-CN"/>
        </w:rPr>
        <w:t>．</w:t>
      </w:r>
      <w:r>
        <w:rPr>
          <w:rFonts w:hint="default" w:ascii="Times New Roman" w:hAnsi="Times New Roman" w:eastAsia="黑体" w:cs="Times New Roman"/>
          <w:b w:val="0"/>
          <w:bCs/>
          <w:color w:val="auto"/>
          <w:sz w:val="32"/>
          <w:szCs w:val="32"/>
        </w:rPr>
        <w:t>“三公”经费：</w:t>
      </w:r>
      <w:r>
        <w:rPr>
          <w:rFonts w:hint="default" w:ascii="Times New Roman" w:hAnsi="Times New Roman" w:eastAsia="仿宋_GB2312" w:cs="Times New Roman"/>
          <w:b w:val="0"/>
          <w:bCs/>
          <w:color w:val="auto"/>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0CE9F986">
      <w:pPr>
        <w:pStyle w:val="29"/>
        <w:keepNext w:val="0"/>
        <w:keepLines w:val="0"/>
        <w:pageBreakBefore w:val="0"/>
        <w:widowControl w:val="0"/>
        <w:kinsoku/>
        <w:wordWrap/>
        <w:overflowPunct/>
        <w:topLinePunct w:val="0"/>
        <w:bidi w:val="0"/>
        <w:snapToGrid/>
        <w:spacing w:line="55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黑体" w:cs="Times New Roman"/>
          <w:b w:val="0"/>
          <w:bCs/>
          <w:color w:val="auto"/>
          <w:sz w:val="32"/>
          <w:szCs w:val="32"/>
          <w:lang w:val="en-US" w:eastAsia="zh-CN"/>
        </w:rPr>
        <w:t>17</w:t>
      </w:r>
      <w:r>
        <w:rPr>
          <w:rFonts w:hint="default" w:ascii="Times New Roman" w:hAnsi="Times New Roman" w:eastAsia="黑体" w:cs="Times New Roman"/>
          <w:b w:val="0"/>
          <w:bCs/>
          <w:color w:val="auto"/>
          <w:sz w:val="32"/>
          <w:szCs w:val="32"/>
          <w:lang w:eastAsia="zh-CN"/>
        </w:rPr>
        <w:t>．</w:t>
      </w:r>
      <w:r>
        <w:rPr>
          <w:rFonts w:hint="default" w:ascii="Times New Roman" w:hAnsi="Times New Roman" w:eastAsia="黑体" w:cs="Times New Roman"/>
          <w:b w:val="0"/>
          <w:bCs/>
          <w:color w:val="auto"/>
          <w:sz w:val="32"/>
          <w:szCs w:val="32"/>
        </w:rPr>
        <w:t>机关运行经费：</w:t>
      </w:r>
      <w:r>
        <w:rPr>
          <w:rFonts w:hint="default" w:ascii="Times New Roman" w:hAnsi="Times New Roman" w:eastAsia="仿宋_GB2312" w:cs="Times New Roman"/>
          <w:b w:val="0"/>
          <w:bCs/>
          <w:color w:val="auto"/>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754E385">
      <w:pPr>
        <w:spacing w:line="576" w:lineRule="exact"/>
        <w:jc w:val="center"/>
        <w:outlineLvl w:val="0"/>
        <w:rPr>
          <w:rFonts w:hint="default" w:ascii="Times New Roman" w:hAnsi="Times New Roman" w:eastAsia="方正小标宋简体" w:cs="Times New Roman"/>
          <w:bCs/>
          <w:kern w:val="44"/>
          <w:sz w:val="44"/>
          <w:szCs w:val="44"/>
        </w:rPr>
      </w:pPr>
      <w:bookmarkStart w:id="78" w:name="_Toc15377226"/>
      <w:r>
        <w:rPr>
          <w:rFonts w:hint="default" w:ascii="Times New Roman" w:hAnsi="Times New Roman" w:eastAsia="仿宋_GB2312" w:cs="Times New Roman"/>
          <w:b/>
          <w:sz w:val="32"/>
          <w:szCs w:val="32"/>
        </w:rPr>
        <w:br w:type="page"/>
      </w:r>
      <w:bookmarkStart w:id="79" w:name="_Toc15396614"/>
      <w:bookmarkStart w:id="80" w:name="_Toc31271"/>
      <w:r>
        <w:rPr>
          <w:rFonts w:hint="default" w:ascii="Times New Roman" w:hAnsi="Times New Roman" w:eastAsia="方正小标宋简体" w:cs="Times New Roman"/>
          <w:bCs/>
          <w:kern w:val="44"/>
          <w:sz w:val="44"/>
          <w:szCs w:val="44"/>
        </w:rPr>
        <w:t>第四部分  附件</w:t>
      </w:r>
      <w:bookmarkEnd w:id="79"/>
      <w:bookmarkEnd w:id="80"/>
    </w:p>
    <w:p w14:paraId="6E2A9E00">
      <w:pPr>
        <w:widowControl/>
        <w:spacing w:line="600" w:lineRule="exact"/>
        <w:contextualSpacing/>
        <w:jc w:val="center"/>
        <w:rPr>
          <w:rFonts w:hint="default" w:ascii="Times New Roman" w:hAnsi="Times New Roman" w:eastAsia="方正小标宋简体" w:cs="Times New Roman"/>
          <w:bCs/>
          <w:sz w:val="44"/>
          <w:szCs w:val="44"/>
          <w:shd w:val="clear" w:color="auto" w:fill="FFFFFF"/>
        </w:rPr>
      </w:pPr>
    </w:p>
    <w:p w14:paraId="1E5EE64C">
      <w:pPr>
        <w:widowControl/>
        <w:spacing w:line="600" w:lineRule="exact"/>
        <w:contextualSpacing/>
        <w:jc w:val="center"/>
        <w:rPr>
          <w:rFonts w:hint="default" w:ascii="Times New Roman" w:hAnsi="Times New Roman" w:eastAsia="方正小标宋简体" w:cs="Times New Roman"/>
          <w:bCs/>
          <w:sz w:val="44"/>
          <w:szCs w:val="44"/>
          <w:shd w:val="clear" w:color="auto" w:fill="FFFFFF"/>
        </w:rPr>
      </w:pPr>
      <w:r>
        <w:rPr>
          <w:rFonts w:hint="default" w:ascii="Times New Roman" w:hAnsi="Times New Roman" w:eastAsia="方正小标宋简体" w:cs="Times New Roman"/>
          <w:bCs/>
          <w:sz w:val="44"/>
          <w:szCs w:val="44"/>
          <w:shd w:val="clear" w:color="auto" w:fill="FFFFFF"/>
        </w:rPr>
        <w:t>2022年部门整体绩效评价报告</w:t>
      </w:r>
    </w:p>
    <w:p w14:paraId="776F9A09">
      <w:pPr>
        <w:widowControl/>
        <w:adjustRightInd w:val="0"/>
        <w:snapToGrid w:val="0"/>
        <w:spacing w:line="600" w:lineRule="exact"/>
        <w:contextualSpacing/>
        <w:jc w:val="center"/>
        <w:rPr>
          <w:rFonts w:hint="default" w:ascii="Times New Roman" w:hAnsi="Times New Roman" w:eastAsia="方正小标宋简体" w:cs="Times New Roman"/>
          <w:bCs/>
          <w:kern w:val="0"/>
          <w:sz w:val="44"/>
          <w:szCs w:val="44"/>
          <w:shd w:val="clear" w:color="auto" w:fill="FFFFFF"/>
        </w:rPr>
      </w:pPr>
    </w:p>
    <w:p w14:paraId="0DB397C3">
      <w:pPr>
        <w:widowControl/>
        <w:adjustRightInd w:val="0"/>
        <w:snapToGrid w:val="0"/>
        <w:spacing w:line="576" w:lineRule="exact"/>
        <w:ind w:firstLine="640" w:firstLineChars="200"/>
        <w:contextualSpacing/>
        <w:outlineLvl w:val="1"/>
        <w:rPr>
          <w:rFonts w:hint="default" w:ascii="Times New Roman" w:hAnsi="Times New Roman" w:eastAsia="黑体" w:cs="Times New Roman"/>
          <w:kern w:val="0"/>
          <w:sz w:val="32"/>
          <w:szCs w:val="32"/>
          <w:shd w:val="clear" w:color="auto" w:fill="FFFFFF"/>
          <w:lang w:val="zh-CN"/>
        </w:rPr>
      </w:pPr>
      <w:bookmarkStart w:id="81" w:name="_Toc15966"/>
      <w:r>
        <w:rPr>
          <w:rFonts w:hint="default" w:ascii="Times New Roman" w:hAnsi="Times New Roman" w:eastAsia="黑体" w:cs="Times New Roman"/>
          <w:kern w:val="0"/>
          <w:sz w:val="32"/>
          <w:szCs w:val="32"/>
          <w:shd w:val="clear" w:color="auto" w:fill="FFFFFF"/>
        </w:rPr>
        <w:t>一、</w:t>
      </w:r>
      <w:r>
        <w:rPr>
          <w:rFonts w:hint="default" w:ascii="Times New Roman" w:hAnsi="Times New Roman" w:eastAsia="黑体" w:cs="Times New Roman"/>
          <w:kern w:val="0"/>
          <w:sz w:val="32"/>
          <w:szCs w:val="32"/>
          <w:shd w:val="clear" w:color="auto" w:fill="FFFFFF"/>
          <w:lang w:val="zh-CN"/>
        </w:rPr>
        <w:t>部门（单位）基本情况</w:t>
      </w:r>
      <w:bookmarkEnd w:id="81"/>
    </w:p>
    <w:p w14:paraId="0E5E5C45">
      <w:pPr>
        <w:widowControl/>
        <w:adjustRightInd w:val="0"/>
        <w:snapToGrid w:val="0"/>
        <w:spacing w:line="576" w:lineRule="exact"/>
        <w:ind w:firstLine="640" w:firstLineChars="200"/>
        <w:contextualSpacing/>
        <w:rPr>
          <w:rFonts w:hint="default" w:ascii="Times New Roman" w:hAnsi="Times New Roman" w:eastAsia="楷体_GB2312" w:cs="Times New Roman"/>
          <w:kern w:val="0"/>
          <w:sz w:val="32"/>
          <w:szCs w:val="32"/>
          <w:shd w:val="clear" w:color="auto" w:fill="FFFFFF"/>
          <w:lang w:val="zh-CN"/>
        </w:rPr>
      </w:pPr>
      <w:r>
        <w:rPr>
          <w:rFonts w:hint="default" w:ascii="Times New Roman" w:hAnsi="Times New Roman" w:eastAsia="楷体_GB2312" w:cs="Times New Roman"/>
          <w:kern w:val="0"/>
          <w:sz w:val="32"/>
          <w:szCs w:val="32"/>
          <w:shd w:val="clear" w:color="auto" w:fill="FFFFFF"/>
          <w:lang w:val="zh-CN"/>
        </w:rPr>
        <w:t>（一）机构组成。（简要介绍）</w:t>
      </w:r>
    </w:p>
    <w:p w14:paraId="6C5361C1">
      <w:pPr>
        <w:spacing w:line="576" w:lineRule="exact"/>
        <w:ind w:firstLine="640" w:firstLineChars="200"/>
        <w:rPr>
          <w:rFonts w:hint="default" w:ascii="Times New Roman" w:hAnsi="Times New Roman" w:eastAsia="仿宋_GB2312" w:cs="Times New Roman"/>
          <w:sz w:val="32"/>
          <w:szCs w:val="32"/>
        </w:rPr>
      </w:pPr>
      <w:bookmarkStart w:id="82" w:name="_Toc27189"/>
      <w:bookmarkStart w:id="83" w:name="_Toc13451"/>
      <w:bookmarkStart w:id="84" w:name="_Toc19743"/>
      <w:r>
        <w:rPr>
          <w:rFonts w:hint="default" w:ascii="Times New Roman" w:hAnsi="Times New Roman" w:eastAsia="仿宋_GB2312" w:cs="Times New Roman"/>
          <w:sz w:val="32"/>
          <w:szCs w:val="32"/>
        </w:rPr>
        <w:t>广元市自然资源局昭化区分局下属二级单位４个，其中行政单位0个，参照公务员法管理的事业单位1个为广元市昭化区自然资源综合行政执法大队，其他事业单位３个</w:t>
      </w:r>
      <w:bookmarkEnd w:id="82"/>
      <w:r>
        <w:rPr>
          <w:rFonts w:hint="default" w:ascii="Times New Roman" w:hAnsi="Times New Roman" w:eastAsia="仿宋_GB2312" w:cs="Times New Roman"/>
          <w:sz w:val="32"/>
          <w:szCs w:val="32"/>
        </w:rPr>
        <w:t>，分别为广元</w:t>
      </w:r>
      <w:r>
        <w:rPr>
          <w:rFonts w:hint="eastAsia" w:eastAsia="仿宋_GB2312" w:cs="Times New Roman"/>
          <w:sz w:val="32"/>
          <w:szCs w:val="32"/>
          <w:lang w:eastAsia="zh-CN"/>
        </w:rPr>
        <w:t>市自然资源局</w:t>
      </w:r>
      <w:r>
        <w:rPr>
          <w:rFonts w:hint="default" w:ascii="Times New Roman" w:hAnsi="Times New Roman" w:eastAsia="仿宋_GB2312" w:cs="Times New Roman"/>
          <w:sz w:val="32"/>
          <w:szCs w:val="32"/>
        </w:rPr>
        <w:t>昭化区自然资源所、广元</w:t>
      </w:r>
      <w:r>
        <w:rPr>
          <w:rFonts w:hint="eastAsia" w:eastAsia="仿宋_GB2312" w:cs="Times New Roman"/>
          <w:sz w:val="32"/>
          <w:szCs w:val="32"/>
          <w:lang w:eastAsia="zh-CN"/>
        </w:rPr>
        <w:t>市自然资源局</w:t>
      </w:r>
      <w:r>
        <w:rPr>
          <w:rFonts w:hint="default" w:ascii="Times New Roman" w:hAnsi="Times New Roman" w:eastAsia="仿宋_GB2312" w:cs="Times New Roman"/>
          <w:sz w:val="32"/>
          <w:szCs w:val="32"/>
        </w:rPr>
        <w:t>昭化区事务中心、广元市昭化区地质环境监测站，下属二级单位均未独立核算。代管单位１个，为广元市昭化国土空间规划编制研究中心。</w:t>
      </w:r>
      <w:bookmarkEnd w:id="83"/>
      <w:bookmarkEnd w:id="84"/>
    </w:p>
    <w:p w14:paraId="23E7A9F4">
      <w:pPr>
        <w:widowControl/>
        <w:adjustRightInd w:val="0"/>
        <w:snapToGrid w:val="0"/>
        <w:spacing w:line="576" w:lineRule="exact"/>
        <w:ind w:firstLine="640" w:firstLineChars="200"/>
        <w:contextualSpacing/>
        <w:rPr>
          <w:rFonts w:hint="default" w:ascii="Times New Roman" w:hAnsi="Times New Roman" w:eastAsia="楷体_GB2312" w:cs="Times New Roman"/>
          <w:kern w:val="0"/>
          <w:sz w:val="32"/>
          <w:szCs w:val="32"/>
          <w:shd w:val="clear" w:color="auto" w:fill="FFFFFF"/>
          <w:lang w:val="zh-CN"/>
        </w:rPr>
      </w:pPr>
      <w:r>
        <w:rPr>
          <w:rFonts w:hint="default" w:ascii="Times New Roman" w:hAnsi="Times New Roman" w:eastAsia="楷体_GB2312" w:cs="Times New Roman"/>
          <w:kern w:val="0"/>
          <w:sz w:val="32"/>
          <w:szCs w:val="32"/>
          <w:shd w:val="clear" w:color="auto" w:fill="FFFFFF"/>
          <w:lang w:val="zh-CN"/>
        </w:rPr>
        <w:t>（二）机构职能和人员概况。（简要介绍）</w:t>
      </w:r>
    </w:p>
    <w:p w14:paraId="1FC07E50">
      <w:pPr>
        <w:spacing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1．按照权限，履行全民所有土地、矿产、森林、湿地、水等自然资源资产所有者职责和所有国土空间用途管制职责。</w:t>
      </w:r>
    </w:p>
    <w:p w14:paraId="30B57977">
      <w:pPr>
        <w:spacing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2．负责全区自然资源调查监测评价。</w:t>
      </w:r>
    </w:p>
    <w:p w14:paraId="5A875EFE">
      <w:pPr>
        <w:spacing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3．负责全区自然资源统一确权登记工作。</w:t>
      </w:r>
    </w:p>
    <w:p w14:paraId="3A5A3C2E">
      <w:pPr>
        <w:spacing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4．负责全区自然资源资产有偿使用工作。</w:t>
      </w:r>
    </w:p>
    <w:p w14:paraId="0D8889AD">
      <w:pPr>
        <w:spacing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5．负责全区自然资源的合理开发利用。</w:t>
      </w:r>
    </w:p>
    <w:p w14:paraId="1ABAAE7C">
      <w:pPr>
        <w:spacing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6．负责建立全区空间规划体系并监督实施。</w:t>
      </w:r>
    </w:p>
    <w:p w14:paraId="5EF31E06">
      <w:pPr>
        <w:spacing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7．负责统筹全区国土空间生态修复。</w:t>
      </w:r>
    </w:p>
    <w:p w14:paraId="2AA287AC">
      <w:pPr>
        <w:spacing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8．负责组织实施最严格的耕地保护制度。</w:t>
      </w:r>
    </w:p>
    <w:p w14:paraId="30659D18">
      <w:pPr>
        <w:spacing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9．负责管理全区地质勘查和地质工作。</w:t>
      </w:r>
    </w:p>
    <w:p w14:paraId="5429C121">
      <w:pPr>
        <w:spacing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10．负责落实综合防灾减灾规划相关要求，组织编制并实施地质灾害防治规划。</w:t>
      </w:r>
    </w:p>
    <w:p w14:paraId="3EB8900B">
      <w:pPr>
        <w:spacing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11．负责全区矿产资源管理工作。</w:t>
      </w:r>
    </w:p>
    <w:p w14:paraId="32DDB53D">
      <w:pPr>
        <w:spacing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12．推动全自然资源领域科技发展和对外合作。</w:t>
      </w:r>
    </w:p>
    <w:p w14:paraId="25A8F1F3">
      <w:pPr>
        <w:spacing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13．配合国家、省、市对县区政府落实党中央、国务院关于自然资源和国土空间规划的重大方针政策、决策部署及法律法规执行情况进行督察。</w:t>
      </w:r>
    </w:p>
    <w:p w14:paraId="0FCFCF37">
      <w:pPr>
        <w:spacing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14．负责测绘地理信息管理。</w:t>
      </w:r>
    </w:p>
    <w:p w14:paraId="22CE523A">
      <w:pPr>
        <w:spacing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15．负责职责范围内的安全生产和职业健康、生态环境保护、审批服务便民化等工作。</w:t>
      </w:r>
    </w:p>
    <w:p w14:paraId="52E32A4F">
      <w:pPr>
        <w:spacing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16．完成区委、区政府交办的其他任务。</w:t>
      </w:r>
    </w:p>
    <w:p w14:paraId="393DF008">
      <w:pPr>
        <w:widowControl/>
        <w:adjustRightInd w:val="0"/>
        <w:snapToGrid w:val="0"/>
        <w:spacing w:line="576" w:lineRule="exact"/>
        <w:ind w:firstLine="640" w:firstLineChars="200"/>
        <w:contextualSpacing/>
        <w:rPr>
          <w:rFonts w:hint="default" w:ascii="Times New Roman" w:hAnsi="Times New Roman" w:eastAsia="楷体_GB2312" w:cs="Times New Roman"/>
          <w:kern w:val="0"/>
          <w:sz w:val="32"/>
          <w:szCs w:val="32"/>
          <w:shd w:val="clear" w:color="auto" w:fill="FFFFFF"/>
          <w:lang w:val="zh-CN"/>
        </w:rPr>
      </w:pPr>
      <w:r>
        <w:rPr>
          <w:rFonts w:hint="default" w:ascii="Times New Roman" w:hAnsi="Times New Roman" w:eastAsia="楷体_GB2312" w:cs="Times New Roman"/>
          <w:kern w:val="0"/>
          <w:sz w:val="32"/>
          <w:szCs w:val="32"/>
          <w:shd w:val="clear" w:color="auto" w:fill="FFFFFF"/>
          <w:lang w:val="zh-CN"/>
        </w:rPr>
        <w:t>（三）人员概况</w:t>
      </w:r>
    </w:p>
    <w:p w14:paraId="41F05A94">
      <w:pPr>
        <w:spacing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我局核定编制82人（含区规划编研中心12人）。现有职工58人，其中正式在编职工58人（不含区规划编研中心在岗11人），临聘人员6人；在编的58名职工中，有6名公务员、23名参公管理人员、29名事业人员。</w:t>
      </w:r>
    </w:p>
    <w:p w14:paraId="3B3F9C42">
      <w:pPr>
        <w:spacing w:line="576" w:lineRule="exact"/>
        <w:ind w:firstLine="640" w:firstLineChars="200"/>
        <w:rPr>
          <w:rFonts w:hint="default" w:ascii="Times New Roman" w:hAnsi="Times New Roman" w:eastAsia="楷体_GB2312" w:cs="Times New Roman"/>
          <w:kern w:val="0"/>
          <w:sz w:val="32"/>
          <w:szCs w:val="32"/>
          <w:shd w:val="clear" w:color="auto" w:fill="FFFFFF"/>
          <w:lang w:val="zh-CN"/>
        </w:rPr>
      </w:pPr>
      <w:r>
        <w:rPr>
          <w:rFonts w:hint="default" w:ascii="Times New Roman" w:hAnsi="Times New Roman" w:eastAsia="楷体_GB2312" w:cs="Times New Roman"/>
          <w:kern w:val="0"/>
          <w:sz w:val="32"/>
          <w:szCs w:val="32"/>
          <w:shd w:val="clear" w:color="auto" w:fill="FFFFFF"/>
          <w:lang w:val="zh-CN"/>
        </w:rPr>
        <w:t>（</w:t>
      </w:r>
      <w:r>
        <w:rPr>
          <w:rFonts w:hint="default" w:ascii="Times New Roman" w:hAnsi="Times New Roman" w:eastAsia="楷体_GB2312" w:cs="Times New Roman"/>
          <w:kern w:val="0"/>
          <w:sz w:val="32"/>
          <w:szCs w:val="32"/>
          <w:shd w:val="clear" w:color="auto" w:fill="FFFFFF"/>
        </w:rPr>
        <w:t>四</w:t>
      </w:r>
      <w:r>
        <w:rPr>
          <w:rFonts w:hint="default" w:ascii="Times New Roman" w:hAnsi="Times New Roman" w:eastAsia="楷体_GB2312" w:cs="Times New Roman"/>
          <w:kern w:val="0"/>
          <w:sz w:val="32"/>
          <w:szCs w:val="32"/>
          <w:shd w:val="clear" w:color="auto" w:fill="FFFFFF"/>
          <w:lang w:val="zh-CN"/>
        </w:rPr>
        <w:t>）年度主要工作任务。</w:t>
      </w:r>
    </w:p>
    <w:p w14:paraId="600B4301">
      <w:pPr>
        <w:spacing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lang w:val="en-US" w:eastAsia="zh-CN"/>
        </w:rPr>
        <w:t>二</w:t>
      </w:r>
      <w:r>
        <w:rPr>
          <w:rFonts w:hint="default" w:ascii="Times New Roman" w:hAnsi="Times New Roman" w:eastAsia="黑体" w:cs="Times New Roman"/>
          <w:sz w:val="32"/>
          <w:szCs w:val="32"/>
        </w:rPr>
        <w:t>、工作开展情况</w:t>
      </w:r>
    </w:p>
    <w:p w14:paraId="1D6C70CC">
      <w:pPr>
        <w:spacing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（一）加强党的建设，着力提升干部队伍能力。</w:t>
      </w:r>
      <w:r>
        <w:rPr>
          <w:rFonts w:hint="default" w:ascii="Times New Roman" w:hAnsi="Times New Roman" w:eastAsia="仿宋_GB2312" w:cs="Times New Roman"/>
          <w:sz w:val="32"/>
          <w:szCs w:val="32"/>
        </w:rPr>
        <w:t>我局始终坚持把加强党的建设特别是加强党的思想政治建设作为首要任务，全面加强党对自然资源管理工作的全</w:t>
      </w:r>
      <w:r>
        <w:rPr>
          <w:rFonts w:hint="default" w:ascii="Times New Roman" w:hAnsi="Times New Roman" w:eastAsia="仿宋_GB2312" w:cs="Times New Roman"/>
          <w:kern w:val="0"/>
          <w:sz w:val="32"/>
          <w:szCs w:val="32"/>
        </w:rPr>
        <w:t>面领导。</w:t>
      </w:r>
      <w:r>
        <w:rPr>
          <w:rFonts w:hint="default" w:ascii="Times New Roman" w:hAnsi="Times New Roman" w:eastAsia="仿宋_GB2312" w:cs="Times New Roman"/>
          <w:sz w:val="32"/>
          <w:szCs w:val="32"/>
        </w:rPr>
        <w:t>始终坚持</w:t>
      </w:r>
      <w:r>
        <w:rPr>
          <w:rFonts w:hint="eastAsia" w:eastAsia="仿宋_GB2312" w:cs="Times New Roman"/>
          <w:sz w:val="32"/>
          <w:szCs w:val="32"/>
          <w:lang w:eastAsia="zh-CN"/>
        </w:rPr>
        <w:t>以习近平新时代中国特色社会主义思想为指导</w:t>
      </w:r>
      <w:r>
        <w:rPr>
          <w:rFonts w:hint="default" w:ascii="Times New Roman" w:hAnsi="Times New Roman" w:eastAsia="仿宋_GB2312" w:cs="Times New Roman"/>
          <w:sz w:val="32"/>
          <w:szCs w:val="32"/>
        </w:rPr>
        <w:t>，全面深入学习贯彻习近平总书记历次重要讲话精神、来川视察的重要指示精神，对耕地保护、集约节约用地、生态修复、国土空间规划和用途管控等重要指示批示精神，习近平新时代中国特色社会主义思想特别是习近平生态文明思想，以及</w:t>
      </w:r>
      <w:r>
        <w:rPr>
          <w:rFonts w:hint="eastAsia" w:eastAsia="仿宋_GB2312" w:cs="Times New Roman"/>
          <w:sz w:val="32"/>
          <w:szCs w:val="32"/>
          <w:lang w:eastAsia="zh-CN"/>
        </w:rPr>
        <w:t>党的</w:t>
      </w:r>
      <w:r>
        <w:rPr>
          <w:rFonts w:hint="default" w:ascii="Times New Roman" w:hAnsi="Times New Roman" w:eastAsia="仿宋_GB2312" w:cs="Times New Roman"/>
          <w:sz w:val="32"/>
          <w:szCs w:val="32"/>
        </w:rPr>
        <w:t>十九大、</w:t>
      </w:r>
      <w:r>
        <w:rPr>
          <w:rFonts w:hint="eastAsia" w:eastAsia="仿宋_GB2312" w:cs="Times New Roman"/>
          <w:sz w:val="32"/>
          <w:szCs w:val="32"/>
          <w:lang w:eastAsia="zh-CN"/>
        </w:rPr>
        <w:t>党的</w:t>
      </w:r>
      <w:r>
        <w:rPr>
          <w:rFonts w:hint="default" w:ascii="Times New Roman" w:hAnsi="Times New Roman" w:eastAsia="仿宋_GB2312" w:cs="Times New Roman"/>
          <w:sz w:val="32"/>
          <w:szCs w:val="32"/>
        </w:rPr>
        <w:t>十九届历次全会、</w:t>
      </w:r>
      <w:r>
        <w:rPr>
          <w:rFonts w:hint="eastAsia" w:eastAsia="仿宋_GB2312" w:cs="Times New Roman"/>
          <w:sz w:val="32"/>
          <w:szCs w:val="32"/>
          <w:lang w:eastAsia="zh-CN"/>
        </w:rPr>
        <w:t>党的二十大精神</w:t>
      </w:r>
      <w:r>
        <w:rPr>
          <w:rFonts w:hint="default" w:ascii="Times New Roman" w:hAnsi="Times New Roman" w:eastAsia="仿宋_GB2312" w:cs="Times New Roman"/>
          <w:sz w:val="32"/>
          <w:szCs w:val="32"/>
        </w:rPr>
        <w:t>、党中央各项重大决策部署。2022年以来，新进局班子成员3名（挂职干部2名），通过公开招聘、考调、人才引进干部3人，共提拔2名年轻干部任局中层干部，6名中层干部轮岗交流，按照“一目录两清单”要求加强基层所规范化建设，按照国土空间乡级片区划分将7个自然资源所调整为5个自然资源所，充实自然资源所人员力量，选派5名学历高、能力强的年轻同志到一线锻炼。发展入党积极分子5名，发展预备党员1名，党员转正1名，开展党员活动30余次，不断增强组织的凝聚力、战斗力。</w:t>
      </w:r>
    </w:p>
    <w:p w14:paraId="35060B96">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（二）全面从严治党，坚守纪律规矩底线红线。</w:t>
      </w:r>
      <w:r>
        <w:rPr>
          <w:rFonts w:hint="default" w:ascii="Times New Roman" w:hAnsi="Times New Roman" w:eastAsia="仿宋_GB2312" w:cs="Times New Roman"/>
          <w:sz w:val="32"/>
          <w:szCs w:val="32"/>
        </w:rPr>
        <w:t>健全对权力运行的制约和监督体系，坚决把“严”的主基调贯穿到管党治党全过程，努力构建风清气正的良好政治生态。印发了2022年党风廉政建设及反腐败工作要点，健全党组主体责任、党组书记第一责任、班子成员“一岗双责”的“四责协同”机制。召开中心组学习7次，及时召开会议研究部署意识形态工作，局党组会前学纪学法15次，研究党建工作4次、党风廉政建设工作4次。坚持警钟长鸣，局党组书记与全体干部职工开展集体谈心谈话12次，班子成员开展谈心谈话20余次，开展10期“昭化自然·清风学堂”专题活动，邀请法院、检察院领导专家授课，通报典型案例10次，观看警示教育片2次，不断强化警示教育。扎实开展系统治理，确定了“2+1+5”系统治理重点，坚持问题导向，完善任务清单、问题清单和整改清单3张清单，集中摸排9大治理重点问题32个，制定整改措施41条，有30个问题已整改完毕，2个问题正在整改。今年以来，我局政治理论学习、党风廉政建设、系统治理等工作推动有力有序，全体党员战斗力、凝聚力得到切实提升，工作中充分发挥了党员先锋模范作用，无干部职工因违反党风廉政建设被问责处理。</w:t>
      </w:r>
    </w:p>
    <w:p w14:paraId="5F38870B">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（三）加强法治建设，依法行政贯穿工作始终。</w:t>
      </w:r>
      <w:r>
        <w:rPr>
          <w:rFonts w:hint="default" w:ascii="Times New Roman" w:hAnsi="Times New Roman" w:eastAsia="仿宋_GB2312" w:cs="Times New Roman"/>
          <w:sz w:val="32"/>
          <w:szCs w:val="32"/>
        </w:rPr>
        <w:t>按照“八五”普法相关要求，结合“4.15”国家安全日、“4.22”地球日、“6.25”土地日等节日深入开展自然资源法规政策。加强动态巡查日常监管，坚决执行“早发现、早制止、严查处”的自然资源执法机制，全年来共监督督促各自然资源所开展动态巡查1000余人次，实现重点区域100%覆盖、违法案件发现率90%、制止率100%。通过巡查发现违法行为4件，有效制止4件。完成8起违法占地案件查处，结案率87.5%，罚款1545.6万元，目前已执行到位1462.4万元，退还集体土地95884平方米。梳理了执法权责清单报送至区委编办审定，进一步厘清我区的规划执法职责。常态化开展扫黑除恶乱象治理、农村乱占耕地建房问题专项整治行动，有序开展“护安2022”、打击养老诈骗和自建房安全隐患排查整治等专项行动。坚持以人为本，全年化解信访问题70个，实现信访件按期办结率100％，息诉止访率100％。</w:t>
      </w:r>
    </w:p>
    <w:p w14:paraId="01356D8A">
      <w:pPr>
        <w:spacing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（四）严格管控约束，不断优化国土空间布局。</w:t>
      </w:r>
      <w:r>
        <w:rPr>
          <w:rFonts w:hint="default" w:ascii="Times New Roman" w:hAnsi="Times New Roman" w:eastAsia="仿宋_GB2312" w:cs="Times New Roman"/>
          <w:sz w:val="32"/>
          <w:szCs w:val="32"/>
        </w:rPr>
        <w:t>完成“三区三线”第四轮划定工作，成果已经国家</w:t>
      </w:r>
      <w:r>
        <w:rPr>
          <w:rFonts w:hint="eastAsia" w:eastAsia="仿宋_GB2312" w:cs="Times New Roman"/>
          <w:sz w:val="32"/>
          <w:szCs w:val="32"/>
          <w:lang w:eastAsia="zh-CN"/>
        </w:rPr>
        <w:t>自然资源部</w:t>
      </w:r>
      <w:r>
        <w:rPr>
          <w:rFonts w:hint="default" w:ascii="Times New Roman" w:hAnsi="Times New Roman" w:eastAsia="仿宋_GB2312" w:cs="Times New Roman"/>
          <w:sz w:val="32"/>
          <w:szCs w:val="32"/>
        </w:rPr>
        <w:t>批准。认真做好两项改革“后半篇”文章，完成了第一批次王家贡米特色农业片区以及第二批次卫子农文旅片区、虎跳滨湖农旅片区规划编制，，同步完成7个村级片区（26个村）初步规划编制。提</w:t>
      </w:r>
      <w:bookmarkStart w:id="116" w:name="_GoBack"/>
      <w:bookmarkEnd w:id="116"/>
      <w:r>
        <w:rPr>
          <w:rFonts w:hint="default" w:ascii="Times New Roman" w:hAnsi="Times New Roman" w:eastAsia="仿宋_GB2312" w:cs="Times New Roman"/>
          <w:sz w:val="32"/>
          <w:szCs w:val="32"/>
        </w:rPr>
        <w:t>升规划审批效能。制定了《区国土空间规划方案审查专家小组会工作规程》，全年组织召开专家委员会议23次，审议城市更新、城市设计、东部新城战略规划、清水镇干部周转房、水晶饰品小镇等项目设计方案等共127个；区国土空间规划方案审查领导小组会议12次，审议75个规划方案。四是着力规划管控约束。完成广元市昭化区红岩镇临港工业园区竖向专项规划方案，通过区专委会和区国土空间规划方案审查领导小组审查。完成B—29—01地块、郦阳城地块调规登记审查并取得市人民政府批复。启动了昭化区城区任家湾、傅家店、元坝镇马家沟、柳桥村六社地块的控制性详细规划调整工作。完成东部新城供排水专项规划初步成果，着力建设“诗意昭化幸福新城”，不断提升城市品质。开展省级经开区扩区调位相关工作，先后两次向省厅汇报昭化区省级经开区用地及产业布局等相关情况并争取省厅支持。五是做好重大项目规划保障。完成方特主题公园、美好世家、智慧物流园选址调整、东部新城弃土场、家居产业城弃土场、泽瑞堂新材料科技（广元）有限公司年产2000万平米PVC家居地板项目、广元壮牛农牧科技有限公司年产20万吨饲料厂建设项目等20余个项目选址规划红线图。结合《中国西部（广元）绿色家居产业城启动区总体规划》和《中国西部（广元）绿色家居产业城产业发展布局规划》，优化园区功能分区，统筹安排家居产业城生活功能区，将结果落实到国土空间规划编制中。完成昭化区加油站规划布局调研，结合《广元市成品油零售体系“十四五”发展规划》将规划的10个点位落实到国土空间规划编制中。</w:t>
      </w:r>
    </w:p>
    <w:p w14:paraId="28C4D9D8">
      <w:pPr>
        <w:spacing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（五）强化资源保护，从严从实加强耕地保护。</w:t>
      </w:r>
      <w:r>
        <w:rPr>
          <w:rFonts w:hint="default" w:ascii="Times New Roman" w:hAnsi="Times New Roman" w:eastAsia="仿宋_GB2312" w:cs="Times New Roman"/>
          <w:sz w:val="32"/>
          <w:szCs w:val="32"/>
        </w:rPr>
        <w:t>牢固树立耕地数量、质量、生态“三位一体”保护理念，</w:t>
      </w:r>
      <w:r>
        <w:rPr>
          <w:rFonts w:hint="default" w:ascii="Times New Roman" w:hAnsi="Times New Roman" w:eastAsia="仿宋_GB2312" w:cs="Times New Roman"/>
          <w:kern w:val="0"/>
          <w:sz w:val="32"/>
          <w:szCs w:val="32"/>
        </w:rPr>
        <w:t>采取</w:t>
      </w:r>
      <w:r>
        <w:rPr>
          <w:rFonts w:hint="default" w:ascii="Times New Roman" w:hAnsi="Times New Roman" w:eastAsia="仿宋_GB2312" w:cs="Times New Roman"/>
          <w:sz w:val="32"/>
          <w:szCs w:val="32"/>
        </w:rPr>
        <w:t>“</w:t>
      </w:r>
      <w:r>
        <w:rPr>
          <w:rFonts w:hint="default" w:ascii="Times New Roman" w:hAnsi="Times New Roman" w:eastAsia="仿宋_GB2312" w:cs="Times New Roman"/>
          <w:kern w:val="0"/>
          <w:sz w:val="32"/>
          <w:szCs w:val="32"/>
        </w:rPr>
        <w:t>长牙齿</w:t>
      </w:r>
      <w:r>
        <w:rPr>
          <w:rFonts w:hint="default" w:ascii="Times New Roman" w:hAnsi="Times New Roman" w:eastAsia="仿宋_GB2312" w:cs="Times New Roman"/>
          <w:sz w:val="32"/>
          <w:szCs w:val="32"/>
        </w:rPr>
        <w:t>”</w:t>
      </w:r>
      <w:r>
        <w:rPr>
          <w:rFonts w:hint="default" w:ascii="Times New Roman" w:hAnsi="Times New Roman" w:eastAsia="仿宋_GB2312" w:cs="Times New Roman"/>
          <w:kern w:val="0"/>
          <w:sz w:val="32"/>
          <w:szCs w:val="32"/>
        </w:rPr>
        <w:t>的硬措施保护耕地，</w:t>
      </w:r>
      <w:r>
        <w:rPr>
          <w:rFonts w:hint="default" w:ascii="Times New Roman" w:hAnsi="Times New Roman" w:eastAsia="仿宋_GB2312" w:cs="Times New Roman"/>
          <w:sz w:val="32"/>
          <w:szCs w:val="32"/>
        </w:rPr>
        <w:t>坚决守住耕地红线和粮食安</w:t>
      </w:r>
      <w:r>
        <w:rPr>
          <w:rFonts w:hint="default" w:ascii="Times New Roman" w:hAnsi="Times New Roman" w:eastAsia="仿宋_GB2312" w:cs="Times New Roman"/>
          <w:kern w:val="0"/>
          <w:sz w:val="32"/>
          <w:szCs w:val="32"/>
        </w:rPr>
        <w:t>全根基。</w:t>
      </w:r>
      <w:r>
        <w:rPr>
          <w:rFonts w:hint="default" w:ascii="Times New Roman" w:hAnsi="Times New Roman" w:eastAsia="仿宋_GB2312" w:cs="Times New Roman"/>
          <w:sz w:val="32"/>
          <w:szCs w:val="32"/>
        </w:rPr>
        <w:t>成立了耕地保护工作领导小组，由区长任组长，相关的区委、区政府领导任副组长，全面加强了耕地保护的组织领导力量。逗硬开展12个镇人民政府和30个区级相关部门耕地保护党政同责考核，印发了耕地保护党政同责考核细则和方案，全面压实各级各部门的工作职责。年初在磨滩镇推行“田长制”试点，完善工作机制，构建监管体系，制定配套制度，取得一定的成效，相继在中央、省、市、区新闻媒体和政务信息上进行了刊载报道，目前正在全区范围全面推广。年初在磨滩镇推行“田长制”试点，完善工作机制，构建监管体系，制定配套制度，取得一定的成效，相继在中央、省、市、区新闻媒体和政务信息上进行了刊载报道，目前正在全区范围全面推广。四是严格落实耕地“进出平衡”。印发工作方案，督促各镇及时完成了辖区的年度耕地“进出平衡”方案编制申报工作。同时加强流出耕地整改恢复，2021年流出耕地省级下达恢复任务2931亩，我局完成5290亩，超目标任务80.5%，2022年流出耕地省级下达恢复任务1427亩，我局完成1638亩，超目标任务14.8%，实现耕地净流入。四是加强用地保障力度。梳理了中国西部（广元）绿色家居产业城等重点项目用地需求，拟定了昭化区2022年土地报征计划，全年上报“6批次用地”和“2个单独选址”用地组卷工作，报征土地面积177.788公顷，较2021年度增长13.5%，其中农用地面积168.6344公顷，耕地面积61.2916公顷，预存社保资金1.525亿元，有2个批次项目已完成省政府审批。编制完成元坝分水岭片区征收成片开发方案，面积104.1868公顷，涉及元柳工业园区，家居产业城物流园区，烘干中心及焦化棚改项目等，项目方案正在开展技术审查。我局率先推行“田长制”试点，经验做法多次在省、市、区交流，中央电视台《三农群英荟》栏目、四川省电视台《乡村会客厅》栏目进行了专题采访，区领导予以了充分肯定。</w:t>
      </w:r>
    </w:p>
    <w:p w14:paraId="0D3C3060">
      <w:pPr>
        <w:spacing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（六）加强要素保障，助力经济发展稳中求进。</w:t>
      </w:r>
      <w:r>
        <w:rPr>
          <w:rFonts w:hint="default" w:ascii="Times New Roman" w:hAnsi="Times New Roman" w:eastAsia="仿宋_GB2312" w:cs="Times New Roman"/>
          <w:kern w:val="0"/>
          <w:sz w:val="32"/>
          <w:szCs w:val="32"/>
        </w:rPr>
        <w:t>围绕昭化“四城新区”建设目标，</w:t>
      </w:r>
      <w:r>
        <w:rPr>
          <w:rFonts w:hint="default" w:ascii="Times New Roman" w:hAnsi="Times New Roman" w:eastAsia="仿宋_GB2312" w:cs="Times New Roman"/>
          <w:color w:val="000000"/>
          <w:kern w:val="0"/>
          <w:sz w:val="32"/>
          <w:szCs w:val="32"/>
        </w:rPr>
        <w:t>按照“保重点、保开工、保当期”</w:t>
      </w:r>
      <w:r>
        <w:rPr>
          <w:rFonts w:hint="default" w:ascii="Times New Roman" w:hAnsi="Times New Roman" w:eastAsia="仿宋_GB2312" w:cs="Times New Roman"/>
          <w:color w:val="333333"/>
          <w:sz w:val="32"/>
          <w:szCs w:val="32"/>
        </w:rPr>
        <w:t>的原则，</w:t>
      </w:r>
      <w:r>
        <w:rPr>
          <w:rFonts w:hint="default" w:ascii="Times New Roman" w:hAnsi="Times New Roman" w:eastAsia="仿宋_GB2312" w:cs="Times New Roman"/>
          <w:color w:val="000000"/>
          <w:kern w:val="0"/>
          <w:sz w:val="32"/>
          <w:szCs w:val="32"/>
        </w:rPr>
        <w:t>做到土地指标应保</w:t>
      </w:r>
      <w:r>
        <w:rPr>
          <w:rFonts w:hint="default" w:ascii="Times New Roman" w:hAnsi="Times New Roman" w:eastAsia="仿宋_GB2312" w:cs="Times New Roman"/>
          <w:kern w:val="0"/>
          <w:sz w:val="32"/>
          <w:szCs w:val="32"/>
        </w:rPr>
        <w:t>尽保。</w:t>
      </w:r>
      <w:r>
        <w:rPr>
          <w:rFonts w:hint="default" w:ascii="Times New Roman" w:hAnsi="Times New Roman" w:eastAsia="仿宋_GB2312" w:cs="Times New Roman"/>
          <w:sz w:val="32"/>
          <w:szCs w:val="32"/>
        </w:rPr>
        <w:t>组建用地保障工作专班，全年召开用地保障调度会议11次，对各项目落实专人跟进服务。拟定了昭化区2022年土地报征计划，全年上报“6批次用地”和“2个单独选址”用地组卷工作，报征土地面积177.788公顷，较2021年度增长13.5%，其中农用地面积168.6344公顷，耕地面积61.2916公顷，预存社保资金1.525亿元，有2个批次项目已完成省政府审批。编制完成元坝分水岭片区征收成片开发方案，面积104.1868公顷，涉及元柳工业园区，家居产业城物流园区，烘干中心及焦化棚改项目等，项目方案正在开展技术审查。制定了《广元市昭化区商服、商住用地（2022—2026年度）滚动供应计划》和《广元市昭化区工业用地（2022—2023年度）滚动供应计划》，2022年已供地26宗4403.34亩，其中出让土地19宗1005.6亩，实现出让价款2.34亿元；划拨7宗3397.74亩，涉及兰海高速、元柳园区道路、青梅路延伸段等重点建设项目。四是提升集约利用水平。加大批而未供土地处置力度，对历年来报征土地逐一梳理，与相关部门深入研究解决疑难杂症，实行销号台账式管理，处置批而未供土地7宗，面积3495.15亩，处置率为</w:t>
      </w:r>
      <w:r>
        <w:rPr>
          <w:rFonts w:hint="default" w:ascii="Times New Roman" w:hAnsi="Times New Roman" w:eastAsia="仿宋_GB2312" w:cs="Times New Roman"/>
          <w:color w:val="000000"/>
          <w:sz w:val="32"/>
          <w:szCs w:val="32"/>
        </w:rPr>
        <w:t>54.18</w:t>
      </w:r>
      <w:r>
        <w:rPr>
          <w:rFonts w:hint="default" w:ascii="Times New Roman" w:hAnsi="Times New Roman" w:eastAsia="仿宋_GB2312" w:cs="Times New Roman"/>
          <w:sz w:val="32"/>
          <w:szCs w:val="32"/>
        </w:rPr>
        <w:t>%，为市下目标任务的</w:t>
      </w:r>
      <w:r>
        <w:rPr>
          <w:rFonts w:hint="default" w:ascii="Times New Roman" w:hAnsi="Times New Roman" w:eastAsia="仿宋_GB2312" w:cs="Times New Roman"/>
          <w:color w:val="000000"/>
          <w:sz w:val="32"/>
          <w:szCs w:val="32"/>
        </w:rPr>
        <w:t>200.68</w:t>
      </w:r>
      <w:r>
        <w:rPr>
          <w:rFonts w:hint="default" w:ascii="Times New Roman" w:hAnsi="Times New Roman" w:eastAsia="仿宋_GB2312" w:cs="Times New Roman"/>
          <w:sz w:val="32"/>
          <w:szCs w:val="32"/>
        </w:rPr>
        <w:t>%。深化“亩均论英雄”和“标准地”改革，制定了《昭化区工业用地标准实施方案》，待区政府常务会审定后立即发布实施。五是加强矿产资源保障。完成了昭化区矿产资源总体规划（2021—2025年）编制工作，按程序报市局。因元坝镇页岩集中开采区规划区块不符合林地使用政策，市局要求重新上报，现正在开展听证、方案修订等工作，预计12月底前全面完成。完成全区砂石资源调查，查明全区13个点位建筑用砂岩矿远景资源量为6836.91万立方米（约1.63亿吨）。</w:t>
      </w:r>
    </w:p>
    <w:p w14:paraId="5CD5B18E">
      <w:pPr>
        <w:spacing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（七）提升政务服务，持续大力优化营商环境。</w:t>
      </w:r>
      <w:r>
        <w:rPr>
          <w:rFonts w:hint="default" w:ascii="Times New Roman" w:hAnsi="Times New Roman" w:eastAsia="仿宋_GB2312" w:cs="Times New Roman"/>
          <w:sz w:val="32"/>
          <w:szCs w:val="32"/>
        </w:rPr>
        <w:t>一是提升不动产登记服务质效。全年通过“减环节、减时间、减成本”不断优化办事流程、缩减办事时间，减少群众办事成本，1—10月日常办件118345件，颁发证书19829本，证明246本。为四川鼎能春天房地产开发有限公司等11家企业实现抵押登记“当日办结”、“及时办结”；创新开展昭化区中央峰景首宗“交房即交证”及四川迪宝“交地即开工”，“交地即交证”进入常态化开展不动产登记上门服务、主动服务、延时服务和志愿服务48次；采购了自助打证机、自助查询机、一窗受理智能终端等硬件设备，实现24小时“不打烊”；柳桥、紫云、朝阳等3个村实现不动产登记服务延伸到家门口，昭化镇实现“村能办”，老百姓在“家门口”即可完成登记申请。二是切实助企纾困。充分运用政企沟通机制，召开市场主体座谈会3次，主动接受企业监督，切实解决中央峰景、千城达、葭萌建设、天垠农业等33家企业融资困难问题。认真判研问题楼盘，有效解决了“山水盛景”楼盘首次登记、栖凤苑多宗地合并等问题。三是加快行政审批“数字化”转型。在四川政务服务一体化平台辅线模块中完成多测合一4件，多规合一3件，方案联审12件，区域评估10件；完成共享数据录入48条，在广元市政务信息资源共享网站发布；在全国投资项目在线审批监管平台完成项目立项及用地规划阶段咨询924件；全面梳理2020年以来的5类行政管理信息并归集上报1744条。本部门106项依申请政务服务事项运行类指标、效能指标类都达到上级规定标准。四是全面落实“三集中、三到位”。结合实际，按照“行政权力进清单、清单之外无权力”的要求，全面清理规范行政权力及公共服务事项，将52项行政权力授权到区不动产登记中心；54项依申请政务服务事项的行政权力授权到局行政审批组驻区政务服务中心大厅开展工作。</w:t>
      </w:r>
    </w:p>
    <w:p w14:paraId="57F5E3DE">
      <w:pPr>
        <w:spacing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（八）夯实地灾防治，全力以赴确保群众安全。</w:t>
      </w:r>
      <w:r>
        <w:rPr>
          <w:rFonts w:hint="default" w:ascii="Times New Roman" w:hAnsi="Times New Roman" w:eastAsia="仿宋_GB2312" w:cs="Times New Roman"/>
          <w:sz w:val="32"/>
          <w:szCs w:val="32"/>
        </w:rPr>
        <w:t>一是压实工作责任。制定了《广元市昭化区2022年地质灾害防治方案》和《广元市昭化区突发性地质灾害应急预案》，全力指导各镇、区级各部门制定了对应的方案预案，建立了区、镇、村、组、点五级防灾责任体系。汛前及汛中组织各镇、各部门、各村社相关干部召开地质灾害防治工作会议，邀请专家培训授课。会同区应急局、区水利局成立工作组，对各镇的防汛减灾和地质灾害防治工作进行每月1次督导检查。二是深入开展排查。组织专业技术单位从5月初至10月底开展了6轮全覆盖地质灾害隐患排查工作，累计派出排查技术人员260余人次，航拍无人机35架次，同时对我区40余处在建工程及3处非煤矿山的地灾隐患进行了专项排查，确保排查不放过一个疑点、不错过一个盲点、不留下一片空白区。目前全区共有地灾隐患点108处，威胁752户4.4239亿元。三是加强宣传培训演练，对108处隐患点相关的防灾责任人、镇村社干部、一线监测人员以及受威胁群众等进行了全覆盖培训和避险演练，尤其是极端条件下或夜间的演练，切实提高了临灾自救能力。选取了明觉小学开展了地灾防治进校园活动，对300余名师生科普地灾防治知识，选取元坝镇一根树滑坡隐患点拍摄了地灾应急演练纪录片，获得省、市领导的认可。严格落实“三个避让”和“三个紧急撤离”刚性要求，全年受威胁群众累计避让转移3000人次，实现连续14年地灾预案点内“零伤亡”的目标。四是落实项目建设保障。按照省、市、区关于地质灾害全域综合整治三年行动计划的相关要求，全力开展项目建设，争取到位中央和省级资金899.06万元和一般债券资金668万元，探索EPC实施项目新模式，实施工程治理项目16个，排危除险项目8个，地质灾害自动化监测项目1个（监测隐患点28个），正在实施昭化区斜坡地质灾害隐患风险详查项目、4个重点镇1：10000地质灾害精细化调查项目、地灾避险搬迁项目（涉及16处隐患点25户农户），新申报入库项目14个。</w:t>
      </w:r>
    </w:p>
    <w:p w14:paraId="6DB47909">
      <w:pPr>
        <w:spacing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（九）规范项目管理，全面释放土地资源潜力。</w:t>
      </w:r>
      <w:r>
        <w:rPr>
          <w:rFonts w:hint="default" w:ascii="Times New Roman" w:hAnsi="Times New Roman" w:eastAsia="仿宋_GB2312" w:cs="Times New Roman"/>
          <w:sz w:val="32"/>
          <w:szCs w:val="32"/>
        </w:rPr>
        <w:t>一是不断加强项目管理制度建设。对地灾防治、土地整治、增减挂钩等项目管理制度进行了规范和优化，全面加强项目规划申报、招投标、施工监管、设计变更、竣工验收、审计等关键环节的监督，确保项目建设领域风清气正。二是加快“占补平衡”指标获取。年初新申报2个省投资、3个区投资土地整治项目，因省厅政策调整暂停立项、实施等事宜。为保障2022年至2024年我区经济社会发展用地对耕地占补平衡指标需求，我局计划分三批次实施土地开发复垦项目，第一批次红岩镇金牛村土地开发复垦项目已完成规划设计审查、入库，计划12月底前进场施工，2023年4月底前完成竣工验收，预计新增耕地213.24亩。三是加快增减挂钩项目实施验收。今年在建的17个增减挂钩项目共签订拆旧协议1910户，完成拆旧复垦有效面积1051.4123亩，规划16个集中安置点（已完工13个），我局根据各项目进度已分别启动项目验收程序，确保12月底前完成验收并报市局申请省市联合核查。新申报元坝（柳桥）等5个项目已报省厅审批，预计规划指标规模1144.5亩，预计年前可取得批复文件，我局同步拟定了项目实施方案，待省厅批复后报区政府常务会审定。</w:t>
      </w:r>
    </w:p>
    <w:p w14:paraId="68CF09DB">
      <w:pPr>
        <w:spacing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（十）坚持以民为本，夯实数字赋能治理能力。</w:t>
      </w:r>
      <w:r>
        <w:rPr>
          <w:rFonts w:hint="default" w:ascii="Times New Roman" w:hAnsi="Times New Roman" w:eastAsia="仿宋_GB2312" w:cs="Times New Roman"/>
          <w:sz w:val="32"/>
          <w:szCs w:val="32"/>
        </w:rPr>
        <w:t>一是全力攻坚农村“房地一体”登记，现已全面完成除集镇区域外的12个镇外业测绘、权属调查工作，已测56919户，收集户籍权属等资料53521户，现已匹配户籍50432户；完成农户申请登记签字41769户，符合登记条件并入库24087户，登记制证21263本。经开区完成外业测绘、权属调查368户，收集户籍权属等资料356户，现已匹配户籍356户；完成农户申请登记签字126户。二是启动林权权籍补充调查，完成作业单位采购，选取元坝镇中梁村作为试点村，以点代面现在卫子镇、青牛镇、王家镇、虎跳镇、太公镇全面启动实施，将全面采集林农林权矢量数据，对权属界限进行现场认定，为林权登记管理打好基础。三是按照广元市昭化区自然资源统一确权登记实施方案安排，有序推进柏林湖国家湿地公园等6宗自然资源统一确权登记工作。四是细化土地资源调查，高质量完成2021年度国土变更调查，成果通过省自然资源厅审查，目前已上报自然资源部复核。同时对“三调”成果按程序进行</w:t>
      </w:r>
      <w:r>
        <w:rPr>
          <w:rFonts w:hint="default" w:ascii="Times New Roman" w:hAnsi="Times New Roman" w:eastAsia="仿宋_GB2312" w:cs="Times New Roman"/>
          <w:spacing w:val="-6"/>
          <w:sz w:val="32"/>
          <w:szCs w:val="32"/>
        </w:rPr>
        <w:t>了公报，镇情村情进行了宣传，并将成果共享给相关行业部门应用。</w:t>
      </w:r>
    </w:p>
    <w:p w14:paraId="03EB1277">
      <w:pPr>
        <w:spacing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（十一）拼经济搞建设，全力推进经济指标运行。</w:t>
      </w:r>
      <w:r>
        <w:rPr>
          <w:rFonts w:hint="default" w:ascii="Times New Roman" w:hAnsi="Times New Roman" w:eastAsia="仿宋_GB2312" w:cs="Times New Roman"/>
          <w:sz w:val="32"/>
          <w:szCs w:val="32"/>
        </w:rPr>
        <w:t>一是固定资产投资方面。完成固定资产投资入库项目7个，总投资10897.71万元，已完成报数5612万元，四季度还将入库项目1个，总投资721.78万元，报数2669万元，可顺利完成年度目标任务（入库10000万元、报数8000万元）。二是招商引资方面。我局已签约项目1个，为昭化区危废材料收集转运项目，签约资金2000万元，目前项目已全面启动，正在加快建设中，可顺利完成年度目标任务（新签约项目1个，新开工项目1个，到位资金2000万元）。三是资金争取方面。我局已争取资金2179.24万元，现已全部到位，提前超额完成年度目标任务（到位543.1万元），其中：中央预算地质灾害防治专项资金899.06万元；省投资土地整治项目资金1280.18万元。四是加快增减挂钩指标流转。今年共新流转增减挂钩指标1032.399亩，已到位资金1.61亿元。</w:t>
      </w:r>
    </w:p>
    <w:p w14:paraId="2295DC79">
      <w:pPr>
        <w:spacing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（十二）持续生态修复，贯彻人与自然和谐共生。</w:t>
      </w:r>
      <w:r>
        <w:rPr>
          <w:rFonts w:hint="default" w:ascii="Times New Roman" w:hAnsi="Times New Roman" w:eastAsia="仿宋_GB2312" w:cs="Times New Roman"/>
          <w:sz w:val="32"/>
          <w:szCs w:val="32"/>
        </w:rPr>
        <w:t>一是扎实开展二轮省级环保督察反馈问题整改，截</w:t>
      </w:r>
      <w:r>
        <w:rPr>
          <w:rFonts w:hint="eastAsia" w:eastAsia="仿宋_GB2312" w:cs="Times New Roman"/>
          <w:sz w:val="32"/>
          <w:szCs w:val="32"/>
          <w:lang w:val="en-US" w:eastAsia="zh-CN"/>
        </w:rPr>
        <w:t>至</w:t>
      </w:r>
      <w:r>
        <w:rPr>
          <w:rFonts w:hint="default" w:ascii="Times New Roman" w:hAnsi="Times New Roman" w:eastAsia="仿宋_GB2312" w:cs="Times New Roman"/>
          <w:sz w:val="32"/>
          <w:szCs w:val="32"/>
        </w:rPr>
        <w:t>目前，除“工业发展集中区工业企业用地不符合土地利用总体规划”问题未按时限整改结束，该问题已由区人民政府报请市人民政府调整整改时限，其余问题均已整改结束。二是严格落实河长制，组织召开河长制专题工作会2次，开展河道巡查12次，现场督促整改问题2个，开展妨碍河道清理工作3次，建筑垃圾12吨。三是持续推进废弃露天矿山生态修复工作，完成光华煤矿通风井区域生态修复项目、廻兵砖厂矿山生态修复项目审计。市、区人大代表对我区矿山生态修复项目工作进行视察，一致好评。四是严格矿业权管理。对5家有效采矿权通过动态巡查、矿业权监管等方式开展检查9次，发出《整改通知书》12份，现已整改结束；结合矿山专项整治工作，督促矿山完成整治问题12个。对已过期的4宗本级发证的矿业权按程序进行注销；对红线内已过期的2宗省级发证矿业权报请市局转报省厅注销。完成生态红线及风景名胜区矿业权避让退出1宗，注销退出2宗。</w:t>
      </w:r>
    </w:p>
    <w:p w14:paraId="2504328D">
      <w:pPr>
        <w:spacing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（十三）坚持从严监管，压紧压实安全生产责任。</w:t>
      </w:r>
      <w:r>
        <w:rPr>
          <w:rFonts w:hint="default" w:ascii="Times New Roman" w:hAnsi="Times New Roman" w:eastAsia="仿宋_GB2312" w:cs="Times New Roman"/>
          <w:sz w:val="32"/>
          <w:szCs w:val="32"/>
        </w:rPr>
        <w:t>一是健全责任体系。按照《地方党政领导干部责任制规定》、《党政同责、一岗双责、齐抓共管、失职追责暂行规定》、“三管三必管”和国务院安全生产十五条措施等规定，进一步健全了安全生产责任体系，成立了安全生产工作领导小组，负责统筹全局安全生产工作。二是加强宣传教育。利用局党组会、局务会、专题工作会等学习习近平总书记关于安全生产工作重要论述3次，各级领导关于安全生产工作的重要指示批示精神7次，贯彻新《安全生产法》、国务院安全生产十五条措施等有关法律法规以及国、省、市、区关于安全生产的决策部署9次；充分利用6月宣传月、“6.25”土地日深入街头、企业发放宣传资料2000余份、接受群众咨询；组织干部职工收看警示教片3次，教育和引导系统干部职工树牢安全发展理念。三是压紧压实责任。印发《内部安全生产监管责任清单》《安委会成员单位班子成员安全生产职责和年度任务清单》，制定了《自然资源所包矿责任制度》等4项制度，落实了安全生产监管工作相匹配的人员力量和工作条件。四是开展了安全生产大检查工作。共出动检查组12个，排查安全隐患17个，已落实整改16个，1个正在整治中。建立了《安全隐患排查治理台账》，整改佐证资料已收集完毕，形成了闭环化管理。狠抓清水镇森林防灭火督导检查工作，共督导检查17次，发现6个方面问题，已责成该镇整改完成。</w:t>
      </w:r>
    </w:p>
    <w:p w14:paraId="063821AD">
      <w:pPr>
        <w:widowControl/>
        <w:adjustRightInd w:val="0"/>
        <w:snapToGrid w:val="0"/>
        <w:spacing w:line="576" w:lineRule="exact"/>
        <w:ind w:firstLine="640" w:firstLineChars="200"/>
        <w:contextualSpacing/>
        <w:rPr>
          <w:rFonts w:hint="default" w:ascii="Times New Roman" w:hAnsi="Times New Roman" w:eastAsia="楷体_GB2312" w:cs="Times New Roman"/>
          <w:kern w:val="0"/>
          <w:sz w:val="32"/>
          <w:szCs w:val="32"/>
          <w:shd w:val="clear" w:color="auto" w:fill="FFFFFF"/>
          <w:lang w:val="zh-CN"/>
        </w:rPr>
      </w:pPr>
      <w:r>
        <w:rPr>
          <w:rFonts w:hint="default" w:ascii="Times New Roman" w:hAnsi="Times New Roman" w:eastAsia="楷体_GB2312" w:cs="Times New Roman"/>
          <w:kern w:val="0"/>
          <w:sz w:val="32"/>
          <w:szCs w:val="32"/>
          <w:shd w:val="clear" w:color="auto" w:fill="FFFFFF"/>
          <w:lang w:val="zh-CN"/>
        </w:rPr>
        <w:t>（</w:t>
      </w:r>
      <w:r>
        <w:rPr>
          <w:rFonts w:hint="default" w:ascii="Times New Roman" w:hAnsi="Times New Roman" w:eastAsia="楷体_GB2312" w:cs="Times New Roman"/>
          <w:kern w:val="0"/>
          <w:sz w:val="32"/>
          <w:szCs w:val="32"/>
          <w:shd w:val="clear" w:color="auto" w:fill="FFFFFF"/>
        </w:rPr>
        <w:t>五</w:t>
      </w:r>
      <w:r>
        <w:rPr>
          <w:rFonts w:hint="default" w:ascii="Times New Roman" w:hAnsi="Times New Roman" w:eastAsia="楷体_GB2312" w:cs="Times New Roman"/>
          <w:kern w:val="0"/>
          <w:sz w:val="32"/>
          <w:szCs w:val="32"/>
          <w:shd w:val="clear" w:color="auto" w:fill="FFFFFF"/>
          <w:lang w:val="zh-CN"/>
        </w:rPr>
        <w:t>）部门整体支出绩效目标</w:t>
      </w:r>
    </w:p>
    <w:p w14:paraId="113BBE76">
      <w:pPr>
        <w:pStyle w:val="7"/>
        <w:spacing w:beforeLines="0" w:line="576" w:lineRule="exact"/>
        <w:ind w:firstLine="640" w:firstLineChars="200"/>
        <w:rPr>
          <w:rFonts w:hint="default" w:ascii="Times New Roman" w:hAnsi="Times New Roman" w:cs="Times New Roman"/>
          <w:sz w:val="32"/>
          <w:szCs w:val="32"/>
          <w:lang w:val="zh-CN"/>
        </w:rPr>
      </w:pPr>
      <w:r>
        <w:rPr>
          <w:rFonts w:hint="default" w:ascii="Times New Roman" w:hAnsi="Times New Roman" w:cs="Times New Roman"/>
          <w:color w:val="000000"/>
          <w:sz w:val="32"/>
          <w:szCs w:val="32"/>
        </w:rPr>
        <w:t>一是保障单位正常运转，按时支付人员工资，按时缴纳保险，按时支付保障单位正常运转所产生的水、电、办公等费用；二是完成区委区政府下达的2022年目标任务；三是做好全区各项目建设用地要素保障；四是完成项目争取工作，五是完成区委区政府安排的其他工作。</w:t>
      </w:r>
    </w:p>
    <w:p w14:paraId="311A360A">
      <w:pPr>
        <w:widowControl/>
        <w:adjustRightInd w:val="0"/>
        <w:snapToGrid w:val="0"/>
        <w:spacing w:line="576" w:lineRule="exact"/>
        <w:ind w:firstLine="640" w:firstLineChars="200"/>
        <w:contextualSpacing/>
        <w:outlineLvl w:val="1"/>
        <w:rPr>
          <w:rFonts w:hint="default" w:ascii="Times New Roman" w:hAnsi="Times New Roman" w:eastAsia="黑体" w:cs="Times New Roman"/>
          <w:kern w:val="0"/>
          <w:sz w:val="32"/>
          <w:szCs w:val="32"/>
          <w:shd w:val="clear" w:color="auto" w:fill="FFFFFF"/>
        </w:rPr>
      </w:pPr>
      <w:bookmarkStart w:id="85" w:name="_Toc7145"/>
      <w:r>
        <w:rPr>
          <w:rFonts w:hint="default" w:ascii="Times New Roman" w:hAnsi="Times New Roman" w:eastAsia="黑体" w:cs="Times New Roman"/>
          <w:kern w:val="0"/>
          <w:sz w:val="32"/>
          <w:szCs w:val="32"/>
          <w:shd w:val="clear" w:color="auto" w:fill="FFFFFF"/>
          <w:lang w:val="en-US" w:eastAsia="zh-CN"/>
        </w:rPr>
        <w:t>三</w:t>
      </w:r>
      <w:r>
        <w:rPr>
          <w:rFonts w:hint="default" w:ascii="Times New Roman" w:hAnsi="Times New Roman" w:eastAsia="黑体" w:cs="Times New Roman"/>
          <w:kern w:val="0"/>
          <w:sz w:val="32"/>
          <w:szCs w:val="32"/>
          <w:shd w:val="clear" w:color="auto" w:fill="FFFFFF"/>
        </w:rPr>
        <w:t>、部门资金收支情况</w:t>
      </w:r>
      <w:bookmarkEnd w:id="85"/>
    </w:p>
    <w:p w14:paraId="1CFBB800">
      <w:pPr>
        <w:widowControl/>
        <w:adjustRightInd w:val="0"/>
        <w:snapToGrid w:val="0"/>
        <w:spacing w:line="576" w:lineRule="exact"/>
        <w:ind w:firstLine="640" w:firstLineChars="200"/>
        <w:contextualSpacing/>
        <w:rPr>
          <w:rFonts w:hint="default" w:ascii="Times New Roman" w:hAnsi="Times New Roman" w:eastAsia="楷体_GB2312" w:cs="Times New Roman"/>
          <w:kern w:val="0"/>
          <w:sz w:val="32"/>
          <w:szCs w:val="32"/>
          <w:shd w:val="clear" w:color="auto" w:fill="FFFFFF"/>
          <w:lang w:val="zh-CN"/>
        </w:rPr>
      </w:pPr>
      <w:r>
        <w:rPr>
          <w:rFonts w:hint="default" w:ascii="Times New Roman" w:hAnsi="Times New Roman" w:eastAsia="楷体_GB2312" w:cs="Times New Roman"/>
          <w:kern w:val="0"/>
          <w:sz w:val="32"/>
          <w:szCs w:val="32"/>
          <w:shd w:val="clear" w:color="auto" w:fill="FFFFFF"/>
          <w:lang w:val="zh-CN"/>
        </w:rPr>
        <w:t>（一）部门总体收支情况</w:t>
      </w:r>
    </w:p>
    <w:p w14:paraId="7159D8B8">
      <w:pPr>
        <w:widowControl/>
        <w:adjustRightInd w:val="0"/>
        <w:snapToGrid w:val="0"/>
        <w:spacing w:line="576" w:lineRule="exact"/>
        <w:ind w:firstLine="643" w:firstLineChars="200"/>
        <w:contextualSpacing/>
        <w:rPr>
          <w:rFonts w:hint="default" w:ascii="Times New Roman" w:hAnsi="Times New Roman" w:eastAsia="仿宋_GB2312" w:cs="Times New Roman"/>
          <w:b/>
          <w:bCs/>
          <w:kern w:val="0"/>
          <w:sz w:val="32"/>
          <w:szCs w:val="32"/>
          <w:shd w:val="clear" w:color="auto" w:fill="FFFFFF"/>
        </w:rPr>
      </w:pPr>
      <w:r>
        <w:rPr>
          <w:rFonts w:hint="default" w:ascii="Times New Roman" w:hAnsi="Times New Roman" w:eastAsia="仿宋_GB2312" w:cs="Times New Roman"/>
          <w:b/>
          <w:bCs/>
          <w:kern w:val="0"/>
          <w:sz w:val="32"/>
          <w:szCs w:val="32"/>
          <w:shd w:val="clear" w:color="auto" w:fill="FFFFFF"/>
        </w:rPr>
        <w:t>1</w:t>
      </w:r>
      <w:r>
        <w:rPr>
          <w:rFonts w:hint="default" w:ascii="Times New Roman" w:hAnsi="Times New Roman" w:eastAsia="仿宋_GB2312" w:cs="Times New Roman"/>
          <w:b/>
          <w:bCs/>
          <w:kern w:val="0"/>
          <w:sz w:val="32"/>
          <w:szCs w:val="32"/>
          <w:shd w:val="clear" w:color="auto" w:fill="FFFFFF"/>
          <w:lang w:eastAsia="zh-CN"/>
        </w:rPr>
        <w:t>．</w:t>
      </w:r>
      <w:r>
        <w:rPr>
          <w:rFonts w:hint="default" w:ascii="Times New Roman" w:hAnsi="Times New Roman" w:eastAsia="仿宋_GB2312" w:cs="Times New Roman"/>
          <w:b/>
          <w:bCs/>
          <w:kern w:val="0"/>
          <w:sz w:val="32"/>
          <w:szCs w:val="32"/>
          <w:shd w:val="clear" w:color="auto" w:fill="FFFFFF"/>
        </w:rPr>
        <w:t>部门总体收入情况</w:t>
      </w:r>
    </w:p>
    <w:p w14:paraId="02E81F5F">
      <w:pPr>
        <w:spacing w:line="576" w:lineRule="exact"/>
        <w:ind w:firstLine="640" w:firstLineChars="200"/>
        <w:rPr>
          <w:rFonts w:hint="default" w:ascii="Times New Roman" w:hAnsi="Times New Roman" w:eastAsia="仿宋_GB2312" w:cs="Times New Roman"/>
          <w:color w:val="FF0000"/>
          <w:sz w:val="32"/>
          <w:szCs w:val="32"/>
          <w:shd w:val="clear" w:color="auto" w:fill="FFFFFF"/>
        </w:rPr>
      </w:pPr>
      <w:r>
        <w:rPr>
          <w:rFonts w:hint="default" w:ascii="Times New Roman" w:hAnsi="Times New Roman" w:eastAsia="仿宋_GB2312" w:cs="Times New Roman"/>
          <w:color w:val="000000"/>
          <w:sz w:val="32"/>
          <w:szCs w:val="32"/>
          <w:shd w:val="clear" w:color="auto" w:fill="FFFFFF"/>
        </w:rPr>
        <w:t>2022年区自然资源局一般公共预算收入为910.04万元。2022年财政决算收入总额为9003.24万元，其中：当年财政一般公共预算拨款收入3869.78万元，</w:t>
      </w:r>
      <w:r>
        <w:rPr>
          <w:rFonts w:hint="default" w:ascii="Times New Roman" w:hAnsi="Times New Roman" w:eastAsia="仿宋_GB2312" w:cs="Times New Roman"/>
          <w:sz w:val="32"/>
          <w:szCs w:val="32"/>
        </w:rPr>
        <w:t>基金收入为5133.47万元。</w:t>
      </w:r>
    </w:p>
    <w:p w14:paraId="01491003">
      <w:pPr>
        <w:widowControl/>
        <w:adjustRightInd w:val="0"/>
        <w:snapToGrid w:val="0"/>
        <w:spacing w:line="576" w:lineRule="exact"/>
        <w:ind w:firstLine="643" w:firstLineChars="200"/>
        <w:contextualSpacing/>
        <w:rPr>
          <w:rFonts w:hint="default" w:ascii="Times New Roman" w:hAnsi="Times New Roman" w:eastAsia="仿宋_GB2312" w:cs="Times New Roman"/>
          <w:b/>
          <w:bCs/>
          <w:kern w:val="0"/>
          <w:sz w:val="32"/>
          <w:szCs w:val="32"/>
          <w:shd w:val="clear" w:color="auto" w:fill="FFFFFF"/>
        </w:rPr>
      </w:pPr>
      <w:r>
        <w:rPr>
          <w:rFonts w:hint="default" w:ascii="Times New Roman" w:hAnsi="Times New Roman" w:eastAsia="仿宋_GB2312" w:cs="Times New Roman"/>
          <w:b/>
          <w:bCs/>
          <w:kern w:val="0"/>
          <w:sz w:val="32"/>
          <w:szCs w:val="32"/>
          <w:shd w:val="clear" w:color="auto" w:fill="FFFFFF"/>
        </w:rPr>
        <w:t>2</w:t>
      </w:r>
      <w:r>
        <w:rPr>
          <w:rFonts w:hint="default" w:ascii="Times New Roman" w:hAnsi="Times New Roman" w:eastAsia="仿宋_GB2312" w:cs="Times New Roman"/>
          <w:b/>
          <w:bCs/>
          <w:kern w:val="0"/>
          <w:sz w:val="32"/>
          <w:szCs w:val="32"/>
          <w:shd w:val="clear" w:color="auto" w:fill="FFFFFF"/>
          <w:lang w:eastAsia="zh-CN"/>
        </w:rPr>
        <w:t>．</w:t>
      </w:r>
      <w:r>
        <w:rPr>
          <w:rFonts w:hint="default" w:ascii="Times New Roman" w:hAnsi="Times New Roman" w:eastAsia="仿宋_GB2312" w:cs="Times New Roman"/>
          <w:b/>
          <w:bCs/>
          <w:kern w:val="0"/>
          <w:sz w:val="32"/>
          <w:szCs w:val="32"/>
          <w:shd w:val="clear" w:color="auto" w:fill="FFFFFF"/>
        </w:rPr>
        <w:t>部门总体支出情况</w:t>
      </w:r>
    </w:p>
    <w:p w14:paraId="1ABF5947">
      <w:pPr>
        <w:spacing w:line="576" w:lineRule="exact"/>
        <w:ind w:firstLine="640" w:firstLineChars="200"/>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2022区自然资源局一般公共预算支出为910.04万元，其中：基本支出880.04万元，项目支出30万元。2022年财政决算支出总额为9003.24万元，其中：当年财政一般公共预算基本支出为3869.78万元、</w:t>
      </w:r>
      <w:r>
        <w:rPr>
          <w:rFonts w:hint="default" w:ascii="Times New Roman" w:hAnsi="Times New Roman" w:eastAsia="仿宋_GB2312" w:cs="Times New Roman"/>
          <w:sz w:val="32"/>
          <w:szCs w:val="32"/>
        </w:rPr>
        <w:t>基金支出为5133.47万元。</w:t>
      </w:r>
    </w:p>
    <w:p w14:paraId="6420C90A">
      <w:pPr>
        <w:widowControl/>
        <w:adjustRightInd w:val="0"/>
        <w:snapToGrid w:val="0"/>
        <w:spacing w:line="576" w:lineRule="exact"/>
        <w:ind w:firstLine="643" w:firstLineChars="200"/>
        <w:contextualSpacing/>
        <w:rPr>
          <w:rFonts w:hint="default" w:ascii="Times New Roman" w:hAnsi="Times New Roman" w:eastAsia="仿宋_GB2312" w:cs="Times New Roman"/>
          <w:b/>
          <w:bCs/>
          <w:kern w:val="0"/>
          <w:sz w:val="32"/>
          <w:szCs w:val="32"/>
          <w:shd w:val="clear" w:color="auto" w:fill="FFFFFF"/>
        </w:rPr>
      </w:pPr>
      <w:r>
        <w:rPr>
          <w:rFonts w:hint="default" w:ascii="Times New Roman" w:hAnsi="Times New Roman" w:eastAsia="仿宋_GB2312" w:cs="Times New Roman"/>
          <w:b/>
          <w:bCs/>
          <w:kern w:val="0"/>
          <w:sz w:val="32"/>
          <w:szCs w:val="32"/>
          <w:shd w:val="clear" w:color="auto" w:fill="FFFFFF"/>
        </w:rPr>
        <w:t>3</w:t>
      </w:r>
      <w:r>
        <w:rPr>
          <w:rFonts w:hint="default" w:ascii="Times New Roman" w:hAnsi="Times New Roman" w:eastAsia="仿宋_GB2312" w:cs="Times New Roman"/>
          <w:b/>
          <w:bCs/>
          <w:kern w:val="0"/>
          <w:sz w:val="32"/>
          <w:szCs w:val="32"/>
          <w:shd w:val="clear" w:color="auto" w:fill="FFFFFF"/>
          <w:lang w:eastAsia="zh-CN"/>
        </w:rPr>
        <w:t>．</w:t>
      </w:r>
      <w:r>
        <w:rPr>
          <w:rFonts w:hint="default" w:ascii="Times New Roman" w:hAnsi="Times New Roman" w:eastAsia="仿宋_GB2312" w:cs="Times New Roman"/>
          <w:b/>
          <w:bCs/>
          <w:kern w:val="0"/>
          <w:sz w:val="32"/>
          <w:szCs w:val="32"/>
          <w:shd w:val="clear" w:color="auto" w:fill="FFFFFF"/>
        </w:rPr>
        <w:t>部门总体结转结余情况</w:t>
      </w:r>
    </w:p>
    <w:p w14:paraId="10AA5C94">
      <w:pPr>
        <w:pStyle w:val="7"/>
        <w:spacing w:beforeLines="0" w:line="576"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2022年度我单位预算金额为9003.24万元，预算执行金额为9003.24万元，指标结转金额为0万元，资金结余率为0。</w:t>
      </w:r>
    </w:p>
    <w:p w14:paraId="2F03C41A">
      <w:pPr>
        <w:widowControl/>
        <w:adjustRightInd w:val="0"/>
        <w:snapToGrid w:val="0"/>
        <w:spacing w:line="576" w:lineRule="exact"/>
        <w:ind w:firstLine="640" w:firstLineChars="200"/>
        <w:contextualSpacing/>
        <w:rPr>
          <w:rFonts w:hint="default" w:ascii="Times New Roman" w:hAnsi="Times New Roman" w:eastAsia="楷体_GB2312" w:cs="Times New Roman"/>
          <w:kern w:val="0"/>
          <w:sz w:val="32"/>
          <w:szCs w:val="32"/>
          <w:shd w:val="clear" w:color="auto" w:fill="FFFFFF"/>
          <w:lang w:val="zh-CN"/>
        </w:rPr>
      </w:pPr>
      <w:r>
        <w:rPr>
          <w:rFonts w:hint="default" w:ascii="Times New Roman" w:hAnsi="Times New Roman" w:eastAsia="楷体_GB2312" w:cs="Times New Roman"/>
          <w:kern w:val="0"/>
          <w:sz w:val="32"/>
          <w:szCs w:val="32"/>
          <w:shd w:val="clear" w:color="auto" w:fill="FFFFFF"/>
          <w:lang w:val="zh-CN"/>
        </w:rPr>
        <w:t>（二）部门财政拨款收支情况</w:t>
      </w:r>
    </w:p>
    <w:p w14:paraId="4834B837">
      <w:pPr>
        <w:widowControl/>
        <w:adjustRightInd w:val="0"/>
        <w:snapToGrid w:val="0"/>
        <w:spacing w:line="576" w:lineRule="exact"/>
        <w:ind w:firstLine="643" w:firstLineChars="200"/>
        <w:contextualSpacing/>
        <w:rPr>
          <w:rFonts w:hint="default" w:ascii="Times New Roman" w:hAnsi="Times New Roman" w:eastAsia="仿宋_GB2312" w:cs="Times New Roman"/>
          <w:b/>
          <w:bCs/>
          <w:kern w:val="0"/>
          <w:sz w:val="32"/>
          <w:szCs w:val="32"/>
          <w:shd w:val="clear" w:color="auto" w:fill="FFFFFF"/>
        </w:rPr>
      </w:pPr>
      <w:r>
        <w:rPr>
          <w:rFonts w:hint="default" w:ascii="Times New Roman" w:hAnsi="Times New Roman" w:eastAsia="仿宋_GB2312" w:cs="Times New Roman"/>
          <w:b/>
          <w:bCs/>
          <w:kern w:val="0"/>
          <w:sz w:val="32"/>
          <w:szCs w:val="32"/>
          <w:shd w:val="clear" w:color="auto" w:fill="FFFFFF"/>
        </w:rPr>
        <w:t>1</w:t>
      </w:r>
      <w:r>
        <w:rPr>
          <w:rFonts w:hint="default" w:ascii="Times New Roman" w:hAnsi="Times New Roman" w:eastAsia="仿宋_GB2312" w:cs="Times New Roman"/>
          <w:b/>
          <w:bCs/>
          <w:kern w:val="0"/>
          <w:sz w:val="32"/>
          <w:szCs w:val="32"/>
          <w:shd w:val="clear" w:color="auto" w:fill="FFFFFF"/>
          <w:lang w:eastAsia="zh-CN"/>
        </w:rPr>
        <w:t>．</w:t>
      </w:r>
      <w:r>
        <w:rPr>
          <w:rFonts w:hint="default" w:ascii="Times New Roman" w:hAnsi="Times New Roman" w:eastAsia="仿宋_GB2312" w:cs="Times New Roman"/>
          <w:b/>
          <w:bCs/>
          <w:kern w:val="0"/>
          <w:sz w:val="32"/>
          <w:szCs w:val="32"/>
          <w:shd w:val="clear" w:color="auto" w:fill="FFFFFF"/>
        </w:rPr>
        <w:t>部门财政拨款收入情况</w:t>
      </w:r>
    </w:p>
    <w:p w14:paraId="1EE622B0">
      <w:pPr>
        <w:spacing w:line="576" w:lineRule="exact"/>
        <w:ind w:firstLine="640" w:firstLineChars="200"/>
        <w:rPr>
          <w:rFonts w:hint="default" w:ascii="Times New Roman" w:hAnsi="Times New Roman" w:eastAsia="仿宋_GB2312" w:cs="Times New Roman"/>
          <w:color w:val="FF0000"/>
          <w:sz w:val="32"/>
          <w:szCs w:val="32"/>
          <w:shd w:val="clear" w:color="auto" w:fill="FFFFFF"/>
        </w:rPr>
      </w:pPr>
      <w:r>
        <w:rPr>
          <w:rFonts w:hint="default" w:ascii="Times New Roman" w:hAnsi="Times New Roman" w:eastAsia="仿宋_GB2312" w:cs="Times New Roman"/>
          <w:color w:val="000000"/>
          <w:sz w:val="32"/>
          <w:szCs w:val="32"/>
          <w:shd w:val="clear" w:color="auto" w:fill="FFFFFF"/>
        </w:rPr>
        <w:t>2022年区自然资源局一般公共预算收入为910.04万元。2022年财政决算收入总额为9003.24万元，其中：当年财政一般公共预算拨款收入3869.78万元，</w:t>
      </w:r>
      <w:r>
        <w:rPr>
          <w:rFonts w:hint="default" w:ascii="Times New Roman" w:hAnsi="Times New Roman" w:eastAsia="仿宋_GB2312" w:cs="Times New Roman"/>
          <w:sz w:val="32"/>
          <w:szCs w:val="32"/>
        </w:rPr>
        <w:t>基金收入为5133.47万元。</w:t>
      </w:r>
    </w:p>
    <w:p w14:paraId="12EB8182">
      <w:pPr>
        <w:widowControl/>
        <w:adjustRightInd w:val="0"/>
        <w:snapToGrid w:val="0"/>
        <w:spacing w:line="576" w:lineRule="exact"/>
        <w:ind w:firstLine="643" w:firstLineChars="200"/>
        <w:contextualSpacing/>
        <w:rPr>
          <w:rFonts w:hint="default" w:ascii="Times New Roman" w:hAnsi="Times New Roman" w:eastAsia="仿宋_GB2312" w:cs="Times New Roman"/>
          <w:b/>
          <w:bCs/>
          <w:kern w:val="0"/>
          <w:sz w:val="32"/>
          <w:szCs w:val="32"/>
          <w:shd w:val="clear" w:color="auto" w:fill="FFFFFF"/>
        </w:rPr>
      </w:pPr>
      <w:r>
        <w:rPr>
          <w:rFonts w:hint="default" w:ascii="Times New Roman" w:hAnsi="Times New Roman" w:eastAsia="仿宋_GB2312" w:cs="Times New Roman"/>
          <w:b/>
          <w:bCs/>
          <w:kern w:val="0"/>
          <w:sz w:val="32"/>
          <w:szCs w:val="32"/>
          <w:shd w:val="clear" w:color="auto" w:fill="FFFFFF"/>
        </w:rPr>
        <w:t>2</w:t>
      </w:r>
      <w:r>
        <w:rPr>
          <w:rFonts w:hint="default" w:ascii="Times New Roman" w:hAnsi="Times New Roman" w:eastAsia="仿宋_GB2312" w:cs="Times New Roman"/>
          <w:b/>
          <w:bCs/>
          <w:kern w:val="0"/>
          <w:sz w:val="32"/>
          <w:szCs w:val="32"/>
          <w:shd w:val="clear" w:color="auto" w:fill="FFFFFF"/>
          <w:lang w:eastAsia="zh-CN"/>
        </w:rPr>
        <w:t>．</w:t>
      </w:r>
      <w:r>
        <w:rPr>
          <w:rFonts w:hint="default" w:ascii="Times New Roman" w:hAnsi="Times New Roman" w:eastAsia="仿宋_GB2312" w:cs="Times New Roman"/>
          <w:b/>
          <w:bCs/>
          <w:kern w:val="0"/>
          <w:sz w:val="32"/>
          <w:szCs w:val="32"/>
          <w:shd w:val="clear" w:color="auto" w:fill="FFFFFF"/>
        </w:rPr>
        <w:t>部门财政拨款支出情况</w:t>
      </w:r>
    </w:p>
    <w:p w14:paraId="0141B760">
      <w:pPr>
        <w:spacing w:line="576" w:lineRule="exact"/>
        <w:ind w:firstLine="640" w:firstLineChars="200"/>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2022区自然资源局一般公共预算支出为910.04万元，其中：基本支出880.04万元，项目支出30万元。2022年财政决算支出总额为9003.24万元，其中：当年财政一般公共预算基本支出为3869.78万元、</w:t>
      </w:r>
      <w:r>
        <w:rPr>
          <w:rFonts w:hint="default" w:ascii="Times New Roman" w:hAnsi="Times New Roman" w:eastAsia="仿宋_GB2312" w:cs="Times New Roman"/>
          <w:sz w:val="32"/>
          <w:szCs w:val="32"/>
        </w:rPr>
        <w:t>基金支出为5133.47万元。</w:t>
      </w:r>
    </w:p>
    <w:p w14:paraId="429A099B">
      <w:pPr>
        <w:widowControl/>
        <w:adjustRightInd w:val="0"/>
        <w:snapToGrid w:val="0"/>
        <w:spacing w:line="576" w:lineRule="exact"/>
        <w:ind w:firstLine="643" w:firstLineChars="200"/>
        <w:contextualSpacing/>
        <w:rPr>
          <w:rFonts w:hint="default" w:ascii="Times New Roman" w:hAnsi="Times New Roman" w:eastAsia="仿宋_GB2312" w:cs="Times New Roman"/>
          <w:b/>
          <w:bCs/>
          <w:kern w:val="0"/>
          <w:sz w:val="32"/>
          <w:szCs w:val="32"/>
          <w:shd w:val="clear" w:color="auto" w:fill="FFFFFF"/>
        </w:rPr>
      </w:pPr>
      <w:r>
        <w:rPr>
          <w:rFonts w:hint="default" w:ascii="Times New Roman" w:hAnsi="Times New Roman" w:eastAsia="仿宋_GB2312" w:cs="Times New Roman"/>
          <w:b/>
          <w:bCs/>
          <w:kern w:val="0"/>
          <w:sz w:val="32"/>
          <w:szCs w:val="32"/>
          <w:shd w:val="clear" w:color="auto" w:fill="FFFFFF"/>
        </w:rPr>
        <w:t>3</w:t>
      </w:r>
      <w:r>
        <w:rPr>
          <w:rFonts w:hint="default" w:ascii="Times New Roman" w:hAnsi="Times New Roman" w:eastAsia="仿宋_GB2312" w:cs="Times New Roman"/>
          <w:b/>
          <w:bCs/>
          <w:kern w:val="0"/>
          <w:sz w:val="32"/>
          <w:szCs w:val="32"/>
          <w:shd w:val="clear" w:color="auto" w:fill="FFFFFF"/>
          <w:lang w:eastAsia="zh-CN"/>
        </w:rPr>
        <w:t>．</w:t>
      </w:r>
      <w:r>
        <w:rPr>
          <w:rFonts w:hint="default" w:ascii="Times New Roman" w:hAnsi="Times New Roman" w:eastAsia="仿宋_GB2312" w:cs="Times New Roman"/>
          <w:b/>
          <w:bCs/>
          <w:kern w:val="0"/>
          <w:sz w:val="32"/>
          <w:szCs w:val="32"/>
          <w:shd w:val="clear" w:color="auto" w:fill="FFFFFF"/>
        </w:rPr>
        <w:t>部门财政拨款结转结余情况</w:t>
      </w:r>
    </w:p>
    <w:p w14:paraId="1FD1EBFD">
      <w:pPr>
        <w:pStyle w:val="7"/>
        <w:spacing w:beforeLines="0" w:line="576"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2022年度我单位预算金额为9003.24万元，预算执行金额为9003.24万元，指标结转金额为0万元，资金结余率为0。</w:t>
      </w:r>
    </w:p>
    <w:p w14:paraId="198670F8">
      <w:pPr>
        <w:widowControl/>
        <w:adjustRightInd w:val="0"/>
        <w:snapToGrid w:val="0"/>
        <w:spacing w:line="576" w:lineRule="exact"/>
        <w:ind w:firstLine="640" w:firstLineChars="200"/>
        <w:contextualSpacing/>
        <w:rPr>
          <w:rFonts w:hint="default" w:ascii="Times New Roman" w:hAnsi="Times New Roman" w:eastAsia="黑体" w:cs="Times New Roman"/>
          <w:kern w:val="0"/>
          <w:sz w:val="32"/>
          <w:szCs w:val="32"/>
          <w:shd w:val="clear" w:color="auto" w:fill="FFFFFF"/>
        </w:rPr>
      </w:pPr>
      <w:r>
        <w:rPr>
          <w:rFonts w:hint="default" w:ascii="Times New Roman" w:hAnsi="Times New Roman" w:eastAsia="黑体" w:cs="Times New Roman"/>
          <w:kern w:val="0"/>
          <w:sz w:val="32"/>
          <w:szCs w:val="32"/>
          <w:shd w:val="clear" w:color="auto" w:fill="FFFFFF"/>
          <w:lang w:val="en-US" w:eastAsia="zh-CN"/>
        </w:rPr>
        <w:t>四</w:t>
      </w:r>
      <w:r>
        <w:rPr>
          <w:rFonts w:hint="default" w:ascii="Times New Roman" w:hAnsi="Times New Roman" w:eastAsia="黑体" w:cs="Times New Roman"/>
          <w:kern w:val="0"/>
          <w:sz w:val="32"/>
          <w:szCs w:val="32"/>
          <w:shd w:val="clear" w:color="auto" w:fill="FFFFFF"/>
        </w:rPr>
        <w:t>、部门整体绩效分析</w:t>
      </w:r>
    </w:p>
    <w:p w14:paraId="097302C4">
      <w:pPr>
        <w:widowControl/>
        <w:adjustRightInd w:val="0"/>
        <w:snapToGrid w:val="0"/>
        <w:spacing w:line="576" w:lineRule="exact"/>
        <w:ind w:firstLine="640" w:firstLineChars="200"/>
        <w:contextualSpacing/>
        <w:rPr>
          <w:rFonts w:hint="default" w:ascii="Times New Roman" w:hAnsi="Times New Roman" w:eastAsia="仿宋_GB2312" w:cs="Times New Roman"/>
          <w:kern w:val="0"/>
          <w:sz w:val="32"/>
          <w:szCs w:val="32"/>
          <w:shd w:val="clear" w:color="auto" w:fill="FFFFFF"/>
          <w:lang w:val="zh-CN"/>
        </w:rPr>
      </w:pPr>
      <w:r>
        <w:rPr>
          <w:rFonts w:hint="default" w:ascii="Times New Roman" w:hAnsi="Times New Roman" w:eastAsia="楷体_GB2312" w:cs="Times New Roman"/>
          <w:kern w:val="0"/>
          <w:sz w:val="32"/>
          <w:szCs w:val="32"/>
          <w:shd w:val="clear" w:color="auto" w:fill="FFFFFF"/>
          <w:lang w:val="zh-CN"/>
        </w:rPr>
        <w:t>（一）部门预算项目绩效分析。</w:t>
      </w:r>
    </w:p>
    <w:p w14:paraId="25F6015F">
      <w:pPr>
        <w:spacing w:line="576" w:lineRule="exact"/>
        <w:ind w:firstLine="643" w:firstLineChars="200"/>
        <w:rPr>
          <w:rFonts w:hint="default" w:ascii="Times New Roman" w:hAnsi="Times New Roman" w:eastAsia="仿宋_GB2312" w:cs="Times New Roman"/>
          <w:b/>
          <w:bCs/>
          <w:color w:val="000000"/>
          <w:sz w:val="32"/>
          <w:szCs w:val="32"/>
          <w:shd w:val="clear" w:color="auto" w:fill="FFFFFF"/>
        </w:rPr>
      </w:pPr>
      <w:r>
        <w:rPr>
          <w:rFonts w:hint="default" w:ascii="Times New Roman" w:hAnsi="Times New Roman" w:eastAsia="仿宋_GB2312" w:cs="Times New Roman"/>
          <w:b/>
          <w:bCs/>
          <w:color w:val="000000"/>
          <w:sz w:val="32"/>
          <w:szCs w:val="32"/>
          <w:shd w:val="clear" w:color="auto" w:fill="FFFFFF"/>
        </w:rPr>
        <w:t>1</w:t>
      </w:r>
      <w:r>
        <w:rPr>
          <w:rFonts w:hint="default" w:ascii="Times New Roman" w:hAnsi="Times New Roman" w:eastAsia="仿宋_GB2312" w:cs="Times New Roman"/>
          <w:b/>
          <w:bCs/>
          <w:color w:val="000000"/>
          <w:sz w:val="32"/>
          <w:szCs w:val="32"/>
          <w:shd w:val="clear" w:color="auto" w:fill="FFFFFF"/>
          <w:lang w:eastAsia="zh-CN"/>
        </w:rPr>
        <w:t>．</w:t>
      </w:r>
      <w:r>
        <w:rPr>
          <w:rFonts w:hint="default" w:ascii="Times New Roman" w:hAnsi="Times New Roman" w:eastAsia="仿宋_GB2312" w:cs="Times New Roman"/>
          <w:b/>
          <w:bCs/>
          <w:color w:val="000000"/>
          <w:sz w:val="32"/>
          <w:szCs w:val="32"/>
          <w:shd w:val="clear" w:color="auto" w:fill="FFFFFF"/>
        </w:rPr>
        <w:t>绩效目标制定</w:t>
      </w:r>
    </w:p>
    <w:p w14:paraId="086872AD">
      <w:pPr>
        <w:spacing w:line="560" w:lineRule="exact"/>
        <w:ind w:firstLine="640" w:firstLineChars="200"/>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sz w:val="32"/>
          <w:szCs w:val="32"/>
        </w:rPr>
        <w:t>2022年年初区财政局下达我局年初预算数910.04万。人员类：</w:t>
      </w:r>
      <w:r>
        <w:rPr>
          <w:rFonts w:hint="default" w:ascii="Times New Roman" w:hAnsi="Times New Roman" w:eastAsia="仿宋_GB2312" w:cs="Times New Roman"/>
          <w:sz w:val="32"/>
          <w:szCs w:val="32"/>
          <w:highlight w:val="none"/>
        </w:rPr>
        <w:t>797.44</w:t>
      </w:r>
      <w:r>
        <w:rPr>
          <w:rFonts w:hint="default" w:ascii="Times New Roman" w:hAnsi="Times New Roman" w:eastAsia="仿宋_GB2312" w:cs="Times New Roman"/>
          <w:sz w:val="32"/>
          <w:szCs w:val="32"/>
        </w:rPr>
        <w:t>万元，运转类公用经费82.60万元，运转类特定目标类30万。年末预算调整：追加人员经费76.</w:t>
      </w:r>
      <w:r>
        <w:rPr>
          <w:rFonts w:hint="default" w:ascii="Times New Roman" w:hAnsi="Times New Roman" w:eastAsia="仿宋_GB2312" w:cs="Times New Roman"/>
          <w:sz w:val="32"/>
          <w:szCs w:val="32"/>
          <w:lang w:val="en-US" w:eastAsia="zh-CN"/>
        </w:rPr>
        <w:t>50</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shd w:val="clear" w:color="auto" w:fill="FFFFFF"/>
        </w:rPr>
        <w:t>我局依据全年度综合目标任务及本单位职能职责，从</w:t>
      </w:r>
      <w:r>
        <w:rPr>
          <w:rFonts w:hint="default" w:ascii="Times New Roman" w:hAnsi="Times New Roman" w:eastAsia="仿宋_GB2312" w:cs="Times New Roman"/>
          <w:color w:val="000000"/>
          <w:sz w:val="32"/>
          <w:szCs w:val="32"/>
          <w:shd w:val="clear" w:color="auto" w:fill="FFFFFF"/>
        </w:rPr>
        <w:t>产出指标、效益指标、满意度指标三个维度制定了完整详细的绩效目标，全面实现了要素完整、指标细化量化的基本要求，并在党组会上讨论通，绩效目标具体如下：</w:t>
      </w:r>
    </w:p>
    <w:tbl>
      <w:tblPr>
        <w:tblStyle w:val="17"/>
        <w:tblW w:w="912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68"/>
        <w:gridCol w:w="969"/>
        <w:gridCol w:w="1467"/>
        <w:gridCol w:w="3993"/>
        <w:gridCol w:w="1927"/>
      </w:tblGrid>
      <w:tr w14:paraId="65EDF7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6" w:hRule="atLeast"/>
          <w:jc w:val="center"/>
        </w:trPr>
        <w:tc>
          <w:tcPr>
            <w:tcW w:w="768" w:type="dxa"/>
            <w:tcBorders>
              <w:tl2br w:val="nil"/>
              <w:tr2bl w:val="nil"/>
            </w:tcBorders>
            <w:vAlign w:val="center"/>
          </w:tcPr>
          <w:p w14:paraId="6F7617DB">
            <w:pPr>
              <w:widowControl/>
              <w:spacing w:line="280" w:lineRule="exact"/>
              <w:jc w:val="center"/>
              <w:textAlignment w:val="center"/>
              <w:rPr>
                <w:rFonts w:hint="default" w:ascii="Times New Roman" w:hAnsi="Times New Roman" w:cs="Times New Roman" w:eastAsiaTheme="majorEastAsia"/>
                <w:color w:val="000000"/>
                <w:sz w:val="24"/>
              </w:rPr>
            </w:pPr>
            <w:r>
              <w:rPr>
                <w:rFonts w:hint="default" w:ascii="Times New Roman" w:hAnsi="Times New Roman" w:cs="Times New Roman" w:eastAsiaTheme="majorEastAsia"/>
                <w:color w:val="000000"/>
                <w:kern w:val="0"/>
                <w:sz w:val="24"/>
              </w:rPr>
              <w:t>年度总体目标</w:t>
            </w:r>
          </w:p>
        </w:tc>
        <w:tc>
          <w:tcPr>
            <w:tcW w:w="8356" w:type="dxa"/>
            <w:gridSpan w:val="4"/>
            <w:tcBorders>
              <w:tl2br w:val="nil"/>
              <w:tr2bl w:val="nil"/>
            </w:tcBorders>
            <w:vAlign w:val="center"/>
          </w:tcPr>
          <w:p w14:paraId="35E719EC">
            <w:pPr>
              <w:widowControl/>
              <w:spacing w:line="280" w:lineRule="exact"/>
              <w:ind w:firstLine="480" w:firstLineChars="200"/>
              <w:textAlignment w:val="center"/>
              <w:rPr>
                <w:rFonts w:hint="default" w:ascii="Times New Roman" w:hAnsi="Times New Roman" w:cs="Times New Roman" w:eastAsiaTheme="majorEastAsia"/>
                <w:kern w:val="0"/>
                <w:sz w:val="24"/>
              </w:rPr>
            </w:pPr>
            <w:r>
              <w:rPr>
                <w:rFonts w:hint="default" w:ascii="Times New Roman" w:hAnsi="Times New Roman" w:cs="Times New Roman" w:eastAsiaTheme="majorEastAsia"/>
                <w:color w:val="000000"/>
                <w:kern w:val="0"/>
                <w:sz w:val="24"/>
              </w:rPr>
              <w:t>一是保障单位正常运转，按时支付人员工资，按时缴纳保险，按时支付保障单位正常运转所产生的水、电、办公等费用；二是完成区委区政府下达的2022年目标任务；三是做好全区各项目建设用地要素保障；四是完成项目争取工作，五是完成区委区政府安排的其他工作。</w:t>
            </w:r>
          </w:p>
        </w:tc>
      </w:tr>
      <w:tr w14:paraId="324CCD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768" w:type="dxa"/>
            <w:vMerge w:val="restart"/>
            <w:tcBorders>
              <w:tl2br w:val="nil"/>
              <w:tr2bl w:val="nil"/>
            </w:tcBorders>
            <w:vAlign w:val="center"/>
          </w:tcPr>
          <w:p w14:paraId="183038A2">
            <w:pPr>
              <w:widowControl/>
              <w:spacing w:line="280" w:lineRule="exact"/>
              <w:jc w:val="center"/>
              <w:textAlignment w:val="center"/>
              <w:rPr>
                <w:rFonts w:hint="default" w:ascii="Times New Roman" w:hAnsi="Times New Roman" w:cs="Times New Roman" w:eastAsiaTheme="majorEastAsia"/>
                <w:color w:val="000000"/>
                <w:sz w:val="24"/>
              </w:rPr>
            </w:pPr>
            <w:r>
              <w:rPr>
                <w:rFonts w:hint="default" w:ascii="Times New Roman" w:hAnsi="Times New Roman" w:cs="Times New Roman" w:eastAsiaTheme="majorEastAsia"/>
                <w:color w:val="000000"/>
                <w:kern w:val="0"/>
                <w:sz w:val="24"/>
              </w:rPr>
              <w:t>年度绩效指标</w:t>
            </w:r>
          </w:p>
        </w:tc>
        <w:tc>
          <w:tcPr>
            <w:tcW w:w="969" w:type="dxa"/>
            <w:tcBorders>
              <w:tl2br w:val="nil"/>
              <w:tr2bl w:val="nil"/>
            </w:tcBorders>
            <w:vAlign w:val="center"/>
          </w:tcPr>
          <w:p w14:paraId="52CE7A03">
            <w:pPr>
              <w:widowControl/>
              <w:spacing w:line="280" w:lineRule="exact"/>
              <w:jc w:val="center"/>
              <w:textAlignment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kern w:val="0"/>
                <w:sz w:val="24"/>
              </w:rPr>
              <w:t>一级指标</w:t>
            </w:r>
          </w:p>
        </w:tc>
        <w:tc>
          <w:tcPr>
            <w:tcW w:w="1467" w:type="dxa"/>
            <w:tcBorders>
              <w:tl2br w:val="nil"/>
              <w:tr2bl w:val="nil"/>
            </w:tcBorders>
            <w:vAlign w:val="center"/>
          </w:tcPr>
          <w:p w14:paraId="167A6EC6">
            <w:pPr>
              <w:widowControl/>
              <w:spacing w:line="280" w:lineRule="exact"/>
              <w:jc w:val="center"/>
              <w:textAlignment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kern w:val="0"/>
                <w:sz w:val="24"/>
              </w:rPr>
              <w:t>二级指标</w:t>
            </w:r>
          </w:p>
        </w:tc>
        <w:tc>
          <w:tcPr>
            <w:tcW w:w="3993" w:type="dxa"/>
            <w:tcBorders>
              <w:tl2br w:val="nil"/>
              <w:tr2bl w:val="nil"/>
            </w:tcBorders>
            <w:vAlign w:val="center"/>
          </w:tcPr>
          <w:p w14:paraId="23C84D72">
            <w:pPr>
              <w:widowControl/>
              <w:spacing w:line="280" w:lineRule="exact"/>
              <w:jc w:val="center"/>
              <w:textAlignment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kern w:val="0"/>
                <w:sz w:val="24"/>
              </w:rPr>
              <w:t>三级指标</w:t>
            </w:r>
          </w:p>
        </w:tc>
        <w:tc>
          <w:tcPr>
            <w:tcW w:w="1927" w:type="dxa"/>
            <w:tcBorders>
              <w:tl2br w:val="nil"/>
              <w:tr2bl w:val="nil"/>
            </w:tcBorders>
            <w:vAlign w:val="center"/>
          </w:tcPr>
          <w:p w14:paraId="73F7DC53">
            <w:pPr>
              <w:widowControl/>
              <w:spacing w:line="280" w:lineRule="exact"/>
              <w:jc w:val="center"/>
              <w:textAlignment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kern w:val="0"/>
                <w:sz w:val="24"/>
              </w:rPr>
              <w:t>指标值</w:t>
            </w:r>
          </w:p>
        </w:tc>
      </w:tr>
      <w:tr w14:paraId="06E770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768" w:type="dxa"/>
            <w:vMerge w:val="continue"/>
            <w:tcBorders>
              <w:tl2br w:val="nil"/>
              <w:tr2bl w:val="nil"/>
            </w:tcBorders>
            <w:vAlign w:val="center"/>
          </w:tcPr>
          <w:p w14:paraId="095ECF40">
            <w:pPr>
              <w:widowControl/>
              <w:spacing w:line="280" w:lineRule="exact"/>
              <w:jc w:val="center"/>
              <w:rPr>
                <w:rFonts w:hint="default" w:ascii="Times New Roman" w:hAnsi="Times New Roman" w:cs="Times New Roman" w:eastAsiaTheme="majorEastAsia"/>
                <w:color w:val="000000"/>
                <w:sz w:val="24"/>
              </w:rPr>
            </w:pPr>
          </w:p>
        </w:tc>
        <w:tc>
          <w:tcPr>
            <w:tcW w:w="969" w:type="dxa"/>
            <w:vMerge w:val="restart"/>
            <w:tcBorders>
              <w:tl2br w:val="nil"/>
              <w:tr2bl w:val="nil"/>
            </w:tcBorders>
            <w:vAlign w:val="center"/>
          </w:tcPr>
          <w:p w14:paraId="53599E6A">
            <w:pPr>
              <w:widowControl/>
              <w:spacing w:line="280" w:lineRule="exact"/>
              <w:jc w:val="center"/>
              <w:textAlignment w:val="center"/>
              <w:rPr>
                <w:rFonts w:hint="default" w:ascii="Times New Roman" w:hAnsi="Times New Roman" w:cs="Times New Roman" w:eastAsiaTheme="majorEastAsia"/>
                <w:color w:val="000000"/>
                <w:sz w:val="24"/>
              </w:rPr>
            </w:pPr>
            <w:r>
              <w:rPr>
                <w:rFonts w:hint="default" w:ascii="Times New Roman" w:hAnsi="Times New Roman" w:cs="Times New Roman" w:eastAsiaTheme="majorEastAsia"/>
                <w:color w:val="000000"/>
                <w:kern w:val="0"/>
                <w:sz w:val="24"/>
              </w:rPr>
              <w:t>产出指标</w:t>
            </w:r>
          </w:p>
        </w:tc>
        <w:tc>
          <w:tcPr>
            <w:tcW w:w="1467" w:type="dxa"/>
            <w:vMerge w:val="restart"/>
            <w:tcBorders>
              <w:tl2br w:val="nil"/>
              <w:tr2bl w:val="nil"/>
            </w:tcBorders>
            <w:vAlign w:val="center"/>
          </w:tcPr>
          <w:p w14:paraId="3E61B3FC">
            <w:pPr>
              <w:widowControl/>
              <w:spacing w:line="280" w:lineRule="exact"/>
              <w:jc w:val="center"/>
              <w:textAlignment w:val="center"/>
              <w:rPr>
                <w:rFonts w:hint="default" w:ascii="Times New Roman" w:hAnsi="Times New Roman" w:cs="Times New Roman" w:eastAsiaTheme="majorEastAsia"/>
                <w:color w:val="000000"/>
                <w:sz w:val="24"/>
              </w:rPr>
            </w:pPr>
            <w:r>
              <w:rPr>
                <w:rFonts w:hint="default" w:ascii="Times New Roman" w:hAnsi="Times New Roman" w:cs="Times New Roman" w:eastAsiaTheme="majorEastAsia"/>
                <w:color w:val="000000"/>
                <w:kern w:val="0"/>
                <w:sz w:val="24"/>
              </w:rPr>
              <w:t>数量指标</w:t>
            </w:r>
          </w:p>
        </w:tc>
        <w:tc>
          <w:tcPr>
            <w:tcW w:w="3993" w:type="dxa"/>
            <w:tcBorders>
              <w:tl2br w:val="nil"/>
              <w:tr2bl w:val="nil"/>
            </w:tcBorders>
            <w:vAlign w:val="center"/>
          </w:tcPr>
          <w:p w14:paraId="2E7E2062">
            <w:pPr>
              <w:widowControl/>
              <w:spacing w:line="280" w:lineRule="exact"/>
              <w:jc w:val="center"/>
              <w:textAlignment w:val="center"/>
              <w:rPr>
                <w:rFonts w:hint="default" w:ascii="Times New Roman" w:hAnsi="Times New Roman" w:cs="Times New Roman" w:eastAsiaTheme="majorEastAsia"/>
                <w:color w:val="000000"/>
                <w:kern w:val="0"/>
                <w:sz w:val="24"/>
              </w:rPr>
            </w:pPr>
            <w:r>
              <w:rPr>
                <w:rFonts w:hint="default" w:ascii="Times New Roman" w:hAnsi="Times New Roman" w:cs="Times New Roman" w:eastAsiaTheme="majorEastAsia"/>
                <w:color w:val="000000"/>
                <w:kern w:val="0"/>
                <w:sz w:val="24"/>
              </w:rPr>
              <w:t>争取地质灾害防治、土地整治等项目</w:t>
            </w:r>
          </w:p>
        </w:tc>
        <w:tc>
          <w:tcPr>
            <w:tcW w:w="1927" w:type="dxa"/>
            <w:tcBorders>
              <w:tl2br w:val="nil"/>
              <w:tr2bl w:val="nil"/>
            </w:tcBorders>
            <w:vAlign w:val="center"/>
          </w:tcPr>
          <w:p w14:paraId="65A80595">
            <w:pPr>
              <w:widowControl/>
              <w:spacing w:line="280" w:lineRule="exact"/>
              <w:jc w:val="center"/>
              <w:textAlignment w:val="center"/>
              <w:rPr>
                <w:rFonts w:hint="default" w:ascii="Times New Roman" w:hAnsi="Times New Roman" w:cs="Times New Roman" w:eastAsiaTheme="majorEastAsia"/>
                <w:color w:val="000000"/>
                <w:kern w:val="0"/>
                <w:sz w:val="24"/>
              </w:rPr>
            </w:pPr>
            <w:r>
              <w:rPr>
                <w:rFonts w:hint="default" w:ascii="Times New Roman" w:hAnsi="Times New Roman" w:cs="Times New Roman" w:eastAsiaTheme="majorEastAsia"/>
                <w:color w:val="000000"/>
                <w:kern w:val="0"/>
                <w:sz w:val="24"/>
              </w:rPr>
              <w:t>≥12个</w:t>
            </w:r>
          </w:p>
        </w:tc>
      </w:tr>
      <w:tr w14:paraId="5307A3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768" w:type="dxa"/>
            <w:vMerge w:val="continue"/>
            <w:tcBorders>
              <w:tl2br w:val="nil"/>
              <w:tr2bl w:val="nil"/>
            </w:tcBorders>
            <w:vAlign w:val="center"/>
          </w:tcPr>
          <w:p w14:paraId="7DF0EF81">
            <w:pPr>
              <w:widowControl/>
              <w:spacing w:line="280" w:lineRule="exact"/>
              <w:jc w:val="center"/>
              <w:rPr>
                <w:rFonts w:hint="default" w:ascii="Times New Roman" w:hAnsi="Times New Roman" w:cs="Times New Roman" w:eastAsiaTheme="majorEastAsia"/>
                <w:color w:val="000000"/>
                <w:sz w:val="24"/>
              </w:rPr>
            </w:pPr>
          </w:p>
        </w:tc>
        <w:tc>
          <w:tcPr>
            <w:tcW w:w="969" w:type="dxa"/>
            <w:vMerge w:val="continue"/>
            <w:tcBorders>
              <w:tl2br w:val="nil"/>
              <w:tr2bl w:val="nil"/>
            </w:tcBorders>
            <w:vAlign w:val="center"/>
          </w:tcPr>
          <w:p w14:paraId="13C6FBF8">
            <w:pPr>
              <w:widowControl/>
              <w:spacing w:line="280" w:lineRule="exact"/>
              <w:jc w:val="center"/>
              <w:rPr>
                <w:rFonts w:hint="default" w:ascii="Times New Roman" w:hAnsi="Times New Roman" w:cs="Times New Roman" w:eastAsiaTheme="majorEastAsia"/>
                <w:color w:val="000000"/>
                <w:sz w:val="24"/>
              </w:rPr>
            </w:pPr>
          </w:p>
        </w:tc>
        <w:tc>
          <w:tcPr>
            <w:tcW w:w="1467" w:type="dxa"/>
            <w:vMerge w:val="continue"/>
            <w:tcBorders>
              <w:tl2br w:val="nil"/>
              <w:tr2bl w:val="nil"/>
            </w:tcBorders>
            <w:vAlign w:val="center"/>
          </w:tcPr>
          <w:p w14:paraId="06823A1C">
            <w:pPr>
              <w:widowControl/>
              <w:spacing w:line="280" w:lineRule="exact"/>
              <w:jc w:val="center"/>
              <w:rPr>
                <w:rFonts w:hint="default" w:ascii="Times New Roman" w:hAnsi="Times New Roman" w:cs="Times New Roman" w:eastAsiaTheme="majorEastAsia"/>
                <w:color w:val="000000"/>
                <w:sz w:val="24"/>
              </w:rPr>
            </w:pPr>
          </w:p>
        </w:tc>
        <w:tc>
          <w:tcPr>
            <w:tcW w:w="3993" w:type="dxa"/>
            <w:tcBorders>
              <w:tl2br w:val="nil"/>
              <w:tr2bl w:val="nil"/>
            </w:tcBorders>
            <w:vAlign w:val="center"/>
          </w:tcPr>
          <w:p w14:paraId="0CC592CC">
            <w:pPr>
              <w:widowControl/>
              <w:spacing w:line="280" w:lineRule="exact"/>
              <w:jc w:val="center"/>
              <w:textAlignment w:val="center"/>
              <w:rPr>
                <w:rFonts w:hint="default" w:ascii="Times New Roman" w:hAnsi="Times New Roman" w:cs="Times New Roman" w:eastAsiaTheme="majorEastAsia"/>
                <w:color w:val="000000"/>
                <w:kern w:val="0"/>
                <w:sz w:val="24"/>
              </w:rPr>
            </w:pPr>
            <w:r>
              <w:rPr>
                <w:rFonts w:hint="default" w:ascii="Times New Roman" w:hAnsi="Times New Roman" w:cs="Times New Roman" w:eastAsiaTheme="majorEastAsia"/>
                <w:color w:val="000000"/>
                <w:kern w:val="0"/>
                <w:sz w:val="24"/>
              </w:rPr>
              <w:t>在编人员数</w:t>
            </w:r>
          </w:p>
        </w:tc>
        <w:tc>
          <w:tcPr>
            <w:tcW w:w="1927" w:type="dxa"/>
            <w:tcBorders>
              <w:tl2br w:val="nil"/>
              <w:tr2bl w:val="nil"/>
            </w:tcBorders>
            <w:vAlign w:val="center"/>
          </w:tcPr>
          <w:p w14:paraId="39709A3E">
            <w:pPr>
              <w:widowControl/>
              <w:spacing w:line="280" w:lineRule="exact"/>
              <w:jc w:val="center"/>
              <w:textAlignment w:val="center"/>
              <w:rPr>
                <w:rFonts w:hint="default" w:ascii="Times New Roman" w:hAnsi="Times New Roman" w:cs="Times New Roman" w:eastAsiaTheme="majorEastAsia"/>
                <w:color w:val="000000"/>
                <w:kern w:val="0"/>
                <w:sz w:val="24"/>
              </w:rPr>
            </w:pPr>
            <w:r>
              <w:rPr>
                <w:rFonts w:hint="default" w:ascii="Times New Roman" w:hAnsi="Times New Roman" w:cs="Times New Roman" w:eastAsiaTheme="majorEastAsia"/>
                <w:color w:val="000000"/>
                <w:kern w:val="0"/>
                <w:sz w:val="24"/>
              </w:rPr>
              <w:t>≥58人</w:t>
            </w:r>
          </w:p>
        </w:tc>
      </w:tr>
      <w:tr w14:paraId="510BAD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768" w:type="dxa"/>
            <w:vMerge w:val="continue"/>
            <w:tcBorders>
              <w:tl2br w:val="nil"/>
              <w:tr2bl w:val="nil"/>
            </w:tcBorders>
            <w:vAlign w:val="center"/>
          </w:tcPr>
          <w:p w14:paraId="21D54677">
            <w:pPr>
              <w:widowControl/>
              <w:spacing w:line="280" w:lineRule="exact"/>
              <w:jc w:val="center"/>
              <w:rPr>
                <w:rFonts w:hint="default" w:ascii="Times New Roman" w:hAnsi="Times New Roman" w:cs="Times New Roman" w:eastAsiaTheme="majorEastAsia"/>
                <w:color w:val="000000"/>
                <w:sz w:val="24"/>
              </w:rPr>
            </w:pPr>
          </w:p>
        </w:tc>
        <w:tc>
          <w:tcPr>
            <w:tcW w:w="969" w:type="dxa"/>
            <w:vMerge w:val="continue"/>
            <w:tcBorders>
              <w:tl2br w:val="nil"/>
              <w:tr2bl w:val="nil"/>
            </w:tcBorders>
            <w:vAlign w:val="center"/>
          </w:tcPr>
          <w:p w14:paraId="63B44DD6">
            <w:pPr>
              <w:widowControl/>
              <w:spacing w:line="280" w:lineRule="exact"/>
              <w:jc w:val="center"/>
              <w:rPr>
                <w:rFonts w:hint="default" w:ascii="Times New Roman" w:hAnsi="Times New Roman" w:cs="Times New Roman" w:eastAsiaTheme="majorEastAsia"/>
                <w:color w:val="000000"/>
                <w:sz w:val="24"/>
              </w:rPr>
            </w:pPr>
          </w:p>
        </w:tc>
        <w:tc>
          <w:tcPr>
            <w:tcW w:w="1467" w:type="dxa"/>
            <w:vMerge w:val="continue"/>
            <w:tcBorders>
              <w:tl2br w:val="nil"/>
              <w:tr2bl w:val="nil"/>
            </w:tcBorders>
            <w:vAlign w:val="center"/>
          </w:tcPr>
          <w:p w14:paraId="4F615C12">
            <w:pPr>
              <w:widowControl/>
              <w:spacing w:line="280" w:lineRule="exact"/>
              <w:jc w:val="center"/>
              <w:rPr>
                <w:rFonts w:hint="default" w:ascii="Times New Roman" w:hAnsi="Times New Roman" w:cs="Times New Roman" w:eastAsiaTheme="majorEastAsia"/>
                <w:color w:val="000000"/>
                <w:sz w:val="24"/>
              </w:rPr>
            </w:pPr>
          </w:p>
        </w:tc>
        <w:tc>
          <w:tcPr>
            <w:tcW w:w="3993" w:type="dxa"/>
            <w:tcBorders>
              <w:tl2br w:val="nil"/>
              <w:tr2bl w:val="nil"/>
            </w:tcBorders>
            <w:vAlign w:val="center"/>
          </w:tcPr>
          <w:p w14:paraId="21E19AC5">
            <w:pPr>
              <w:widowControl/>
              <w:spacing w:line="280" w:lineRule="exact"/>
              <w:jc w:val="center"/>
              <w:textAlignment w:val="center"/>
              <w:rPr>
                <w:rFonts w:hint="default" w:ascii="Times New Roman" w:hAnsi="Times New Roman" w:cs="Times New Roman" w:eastAsiaTheme="majorEastAsia"/>
                <w:color w:val="000000"/>
                <w:kern w:val="0"/>
                <w:sz w:val="24"/>
              </w:rPr>
            </w:pPr>
            <w:r>
              <w:rPr>
                <w:rFonts w:hint="default" w:ascii="Times New Roman" w:hAnsi="Times New Roman" w:cs="Times New Roman" w:eastAsiaTheme="majorEastAsia"/>
                <w:color w:val="000000"/>
                <w:kern w:val="0"/>
                <w:sz w:val="24"/>
              </w:rPr>
              <w:t>争取到位资金金额</w:t>
            </w:r>
          </w:p>
        </w:tc>
        <w:tc>
          <w:tcPr>
            <w:tcW w:w="1927" w:type="dxa"/>
            <w:tcBorders>
              <w:tl2br w:val="nil"/>
              <w:tr2bl w:val="nil"/>
            </w:tcBorders>
            <w:vAlign w:val="center"/>
          </w:tcPr>
          <w:p w14:paraId="4A4F3815">
            <w:pPr>
              <w:widowControl/>
              <w:spacing w:line="280" w:lineRule="exact"/>
              <w:jc w:val="center"/>
              <w:textAlignment w:val="center"/>
              <w:rPr>
                <w:rFonts w:hint="default" w:ascii="Times New Roman" w:hAnsi="Times New Roman" w:cs="Times New Roman" w:eastAsiaTheme="majorEastAsia"/>
                <w:color w:val="000000"/>
                <w:kern w:val="0"/>
                <w:sz w:val="24"/>
              </w:rPr>
            </w:pPr>
            <w:r>
              <w:rPr>
                <w:rFonts w:hint="default" w:ascii="Times New Roman" w:hAnsi="Times New Roman" w:cs="Times New Roman" w:eastAsiaTheme="majorEastAsia"/>
                <w:color w:val="000000"/>
                <w:kern w:val="0"/>
                <w:sz w:val="24"/>
              </w:rPr>
              <w:t>≥500万元</w:t>
            </w:r>
          </w:p>
        </w:tc>
      </w:tr>
      <w:tr w14:paraId="251B54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768" w:type="dxa"/>
            <w:vMerge w:val="continue"/>
            <w:tcBorders>
              <w:tl2br w:val="nil"/>
              <w:tr2bl w:val="nil"/>
            </w:tcBorders>
            <w:vAlign w:val="center"/>
          </w:tcPr>
          <w:p w14:paraId="22E211B2">
            <w:pPr>
              <w:widowControl/>
              <w:spacing w:line="280" w:lineRule="exact"/>
              <w:jc w:val="center"/>
              <w:rPr>
                <w:rFonts w:hint="default" w:ascii="Times New Roman" w:hAnsi="Times New Roman" w:cs="Times New Roman" w:eastAsiaTheme="majorEastAsia"/>
                <w:color w:val="000000"/>
                <w:sz w:val="24"/>
              </w:rPr>
            </w:pPr>
          </w:p>
        </w:tc>
        <w:tc>
          <w:tcPr>
            <w:tcW w:w="969" w:type="dxa"/>
            <w:vMerge w:val="continue"/>
            <w:tcBorders>
              <w:tl2br w:val="nil"/>
              <w:tr2bl w:val="nil"/>
            </w:tcBorders>
            <w:vAlign w:val="center"/>
          </w:tcPr>
          <w:p w14:paraId="7AF3CD8D">
            <w:pPr>
              <w:widowControl/>
              <w:spacing w:line="280" w:lineRule="exact"/>
              <w:jc w:val="center"/>
              <w:rPr>
                <w:rFonts w:hint="default" w:ascii="Times New Roman" w:hAnsi="Times New Roman" w:cs="Times New Roman" w:eastAsiaTheme="majorEastAsia"/>
                <w:color w:val="000000"/>
                <w:sz w:val="24"/>
              </w:rPr>
            </w:pPr>
          </w:p>
        </w:tc>
        <w:tc>
          <w:tcPr>
            <w:tcW w:w="1467" w:type="dxa"/>
            <w:vMerge w:val="continue"/>
            <w:tcBorders>
              <w:tl2br w:val="nil"/>
              <w:tr2bl w:val="nil"/>
            </w:tcBorders>
            <w:vAlign w:val="center"/>
          </w:tcPr>
          <w:p w14:paraId="7E442C04">
            <w:pPr>
              <w:widowControl/>
              <w:spacing w:line="280" w:lineRule="exact"/>
              <w:jc w:val="center"/>
              <w:rPr>
                <w:rFonts w:hint="default" w:ascii="Times New Roman" w:hAnsi="Times New Roman" w:cs="Times New Roman" w:eastAsiaTheme="majorEastAsia"/>
                <w:color w:val="000000"/>
                <w:sz w:val="24"/>
              </w:rPr>
            </w:pPr>
          </w:p>
        </w:tc>
        <w:tc>
          <w:tcPr>
            <w:tcW w:w="3993" w:type="dxa"/>
            <w:tcBorders>
              <w:tl2br w:val="nil"/>
              <w:tr2bl w:val="nil"/>
            </w:tcBorders>
            <w:vAlign w:val="center"/>
          </w:tcPr>
          <w:p w14:paraId="1B45A2E1">
            <w:pPr>
              <w:widowControl/>
              <w:spacing w:line="280" w:lineRule="exact"/>
              <w:jc w:val="center"/>
              <w:textAlignment w:val="center"/>
              <w:rPr>
                <w:rFonts w:hint="default" w:ascii="Times New Roman" w:hAnsi="Times New Roman" w:cs="Times New Roman" w:eastAsiaTheme="majorEastAsia"/>
                <w:color w:val="000000"/>
                <w:kern w:val="0"/>
                <w:sz w:val="24"/>
              </w:rPr>
            </w:pPr>
            <w:r>
              <w:rPr>
                <w:rFonts w:hint="default" w:ascii="Times New Roman" w:hAnsi="Times New Roman" w:cs="Times New Roman" w:eastAsiaTheme="majorEastAsia"/>
                <w:color w:val="000000"/>
                <w:kern w:val="0"/>
                <w:sz w:val="24"/>
              </w:rPr>
              <w:t>做好全区各项目建设用地要素保障</w:t>
            </w:r>
          </w:p>
        </w:tc>
        <w:tc>
          <w:tcPr>
            <w:tcW w:w="1927" w:type="dxa"/>
            <w:tcBorders>
              <w:tl2br w:val="nil"/>
              <w:tr2bl w:val="nil"/>
            </w:tcBorders>
            <w:vAlign w:val="center"/>
          </w:tcPr>
          <w:p w14:paraId="5694502C">
            <w:pPr>
              <w:widowControl/>
              <w:spacing w:line="280" w:lineRule="exact"/>
              <w:jc w:val="center"/>
              <w:textAlignment w:val="center"/>
              <w:rPr>
                <w:rFonts w:hint="default" w:ascii="Times New Roman" w:hAnsi="Times New Roman" w:cs="Times New Roman" w:eastAsiaTheme="majorEastAsia"/>
                <w:color w:val="000000"/>
                <w:kern w:val="0"/>
                <w:sz w:val="24"/>
              </w:rPr>
            </w:pPr>
            <w:r>
              <w:rPr>
                <w:rFonts w:hint="default" w:ascii="Times New Roman" w:hAnsi="Times New Roman" w:cs="Times New Roman" w:eastAsiaTheme="majorEastAsia"/>
                <w:color w:val="000000"/>
                <w:kern w:val="0"/>
                <w:sz w:val="24"/>
              </w:rPr>
              <w:t>≥6个</w:t>
            </w:r>
          </w:p>
        </w:tc>
      </w:tr>
      <w:tr w14:paraId="6E7991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768" w:type="dxa"/>
            <w:vMerge w:val="continue"/>
            <w:tcBorders>
              <w:tl2br w:val="nil"/>
              <w:tr2bl w:val="nil"/>
            </w:tcBorders>
            <w:vAlign w:val="center"/>
          </w:tcPr>
          <w:p w14:paraId="6ECE8508">
            <w:pPr>
              <w:widowControl/>
              <w:spacing w:line="280" w:lineRule="exact"/>
              <w:jc w:val="center"/>
              <w:rPr>
                <w:rFonts w:hint="default" w:ascii="Times New Roman" w:hAnsi="Times New Roman" w:cs="Times New Roman" w:eastAsiaTheme="majorEastAsia"/>
                <w:color w:val="000000"/>
                <w:sz w:val="24"/>
              </w:rPr>
            </w:pPr>
          </w:p>
        </w:tc>
        <w:tc>
          <w:tcPr>
            <w:tcW w:w="969" w:type="dxa"/>
            <w:vMerge w:val="continue"/>
            <w:tcBorders>
              <w:tl2br w:val="nil"/>
              <w:tr2bl w:val="nil"/>
            </w:tcBorders>
            <w:vAlign w:val="center"/>
          </w:tcPr>
          <w:p w14:paraId="556A9CC4">
            <w:pPr>
              <w:widowControl/>
              <w:spacing w:line="280" w:lineRule="exact"/>
              <w:jc w:val="center"/>
              <w:rPr>
                <w:rFonts w:hint="default" w:ascii="Times New Roman" w:hAnsi="Times New Roman" w:cs="Times New Roman" w:eastAsiaTheme="majorEastAsia"/>
                <w:color w:val="000000"/>
                <w:sz w:val="24"/>
              </w:rPr>
            </w:pPr>
          </w:p>
        </w:tc>
        <w:tc>
          <w:tcPr>
            <w:tcW w:w="1467" w:type="dxa"/>
            <w:vMerge w:val="continue"/>
            <w:tcBorders>
              <w:tl2br w:val="nil"/>
              <w:tr2bl w:val="nil"/>
            </w:tcBorders>
            <w:vAlign w:val="center"/>
          </w:tcPr>
          <w:p w14:paraId="53E77081">
            <w:pPr>
              <w:widowControl/>
              <w:spacing w:line="280" w:lineRule="exact"/>
              <w:jc w:val="center"/>
              <w:rPr>
                <w:rFonts w:hint="default" w:ascii="Times New Roman" w:hAnsi="Times New Roman" w:cs="Times New Roman" w:eastAsiaTheme="majorEastAsia"/>
                <w:color w:val="000000"/>
                <w:sz w:val="24"/>
              </w:rPr>
            </w:pPr>
          </w:p>
        </w:tc>
        <w:tc>
          <w:tcPr>
            <w:tcW w:w="3993" w:type="dxa"/>
            <w:tcBorders>
              <w:tl2br w:val="nil"/>
              <w:tr2bl w:val="nil"/>
            </w:tcBorders>
            <w:vAlign w:val="center"/>
          </w:tcPr>
          <w:p w14:paraId="4679E6B9">
            <w:pPr>
              <w:widowControl/>
              <w:spacing w:line="280" w:lineRule="exact"/>
              <w:jc w:val="center"/>
              <w:textAlignment w:val="center"/>
              <w:rPr>
                <w:rFonts w:hint="default" w:ascii="Times New Roman" w:hAnsi="Times New Roman" w:cs="Times New Roman" w:eastAsiaTheme="majorEastAsia"/>
                <w:color w:val="000000"/>
                <w:kern w:val="0"/>
                <w:sz w:val="24"/>
              </w:rPr>
            </w:pPr>
            <w:r>
              <w:rPr>
                <w:rFonts w:hint="default" w:ascii="Times New Roman" w:hAnsi="Times New Roman" w:cs="Times New Roman" w:eastAsiaTheme="majorEastAsia"/>
                <w:color w:val="000000"/>
                <w:kern w:val="0"/>
                <w:sz w:val="24"/>
              </w:rPr>
              <w:t>完成2022年目标任务</w:t>
            </w:r>
          </w:p>
        </w:tc>
        <w:tc>
          <w:tcPr>
            <w:tcW w:w="1927" w:type="dxa"/>
            <w:tcBorders>
              <w:tl2br w:val="nil"/>
              <w:tr2bl w:val="nil"/>
            </w:tcBorders>
            <w:vAlign w:val="center"/>
          </w:tcPr>
          <w:p w14:paraId="084C13ED">
            <w:pPr>
              <w:widowControl/>
              <w:spacing w:line="280" w:lineRule="exact"/>
              <w:jc w:val="center"/>
              <w:textAlignment w:val="center"/>
              <w:rPr>
                <w:rFonts w:hint="default" w:ascii="Times New Roman" w:hAnsi="Times New Roman" w:cs="Times New Roman" w:eastAsiaTheme="majorEastAsia"/>
                <w:color w:val="000000"/>
                <w:kern w:val="0"/>
                <w:sz w:val="24"/>
              </w:rPr>
            </w:pPr>
            <w:r>
              <w:rPr>
                <w:rFonts w:hint="default" w:ascii="Times New Roman" w:hAnsi="Times New Roman" w:cs="Times New Roman" w:eastAsiaTheme="majorEastAsia"/>
                <w:color w:val="000000"/>
                <w:kern w:val="0"/>
                <w:sz w:val="24"/>
              </w:rPr>
              <w:t>≥9个</w:t>
            </w:r>
          </w:p>
        </w:tc>
      </w:tr>
      <w:tr w14:paraId="66DB8F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768" w:type="dxa"/>
            <w:vMerge w:val="continue"/>
            <w:tcBorders>
              <w:tl2br w:val="nil"/>
              <w:tr2bl w:val="nil"/>
            </w:tcBorders>
            <w:vAlign w:val="center"/>
          </w:tcPr>
          <w:p w14:paraId="49AA82D0">
            <w:pPr>
              <w:widowControl/>
              <w:spacing w:line="280" w:lineRule="exact"/>
              <w:jc w:val="center"/>
              <w:rPr>
                <w:rFonts w:hint="default" w:ascii="Times New Roman" w:hAnsi="Times New Roman" w:cs="Times New Roman" w:eastAsiaTheme="majorEastAsia"/>
                <w:color w:val="000000"/>
                <w:sz w:val="24"/>
              </w:rPr>
            </w:pPr>
          </w:p>
        </w:tc>
        <w:tc>
          <w:tcPr>
            <w:tcW w:w="969" w:type="dxa"/>
            <w:vMerge w:val="continue"/>
            <w:tcBorders>
              <w:tl2br w:val="nil"/>
              <w:tr2bl w:val="nil"/>
            </w:tcBorders>
            <w:vAlign w:val="center"/>
          </w:tcPr>
          <w:p w14:paraId="28741621">
            <w:pPr>
              <w:widowControl/>
              <w:spacing w:line="280" w:lineRule="exact"/>
              <w:jc w:val="center"/>
              <w:rPr>
                <w:rFonts w:hint="default" w:ascii="Times New Roman" w:hAnsi="Times New Roman" w:cs="Times New Roman" w:eastAsiaTheme="majorEastAsia"/>
                <w:color w:val="000000"/>
                <w:sz w:val="24"/>
              </w:rPr>
            </w:pPr>
          </w:p>
        </w:tc>
        <w:tc>
          <w:tcPr>
            <w:tcW w:w="1467" w:type="dxa"/>
            <w:vMerge w:val="restart"/>
            <w:tcBorders>
              <w:tl2br w:val="nil"/>
              <w:tr2bl w:val="nil"/>
            </w:tcBorders>
            <w:vAlign w:val="center"/>
          </w:tcPr>
          <w:p w14:paraId="3C4570A5">
            <w:pPr>
              <w:widowControl/>
              <w:spacing w:line="280" w:lineRule="exact"/>
              <w:jc w:val="center"/>
              <w:textAlignment w:val="center"/>
              <w:rPr>
                <w:rFonts w:hint="default" w:ascii="Times New Roman" w:hAnsi="Times New Roman" w:cs="Times New Roman" w:eastAsiaTheme="majorEastAsia"/>
                <w:color w:val="000000"/>
                <w:sz w:val="24"/>
              </w:rPr>
            </w:pPr>
            <w:r>
              <w:rPr>
                <w:rFonts w:hint="default" w:ascii="Times New Roman" w:hAnsi="Times New Roman" w:cs="Times New Roman" w:eastAsiaTheme="majorEastAsia"/>
                <w:color w:val="000000"/>
                <w:kern w:val="0"/>
                <w:sz w:val="24"/>
              </w:rPr>
              <w:t>质量指标</w:t>
            </w:r>
          </w:p>
        </w:tc>
        <w:tc>
          <w:tcPr>
            <w:tcW w:w="3993" w:type="dxa"/>
            <w:tcBorders>
              <w:tl2br w:val="nil"/>
              <w:tr2bl w:val="nil"/>
            </w:tcBorders>
            <w:vAlign w:val="center"/>
          </w:tcPr>
          <w:p w14:paraId="2AE945A0">
            <w:pPr>
              <w:widowControl/>
              <w:spacing w:line="280" w:lineRule="exact"/>
              <w:jc w:val="center"/>
              <w:textAlignment w:val="center"/>
              <w:rPr>
                <w:rFonts w:hint="default" w:ascii="Times New Roman" w:hAnsi="Times New Roman" w:cs="Times New Roman" w:eastAsiaTheme="majorEastAsia"/>
                <w:color w:val="000000"/>
                <w:kern w:val="0"/>
                <w:sz w:val="24"/>
              </w:rPr>
            </w:pPr>
            <w:r>
              <w:rPr>
                <w:rFonts w:hint="default" w:ascii="Times New Roman" w:hAnsi="Times New Roman" w:cs="Times New Roman" w:eastAsiaTheme="majorEastAsia"/>
                <w:color w:val="000000"/>
                <w:kern w:val="0"/>
                <w:sz w:val="24"/>
              </w:rPr>
              <w:t>争取资金到位率</w:t>
            </w:r>
          </w:p>
        </w:tc>
        <w:tc>
          <w:tcPr>
            <w:tcW w:w="1927" w:type="dxa"/>
            <w:tcBorders>
              <w:tl2br w:val="nil"/>
              <w:tr2bl w:val="nil"/>
            </w:tcBorders>
            <w:vAlign w:val="center"/>
          </w:tcPr>
          <w:p w14:paraId="332A0F9F">
            <w:pPr>
              <w:widowControl/>
              <w:spacing w:line="280" w:lineRule="exact"/>
              <w:jc w:val="center"/>
              <w:textAlignment w:val="center"/>
              <w:rPr>
                <w:rFonts w:hint="default" w:ascii="Times New Roman" w:hAnsi="Times New Roman" w:cs="Times New Roman" w:eastAsiaTheme="majorEastAsia"/>
                <w:color w:val="000000"/>
                <w:kern w:val="0"/>
                <w:sz w:val="24"/>
              </w:rPr>
            </w:pPr>
            <w:r>
              <w:rPr>
                <w:rFonts w:hint="default" w:ascii="Times New Roman" w:hAnsi="Times New Roman" w:cs="Times New Roman" w:eastAsiaTheme="majorEastAsia"/>
                <w:color w:val="000000"/>
                <w:kern w:val="0"/>
                <w:sz w:val="24"/>
              </w:rPr>
              <w:t>≥95%</w:t>
            </w:r>
          </w:p>
        </w:tc>
      </w:tr>
      <w:tr w14:paraId="42A82A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768" w:type="dxa"/>
            <w:vMerge w:val="continue"/>
            <w:tcBorders>
              <w:tl2br w:val="nil"/>
              <w:tr2bl w:val="nil"/>
            </w:tcBorders>
            <w:vAlign w:val="center"/>
          </w:tcPr>
          <w:p w14:paraId="3CEFBB95">
            <w:pPr>
              <w:widowControl/>
              <w:spacing w:line="280" w:lineRule="exact"/>
              <w:jc w:val="center"/>
              <w:rPr>
                <w:rFonts w:hint="default" w:ascii="Times New Roman" w:hAnsi="Times New Roman" w:cs="Times New Roman" w:eastAsiaTheme="majorEastAsia"/>
                <w:color w:val="000000"/>
                <w:sz w:val="24"/>
              </w:rPr>
            </w:pPr>
          </w:p>
        </w:tc>
        <w:tc>
          <w:tcPr>
            <w:tcW w:w="969" w:type="dxa"/>
            <w:vMerge w:val="continue"/>
            <w:tcBorders>
              <w:tl2br w:val="nil"/>
              <w:tr2bl w:val="nil"/>
            </w:tcBorders>
            <w:vAlign w:val="center"/>
          </w:tcPr>
          <w:p w14:paraId="6C3D510E">
            <w:pPr>
              <w:widowControl/>
              <w:spacing w:line="280" w:lineRule="exact"/>
              <w:jc w:val="center"/>
              <w:rPr>
                <w:rFonts w:hint="default" w:ascii="Times New Roman" w:hAnsi="Times New Roman" w:cs="Times New Roman" w:eastAsiaTheme="majorEastAsia"/>
                <w:color w:val="000000"/>
                <w:sz w:val="24"/>
              </w:rPr>
            </w:pPr>
          </w:p>
        </w:tc>
        <w:tc>
          <w:tcPr>
            <w:tcW w:w="1467" w:type="dxa"/>
            <w:vMerge w:val="continue"/>
            <w:tcBorders>
              <w:tl2br w:val="nil"/>
              <w:tr2bl w:val="nil"/>
            </w:tcBorders>
            <w:vAlign w:val="center"/>
          </w:tcPr>
          <w:p w14:paraId="05C7C986">
            <w:pPr>
              <w:widowControl/>
              <w:spacing w:line="280" w:lineRule="exact"/>
              <w:jc w:val="center"/>
              <w:textAlignment w:val="center"/>
              <w:rPr>
                <w:rFonts w:hint="default" w:ascii="Times New Roman" w:hAnsi="Times New Roman" w:cs="Times New Roman" w:eastAsiaTheme="majorEastAsia"/>
                <w:color w:val="000000"/>
                <w:kern w:val="0"/>
                <w:sz w:val="24"/>
              </w:rPr>
            </w:pPr>
          </w:p>
        </w:tc>
        <w:tc>
          <w:tcPr>
            <w:tcW w:w="3993" w:type="dxa"/>
            <w:tcBorders>
              <w:tl2br w:val="nil"/>
              <w:tr2bl w:val="nil"/>
            </w:tcBorders>
            <w:vAlign w:val="center"/>
          </w:tcPr>
          <w:p w14:paraId="3BE469AC">
            <w:pPr>
              <w:widowControl/>
              <w:spacing w:line="280" w:lineRule="exact"/>
              <w:jc w:val="center"/>
              <w:textAlignment w:val="center"/>
              <w:rPr>
                <w:rFonts w:hint="default" w:ascii="Times New Roman" w:hAnsi="Times New Roman" w:cs="Times New Roman" w:eastAsiaTheme="majorEastAsia"/>
                <w:color w:val="000000"/>
                <w:kern w:val="0"/>
                <w:sz w:val="24"/>
              </w:rPr>
            </w:pPr>
            <w:r>
              <w:rPr>
                <w:rFonts w:hint="default" w:ascii="Times New Roman" w:hAnsi="Times New Roman" w:cs="Times New Roman" w:eastAsiaTheme="majorEastAsia"/>
                <w:color w:val="000000"/>
                <w:kern w:val="0"/>
                <w:sz w:val="24"/>
              </w:rPr>
              <w:t>工资发放、社保缴纳及时性</w:t>
            </w:r>
          </w:p>
        </w:tc>
        <w:tc>
          <w:tcPr>
            <w:tcW w:w="1927" w:type="dxa"/>
            <w:tcBorders>
              <w:tl2br w:val="nil"/>
              <w:tr2bl w:val="nil"/>
            </w:tcBorders>
            <w:vAlign w:val="center"/>
          </w:tcPr>
          <w:p w14:paraId="46DD9255">
            <w:pPr>
              <w:widowControl/>
              <w:spacing w:line="280" w:lineRule="exact"/>
              <w:jc w:val="center"/>
              <w:textAlignment w:val="center"/>
              <w:rPr>
                <w:rFonts w:hint="default" w:ascii="Times New Roman" w:hAnsi="Times New Roman" w:cs="Times New Roman" w:eastAsiaTheme="majorEastAsia"/>
                <w:color w:val="000000"/>
                <w:kern w:val="0"/>
                <w:sz w:val="24"/>
              </w:rPr>
            </w:pPr>
            <w:r>
              <w:rPr>
                <w:rFonts w:hint="default" w:ascii="Times New Roman" w:hAnsi="Times New Roman" w:cs="Times New Roman" w:eastAsiaTheme="majorEastAsia"/>
                <w:color w:val="000000"/>
                <w:kern w:val="0"/>
                <w:sz w:val="24"/>
              </w:rPr>
              <w:t>≥100%</w:t>
            </w:r>
          </w:p>
        </w:tc>
      </w:tr>
      <w:tr w14:paraId="0ADF2E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768" w:type="dxa"/>
            <w:vMerge w:val="continue"/>
            <w:tcBorders>
              <w:tl2br w:val="nil"/>
              <w:tr2bl w:val="nil"/>
            </w:tcBorders>
            <w:vAlign w:val="center"/>
          </w:tcPr>
          <w:p w14:paraId="0681F0FB">
            <w:pPr>
              <w:widowControl/>
              <w:spacing w:line="280" w:lineRule="exact"/>
              <w:jc w:val="center"/>
              <w:rPr>
                <w:rFonts w:hint="default" w:ascii="Times New Roman" w:hAnsi="Times New Roman" w:cs="Times New Roman" w:eastAsiaTheme="majorEastAsia"/>
                <w:color w:val="000000"/>
                <w:sz w:val="24"/>
              </w:rPr>
            </w:pPr>
          </w:p>
        </w:tc>
        <w:tc>
          <w:tcPr>
            <w:tcW w:w="969" w:type="dxa"/>
            <w:vMerge w:val="continue"/>
            <w:tcBorders>
              <w:tl2br w:val="nil"/>
              <w:tr2bl w:val="nil"/>
            </w:tcBorders>
            <w:vAlign w:val="center"/>
          </w:tcPr>
          <w:p w14:paraId="21026F43">
            <w:pPr>
              <w:widowControl/>
              <w:spacing w:line="280" w:lineRule="exact"/>
              <w:jc w:val="center"/>
              <w:rPr>
                <w:rFonts w:hint="default" w:ascii="Times New Roman" w:hAnsi="Times New Roman" w:cs="Times New Roman" w:eastAsiaTheme="majorEastAsia"/>
                <w:color w:val="000000"/>
                <w:sz w:val="24"/>
              </w:rPr>
            </w:pPr>
          </w:p>
        </w:tc>
        <w:tc>
          <w:tcPr>
            <w:tcW w:w="1467" w:type="dxa"/>
            <w:vMerge w:val="continue"/>
            <w:tcBorders>
              <w:tl2br w:val="nil"/>
              <w:tr2bl w:val="nil"/>
            </w:tcBorders>
            <w:vAlign w:val="center"/>
          </w:tcPr>
          <w:p w14:paraId="09283B24">
            <w:pPr>
              <w:widowControl/>
              <w:spacing w:line="280" w:lineRule="exact"/>
              <w:jc w:val="center"/>
              <w:textAlignment w:val="center"/>
              <w:rPr>
                <w:rFonts w:hint="default" w:ascii="Times New Roman" w:hAnsi="Times New Roman" w:cs="Times New Roman" w:eastAsiaTheme="majorEastAsia"/>
                <w:color w:val="000000"/>
                <w:kern w:val="0"/>
                <w:sz w:val="24"/>
              </w:rPr>
            </w:pPr>
          </w:p>
        </w:tc>
        <w:tc>
          <w:tcPr>
            <w:tcW w:w="3993" w:type="dxa"/>
            <w:tcBorders>
              <w:tl2br w:val="nil"/>
              <w:tr2bl w:val="nil"/>
            </w:tcBorders>
            <w:vAlign w:val="center"/>
          </w:tcPr>
          <w:p w14:paraId="1EF75590">
            <w:pPr>
              <w:widowControl/>
              <w:spacing w:line="280" w:lineRule="exact"/>
              <w:jc w:val="center"/>
              <w:textAlignment w:val="center"/>
              <w:rPr>
                <w:rFonts w:hint="default" w:ascii="Times New Roman" w:hAnsi="Times New Roman" w:cs="Times New Roman" w:eastAsiaTheme="majorEastAsia"/>
                <w:color w:val="000000"/>
                <w:kern w:val="0"/>
                <w:sz w:val="24"/>
              </w:rPr>
            </w:pPr>
            <w:r>
              <w:rPr>
                <w:rFonts w:hint="default" w:ascii="Times New Roman" w:hAnsi="Times New Roman" w:cs="Times New Roman" w:eastAsiaTheme="majorEastAsia"/>
                <w:color w:val="000000"/>
                <w:kern w:val="0"/>
                <w:sz w:val="24"/>
              </w:rPr>
              <w:t>验收合格率</w:t>
            </w:r>
          </w:p>
        </w:tc>
        <w:tc>
          <w:tcPr>
            <w:tcW w:w="1927" w:type="dxa"/>
            <w:tcBorders>
              <w:tl2br w:val="nil"/>
              <w:tr2bl w:val="nil"/>
            </w:tcBorders>
            <w:vAlign w:val="center"/>
          </w:tcPr>
          <w:p w14:paraId="14145AEE">
            <w:pPr>
              <w:widowControl/>
              <w:spacing w:line="280" w:lineRule="exact"/>
              <w:jc w:val="center"/>
              <w:textAlignment w:val="center"/>
              <w:rPr>
                <w:rFonts w:hint="default" w:ascii="Times New Roman" w:hAnsi="Times New Roman" w:cs="Times New Roman" w:eastAsiaTheme="majorEastAsia"/>
                <w:color w:val="000000"/>
                <w:kern w:val="0"/>
                <w:sz w:val="24"/>
              </w:rPr>
            </w:pPr>
            <w:r>
              <w:rPr>
                <w:rFonts w:hint="default" w:ascii="Times New Roman" w:hAnsi="Times New Roman" w:cs="Times New Roman" w:eastAsiaTheme="majorEastAsia"/>
                <w:color w:val="000000"/>
                <w:kern w:val="0"/>
                <w:sz w:val="24"/>
              </w:rPr>
              <w:t>=100%</w:t>
            </w:r>
          </w:p>
        </w:tc>
      </w:tr>
      <w:tr w14:paraId="4FF869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768" w:type="dxa"/>
            <w:vMerge w:val="continue"/>
            <w:tcBorders>
              <w:tl2br w:val="nil"/>
              <w:tr2bl w:val="nil"/>
            </w:tcBorders>
            <w:vAlign w:val="center"/>
          </w:tcPr>
          <w:p w14:paraId="139ACE6C">
            <w:pPr>
              <w:widowControl/>
              <w:spacing w:line="280" w:lineRule="exact"/>
              <w:jc w:val="center"/>
              <w:rPr>
                <w:rFonts w:hint="default" w:ascii="Times New Roman" w:hAnsi="Times New Roman" w:cs="Times New Roman" w:eastAsiaTheme="majorEastAsia"/>
                <w:color w:val="000000"/>
                <w:sz w:val="24"/>
              </w:rPr>
            </w:pPr>
          </w:p>
        </w:tc>
        <w:tc>
          <w:tcPr>
            <w:tcW w:w="969" w:type="dxa"/>
            <w:vMerge w:val="continue"/>
            <w:tcBorders>
              <w:tl2br w:val="nil"/>
              <w:tr2bl w:val="nil"/>
            </w:tcBorders>
            <w:vAlign w:val="center"/>
          </w:tcPr>
          <w:p w14:paraId="452C95E6">
            <w:pPr>
              <w:widowControl/>
              <w:spacing w:line="280" w:lineRule="exact"/>
              <w:jc w:val="center"/>
              <w:rPr>
                <w:rFonts w:hint="default" w:ascii="Times New Roman" w:hAnsi="Times New Roman" w:cs="Times New Roman" w:eastAsiaTheme="majorEastAsia"/>
                <w:color w:val="000000"/>
                <w:sz w:val="24"/>
              </w:rPr>
            </w:pPr>
          </w:p>
        </w:tc>
        <w:tc>
          <w:tcPr>
            <w:tcW w:w="1467" w:type="dxa"/>
            <w:tcBorders>
              <w:tl2br w:val="nil"/>
              <w:tr2bl w:val="nil"/>
            </w:tcBorders>
            <w:vAlign w:val="center"/>
          </w:tcPr>
          <w:p w14:paraId="249CEF2D">
            <w:pPr>
              <w:widowControl/>
              <w:spacing w:line="280" w:lineRule="exact"/>
              <w:jc w:val="center"/>
              <w:textAlignment w:val="center"/>
              <w:rPr>
                <w:rFonts w:hint="default" w:ascii="Times New Roman" w:hAnsi="Times New Roman" w:cs="Times New Roman" w:eastAsiaTheme="majorEastAsia"/>
                <w:color w:val="000000"/>
                <w:sz w:val="24"/>
              </w:rPr>
            </w:pPr>
            <w:r>
              <w:rPr>
                <w:rFonts w:hint="default" w:ascii="Times New Roman" w:hAnsi="Times New Roman" w:cs="Times New Roman" w:eastAsiaTheme="majorEastAsia"/>
                <w:color w:val="000000"/>
                <w:kern w:val="0"/>
                <w:sz w:val="24"/>
              </w:rPr>
              <w:t>时效指标</w:t>
            </w:r>
          </w:p>
        </w:tc>
        <w:tc>
          <w:tcPr>
            <w:tcW w:w="3993" w:type="dxa"/>
            <w:tcBorders>
              <w:tl2br w:val="nil"/>
              <w:tr2bl w:val="nil"/>
            </w:tcBorders>
            <w:vAlign w:val="center"/>
          </w:tcPr>
          <w:p w14:paraId="58930989">
            <w:pPr>
              <w:widowControl/>
              <w:spacing w:line="280" w:lineRule="exact"/>
              <w:jc w:val="center"/>
              <w:textAlignment w:val="center"/>
              <w:rPr>
                <w:rFonts w:hint="default" w:ascii="Times New Roman" w:hAnsi="Times New Roman" w:cs="Times New Roman" w:eastAsiaTheme="majorEastAsia"/>
                <w:color w:val="000000"/>
                <w:sz w:val="24"/>
                <w:highlight w:val="yellow"/>
              </w:rPr>
            </w:pPr>
            <w:r>
              <w:rPr>
                <w:rFonts w:hint="default" w:ascii="Times New Roman" w:hAnsi="Times New Roman" w:cs="Times New Roman" w:eastAsiaTheme="majorEastAsia"/>
                <w:color w:val="000000"/>
                <w:kern w:val="0"/>
                <w:sz w:val="24"/>
              </w:rPr>
              <w:t>各项目完成及时率</w:t>
            </w:r>
          </w:p>
        </w:tc>
        <w:tc>
          <w:tcPr>
            <w:tcW w:w="1927" w:type="dxa"/>
            <w:tcBorders>
              <w:tl2br w:val="nil"/>
              <w:tr2bl w:val="nil"/>
            </w:tcBorders>
            <w:vAlign w:val="center"/>
          </w:tcPr>
          <w:p w14:paraId="1FAB2E06">
            <w:pPr>
              <w:widowControl/>
              <w:spacing w:line="280" w:lineRule="exact"/>
              <w:jc w:val="center"/>
              <w:textAlignment w:val="center"/>
              <w:rPr>
                <w:rFonts w:hint="default" w:ascii="Times New Roman" w:hAnsi="Times New Roman" w:cs="Times New Roman" w:eastAsiaTheme="majorEastAsia"/>
                <w:color w:val="000000"/>
                <w:sz w:val="24"/>
              </w:rPr>
            </w:pPr>
            <w:r>
              <w:rPr>
                <w:rFonts w:hint="default" w:ascii="Times New Roman" w:hAnsi="Times New Roman" w:cs="Times New Roman" w:eastAsiaTheme="majorEastAsia"/>
                <w:color w:val="000000"/>
                <w:kern w:val="0"/>
                <w:sz w:val="24"/>
              </w:rPr>
              <w:t>≥90%</w:t>
            </w:r>
          </w:p>
        </w:tc>
      </w:tr>
      <w:tr w14:paraId="0B8A8A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768" w:type="dxa"/>
            <w:vMerge w:val="continue"/>
            <w:tcBorders>
              <w:tl2br w:val="nil"/>
              <w:tr2bl w:val="nil"/>
            </w:tcBorders>
            <w:vAlign w:val="center"/>
          </w:tcPr>
          <w:p w14:paraId="45E24B05">
            <w:pPr>
              <w:widowControl/>
              <w:spacing w:line="280" w:lineRule="exact"/>
              <w:jc w:val="center"/>
              <w:rPr>
                <w:rFonts w:hint="default" w:ascii="Times New Roman" w:hAnsi="Times New Roman" w:cs="Times New Roman" w:eastAsiaTheme="majorEastAsia"/>
                <w:color w:val="000000"/>
                <w:sz w:val="24"/>
              </w:rPr>
            </w:pPr>
          </w:p>
        </w:tc>
        <w:tc>
          <w:tcPr>
            <w:tcW w:w="969" w:type="dxa"/>
            <w:vMerge w:val="continue"/>
            <w:tcBorders>
              <w:tl2br w:val="nil"/>
              <w:tr2bl w:val="nil"/>
            </w:tcBorders>
            <w:vAlign w:val="center"/>
          </w:tcPr>
          <w:p w14:paraId="1B1B58D0">
            <w:pPr>
              <w:widowControl/>
              <w:spacing w:line="280" w:lineRule="exact"/>
              <w:jc w:val="center"/>
              <w:rPr>
                <w:rFonts w:hint="default" w:ascii="Times New Roman" w:hAnsi="Times New Roman" w:cs="Times New Roman" w:eastAsiaTheme="majorEastAsia"/>
                <w:color w:val="000000"/>
                <w:sz w:val="24"/>
              </w:rPr>
            </w:pPr>
          </w:p>
        </w:tc>
        <w:tc>
          <w:tcPr>
            <w:tcW w:w="1467" w:type="dxa"/>
            <w:vMerge w:val="restart"/>
            <w:tcBorders>
              <w:tl2br w:val="nil"/>
              <w:tr2bl w:val="nil"/>
            </w:tcBorders>
            <w:vAlign w:val="center"/>
          </w:tcPr>
          <w:p w14:paraId="032F1DDC">
            <w:pPr>
              <w:widowControl/>
              <w:spacing w:line="280" w:lineRule="exact"/>
              <w:jc w:val="center"/>
              <w:textAlignment w:val="center"/>
              <w:rPr>
                <w:rFonts w:hint="default" w:ascii="Times New Roman" w:hAnsi="Times New Roman" w:cs="Times New Roman" w:eastAsiaTheme="majorEastAsia"/>
                <w:color w:val="000000"/>
                <w:sz w:val="24"/>
              </w:rPr>
            </w:pPr>
            <w:r>
              <w:rPr>
                <w:rFonts w:hint="default" w:ascii="Times New Roman" w:hAnsi="Times New Roman" w:cs="Times New Roman" w:eastAsiaTheme="majorEastAsia"/>
                <w:color w:val="000000"/>
                <w:kern w:val="0"/>
                <w:sz w:val="24"/>
              </w:rPr>
              <w:t>成本指标</w:t>
            </w:r>
          </w:p>
        </w:tc>
        <w:tc>
          <w:tcPr>
            <w:tcW w:w="3993" w:type="dxa"/>
            <w:tcBorders>
              <w:tl2br w:val="nil"/>
              <w:tr2bl w:val="nil"/>
            </w:tcBorders>
            <w:vAlign w:val="center"/>
          </w:tcPr>
          <w:p w14:paraId="55434259">
            <w:pPr>
              <w:widowControl/>
              <w:spacing w:line="280" w:lineRule="exact"/>
              <w:jc w:val="center"/>
              <w:textAlignment w:val="center"/>
              <w:rPr>
                <w:rFonts w:hint="default" w:ascii="Times New Roman" w:hAnsi="Times New Roman" w:cs="Times New Roman" w:eastAsiaTheme="majorEastAsia"/>
                <w:color w:val="000000"/>
                <w:sz w:val="24"/>
              </w:rPr>
            </w:pPr>
            <w:r>
              <w:rPr>
                <w:rFonts w:hint="default" w:ascii="Times New Roman" w:hAnsi="Times New Roman" w:cs="Times New Roman" w:eastAsiaTheme="majorEastAsia"/>
                <w:color w:val="000000"/>
                <w:kern w:val="0"/>
                <w:sz w:val="24"/>
              </w:rPr>
              <w:t>人员经费</w:t>
            </w:r>
          </w:p>
        </w:tc>
        <w:tc>
          <w:tcPr>
            <w:tcW w:w="1927" w:type="dxa"/>
            <w:tcBorders>
              <w:tl2br w:val="nil"/>
              <w:tr2bl w:val="nil"/>
            </w:tcBorders>
            <w:vAlign w:val="center"/>
          </w:tcPr>
          <w:p w14:paraId="5FDF1372">
            <w:pPr>
              <w:widowControl/>
              <w:spacing w:line="280" w:lineRule="exact"/>
              <w:jc w:val="center"/>
              <w:textAlignment w:val="center"/>
              <w:rPr>
                <w:rFonts w:hint="default" w:ascii="Times New Roman" w:hAnsi="Times New Roman" w:cs="Times New Roman" w:eastAsiaTheme="majorEastAsia"/>
                <w:color w:val="000000"/>
                <w:sz w:val="24"/>
              </w:rPr>
            </w:pPr>
            <w:r>
              <w:rPr>
                <w:rFonts w:hint="default" w:ascii="Times New Roman" w:hAnsi="Times New Roman" w:cs="Times New Roman" w:eastAsiaTheme="majorEastAsia"/>
                <w:color w:val="000000"/>
                <w:kern w:val="0"/>
                <w:sz w:val="24"/>
              </w:rPr>
              <w:t>≤</w:t>
            </w:r>
            <w:r>
              <w:rPr>
                <w:rFonts w:hint="default" w:ascii="Times New Roman" w:hAnsi="Times New Roman" w:cs="Times New Roman" w:eastAsiaTheme="majorEastAsia"/>
                <w:sz w:val="24"/>
              </w:rPr>
              <w:t>797.44</w:t>
            </w:r>
            <w:r>
              <w:rPr>
                <w:rFonts w:hint="default" w:ascii="Times New Roman" w:hAnsi="Times New Roman" w:cs="Times New Roman" w:eastAsiaTheme="majorEastAsia"/>
                <w:color w:val="000000"/>
                <w:kern w:val="0"/>
                <w:sz w:val="24"/>
              </w:rPr>
              <w:t>万元</w:t>
            </w:r>
          </w:p>
        </w:tc>
      </w:tr>
      <w:tr w14:paraId="5FD6F5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768" w:type="dxa"/>
            <w:vMerge w:val="continue"/>
            <w:tcBorders>
              <w:tl2br w:val="nil"/>
              <w:tr2bl w:val="nil"/>
            </w:tcBorders>
            <w:vAlign w:val="center"/>
          </w:tcPr>
          <w:p w14:paraId="70515C94">
            <w:pPr>
              <w:widowControl/>
              <w:spacing w:line="280" w:lineRule="exact"/>
              <w:jc w:val="center"/>
              <w:rPr>
                <w:rFonts w:hint="default" w:ascii="Times New Roman" w:hAnsi="Times New Roman" w:cs="Times New Roman" w:eastAsiaTheme="majorEastAsia"/>
                <w:color w:val="000000"/>
                <w:sz w:val="24"/>
              </w:rPr>
            </w:pPr>
          </w:p>
        </w:tc>
        <w:tc>
          <w:tcPr>
            <w:tcW w:w="969" w:type="dxa"/>
            <w:vMerge w:val="continue"/>
            <w:tcBorders>
              <w:tl2br w:val="nil"/>
              <w:tr2bl w:val="nil"/>
            </w:tcBorders>
            <w:vAlign w:val="center"/>
          </w:tcPr>
          <w:p w14:paraId="10E4B739">
            <w:pPr>
              <w:widowControl/>
              <w:spacing w:line="280" w:lineRule="exact"/>
              <w:jc w:val="center"/>
              <w:rPr>
                <w:rFonts w:hint="default" w:ascii="Times New Roman" w:hAnsi="Times New Roman" w:cs="Times New Roman" w:eastAsiaTheme="majorEastAsia"/>
                <w:color w:val="000000"/>
                <w:sz w:val="24"/>
              </w:rPr>
            </w:pPr>
          </w:p>
        </w:tc>
        <w:tc>
          <w:tcPr>
            <w:tcW w:w="1467" w:type="dxa"/>
            <w:vMerge w:val="continue"/>
            <w:tcBorders>
              <w:tl2br w:val="nil"/>
              <w:tr2bl w:val="nil"/>
            </w:tcBorders>
            <w:vAlign w:val="center"/>
          </w:tcPr>
          <w:p w14:paraId="3F5FC878">
            <w:pPr>
              <w:widowControl/>
              <w:spacing w:line="280" w:lineRule="exact"/>
              <w:jc w:val="center"/>
              <w:rPr>
                <w:rFonts w:hint="default" w:ascii="Times New Roman" w:hAnsi="Times New Roman" w:cs="Times New Roman" w:eastAsiaTheme="majorEastAsia"/>
                <w:color w:val="000000"/>
                <w:sz w:val="24"/>
              </w:rPr>
            </w:pPr>
          </w:p>
        </w:tc>
        <w:tc>
          <w:tcPr>
            <w:tcW w:w="3993" w:type="dxa"/>
            <w:tcBorders>
              <w:tl2br w:val="nil"/>
              <w:tr2bl w:val="nil"/>
            </w:tcBorders>
            <w:vAlign w:val="center"/>
          </w:tcPr>
          <w:p w14:paraId="2C0FE03A">
            <w:pPr>
              <w:widowControl/>
              <w:spacing w:line="280" w:lineRule="exact"/>
              <w:jc w:val="center"/>
              <w:textAlignment w:val="center"/>
              <w:rPr>
                <w:rFonts w:hint="default" w:ascii="Times New Roman" w:hAnsi="Times New Roman" w:cs="Times New Roman" w:eastAsiaTheme="majorEastAsia"/>
                <w:color w:val="000000"/>
                <w:sz w:val="24"/>
              </w:rPr>
            </w:pPr>
            <w:r>
              <w:rPr>
                <w:rFonts w:hint="default" w:ascii="Times New Roman" w:hAnsi="Times New Roman" w:cs="Times New Roman" w:eastAsiaTheme="majorEastAsia"/>
                <w:color w:val="000000"/>
                <w:kern w:val="0"/>
                <w:sz w:val="24"/>
              </w:rPr>
              <w:t>日常公用经费</w:t>
            </w:r>
          </w:p>
        </w:tc>
        <w:tc>
          <w:tcPr>
            <w:tcW w:w="1927" w:type="dxa"/>
            <w:tcBorders>
              <w:tl2br w:val="nil"/>
              <w:tr2bl w:val="nil"/>
            </w:tcBorders>
            <w:vAlign w:val="center"/>
          </w:tcPr>
          <w:p w14:paraId="7CD6FFF1">
            <w:pPr>
              <w:widowControl/>
              <w:spacing w:line="280" w:lineRule="exact"/>
              <w:jc w:val="center"/>
              <w:textAlignment w:val="center"/>
              <w:rPr>
                <w:rFonts w:hint="default" w:ascii="Times New Roman" w:hAnsi="Times New Roman" w:cs="Times New Roman" w:eastAsiaTheme="majorEastAsia"/>
                <w:color w:val="000000"/>
                <w:sz w:val="24"/>
              </w:rPr>
            </w:pPr>
            <w:r>
              <w:rPr>
                <w:rFonts w:hint="default" w:ascii="Times New Roman" w:hAnsi="Times New Roman" w:cs="Times New Roman" w:eastAsiaTheme="majorEastAsia"/>
                <w:color w:val="000000"/>
                <w:kern w:val="0"/>
                <w:sz w:val="24"/>
              </w:rPr>
              <w:t>≤</w:t>
            </w:r>
            <w:r>
              <w:rPr>
                <w:rFonts w:hint="default" w:ascii="Times New Roman" w:hAnsi="Times New Roman" w:cs="Times New Roman" w:eastAsiaTheme="majorEastAsia"/>
                <w:sz w:val="24"/>
              </w:rPr>
              <w:t>82.60</w:t>
            </w:r>
            <w:r>
              <w:rPr>
                <w:rFonts w:hint="default" w:ascii="Times New Roman" w:hAnsi="Times New Roman" w:cs="Times New Roman" w:eastAsiaTheme="majorEastAsia"/>
                <w:color w:val="000000"/>
                <w:kern w:val="0"/>
                <w:sz w:val="24"/>
              </w:rPr>
              <w:t>万元</w:t>
            </w:r>
          </w:p>
        </w:tc>
      </w:tr>
      <w:tr w14:paraId="1EAEDB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768" w:type="dxa"/>
            <w:vMerge w:val="continue"/>
            <w:tcBorders>
              <w:tl2br w:val="nil"/>
              <w:tr2bl w:val="nil"/>
            </w:tcBorders>
            <w:vAlign w:val="center"/>
          </w:tcPr>
          <w:p w14:paraId="4A998DEC">
            <w:pPr>
              <w:widowControl/>
              <w:spacing w:line="280" w:lineRule="exact"/>
              <w:jc w:val="center"/>
              <w:rPr>
                <w:rFonts w:hint="default" w:ascii="Times New Roman" w:hAnsi="Times New Roman" w:cs="Times New Roman" w:eastAsiaTheme="majorEastAsia"/>
                <w:color w:val="000000"/>
                <w:sz w:val="24"/>
              </w:rPr>
            </w:pPr>
          </w:p>
        </w:tc>
        <w:tc>
          <w:tcPr>
            <w:tcW w:w="969" w:type="dxa"/>
            <w:vMerge w:val="continue"/>
            <w:tcBorders>
              <w:tl2br w:val="nil"/>
              <w:tr2bl w:val="nil"/>
            </w:tcBorders>
            <w:vAlign w:val="center"/>
          </w:tcPr>
          <w:p w14:paraId="21D567C5">
            <w:pPr>
              <w:widowControl/>
              <w:spacing w:line="280" w:lineRule="exact"/>
              <w:jc w:val="center"/>
              <w:rPr>
                <w:rFonts w:hint="default" w:ascii="Times New Roman" w:hAnsi="Times New Roman" w:cs="Times New Roman" w:eastAsiaTheme="majorEastAsia"/>
                <w:color w:val="000000"/>
                <w:sz w:val="24"/>
              </w:rPr>
            </w:pPr>
          </w:p>
        </w:tc>
        <w:tc>
          <w:tcPr>
            <w:tcW w:w="1467" w:type="dxa"/>
            <w:vMerge w:val="continue"/>
            <w:tcBorders>
              <w:tl2br w:val="nil"/>
              <w:tr2bl w:val="nil"/>
            </w:tcBorders>
            <w:vAlign w:val="center"/>
          </w:tcPr>
          <w:p w14:paraId="316663C6">
            <w:pPr>
              <w:widowControl/>
              <w:spacing w:line="280" w:lineRule="exact"/>
              <w:jc w:val="center"/>
              <w:rPr>
                <w:rFonts w:hint="default" w:ascii="Times New Roman" w:hAnsi="Times New Roman" w:cs="Times New Roman" w:eastAsiaTheme="majorEastAsia"/>
                <w:color w:val="000000"/>
                <w:sz w:val="24"/>
              </w:rPr>
            </w:pPr>
          </w:p>
        </w:tc>
        <w:tc>
          <w:tcPr>
            <w:tcW w:w="3993" w:type="dxa"/>
            <w:tcBorders>
              <w:tl2br w:val="nil"/>
              <w:tr2bl w:val="nil"/>
            </w:tcBorders>
            <w:vAlign w:val="center"/>
          </w:tcPr>
          <w:p w14:paraId="243FBE00">
            <w:pPr>
              <w:widowControl/>
              <w:spacing w:line="280" w:lineRule="exact"/>
              <w:jc w:val="center"/>
              <w:textAlignment w:val="center"/>
              <w:rPr>
                <w:rFonts w:hint="default" w:ascii="Times New Roman" w:hAnsi="Times New Roman" w:cs="Times New Roman" w:eastAsiaTheme="majorEastAsia"/>
                <w:color w:val="000000"/>
                <w:sz w:val="24"/>
              </w:rPr>
            </w:pPr>
            <w:r>
              <w:rPr>
                <w:rFonts w:hint="default" w:ascii="Times New Roman" w:hAnsi="Times New Roman" w:cs="Times New Roman" w:eastAsiaTheme="majorEastAsia"/>
                <w:color w:val="000000"/>
                <w:kern w:val="0"/>
                <w:sz w:val="24"/>
              </w:rPr>
              <w:t>争取项目工作经费</w:t>
            </w:r>
          </w:p>
        </w:tc>
        <w:tc>
          <w:tcPr>
            <w:tcW w:w="1927" w:type="dxa"/>
            <w:tcBorders>
              <w:tl2br w:val="nil"/>
              <w:tr2bl w:val="nil"/>
            </w:tcBorders>
            <w:vAlign w:val="center"/>
          </w:tcPr>
          <w:p w14:paraId="3BD53FAE">
            <w:pPr>
              <w:widowControl/>
              <w:spacing w:line="280" w:lineRule="exact"/>
              <w:jc w:val="center"/>
              <w:textAlignment w:val="center"/>
              <w:rPr>
                <w:rFonts w:hint="default" w:ascii="Times New Roman" w:hAnsi="Times New Roman" w:cs="Times New Roman" w:eastAsiaTheme="majorEastAsia"/>
                <w:color w:val="000000"/>
                <w:sz w:val="24"/>
              </w:rPr>
            </w:pPr>
            <w:r>
              <w:rPr>
                <w:rFonts w:hint="default" w:ascii="Times New Roman" w:hAnsi="Times New Roman" w:cs="Times New Roman" w:eastAsiaTheme="majorEastAsia"/>
                <w:color w:val="000000"/>
                <w:kern w:val="0"/>
                <w:sz w:val="24"/>
              </w:rPr>
              <w:t>≤30万元</w:t>
            </w:r>
          </w:p>
        </w:tc>
      </w:tr>
      <w:tr w14:paraId="6B5F82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768" w:type="dxa"/>
            <w:vMerge w:val="continue"/>
            <w:tcBorders>
              <w:tl2br w:val="nil"/>
              <w:tr2bl w:val="nil"/>
            </w:tcBorders>
            <w:vAlign w:val="center"/>
          </w:tcPr>
          <w:p w14:paraId="3F293CC8">
            <w:pPr>
              <w:widowControl/>
              <w:spacing w:line="280" w:lineRule="exact"/>
              <w:jc w:val="center"/>
              <w:rPr>
                <w:rFonts w:hint="default" w:ascii="Times New Roman" w:hAnsi="Times New Roman" w:cs="Times New Roman" w:eastAsiaTheme="majorEastAsia"/>
                <w:color w:val="000000"/>
                <w:sz w:val="24"/>
              </w:rPr>
            </w:pPr>
          </w:p>
        </w:tc>
        <w:tc>
          <w:tcPr>
            <w:tcW w:w="969" w:type="dxa"/>
            <w:vMerge w:val="continue"/>
            <w:tcBorders>
              <w:tl2br w:val="nil"/>
              <w:tr2bl w:val="nil"/>
            </w:tcBorders>
            <w:vAlign w:val="center"/>
          </w:tcPr>
          <w:p w14:paraId="052DFEBC">
            <w:pPr>
              <w:widowControl/>
              <w:spacing w:line="280" w:lineRule="exact"/>
              <w:jc w:val="center"/>
              <w:rPr>
                <w:rFonts w:hint="default" w:ascii="Times New Roman" w:hAnsi="Times New Roman" w:cs="Times New Roman" w:eastAsiaTheme="majorEastAsia"/>
                <w:color w:val="000000"/>
                <w:sz w:val="24"/>
              </w:rPr>
            </w:pPr>
          </w:p>
        </w:tc>
        <w:tc>
          <w:tcPr>
            <w:tcW w:w="1467" w:type="dxa"/>
            <w:vMerge w:val="continue"/>
            <w:tcBorders>
              <w:tl2br w:val="nil"/>
              <w:tr2bl w:val="nil"/>
            </w:tcBorders>
            <w:vAlign w:val="center"/>
          </w:tcPr>
          <w:p w14:paraId="26427022">
            <w:pPr>
              <w:widowControl/>
              <w:spacing w:line="280" w:lineRule="exact"/>
              <w:jc w:val="center"/>
              <w:rPr>
                <w:rFonts w:hint="default" w:ascii="Times New Roman" w:hAnsi="Times New Roman" w:cs="Times New Roman" w:eastAsiaTheme="majorEastAsia"/>
                <w:color w:val="000000"/>
                <w:sz w:val="24"/>
              </w:rPr>
            </w:pPr>
          </w:p>
        </w:tc>
        <w:tc>
          <w:tcPr>
            <w:tcW w:w="3993" w:type="dxa"/>
            <w:tcBorders>
              <w:tl2br w:val="nil"/>
              <w:tr2bl w:val="nil"/>
            </w:tcBorders>
            <w:vAlign w:val="center"/>
          </w:tcPr>
          <w:p w14:paraId="6EB91C16">
            <w:pPr>
              <w:widowControl/>
              <w:spacing w:line="280" w:lineRule="exact"/>
              <w:jc w:val="center"/>
              <w:textAlignment w:val="center"/>
              <w:rPr>
                <w:rFonts w:hint="default" w:ascii="Times New Roman" w:hAnsi="Times New Roman" w:cs="Times New Roman" w:eastAsiaTheme="majorEastAsia"/>
                <w:color w:val="000000"/>
                <w:kern w:val="0"/>
                <w:sz w:val="24"/>
              </w:rPr>
            </w:pPr>
            <w:r>
              <w:rPr>
                <w:rFonts w:hint="default" w:ascii="Times New Roman" w:hAnsi="Times New Roman" w:cs="Times New Roman" w:eastAsiaTheme="majorEastAsia"/>
                <w:color w:val="000000"/>
                <w:kern w:val="0"/>
                <w:sz w:val="24"/>
              </w:rPr>
              <w:t>预算追加项目经费</w:t>
            </w:r>
          </w:p>
        </w:tc>
        <w:tc>
          <w:tcPr>
            <w:tcW w:w="1927" w:type="dxa"/>
            <w:tcBorders>
              <w:tl2br w:val="nil"/>
              <w:tr2bl w:val="nil"/>
            </w:tcBorders>
            <w:vAlign w:val="center"/>
          </w:tcPr>
          <w:p w14:paraId="61258DA3">
            <w:pPr>
              <w:widowControl/>
              <w:spacing w:line="280" w:lineRule="exact"/>
              <w:jc w:val="center"/>
              <w:textAlignment w:val="center"/>
              <w:rPr>
                <w:rFonts w:hint="default" w:ascii="Times New Roman" w:hAnsi="Times New Roman" w:cs="Times New Roman" w:eastAsiaTheme="majorEastAsia"/>
                <w:color w:val="000000"/>
                <w:kern w:val="0"/>
                <w:sz w:val="24"/>
              </w:rPr>
            </w:pPr>
            <w:r>
              <w:rPr>
                <w:rFonts w:hint="default" w:ascii="Times New Roman" w:hAnsi="Times New Roman" w:cs="Times New Roman" w:eastAsiaTheme="majorEastAsia"/>
                <w:color w:val="000000"/>
                <w:kern w:val="0"/>
                <w:sz w:val="24"/>
              </w:rPr>
              <w:t>≤8093.2万元</w:t>
            </w:r>
          </w:p>
        </w:tc>
      </w:tr>
      <w:tr w14:paraId="38472F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768" w:type="dxa"/>
            <w:vMerge w:val="continue"/>
            <w:tcBorders>
              <w:tl2br w:val="nil"/>
              <w:tr2bl w:val="nil"/>
            </w:tcBorders>
            <w:vAlign w:val="center"/>
          </w:tcPr>
          <w:p w14:paraId="21DA7BFE">
            <w:pPr>
              <w:widowControl/>
              <w:spacing w:line="280" w:lineRule="exact"/>
              <w:jc w:val="center"/>
              <w:rPr>
                <w:rFonts w:hint="default" w:ascii="Times New Roman" w:hAnsi="Times New Roman" w:cs="Times New Roman" w:eastAsiaTheme="majorEastAsia"/>
                <w:color w:val="000000"/>
                <w:sz w:val="24"/>
              </w:rPr>
            </w:pPr>
          </w:p>
        </w:tc>
        <w:tc>
          <w:tcPr>
            <w:tcW w:w="969" w:type="dxa"/>
            <w:vMerge w:val="restart"/>
            <w:tcBorders>
              <w:tl2br w:val="nil"/>
              <w:tr2bl w:val="nil"/>
            </w:tcBorders>
            <w:vAlign w:val="center"/>
          </w:tcPr>
          <w:p w14:paraId="3152A96F">
            <w:pPr>
              <w:widowControl/>
              <w:spacing w:line="280" w:lineRule="exact"/>
              <w:jc w:val="center"/>
              <w:textAlignment w:val="center"/>
              <w:rPr>
                <w:rFonts w:hint="default" w:ascii="Times New Roman" w:hAnsi="Times New Roman" w:cs="Times New Roman" w:eastAsiaTheme="majorEastAsia"/>
                <w:color w:val="000000"/>
                <w:kern w:val="0"/>
                <w:sz w:val="24"/>
              </w:rPr>
            </w:pPr>
            <w:r>
              <w:rPr>
                <w:rFonts w:hint="default" w:ascii="Times New Roman" w:hAnsi="Times New Roman" w:cs="Times New Roman" w:eastAsiaTheme="majorEastAsia"/>
                <w:color w:val="000000"/>
                <w:kern w:val="0"/>
                <w:sz w:val="24"/>
              </w:rPr>
              <w:t>效益指标</w:t>
            </w:r>
          </w:p>
        </w:tc>
        <w:tc>
          <w:tcPr>
            <w:tcW w:w="1467" w:type="dxa"/>
            <w:tcBorders>
              <w:tl2br w:val="nil"/>
              <w:tr2bl w:val="nil"/>
            </w:tcBorders>
            <w:vAlign w:val="center"/>
          </w:tcPr>
          <w:p w14:paraId="1C181D2E">
            <w:pPr>
              <w:widowControl/>
              <w:spacing w:line="280" w:lineRule="exact"/>
              <w:jc w:val="center"/>
              <w:textAlignment w:val="center"/>
              <w:rPr>
                <w:rFonts w:hint="default" w:ascii="Times New Roman" w:hAnsi="Times New Roman" w:cs="Times New Roman" w:eastAsiaTheme="majorEastAsia"/>
                <w:color w:val="000000"/>
                <w:kern w:val="0"/>
                <w:sz w:val="24"/>
              </w:rPr>
            </w:pPr>
            <w:r>
              <w:rPr>
                <w:rFonts w:hint="default" w:ascii="Times New Roman" w:hAnsi="Times New Roman" w:cs="Times New Roman" w:eastAsiaTheme="majorEastAsia"/>
                <w:color w:val="000000"/>
                <w:kern w:val="0"/>
                <w:sz w:val="24"/>
              </w:rPr>
              <w:t>经济效益</w:t>
            </w:r>
          </w:p>
          <w:p w14:paraId="1E4FAE20">
            <w:pPr>
              <w:widowControl/>
              <w:spacing w:line="280" w:lineRule="exact"/>
              <w:jc w:val="center"/>
              <w:textAlignment w:val="center"/>
              <w:rPr>
                <w:rFonts w:hint="default" w:ascii="Times New Roman" w:hAnsi="Times New Roman" w:cs="Times New Roman" w:eastAsiaTheme="majorEastAsia"/>
                <w:color w:val="000000"/>
                <w:kern w:val="0"/>
                <w:sz w:val="24"/>
              </w:rPr>
            </w:pPr>
            <w:r>
              <w:rPr>
                <w:rFonts w:hint="default" w:ascii="Times New Roman" w:hAnsi="Times New Roman" w:cs="Times New Roman" w:eastAsiaTheme="majorEastAsia"/>
                <w:color w:val="000000"/>
                <w:kern w:val="0"/>
                <w:sz w:val="24"/>
              </w:rPr>
              <w:t>指标</w:t>
            </w:r>
          </w:p>
        </w:tc>
        <w:tc>
          <w:tcPr>
            <w:tcW w:w="3993" w:type="dxa"/>
            <w:tcBorders>
              <w:tl2br w:val="nil"/>
              <w:tr2bl w:val="nil"/>
            </w:tcBorders>
            <w:vAlign w:val="center"/>
          </w:tcPr>
          <w:p w14:paraId="4CAF39EE">
            <w:pPr>
              <w:widowControl/>
              <w:spacing w:line="280" w:lineRule="exact"/>
              <w:jc w:val="center"/>
              <w:textAlignment w:val="center"/>
              <w:rPr>
                <w:rFonts w:hint="default" w:ascii="Times New Roman" w:hAnsi="Times New Roman" w:cs="Times New Roman" w:eastAsiaTheme="majorEastAsia"/>
                <w:color w:val="000000"/>
                <w:kern w:val="0"/>
                <w:sz w:val="24"/>
              </w:rPr>
            </w:pPr>
            <w:r>
              <w:rPr>
                <w:rFonts w:hint="default" w:ascii="Times New Roman" w:hAnsi="Times New Roman" w:cs="Times New Roman" w:eastAsiaTheme="majorEastAsia"/>
                <w:color w:val="000000"/>
                <w:kern w:val="0"/>
                <w:sz w:val="24"/>
              </w:rPr>
              <w:t>助推经济发展</w:t>
            </w:r>
          </w:p>
        </w:tc>
        <w:tc>
          <w:tcPr>
            <w:tcW w:w="1927" w:type="dxa"/>
            <w:tcBorders>
              <w:tl2br w:val="nil"/>
              <w:tr2bl w:val="nil"/>
            </w:tcBorders>
            <w:vAlign w:val="center"/>
          </w:tcPr>
          <w:p w14:paraId="55FB9EC6">
            <w:pPr>
              <w:widowControl/>
              <w:spacing w:line="280" w:lineRule="exact"/>
              <w:jc w:val="center"/>
              <w:textAlignment w:val="center"/>
              <w:rPr>
                <w:rFonts w:hint="default" w:ascii="Times New Roman" w:hAnsi="Times New Roman" w:cs="Times New Roman" w:eastAsiaTheme="majorEastAsia"/>
                <w:color w:val="000000"/>
                <w:kern w:val="0"/>
                <w:sz w:val="24"/>
              </w:rPr>
            </w:pPr>
            <w:r>
              <w:rPr>
                <w:rFonts w:hint="default" w:ascii="Times New Roman" w:hAnsi="Times New Roman" w:cs="Times New Roman" w:eastAsiaTheme="majorEastAsia"/>
                <w:color w:val="000000"/>
                <w:kern w:val="0"/>
                <w:sz w:val="24"/>
              </w:rPr>
              <w:t>定性优良中低差</w:t>
            </w:r>
          </w:p>
        </w:tc>
      </w:tr>
      <w:tr w14:paraId="22F939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768" w:type="dxa"/>
            <w:vMerge w:val="continue"/>
            <w:tcBorders>
              <w:tl2br w:val="nil"/>
              <w:tr2bl w:val="nil"/>
            </w:tcBorders>
            <w:vAlign w:val="center"/>
          </w:tcPr>
          <w:p w14:paraId="6A795CCE">
            <w:pPr>
              <w:widowControl/>
              <w:spacing w:line="280" w:lineRule="exact"/>
              <w:jc w:val="center"/>
              <w:rPr>
                <w:rFonts w:hint="default" w:ascii="Times New Roman" w:hAnsi="Times New Roman" w:cs="Times New Roman" w:eastAsiaTheme="majorEastAsia"/>
                <w:color w:val="000000"/>
                <w:sz w:val="24"/>
              </w:rPr>
            </w:pPr>
          </w:p>
        </w:tc>
        <w:tc>
          <w:tcPr>
            <w:tcW w:w="969" w:type="dxa"/>
            <w:vMerge w:val="continue"/>
            <w:tcBorders>
              <w:tl2br w:val="nil"/>
              <w:tr2bl w:val="nil"/>
            </w:tcBorders>
            <w:vAlign w:val="center"/>
          </w:tcPr>
          <w:p w14:paraId="36081421">
            <w:pPr>
              <w:widowControl/>
              <w:spacing w:line="280" w:lineRule="exact"/>
              <w:jc w:val="center"/>
              <w:textAlignment w:val="center"/>
              <w:rPr>
                <w:rFonts w:hint="default" w:ascii="Times New Roman" w:hAnsi="Times New Roman" w:cs="Times New Roman" w:eastAsiaTheme="majorEastAsia"/>
                <w:color w:val="000000"/>
                <w:sz w:val="24"/>
              </w:rPr>
            </w:pPr>
          </w:p>
        </w:tc>
        <w:tc>
          <w:tcPr>
            <w:tcW w:w="1467" w:type="dxa"/>
            <w:tcBorders>
              <w:tl2br w:val="nil"/>
              <w:tr2bl w:val="nil"/>
            </w:tcBorders>
            <w:vAlign w:val="center"/>
          </w:tcPr>
          <w:p w14:paraId="234E47A8">
            <w:pPr>
              <w:widowControl/>
              <w:spacing w:line="280" w:lineRule="exact"/>
              <w:jc w:val="center"/>
              <w:textAlignment w:val="center"/>
              <w:rPr>
                <w:rFonts w:hint="default" w:ascii="Times New Roman" w:hAnsi="Times New Roman" w:cs="Times New Roman" w:eastAsiaTheme="majorEastAsia"/>
                <w:color w:val="000000"/>
                <w:kern w:val="0"/>
                <w:sz w:val="24"/>
              </w:rPr>
            </w:pPr>
            <w:r>
              <w:rPr>
                <w:rFonts w:hint="default" w:ascii="Times New Roman" w:hAnsi="Times New Roman" w:cs="Times New Roman" w:eastAsiaTheme="majorEastAsia"/>
                <w:color w:val="000000"/>
                <w:kern w:val="0"/>
                <w:sz w:val="24"/>
              </w:rPr>
              <w:t>社会效益</w:t>
            </w:r>
          </w:p>
          <w:p w14:paraId="43A880BA">
            <w:pPr>
              <w:widowControl/>
              <w:spacing w:line="280" w:lineRule="exact"/>
              <w:jc w:val="center"/>
              <w:textAlignment w:val="center"/>
              <w:rPr>
                <w:rFonts w:hint="default" w:ascii="Times New Roman" w:hAnsi="Times New Roman" w:cs="Times New Roman" w:eastAsiaTheme="majorEastAsia"/>
                <w:color w:val="000000"/>
                <w:sz w:val="24"/>
              </w:rPr>
            </w:pPr>
            <w:r>
              <w:rPr>
                <w:rFonts w:hint="default" w:ascii="Times New Roman" w:hAnsi="Times New Roman" w:cs="Times New Roman" w:eastAsiaTheme="majorEastAsia"/>
                <w:color w:val="000000"/>
                <w:kern w:val="0"/>
                <w:sz w:val="24"/>
              </w:rPr>
              <w:t>指标</w:t>
            </w:r>
          </w:p>
        </w:tc>
        <w:tc>
          <w:tcPr>
            <w:tcW w:w="3993" w:type="dxa"/>
            <w:tcBorders>
              <w:tl2br w:val="nil"/>
              <w:tr2bl w:val="nil"/>
            </w:tcBorders>
            <w:vAlign w:val="center"/>
          </w:tcPr>
          <w:p w14:paraId="5515B76A">
            <w:pPr>
              <w:widowControl/>
              <w:spacing w:line="280" w:lineRule="exact"/>
              <w:jc w:val="center"/>
              <w:textAlignment w:val="center"/>
              <w:rPr>
                <w:rFonts w:hint="default" w:ascii="Times New Roman" w:hAnsi="Times New Roman" w:cs="Times New Roman" w:eastAsiaTheme="majorEastAsia"/>
                <w:color w:val="000000"/>
                <w:sz w:val="24"/>
              </w:rPr>
            </w:pPr>
            <w:r>
              <w:rPr>
                <w:rFonts w:hint="default" w:ascii="Times New Roman" w:hAnsi="Times New Roman" w:cs="Times New Roman" w:eastAsiaTheme="majorEastAsia"/>
                <w:color w:val="000000"/>
                <w:kern w:val="0"/>
                <w:sz w:val="24"/>
              </w:rPr>
              <w:t>改善人居环境</w:t>
            </w:r>
          </w:p>
        </w:tc>
        <w:tc>
          <w:tcPr>
            <w:tcW w:w="1927" w:type="dxa"/>
            <w:tcBorders>
              <w:tl2br w:val="nil"/>
              <w:tr2bl w:val="nil"/>
            </w:tcBorders>
            <w:vAlign w:val="center"/>
          </w:tcPr>
          <w:p w14:paraId="4EE1BE12">
            <w:pPr>
              <w:widowControl/>
              <w:spacing w:line="280" w:lineRule="exact"/>
              <w:jc w:val="center"/>
              <w:textAlignment w:val="center"/>
              <w:rPr>
                <w:rFonts w:hint="default" w:ascii="Times New Roman" w:hAnsi="Times New Roman" w:cs="Times New Roman" w:eastAsiaTheme="majorEastAsia"/>
                <w:color w:val="000000"/>
                <w:sz w:val="24"/>
              </w:rPr>
            </w:pPr>
            <w:r>
              <w:rPr>
                <w:rFonts w:hint="default" w:ascii="Times New Roman" w:hAnsi="Times New Roman" w:cs="Times New Roman" w:eastAsiaTheme="majorEastAsia"/>
                <w:color w:val="000000"/>
                <w:kern w:val="0"/>
                <w:sz w:val="24"/>
              </w:rPr>
              <w:t>定性优良中低差</w:t>
            </w:r>
          </w:p>
        </w:tc>
      </w:tr>
      <w:tr w14:paraId="735038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768" w:type="dxa"/>
            <w:vMerge w:val="continue"/>
            <w:tcBorders>
              <w:tl2br w:val="nil"/>
              <w:tr2bl w:val="nil"/>
            </w:tcBorders>
            <w:vAlign w:val="center"/>
          </w:tcPr>
          <w:p w14:paraId="09E91B32">
            <w:pPr>
              <w:widowControl/>
              <w:spacing w:line="280" w:lineRule="exact"/>
              <w:jc w:val="center"/>
              <w:rPr>
                <w:rFonts w:hint="default" w:ascii="Times New Roman" w:hAnsi="Times New Roman" w:cs="Times New Roman" w:eastAsiaTheme="majorEastAsia"/>
                <w:color w:val="000000"/>
                <w:sz w:val="24"/>
              </w:rPr>
            </w:pPr>
          </w:p>
        </w:tc>
        <w:tc>
          <w:tcPr>
            <w:tcW w:w="969" w:type="dxa"/>
            <w:vMerge w:val="continue"/>
            <w:tcBorders>
              <w:tl2br w:val="nil"/>
              <w:tr2bl w:val="nil"/>
            </w:tcBorders>
            <w:vAlign w:val="center"/>
          </w:tcPr>
          <w:p w14:paraId="2A9B2E29">
            <w:pPr>
              <w:widowControl/>
              <w:spacing w:line="280" w:lineRule="exact"/>
              <w:jc w:val="center"/>
              <w:textAlignment w:val="center"/>
              <w:rPr>
                <w:rFonts w:hint="default" w:ascii="Times New Roman" w:hAnsi="Times New Roman" w:cs="Times New Roman" w:eastAsiaTheme="majorEastAsia"/>
                <w:color w:val="000000"/>
                <w:kern w:val="0"/>
                <w:sz w:val="24"/>
              </w:rPr>
            </w:pPr>
          </w:p>
        </w:tc>
        <w:tc>
          <w:tcPr>
            <w:tcW w:w="1467" w:type="dxa"/>
            <w:tcBorders>
              <w:tl2br w:val="nil"/>
              <w:tr2bl w:val="nil"/>
            </w:tcBorders>
            <w:vAlign w:val="center"/>
          </w:tcPr>
          <w:p w14:paraId="17B8D772">
            <w:pPr>
              <w:widowControl/>
              <w:spacing w:line="280" w:lineRule="exact"/>
              <w:jc w:val="center"/>
              <w:textAlignment w:val="center"/>
              <w:rPr>
                <w:rFonts w:hint="default" w:ascii="Times New Roman" w:hAnsi="Times New Roman" w:cs="Times New Roman" w:eastAsiaTheme="majorEastAsia"/>
                <w:color w:val="000000"/>
                <w:kern w:val="0"/>
                <w:sz w:val="24"/>
              </w:rPr>
            </w:pPr>
            <w:r>
              <w:rPr>
                <w:rFonts w:hint="default" w:ascii="Times New Roman" w:hAnsi="Times New Roman" w:cs="Times New Roman" w:eastAsiaTheme="majorEastAsia"/>
                <w:color w:val="000000"/>
                <w:kern w:val="0"/>
                <w:sz w:val="24"/>
              </w:rPr>
              <w:t>生态效益</w:t>
            </w:r>
          </w:p>
          <w:p w14:paraId="0134023D">
            <w:pPr>
              <w:widowControl/>
              <w:spacing w:line="280" w:lineRule="exact"/>
              <w:jc w:val="center"/>
              <w:textAlignment w:val="center"/>
              <w:rPr>
                <w:rFonts w:hint="default" w:ascii="Times New Roman" w:hAnsi="Times New Roman" w:cs="Times New Roman" w:eastAsiaTheme="majorEastAsia"/>
                <w:color w:val="000000"/>
                <w:kern w:val="0"/>
                <w:sz w:val="24"/>
              </w:rPr>
            </w:pPr>
            <w:r>
              <w:rPr>
                <w:rFonts w:hint="default" w:ascii="Times New Roman" w:hAnsi="Times New Roman" w:cs="Times New Roman" w:eastAsiaTheme="majorEastAsia"/>
                <w:color w:val="000000"/>
                <w:kern w:val="0"/>
                <w:sz w:val="24"/>
              </w:rPr>
              <w:t>指标</w:t>
            </w:r>
          </w:p>
        </w:tc>
        <w:tc>
          <w:tcPr>
            <w:tcW w:w="3993" w:type="dxa"/>
            <w:tcBorders>
              <w:tl2br w:val="nil"/>
              <w:tr2bl w:val="nil"/>
            </w:tcBorders>
            <w:vAlign w:val="center"/>
          </w:tcPr>
          <w:p w14:paraId="5EA9F749">
            <w:pPr>
              <w:widowControl/>
              <w:spacing w:line="280" w:lineRule="exact"/>
              <w:jc w:val="center"/>
              <w:textAlignment w:val="center"/>
              <w:rPr>
                <w:rFonts w:hint="default" w:ascii="Times New Roman" w:hAnsi="Times New Roman" w:cs="Times New Roman" w:eastAsiaTheme="majorEastAsia"/>
                <w:color w:val="000000"/>
                <w:kern w:val="0"/>
                <w:sz w:val="24"/>
              </w:rPr>
            </w:pPr>
            <w:r>
              <w:rPr>
                <w:rFonts w:hint="default" w:ascii="Times New Roman" w:hAnsi="Times New Roman" w:cs="Times New Roman" w:eastAsiaTheme="majorEastAsia"/>
                <w:color w:val="000000"/>
                <w:kern w:val="0"/>
                <w:sz w:val="24"/>
              </w:rPr>
              <w:t>降低地质灾害发生率</w:t>
            </w:r>
          </w:p>
        </w:tc>
        <w:tc>
          <w:tcPr>
            <w:tcW w:w="1927" w:type="dxa"/>
            <w:tcBorders>
              <w:tl2br w:val="nil"/>
              <w:tr2bl w:val="nil"/>
            </w:tcBorders>
            <w:vAlign w:val="center"/>
          </w:tcPr>
          <w:p w14:paraId="2DF7528B">
            <w:pPr>
              <w:widowControl/>
              <w:spacing w:line="280" w:lineRule="exact"/>
              <w:jc w:val="center"/>
              <w:textAlignment w:val="center"/>
              <w:rPr>
                <w:rFonts w:hint="default" w:ascii="Times New Roman" w:hAnsi="Times New Roman" w:cs="Times New Roman" w:eastAsiaTheme="majorEastAsia"/>
                <w:color w:val="000000"/>
                <w:kern w:val="0"/>
                <w:sz w:val="24"/>
              </w:rPr>
            </w:pPr>
            <w:r>
              <w:rPr>
                <w:rFonts w:hint="default" w:ascii="Times New Roman" w:hAnsi="Times New Roman" w:cs="Times New Roman" w:eastAsiaTheme="majorEastAsia"/>
                <w:color w:val="000000"/>
                <w:kern w:val="0"/>
                <w:sz w:val="24"/>
              </w:rPr>
              <w:t>定性优良中低差</w:t>
            </w:r>
          </w:p>
        </w:tc>
      </w:tr>
      <w:tr w14:paraId="0B83CF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768" w:type="dxa"/>
            <w:vMerge w:val="continue"/>
            <w:tcBorders>
              <w:tl2br w:val="nil"/>
              <w:tr2bl w:val="nil"/>
            </w:tcBorders>
            <w:vAlign w:val="center"/>
          </w:tcPr>
          <w:p w14:paraId="6199FD40">
            <w:pPr>
              <w:widowControl/>
              <w:spacing w:line="280" w:lineRule="exact"/>
              <w:jc w:val="center"/>
              <w:rPr>
                <w:rFonts w:hint="default" w:ascii="Times New Roman" w:hAnsi="Times New Roman" w:cs="Times New Roman" w:eastAsiaTheme="majorEastAsia"/>
                <w:color w:val="000000"/>
                <w:sz w:val="24"/>
              </w:rPr>
            </w:pPr>
          </w:p>
        </w:tc>
        <w:tc>
          <w:tcPr>
            <w:tcW w:w="969" w:type="dxa"/>
            <w:tcBorders>
              <w:tl2br w:val="nil"/>
              <w:tr2bl w:val="nil"/>
            </w:tcBorders>
            <w:vAlign w:val="center"/>
          </w:tcPr>
          <w:p w14:paraId="047C8316">
            <w:pPr>
              <w:widowControl/>
              <w:spacing w:line="280" w:lineRule="exact"/>
              <w:jc w:val="center"/>
              <w:textAlignment w:val="center"/>
              <w:rPr>
                <w:rFonts w:hint="default" w:ascii="Times New Roman" w:hAnsi="Times New Roman" w:cs="Times New Roman" w:eastAsiaTheme="majorEastAsia"/>
                <w:color w:val="000000"/>
                <w:sz w:val="24"/>
              </w:rPr>
            </w:pPr>
            <w:r>
              <w:rPr>
                <w:rFonts w:hint="default" w:ascii="Times New Roman" w:hAnsi="Times New Roman" w:cs="Times New Roman" w:eastAsiaTheme="majorEastAsia"/>
                <w:color w:val="000000"/>
                <w:kern w:val="0"/>
                <w:sz w:val="24"/>
              </w:rPr>
              <w:t>满意度指标</w:t>
            </w:r>
          </w:p>
        </w:tc>
        <w:tc>
          <w:tcPr>
            <w:tcW w:w="1467" w:type="dxa"/>
            <w:tcBorders>
              <w:tl2br w:val="nil"/>
              <w:tr2bl w:val="nil"/>
            </w:tcBorders>
            <w:vAlign w:val="center"/>
          </w:tcPr>
          <w:p w14:paraId="50F58FAA">
            <w:pPr>
              <w:widowControl/>
              <w:spacing w:line="280" w:lineRule="exact"/>
              <w:jc w:val="center"/>
              <w:textAlignment w:val="center"/>
              <w:rPr>
                <w:rFonts w:hint="default" w:ascii="Times New Roman" w:hAnsi="Times New Roman" w:cs="Times New Roman" w:eastAsiaTheme="majorEastAsia"/>
                <w:color w:val="000000"/>
                <w:sz w:val="24"/>
              </w:rPr>
            </w:pPr>
            <w:r>
              <w:rPr>
                <w:rFonts w:hint="default" w:ascii="Times New Roman" w:hAnsi="Times New Roman" w:cs="Times New Roman" w:eastAsiaTheme="majorEastAsia"/>
                <w:color w:val="000000"/>
                <w:kern w:val="0"/>
                <w:sz w:val="24"/>
              </w:rPr>
              <w:t>服务对象满意度指标</w:t>
            </w:r>
          </w:p>
        </w:tc>
        <w:tc>
          <w:tcPr>
            <w:tcW w:w="3993" w:type="dxa"/>
            <w:tcBorders>
              <w:tl2br w:val="nil"/>
              <w:tr2bl w:val="nil"/>
            </w:tcBorders>
            <w:vAlign w:val="center"/>
          </w:tcPr>
          <w:p w14:paraId="7E3F5AFA">
            <w:pPr>
              <w:widowControl/>
              <w:spacing w:line="280" w:lineRule="exact"/>
              <w:jc w:val="center"/>
              <w:textAlignment w:val="center"/>
              <w:rPr>
                <w:rFonts w:hint="default" w:ascii="Times New Roman" w:hAnsi="Times New Roman" w:cs="Times New Roman" w:eastAsiaTheme="majorEastAsia"/>
                <w:color w:val="000000"/>
                <w:sz w:val="24"/>
              </w:rPr>
            </w:pPr>
            <w:r>
              <w:rPr>
                <w:rFonts w:hint="default" w:ascii="Times New Roman" w:hAnsi="Times New Roman" w:cs="Times New Roman" w:eastAsiaTheme="majorEastAsia"/>
                <w:color w:val="000000"/>
                <w:kern w:val="0"/>
                <w:sz w:val="24"/>
              </w:rPr>
              <w:t>建设项目区域内人民群众满意度</w:t>
            </w:r>
          </w:p>
        </w:tc>
        <w:tc>
          <w:tcPr>
            <w:tcW w:w="1927" w:type="dxa"/>
            <w:tcBorders>
              <w:tl2br w:val="nil"/>
              <w:tr2bl w:val="nil"/>
            </w:tcBorders>
            <w:vAlign w:val="center"/>
          </w:tcPr>
          <w:p w14:paraId="1B7168A0">
            <w:pPr>
              <w:widowControl/>
              <w:spacing w:line="280" w:lineRule="exact"/>
              <w:jc w:val="center"/>
              <w:textAlignment w:val="center"/>
              <w:rPr>
                <w:rFonts w:hint="default" w:ascii="Times New Roman" w:hAnsi="Times New Roman" w:cs="Times New Roman" w:eastAsiaTheme="majorEastAsia"/>
                <w:color w:val="000000"/>
                <w:sz w:val="24"/>
              </w:rPr>
            </w:pPr>
            <w:r>
              <w:rPr>
                <w:rFonts w:hint="default" w:ascii="Times New Roman" w:hAnsi="Times New Roman" w:cs="Times New Roman" w:eastAsiaTheme="majorEastAsia"/>
                <w:color w:val="000000"/>
                <w:kern w:val="0"/>
                <w:sz w:val="24"/>
              </w:rPr>
              <w:t>≥95%</w:t>
            </w:r>
          </w:p>
        </w:tc>
      </w:tr>
    </w:tbl>
    <w:p w14:paraId="321B2136">
      <w:pPr>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2</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目标实现</w:t>
      </w:r>
    </w:p>
    <w:p w14:paraId="28136C71">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人员类项目绩效分析</w:t>
      </w:r>
    </w:p>
    <w:p w14:paraId="6FDCC4A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全年人员类预算经费包括基本工资、津贴补贴、绩效工资、目标奖、养老保险、医疗保险、失业保险、工伤保险、住房公积金。按照成本可控、职工满意等绩效目标要求及财政总体安排，我单位均按月足额发放人员工资，及时办理人员保险、住房公积金等缴纳。截止12月31日，我单位严格控制人员经费成本，并完成所有预定目标，年中人员调离、退休及时进行了动态调整，全年无违规记录。单位职工满意度为100%，圆满完成了人员经费的绩效目标任务。</w:t>
      </w:r>
    </w:p>
    <w:p w14:paraId="35BFF71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运转类项目绩效分析</w:t>
      </w:r>
    </w:p>
    <w:p w14:paraId="4BA64A7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全年其他运转类预算经费包括单位定额公用经费及争取项目工作经费，主要用于保障单位运转及工作开展的办公费、水电费、办公、打印、差旅等费用支出，费用支出以绩效目标为导向，严格把控成本、及时合理支付费用，圆满完成绩效目标任务。</w:t>
      </w:r>
    </w:p>
    <w:p w14:paraId="3CFC43B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特定目标类项目绩效分析</w:t>
      </w:r>
    </w:p>
    <w:p w14:paraId="48FAD9D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全年预算追加项目经费，主要用于完成2022年单位目标任务及做好全区各项目建设用地要素保障等工作。各项目管理，均认真编写事前绩效评估报告，费用支出以绩效目标为导向，严格把控成本注重节约，项目进度严控时间节点，按完成进度和项目质量合理支付进度款，确保圆满完成项目支出绩效任务。</w:t>
      </w:r>
    </w:p>
    <w:p w14:paraId="7DCCB48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支出控制</w:t>
      </w:r>
    </w:p>
    <w:p w14:paraId="2AC9A35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cs="Times New Roman"/>
        </w:rPr>
      </w:pPr>
      <w:r>
        <w:rPr>
          <w:rFonts w:hint="default" w:ascii="Times New Roman" w:hAnsi="Times New Roman" w:eastAsia="仿宋_GB2312" w:cs="Times New Roman"/>
          <w:sz w:val="32"/>
          <w:szCs w:val="32"/>
        </w:rPr>
        <w:t>通过预算数与决算数对比，公用经费相关科目偏差度如下：</w:t>
      </w:r>
    </w:p>
    <w:tbl>
      <w:tblPr>
        <w:tblStyle w:val="17"/>
        <w:tblW w:w="9239" w:type="dxa"/>
        <w:jc w:val="center"/>
        <w:tblLayout w:type="fixed"/>
        <w:tblCellMar>
          <w:top w:w="0" w:type="dxa"/>
          <w:left w:w="108" w:type="dxa"/>
          <w:bottom w:w="0" w:type="dxa"/>
          <w:right w:w="108" w:type="dxa"/>
        </w:tblCellMar>
      </w:tblPr>
      <w:tblGrid>
        <w:gridCol w:w="581"/>
        <w:gridCol w:w="5457"/>
        <w:gridCol w:w="1120"/>
        <w:gridCol w:w="1073"/>
        <w:gridCol w:w="1008"/>
      </w:tblGrid>
      <w:tr w14:paraId="7F90ECF1">
        <w:tblPrEx>
          <w:tblCellMar>
            <w:top w:w="0" w:type="dxa"/>
            <w:left w:w="108" w:type="dxa"/>
            <w:bottom w:w="0" w:type="dxa"/>
            <w:right w:w="108" w:type="dxa"/>
          </w:tblCellMar>
        </w:tblPrEx>
        <w:trPr>
          <w:trHeight w:val="397" w:hRule="atLeast"/>
          <w:tblHeader/>
          <w:jc w:val="center"/>
        </w:trPr>
        <w:tc>
          <w:tcPr>
            <w:tcW w:w="6038" w:type="dxa"/>
            <w:gridSpan w:val="2"/>
            <w:tcBorders>
              <w:top w:val="single" w:color="000000" w:sz="4" w:space="0"/>
              <w:left w:val="single" w:color="000000" w:sz="4" w:space="0"/>
              <w:bottom w:val="single" w:color="000000" w:sz="4" w:space="0"/>
              <w:right w:val="single" w:color="000000" w:sz="4" w:space="0"/>
            </w:tcBorders>
            <w:noWrap/>
            <w:vAlign w:val="center"/>
          </w:tcPr>
          <w:p w14:paraId="765E961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color w:val="000000"/>
                <w:kern w:val="0"/>
                <w:sz w:val="24"/>
                <w:szCs w:val="24"/>
              </w:rPr>
            </w:pPr>
            <w:r>
              <w:rPr>
                <w:rFonts w:hint="default" w:ascii="Times New Roman" w:hAnsi="Times New Roman" w:eastAsia="黑体" w:cs="Times New Roman"/>
                <w:color w:val="000000"/>
                <w:kern w:val="0"/>
                <w:sz w:val="24"/>
                <w:szCs w:val="24"/>
              </w:rPr>
              <w:t>项  目</w:t>
            </w:r>
          </w:p>
        </w:tc>
        <w:tc>
          <w:tcPr>
            <w:tcW w:w="1120" w:type="dxa"/>
            <w:tcBorders>
              <w:top w:val="single" w:color="000000" w:sz="4" w:space="0"/>
              <w:left w:val="single" w:color="000000" w:sz="4" w:space="0"/>
              <w:bottom w:val="single" w:color="000000" w:sz="4" w:space="0"/>
              <w:right w:val="single" w:color="000000" w:sz="4" w:space="0"/>
            </w:tcBorders>
            <w:noWrap/>
            <w:vAlign w:val="center"/>
          </w:tcPr>
          <w:p w14:paraId="7270631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color w:val="000000"/>
                <w:sz w:val="24"/>
                <w:szCs w:val="24"/>
              </w:rPr>
            </w:pPr>
            <w:r>
              <w:rPr>
                <w:rFonts w:hint="default" w:ascii="Times New Roman" w:hAnsi="Times New Roman" w:eastAsia="黑体" w:cs="Times New Roman"/>
                <w:color w:val="000000"/>
                <w:kern w:val="0"/>
                <w:sz w:val="24"/>
                <w:szCs w:val="24"/>
              </w:rPr>
              <w:t>预算数</w:t>
            </w:r>
          </w:p>
        </w:tc>
        <w:tc>
          <w:tcPr>
            <w:tcW w:w="1073" w:type="dxa"/>
            <w:tcBorders>
              <w:top w:val="single" w:color="000000" w:sz="4" w:space="0"/>
              <w:left w:val="single" w:color="000000" w:sz="4" w:space="0"/>
              <w:bottom w:val="single" w:color="000000" w:sz="4" w:space="0"/>
              <w:right w:val="single" w:color="000000" w:sz="4" w:space="0"/>
            </w:tcBorders>
            <w:noWrap/>
            <w:vAlign w:val="center"/>
          </w:tcPr>
          <w:p w14:paraId="2922BD3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color w:val="000000"/>
                <w:sz w:val="24"/>
                <w:szCs w:val="24"/>
              </w:rPr>
            </w:pPr>
            <w:r>
              <w:rPr>
                <w:rFonts w:hint="default" w:ascii="Times New Roman" w:hAnsi="Times New Roman" w:eastAsia="黑体" w:cs="Times New Roman"/>
                <w:color w:val="000000"/>
                <w:kern w:val="0"/>
                <w:sz w:val="24"/>
                <w:szCs w:val="24"/>
              </w:rPr>
              <w:t>决算数</w:t>
            </w:r>
          </w:p>
        </w:tc>
        <w:tc>
          <w:tcPr>
            <w:tcW w:w="1008" w:type="dxa"/>
            <w:tcBorders>
              <w:top w:val="single" w:color="000000" w:sz="4" w:space="0"/>
              <w:left w:val="single" w:color="000000" w:sz="4" w:space="0"/>
              <w:bottom w:val="single" w:color="000000" w:sz="4" w:space="0"/>
              <w:right w:val="single" w:color="000000" w:sz="4" w:space="0"/>
            </w:tcBorders>
            <w:noWrap/>
            <w:vAlign w:val="center"/>
          </w:tcPr>
          <w:p w14:paraId="73818B6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color w:val="000000"/>
                <w:sz w:val="24"/>
                <w:szCs w:val="24"/>
              </w:rPr>
            </w:pPr>
            <w:r>
              <w:rPr>
                <w:rFonts w:hint="default" w:ascii="Times New Roman" w:hAnsi="Times New Roman" w:eastAsia="黑体" w:cs="Times New Roman"/>
                <w:color w:val="000000"/>
                <w:kern w:val="0"/>
                <w:sz w:val="24"/>
                <w:szCs w:val="24"/>
              </w:rPr>
              <w:t>偏差度</w:t>
            </w:r>
          </w:p>
        </w:tc>
      </w:tr>
      <w:tr w14:paraId="07912A66">
        <w:tblPrEx>
          <w:tblCellMar>
            <w:top w:w="0" w:type="dxa"/>
            <w:left w:w="108" w:type="dxa"/>
            <w:bottom w:w="0" w:type="dxa"/>
            <w:right w:w="108" w:type="dxa"/>
          </w:tblCellMar>
        </w:tblPrEx>
        <w:trPr>
          <w:trHeight w:val="397" w:hRule="atLeast"/>
          <w:jc w:val="center"/>
        </w:trPr>
        <w:tc>
          <w:tcPr>
            <w:tcW w:w="581" w:type="dxa"/>
            <w:vMerge w:val="restart"/>
            <w:tcBorders>
              <w:top w:val="single" w:color="000000" w:sz="4" w:space="0"/>
              <w:left w:val="single" w:color="000000" w:sz="4" w:space="0"/>
              <w:right w:val="single" w:color="000000" w:sz="4" w:space="0"/>
            </w:tcBorders>
            <w:vAlign w:val="center"/>
          </w:tcPr>
          <w:p w14:paraId="4D1D81B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ajorEastAsia"/>
                <w:color w:val="000000"/>
                <w:sz w:val="24"/>
                <w:szCs w:val="24"/>
              </w:rPr>
            </w:pPr>
            <w:r>
              <w:rPr>
                <w:rFonts w:hint="default" w:ascii="Times New Roman" w:hAnsi="Times New Roman" w:cs="Times New Roman" w:eastAsiaTheme="majorEastAsia"/>
                <w:color w:val="000000"/>
                <w:kern w:val="0"/>
                <w:sz w:val="24"/>
                <w:szCs w:val="24"/>
              </w:rPr>
              <w:t>基本支出</w:t>
            </w:r>
          </w:p>
        </w:tc>
        <w:tc>
          <w:tcPr>
            <w:tcW w:w="5457" w:type="dxa"/>
            <w:tcBorders>
              <w:top w:val="single" w:color="000000" w:sz="4" w:space="0"/>
              <w:left w:val="single" w:color="000000" w:sz="4" w:space="0"/>
              <w:bottom w:val="single" w:color="000000" w:sz="4" w:space="0"/>
              <w:right w:val="single" w:color="000000" w:sz="4" w:space="0"/>
            </w:tcBorders>
            <w:noWrap/>
            <w:vAlign w:val="center"/>
          </w:tcPr>
          <w:p w14:paraId="36917E5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ajorEastAsia"/>
                <w:color w:val="000000"/>
                <w:kern w:val="0"/>
                <w:sz w:val="24"/>
                <w:szCs w:val="24"/>
              </w:rPr>
            </w:pPr>
            <w:r>
              <w:rPr>
                <w:rFonts w:hint="default" w:ascii="Times New Roman" w:hAnsi="Times New Roman" w:cs="Times New Roman" w:eastAsiaTheme="majorEastAsia"/>
                <w:color w:val="000000"/>
                <w:kern w:val="0"/>
                <w:sz w:val="24"/>
                <w:szCs w:val="24"/>
              </w:rPr>
              <w:t>人员类</w:t>
            </w:r>
          </w:p>
        </w:tc>
        <w:tc>
          <w:tcPr>
            <w:tcW w:w="1120" w:type="dxa"/>
            <w:tcBorders>
              <w:top w:val="single" w:color="000000" w:sz="4" w:space="0"/>
              <w:left w:val="single" w:color="000000" w:sz="4" w:space="0"/>
              <w:bottom w:val="single" w:color="000000" w:sz="4" w:space="0"/>
              <w:right w:val="single" w:color="000000" w:sz="4" w:space="0"/>
            </w:tcBorders>
            <w:noWrap/>
            <w:vAlign w:val="center"/>
          </w:tcPr>
          <w:p w14:paraId="4FFCD3A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ajorEastAsia"/>
                <w:color w:val="000000"/>
                <w:sz w:val="24"/>
                <w:szCs w:val="24"/>
              </w:rPr>
            </w:pPr>
            <w:r>
              <w:rPr>
                <w:rFonts w:hint="default" w:ascii="Times New Roman" w:hAnsi="Times New Roman" w:cs="Times New Roman" w:eastAsiaTheme="majorEastAsia"/>
                <w:color w:val="000000"/>
                <w:sz w:val="24"/>
                <w:szCs w:val="24"/>
              </w:rPr>
              <w:t>797.44</w:t>
            </w:r>
          </w:p>
        </w:tc>
        <w:tc>
          <w:tcPr>
            <w:tcW w:w="1073" w:type="dxa"/>
            <w:tcBorders>
              <w:top w:val="single" w:color="000000" w:sz="4" w:space="0"/>
              <w:left w:val="single" w:color="000000" w:sz="4" w:space="0"/>
              <w:bottom w:val="single" w:color="000000" w:sz="4" w:space="0"/>
              <w:right w:val="single" w:color="000000" w:sz="4" w:space="0"/>
            </w:tcBorders>
            <w:noWrap/>
            <w:vAlign w:val="center"/>
          </w:tcPr>
          <w:p w14:paraId="01CA7C7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ajorEastAsia"/>
                <w:color w:val="000000"/>
                <w:sz w:val="24"/>
                <w:szCs w:val="24"/>
              </w:rPr>
            </w:pPr>
            <w:r>
              <w:rPr>
                <w:rFonts w:hint="default" w:ascii="Times New Roman" w:hAnsi="Times New Roman" w:cs="Times New Roman" w:eastAsiaTheme="majorEastAsia"/>
                <w:color w:val="000000"/>
                <w:sz w:val="24"/>
                <w:szCs w:val="24"/>
              </w:rPr>
              <w:t>797.44</w:t>
            </w:r>
          </w:p>
        </w:tc>
        <w:tc>
          <w:tcPr>
            <w:tcW w:w="1008" w:type="dxa"/>
            <w:tcBorders>
              <w:top w:val="single" w:color="000000" w:sz="4" w:space="0"/>
              <w:left w:val="single" w:color="000000" w:sz="4" w:space="0"/>
              <w:bottom w:val="single" w:color="000000" w:sz="4" w:space="0"/>
              <w:right w:val="single" w:color="000000" w:sz="4" w:space="0"/>
            </w:tcBorders>
            <w:noWrap/>
            <w:vAlign w:val="center"/>
          </w:tcPr>
          <w:p w14:paraId="33DCDCE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ajorEastAsia"/>
                <w:color w:val="000000"/>
                <w:sz w:val="24"/>
                <w:szCs w:val="24"/>
              </w:rPr>
            </w:pPr>
            <w:r>
              <w:rPr>
                <w:rFonts w:hint="default" w:ascii="Times New Roman" w:hAnsi="Times New Roman" w:cs="Times New Roman" w:eastAsiaTheme="majorEastAsia"/>
                <w:color w:val="000000"/>
                <w:kern w:val="0"/>
                <w:sz w:val="24"/>
                <w:szCs w:val="24"/>
              </w:rPr>
              <w:t>0%</w:t>
            </w:r>
          </w:p>
        </w:tc>
      </w:tr>
      <w:tr w14:paraId="03C4C6ED">
        <w:tblPrEx>
          <w:tblCellMar>
            <w:top w:w="0" w:type="dxa"/>
            <w:left w:w="108" w:type="dxa"/>
            <w:bottom w:w="0" w:type="dxa"/>
            <w:right w:w="108" w:type="dxa"/>
          </w:tblCellMar>
        </w:tblPrEx>
        <w:trPr>
          <w:trHeight w:val="397" w:hRule="atLeast"/>
          <w:jc w:val="center"/>
        </w:trPr>
        <w:tc>
          <w:tcPr>
            <w:tcW w:w="581" w:type="dxa"/>
            <w:vMerge w:val="continue"/>
            <w:tcBorders>
              <w:left w:val="single" w:color="000000" w:sz="4" w:space="0"/>
              <w:right w:val="single" w:color="000000" w:sz="4" w:space="0"/>
            </w:tcBorders>
            <w:vAlign w:val="center"/>
          </w:tcPr>
          <w:p w14:paraId="4A6FB18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ajorEastAsia"/>
                <w:color w:val="000000"/>
                <w:sz w:val="24"/>
                <w:szCs w:val="24"/>
              </w:rPr>
            </w:pPr>
          </w:p>
        </w:tc>
        <w:tc>
          <w:tcPr>
            <w:tcW w:w="5457" w:type="dxa"/>
            <w:tcBorders>
              <w:top w:val="single" w:color="000000" w:sz="4" w:space="0"/>
              <w:left w:val="single" w:color="000000" w:sz="4" w:space="0"/>
              <w:bottom w:val="single" w:color="000000" w:sz="4" w:space="0"/>
              <w:right w:val="single" w:color="000000" w:sz="4" w:space="0"/>
            </w:tcBorders>
            <w:noWrap/>
            <w:vAlign w:val="center"/>
          </w:tcPr>
          <w:p w14:paraId="4B2D454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ajorEastAsia"/>
                <w:color w:val="000000"/>
                <w:kern w:val="0"/>
                <w:sz w:val="24"/>
                <w:szCs w:val="24"/>
              </w:rPr>
            </w:pPr>
            <w:r>
              <w:rPr>
                <w:rFonts w:hint="default" w:ascii="Times New Roman" w:hAnsi="Times New Roman" w:cs="Times New Roman" w:eastAsiaTheme="majorEastAsia"/>
                <w:color w:val="000000"/>
                <w:kern w:val="0"/>
                <w:sz w:val="24"/>
                <w:szCs w:val="24"/>
              </w:rPr>
              <w:t>公用经费</w:t>
            </w:r>
          </w:p>
        </w:tc>
        <w:tc>
          <w:tcPr>
            <w:tcW w:w="1120" w:type="dxa"/>
            <w:tcBorders>
              <w:top w:val="single" w:color="000000" w:sz="4" w:space="0"/>
              <w:left w:val="single" w:color="000000" w:sz="4" w:space="0"/>
              <w:bottom w:val="single" w:color="000000" w:sz="4" w:space="0"/>
              <w:right w:val="single" w:color="000000" w:sz="4" w:space="0"/>
            </w:tcBorders>
            <w:noWrap/>
            <w:vAlign w:val="center"/>
          </w:tcPr>
          <w:p w14:paraId="4815944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ajorEastAsia"/>
                <w:color w:val="000000"/>
                <w:sz w:val="24"/>
                <w:szCs w:val="24"/>
              </w:rPr>
            </w:pPr>
            <w:r>
              <w:rPr>
                <w:rFonts w:hint="default" w:ascii="Times New Roman" w:hAnsi="Times New Roman" w:cs="Times New Roman" w:eastAsiaTheme="majorEastAsia"/>
                <w:color w:val="000000"/>
                <w:kern w:val="0"/>
                <w:sz w:val="24"/>
                <w:szCs w:val="24"/>
              </w:rPr>
              <w:t>82.60</w:t>
            </w:r>
          </w:p>
        </w:tc>
        <w:tc>
          <w:tcPr>
            <w:tcW w:w="1073" w:type="dxa"/>
            <w:tcBorders>
              <w:top w:val="single" w:color="000000" w:sz="4" w:space="0"/>
              <w:left w:val="single" w:color="000000" w:sz="4" w:space="0"/>
              <w:bottom w:val="single" w:color="000000" w:sz="4" w:space="0"/>
              <w:right w:val="single" w:color="000000" w:sz="4" w:space="0"/>
            </w:tcBorders>
            <w:noWrap/>
            <w:vAlign w:val="center"/>
          </w:tcPr>
          <w:p w14:paraId="1CADF1B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ajorEastAsia"/>
                <w:color w:val="000000"/>
                <w:sz w:val="24"/>
                <w:szCs w:val="24"/>
              </w:rPr>
            </w:pPr>
            <w:r>
              <w:rPr>
                <w:rFonts w:hint="default" w:ascii="Times New Roman" w:hAnsi="Times New Roman" w:cs="Times New Roman" w:eastAsiaTheme="majorEastAsia"/>
                <w:color w:val="000000"/>
                <w:kern w:val="0"/>
                <w:sz w:val="24"/>
                <w:szCs w:val="24"/>
              </w:rPr>
              <w:t>82.60</w:t>
            </w:r>
          </w:p>
        </w:tc>
        <w:tc>
          <w:tcPr>
            <w:tcW w:w="1008" w:type="dxa"/>
            <w:tcBorders>
              <w:top w:val="single" w:color="000000" w:sz="4" w:space="0"/>
              <w:left w:val="single" w:color="000000" w:sz="4" w:space="0"/>
              <w:bottom w:val="single" w:color="000000" w:sz="4" w:space="0"/>
              <w:right w:val="single" w:color="000000" w:sz="4" w:space="0"/>
            </w:tcBorders>
            <w:noWrap/>
            <w:vAlign w:val="center"/>
          </w:tcPr>
          <w:p w14:paraId="502F8EC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ajorEastAsia"/>
                <w:color w:val="000000"/>
                <w:sz w:val="24"/>
                <w:szCs w:val="24"/>
              </w:rPr>
            </w:pPr>
            <w:r>
              <w:rPr>
                <w:rFonts w:hint="default" w:ascii="Times New Roman" w:hAnsi="Times New Roman" w:cs="Times New Roman" w:eastAsiaTheme="majorEastAsia"/>
                <w:color w:val="000000"/>
                <w:kern w:val="0"/>
                <w:sz w:val="24"/>
                <w:szCs w:val="24"/>
              </w:rPr>
              <w:t>0%</w:t>
            </w:r>
          </w:p>
        </w:tc>
      </w:tr>
      <w:tr w14:paraId="30139057">
        <w:tblPrEx>
          <w:tblCellMar>
            <w:top w:w="0" w:type="dxa"/>
            <w:left w:w="108" w:type="dxa"/>
            <w:bottom w:w="0" w:type="dxa"/>
            <w:right w:w="108" w:type="dxa"/>
          </w:tblCellMar>
        </w:tblPrEx>
        <w:trPr>
          <w:trHeight w:val="397" w:hRule="atLeast"/>
          <w:jc w:val="center"/>
        </w:trPr>
        <w:tc>
          <w:tcPr>
            <w:tcW w:w="581" w:type="dxa"/>
            <w:vMerge w:val="continue"/>
            <w:tcBorders>
              <w:left w:val="single" w:color="000000" w:sz="4" w:space="0"/>
              <w:bottom w:val="single" w:color="000000" w:sz="4" w:space="0"/>
              <w:right w:val="single" w:color="000000" w:sz="4" w:space="0"/>
            </w:tcBorders>
            <w:vAlign w:val="center"/>
          </w:tcPr>
          <w:p w14:paraId="0502537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ajorEastAsia"/>
                <w:color w:val="000000"/>
                <w:sz w:val="24"/>
                <w:szCs w:val="24"/>
              </w:rPr>
            </w:pPr>
          </w:p>
        </w:tc>
        <w:tc>
          <w:tcPr>
            <w:tcW w:w="5457" w:type="dxa"/>
            <w:tcBorders>
              <w:top w:val="single" w:color="000000" w:sz="4" w:space="0"/>
              <w:left w:val="single" w:color="000000" w:sz="4" w:space="0"/>
              <w:bottom w:val="single" w:color="000000" w:sz="4" w:space="0"/>
              <w:right w:val="single" w:color="000000" w:sz="4" w:space="0"/>
            </w:tcBorders>
            <w:noWrap/>
            <w:vAlign w:val="center"/>
          </w:tcPr>
          <w:p w14:paraId="7899247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ajorEastAsia"/>
                <w:color w:val="000000"/>
                <w:kern w:val="0"/>
                <w:sz w:val="24"/>
                <w:szCs w:val="24"/>
              </w:rPr>
            </w:pPr>
            <w:r>
              <w:rPr>
                <w:rFonts w:hint="default" w:ascii="Times New Roman" w:hAnsi="Times New Roman" w:cs="Times New Roman" w:eastAsiaTheme="majorEastAsia"/>
                <w:color w:val="000000"/>
                <w:kern w:val="0"/>
                <w:sz w:val="24"/>
                <w:szCs w:val="24"/>
              </w:rPr>
              <w:t>年末追加人员经费</w:t>
            </w:r>
          </w:p>
        </w:tc>
        <w:tc>
          <w:tcPr>
            <w:tcW w:w="1120" w:type="dxa"/>
            <w:tcBorders>
              <w:top w:val="single" w:color="000000" w:sz="4" w:space="0"/>
              <w:left w:val="single" w:color="000000" w:sz="4" w:space="0"/>
              <w:bottom w:val="single" w:color="000000" w:sz="4" w:space="0"/>
              <w:right w:val="single" w:color="000000" w:sz="4" w:space="0"/>
            </w:tcBorders>
            <w:noWrap/>
            <w:vAlign w:val="center"/>
          </w:tcPr>
          <w:p w14:paraId="40462F6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ajorEastAsia"/>
                <w:color w:val="000000"/>
                <w:kern w:val="0"/>
                <w:sz w:val="24"/>
                <w:szCs w:val="24"/>
                <w:lang w:val="en-US" w:eastAsia="zh-CN"/>
              </w:rPr>
            </w:pPr>
            <w:r>
              <w:rPr>
                <w:rFonts w:hint="default" w:ascii="Times New Roman" w:hAnsi="Times New Roman" w:cs="Times New Roman" w:eastAsiaTheme="majorEastAsia"/>
                <w:color w:val="000000"/>
                <w:kern w:val="0"/>
                <w:sz w:val="24"/>
                <w:szCs w:val="24"/>
              </w:rPr>
              <w:t>76.</w:t>
            </w:r>
            <w:r>
              <w:rPr>
                <w:rFonts w:hint="default" w:ascii="Times New Roman" w:hAnsi="Times New Roman" w:cs="Times New Roman" w:eastAsiaTheme="majorEastAsia"/>
                <w:color w:val="000000"/>
                <w:kern w:val="0"/>
                <w:sz w:val="24"/>
                <w:szCs w:val="24"/>
                <w:lang w:val="en-US" w:eastAsia="zh-CN"/>
              </w:rPr>
              <w:t>50</w:t>
            </w:r>
          </w:p>
        </w:tc>
        <w:tc>
          <w:tcPr>
            <w:tcW w:w="1073" w:type="dxa"/>
            <w:tcBorders>
              <w:top w:val="single" w:color="000000" w:sz="4" w:space="0"/>
              <w:left w:val="single" w:color="000000" w:sz="4" w:space="0"/>
              <w:bottom w:val="single" w:color="000000" w:sz="4" w:space="0"/>
              <w:right w:val="single" w:color="000000" w:sz="4" w:space="0"/>
            </w:tcBorders>
            <w:noWrap/>
            <w:vAlign w:val="center"/>
          </w:tcPr>
          <w:p w14:paraId="4BC92D4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ajorEastAsia"/>
                <w:color w:val="000000"/>
                <w:kern w:val="0"/>
                <w:sz w:val="24"/>
                <w:szCs w:val="24"/>
                <w:lang w:val="en-US" w:eastAsia="zh-CN"/>
              </w:rPr>
            </w:pPr>
            <w:r>
              <w:rPr>
                <w:rFonts w:hint="default" w:ascii="Times New Roman" w:hAnsi="Times New Roman" w:cs="Times New Roman" w:eastAsiaTheme="majorEastAsia"/>
                <w:color w:val="000000"/>
                <w:kern w:val="0"/>
                <w:sz w:val="24"/>
                <w:szCs w:val="24"/>
              </w:rPr>
              <w:t>76.</w:t>
            </w:r>
            <w:r>
              <w:rPr>
                <w:rFonts w:hint="default" w:ascii="Times New Roman" w:hAnsi="Times New Roman" w:cs="Times New Roman" w:eastAsiaTheme="majorEastAsia"/>
                <w:color w:val="000000"/>
                <w:kern w:val="0"/>
                <w:sz w:val="24"/>
                <w:szCs w:val="24"/>
                <w:lang w:val="en-US" w:eastAsia="zh-CN"/>
              </w:rPr>
              <w:t>50</w:t>
            </w:r>
          </w:p>
        </w:tc>
        <w:tc>
          <w:tcPr>
            <w:tcW w:w="1008" w:type="dxa"/>
            <w:tcBorders>
              <w:top w:val="single" w:color="000000" w:sz="4" w:space="0"/>
              <w:left w:val="single" w:color="000000" w:sz="4" w:space="0"/>
              <w:bottom w:val="single" w:color="000000" w:sz="4" w:space="0"/>
              <w:right w:val="single" w:color="000000" w:sz="4" w:space="0"/>
            </w:tcBorders>
            <w:noWrap/>
            <w:vAlign w:val="center"/>
          </w:tcPr>
          <w:p w14:paraId="71208DD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ajorEastAsia"/>
                <w:color w:val="000000"/>
                <w:kern w:val="0"/>
                <w:sz w:val="24"/>
                <w:szCs w:val="24"/>
              </w:rPr>
            </w:pPr>
            <w:r>
              <w:rPr>
                <w:rFonts w:hint="default" w:ascii="Times New Roman" w:hAnsi="Times New Roman" w:cs="Times New Roman" w:eastAsiaTheme="majorEastAsia"/>
                <w:color w:val="000000"/>
                <w:kern w:val="0"/>
                <w:sz w:val="24"/>
                <w:szCs w:val="24"/>
              </w:rPr>
              <w:t>0%</w:t>
            </w:r>
          </w:p>
        </w:tc>
      </w:tr>
      <w:tr w14:paraId="6C309CB4">
        <w:tblPrEx>
          <w:tblCellMar>
            <w:top w:w="0" w:type="dxa"/>
            <w:left w:w="108" w:type="dxa"/>
            <w:bottom w:w="0" w:type="dxa"/>
            <w:right w:w="108" w:type="dxa"/>
          </w:tblCellMar>
        </w:tblPrEx>
        <w:trPr>
          <w:trHeight w:val="397" w:hRule="atLeast"/>
          <w:jc w:val="center"/>
        </w:trPr>
        <w:tc>
          <w:tcPr>
            <w:tcW w:w="581" w:type="dxa"/>
            <w:vMerge w:val="restart"/>
            <w:tcBorders>
              <w:top w:val="single" w:color="000000" w:sz="4" w:space="0"/>
              <w:left w:val="single" w:color="000000" w:sz="4" w:space="0"/>
              <w:right w:val="single" w:color="000000" w:sz="4" w:space="0"/>
            </w:tcBorders>
            <w:vAlign w:val="center"/>
          </w:tcPr>
          <w:p w14:paraId="541C9D8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ajorEastAsia"/>
                <w:color w:val="000000"/>
                <w:sz w:val="24"/>
                <w:szCs w:val="24"/>
              </w:rPr>
            </w:pPr>
            <w:r>
              <w:rPr>
                <w:rFonts w:hint="default" w:ascii="Times New Roman" w:hAnsi="Times New Roman" w:cs="Times New Roman" w:eastAsiaTheme="majorEastAsia"/>
                <w:color w:val="000000"/>
                <w:sz w:val="24"/>
                <w:szCs w:val="24"/>
              </w:rPr>
              <w:t>项目支出</w:t>
            </w:r>
          </w:p>
        </w:tc>
        <w:tc>
          <w:tcPr>
            <w:tcW w:w="5457" w:type="dxa"/>
            <w:tcBorders>
              <w:top w:val="single" w:color="000000" w:sz="4" w:space="0"/>
              <w:left w:val="single" w:color="000000" w:sz="4" w:space="0"/>
              <w:bottom w:val="single" w:color="000000" w:sz="4" w:space="0"/>
              <w:right w:val="single" w:color="000000" w:sz="4" w:space="0"/>
            </w:tcBorders>
            <w:noWrap/>
            <w:vAlign w:val="center"/>
          </w:tcPr>
          <w:p w14:paraId="7083285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ajorEastAsia"/>
                <w:color w:val="000000"/>
                <w:kern w:val="0"/>
                <w:sz w:val="24"/>
                <w:szCs w:val="24"/>
              </w:rPr>
            </w:pPr>
            <w:r>
              <w:rPr>
                <w:rFonts w:hint="default" w:ascii="Times New Roman" w:hAnsi="Times New Roman" w:cs="Times New Roman" w:eastAsiaTheme="majorEastAsia"/>
                <w:color w:val="000000"/>
                <w:kern w:val="0"/>
                <w:sz w:val="24"/>
                <w:szCs w:val="24"/>
              </w:rPr>
              <w:t>运转类特定项目</w:t>
            </w:r>
          </w:p>
        </w:tc>
        <w:tc>
          <w:tcPr>
            <w:tcW w:w="1120" w:type="dxa"/>
            <w:tcBorders>
              <w:top w:val="single" w:color="000000" w:sz="4" w:space="0"/>
              <w:left w:val="single" w:color="000000" w:sz="4" w:space="0"/>
              <w:bottom w:val="single" w:color="000000" w:sz="4" w:space="0"/>
              <w:right w:val="single" w:color="000000" w:sz="4" w:space="0"/>
            </w:tcBorders>
            <w:noWrap/>
            <w:vAlign w:val="center"/>
          </w:tcPr>
          <w:p w14:paraId="1373D58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ajorEastAsia"/>
                <w:color w:val="000000"/>
                <w:sz w:val="24"/>
                <w:szCs w:val="24"/>
              </w:rPr>
            </w:pPr>
            <w:r>
              <w:rPr>
                <w:rFonts w:hint="default" w:ascii="Times New Roman" w:hAnsi="Times New Roman" w:cs="Times New Roman" w:eastAsiaTheme="majorEastAsia"/>
                <w:color w:val="000000"/>
                <w:sz w:val="24"/>
                <w:szCs w:val="24"/>
              </w:rPr>
              <w:t>30</w:t>
            </w:r>
          </w:p>
        </w:tc>
        <w:tc>
          <w:tcPr>
            <w:tcW w:w="1073" w:type="dxa"/>
            <w:tcBorders>
              <w:top w:val="single" w:color="000000" w:sz="4" w:space="0"/>
              <w:left w:val="single" w:color="000000" w:sz="4" w:space="0"/>
              <w:bottom w:val="single" w:color="000000" w:sz="4" w:space="0"/>
              <w:right w:val="single" w:color="000000" w:sz="4" w:space="0"/>
            </w:tcBorders>
            <w:noWrap/>
            <w:vAlign w:val="center"/>
          </w:tcPr>
          <w:p w14:paraId="0ABE4FB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ajorEastAsia"/>
                <w:color w:val="000000"/>
                <w:sz w:val="24"/>
                <w:szCs w:val="24"/>
              </w:rPr>
            </w:pPr>
            <w:r>
              <w:rPr>
                <w:rFonts w:hint="default" w:ascii="Times New Roman" w:hAnsi="Times New Roman" w:cs="Times New Roman" w:eastAsiaTheme="majorEastAsia"/>
                <w:color w:val="000000"/>
                <w:sz w:val="24"/>
                <w:szCs w:val="24"/>
              </w:rPr>
              <w:t>30</w:t>
            </w:r>
          </w:p>
        </w:tc>
        <w:tc>
          <w:tcPr>
            <w:tcW w:w="1008" w:type="dxa"/>
            <w:tcBorders>
              <w:top w:val="single" w:color="000000" w:sz="4" w:space="0"/>
              <w:left w:val="single" w:color="000000" w:sz="4" w:space="0"/>
              <w:bottom w:val="single" w:color="000000" w:sz="4" w:space="0"/>
              <w:right w:val="single" w:color="000000" w:sz="4" w:space="0"/>
            </w:tcBorders>
            <w:noWrap/>
            <w:vAlign w:val="center"/>
          </w:tcPr>
          <w:p w14:paraId="28B15C8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ajorEastAsia"/>
                <w:color w:val="000000"/>
                <w:sz w:val="24"/>
                <w:szCs w:val="24"/>
              </w:rPr>
            </w:pPr>
            <w:r>
              <w:rPr>
                <w:rFonts w:hint="default" w:ascii="Times New Roman" w:hAnsi="Times New Roman" w:cs="Times New Roman" w:eastAsiaTheme="majorEastAsia"/>
                <w:color w:val="000000"/>
                <w:kern w:val="0"/>
                <w:sz w:val="24"/>
                <w:szCs w:val="24"/>
              </w:rPr>
              <w:t>0%</w:t>
            </w:r>
          </w:p>
        </w:tc>
      </w:tr>
      <w:tr w14:paraId="5CFF66B2">
        <w:tblPrEx>
          <w:tblCellMar>
            <w:top w:w="0" w:type="dxa"/>
            <w:left w:w="108" w:type="dxa"/>
            <w:bottom w:w="0" w:type="dxa"/>
            <w:right w:w="108" w:type="dxa"/>
          </w:tblCellMar>
        </w:tblPrEx>
        <w:trPr>
          <w:trHeight w:val="397" w:hRule="atLeast"/>
          <w:jc w:val="center"/>
        </w:trPr>
        <w:tc>
          <w:tcPr>
            <w:tcW w:w="581" w:type="dxa"/>
            <w:vMerge w:val="continue"/>
            <w:tcBorders>
              <w:left w:val="single" w:color="000000" w:sz="4" w:space="0"/>
              <w:right w:val="single" w:color="000000" w:sz="4" w:space="0"/>
            </w:tcBorders>
            <w:vAlign w:val="center"/>
          </w:tcPr>
          <w:p w14:paraId="193E486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ajorEastAsia"/>
                <w:color w:val="000000"/>
                <w:sz w:val="24"/>
                <w:szCs w:val="24"/>
              </w:rPr>
            </w:pPr>
          </w:p>
        </w:tc>
        <w:tc>
          <w:tcPr>
            <w:tcW w:w="5457" w:type="dxa"/>
            <w:tcBorders>
              <w:top w:val="single" w:color="000000" w:sz="4" w:space="0"/>
              <w:left w:val="single" w:color="000000" w:sz="4" w:space="0"/>
              <w:bottom w:val="single" w:color="000000" w:sz="4" w:space="0"/>
              <w:right w:val="single" w:color="000000" w:sz="4" w:space="0"/>
            </w:tcBorders>
            <w:noWrap/>
            <w:vAlign w:val="center"/>
          </w:tcPr>
          <w:p w14:paraId="700D9B9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ajorEastAsia"/>
                <w:color w:val="000000"/>
                <w:kern w:val="0"/>
                <w:sz w:val="24"/>
                <w:szCs w:val="24"/>
              </w:rPr>
            </w:pPr>
            <w:r>
              <w:rPr>
                <w:rFonts w:hint="default" w:ascii="Times New Roman" w:hAnsi="Times New Roman" w:cs="Times New Roman" w:eastAsiaTheme="majorEastAsia"/>
                <w:color w:val="000000"/>
                <w:kern w:val="0"/>
                <w:sz w:val="24"/>
                <w:szCs w:val="24"/>
              </w:rPr>
              <w:t>转移性项目：2022年第一批中央地质灾害防治补助资金</w:t>
            </w:r>
          </w:p>
        </w:tc>
        <w:tc>
          <w:tcPr>
            <w:tcW w:w="1120" w:type="dxa"/>
            <w:tcBorders>
              <w:top w:val="single" w:color="000000" w:sz="4" w:space="0"/>
              <w:left w:val="single" w:color="000000" w:sz="4" w:space="0"/>
              <w:bottom w:val="single" w:color="000000" w:sz="4" w:space="0"/>
              <w:right w:val="single" w:color="000000" w:sz="4" w:space="0"/>
            </w:tcBorders>
            <w:noWrap/>
            <w:vAlign w:val="center"/>
          </w:tcPr>
          <w:p w14:paraId="5307015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ajorEastAsia"/>
                <w:color w:val="000000"/>
                <w:sz w:val="24"/>
                <w:szCs w:val="24"/>
              </w:rPr>
            </w:pPr>
            <w:r>
              <w:rPr>
                <w:rFonts w:hint="default" w:ascii="Times New Roman" w:hAnsi="Times New Roman" w:cs="Times New Roman" w:eastAsiaTheme="majorEastAsia"/>
                <w:color w:val="000000"/>
                <w:sz w:val="24"/>
                <w:szCs w:val="24"/>
              </w:rPr>
              <w:t>706</w:t>
            </w:r>
          </w:p>
        </w:tc>
        <w:tc>
          <w:tcPr>
            <w:tcW w:w="1073" w:type="dxa"/>
            <w:tcBorders>
              <w:top w:val="single" w:color="000000" w:sz="4" w:space="0"/>
              <w:left w:val="single" w:color="000000" w:sz="4" w:space="0"/>
              <w:bottom w:val="single" w:color="000000" w:sz="4" w:space="0"/>
              <w:right w:val="single" w:color="000000" w:sz="4" w:space="0"/>
            </w:tcBorders>
            <w:noWrap/>
            <w:vAlign w:val="center"/>
          </w:tcPr>
          <w:p w14:paraId="4BF142D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ajorEastAsia"/>
                <w:color w:val="000000"/>
                <w:sz w:val="24"/>
                <w:szCs w:val="24"/>
              </w:rPr>
            </w:pPr>
            <w:r>
              <w:rPr>
                <w:rFonts w:hint="default" w:ascii="Times New Roman" w:hAnsi="Times New Roman" w:cs="Times New Roman" w:eastAsiaTheme="majorEastAsia"/>
                <w:color w:val="000000"/>
                <w:sz w:val="24"/>
                <w:szCs w:val="24"/>
              </w:rPr>
              <w:t>706</w:t>
            </w:r>
          </w:p>
        </w:tc>
        <w:tc>
          <w:tcPr>
            <w:tcW w:w="1008" w:type="dxa"/>
            <w:tcBorders>
              <w:top w:val="single" w:color="000000" w:sz="4" w:space="0"/>
              <w:left w:val="single" w:color="000000" w:sz="4" w:space="0"/>
              <w:bottom w:val="single" w:color="000000" w:sz="4" w:space="0"/>
              <w:right w:val="single" w:color="000000" w:sz="4" w:space="0"/>
            </w:tcBorders>
            <w:noWrap/>
            <w:vAlign w:val="center"/>
          </w:tcPr>
          <w:p w14:paraId="7D86B5C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ajorEastAsia"/>
                <w:color w:val="000000"/>
                <w:sz w:val="24"/>
                <w:szCs w:val="24"/>
              </w:rPr>
            </w:pPr>
            <w:r>
              <w:rPr>
                <w:rFonts w:hint="default" w:ascii="Times New Roman" w:hAnsi="Times New Roman" w:cs="Times New Roman" w:eastAsiaTheme="majorEastAsia"/>
                <w:color w:val="000000"/>
                <w:kern w:val="0"/>
                <w:sz w:val="24"/>
                <w:szCs w:val="24"/>
              </w:rPr>
              <w:t>0%</w:t>
            </w:r>
          </w:p>
        </w:tc>
      </w:tr>
      <w:tr w14:paraId="322646B0">
        <w:tblPrEx>
          <w:tblCellMar>
            <w:top w:w="0" w:type="dxa"/>
            <w:left w:w="108" w:type="dxa"/>
            <w:bottom w:w="0" w:type="dxa"/>
            <w:right w:w="108" w:type="dxa"/>
          </w:tblCellMar>
        </w:tblPrEx>
        <w:trPr>
          <w:trHeight w:val="397" w:hRule="atLeast"/>
          <w:jc w:val="center"/>
        </w:trPr>
        <w:tc>
          <w:tcPr>
            <w:tcW w:w="581" w:type="dxa"/>
            <w:vMerge w:val="continue"/>
            <w:tcBorders>
              <w:left w:val="single" w:color="000000" w:sz="4" w:space="0"/>
              <w:right w:val="single" w:color="000000" w:sz="4" w:space="0"/>
            </w:tcBorders>
            <w:vAlign w:val="center"/>
          </w:tcPr>
          <w:p w14:paraId="5B24F74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ajorEastAsia"/>
                <w:color w:val="000000"/>
                <w:sz w:val="24"/>
                <w:szCs w:val="24"/>
              </w:rPr>
            </w:pPr>
          </w:p>
        </w:tc>
        <w:tc>
          <w:tcPr>
            <w:tcW w:w="5457" w:type="dxa"/>
            <w:tcBorders>
              <w:top w:val="single" w:color="000000" w:sz="4" w:space="0"/>
              <w:left w:val="single" w:color="000000" w:sz="4" w:space="0"/>
              <w:bottom w:val="single" w:color="000000" w:sz="4" w:space="0"/>
              <w:right w:val="single" w:color="000000" w:sz="4" w:space="0"/>
            </w:tcBorders>
            <w:noWrap/>
            <w:vAlign w:val="center"/>
          </w:tcPr>
          <w:p w14:paraId="317B75C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ajorEastAsia"/>
                <w:color w:val="000000"/>
                <w:kern w:val="0"/>
                <w:sz w:val="24"/>
                <w:szCs w:val="24"/>
              </w:rPr>
            </w:pPr>
            <w:r>
              <w:rPr>
                <w:rFonts w:hint="default" w:ascii="Times New Roman" w:hAnsi="Times New Roman" w:cs="Times New Roman" w:eastAsiaTheme="majorEastAsia"/>
                <w:color w:val="000000"/>
                <w:kern w:val="0"/>
                <w:sz w:val="24"/>
                <w:szCs w:val="24"/>
              </w:rPr>
              <w:t>转移性项目：2022年第三批地质灾害防治补助资金</w:t>
            </w:r>
          </w:p>
        </w:tc>
        <w:tc>
          <w:tcPr>
            <w:tcW w:w="1120" w:type="dxa"/>
            <w:tcBorders>
              <w:top w:val="single" w:color="000000" w:sz="4" w:space="0"/>
              <w:left w:val="single" w:color="000000" w:sz="4" w:space="0"/>
              <w:bottom w:val="single" w:color="000000" w:sz="4" w:space="0"/>
              <w:right w:val="single" w:color="000000" w:sz="4" w:space="0"/>
            </w:tcBorders>
            <w:noWrap/>
            <w:vAlign w:val="center"/>
          </w:tcPr>
          <w:p w14:paraId="05F50E5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ajorEastAsia"/>
                <w:color w:val="000000"/>
                <w:kern w:val="0"/>
                <w:sz w:val="24"/>
                <w:szCs w:val="24"/>
              </w:rPr>
            </w:pPr>
            <w:r>
              <w:rPr>
                <w:rFonts w:hint="default" w:ascii="Times New Roman" w:hAnsi="Times New Roman" w:cs="Times New Roman" w:eastAsiaTheme="majorEastAsia"/>
                <w:color w:val="000000"/>
                <w:kern w:val="0"/>
                <w:sz w:val="24"/>
                <w:szCs w:val="24"/>
              </w:rPr>
              <w:t>193.06</w:t>
            </w:r>
          </w:p>
        </w:tc>
        <w:tc>
          <w:tcPr>
            <w:tcW w:w="1073" w:type="dxa"/>
            <w:tcBorders>
              <w:top w:val="single" w:color="000000" w:sz="4" w:space="0"/>
              <w:left w:val="single" w:color="000000" w:sz="4" w:space="0"/>
              <w:bottom w:val="single" w:color="000000" w:sz="4" w:space="0"/>
              <w:right w:val="single" w:color="000000" w:sz="4" w:space="0"/>
            </w:tcBorders>
            <w:noWrap/>
            <w:vAlign w:val="center"/>
          </w:tcPr>
          <w:p w14:paraId="1BB149D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ajorEastAsia"/>
                <w:color w:val="000000"/>
                <w:kern w:val="0"/>
                <w:sz w:val="24"/>
                <w:szCs w:val="24"/>
              </w:rPr>
            </w:pPr>
            <w:r>
              <w:rPr>
                <w:rFonts w:hint="default" w:ascii="Times New Roman" w:hAnsi="Times New Roman" w:cs="Times New Roman" w:eastAsiaTheme="majorEastAsia"/>
                <w:color w:val="000000"/>
                <w:kern w:val="0"/>
                <w:sz w:val="24"/>
                <w:szCs w:val="24"/>
              </w:rPr>
              <w:t>193.06</w:t>
            </w:r>
          </w:p>
        </w:tc>
        <w:tc>
          <w:tcPr>
            <w:tcW w:w="1008" w:type="dxa"/>
            <w:tcBorders>
              <w:top w:val="single" w:color="000000" w:sz="4" w:space="0"/>
              <w:left w:val="single" w:color="000000" w:sz="4" w:space="0"/>
              <w:bottom w:val="single" w:color="000000" w:sz="4" w:space="0"/>
              <w:right w:val="single" w:color="000000" w:sz="4" w:space="0"/>
            </w:tcBorders>
            <w:noWrap/>
            <w:vAlign w:val="center"/>
          </w:tcPr>
          <w:p w14:paraId="38AAEED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ajorEastAsia"/>
                <w:color w:val="000000"/>
                <w:kern w:val="0"/>
                <w:sz w:val="24"/>
                <w:szCs w:val="24"/>
              </w:rPr>
            </w:pPr>
            <w:r>
              <w:rPr>
                <w:rFonts w:hint="default" w:ascii="Times New Roman" w:hAnsi="Times New Roman" w:cs="Times New Roman" w:eastAsiaTheme="majorEastAsia"/>
                <w:color w:val="000000"/>
                <w:kern w:val="0"/>
                <w:sz w:val="24"/>
                <w:szCs w:val="24"/>
              </w:rPr>
              <w:t>0%</w:t>
            </w:r>
          </w:p>
        </w:tc>
      </w:tr>
      <w:tr w14:paraId="04261520">
        <w:tblPrEx>
          <w:tblCellMar>
            <w:top w:w="0" w:type="dxa"/>
            <w:left w:w="108" w:type="dxa"/>
            <w:bottom w:w="0" w:type="dxa"/>
            <w:right w:w="108" w:type="dxa"/>
          </w:tblCellMar>
        </w:tblPrEx>
        <w:trPr>
          <w:trHeight w:val="397" w:hRule="atLeast"/>
          <w:jc w:val="center"/>
        </w:trPr>
        <w:tc>
          <w:tcPr>
            <w:tcW w:w="581" w:type="dxa"/>
            <w:vMerge w:val="continue"/>
            <w:tcBorders>
              <w:left w:val="single" w:color="000000" w:sz="4" w:space="0"/>
              <w:right w:val="single" w:color="000000" w:sz="4" w:space="0"/>
            </w:tcBorders>
            <w:vAlign w:val="center"/>
          </w:tcPr>
          <w:p w14:paraId="4F1B5C5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ajorEastAsia"/>
                <w:color w:val="000000"/>
                <w:sz w:val="24"/>
                <w:szCs w:val="24"/>
              </w:rPr>
            </w:pPr>
          </w:p>
        </w:tc>
        <w:tc>
          <w:tcPr>
            <w:tcW w:w="5457" w:type="dxa"/>
            <w:tcBorders>
              <w:top w:val="single" w:color="000000" w:sz="4" w:space="0"/>
              <w:left w:val="single" w:color="000000" w:sz="4" w:space="0"/>
              <w:bottom w:val="single" w:color="000000" w:sz="4" w:space="0"/>
              <w:right w:val="single" w:color="000000" w:sz="4" w:space="0"/>
            </w:tcBorders>
            <w:noWrap/>
            <w:vAlign w:val="center"/>
          </w:tcPr>
          <w:p w14:paraId="1B2681B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ajorEastAsia"/>
                <w:color w:val="000000"/>
                <w:kern w:val="0"/>
                <w:sz w:val="24"/>
                <w:szCs w:val="24"/>
              </w:rPr>
            </w:pPr>
            <w:r>
              <w:rPr>
                <w:rFonts w:hint="default" w:ascii="Times New Roman" w:hAnsi="Times New Roman" w:cs="Times New Roman" w:eastAsiaTheme="majorEastAsia"/>
                <w:color w:val="000000"/>
                <w:kern w:val="0"/>
                <w:sz w:val="24"/>
                <w:szCs w:val="24"/>
              </w:rPr>
              <w:t>转移性项目：2022年第一批省级土地整治专项资金</w:t>
            </w:r>
          </w:p>
        </w:tc>
        <w:tc>
          <w:tcPr>
            <w:tcW w:w="1120" w:type="dxa"/>
            <w:tcBorders>
              <w:top w:val="single" w:color="000000" w:sz="4" w:space="0"/>
              <w:left w:val="single" w:color="000000" w:sz="4" w:space="0"/>
              <w:bottom w:val="single" w:color="000000" w:sz="4" w:space="0"/>
              <w:right w:val="single" w:color="000000" w:sz="4" w:space="0"/>
            </w:tcBorders>
            <w:noWrap/>
            <w:vAlign w:val="center"/>
          </w:tcPr>
          <w:p w14:paraId="3E6862A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ajorEastAsia"/>
                <w:color w:val="000000"/>
                <w:kern w:val="0"/>
                <w:sz w:val="24"/>
                <w:szCs w:val="24"/>
              </w:rPr>
            </w:pPr>
            <w:r>
              <w:rPr>
                <w:rFonts w:hint="default" w:ascii="Times New Roman" w:hAnsi="Times New Roman" w:cs="Times New Roman" w:eastAsiaTheme="majorEastAsia"/>
                <w:color w:val="000000"/>
                <w:kern w:val="0"/>
                <w:sz w:val="24"/>
                <w:szCs w:val="24"/>
              </w:rPr>
              <w:t>1280.18</w:t>
            </w:r>
          </w:p>
        </w:tc>
        <w:tc>
          <w:tcPr>
            <w:tcW w:w="1073" w:type="dxa"/>
            <w:tcBorders>
              <w:top w:val="single" w:color="000000" w:sz="4" w:space="0"/>
              <w:left w:val="single" w:color="000000" w:sz="4" w:space="0"/>
              <w:bottom w:val="single" w:color="000000" w:sz="4" w:space="0"/>
              <w:right w:val="single" w:color="000000" w:sz="4" w:space="0"/>
            </w:tcBorders>
            <w:noWrap/>
            <w:vAlign w:val="center"/>
          </w:tcPr>
          <w:p w14:paraId="0005EBD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ajorEastAsia"/>
                <w:color w:val="000000"/>
                <w:kern w:val="0"/>
                <w:sz w:val="24"/>
                <w:szCs w:val="24"/>
              </w:rPr>
            </w:pPr>
            <w:r>
              <w:rPr>
                <w:rFonts w:hint="default" w:ascii="Times New Roman" w:hAnsi="Times New Roman" w:cs="Times New Roman" w:eastAsiaTheme="majorEastAsia"/>
                <w:color w:val="000000"/>
                <w:kern w:val="0"/>
                <w:sz w:val="24"/>
                <w:szCs w:val="24"/>
              </w:rPr>
              <w:t>1280.18</w:t>
            </w:r>
          </w:p>
        </w:tc>
        <w:tc>
          <w:tcPr>
            <w:tcW w:w="1008" w:type="dxa"/>
            <w:tcBorders>
              <w:top w:val="single" w:color="000000" w:sz="4" w:space="0"/>
              <w:left w:val="single" w:color="000000" w:sz="4" w:space="0"/>
              <w:bottom w:val="single" w:color="000000" w:sz="4" w:space="0"/>
              <w:right w:val="single" w:color="000000" w:sz="4" w:space="0"/>
            </w:tcBorders>
            <w:noWrap/>
            <w:vAlign w:val="center"/>
          </w:tcPr>
          <w:p w14:paraId="5B18ADF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ajorEastAsia"/>
                <w:color w:val="000000"/>
                <w:kern w:val="0"/>
                <w:sz w:val="24"/>
                <w:szCs w:val="24"/>
              </w:rPr>
            </w:pPr>
            <w:r>
              <w:rPr>
                <w:rFonts w:hint="default" w:ascii="Times New Roman" w:hAnsi="Times New Roman" w:cs="Times New Roman" w:eastAsiaTheme="majorEastAsia"/>
                <w:color w:val="000000"/>
                <w:kern w:val="0"/>
                <w:sz w:val="24"/>
                <w:szCs w:val="24"/>
              </w:rPr>
              <w:t>0%</w:t>
            </w:r>
          </w:p>
        </w:tc>
      </w:tr>
      <w:tr w14:paraId="54956FC1">
        <w:tblPrEx>
          <w:tblCellMar>
            <w:top w:w="0" w:type="dxa"/>
            <w:left w:w="108" w:type="dxa"/>
            <w:bottom w:w="0" w:type="dxa"/>
            <w:right w:w="108" w:type="dxa"/>
          </w:tblCellMar>
        </w:tblPrEx>
        <w:trPr>
          <w:trHeight w:val="397" w:hRule="atLeast"/>
          <w:jc w:val="center"/>
        </w:trPr>
        <w:tc>
          <w:tcPr>
            <w:tcW w:w="581" w:type="dxa"/>
            <w:vMerge w:val="continue"/>
            <w:tcBorders>
              <w:left w:val="single" w:color="000000" w:sz="4" w:space="0"/>
              <w:right w:val="single" w:color="000000" w:sz="4" w:space="0"/>
            </w:tcBorders>
            <w:vAlign w:val="center"/>
          </w:tcPr>
          <w:p w14:paraId="62AE9EC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ajorEastAsia"/>
                <w:color w:val="000000"/>
                <w:sz w:val="24"/>
                <w:szCs w:val="24"/>
              </w:rPr>
            </w:pPr>
          </w:p>
        </w:tc>
        <w:tc>
          <w:tcPr>
            <w:tcW w:w="5457" w:type="dxa"/>
            <w:tcBorders>
              <w:top w:val="single" w:color="000000" w:sz="4" w:space="0"/>
              <w:left w:val="single" w:color="000000" w:sz="4" w:space="0"/>
              <w:bottom w:val="single" w:color="000000" w:sz="4" w:space="0"/>
              <w:right w:val="single" w:color="000000" w:sz="4" w:space="0"/>
            </w:tcBorders>
            <w:noWrap/>
            <w:vAlign w:val="center"/>
          </w:tcPr>
          <w:p w14:paraId="02473A8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ajorEastAsia"/>
                <w:color w:val="000000"/>
                <w:kern w:val="0"/>
                <w:sz w:val="24"/>
                <w:szCs w:val="24"/>
              </w:rPr>
            </w:pPr>
            <w:r>
              <w:rPr>
                <w:rFonts w:hint="default" w:ascii="Times New Roman" w:hAnsi="Times New Roman" w:cs="Times New Roman" w:eastAsiaTheme="majorEastAsia"/>
                <w:color w:val="000000"/>
                <w:kern w:val="0"/>
                <w:sz w:val="24"/>
                <w:szCs w:val="24"/>
              </w:rPr>
              <w:t>转移性项目：2022年乡村国土空间规划编制省级财政奖补专项资金</w:t>
            </w:r>
          </w:p>
        </w:tc>
        <w:tc>
          <w:tcPr>
            <w:tcW w:w="1120" w:type="dxa"/>
            <w:tcBorders>
              <w:top w:val="single" w:color="000000" w:sz="4" w:space="0"/>
              <w:left w:val="single" w:color="000000" w:sz="4" w:space="0"/>
              <w:bottom w:val="single" w:color="000000" w:sz="4" w:space="0"/>
              <w:right w:val="single" w:color="000000" w:sz="4" w:space="0"/>
            </w:tcBorders>
            <w:noWrap/>
            <w:vAlign w:val="center"/>
          </w:tcPr>
          <w:p w14:paraId="650377B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ajorEastAsia"/>
                <w:kern w:val="0"/>
                <w:sz w:val="24"/>
                <w:szCs w:val="24"/>
              </w:rPr>
            </w:pPr>
            <w:r>
              <w:rPr>
                <w:rFonts w:hint="default" w:ascii="Times New Roman" w:hAnsi="Times New Roman" w:cs="Times New Roman" w:eastAsiaTheme="majorEastAsia"/>
                <w:kern w:val="0"/>
                <w:sz w:val="24"/>
                <w:szCs w:val="24"/>
              </w:rPr>
              <w:t>36</w:t>
            </w:r>
          </w:p>
        </w:tc>
        <w:tc>
          <w:tcPr>
            <w:tcW w:w="1073" w:type="dxa"/>
            <w:tcBorders>
              <w:top w:val="single" w:color="000000" w:sz="4" w:space="0"/>
              <w:left w:val="single" w:color="000000" w:sz="4" w:space="0"/>
              <w:bottom w:val="single" w:color="000000" w:sz="4" w:space="0"/>
              <w:right w:val="single" w:color="000000" w:sz="4" w:space="0"/>
            </w:tcBorders>
            <w:noWrap/>
            <w:vAlign w:val="center"/>
          </w:tcPr>
          <w:p w14:paraId="7DE9D7D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ajorEastAsia"/>
                <w:kern w:val="0"/>
                <w:sz w:val="24"/>
                <w:szCs w:val="24"/>
              </w:rPr>
            </w:pPr>
            <w:r>
              <w:rPr>
                <w:rFonts w:hint="default" w:ascii="Times New Roman" w:hAnsi="Times New Roman" w:cs="Times New Roman" w:eastAsiaTheme="majorEastAsia"/>
                <w:kern w:val="0"/>
                <w:sz w:val="24"/>
                <w:szCs w:val="24"/>
              </w:rPr>
              <w:t>36</w:t>
            </w:r>
          </w:p>
        </w:tc>
        <w:tc>
          <w:tcPr>
            <w:tcW w:w="1008" w:type="dxa"/>
            <w:tcBorders>
              <w:top w:val="single" w:color="000000" w:sz="4" w:space="0"/>
              <w:left w:val="single" w:color="000000" w:sz="4" w:space="0"/>
              <w:bottom w:val="single" w:color="000000" w:sz="4" w:space="0"/>
              <w:right w:val="single" w:color="000000" w:sz="4" w:space="0"/>
            </w:tcBorders>
            <w:noWrap/>
            <w:vAlign w:val="center"/>
          </w:tcPr>
          <w:p w14:paraId="49F746D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ajorEastAsia"/>
                <w:color w:val="000000"/>
                <w:kern w:val="0"/>
                <w:sz w:val="24"/>
                <w:szCs w:val="24"/>
              </w:rPr>
            </w:pPr>
            <w:r>
              <w:rPr>
                <w:rFonts w:hint="default" w:ascii="Times New Roman" w:hAnsi="Times New Roman" w:cs="Times New Roman" w:eastAsiaTheme="majorEastAsia"/>
                <w:color w:val="000000"/>
                <w:kern w:val="0"/>
                <w:sz w:val="24"/>
                <w:szCs w:val="24"/>
              </w:rPr>
              <w:t>0%</w:t>
            </w:r>
          </w:p>
        </w:tc>
      </w:tr>
      <w:tr w14:paraId="58A2A76C">
        <w:tblPrEx>
          <w:tblCellMar>
            <w:top w:w="0" w:type="dxa"/>
            <w:left w:w="108" w:type="dxa"/>
            <w:bottom w:w="0" w:type="dxa"/>
            <w:right w:w="108" w:type="dxa"/>
          </w:tblCellMar>
        </w:tblPrEx>
        <w:trPr>
          <w:trHeight w:val="397" w:hRule="atLeast"/>
          <w:jc w:val="center"/>
        </w:trPr>
        <w:tc>
          <w:tcPr>
            <w:tcW w:w="581" w:type="dxa"/>
            <w:vMerge w:val="continue"/>
            <w:tcBorders>
              <w:left w:val="single" w:color="000000" w:sz="4" w:space="0"/>
              <w:right w:val="single" w:color="000000" w:sz="4" w:space="0"/>
            </w:tcBorders>
            <w:vAlign w:val="center"/>
          </w:tcPr>
          <w:p w14:paraId="6F9B11C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ajorEastAsia"/>
                <w:color w:val="000000"/>
                <w:sz w:val="24"/>
                <w:szCs w:val="24"/>
              </w:rPr>
            </w:pPr>
          </w:p>
        </w:tc>
        <w:tc>
          <w:tcPr>
            <w:tcW w:w="5457" w:type="dxa"/>
            <w:tcBorders>
              <w:top w:val="single" w:color="000000" w:sz="4" w:space="0"/>
              <w:left w:val="single" w:color="000000" w:sz="4" w:space="0"/>
              <w:bottom w:val="single" w:color="000000" w:sz="4" w:space="0"/>
              <w:right w:val="single" w:color="000000" w:sz="4" w:space="0"/>
            </w:tcBorders>
            <w:noWrap/>
            <w:vAlign w:val="center"/>
          </w:tcPr>
          <w:p w14:paraId="68B433D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ajorEastAsia"/>
                <w:color w:val="000000"/>
                <w:kern w:val="0"/>
                <w:sz w:val="24"/>
                <w:szCs w:val="24"/>
              </w:rPr>
            </w:pPr>
            <w:r>
              <w:rPr>
                <w:rFonts w:hint="default" w:ascii="Times New Roman" w:hAnsi="Times New Roman" w:cs="Times New Roman" w:eastAsiaTheme="majorEastAsia"/>
                <w:color w:val="000000"/>
                <w:kern w:val="0"/>
                <w:sz w:val="24"/>
                <w:szCs w:val="24"/>
              </w:rPr>
              <w:t>转移性项目：一般债券：广元市昭化区2022年地质灾害防治体系建设项目</w:t>
            </w:r>
          </w:p>
        </w:tc>
        <w:tc>
          <w:tcPr>
            <w:tcW w:w="1120" w:type="dxa"/>
            <w:tcBorders>
              <w:top w:val="single" w:color="000000" w:sz="4" w:space="0"/>
              <w:left w:val="single" w:color="000000" w:sz="4" w:space="0"/>
              <w:bottom w:val="single" w:color="000000" w:sz="4" w:space="0"/>
              <w:right w:val="single" w:color="000000" w:sz="4" w:space="0"/>
            </w:tcBorders>
            <w:noWrap/>
            <w:vAlign w:val="center"/>
          </w:tcPr>
          <w:p w14:paraId="3FE7F95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ajorEastAsia"/>
                <w:kern w:val="0"/>
                <w:sz w:val="24"/>
                <w:szCs w:val="24"/>
              </w:rPr>
            </w:pPr>
            <w:r>
              <w:rPr>
                <w:rFonts w:hint="default" w:ascii="Times New Roman" w:hAnsi="Times New Roman" w:cs="Times New Roman" w:eastAsiaTheme="majorEastAsia"/>
                <w:kern w:val="0"/>
                <w:sz w:val="24"/>
                <w:szCs w:val="24"/>
              </w:rPr>
              <w:t>668</w:t>
            </w:r>
          </w:p>
        </w:tc>
        <w:tc>
          <w:tcPr>
            <w:tcW w:w="1073" w:type="dxa"/>
            <w:tcBorders>
              <w:top w:val="single" w:color="000000" w:sz="4" w:space="0"/>
              <w:left w:val="single" w:color="000000" w:sz="4" w:space="0"/>
              <w:bottom w:val="single" w:color="000000" w:sz="4" w:space="0"/>
              <w:right w:val="single" w:color="000000" w:sz="4" w:space="0"/>
            </w:tcBorders>
            <w:noWrap/>
            <w:vAlign w:val="center"/>
          </w:tcPr>
          <w:p w14:paraId="7569498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ajorEastAsia"/>
                <w:kern w:val="0"/>
                <w:sz w:val="24"/>
                <w:szCs w:val="24"/>
              </w:rPr>
            </w:pPr>
            <w:r>
              <w:rPr>
                <w:rFonts w:hint="default" w:ascii="Times New Roman" w:hAnsi="Times New Roman" w:cs="Times New Roman" w:eastAsiaTheme="majorEastAsia"/>
                <w:kern w:val="0"/>
                <w:sz w:val="24"/>
                <w:szCs w:val="24"/>
              </w:rPr>
              <w:t>668</w:t>
            </w:r>
          </w:p>
        </w:tc>
        <w:tc>
          <w:tcPr>
            <w:tcW w:w="1008" w:type="dxa"/>
            <w:tcBorders>
              <w:top w:val="single" w:color="000000" w:sz="4" w:space="0"/>
              <w:left w:val="single" w:color="000000" w:sz="4" w:space="0"/>
              <w:bottom w:val="single" w:color="000000" w:sz="4" w:space="0"/>
              <w:right w:val="single" w:color="000000" w:sz="4" w:space="0"/>
            </w:tcBorders>
            <w:noWrap/>
            <w:vAlign w:val="center"/>
          </w:tcPr>
          <w:p w14:paraId="7038AB0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ajorEastAsia"/>
                <w:color w:val="000000"/>
                <w:kern w:val="0"/>
                <w:sz w:val="24"/>
                <w:szCs w:val="24"/>
              </w:rPr>
            </w:pPr>
            <w:r>
              <w:rPr>
                <w:rFonts w:hint="default" w:ascii="Times New Roman" w:hAnsi="Times New Roman" w:cs="Times New Roman" w:eastAsiaTheme="majorEastAsia"/>
                <w:color w:val="000000"/>
                <w:kern w:val="0"/>
                <w:sz w:val="24"/>
                <w:szCs w:val="24"/>
              </w:rPr>
              <w:t>0%</w:t>
            </w:r>
          </w:p>
        </w:tc>
      </w:tr>
      <w:tr w14:paraId="2DEC0467">
        <w:tblPrEx>
          <w:tblCellMar>
            <w:top w:w="0" w:type="dxa"/>
            <w:left w:w="108" w:type="dxa"/>
            <w:bottom w:w="0" w:type="dxa"/>
            <w:right w:w="108" w:type="dxa"/>
          </w:tblCellMar>
        </w:tblPrEx>
        <w:trPr>
          <w:trHeight w:val="397" w:hRule="atLeast"/>
          <w:jc w:val="center"/>
        </w:trPr>
        <w:tc>
          <w:tcPr>
            <w:tcW w:w="581" w:type="dxa"/>
            <w:vMerge w:val="continue"/>
            <w:tcBorders>
              <w:left w:val="single" w:color="000000" w:sz="4" w:space="0"/>
              <w:right w:val="single" w:color="000000" w:sz="4" w:space="0"/>
            </w:tcBorders>
            <w:vAlign w:val="center"/>
          </w:tcPr>
          <w:p w14:paraId="67BBAFB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ajorEastAsia"/>
                <w:color w:val="000000"/>
                <w:sz w:val="24"/>
                <w:szCs w:val="24"/>
              </w:rPr>
            </w:pPr>
          </w:p>
        </w:tc>
        <w:tc>
          <w:tcPr>
            <w:tcW w:w="5457" w:type="dxa"/>
            <w:tcBorders>
              <w:top w:val="single" w:color="000000" w:sz="4" w:space="0"/>
              <w:left w:val="single" w:color="000000" w:sz="4" w:space="0"/>
              <w:bottom w:val="single" w:color="000000" w:sz="4" w:space="0"/>
              <w:right w:val="single" w:color="000000" w:sz="4" w:space="0"/>
            </w:tcBorders>
            <w:noWrap/>
            <w:vAlign w:val="center"/>
          </w:tcPr>
          <w:p w14:paraId="4C7A8D6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ajorEastAsia"/>
                <w:color w:val="000000"/>
                <w:kern w:val="0"/>
                <w:sz w:val="24"/>
                <w:szCs w:val="24"/>
              </w:rPr>
            </w:pPr>
            <w:r>
              <w:rPr>
                <w:rFonts w:hint="default" w:ascii="Times New Roman" w:hAnsi="Times New Roman" w:cs="Times New Roman" w:eastAsiaTheme="majorEastAsia"/>
                <w:color w:val="000000"/>
                <w:kern w:val="0"/>
                <w:sz w:val="24"/>
                <w:szCs w:val="24"/>
              </w:rPr>
              <w:t>政府基金：增减挂钩项目指挥部工作经费</w:t>
            </w:r>
          </w:p>
        </w:tc>
        <w:tc>
          <w:tcPr>
            <w:tcW w:w="1120" w:type="dxa"/>
            <w:tcBorders>
              <w:top w:val="single" w:color="000000" w:sz="4" w:space="0"/>
              <w:left w:val="single" w:color="000000" w:sz="4" w:space="0"/>
              <w:bottom w:val="single" w:color="000000" w:sz="4" w:space="0"/>
              <w:right w:val="single" w:color="000000" w:sz="4" w:space="0"/>
            </w:tcBorders>
            <w:noWrap/>
            <w:vAlign w:val="center"/>
          </w:tcPr>
          <w:p w14:paraId="6D016BE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ajorEastAsia"/>
                <w:kern w:val="0"/>
                <w:sz w:val="24"/>
                <w:szCs w:val="24"/>
              </w:rPr>
            </w:pPr>
            <w:r>
              <w:rPr>
                <w:rFonts w:hint="default" w:ascii="Times New Roman" w:hAnsi="Times New Roman" w:cs="Times New Roman" w:eastAsiaTheme="majorEastAsia"/>
                <w:kern w:val="0"/>
                <w:sz w:val="24"/>
                <w:szCs w:val="24"/>
              </w:rPr>
              <w:t>85</w:t>
            </w:r>
          </w:p>
        </w:tc>
        <w:tc>
          <w:tcPr>
            <w:tcW w:w="1073" w:type="dxa"/>
            <w:tcBorders>
              <w:top w:val="single" w:color="000000" w:sz="4" w:space="0"/>
              <w:left w:val="single" w:color="000000" w:sz="4" w:space="0"/>
              <w:bottom w:val="single" w:color="000000" w:sz="4" w:space="0"/>
              <w:right w:val="single" w:color="000000" w:sz="4" w:space="0"/>
            </w:tcBorders>
            <w:noWrap/>
            <w:vAlign w:val="center"/>
          </w:tcPr>
          <w:p w14:paraId="78446B0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ajorEastAsia"/>
                <w:kern w:val="0"/>
                <w:sz w:val="24"/>
                <w:szCs w:val="24"/>
              </w:rPr>
            </w:pPr>
            <w:r>
              <w:rPr>
                <w:rFonts w:hint="default" w:ascii="Times New Roman" w:hAnsi="Times New Roman" w:cs="Times New Roman" w:eastAsiaTheme="majorEastAsia"/>
                <w:kern w:val="0"/>
                <w:sz w:val="24"/>
                <w:szCs w:val="24"/>
              </w:rPr>
              <w:t>85</w:t>
            </w:r>
          </w:p>
        </w:tc>
        <w:tc>
          <w:tcPr>
            <w:tcW w:w="1008" w:type="dxa"/>
            <w:tcBorders>
              <w:top w:val="single" w:color="000000" w:sz="4" w:space="0"/>
              <w:left w:val="single" w:color="000000" w:sz="4" w:space="0"/>
              <w:bottom w:val="single" w:color="000000" w:sz="4" w:space="0"/>
              <w:right w:val="single" w:color="000000" w:sz="4" w:space="0"/>
            </w:tcBorders>
            <w:noWrap/>
            <w:vAlign w:val="center"/>
          </w:tcPr>
          <w:p w14:paraId="5A1ECDC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ajorEastAsia"/>
                <w:color w:val="000000"/>
                <w:kern w:val="0"/>
                <w:sz w:val="24"/>
                <w:szCs w:val="24"/>
              </w:rPr>
            </w:pPr>
            <w:r>
              <w:rPr>
                <w:rFonts w:hint="default" w:ascii="Times New Roman" w:hAnsi="Times New Roman" w:cs="Times New Roman" w:eastAsiaTheme="majorEastAsia"/>
                <w:color w:val="000000"/>
                <w:kern w:val="0"/>
                <w:sz w:val="24"/>
                <w:szCs w:val="24"/>
              </w:rPr>
              <w:t>0%</w:t>
            </w:r>
          </w:p>
        </w:tc>
      </w:tr>
      <w:tr w14:paraId="7CAEE579">
        <w:tblPrEx>
          <w:tblCellMar>
            <w:top w:w="0" w:type="dxa"/>
            <w:left w:w="108" w:type="dxa"/>
            <w:bottom w:w="0" w:type="dxa"/>
            <w:right w:w="108" w:type="dxa"/>
          </w:tblCellMar>
        </w:tblPrEx>
        <w:trPr>
          <w:trHeight w:val="397" w:hRule="atLeast"/>
          <w:jc w:val="center"/>
        </w:trPr>
        <w:tc>
          <w:tcPr>
            <w:tcW w:w="581" w:type="dxa"/>
            <w:vMerge w:val="continue"/>
            <w:tcBorders>
              <w:left w:val="single" w:color="000000" w:sz="4" w:space="0"/>
              <w:right w:val="single" w:color="000000" w:sz="4" w:space="0"/>
            </w:tcBorders>
            <w:vAlign w:val="center"/>
          </w:tcPr>
          <w:p w14:paraId="5FDD401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ajorEastAsia"/>
                <w:color w:val="000000"/>
                <w:sz w:val="24"/>
                <w:szCs w:val="24"/>
              </w:rPr>
            </w:pPr>
          </w:p>
        </w:tc>
        <w:tc>
          <w:tcPr>
            <w:tcW w:w="5457" w:type="dxa"/>
            <w:tcBorders>
              <w:top w:val="single" w:color="000000" w:sz="4" w:space="0"/>
              <w:left w:val="single" w:color="000000" w:sz="4" w:space="0"/>
              <w:bottom w:val="single" w:color="000000" w:sz="4" w:space="0"/>
              <w:right w:val="single" w:color="000000" w:sz="4" w:space="0"/>
            </w:tcBorders>
            <w:noWrap/>
            <w:vAlign w:val="center"/>
          </w:tcPr>
          <w:p w14:paraId="7D2E4EB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ajorEastAsia"/>
                <w:color w:val="000000"/>
                <w:kern w:val="0"/>
                <w:sz w:val="24"/>
                <w:szCs w:val="24"/>
              </w:rPr>
            </w:pPr>
            <w:r>
              <w:rPr>
                <w:rFonts w:hint="default" w:ascii="Times New Roman" w:hAnsi="Times New Roman" w:cs="Times New Roman" w:eastAsiaTheme="majorEastAsia"/>
                <w:color w:val="000000"/>
                <w:kern w:val="0"/>
                <w:sz w:val="24"/>
                <w:szCs w:val="24"/>
              </w:rPr>
              <w:t>政府基金：原文村增减挂钩项目指标回购资金</w:t>
            </w:r>
          </w:p>
        </w:tc>
        <w:tc>
          <w:tcPr>
            <w:tcW w:w="1120" w:type="dxa"/>
            <w:tcBorders>
              <w:top w:val="single" w:color="000000" w:sz="4" w:space="0"/>
              <w:left w:val="single" w:color="000000" w:sz="4" w:space="0"/>
              <w:bottom w:val="single" w:color="000000" w:sz="4" w:space="0"/>
              <w:right w:val="single" w:color="000000" w:sz="4" w:space="0"/>
            </w:tcBorders>
            <w:noWrap/>
            <w:vAlign w:val="center"/>
          </w:tcPr>
          <w:p w14:paraId="0ADED4D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ajorEastAsia"/>
                <w:kern w:val="0"/>
                <w:sz w:val="24"/>
                <w:szCs w:val="24"/>
              </w:rPr>
            </w:pPr>
            <w:r>
              <w:rPr>
                <w:rFonts w:hint="default" w:ascii="Times New Roman" w:hAnsi="Times New Roman" w:cs="Times New Roman" w:eastAsiaTheme="majorEastAsia"/>
                <w:kern w:val="0"/>
                <w:sz w:val="24"/>
                <w:szCs w:val="24"/>
              </w:rPr>
              <w:t>200</w:t>
            </w:r>
          </w:p>
        </w:tc>
        <w:tc>
          <w:tcPr>
            <w:tcW w:w="1073" w:type="dxa"/>
            <w:tcBorders>
              <w:top w:val="single" w:color="000000" w:sz="4" w:space="0"/>
              <w:left w:val="single" w:color="000000" w:sz="4" w:space="0"/>
              <w:bottom w:val="single" w:color="000000" w:sz="4" w:space="0"/>
              <w:right w:val="single" w:color="000000" w:sz="4" w:space="0"/>
            </w:tcBorders>
            <w:noWrap/>
            <w:vAlign w:val="center"/>
          </w:tcPr>
          <w:p w14:paraId="495C147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ajorEastAsia"/>
                <w:kern w:val="0"/>
                <w:sz w:val="24"/>
                <w:szCs w:val="24"/>
              </w:rPr>
            </w:pPr>
            <w:r>
              <w:rPr>
                <w:rFonts w:hint="default" w:ascii="Times New Roman" w:hAnsi="Times New Roman" w:cs="Times New Roman" w:eastAsiaTheme="majorEastAsia"/>
                <w:kern w:val="0"/>
                <w:sz w:val="24"/>
                <w:szCs w:val="24"/>
              </w:rPr>
              <w:t>200</w:t>
            </w:r>
          </w:p>
        </w:tc>
        <w:tc>
          <w:tcPr>
            <w:tcW w:w="1008" w:type="dxa"/>
            <w:tcBorders>
              <w:top w:val="single" w:color="000000" w:sz="4" w:space="0"/>
              <w:left w:val="single" w:color="000000" w:sz="4" w:space="0"/>
              <w:bottom w:val="single" w:color="000000" w:sz="4" w:space="0"/>
              <w:right w:val="single" w:color="000000" w:sz="4" w:space="0"/>
            </w:tcBorders>
            <w:noWrap/>
            <w:vAlign w:val="center"/>
          </w:tcPr>
          <w:p w14:paraId="60A102F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ajorEastAsia"/>
                <w:color w:val="000000"/>
                <w:kern w:val="0"/>
                <w:sz w:val="24"/>
                <w:szCs w:val="24"/>
              </w:rPr>
            </w:pPr>
            <w:r>
              <w:rPr>
                <w:rFonts w:hint="default" w:ascii="Times New Roman" w:hAnsi="Times New Roman" w:cs="Times New Roman" w:eastAsiaTheme="majorEastAsia"/>
                <w:color w:val="000000"/>
                <w:kern w:val="0"/>
                <w:sz w:val="24"/>
                <w:szCs w:val="24"/>
              </w:rPr>
              <w:t>0%</w:t>
            </w:r>
          </w:p>
        </w:tc>
      </w:tr>
      <w:tr w14:paraId="22688640">
        <w:tblPrEx>
          <w:tblCellMar>
            <w:top w:w="0" w:type="dxa"/>
            <w:left w:w="108" w:type="dxa"/>
            <w:bottom w:w="0" w:type="dxa"/>
            <w:right w:w="108" w:type="dxa"/>
          </w:tblCellMar>
        </w:tblPrEx>
        <w:trPr>
          <w:trHeight w:val="397" w:hRule="atLeast"/>
          <w:jc w:val="center"/>
        </w:trPr>
        <w:tc>
          <w:tcPr>
            <w:tcW w:w="581" w:type="dxa"/>
            <w:vMerge w:val="continue"/>
            <w:tcBorders>
              <w:left w:val="single" w:color="000000" w:sz="4" w:space="0"/>
              <w:right w:val="single" w:color="000000" w:sz="4" w:space="0"/>
            </w:tcBorders>
            <w:vAlign w:val="center"/>
          </w:tcPr>
          <w:p w14:paraId="2EFB682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ajorEastAsia"/>
                <w:color w:val="000000"/>
                <w:sz w:val="24"/>
                <w:szCs w:val="24"/>
              </w:rPr>
            </w:pPr>
          </w:p>
        </w:tc>
        <w:tc>
          <w:tcPr>
            <w:tcW w:w="5457" w:type="dxa"/>
            <w:tcBorders>
              <w:top w:val="single" w:color="000000" w:sz="4" w:space="0"/>
              <w:left w:val="single" w:color="000000" w:sz="4" w:space="0"/>
              <w:bottom w:val="single" w:color="000000" w:sz="4" w:space="0"/>
              <w:right w:val="single" w:color="000000" w:sz="4" w:space="0"/>
            </w:tcBorders>
            <w:noWrap/>
            <w:vAlign w:val="center"/>
          </w:tcPr>
          <w:p w14:paraId="26F5651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ajorEastAsia"/>
                <w:color w:val="000000"/>
                <w:kern w:val="0"/>
                <w:sz w:val="24"/>
                <w:szCs w:val="24"/>
              </w:rPr>
            </w:pPr>
            <w:r>
              <w:rPr>
                <w:rFonts w:hint="default" w:ascii="Times New Roman" w:hAnsi="Times New Roman" w:cs="Times New Roman" w:eastAsiaTheme="majorEastAsia"/>
                <w:color w:val="000000"/>
                <w:kern w:val="0"/>
                <w:sz w:val="24"/>
                <w:szCs w:val="24"/>
              </w:rPr>
              <w:t>政府基金：2021-2022年度卫片执法经费</w:t>
            </w:r>
          </w:p>
        </w:tc>
        <w:tc>
          <w:tcPr>
            <w:tcW w:w="1120" w:type="dxa"/>
            <w:tcBorders>
              <w:top w:val="single" w:color="000000" w:sz="4" w:space="0"/>
              <w:left w:val="single" w:color="000000" w:sz="4" w:space="0"/>
              <w:bottom w:val="single" w:color="000000" w:sz="4" w:space="0"/>
              <w:right w:val="single" w:color="000000" w:sz="4" w:space="0"/>
            </w:tcBorders>
            <w:noWrap/>
            <w:vAlign w:val="center"/>
          </w:tcPr>
          <w:p w14:paraId="1F4C435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ajorEastAsia"/>
                <w:kern w:val="0"/>
                <w:sz w:val="24"/>
                <w:szCs w:val="24"/>
              </w:rPr>
            </w:pPr>
            <w:r>
              <w:rPr>
                <w:rFonts w:hint="default" w:ascii="Times New Roman" w:hAnsi="Times New Roman" w:cs="Times New Roman" w:eastAsiaTheme="majorEastAsia"/>
                <w:kern w:val="0"/>
                <w:sz w:val="24"/>
                <w:szCs w:val="24"/>
              </w:rPr>
              <w:t>62.75</w:t>
            </w:r>
          </w:p>
        </w:tc>
        <w:tc>
          <w:tcPr>
            <w:tcW w:w="1073" w:type="dxa"/>
            <w:tcBorders>
              <w:top w:val="single" w:color="000000" w:sz="4" w:space="0"/>
              <w:left w:val="single" w:color="000000" w:sz="4" w:space="0"/>
              <w:bottom w:val="single" w:color="000000" w:sz="4" w:space="0"/>
              <w:right w:val="single" w:color="000000" w:sz="4" w:space="0"/>
            </w:tcBorders>
            <w:noWrap/>
            <w:vAlign w:val="center"/>
          </w:tcPr>
          <w:p w14:paraId="67DBDE5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ajorEastAsia"/>
                <w:kern w:val="0"/>
                <w:sz w:val="24"/>
                <w:szCs w:val="24"/>
              </w:rPr>
            </w:pPr>
            <w:r>
              <w:rPr>
                <w:rFonts w:hint="default" w:ascii="Times New Roman" w:hAnsi="Times New Roman" w:cs="Times New Roman" w:eastAsiaTheme="majorEastAsia"/>
                <w:kern w:val="0"/>
                <w:sz w:val="24"/>
                <w:szCs w:val="24"/>
              </w:rPr>
              <w:t>62.75</w:t>
            </w:r>
          </w:p>
        </w:tc>
        <w:tc>
          <w:tcPr>
            <w:tcW w:w="1008" w:type="dxa"/>
            <w:tcBorders>
              <w:top w:val="single" w:color="000000" w:sz="4" w:space="0"/>
              <w:left w:val="single" w:color="000000" w:sz="4" w:space="0"/>
              <w:bottom w:val="single" w:color="000000" w:sz="4" w:space="0"/>
              <w:right w:val="single" w:color="000000" w:sz="4" w:space="0"/>
            </w:tcBorders>
            <w:noWrap/>
            <w:vAlign w:val="center"/>
          </w:tcPr>
          <w:p w14:paraId="0CBEF1F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ajorEastAsia"/>
                <w:color w:val="000000"/>
                <w:kern w:val="0"/>
                <w:sz w:val="24"/>
                <w:szCs w:val="24"/>
              </w:rPr>
            </w:pPr>
            <w:r>
              <w:rPr>
                <w:rFonts w:hint="default" w:ascii="Times New Roman" w:hAnsi="Times New Roman" w:cs="Times New Roman" w:eastAsiaTheme="majorEastAsia"/>
                <w:color w:val="000000"/>
                <w:kern w:val="0"/>
                <w:sz w:val="24"/>
                <w:szCs w:val="24"/>
              </w:rPr>
              <w:t>0%</w:t>
            </w:r>
          </w:p>
        </w:tc>
      </w:tr>
      <w:tr w14:paraId="65CAE198">
        <w:tblPrEx>
          <w:tblCellMar>
            <w:top w:w="0" w:type="dxa"/>
            <w:left w:w="108" w:type="dxa"/>
            <w:bottom w:w="0" w:type="dxa"/>
            <w:right w:w="108" w:type="dxa"/>
          </w:tblCellMar>
        </w:tblPrEx>
        <w:trPr>
          <w:trHeight w:val="397" w:hRule="atLeast"/>
          <w:jc w:val="center"/>
        </w:trPr>
        <w:tc>
          <w:tcPr>
            <w:tcW w:w="581" w:type="dxa"/>
            <w:vMerge w:val="continue"/>
            <w:tcBorders>
              <w:left w:val="single" w:color="000000" w:sz="4" w:space="0"/>
              <w:right w:val="single" w:color="000000" w:sz="4" w:space="0"/>
            </w:tcBorders>
            <w:vAlign w:val="center"/>
          </w:tcPr>
          <w:p w14:paraId="713299C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ajorEastAsia"/>
                <w:color w:val="000000"/>
                <w:sz w:val="24"/>
                <w:szCs w:val="24"/>
              </w:rPr>
            </w:pPr>
          </w:p>
        </w:tc>
        <w:tc>
          <w:tcPr>
            <w:tcW w:w="5457" w:type="dxa"/>
            <w:tcBorders>
              <w:top w:val="single" w:color="000000" w:sz="4" w:space="0"/>
              <w:left w:val="single" w:color="000000" w:sz="4" w:space="0"/>
              <w:bottom w:val="single" w:color="000000" w:sz="4" w:space="0"/>
              <w:right w:val="single" w:color="000000" w:sz="4" w:space="0"/>
            </w:tcBorders>
            <w:noWrap/>
            <w:vAlign w:val="center"/>
          </w:tcPr>
          <w:p w14:paraId="378E0FF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ajorEastAsia"/>
                <w:color w:val="000000"/>
                <w:kern w:val="0"/>
                <w:sz w:val="24"/>
                <w:szCs w:val="24"/>
              </w:rPr>
            </w:pPr>
            <w:r>
              <w:rPr>
                <w:rFonts w:hint="default" w:ascii="Times New Roman" w:hAnsi="Times New Roman" w:cs="Times New Roman" w:eastAsiaTheme="majorEastAsia"/>
                <w:color w:val="000000"/>
                <w:kern w:val="0"/>
                <w:sz w:val="24"/>
                <w:szCs w:val="24"/>
              </w:rPr>
              <w:t>政府基金：全区地形图测绘经费</w:t>
            </w:r>
          </w:p>
        </w:tc>
        <w:tc>
          <w:tcPr>
            <w:tcW w:w="1120" w:type="dxa"/>
            <w:tcBorders>
              <w:top w:val="single" w:color="000000" w:sz="4" w:space="0"/>
              <w:left w:val="single" w:color="000000" w:sz="4" w:space="0"/>
              <w:bottom w:val="single" w:color="000000" w:sz="4" w:space="0"/>
              <w:right w:val="single" w:color="000000" w:sz="4" w:space="0"/>
            </w:tcBorders>
            <w:noWrap/>
            <w:vAlign w:val="center"/>
          </w:tcPr>
          <w:p w14:paraId="2B6E29E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216.16</w:t>
            </w:r>
          </w:p>
        </w:tc>
        <w:tc>
          <w:tcPr>
            <w:tcW w:w="1073" w:type="dxa"/>
            <w:tcBorders>
              <w:top w:val="single" w:color="000000" w:sz="4" w:space="0"/>
              <w:left w:val="single" w:color="000000" w:sz="4" w:space="0"/>
              <w:bottom w:val="single" w:color="000000" w:sz="4" w:space="0"/>
              <w:right w:val="single" w:color="000000" w:sz="4" w:space="0"/>
            </w:tcBorders>
            <w:noWrap/>
            <w:vAlign w:val="center"/>
          </w:tcPr>
          <w:p w14:paraId="4C4738C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216.16</w:t>
            </w:r>
          </w:p>
        </w:tc>
        <w:tc>
          <w:tcPr>
            <w:tcW w:w="1008" w:type="dxa"/>
            <w:tcBorders>
              <w:top w:val="single" w:color="000000" w:sz="4" w:space="0"/>
              <w:left w:val="single" w:color="000000" w:sz="4" w:space="0"/>
              <w:bottom w:val="single" w:color="000000" w:sz="4" w:space="0"/>
              <w:right w:val="single" w:color="000000" w:sz="4" w:space="0"/>
            </w:tcBorders>
            <w:noWrap/>
            <w:vAlign w:val="center"/>
          </w:tcPr>
          <w:p w14:paraId="515AD76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ajorEastAsia"/>
                <w:color w:val="000000"/>
                <w:kern w:val="0"/>
                <w:sz w:val="24"/>
                <w:szCs w:val="24"/>
              </w:rPr>
            </w:pPr>
            <w:r>
              <w:rPr>
                <w:rFonts w:hint="default" w:ascii="Times New Roman" w:hAnsi="Times New Roman" w:cs="Times New Roman" w:eastAsiaTheme="majorEastAsia"/>
                <w:color w:val="000000"/>
                <w:kern w:val="0"/>
                <w:sz w:val="24"/>
                <w:szCs w:val="24"/>
              </w:rPr>
              <w:t>0%</w:t>
            </w:r>
          </w:p>
        </w:tc>
      </w:tr>
      <w:tr w14:paraId="39CD4F37">
        <w:tblPrEx>
          <w:tblCellMar>
            <w:top w:w="0" w:type="dxa"/>
            <w:left w:w="108" w:type="dxa"/>
            <w:bottom w:w="0" w:type="dxa"/>
            <w:right w:w="108" w:type="dxa"/>
          </w:tblCellMar>
        </w:tblPrEx>
        <w:trPr>
          <w:trHeight w:val="397" w:hRule="atLeast"/>
          <w:jc w:val="center"/>
        </w:trPr>
        <w:tc>
          <w:tcPr>
            <w:tcW w:w="581" w:type="dxa"/>
            <w:vMerge w:val="continue"/>
            <w:tcBorders>
              <w:left w:val="single" w:color="000000" w:sz="4" w:space="0"/>
              <w:right w:val="single" w:color="000000" w:sz="4" w:space="0"/>
            </w:tcBorders>
            <w:vAlign w:val="center"/>
          </w:tcPr>
          <w:p w14:paraId="18167B5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ajorEastAsia"/>
                <w:color w:val="000000"/>
                <w:sz w:val="24"/>
                <w:szCs w:val="24"/>
              </w:rPr>
            </w:pPr>
          </w:p>
        </w:tc>
        <w:tc>
          <w:tcPr>
            <w:tcW w:w="5457" w:type="dxa"/>
            <w:tcBorders>
              <w:top w:val="single" w:color="000000" w:sz="4" w:space="0"/>
              <w:left w:val="single" w:color="000000" w:sz="4" w:space="0"/>
              <w:bottom w:val="single" w:color="000000" w:sz="4" w:space="0"/>
              <w:right w:val="single" w:color="000000" w:sz="4" w:space="0"/>
            </w:tcBorders>
            <w:noWrap/>
            <w:vAlign w:val="center"/>
          </w:tcPr>
          <w:p w14:paraId="7809ECF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ajorEastAsia"/>
                <w:color w:val="000000"/>
                <w:kern w:val="0"/>
                <w:sz w:val="24"/>
                <w:szCs w:val="24"/>
              </w:rPr>
            </w:pPr>
            <w:r>
              <w:rPr>
                <w:rFonts w:hint="default" w:ascii="Times New Roman" w:hAnsi="Times New Roman" w:cs="Times New Roman" w:eastAsiaTheme="majorEastAsia"/>
                <w:color w:val="000000"/>
                <w:kern w:val="0"/>
                <w:sz w:val="24"/>
                <w:szCs w:val="24"/>
              </w:rPr>
              <w:t>政府基金：2021、2022年度自然资源统一确权登记工作</w:t>
            </w:r>
          </w:p>
        </w:tc>
        <w:tc>
          <w:tcPr>
            <w:tcW w:w="1120" w:type="dxa"/>
            <w:tcBorders>
              <w:top w:val="single" w:color="000000" w:sz="4" w:space="0"/>
              <w:left w:val="single" w:color="000000" w:sz="4" w:space="0"/>
              <w:bottom w:val="single" w:color="000000" w:sz="4" w:space="0"/>
              <w:right w:val="single" w:color="000000" w:sz="4" w:space="0"/>
            </w:tcBorders>
            <w:noWrap/>
            <w:vAlign w:val="center"/>
          </w:tcPr>
          <w:p w14:paraId="32E486E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31.33</w:t>
            </w:r>
          </w:p>
        </w:tc>
        <w:tc>
          <w:tcPr>
            <w:tcW w:w="1073" w:type="dxa"/>
            <w:tcBorders>
              <w:top w:val="single" w:color="000000" w:sz="4" w:space="0"/>
              <w:left w:val="single" w:color="000000" w:sz="4" w:space="0"/>
              <w:bottom w:val="single" w:color="000000" w:sz="4" w:space="0"/>
              <w:right w:val="single" w:color="000000" w:sz="4" w:space="0"/>
            </w:tcBorders>
            <w:noWrap/>
            <w:vAlign w:val="center"/>
          </w:tcPr>
          <w:p w14:paraId="0A146A0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31.33</w:t>
            </w:r>
          </w:p>
        </w:tc>
        <w:tc>
          <w:tcPr>
            <w:tcW w:w="1008" w:type="dxa"/>
            <w:tcBorders>
              <w:top w:val="single" w:color="000000" w:sz="4" w:space="0"/>
              <w:left w:val="single" w:color="000000" w:sz="4" w:space="0"/>
              <w:bottom w:val="single" w:color="000000" w:sz="4" w:space="0"/>
              <w:right w:val="single" w:color="000000" w:sz="4" w:space="0"/>
            </w:tcBorders>
            <w:noWrap/>
            <w:vAlign w:val="center"/>
          </w:tcPr>
          <w:p w14:paraId="40160F4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ajorEastAsia"/>
                <w:color w:val="000000"/>
                <w:kern w:val="0"/>
                <w:sz w:val="24"/>
                <w:szCs w:val="24"/>
              </w:rPr>
            </w:pPr>
            <w:r>
              <w:rPr>
                <w:rFonts w:hint="default" w:ascii="Times New Roman" w:hAnsi="Times New Roman" w:cs="Times New Roman" w:eastAsiaTheme="majorEastAsia"/>
                <w:color w:val="000000"/>
                <w:kern w:val="0"/>
                <w:sz w:val="24"/>
                <w:szCs w:val="24"/>
              </w:rPr>
              <w:t>0%</w:t>
            </w:r>
          </w:p>
        </w:tc>
      </w:tr>
      <w:tr w14:paraId="5A1CF68B">
        <w:tblPrEx>
          <w:tblCellMar>
            <w:top w:w="0" w:type="dxa"/>
            <w:left w:w="108" w:type="dxa"/>
            <w:bottom w:w="0" w:type="dxa"/>
            <w:right w:w="108" w:type="dxa"/>
          </w:tblCellMar>
        </w:tblPrEx>
        <w:trPr>
          <w:trHeight w:val="397" w:hRule="atLeast"/>
          <w:jc w:val="center"/>
        </w:trPr>
        <w:tc>
          <w:tcPr>
            <w:tcW w:w="581" w:type="dxa"/>
            <w:vMerge w:val="continue"/>
            <w:tcBorders>
              <w:left w:val="single" w:color="000000" w:sz="4" w:space="0"/>
              <w:right w:val="single" w:color="000000" w:sz="4" w:space="0"/>
            </w:tcBorders>
            <w:vAlign w:val="center"/>
          </w:tcPr>
          <w:p w14:paraId="41F6234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ajorEastAsia"/>
                <w:color w:val="000000"/>
                <w:sz w:val="24"/>
                <w:szCs w:val="24"/>
              </w:rPr>
            </w:pPr>
          </w:p>
        </w:tc>
        <w:tc>
          <w:tcPr>
            <w:tcW w:w="5457" w:type="dxa"/>
            <w:tcBorders>
              <w:top w:val="single" w:color="000000" w:sz="4" w:space="0"/>
              <w:left w:val="single" w:color="000000" w:sz="4" w:space="0"/>
              <w:bottom w:val="single" w:color="000000" w:sz="4" w:space="0"/>
              <w:right w:val="single" w:color="000000" w:sz="4" w:space="0"/>
            </w:tcBorders>
            <w:noWrap/>
            <w:vAlign w:val="center"/>
          </w:tcPr>
          <w:p w14:paraId="27C6E8B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ajorEastAsia"/>
                <w:color w:val="000000"/>
                <w:kern w:val="0"/>
                <w:sz w:val="24"/>
                <w:szCs w:val="24"/>
              </w:rPr>
            </w:pPr>
            <w:r>
              <w:rPr>
                <w:rFonts w:hint="default" w:ascii="Times New Roman" w:hAnsi="Times New Roman" w:cs="Times New Roman" w:eastAsiaTheme="majorEastAsia"/>
                <w:color w:val="000000"/>
                <w:kern w:val="0"/>
                <w:sz w:val="24"/>
                <w:szCs w:val="24"/>
              </w:rPr>
              <w:t>政府基金：昭化区农村房地一体和集体建设用地确权登记工作经费</w:t>
            </w:r>
          </w:p>
        </w:tc>
        <w:tc>
          <w:tcPr>
            <w:tcW w:w="1120" w:type="dxa"/>
            <w:tcBorders>
              <w:top w:val="single" w:color="000000" w:sz="4" w:space="0"/>
              <w:left w:val="single" w:color="000000" w:sz="4" w:space="0"/>
              <w:bottom w:val="single" w:color="000000" w:sz="4" w:space="0"/>
              <w:right w:val="single" w:color="000000" w:sz="4" w:space="0"/>
            </w:tcBorders>
            <w:noWrap/>
            <w:vAlign w:val="center"/>
          </w:tcPr>
          <w:p w14:paraId="5FB145E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94.45</w:t>
            </w:r>
          </w:p>
        </w:tc>
        <w:tc>
          <w:tcPr>
            <w:tcW w:w="1073" w:type="dxa"/>
            <w:tcBorders>
              <w:top w:val="single" w:color="000000" w:sz="4" w:space="0"/>
              <w:left w:val="single" w:color="000000" w:sz="4" w:space="0"/>
              <w:bottom w:val="single" w:color="000000" w:sz="4" w:space="0"/>
              <w:right w:val="single" w:color="000000" w:sz="4" w:space="0"/>
            </w:tcBorders>
            <w:noWrap/>
            <w:vAlign w:val="center"/>
          </w:tcPr>
          <w:p w14:paraId="1DB23DA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94.45</w:t>
            </w:r>
          </w:p>
        </w:tc>
        <w:tc>
          <w:tcPr>
            <w:tcW w:w="1008" w:type="dxa"/>
            <w:tcBorders>
              <w:top w:val="single" w:color="000000" w:sz="4" w:space="0"/>
              <w:left w:val="single" w:color="000000" w:sz="4" w:space="0"/>
              <w:bottom w:val="single" w:color="000000" w:sz="4" w:space="0"/>
              <w:right w:val="single" w:color="000000" w:sz="4" w:space="0"/>
            </w:tcBorders>
            <w:noWrap/>
            <w:vAlign w:val="center"/>
          </w:tcPr>
          <w:p w14:paraId="14B1B58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ajorEastAsia"/>
                <w:color w:val="000000"/>
                <w:kern w:val="0"/>
                <w:sz w:val="24"/>
                <w:szCs w:val="24"/>
              </w:rPr>
            </w:pPr>
            <w:r>
              <w:rPr>
                <w:rFonts w:hint="default" w:ascii="Times New Roman" w:hAnsi="Times New Roman" w:cs="Times New Roman" w:eastAsiaTheme="majorEastAsia"/>
                <w:color w:val="000000"/>
                <w:kern w:val="0"/>
                <w:sz w:val="24"/>
                <w:szCs w:val="24"/>
              </w:rPr>
              <w:t>0%</w:t>
            </w:r>
          </w:p>
        </w:tc>
      </w:tr>
      <w:tr w14:paraId="5D212705">
        <w:tblPrEx>
          <w:tblCellMar>
            <w:top w:w="0" w:type="dxa"/>
            <w:left w:w="108" w:type="dxa"/>
            <w:bottom w:w="0" w:type="dxa"/>
            <w:right w:w="108" w:type="dxa"/>
          </w:tblCellMar>
        </w:tblPrEx>
        <w:trPr>
          <w:trHeight w:val="397" w:hRule="atLeast"/>
          <w:jc w:val="center"/>
        </w:trPr>
        <w:tc>
          <w:tcPr>
            <w:tcW w:w="581" w:type="dxa"/>
            <w:vMerge w:val="continue"/>
            <w:tcBorders>
              <w:left w:val="single" w:color="000000" w:sz="4" w:space="0"/>
              <w:right w:val="single" w:color="000000" w:sz="4" w:space="0"/>
            </w:tcBorders>
            <w:vAlign w:val="center"/>
          </w:tcPr>
          <w:p w14:paraId="0473B23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ajorEastAsia"/>
                <w:color w:val="000000"/>
                <w:sz w:val="24"/>
                <w:szCs w:val="24"/>
              </w:rPr>
            </w:pPr>
          </w:p>
        </w:tc>
        <w:tc>
          <w:tcPr>
            <w:tcW w:w="5457" w:type="dxa"/>
            <w:tcBorders>
              <w:top w:val="single" w:color="000000" w:sz="4" w:space="0"/>
              <w:left w:val="single" w:color="000000" w:sz="4" w:space="0"/>
              <w:bottom w:val="single" w:color="000000" w:sz="4" w:space="0"/>
              <w:right w:val="single" w:color="000000" w:sz="4" w:space="0"/>
            </w:tcBorders>
            <w:noWrap/>
            <w:vAlign w:val="center"/>
          </w:tcPr>
          <w:p w14:paraId="4A1F6F3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ajorEastAsia"/>
                <w:color w:val="000000"/>
                <w:kern w:val="0"/>
                <w:sz w:val="24"/>
                <w:szCs w:val="24"/>
              </w:rPr>
            </w:pPr>
            <w:r>
              <w:rPr>
                <w:rFonts w:hint="default" w:ascii="Times New Roman" w:hAnsi="Times New Roman" w:cs="Times New Roman" w:eastAsiaTheme="majorEastAsia"/>
                <w:color w:val="000000"/>
                <w:kern w:val="0"/>
                <w:sz w:val="24"/>
                <w:szCs w:val="24"/>
              </w:rPr>
              <w:t>政府基金：昭化区2022年第8批次建设用地被征收农民养老保险费</w:t>
            </w:r>
          </w:p>
        </w:tc>
        <w:tc>
          <w:tcPr>
            <w:tcW w:w="1120" w:type="dxa"/>
            <w:tcBorders>
              <w:top w:val="single" w:color="000000" w:sz="4" w:space="0"/>
              <w:left w:val="single" w:color="000000" w:sz="4" w:space="0"/>
              <w:bottom w:val="single" w:color="000000" w:sz="4" w:space="0"/>
              <w:right w:val="single" w:color="000000" w:sz="4" w:space="0"/>
            </w:tcBorders>
            <w:noWrap/>
            <w:vAlign w:val="center"/>
          </w:tcPr>
          <w:p w14:paraId="0F24980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1771.07</w:t>
            </w:r>
          </w:p>
        </w:tc>
        <w:tc>
          <w:tcPr>
            <w:tcW w:w="1073" w:type="dxa"/>
            <w:tcBorders>
              <w:top w:val="single" w:color="000000" w:sz="4" w:space="0"/>
              <w:left w:val="single" w:color="000000" w:sz="4" w:space="0"/>
              <w:bottom w:val="single" w:color="000000" w:sz="4" w:space="0"/>
              <w:right w:val="single" w:color="000000" w:sz="4" w:space="0"/>
            </w:tcBorders>
            <w:noWrap/>
            <w:vAlign w:val="center"/>
          </w:tcPr>
          <w:p w14:paraId="1E90A11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1771.07</w:t>
            </w:r>
          </w:p>
        </w:tc>
        <w:tc>
          <w:tcPr>
            <w:tcW w:w="1008" w:type="dxa"/>
            <w:tcBorders>
              <w:top w:val="single" w:color="000000" w:sz="4" w:space="0"/>
              <w:left w:val="single" w:color="000000" w:sz="4" w:space="0"/>
              <w:bottom w:val="single" w:color="000000" w:sz="4" w:space="0"/>
              <w:right w:val="single" w:color="000000" w:sz="4" w:space="0"/>
            </w:tcBorders>
            <w:noWrap/>
            <w:vAlign w:val="center"/>
          </w:tcPr>
          <w:p w14:paraId="0ACCDFA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ajorEastAsia"/>
                <w:color w:val="000000"/>
                <w:kern w:val="0"/>
                <w:sz w:val="24"/>
                <w:szCs w:val="24"/>
              </w:rPr>
            </w:pPr>
            <w:r>
              <w:rPr>
                <w:rFonts w:hint="default" w:ascii="Times New Roman" w:hAnsi="Times New Roman" w:cs="Times New Roman" w:eastAsiaTheme="majorEastAsia"/>
                <w:color w:val="000000"/>
                <w:kern w:val="0"/>
                <w:sz w:val="24"/>
                <w:szCs w:val="24"/>
              </w:rPr>
              <w:t>0%</w:t>
            </w:r>
          </w:p>
        </w:tc>
      </w:tr>
      <w:tr w14:paraId="24389BE9">
        <w:tblPrEx>
          <w:tblCellMar>
            <w:top w:w="0" w:type="dxa"/>
            <w:left w:w="108" w:type="dxa"/>
            <w:bottom w:w="0" w:type="dxa"/>
            <w:right w:w="108" w:type="dxa"/>
          </w:tblCellMar>
        </w:tblPrEx>
        <w:trPr>
          <w:trHeight w:val="397" w:hRule="atLeast"/>
          <w:jc w:val="center"/>
        </w:trPr>
        <w:tc>
          <w:tcPr>
            <w:tcW w:w="581" w:type="dxa"/>
            <w:vMerge w:val="continue"/>
            <w:tcBorders>
              <w:left w:val="single" w:color="000000" w:sz="4" w:space="0"/>
              <w:right w:val="single" w:color="000000" w:sz="4" w:space="0"/>
            </w:tcBorders>
            <w:vAlign w:val="center"/>
          </w:tcPr>
          <w:p w14:paraId="7194E53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ajorEastAsia"/>
                <w:color w:val="000000"/>
                <w:sz w:val="24"/>
                <w:szCs w:val="24"/>
              </w:rPr>
            </w:pPr>
          </w:p>
        </w:tc>
        <w:tc>
          <w:tcPr>
            <w:tcW w:w="5457" w:type="dxa"/>
            <w:tcBorders>
              <w:top w:val="single" w:color="000000" w:sz="4" w:space="0"/>
              <w:left w:val="single" w:color="000000" w:sz="4" w:space="0"/>
              <w:bottom w:val="single" w:color="000000" w:sz="4" w:space="0"/>
              <w:right w:val="single" w:color="000000" w:sz="4" w:space="0"/>
            </w:tcBorders>
            <w:noWrap/>
            <w:vAlign w:val="center"/>
          </w:tcPr>
          <w:p w14:paraId="42FB407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ajorEastAsia"/>
                <w:color w:val="000000"/>
                <w:kern w:val="0"/>
                <w:sz w:val="24"/>
                <w:szCs w:val="24"/>
              </w:rPr>
            </w:pPr>
            <w:r>
              <w:rPr>
                <w:rFonts w:hint="default" w:ascii="Times New Roman" w:hAnsi="Times New Roman" w:cs="Times New Roman" w:eastAsiaTheme="majorEastAsia"/>
                <w:color w:val="000000"/>
                <w:kern w:val="0"/>
                <w:sz w:val="24"/>
                <w:szCs w:val="24"/>
              </w:rPr>
              <w:t>政府基金：昭化区2022年第7批次建设用地被征收农民养老保险费</w:t>
            </w:r>
          </w:p>
        </w:tc>
        <w:tc>
          <w:tcPr>
            <w:tcW w:w="1120" w:type="dxa"/>
            <w:tcBorders>
              <w:top w:val="single" w:color="000000" w:sz="4" w:space="0"/>
              <w:left w:val="single" w:color="000000" w:sz="4" w:space="0"/>
              <w:bottom w:val="single" w:color="000000" w:sz="4" w:space="0"/>
              <w:right w:val="single" w:color="000000" w:sz="4" w:space="0"/>
            </w:tcBorders>
            <w:noWrap/>
            <w:vAlign w:val="center"/>
          </w:tcPr>
          <w:p w14:paraId="6F2547F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2523.39</w:t>
            </w:r>
          </w:p>
        </w:tc>
        <w:tc>
          <w:tcPr>
            <w:tcW w:w="1073" w:type="dxa"/>
            <w:tcBorders>
              <w:top w:val="single" w:color="000000" w:sz="4" w:space="0"/>
              <w:left w:val="single" w:color="000000" w:sz="4" w:space="0"/>
              <w:bottom w:val="single" w:color="000000" w:sz="4" w:space="0"/>
              <w:right w:val="single" w:color="000000" w:sz="4" w:space="0"/>
            </w:tcBorders>
            <w:noWrap/>
            <w:vAlign w:val="center"/>
          </w:tcPr>
          <w:p w14:paraId="033CF6C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2523.39</w:t>
            </w:r>
          </w:p>
        </w:tc>
        <w:tc>
          <w:tcPr>
            <w:tcW w:w="1008" w:type="dxa"/>
            <w:tcBorders>
              <w:top w:val="single" w:color="000000" w:sz="4" w:space="0"/>
              <w:left w:val="single" w:color="000000" w:sz="4" w:space="0"/>
              <w:bottom w:val="single" w:color="000000" w:sz="4" w:space="0"/>
              <w:right w:val="single" w:color="000000" w:sz="4" w:space="0"/>
            </w:tcBorders>
            <w:noWrap/>
            <w:vAlign w:val="center"/>
          </w:tcPr>
          <w:p w14:paraId="7992A8A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ajorEastAsia"/>
                <w:color w:val="000000"/>
                <w:kern w:val="0"/>
                <w:sz w:val="24"/>
                <w:szCs w:val="24"/>
              </w:rPr>
            </w:pPr>
            <w:r>
              <w:rPr>
                <w:rFonts w:hint="default" w:ascii="Times New Roman" w:hAnsi="Times New Roman" w:cs="Times New Roman" w:eastAsiaTheme="majorEastAsia"/>
                <w:color w:val="000000"/>
                <w:kern w:val="0"/>
                <w:sz w:val="24"/>
                <w:szCs w:val="24"/>
              </w:rPr>
              <w:t>0%</w:t>
            </w:r>
          </w:p>
        </w:tc>
      </w:tr>
      <w:tr w14:paraId="74E8F5D4">
        <w:tblPrEx>
          <w:tblCellMar>
            <w:top w:w="0" w:type="dxa"/>
            <w:left w:w="108" w:type="dxa"/>
            <w:bottom w:w="0" w:type="dxa"/>
            <w:right w:w="108" w:type="dxa"/>
          </w:tblCellMar>
        </w:tblPrEx>
        <w:trPr>
          <w:trHeight w:val="397" w:hRule="atLeast"/>
          <w:jc w:val="center"/>
        </w:trPr>
        <w:tc>
          <w:tcPr>
            <w:tcW w:w="581" w:type="dxa"/>
            <w:vMerge w:val="continue"/>
            <w:tcBorders>
              <w:left w:val="single" w:color="000000" w:sz="4" w:space="0"/>
              <w:right w:val="single" w:color="000000" w:sz="4" w:space="0"/>
            </w:tcBorders>
            <w:vAlign w:val="center"/>
          </w:tcPr>
          <w:p w14:paraId="13E70FC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ajorEastAsia"/>
                <w:color w:val="000000"/>
                <w:sz w:val="24"/>
                <w:szCs w:val="24"/>
              </w:rPr>
            </w:pPr>
          </w:p>
        </w:tc>
        <w:tc>
          <w:tcPr>
            <w:tcW w:w="5457" w:type="dxa"/>
            <w:tcBorders>
              <w:top w:val="single" w:color="000000" w:sz="4" w:space="0"/>
              <w:left w:val="single" w:color="000000" w:sz="4" w:space="0"/>
              <w:bottom w:val="single" w:color="000000" w:sz="4" w:space="0"/>
              <w:right w:val="single" w:color="000000" w:sz="4" w:space="0"/>
            </w:tcBorders>
            <w:noWrap/>
            <w:vAlign w:val="center"/>
          </w:tcPr>
          <w:p w14:paraId="35F3148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ajorEastAsia"/>
                <w:color w:val="000000"/>
                <w:kern w:val="0"/>
                <w:sz w:val="24"/>
                <w:szCs w:val="24"/>
              </w:rPr>
            </w:pPr>
            <w:r>
              <w:rPr>
                <w:rFonts w:hint="default" w:ascii="Times New Roman" w:hAnsi="Times New Roman" w:cs="Times New Roman" w:eastAsiaTheme="majorEastAsia"/>
                <w:color w:val="000000"/>
                <w:kern w:val="0"/>
                <w:sz w:val="24"/>
                <w:szCs w:val="24"/>
              </w:rPr>
              <w:t>政府基金：昭化区2021年第二批次建设用地新增建设用地有偿使用费</w:t>
            </w:r>
          </w:p>
        </w:tc>
        <w:tc>
          <w:tcPr>
            <w:tcW w:w="1120" w:type="dxa"/>
            <w:tcBorders>
              <w:top w:val="single" w:color="000000" w:sz="4" w:space="0"/>
              <w:left w:val="single" w:color="000000" w:sz="4" w:space="0"/>
              <w:bottom w:val="single" w:color="000000" w:sz="4" w:space="0"/>
              <w:right w:val="single" w:color="000000" w:sz="4" w:space="0"/>
            </w:tcBorders>
            <w:noWrap/>
            <w:vAlign w:val="center"/>
          </w:tcPr>
          <w:p w14:paraId="0F41C51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ajorEastAsia"/>
                <w:kern w:val="0"/>
                <w:sz w:val="24"/>
                <w:szCs w:val="24"/>
              </w:rPr>
            </w:pPr>
            <w:r>
              <w:rPr>
                <w:rFonts w:hint="default" w:ascii="Times New Roman" w:hAnsi="Times New Roman" w:cs="Times New Roman" w:eastAsiaTheme="majorEastAsia"/>
                <w:kern w:val="0"/>
                <w:sz w:val="24"/>
                <w:szCs w:val="24"/>
              </w:rPr>
              <w:t>38.57</w:t>
            </w:r>
          </w:p>
        </w:tc>
        <w:tc>
          <w:tcPr>
            <w:tcW w:w="1073" w:type="dxa"/>
            <w:tcBorders>
              <w:top w:val="single" w:color="000000" w:sz="4" w:space="0"/>
              <w:left w:val="single" w:color="000000" w:sz="4" w:space="0"/>
              <w:bottom w:val="single" w:color="000000" w:sz="4" w:space="0"/>
              <w:right w:val="single" w:color="000000" w:sz="4" w:space="0"/>
            </w:tcBorders>
            <w:noWrap/>
            <w:vAlign w:val="center"/>
          </w:tcPr>
          <w:p w14:paraId="384E8CD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ajorEastAsia"/>
                <w:kern w:val="0"/>
                <w:sz w:val="24"/>
                <w:szCs w:val="24"/>
              </w:rPr>
            </w:pPr>
            <w:r>
              <w:rPr>
                <w:rFonts w:hint="default" w:ascii="Times New Roman" w:hAnsi="Times New Roman" w:cs="Times New Roman" w:eastAsiaTheme="majorEastAsia"/>
                <w:kern w:val="0"/>
                <w:sz w:val="24"/>
                <w:szCs w:val="24"/>
              </w:rPr>
              <w:t>38.57</w:t>
            </w:r>
          </w:p>
        </w:tc>
        <w:tc>
          <w:tcPr>
            <w:tcW w:w="1008" w:type="dxa"/>
            <w:tcBorders>
              <w:top w:val="single" w:color="000000" w:sz="4" w:space="0"/>
              <w:left w:val="single" w:color="000000" w:sz="4" w:space="0"/>
              <w:bottom w:val="single" w:color="000000" w:sz="4" w:space="0"/>
              <w:right w:val="single" w:color="000000" w:sz="4" w:space="0"/>
            </w:tcBorders>
            <w:noWrap/>
            <w:vAlign w:val="center"/>
          </w:tcPr>
          <w:p w14:paraId="0648D2E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ajorEastAsia"/>
                <w:color w:val="000000"/>
                <w:kern w:val="0"/>
                <w:sz w:val="24"/>
                <w:szCs w:val="24"/>
              </w:rPr>
            </w:pPr>
            <w:r>
              <w:rPr>
                <w:rFonts w:hint="default" w:ascii="Times New Roman" w:hAnsi="Times New Roman" w:cs="Times New Roman" w:eastAsiaTheme="majorEastAsia"/>
                <w:color w:val="000000"/>
                <w:kern w:val="0"/>
                <w:sz w:val="24"/>
                <w:szCs w:val="24"/>
              </w:rPr>
              <w:t>0%</w:t>
            </w:r>
          </w:p>
        </w:tc>
      </w:tr>
      <w:tr w14:paraId="5B0680BF">
        <w:tblPrEx>
          <w:tblCellMar>
            <w:top w:w="0" w:type="dxa"/>
            <w:left w:w="108" w:type="dxa"/>
            <w:bottom w:w="0" w:type="dxa"/>
            <w:right w:w="108" w:type="dxa"/>
          </w:tblCellMar>
        </w:tblPrEx>
        <w:trPr>
          <w:trHeight w:val="397" w:hRule="atLeast"/>
          <w:jc w:val="center"/>
        </w:trPr>
        <w:tc>
          <w:tcPr>
            <w:tcW w:w="581" w:type="dxa"/>
            <w:vMerge w:val="continue"/>
            <w:tcBorders>
              <w:left w:val="single" w:color="000000" w:sz="4" w:space="0"/>
              <w:right w:val="single" w:color="000000" w:sz="4" w:space="0"/>
            </w:tcBorders>
            <w:vAlign w:val="center"/>
          </w:tcPr>
          <w:p w14:paraId="0225485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ajorEastAsia"/>
                <w:color w:val="000000"/>
                <w:sz w:val="24"/>
                <w:szCs w:val="24"/>
              </w:rPr>
            </w:pPr>
          </w:p>
        </w:tc>
        <w:tc>
          <w:tcPr>
            <w:tcW w:w="5457" w:type="dxa"/>
            <w:tcBorders>
              <w:top w:val="single" w:color="000000" w:sz="4" w:space="0"/>
              <w:left w:val="single" w:color="000000" w:sz="4" w:space="0"/>
              <w:bottom w:val="single" w:color="000000" w:sz="4" w:space="0"/>
              <w:right w:val="single" w:color="000000" w:sz="4" w:space="0"/>
            </w:tcBorders>
            <w:noWrap/>
            <w:vAlign w:val="center"/>
          </w:tcPr>
          <w:p w14:paraId="4F2A8EA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ajorEastAsia"/>
                <w:color w:val="000000"/>
                <w:kern w:val="0"/>
                <w:sz w:val="24"/>
                <w:szCs w:val="24"/>
              </w:rPr>
            </w:pPr>
            <w:r>
              <w:rPr>
                <w:rFonts w:hint="default" w:ascii="Times New Roman" w:hAnsi="Times New Roman" w:cs="Times New Roman" w:eastAsiaTheme="majorEastAsia"/>
                <w:color w:val="000000"/>
                <w:kern w:val="0"/>
                <w:sz w:val="24"/>
                <w:szCs w:val="24"/>
              </w:rPr>
              <w:t>政府基金：昭化区2021年第二批次第三批次耕地占用税</w:t>
            </w:r>
          </w:p>
        </w:tc>
        <w:tc>
          <w:tcPr>
            <w:tcW w:w="1120" w:type="dxa"/>
            <w:tcBorders>
              <w:top w:val="single" w:color="000000" w:sz="4" w:space="0"/>
              <w:left w:val="single" w:color="000000" w:sz="4" w:space="0"/>
              <w:bottom w:val="single" w:color="000000" w:sz="4" w:space="0"/>
              <w:right w:val="single" w:color="000000" w:sz="4" w:space="0"/>
            </w:tcBorders>
            <w:noWrap/>
            <w:vAlign w:val="center"/>
          </w:tcPr>
          <w:p w14:paraId="35CDC0E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ajorEastAsia"/>
                <w:kern w:val="0"/>
                <w:sz w:val="24"/>
                <w:szCs w:val="24"/>
              </w:rPr>
            </w:pPr>
            <w:r>
              <w:rPr>
                <w:rFonts w:hint="default" w:ascii="Times New Roman" w:hAnsi="Times New Roman" w:cs="Times New Roman" w:eastAsiaTheme="majorEastAsia"/>
                <w:kern w:val="0"/>
                <w:sz w:val="24"/>
                <w:szCs w:val="24"/>
              </w:rPr>
              <w:t>45.31</w:t>
            </w:r>
          </w:p>
        </w:tc>
        <w:tc>
          <w:tcPr>
            <w:tcW w:w="1073" w:type="dxa"/>
            <w:tcBorders>
              <w:top w:val="single" w:color="000000" w:sz="4" w:space="0"/>
              <w:left w:val="single" w:color="000000" w:sz="4" w:space="0"/>
              <w:bottom w:val="single" w:color="000000" w:sz="4" w:space="0"/>
              <w:right w:val="single" w:color="000000" w:sz="4" w:space="0"/>
            </w:tcBorders>
            <w:noWrap/>
            <w:vAlign w:val="center"/>
          </w:tcPr>
          <w:p w14:paraId="7537F08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ajorEastAsia"/>
                <w:kern w:val="0"/>
                <w:sz w:val="24"/>
                <w:szCs w:val="24"/>
              </w:rPr>
            </w:pPr>
            <w:r>
              <w:rPr>
                <w:rFonts w:hint="default" w:ascii="Times New Roman" w:hAnsi="Times New Roman" w:cs="Times New Roman" w:eastAsiaTheme="majorEastAsia"/>
                <w:kern w:val="0"/>
                <w:sz w:val="24"/>
                <w:szCs w:val="24"/>
              </w:rPr>
              <w:t>45.31</w:t>
            </w:r>
          </w:p>
        </w:tc>
        <w:tc>
          <w:tcPr>
            <w:tcW w:w="1008" w:type="dxa"/>
            <w:tcBorders>
              <w:top w:val="single" w:color="000000" w:sz="4" w:space="0"/>
              <w:left w:val="single" w:color="000000" w:sz="4" w:space="0"/>
              <w:bottom w:val="single" w:color="000000" w:sz="4" w:space="0"/>
              <w:right w:val="single" w:color="000000" w:sz="4" w:space="0"/>
            </w:tcBorders>
            <w:noWrap/>
            <w:vAlign w:val="center"/>
          </w:tcPr>
          <w:p w14:paraId="0380492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ajorEastAsia"/>
                <w:color w:val="000000"/>
                <w:sz w:val="24"/>
                <w:szCs w:val="24"/>
              </w:rPr>
            </w:pPr>
            <w:r>
              <w:rPr>
                <w:rFonts w:hint="default" w:ascii="Times New Roman" w:hAnsi="Times New Roman" w:cs="Times New Roman" w:eastAsiaTheme="majorEastAsia"/>
                <w:color w:val="000000"/>
                <w:kern w:val="0"/>
                <w:sz w:val="24"/>
                <w:szCs w:val="24"/>
              </w:rPr>
              <w:t>0%</w:t>
            </w:r>
          </w:p>
        </w:tc>
      </w:tr>
      <w:tr w14:paraId="2D325379">
        <w:tblPrEx>
          <w:tblCellMar>
            <w:top w:w="0" w:type="dxa"/>
            <w:left w:w="108" w:type="dxa"/>
            <w:bottom w:w="0" w:type="dxa"/>
            <w:right w:w="108" w:type="dxa"/>
          </w:tblCellMar>
        </w:tblPrEx>
        <w:trPr>
          <w:trHeight w:val="397" w:hRule="atLeast"/>
          <w:jc w:val="center"/>
        </w:trPr>
        <w:tc>
          <w:tcPr>
            <w:tcW w:w="581" w:type="dxa"/>
            <w:vMerge w:val="continue"/>
            <w:tcBorders>
              <w:left w:val="single" w:color="000000" w:sz="4" w:space="0"/>
              <w:right w:val="single" w:color="000000" w:sz="4" w:space="0"/>
            </w:tcBorders>
            <w:vAlign w:val="center"/>
          </w:tcPr>
          <w:p w14:paraId="6A9C495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ajorEastAsia"/>
                <w:color w:val="000000"/>
                <w:sz w:val="24"/>
                <w:szCs w:val="24"/>
              </w:rPr>
            </w:pPr>
          </w:p>
        </w:tc>
        <w:tc>
          <w:tcPr>
            <w:tcW w:w="5457" w:type="dxa"/>
            <w:tcBorders>
              <w:top w:val="single" w:color="000000" w:sz="4" w:space="0"/>
              <w:left w:val="single" w:color="000000" w:sz="4" w:space="0"/>
              <w:bottom w:val="single" w:color="000000" w:sz="4" w:space="0"/>
              <w:right w:val="single" w:color="000000" w:sz="4" w:space="0"/>
            </w:tcBorders>
            <w:noWrap/>
            <w:vAlign w:val="center"/>
          </w:tcPr>
          <w:p w14:paraId="69C1332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ajorEastAsia"/>
                <w:color w:val="000000"/>
                <w:kern w:val="0"/>
                <w:sz w:val="24"/>
                <w:szCs w:val="24"/>
              </w:rPr>
            </w:pPr>
            <w:r>
              <w:rPr>
                <w:rFonts w:hint="default" w:ascii="Times New Roman" w:hAnsi="Times New Roman" w:cs="Times New Roman" w:eastAsiaTheme="majorEastAsia"/>
                <w:color w:val="000000"/>
                <w:kern w:val="0"/>
                <w:sz w:val="24"/>
                <w:szCs w:val="24"/>
              </w:rPr>
              <w:t>政府基金：昭化区2021年第三批次建设用地新增建设用地有偿使用费</w:t>
            </w:r>
          </w:p>
        </w:tc>
        <w:tc>
          <w:tcPr>
            <w:tcW w:w="1120" w:type="dxa"/>
            <w:tcBorders>
              <w:top w:val="single" w:color="000000" w:sz="4" w:space="0"/>
              <w:left w:val="single" w:color="000000" w:sz="4" w:space="0"/>
              <w:bottom w:val="single" w:color="000000" w:sz="4" w:space="0"/>
              <w:right w:val="single" w:color="000000" w:sz="4" w:space="0"/>
            </w:tcBorders>
            <w:noWrap/>
            <w:vAlign w:val="center"/>
          </w:tcPr>
          <w:p w14:paraId="2B08804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ajorEastAsia"/>
                <w:kern w:val="0"/>
                <w:sz w:val="24"/>
                <w:szCs w:val="24"/>
              </w:rPr>
            </w:pPr>
            <w:r>
              <w:rPr>
                <w:rFonts w:hint="default" w:ascii="Times New Roman" w:hAnsi="Times New Roman" w:cs="Times New Roman" w:eastAsiaTheme="majorEastAsia"/>
                <w:kern w:val="0"/>
                <w:sz w:val="24"/>
                <w:szCs w:val="24"/>
              </w:rPr>
              <w:t>19.43</w:t>
            </w:r>
          </w:p>
        </w:tc>
        <w:tc>
          <w:tcPr>
            <w:tcW w:w="1073" w:type="dxa"/>
            <w:tcBorders>
              <w:top w:val="single" w:color="000000" w:sz="4" w:space="0"/>
              <w:left w:val="single" w:color="000000" w:sz="4" w:space="0"/>
              <w:bottom w:val="single" w:color="000000" w:sz="4" w:space="0"/>
              <w:right w:val="single" w:color="000000" w:sz="4" w:space="0"/>
            </w:tcBorders>
            <w:noWrap/>
            <w:vAlign w:val="center"/>
          </w:tcPr>
          <w:p w14:paraId="535CEFF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ajorEastAsia"/>
                <w:kern w:val="0"/>
                <w:sz w:val="24"/>
                <w:szCs w:val="24"/>
              </w:rPr>
            </w:pPr>
            <w:r>
              <w:rPr>
                <w:rFonts w:hint="default" w:ascii="Times New Roman" w:hAnsi="Times New Roman" w:cs="Times New Roman" w:eastAsiaTheme="majorEastAsia"/>
                <w:kern w:val="0"/>
                <w:sz w:val="24"/>
                <w:szCs w:val="24"/>
              </w:rPr>
              <w:t>19.43</w:t>
            </w:r>
          </w:p>
        </w:tc>
        <w:tc>
          <w:tcPr>
            <w:tcW w:w="1008" w:type="dxa"/>
            <w:tcBorders>
              <w:top w:val="single" w:color="000000" w:sz="4" w:space="0"/>
              <w:left w:val="single" w:color="000000" w:sz="4" w:space="0"/>
              <w:bottom w:val="single" w:color="000000" w:sz="4" w:space="0"/>
              <w:right w:val="single" w:color="000000" w:sz="4" w:space="0"/>
            </w:tcBorders>
            <w:noWrap/>
            <w:vAlign w:val="center"/>
          </w:tcPr>
          <w:p w14:paraId="72D1A84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ajorEastAsia"/>
                <w:color w:val="000000"/>
                <w:sz w:val="24"/>
                <w:szCs w:val="24"/>
              </w:rPr>
            </w:pPr>
            <w:r>
              <w:rPr>
                <w:rFonts w:hint="default" w:ascii="Times New Roman" w:hAnsi="Times New Roman" w:cs="Times New Roman" w:eastAsiaTheme="majorEastAsia"/>
                <w:color w:val="000000"/>
                <w:kern w:val="0"/>
                <w:sz w:val="24"/>
                <w:szCs w:val="24"/>
              </w:rPr>
              <w:t>0%</w:t>
            </w:r>
          </w:p>
        </w:tc>
      </w:tr>
      <w:tr w14:paraId="117F84C3">
        <w:tblPrEx>
          <w:tblCellMar>
            <w:top w:w="0" w:type="dxa"/>
            <w:left w:w="108" w:type="dxa"/>
            <w:bottom w:w="0" w:type="dxa"/>
            <w:right w:w="108" w:type="dxa"/>
          </w:tblCellMar>
        </w:tblPrEx>
        <w:trPr>
          <w:trHeight w:val="397" w:hRule="atLeast"/>
          <w:jc w:val="center"/>
        </w:trPr>
        <w:tc>
          <w:tcPr>
            <w:tcW w:w="581" w:type="dxa"/>
            <w:vMerge w:val="continue"/>
            <w:tcBorders>
              <w:left w:val="single" w:color="000000" w:sz="4" w:space="0"/>
              <w:right w:val="single" w:color="000000" w:sz="4" w:space="0"/>
            </w:tcBorders>
            <w:vAlign w:val="center"/>
          </w:tcPr>
          <w:p w14:paraId="3888092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ajorEastAsia"/>
                <w:color w:val="000000"/>
                <w:sz w:val="24"/>
                <w:szCs w:val="24"/>
              </w:rPr>
            </w:pPr>
          </w:p>
        </w:tc>
        <w:tc>
          <w:tcPr>
            <w:tcW w:w="5457" w:type="dxa"/>
            <w:tcBorders>
              <w:top w:val="single" w:color="000000" w:sz="4" w:space="0"/>
              <w:left w:val="single" w:color="000000" w:sz="4" w:space="0"/>
              <w:bottom w:val="single" w:color="000000" w:sz="4" w:space="0"/>
              <w:right w:val="single" w:color="000000" w:sz="4" w:space="0"/>
            </w:tcBorders>
            <w:noWrap/>
            <w:vAlign w:val="center"/>
          </w:tcPr>
          <w:p w14:paraId="5C32DBB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ajorEastAsia"/>
                <w:color w:val="000000"/>
                <w:kern w:val="0"/>
                <w:sz w:val="24"/>
                <w:szCs w:val="24"/>
              </w:rPr>
            </w:pPr>
            <w:r>
              <w:rPr>
                <w:rFonts w:hint="default" w:ascii="Times New Roman" w:hAnsi="Times New Roman" w:cs="Times New Roman" w:eastAsiaTheme="majorEastAsia"/>
                <w:color w:val="000000"/>
                <w:kern w:val="0"/>
                <w:sz w:val="24"/>
                <w:szCs w:val="24"/>
              </w:rPr>
              <w:t>政府基金：成片开发傅家店3个地块建设项目土地勘探定界费用</w:t>
            </w:r>
          </w:p>
        </w:tc>
        <w:tc>
          <w:tcPr>
            <w:tcW w:w="1120" w:type="dxa"/>
            <w:tcBorders>
              <w:top w:val="single" w:color="000000" w:sz="4" w:space="0"/>
              <w:left w:val="single" w:color="000000" w:sz="4" w:space="0"/>
              <w:bottom w:val="single" w:color="000000" w:sz="4" w:space="0"/>
              <w:right w:val="single" w:color="000000" w:sz="4" w:space="0"/>
            </w:tcBorders>
            <w:noWrap/>
            <w:vAlign w:val="center"/>
          </w:tcPr>
          <w:p w14:paraId="28EF164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ajorEastAsia"/>
                <w:kern w:val="0"/>
                <w:sz w:val="24"/>
                <w:szCs w:val="24"/>
              </w:rPr>
            </w:pPr>
            <w:r>
              <w:rPr>
                <w:rFonts w:hint="default" w:ascii="Times New Roman" w:hAnsi="Times New Roman" w:cs="Times New Roman" w:eastAsiaTheme="majorEastAsia"/>
                <w:kern w:val="0"/>
                <w:sz w:val="24"/>
                <w:szCs w:val="24"/>
              </w:rPr>
              <w:t>4.8</w:t>
            </w:r>
          </w:p>
        </w:tc>
        <w:tc>
          <w:tcPr>
            <w:tcW w:w="1073" w:type="dxa"/>
            <w:tcBorders>
              <w:top w:val="single" w:color="000000" w:sz="4" w:space="0"/>
              <w:left w:val="single" w:color="000000" w:sz="4" w:space="0"/>
              <w:bottom w:val="single" w:color="000000" w:sz="4" w:space="0"/>
              <w:right w:val="single" w:color="000000" w:sz="4" w:space="0"/>
            </w:tcBorders>
            <w:noWrap/>
            <w:vAlign w:val="center"/>
          </w:tcPr>
          <w:p w14:paraId="1431220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ajorEastAsia"/>
                <w:kern w:val="0"/>
                <w:sz w:val="24"/>
                <w:szCs w:val="24"/>
              </w:rPr>
            </w:pPr>
            <w:r>
              <w:rPr>
                <w:rFonts w:hint="default" w:ascii="Times New Roman" w:hAnsi="Times New Roman" w:cs="Times New Roman" w:eastAsiaTheme="majorEastAsia"/>
                <w:kern w:val="0"/>
                <w:sz w:val="24"/>
                <w:szCs w:val="24"/>
              </w:rPr>
              <w:t>4.8</w:t>
            </w:r>
          </w:p>
        </w:tc>
        <w:tc>
          <w:tcPr>
            <w:tcW w:w="1008" w:type="dxa"/>
            <w:tcBorders>
              <w:top w:val="single" w:color="000000" w:sz="4" w:space="0"/>
              <w:left w:val="single" w:color="000000" w:sz="4" w:space="0"/>
              <w:bottom w:val="single" w:color="000000" w:sz="4" w:space="0"/>
              <w:right w:val="single" w:color="000000" w:sz="4" w:space="0"/>
            </w:tcBorders>
            <w:noWrap/>
            <w:vAlign w:val="center"/>
          </w:tcPr>
          <w:p w14:paraId="6AD7143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ajorEastAsia"/>
                <w:color w:val="000000"/>
                <w:sz w:val="24"/>
                <w:szCs w:val="24"/>
              </w:rPr>
            </w:pPr>
            <w:r>
              <w:rPr>
                <w:rFonts w:hint="default" w:ascii="Times New Roman" w:hAnsi="Times New Roman" w:cs="Times New Roman" w:eastAsiaTheme="majorEastAsia"/>
                <w:color w:val="000000"/>
                <w:kern w:val="0"/>
                <w:sz w:val="24"/>
                <w:szCs w:val="24"/>
              </w:rPr>
              <w:t>0%</w:t>
            </w:r>
          </w:p>
        </w:tc>
      </w:tr>
      <w:tr w14:paraId="347AAA9D">
        <w:tblPrEx>
          <w:tblCellMar>
            <w:top w:w="0" w:type="dxa"/>
            <w:left w:w="108" w:type="dxa"/>
            <w:bottom w:w="0" w:type="dxa"/>
            <w:right w:w="108" w:type="dxa"/>
          </w:tblCellMar>
        </w:tblPrEx>
        <w:trPr>
          <w:trHeight w:val="397" w:hRule="atLeast"/>
          <w:jc w:val="center"/>
        </w:trPr>
        <w:tc>
          <w:tcPr>
            <w:tcW w:w="581" w:type="dxa"/>
            <w:vMerge w:val="continue"/>
            <w:tcBorders>
              <w:left w:val="single" w:color="000000" w:sz="4" w:space="0"/>
              <w:right w:val="single" w:color="000000" w:sz="4" w:space="0"/>
            </w:tcBorders>
            <w:vAlign w:val="center"/>
          </w:tcPr>
          <w:p w14:paraId="560F87B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ajorEastAsia"/>
                <w:color w:val="000000"/>
                <w:sz w:val="24"/>
                <w:szCs w:val="24"/>
              </w:rPr>
            </w:pPr>
          </w:p>
        </w:tc>
        <w:tc>
          <w:tcPr>
            <w:tcW w:w="5457" w:type="dxa"/>
            <w:tcBorders>
              <w:top w:val="single" w:color="000000" w:sz="4" w:space="0"/>
              <w:left w:val="single" w:color="000000" w:sz="4" w:space="0"/>
              <w:bottom w:val="single" w:color="000000" w:sz="4" w:space="0"/>
              <w:right w:val="single" w:color="000000" w:sz="4" w:space="0"/>
            </w:tcBorders>
            <w:noWrap/>
            <w:vAlign w:val="center"/>
          </w:tcPr>
          <w:p w14:paraId="3AFB2C1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ajorEastAsia"/>
                <w:color w:val="000000"/>
                <w:kern w:val="0"/>
                <w:sz w:val="24"/>
                <w:szCs w:val="24"/>
              </w:rPr>
            </w:pPr>
            <w:r>
              <w:rPr>
                <w:rFonts w:hint="default" w:ascii="Times New Roman" w:hAnsi="Times New Roman" w:cs="Times New Roman" w:eastAsiaTheme="majorEastAsia"/>
                <w:color w:val="000000"/>
                <w:kern w:val="0"/>
                <w:sz w:val="24"/>
                <w:szCs w:val="24"/>
              </w:rPr>
              <w:t>政府基金：不动产登记自主设备经费</w:t>
            </w:r>
          </w:p>
        </w:tc>
        <w:tc>
          <w:tcPr>
            <w:tcW w:w="1120" w:type="dxa"/>
            <w:tcBorders>
              <w:top w:val="single" w:color="000000" w:sz="4" w:space="0"/>
              <w:left w:val="single" w:color="000000" w:sz="4" w:space="0"/>
              <w:bottom w:val="single" w:color="000000" w:sz="4" w:space="0"/>
              <w:right w:val="single" w:color="000000" w:sz="4" w:space="0"/>
            </w:tcBorders>
            <w:noWrap/>
            <w:vAlign w:val="center"/>
          </w:tcPr>
          <w:p w14:paraId="7641D9D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ajorEastAsia"/>
                <w:kern w:val="0"/>
                <w:sz w:val="24"/>
                <w:szCs w:val="24"/>
              </w:rPr>
            </w:pPr>
            <w:r>
              <w:rPr>
                <w:rFonts w:hint="default" w:ascii="Times New Roman" w:hAnsi="Times New Roman" w:cs="Times New Roman" w:eastAsiaTheme="majorEastAsia"/>
                <w:kern w:val="0"/>
                <w:sz w:val="24"/>
                <w:szCs w:val="24"/>
              </w:rPr>
              <w:t>27.46</w:t>
            </w:r>
          </w:p>
        </w:tc>
        <w:tc>
          <w:tcPr>
            <w:tcW w:w="1073" w:type="dxa"/>
            <w:tcBorders>
              <w:top w:val="single" w:color="000000" w:sz="4" w:space="0"/>
              <w:left w:val="single" w:color="000000" w:sz="4" w:space="0"/>
              <w:bottom w:val="single" w:color="000000" w:sz="4" w:space="0"/>
              <w:right w:val="single" w:color="000000" w:sz="4" w:space="0"/>
            </w:tcBorders>
            <w:noWrap/>
            <w:vAlign w:val="center"/>
          </w:tcPr>
          <w:p w14:paraId="2601736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ajorEastAsia"/>
                <w:kern w:val="0"/>
                <w:sz w:val="24"/>
                <w:szCs w:val="24"/>
              </w:rPr>
            </w:pPr>
            <w:r>
              <w:rPr>
                <w:rFonts w:hint="default" w:ascii="Times New Roman" w:hAnsi="Times New Roman" w:cs="Times New Roman" w:eastAsiaTheme="majorEastAsia"/>
                <w:kern w:val="0"/>
                <w:sz w:val="24"/>
                <w:szCs w:val="24"/>
              </w:rPr>
              <w:t>27.46</w:t>
            </w:r>
          </w:p>
        </w:tc>
        <w:tc>
          <w:tcPr>
            <w:tcW w:w="1008" w:type="dxa"/>
            <w:tcBorders>
              <w:top w:val="single" w:color="000000" w:sz="4" w:space="0"/>
              <w:left w:val="single" w:color="000000" w:sz="4" w:space="0"/>
              <w:bottom w:val="single" w:color="000000" w:sz="4" w:space="0"/>
              <w:right w:val="single" w:color="000000" w:sz="4" w:space="0"/>
            </w:tcBorders>
            <w:noWrap/>
            <w:vAlign w:val="center"/>
          </w:tcPr>
          <w:p w14:paraId="32696C7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ajorEastAsia"/>
                <w:color w:val="000000"/>
                <w:sz w:val="24"/>
                <w:szCs w:val="24"/>
              </w:rPr>
            </w:pPr>
            <w:r>
              <w:rPr>
                <w:rFonts w:hint="default" w:ascii="Times New Roman" w:hAnsi="Times New Roman" w:cs="Times New Roman" w:eastAsiaTheme="majorEastAsia"/>
                <w:color w:val="000000"/>
                <w:kern w:val="0"/>
                <w:sz w:val="24"/>
                <w:szCs w:val="24"/>
              </w:rPr>
              <w:t>0%</w:t>
            </w:r>
          </w:p>
        </w:tc>
      </w:tr>
      <w:tr w14:paraId="30F171D9">
        <w:tblPrEx>
          <w:tblCellMar>
            <w:top w:w="0" w:type="dxa"/>
            <w:left w:w="108" w:type="dxa"/>
            <w:bottom w:w="0" w:type="dxa"/>
            <w:right w:w="108" w:type="dxa"/>
          </w:tblCellMar>
        </w:tblPrEx>
        <w:trPr>
          <w:trHeight w:val="397" w:hRule="atLeast"/>
          <w:jc w:val="center"/>
        </w:trPr>
        <w:tc>
          <w:tcPr>
            <w:tcW w:w="581" w:type="dxa"/>
            <w:vMerge w:val="continue"/>
            <w:tcBorders>
              <w:left w:val="single" w:color="000000" w:sz="4" w:space="0"/>
              <w:bottom w:val="single" w:color="000000" w:sz="4" w:space="0"/>
              <w:right w:val="single" w:color="000000" w:sz="4" w:space="0"/>
            </w:tcBorders>
            <w:noWrap/>
            <w:vAlign w:val="center"/>
          </w:tcPr>
          <w:p w14:paraId="629D5A8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ajorEastAsia"/>
                <w:color w:val="000000"/>
                <w:kern w:val="0"/>
                <w:sz w:val="24"/>
                <w:szCs w:val="24"/>
              </w:rPr>
            </w:pPr>
          </w:p>
        </w:tc>
        <w:tc>
          <w:tcPr>
            <w:tcW w:w="5457" w:type="dxa"/>
            <w:tcBorders>
              <w:top w:val="single" w:color="000000" w:sz="4" w:space="0"/>
              <w:left w:val="single" w:color="000000" w:sz="4" w:space="0"/>
              <w:bottom w:val="single" w:color="000000" w:sz="4" w:space="0"/>
              <w:right w:val="single" w:color="000000" w:sz="4" w:space="0"/>
            </w:tcBorders>
            <w:noWrap/>
            <w:vAlign w:val="center"/>
          </w:tcPr>
          <w:p w14:paraId="77A2FFD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ajorEastAsia"/>
                <w:color w:val="000000"/>
                <w:kern w:val="0"/>
                <w:sz w:val="24"/>
                <w:szCs w:val="24"/>
              </w:rPr>
            </w:pPr>
            <w:r>
              <w:rPr>
                <w:rFonts w:hint="default" w:ascii="Times New Roman" w:hAnsi="Times New Roman" w:cs="Times New Roman" w:eastAsiaTheme="majorEastAsia"/>
                <w:color w:val="000000"/>
                <w:kern w:val="0"/>
                <w:sz w:val="24"/>
                <w:szCs w:val="24"/>
              </w:rPr>
              <w:t>政府基金：东方明珠13套房产权转移经费</w:t>
            </w:r>
          </w:p>
        </w:tc>
        <w:tc>
          <w:tcPr>
            <w:tcW w:w="1120" w:type="dxa"/>
            <w:tcBorders>
              <w:top w:val="single" w:color="000000" w:sz="4" w:space="0"/>
              <w:left w:val="single" w:color="000000" w:sz="4" w:space="0"/>
              <w:bottom w:val="single" w:color="000000" w:sz="4" w:space="0"/>
              <w:right w:val="single" w:color="000000" w:sz="4" w:space="0"/>
            </w:tcBorders>
            <w:noWrap/>
            <w:vAlign w:val="center"/>
          </w:tcPr>
          <w:p w14:paraId="0B21980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ajorEastAsia"/>
                <w:kern w:val="0"/>
                <w:sz w:val="24"/>
                <w:szCs w:val="24"/>
              </w:rPr>
            </w:pPr>
            <w:r>
              <w:rPr>
                <w:rFonts w:hint="default" w:ascii="Times New Roman" w:hAnsi="Times New Roman" w:cs="Times New Roman" w:eastAsiaTheme="majorEastAsia"/>
                <w:kern w:val="0"/>
                <w:sz w:val="24"/>
                <w:szCs w:val="24"/>
              </w:rPr>
              <w:t>13.76</w:t>
            </w:r>
          </w:p>
        </w:tc>
        <w:tc>
          <w:tcPr>
            <w:tcW w:w="1073" w:type="dxa"/>
            <w:tcBorders>
              <w:top w:val="single" w:color="000000" w:sz="4" w:space="0"/>
              <w:left w:val="single" w:color="000000" w:sz="4" w:space="0"/>
              <w:bottom w:val="single" w:color="000000" w:sz="4" w:space="0"/>
              <w:right w:val="single" w:color="000000" w:sz="4" w:space="0"/>
            </w:tcBorders>
            <w:noWrap/>
            <w:vAlign w:val="center"/>
          </w:tcPr>
          <w:p w14:paraId="25B74B1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ajorEastAsia"/>
                <w:kern w:val="0"/>
                <w:sz w:val="24"/>
                <w:szCs w:val="24"/>
              </w:rPr>
            </w:pPr>
            <w:r>
              <w:rPr>
                <w:rFonts w:hint="default" w:ascii="Times New Roman" w:hAnsi="Times New Roman" w:cs="Times New Roman" w:eastAsiaTheme="majorEastAsia"/>
                <w:kern w:val="0"/>
                <w:sz w:val="24"/>
                <w:szCs w:val="24"/>
              </w:rPr>
              <w:t>13.76</w:t>
            </w:r>
          </w:p>
        </w:tc>
        <w:tc>
          <w:tcPr>
            <w:tcW w:w="1008" w:type="dxa"/>
            <w:tcBorders>
              <w:top w:val="single" w:color="000000" w:sz="4" w:space="0"/>
              <w:left w:val="single" w:color="000000" w:sz="4" w:space="0"/>
              <w:bottom w:val="single" w:color="000000" w:sz="4" w:space="0"/>
              <w:right w:val="single" w:color="000000" w:sz="4" w:space="0"/>
            </w:tcBorders>
            <w:noWrap/>
            <w:vAlign w:val="center"/>
          </w:tcPr>
          <w:p w14:paraId="5C7226E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ajorEastAsia"/>
                <w:color w:val="000000"/>
                <w:kern w:val="0"/>
                <w:sz w:val="24"/>
                <w:szCs w:val="24"/>
              </w:rPr>
            </w:pPr>
            <w:r>
              <w:rPr>
                <w:rFonts w:hint="default" w:ascii="Times New Roman" w:hAnsi="Times New Roman" w:cs="Times New Roman" w:eastAsiaTheme="majorEastAsia"/>
                <w:color w:val="000000"/>
                <w:kern w:val="0"/>
                <w:sz w:val="24"/>
                <w:szCs w:val="24"/>
              </w:rPr>
              <w:t>0%</w:t>
            </w:r>
          </w:p>
        </w:tc>
      </w:tr>
      <w:tr w14:paraId="5A41D05A">
        <w:tblPrEx>
          <w:tblCellMar>
            <w:top w:w="0" w:type="dxa"/>
            <w:left w:w="108" w:type="dxa"/>
            <w:bottom w:w="0" w:type="dxa"/>
            <w:right w:w="108" w:type="dxa"/>
          </w:tblCellMar>
        </w:tblPrEx>
        <w:trPr>
          <w:trHeight w:val="397" w:hRule="atLeast"/>
          <w:jc w:val="center"/>
        </w:trPr>
        <w:tc>
          <w:tcPr>
            <w:tcW w:w="6038" w:type="dxa"/>
            <w:gridSpan w:val="2"/>
            <w:tcBorders>
              <w:top w:val="single" w:color="000000" w:sz="4" w:space="0"/>
              <w:left w:val="single" w:color="000000" w:sz="4" w:space="0"/>
              <w:bottom w:val="single" w:color="000000" w:sz="4" w:space="0"/>
              <w:right w:val="single" w:color="000000" w:sz="4" w:space="0"/>
            </w:tcBorders>
            <w:noWrap/>
            <w:vAlign w:val="center"/>
          </w:tcPr>
          <w:p w14:paraId="14071DA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ajorEastAsia"/>
                <w:color w:val="000000"/>
                <w:kern w:val="0"/>
                <w:sz w:val="24"/>
                <w:szCs w:val="24"/>
              </w:rPr>
            </w:pPr>
            <w:r>
              <w:rPr>
                <w:rFonts w:hint="default" w:ascii="Times New Roman" w:hAnsi="Times New Roman" w:cs="Times New Roman" w:eastAsiaTheme="majorEastAsia"/>
                <w:color w:val="000000"/>
                <w:kern w:val="0"/>
                <w:sz w:val="24"/>
                <w:szCs w:val="24"/>
              </w:rPr>
              <w:t>合    计</w:t>
            </w:r>
          </w:p>
        </w:tc>
        <w:tc>
          <w:tcPr>
            <w:tcW w:w="1120" w:type="dxa"/>
            <w:tcBorders>
              <w:top w:val="single" w:color="000000" w:sz="4" w:space="0"/>
              <w:left w:val="single" w:color="000000" w:sz="4" w:space="0"/>
              <w:bottom w:val="single" w:color="000000" w:sz="4" w:space="0"/>
              <w:right w:val="single" w:color="000000" w:sz="4" w:space="0"/>
            </w:tcBorders>
            <w:noWrap/>
            <w:vAlign w:val="center"/>
          </w:tcPr>
          <w:p w14:paraId="327581A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ajorEastAsia"/>
                <w:color w:val="000000"/>
                <w:sz w:val="24"/>
                <w:szCs w:val="24"/>
              </w:rPr>
            </w:pPr>
            <w:r>
              <w:rPr>
                <w:rFonts w:hint="default" w:ascii="Times New Roman" w:hAnsi="Times New Roman" w:cs="Times New Roman" w:eastAsiaTheme="majorEastAsia"/>
                <w:color w:val="000000"/>
                <w:sz w:val="24"/>
                <w:szCs w:val="24"/>
              </w:rPr>
              <w:fldChar w:fldCharType="begin"/>
            </w:r>
            <w:r>
              <w:rPr>
                <w:rFonts w:hint="default" w:ascii="Times New Roman" w:hAnsi="Times New Roman" w:cs="Times New Roman" w:eastAsiaTheme="majorEastAsia"/>
                <w:color w:val="000000"/>
                <w:sz w:val="24"/>
                <w:szCs w:val="24"/>
              </w:rPr>
              <w:instrText xml:space="preserve"> = sum(D2:D24) \* MERGEFORMAT </w:instrText>
            </w:r>
            <w:r>
              <w:rPr>
                <w:rFonts w:hint="default" w:ascii="Times New Roman" w:hAnsi="Times New Roman" w:cs="Times New Roman" w:eastAsiaTheme="majorEastAsia"/>
                <w:color w:val="000000"/>
                <w:sz w:val="24"/>
                <w:szCs w:val="24"/>
              </w:rPr>
              <w:fldChar w:fldCharType="separate"/>
            </w:r>
            <w:r>
              <w:rPr>
                <w:rFonts w:hint="default" w:ascii="Times New Roman" w:hAnsi="Times New Roman" w:cs="Times New Roman" w:eastAsiaTheme="majorEastAsia"/>
                <w:color w:val="000000"/>
                <w:sz w:val="24"/>
                <w:szCs w:val="24"/>
              </w:rPr>
              <w:t>9003.24</w:t>
            </w:r>
            <w:r>
              <w:rPr>
                <w:rFonts w:hint="default" w:ascii="Times New Roman" w:hAnsi="Times New Roman" w:cs="Times New Roman" w:eastAsiaTheme="majorEastAsia"/>
                <w:color w:val="000000"/>
                <w:sz w:val="24"/>
                <w:szCs w:val="24"/>
              </w:rPr>
              <w:fldChar w:fldCharType="end"/>
            </w:r>
          </w:p>
        </w:tc>
        <w:tc>
          <w:tcPr>
            <w:tcW w:w="1073" w:type="dxa"/>
            <w:tcBorders>
              <w:top w:val="single" w:color="000000" w:sz="4" w:space="0"/>
              <w:left w:val="single" w:color="000000" w:sz="4" w:space="0"/>
              <w:bottom w:val="single" w:color="000000" w:sz="4" w:space="0"/>
              <w:right w:val="single" w:color="000000" w:sz="4" w:space="0"/>
            </w:tcBorders>
            <w:noWrap/>
            <w:vAlign w:val="center"/>
          </w:tcPr>
          <w:p w14:paraId="1BA2167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ajorEastAsia"/>
                <w:color w:val="000000"/>
                <w:sz w:val="24"/>
                <w:szCs w:val="24"/>
              </w:rPr>
            </w:pPr>
            <w:r>
              <w:rPr>
                <w:rFonts w:hint="default" w:ascii="Times New Roman" w:hAnsi="Times New Roman" w:cs="Times New Roman" w:eastAsiaTheme="majorEastAsia"/>
                <w:color w:val="000000"/>
                <w:sz w:val="24"/>
                <w:szCs w:val="24"/>
              </w:rPr>
              <w:fldChar w:fldCharType="begin"/>
            </w:r>
            <w:r>
              <w:rPr>
                <w:rFonts w:hint="default" w:ascii="Times New Roman" w:hAnsi="Times New Roman" w:cs="Times New Roman" w:eastAsiaTheme="majorEastAsia"/>
                <w:color w:val="000000"/>
                <w:sz w:val="24"/>
                <w:szCs w:val="24"/>
              </w:rPr>
              <w:instrText xml:space="preserve"> = sum(D2:D24) \* MERGEFORMAT </w:instrText>
            </w:r>
            <w:r>
              <w:rPr>
                <w:rFonts w:hint="default" w:ascii="Times New Roman" w:hAnsi="Times New Roman" w:cs="Times New Roman" w:eastAsiaTheme="majorEastAsia"/>
                <w:color w:val="000000"/>
                <w:sz w:val="24"/>
                <w:szCs w:val="24"/>
              </w:rPr>
              <w:fldChar w:fldCharType="separate"/>
            </w:r>
            <w:r>
              <w:rPr>
                <w:rFonts w:hint="default" w:ascii="Times New Roman" w:hAnsi="Times New Roman" w:cs="Times New Roman" w:eastAsiaTheme="majorEastAsia"/>
                <w:color w:val="000000"/>
                <w:sz w:val="24"/>
                <w:szCs w:val="24"/>
              </w:rPr>
              <w:t>9003.24</w:t>
            </w:r>
            <w:r>
              <w:rPr>
                <w:rFonts w:hint="default" w:ascii="Times New Roman" w:hAnsi="Times New Roman" w:cs="Times New Roman" w:eastAsiaTheme="majorEastAsia"/>
                <w:color w:val="000000"/>
                <w:sz w:val="24"/>
                <w:szCs w:val="24"/>
              </w:rPr>
              <w:fldChar w:fldCharType="end"/>
            </w:r>
          </w:p>
        </w:tc>
        <w:tc>
          <w:tcPr>
            <w:tcW w:w="1008" w:type="dxa"/>
            <w:tcBorders>
              <w:top w:val="single" w:color="000000" w:sz="4" w:space="0"/>
              <w:left w:val="single" w:color="000000" w:sz="4" w:space="0"/>
              <w:bottom w:val="single" w:color="000000" w:sz="4" w:space="0"/>
              <w:right w:val="single" w:color="000000" w:sz="4" w:space="0"/>
            </w:tcBorders>
            <w:noWrap/>
            <w:vAlign w:val="center"/>
          </w:tcPr>
          <w:p w14:paraId="0A5D0DC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ajorEastAsia"/>
                <w:color w:val="000000"/>
                <w:sz w:val="24"/>
                <w:szCs w:val="24"/>
              </w:rPr>
            </w:pPr>
            <w:r>
              <w:rPr>
                <w:rFonts w:hint="default" w:ascii="Times New Roman" w:hAnsi="Times New Roman" w:cs="Times New Roman" w:eastAsiaTheme="majorEastAsia"/>
                <w:color w:val="000000"/>
                <w:kern w:val="0"/>
                <w:sz w:val="24"/>
                <w:szCs w:val="24"/>
              </w:rPr>
              <w:t>0%</w:t>
            </w:r>
          </w:p>
        </w:tc>
      </w:tr>
    </w:tbl>
    <w:p w14:paraId="0972A566">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按照权重不同综合计算，预决算偏差度为：0%.</w:t>
      </w:r>
    </w:p>
    <w:p w14:paraId="35C1D451">
      <w:pPr>
        <w:keepNext w:val="0"/>
        <w:keepLines w:val="0"/>
        <w:pageBreakBefore w:val="0"/>
        <w:widowControl w:val="0"/>
        <w:kinsoku/>
        <w:wordWrap/>
        <w:overflowPunct/>
        <w:topLinePunct w:val="0"/>
        <w:autoSpaceDE/>
        <w:autoSpaceDN/>
        <w:bidi w:val="0"/>
        <w:adjustRightInd/>
        <w:snapToGrid/>
        <w:spacing w:line="53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lang w:val="en-US" w:eastAsia="zh-CN"/>
        </w:rPr>
        <w:t>3</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及时处置</w:t>
      </w:r>
    </w:p>
    <w:p w14:paraId="27BC2B9C">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我单位部门绩效监控调整取消额与结余注销额均为零。</w:t>
      </w:r>
    </w:p>
    <w:p w14:paraId="555CD607">
      <w:pPr>
        <w:keepNext w:val="0"/>
        <w:keepLines w:val="0"/>
        <w:pageBreakBefore w:val="0"/>
        <w:widowControl w:val="0"/>
        <w:kinsoku/>
        <w:wordWrap/>
        <w:overflowPunct/>
        <w:topLinePunct w:val="0"/>
        <w:autoSpaceDE/>
        <w:autoSpaceDN/>
        <w:bidi w:val="0"/>
        <w:adjustRightInd/>
        <w:snapToGrid/>
        <w:spacing w:line="53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4．执行进度</w:t>
      </w:r>
    </w:p>
    <w:p w14:paraId="6612AC99">
      <w:pPr>
        <w:pStyle w:val="29"/>
        <w:spacing w:line="560" w:lineRule="exact"/>
        <w:jc w:val="center"/>
        <w:rPr>
          <w:rFonts w:hint="default" w:ascii="Times New Roman" w:hAnsi="Times New Roman" w:cs="Times New Roman"/>
        </w:rPr>
      </w:pPr>
      <w:r>
        <w:rPr>
          <w:rFonts w:hint="default" w:ascii="Times New Roman" w:hAnsi="Times New Roman" w:eastAsia="黑体" w:cs="Times New Roman"/>
          <w:sz w:val="32"/>
          <w:szCs w:val="32"/>
        </w:rPr>
        <w:t>预算执行进度表</w:t>
      </w:r>
    </w:p>
    <w:tbl>
      <w:tblPr>
        <w:tblStyle w:val="18"/>
        <w:tblpPr w:leftFromText="180" w:rightFromText="180" w:vertAnchor="text" w:horzAnchor="page" w:tblpXSpec="center" w:tblpY="227"/>
        <w:tblOverlap w:val="never"/>
        <w:tblW w:w="106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3278"/>
        <w:gridCol w:w="923"/>
        <w:gridCol w:w="635"/>
        <w:gridCol w:w="727"/>
        <w:gridCol w:w="635"/>
        <w:gridCol w:w="726"/>
        <w:gridCol w:w="693"/>
        <w:gridCol w:w="727"/>
        <w:gridCol w:w="1548"/>
      </w:tblGrid>
      <w:tr w14:paraId="418CA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735" w:type="dxa"/>
            <w:vMerge w:val="restart"/>
            <w:vAlign w:val="center"/>
          </w:tcPr>
          <w:p w14:paraId="62801723">
            <w:pPr>
              <w:pStyle w:val="29"/>
              <w:keepNext w:val="0"/>
              <w:keepLines w:val="0"/>
              <w:pageBreakBefore w:val="0"/>
              <w:kinsoku/>
              <w:wordWrap/>
              <w:overflowPunct/>
              <w:topLinePunct w:val="0"/>
              <w:bidi w:val="0"/>
              <w:snapToGrid/>
              <w:spacing w:line="220" w:lineRule="exact"/>
              <w:jc w:val="center"/>
              <w:rPr>
                <w:rFonts w:hint="default" w:ascii="Times New Roman" w:hAnsi="Times New Roman" w:eastAsia="黑体" w:cs="Times New Roman"/>
                <w:spacing w:val="-11"/>
                <w:kern w:val="21"/>
                <w:sz w:val="21"/>
                <w:szCs w:val="21"/>
              </w:rPr>
            </w:pPr>
            <w:r>
              <w:rPr>
                <w:rFonts w:hint="default" w:ascii="Times New Roman" w:hAnsi="Times New Roman" w:eastAsia="黑体" w:cs="Times New Roman"/>
                <w:spacing w:val="-11"/>
                <w:kern w:val="21"/>
                <w:sz w:val="21"/>
                <w:szCs w:val="21"/>
              </w:rPr>
              <w:t>支出类别</w:t>
            </w:r>
          </w:p>
        </w:tc>
        <w:tc>
          <w:tcPr>
            <w:tcW w:w="3278" w:type="dxa"/>
            <w:vMerge w:val="restart"/>
            <w:vAlign w:val="center"/>
          </w:tcPr>
          <w:p w14:paraId="39CDC97F">
            <w:pPr>
              <w:pStyle w:val="29"/>
              <w:keepNext w:val="0"/>
              <w:keepLines w:val="0"/>
              <w:pageBreakBefore w:val="0"/>
              <w:kinsoku/>
              <w:wordWrap/>
              <w:overflowPunct/>
              <w:topLinePunct w:val="0"/>
              <w:bidi w:val="0"/>
              <w:snapToGrid/>
              <w:spacing w:line="220" w:lineRule="exact"/>
              <w:jc w:val="center"/>
              <w:rPr>
                <w:rFonts w:hint="default" w:ascii="Times New Roman" w:hAnsi="Times New Roman" w:eastAsia="黑体" w:cs="Times New Roman"/>
                <w:spacing w:val="-11"/>
                <w:kern w:val="21"/>
                <w:sz w:val="21"/>
                <w:szCs w:val="21"/>
              </w:rPr>
            </w:pPr>
            <w:r>
              <w:rPr>
                <w:rFonts w:hint="default" w:ascii="Times New Roman" w:hAnsi="Times New Roman" w:eastAsia="黑体" w:cs="Times New Roman"/>
                <w:spacing w:val="-11"/>
                <w:kern w:val="21"/>
                <w:sz w:val="21"/>
                <w:szCs w:val="21"/>
              </w:rPr>
              <w:t>项    目</w:t>
            </w:r>
          </w:p>
        </w:tc>
        <w:tc>
          <w:tcPr>
            <w:tcW w:w="923" w:type="dxa"/>
            <w:vMerge w:val="restart"/>
            <w:vAlign w:val="center"/>
          </w:tcPr>
          <w:p w14:paraId="46D4E2C7">
            <w:pPr>
              <w:pStyle w:val="29"/>
              <w:keepNext w:val="0"/>
              <w:keepLines w:val="0"/>
              <w:pageBreakBefore w:val="0"/>
              <w:kinsoku/>
              <w:wordWrap/>
              <w:overflowPunct/>
              <w:topLinePunct w:val="0"/>
              <w:bidi w:val="0"/>
              <w:snapToGrid/>
              <w:spacing w:line="220" w:lineRule="exact"/>
              <w:jc w:val="center"/>
              <w:rPr>
                <w:rFonts w:hint="default" w:ascii="Times New Roman" w:hAnsi="Times New Roman" w:eastAsia="黑体" w:cs="Times New Roman"/>
                <w:spacing w:val="-11"/>
                <w:kern w:val="21"/>
                <w:sz w:val="21"/>
                <w:szCs w:val="21"/>
              </w:rPr>
            </w:pPr>
            <w:r>
              <w:rPr>
                <w:rFonts w:hint="default" w:ascii="Times New Roman" w:hAnsi="Times New Roman" w:eastAsia="黑体" w:cs="Times New Roman"/>
                <w:spacing w:val="-11"/>
                <w:kern w:val="21"/>
                <w:sz w:val="21"/>
                <w:szCs w:val="21"/>
              </w:rPr>
              <w:t>预算数</w:t>
            </w:r>
          </w:p>
        </w:tc>
        <w:tc>
          <w:tcPr>
            <w:tcW w:w="4143" w:type="dxa"/>
            <w:gridSpan w:val="6"/>
            <w:vAlign w:val="center"/>
          </w:tcPr>
          <w:p w14:paraId="2A8AF940">
            <w:pPr>
              <w:pStyle w:val="29"/>
              <w:keepNext w:val="0"/>
              <w:keepLines w:val="0"/>
              <w:pageBreakBefore w:val="0"/>
              <w:kinsoku/>
              <w:wordWrap/>
              <w:overflowPunct/>
              <w:topLinePunct w:val="0"/>
              <w:bidi w:val="0"/>
              <w:snapToGrid/>
              <w:spacing w:line="220" w:lineRule="exact"/>
              <w:jc w:val="center"/>
              <w:rPr>
                <w:rFonts w:hint="default" w:ascii="Times New Roman" w:hAnsi="Times New Roman" w:eastAsia="黑体" w:cs="Times New Roman"/>
                <w:spacing w:val="-11"/>
                <w:kern w:val="21"/>
                <w:sz w:val="21"/>
                <w:szCs w:val="21"/>
              </w:rPr>
            </w:pPr>
            <w:r>
              <w:rPr>
                <w:rFonts w:hint="default" w:ascii="Times New Roman" w:hAnsi="Times New Roman" w:eastAsia="黑体" w:cs="Times New Roman"/>
                <w:spacing w:val="-11"/>
                <w:kern w:val="21"/>
                <w:sz w:val="21"/>
                <w:szCs w:val="21"/>
              </w:rPr>
              <w:t>支付金额（执行时间）、进度</w:t>
            </w:r>
          </w:p>
        </w:tc>
        <w:tc>
          <w:tcPr>
            <w:tcW w:w="1548" w:type="dxa"/>
            <w:vMerge w:val="restart"/>
            <w:vAlign w:val="center"/>
          </w:tcPr>
          <w:p w14:paraId="1979F3D0">
            <w:pPr>
              <w:pStyle w:val="29"/>
              <w:keepNext w:val="0"/>
              <w:keepLines w:val="0"/>
              <w:pageBreakBefore w:val="0"/>
              <w:kinsoku/>
              <w:wordWrap/>
              <w:overflowPunct/>
              <w:topLinePunct w:val="0"/>
              <w:bidi w:val="0"/>
              <w:snapToGrid/>
              <w:spacing w:line="220" w:lineRule="exact"/>
              <w:jc w:val="center"/>
              <w:rPr>
                <w:rFonts w:hint="default" w:ascii="Times New Roman" w:hAnsi="Times New Roman" w:eastAsia="黑体" w:cs="Times New Roman"/>
                <w:spacing w:val="-11"/>
                <w:kern w:val="21"/>
                <w:sz w:val="21"/>
                <w:szCs w:val="21"/>
              </w:rPr>
            </w:pPr>
            <w:r>
              <w:rPr>
                <w:rFonts w:hint="default" w:ascii="Times New Roman" w:hAnsi="Times New Roman" w:eastAsia="黑体" w:cs="Times New Roman"/>
                <w:spacing w:val="-11"/>
                <w:kern w:val="21"/>
                <w:sz w:val="21"/>
                <w:szCs w:val="21"/>
              </w:rPr>
              <w:t>备注</w:t>
            </w:r>
          </w:p>
        </w:tc>
      </w:tr>
      <w:tr w14:paraId="24CB7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blHeader/>
          <w:jc w:val="center"/>
        </w:trPr>
        <w:tc>
          <w:tcPr>
            <w:tcW w:w="735" w:type="dxa"/>
            <w:vMerge w:val="continue"/>
            <w:vAlign w:val="center"/>
          </w:tcPr>
          <w:p w14:paraId="2AD7F54E">
            <w:pPr>
              <w:pStyle w:val="29"/>
              <w:keepNext w:val="0"/>
              <w:keepLines w:val="0"/>
              <w:pageBreakBefore w:val="0"/>
              <w:kinsoku/>
              <w:wordWrap/>
              <w:overflowPunct/>
              <w:topLinePunct w:val="0"/>
              <w:bidi w:val="0"/>
              <w:snapToGrid/>
              <w:spacing w:line="220" w:lineRule="exact"/>
              <w:jc w:val="center"/>
              <w:rPr>
                <w:rFonts w:hint="default" w:ascii="Times New Roman" w:hAnsi="Times New Roman" w:eastAsia="黑体" w:cs="Times New Roman"/>
                <w:spacing w:val="-11"/>
                <w:kern w:val="21"/>
                <w:sz w:val="21"/>
                <w:szCs w:val="21"/>
              </w:rPr>
            </w:pPr>
          </w:p>
        </w:tc>
        <w:tc>
          <w:tcPr>
            <w:tcW w:w="3278" w:type="dxa"/>
            <w:vMerge w:val="continue"/>
            <w:vAlign w:val="center"/>
          </w:tcPr>
          <w:p w14:paraId="74A2DA84">
            <w:pPr>
              <w:pStyle w:val="29"/>
              <w:keepNext w:val="0"/>
              <w:keepLines w:val="0"/>
              <w:pageBreakBefore w:val="0"/>
              <w:kinsoku/>
              <w:wordWrap/>
              <w:overflowPunct/>
              <w:topLinePunct w:val="0"/>
              <w:bidi w:val="0"/>
              <w:snapToGrid/>
              <w:spacing w:line="220" w:lineRule="exact"/>
              <w:ind w:firstLine="336"/>
              <w:jc w:val="center"/>
              <w:rPr>
                <w:rFonts w:hint="default" w:ascii="Times New Roman" w:hAnsi="Times New Roman" w:eastAsia="黑体" w:cs="Times New Roman"/>
                <w:spacing w:val="-11"/>
                <w:kern w:val="21"/>
                <w:sz w:val="21"/>
                <w:szCs w:val="21"/>
              </w:rPr>
            </w:pPr>
          </w:p>
        </w:tc>
        <w:tc>
          <w:tcPr>
            <w:tcW w:w="923" w:type="dxa"/>
            <w:vMerge w:val="continue"/>
            <w:vAlign w:val="center"/>
          </w:tcPr>
          <w:p w14:paraId="03685DAC">
            <w:pPr>
              <w:pStyle w:val="29"/>
              <w:keepNext w:val="0"/>
              <w:keepLines w:val="0"/>
              <w:pageBreakBefore w:val="0"/>
              <w:kinsoku/>
              <w:wordWrap/>
              <w:overflowPunct/>
              <w:topLinePunct w:val="0"/>
              <w:bidi w:val="0"/>
              <w:snapToGrid/>
              <w:spacing w:line="220" w:lineRule="exact"/>
              <w:ind w:firstLine="336"/>
              <w:jc w:val="center"/>
              <w:rPr>
                <w:rFonts w:hint="default" w:ascii="Times New Roman" w:hAnsi="Times New Roman" w:eastAsia="黑体" w:cs="Times New Roman"/>
                <w:spacing w:val="-11"/>
                <w:kern w:val="21"/>
                <w:sz w:val="21"/>
                <w:szCs w:val="21"/>
              </w:rPr>
            </w:pPr>
          </w:p>
        </w:tc>
        <w:tc>
          <w:tcPr>
            <w:tcW w:w="635" w:type="dxa"/>
            <w:vAlign w:val="center"/>
          </w:tcPr>
          <w:p w14:paraId="1C6F15F0">
            <w:pPr>
              <w:pStyle w:val="29"/>
              <w:keepNext w:val="0"/>
              <w:keepLines w:val="0"/>
              <w:pageBreakBefore w:val="0"/>
              <w:kinsoku/>
              <w:wordWrap/>
              <w:overflowPunct/>
              <w:topLinePunct w:val="0"/>
              <w:bidi w:val="0"/>
              <w:snapToGrid/>
              <w:spacing w:line="220" w:lineRule="exact"/>
              <w:jc w:val="center"/>
              <w:rPr>
                <w:rFonts w:hint="default" w:ascii="Times New Roman" w:hAnsi="Times New Roman" w:eastAsia="黑体" w:cs="Times New Roman"/>
                <w:spacing w:val="-11"/>
                <w:kern w:val="21"/>
                <w:sz w:val="21"/>
                <w:szCs w:val="21"/>
              </w:rPr>
            </w:pPr>
            <w:r>
              <w:rPr>
                <w:rFonts w:hint="default" w:ascii="Times New Roman" w:hAnsi="Times New Roman" w:eastAsia="黑体" w:cs="Times New Roman"/>
                <w:spacing w:val="-11"/>
                <w:kern w:val="21"/>
                <w:sz w:val="21"/>
                <w:szCs w:val="21"/>
              </w:rPr>
              <w:t>6月</w:t>
            </w:r>
          </w:p>
        </w:tc>
        <w:tc>
          <w:tcPr>
            <w:tcW w:w="727" w:type="dxa"/>
            <w:vAlign w:val="center"/>
          </w:tcPr>
          <w:p w14:paraId="5970C38D">
            <w:pPr>
              <w:pStyle w:val="29"/>
              <w:keepNext w:val="0"/>
              <w:keepLines w:val="0"/>
              <w:pageBreakBefore w:val="0"/>
              <w:kinsoku/>
              <w:wordWrap/>
              <w:overflowPunct/>
              <w:topLinePunct w:val="0"/>
              <w:bidi w:val="0"/>
              <w:snapToGrid/>
              <w:spacing w:line="220" w:lineRule="exact"/>
              <w:jc w:val="center"/>
              <w:rPr>
                <w:rFonts w:hint="default" w:ascii="Times New Roman" w:hAnsi="Times New Roman" w:eastAsia="黑体" w:cs="Times New Roman"/>
                <w:spacing w:val="-11"/>
                <w:kern w:val="21"/>
                <w:sz w:val="21"/>
                <w:szCs w:val="21"/>
              </w:rPr>
            </w:pPr>
            <w:r>
              <w:rPr>
                <w:rFonts w:hint="default" w:ascii="Times New Roman" w:hAnsi="Times New Roman" w:eastAsia="黑体" w:cs="Times New Roman"/>
                <w:spacing w:val="-11"/>
                <w:kern w:val="21"/>
                <w:sz w:val="21"/>
                <w:szCs w:val="21"/>
              </w:rPr>
              <w:t>进度</w:t>
            </w:r>
          </w:p>
        </w:tc>
        <w:tc>
          <w:tcPr>
            <w:tcW w:w="635" w:type="dxa"/>
            <w:vAlign w:val="center"/>
          </w:tcPr>
          <w:p w14:paraId="7B654E7E">
            <w:pPr>
              <w:pStyle w:val="29"/>
              <w:keepNext w:val="0"/>
              <w:keepLines w:val="0"/>
              <w:pageBreakBefore w:val="0"/>
              <w:kinsoku/>
              <w:wordWrap/>
              <w:overflowPunct/>
              <w:topLinePunct w:val="0"/>
              <w:bidi w:val="0"/>
              <w:snapToGrid/>
              <w:spacing w:line="220" w:lineRule="exact"/>
              <w:jc w:val="center"/>
              <w:rPr>
                <w:rFonts w:hint="default" w:ascii="Times New Roman" w:hAnsi="Times New Roman" w:eastAsia="黑体" w:cs="Times New Roman"/>
                <w:spacing w:val="-11"/>
                <w:kern w:val="21"/>
                <w:sz w:val="21"/>
                <w:szCs w:val="21"/>
              </w:rPr>
            </w:pPr>
            <w:r>
              <w:rPr>
                <w:rFonts w:hint="default" w:ascii="Times New Roman" w:hAnsi="Times New Roman" w:eastAsia="黑体" w:cs="Times New Roman"/>
                <w:spacing w:val="-11"/>
                <w:kern w:val="21"/>
                <w:sz w:val="21"/>
                <w:szCs w:val="21"/>
              </w:rPr>
              <w:t>9月</w:t>
            </w:r>
          </w:p>
        </w:tc>
        <w:tc>
          <w:tcPr>
            <w:tcW w:w="726" w:type="dxa"/>
            <w:vAlign w:val="center"/>
          </w:tcPr>
          <w:p w14:paraId="7CE21914">
            <w:pPr>
              <w:pStyle w:val="29"/>
              <w:keepNext w:val="0"/>
              <w:keepLines w:val="0"/>
              <w:pageBreakBefore w:val="0"/>
              <w:kinsoku/>
              <w:wordWrap/>
              <w:overflowPunct/>
              <w:topLinePunct w:val="0"/>
              <w:bidi w:val="0"/>
              <w:snapToGrid/>
              <w:spacing w:line="220" w:lineRule="exact"/>
              <w:jc w:val="center"/>
              <w:rPr>
                <w:rFonts w:hint="default" w:ascii="Times New Roman" w:hAnsi="Times New Roman" w:eastAsia="黑体" w:cs="Times New Roman"/>
                <w:spacing w:val="-11"/>
                <w:kern w:val="21"/>
                <w:sz w:val="21"/>
                <w:szCs w:val="21"/>
              </w:rPr>
            </w:pPr>
            <w:r>
              <w:rPr>
                <w:rFonts w:hint="default" w:ascii="Times New Roman" w:hAnsi="Times New Roman" w:eastAsia="黑体" w:cs="Times New Roman"/>
                <w:spacing w:val="-11"/>
                <w:kern w:val="21"/>
                <w:sz w:val="21"/>
                <w:szCs w:val="21"/>
              </w:rPr>
              <w:t>进度</w:t>
            </w:r>
          </w:p>
        </w:tc>
        <w:tc>
          <w:tcPr>
            <w:tcW w:w="693" w:type="dxa"/>
            <w:vAlign w:val="center"/>
          </w:tcPr>
          <w:p w14:paraId="1EF7A2D8">
            <w:pPr>
              <w:pStyle w:val="29"/>
              <w:keepNext w:val="0"/>
              <w:keepLines w:val="0"/>
              <w:pageBreakBefore w:val="0"/>
              <w:kinsoku/>
              <w:wordWrap/>
              <w:overflowPunct/>
              <w:topLinePunct w:val="0"/>
              <w:bidi w:val="0"/>
              <w:snapToGrid/>
              <w:spacing w:line="220" w:lineRule="exact"/>
              <w:jc w:val="center"/>
              <w:rPr>
                <w:rFonts w:hint="default" w:ascii="Times New Roman" w:hAnsi="Times New Roman" w:eastAsia="黑体" w:cs="Times New Roman"/>
                <w:spacing w:val="-11"/>
                <w:kern w:val="21"/>
                <w:sz w:val="21"/>
                <w:szCs w:val="21"/>
              </w:rPr>
            </w:pPr>
            <w:r>
              <w:rPr>
                <w:rFonts w:hint="default" w:ascii="Times New Roman" w:hAnsi="Times New Roman" w:eastAsia="黑体" w:cs="Times New Roman"/>
                <w:spacing w:val="-11"/>
                <w:kern w:val="21"/>
                <w:sz w:val="21"/>
                <w:szCs w:val="21"/>
              </w:rPr>
              <w:t>11月</w:t>
            </w:r>
          </w:p>
        </w:tc>
        <w:tc>
          <w:tcPr>
            <w:tcW w:w="727" w:type="dxa"/>
            <w:vAlign w:val="center"/>
          </w:tcPr>
          <w:p w14:paraId="2DECE8A2">
            <w:pPr>
              <w:pStyle w:val="29"/>
              <w:keepNext w:val="0"/>
              <w:keepLines w:val="0"/>
              <w:pageBreakBefore w:val="0"/>
              <w:kinsoku/>
              <w:wordWrap/>
              <w:overflowPunct/>
              <w:topLinePunct w:val="0"/>
              <w:bidi w:val="0"/>
              <w:snapToGrid/>
              <w:spacing w:line="220" w:lineRule="exact"/>
              <w:jc w:val="center"/>
              <w:rPr>
                <w:rFonts w:hint="default" w:ascii="Times New Roman" w:hAnsi="Times New Roman" w:eastAsia="黑体" w:cs="Times New Roman"/>
                <w:spacing w:val="-11"/>
                <w:kern w:val="21"/>
                <w:sz w:val="21"/>
                <w:szCs w:val="21"/>
              </w:rPr>
            </w:pPr>
            <w:r>
              <w:rPr>
                <w:rFonts w:hint="default" w:ascii="Times New Roman" w:hAnsi="Times New Roman" w:eastAsia="黑体" w:cs="Times New Roman"/>
                <w:spacing w:val="-11"/>
                <w:kern w:val="21"/>
                <w:sz w:val="21"/>
                <w:szCs w:val="21"/>
              </w:rPr>
              <w:t>进度</w:t>
            </w:r>
          </w:p>
        </w:tc>
        <w:tc>
          <w:tcPr>
            <w:tcW w:w="1548" w:type="dxa"/>
            <w:vMerge w:val="continue"/>
            <w:vAlign w:val="center"/>
          </w:tcPr>
          <w:p w14:paraId="06B5D557">
            <w:pPr>
              <w:pStyle w:val="29"/>
              <w:keepNext w:val="0"/>
              <w:keepLines w:val="0"/>
              <w:pageBreakBefore w:val="0"/>
              <w:kinsoku/>
              <w:wordWrap/>
              <w:overflowPunct/>
              <w:topLinePunct w:val="0"/>
              <w:bidi w:val="0"/>
              <w:snapToGrid/>
              <w:spacing w:line="220" w:lineRule="exact"/>
              <w:jc w:val="center"/>
              <w:rPr>
                <w:rFonts w:hint="default" w:ascii="Times New Roman" w:hAnsi="Times New Roman" w:eastAsia="黑体" w:cs="Times New Roman"/>
                <w:spacing w:val="-11"/>
                <w:kern w:val="21"/>
                <w:sz w:val="21"/>
                <w:szCs w:val="21"/>
              </w:rPr>
            </w:pPr>
          </w:p>
        </w:tc>
      </w:tr>
      <w:tr w14:paraId="6329B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35" w:type="dxa"/>
            <w:vMerge w:val="restart"/>
            <w:vAlign w:val="center"/>
          </w:tcPr>
          <w:p w14:paraId="34521EC9">
            <w:pPr>
              <w:pStyle w:val="29"/>
              <w:keepNext w:val="0"/>
              <w:keepLines w:val="0"/>
              <w:pageBreakBefore w:val="0"/>
              <w:kinsoku/>
              <w:wordWrap/>
              <w:overflowPunct/>
              <w:topLinePunct w:val="0"/>
              <w:bidi w:val="0"/>
              <w:snapToGrid/>
              <w:spacing w:line="220" w:lineRule="exact"/>
              <w:jc w:val="center"/>
              <w:rPr>
                <w:rFonts w:hint="default" w:ascii="Times New Roman" w:hAnsi="Times New Roman" w:cs="Times New Roman" w:eastAsiaTheme="minorEastAsia"/>
                <w:spacing w:val="-11"/>
                <w:kern w:val="21"/>
                <w:sz w:val="21"/>
                <w:szCs w:val="21"/>
              </w:rPr>
            </w:pPr>
            <w:r>
              <w:rPr>
                <w:rFonts w:hint="default" w:ascii="Times New Roman" w:hAnsi="Times New Roman" w:cs="Times New Roman" w:eastAsiaTheme="minorEastAsia"/>
                <w:spacing w:val="-11"/>
                <w:kern w:val="21"/>
                <w:sz w:val="21"/>
                <w:szCs w:val="21"/>
              </w:rPr>
              <w:t>基本支出</w:t>
            </w:r>
          </w:p>
        </w:tc>
        <w:tc>
          <w:tcPr>
            <w:tcW w:w="3278" w:type="dxa"/>
            <w:vAlign w:val="center"/>
          </w:tcPr>
          <w:p w14:paraId="1E939D7C">
            <w:pPr>
              <w:pStyle w:val="29"/>
              <w:keepNext w:val="0"/>
              <w:keepLines w:val="0"/>
              <w:pageBreakBefore w:val="0"/>
              <w:kinsoku/>
              <w:wordWrap/>
              <w:overflowPunct/>
              <w:topLinePunct w:val="0"/>
              <w:bidi w:val="0"/>
              <w:snapToGrid/>
              <w:spacing w:line="220" w:lineRule="exact"/>
              <w:jc w:val="center"/>
              <w:rPr>
                <w:rFonts w:hint="default" w:ascii="Times New Roman" w:hAnsi="Times New Roman" w:cs="Times New Roman" w:eastAsiaTheme="minorEastAsia"/>
                <w:spacing w:val="-11"/>
                <w:kern w:val="21"/>
                <w:sz w:val="21"/>
                <w:szCs w:val="21"/>
              </w:rPr>
            </w:pPr>
            <w:r>
              <w:rPr>
                <w:rFonts w:hint="default" w:ascii="Times New Roman" w:hAnsi="Times New Roman" w:cs="Times New Roman" w:eastAsiaTheme="minorEastAsia"/>
                <w:spacing w:val="-11"/>
                <w:kern w:val="21"/>
                <w:sz w:val="21"/>
                <w:szCs w:val="21"/>
              </w:rPr>
              <w:t>人员类</w:t>
            </w:r>
          </w:p>
        </w:tc>
        <w:tc>
          <w:tcPr>
            <w:tcW w:w="923" w:type="dxa"/>
            <w:vAlign w:val="center"/>
          </w:tcPr>
          <w:p w14:paraId="6A4D3A42">
            <w:pPr>
              <w:pStyle w:val="29"/>
              <w:keepNext w:val="0"/>
              <w:keepLines w:val="0"/>
              <w:pageBreakBefore w:val="0"/>
              <w:kinsoku/>
              <w:wordWrap/>
              <w:overflowPunct/>
              <w:topLinePunct w:val="0"/>
              <w:bidi w:val="0"/>
              <w:snapToGrid/>
              <w:spacing w:line="220" w:lineRule="exact"/>
              <w:jc w:val="center"/>
              <w:rPr>
                <w:rFonts w:hint="default" w:ascii="Times New Roman" w:hAnsi="Times New Roman" w:cs="Times New Roman" w:eastAsiaTheme="minorEastAsia"/>
                <w:spacing w:val="-11"/>
                <w:kern w:val="21"/>
                <w:sz w:val="21"/>
                <w:szCs w:val="21"/>
              </w:rPr>
            </w:pPr>
            <w:r>
              <w:rPr>
                <w:rFonts w:hint="default" w:ascii="Times New Roman" w:hAnsi="Times New Roman" w:cs="Times New Roman" w:eastAsiaTheme="minorEastAsia"/>
                <w:spacing w:val="-11"/>
                <w:kern w:val="21"/>
                <w:sz w:val="21"/>
                <w:szCs w:val="21"/>
              </w:rPr>
              <w:t>797.44</w:t>
            </w:r>
          </w:p>
        </w:tc>
        <w:tc>
          <w:tcPr>
            <w:tcW w:w="635" w:type="dxa"/>
            <w:vAlign w:val="center"/>
          </w:tcPr>
          <w:p w14:paraId="6BD43F95">
            <w:pPr>
              <w:pStyle w:val="29"/>
              <w:keepNext w:val="0"/>
              <w:keepLines w:val="0"/>
              <w:pageBreakBefore w:val="0"/>
              <w:kinsoku/>
              <w:wordWrap/>
              <w:overflowPunct/>
              <w:topLinePunct w:val="0"/>
              <w:bidi w:val="0"/>
              <w:snapToGrid/>
              <w:spacing w:line="220" w:lineRule="exact"/>
              <w:jc w:val="center"/>
              <w:rPr>
                <w:rFonts w:hint="default" w:ascii="Times New Roman" w:hAnsi="Times New Roman" w:cs="Times New Roman" w:eastAsiaTheme="minorEastAsia"/>
                <w:spacing w:val="-11"/>
                <w:kern w:val="21"/>
                <w:sz w:val="21"/>
                <w:szCs w:val="21"/>
              </w:rPr>
            </w:pPr>
            <w:r>
              <w:rPr>
                <w:rFonts w:hint="default" w:ascii="Times New Roman" w:hAnsi="Times New Roman" w:cs="Times New Roman" w:eastAsiaTheme="minorEastAsia"/>
                <w:spacing w:val="-11"/>
                <w:kern w:val="21"/>
                <w:sz w:val="21"/>
                <w:szCs w:val="21"/>
              </w:rPr>
              <w:t>429.8</w:t>
            </w:r>
          </w:p>
        </w:tc>
        <w:tc>
          <w:tcPr>
            <w:tcW w:w="727" w:type="dxa"/>
            <w:vAlign w:val="center"/>
          </w:tcPr>
          <w:p w14:paraId="0637EE65">
            <w:pPr>
              <w:pStyle w:val="29"/>
              <w:keepNext w:val="0"/>
              <w:keepLines w:val="0"/>
              <w:pageBreakBefore w:val="0"/>
              <w:kinsoku/>
              <w:wordWrap/>
              <w:overflowPunct/>
              <w:topLinePunct w:val="0"/>
              <w:bidi w:val="0"/>
              <w:snapToGrid/>
              <w:spacing w:line="220" w:lineRule="exact"/>
              <w:jc w:val="center"/>
              <w:rPr>
                <w:rFonts w:hint="default" w:ascii="Times New Roman" w:hAnsi="Times New Roman" w:cs="Times New Roman" w:eastAsiaTheme="minorEastAsia"/>
                <w:spacing w:val="-11"/>
                <w:kern w:val="21"/>
                <w:sz w:val="21"/>
                <w:szCs w:val="21"/>
              </w:rPr>
            </w:pPr>
            <w:r>
              <w:rPr>
                <w:rFonts w:hint="default" w:ascii="Times New Roman" w:hAnsi="Times New Roman" w:cs="Times New Roman" w:eastAsiaTheme="minorEastAsia"/>
                <w:spacing w:val="-11"/>
                <w:kern w:val="21"/>
                <w:sz w:val="21"/>
                <w:szCs w:val="21"/>
              </w:rPr>
              <w:t>53.9%</w:t>
            </w:r>
          </w:p>
        </w:tc>
        <w:tc>
          <w:tcPr>
            <w:tcW w:w="635" w:type="dxa"/>
            <w:vAlign w:val="center"/>
          </w:tcPr>
          <w:p w14:paraId="4348F4C7">
            <w:pPr>
              <w:pStyle w:val="29"/>
              <w:keepNext w:val="0"/>
              <w:keepLines w:val="0"/>
              <w:pageBreakBefore w:val="0"/>
              <w:kinsoku/>
              <w:wordWrap/>
              <w:overflowPunct/>
              <w:topLinePunct w:val="0"/>
              <w:bidi w:val="0"/>
              <w:snapToGrid/>
              <w:spacing w:line="220" w:lineRule="exact"/>
              <w:jc w:val="center"/>
              <w:rPr>
                <w:rFonts w:hint="default" w:ascii="Times New Roman" w:hAnsi="Times New Roman" w:cs="Times New Roman" w:eastAsiaTheme="minorEastAsia"/>
                <w:spacing w:val="-11"/>
                <w:kern w:val="21"/>
                <w:sz w:val="21"/>
                <w:szCs w:val="21"/>
              </w:rPr>
            </w:pPr>
            <w:r>
              <w:rPr>
                <w:rFonts w:hint="default" w:ascii="Times New Roman" w:hAnsi="Times New Roman" w:cs="Times New Roman" w:eastAsiaTheme="minorEastAsia"/>
                <w:spacing w:val="-11"/>
                <w:kern w:val="21"/>
                <w:sz w:val="21"/>
                <w:szCs w:val="21"/>
              </w:rPr>
              <w:t>653.9</w:t>
            </w:r>
          </w:p>
        </w:tc>
        <w:tc>
          <w:tcPr>
            <w:tcW w:w="726" w:type="dxa"/>
            <w:vAlign w:val="center"/>
          </w:tcPr>
          <w:p w14:paraId="1AB6AFCE">
            <w:pPr>
              <w:pStyle w:val="29"/>
              <w:keepNext w:val="0"/>
              <w:keepLines w:val="0"/>
              <w:pageBreakBefore w:val="0"/>
              <w:kinsoku/>
              <w:wordWrap/>
              <w:overflowPunct/>
              <w:topLinePunct w:val="0"/>
              <w:bidi w:val="0"/>
              <w:snapToGrid/>
              <w:spacing w:line="220" w:lineRule="exact"/>
              <w:jc w:val="center"/>
              <w:rPr>
                <w:rFonts w:hint="default" w:ascii="Times New Roman" w:hAnsi="Times New Roman" w:cs="Times New Roman" w:eastAsiaTheme="minorEastAsia"/>
                <w:spacing w:val="-11"/>
                <w:kern w:val="21"/>
                <w:sz w:val="21"/>
                <w:szCs w:val="21"/>
              </w:rPr>
            </w:pPr>
            <w:r>
              <w:rPr>
                <w:rFonts w:hint="default" w:ascii="Times New Roman" w:hAnsi="Times New Roman" w:cs="Times New Roman" w:eastAsiaTheme="minorEastAsia"/>
                <w:spacing w:val="-11"/>
                <w:kern w:val="21"/>
                <w:sz w:val="21"/>
                <w:szCs w:val="21"/>
              </w:rPr>
              <w:t>82%</w:t>
            </w:r>
          </w:p>
        </w:tc>
        <w:tc>
          <w:tcPr>
            <w:tcW w:w="693" w:type="dxa"/>
            <w:vAlign w:val="center"/>
          </w:tcPr>
          <w:p w14:paraId="3D970E51">
            <w:pPr>
              <w:pStyle w:val="29"/>
              <w:keepNext w:val="0"/>
              <w:keepLines w:val="0"/>
              <w:pageBreakBefore w:val="0"/>
              <w:kinsoku/>
              <w:wordWrap/>
              <w:overflowPunct/>
              <w:topLinePunct w:val="0"/>
              <w:bidi w:val="0"/>
              <w:snapToGrid/>
              <w:spacing w:line="220" w:lineRule="exact"/>
              <w:jc w:val="center"/>
              <w:rPr>
                <w:rFonts w:hint="default" w:ascii="Times New Roman" w:hAnsi="Times New Roman" w:cs="Times New Roman" w:eastAsiaTheme="minorEastAsia"/>
                <w:spacing w:val="-11"/>
                <w:kern w:val="21"/>
                <w:sz w:val="21"/>
                <w:szCs w:val="21"/>
              </w:rPr>
            </w:pPr>
            <w:r>
              <w:rPr>
                <w:rFonts w:hint="default" w:ascii="Times New Roman" w:hAnsi="Times New Roman" w:cs="Times New Roman" w:eastAsiaTheme="minorEastAsia"/>
                <w:spacing w:val="-11"/>
                <w:kern w:val="21"/>
                <w:sz w:val="21"/>
                <w:szCs w:val="21"/>
              </w:rPr>
              <w:t>682.1</w:t>
            </w:r>
          </w:p>
        </w:tc>
        <w:tc>
          <w:tcPr>
            <w:tcW w:w="727" w:type="dxa"/>
            <w:vAlign w:val="center"/>
          </w:tcPr>
          <w:p w14:paraId="0450A3DC">
            <w:pPr>
              <w:pStyle w:val="29"/>
              <w:keepNext w:val="0"/>
              <w:keepLines w:val="0"/>
              <w:pageBreakBefore w:val="0"/>
              <w:kinsoku/>
              <w:wordWrap/>
              <w:overflowPunct/>
              <w:topLinePunct w:val="0"/>
              <w:bidi w:val="0"/>
              <w:snapToGrid/>
              <w:spacing w:line="220" w:lineRule="exact"/>
              <w:jc w:val="center"/>
              <w:rPr>
                <w:rFonts w:hint="default" w:ascii="Times New Roman" w:hAnsi="Times New Roman" w:cs="Times New Roman" w:eastAsiaTheme="minorEastAsia"/>
                <w:spacing w:val="-11"/>
                <w:kern w:val="21"/>
                <w:sz w:val="21"/>
                <w:szCs w:val="21"/>
              </w:rPr>
            </w:pPr>
            <w:r>
              <w:rPr>
                <w:rFonts w:hint="default" w:ascii="Times New Roman" w:hAnsi="Times New Roman" w:cs="Times New Roman" w:eastAsiaTheme="minorEastAsia"/>
                <w:spacing w:val="-11"/>
                <w:kern w:val="21"/>
                <w:sz w:val="21"/>
                <w:szCs w:val="21"/>
              </w:rPr>
              <w:t>85.5%</w:t>
            </w:r>
          </w:p>
        </w:tc>
        <w:tc>
          <w:tcPr>
            <w:tcW w:w="1548" w:type="dxa"/>
            <w:vAlign w:val="center"/>
          </w:tcPr>
          <w:p w14:paraId="59E28D86">
            <w:pPr>
              <w:pStyle w:val="29"/>
              <w:keepNext w:val="0"/>
              <w:keepLines w:val="0"/>
              <w:pageBreakBefore w:val="0"/>
              <w:kinsoku/>
              <w:wordWrap/>
              <w:overflowPunct/>
              <w:topLinePunct w:val="0"/>
              <w:bidi w:val="0"/>
              <w:snapToGrid/>
              <w:spacing w:line="220" w:lineRule="exact"/>
              <w:jc w:val="center"/>
              <w:rPr>
                <w:rFonts w:hint="default" w:ascii="Times New Roman" w:hAnsi="Times New Roman" w:cs="Times New Roman" w:eastAsiaTheme="minorEastAsia"/>
                <w:spacing w:val="-11"/>
                <w:kern w:val="21"/>
                <w:sz w:val="21"/>
                <w:szCs w:val="21"/>
              </w:rPr>
            </w:pPr>
          </w:p>
        </w:tc>
      </w:tr>
      <w:tr w14:paraId="6460D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35" w:type="dxa"/>
            <w:vMerge w:val="continue"/>
            <w:vAlign w:val="center"/>
          </w:tcPr>
          <w:p w14:paraId="2B3BD2AA">
            <w:pPr>
              <w:pStyle w:val="29"/>
              <w:keepNext w:val="0"/>
              <w:keepLines w:val="0"/>
              <w:pageBreakBefore w:val="0"/>
              <w:kinsoku/>
              <w:wordWrap/>
              <w:overflowPunct/>
              <w:topLinePunct w:val="0"/>
              <w:bidi w:val="0"/>
              <w:snapToGrid/>
              <w:spacing w:line="220" w:lineRule="exact"/>
              <w:jc w:val="center"/>
              <w:rPr>
                <w:rFonts w:hint="default" w:ascii="Times New Roman" w:hAnsi="Times New Roman" w:cs="Times New Roman" w:eastAsiaTheme="minorEastAsia"/>
                <w:spacing w:val="-11"/>
                <w:kern w:val="21"/>
                <w:sz w:val="21"/>
                <w:szCs w:val="21"/>
              </w:rPr>
            </w:pPr>
          </w:p>
        </w:tc>
        <w:tc>
          <w:tcPr>
            <w:tcW w:w="3278" w:type="dxa"/>
            <w:vAlign w:val="center"/>
          </w:tcPr>
          <w:p w14:paraId="72BA1ABE">
            <w:pPr>
              <w:pStyle w:val="29"/>
              <w:keepNext w:val="0"/>
              <w:keepLines w:val="0"/>
              <w:pageBreakBefore w:val="0"/>
              <w:kinsoku/>
              <w:wordWrap/>
              <w:overflowPunct/>
              <w:topLinePunct w:val="0"/>
              <w:bidi w:val="0"/>
              <w:snapToGrid/>
              <w:spacing w:line="220" w:lineRule="exact"/>
              <w:jc w:val="center"/>
              <w:rPr>
                <w:rFonts w:hint="default" w:ascii="Times New Roman" w:hAnsi="Times New Roman" w:cs="Times New Roman" w:eastAsiaTheme="minorEastAsia"/>
                <w:spacing w:val="-11"/>
                <w:kern w:val="21"/>
                <w:sz w:val="21"/>
                <w:szCs w:val="21"/>
              </w:rPr>
            </w:pPr>
            <w:r>
              <w:rPr>
                <w:rFonts w:hint="default" w:ascii="Times New Roman" w:hAnsi="Times New Roman" w:cs="Times New Roman" w:eastAsiaTheme="minorEastAsia"/>
                <w:spacing w:val="-11"/>
                <w:kern w:val="21"/>
                <w:sz w:val="21"/>
                <w:szCs w:val="21"/>
              </w:rPr>
              <w:t>公用经费</w:t>
            </w:r>
          </w:p>
        </w:tc>
        <w:tc>
          <w:tcPr>
            <w:tcW w:w="923" w:type="dxa"/>
            <w:vAlign w:val="center"/>
          </w:tcPr>
          <w:p w14:paraId="0E1C09C3">
            <w:pPr>
              <w:pStyle w:val="29"/>
              <w:keepNext w:val="0"/>
              <w:keepLines w:val="0"/>
              <w:pageBreakBefore w:val="0"/>
              <w:kinsoku/>
              <w:wordWrap/>
              <w:overflowPunct/>
              <w:topLinePunct w:val="0"/>
              <w:bidi w:val="0"/>
              <w:snapToGrid/>
              <w:spacing w:line="220" w:lineRule="exact"/>
              <w:jc w:val="center"/>
              <w:rPr>
                <w:rFonts w:hint="default" w:ascii="Times New Roman" w:hAnsi="Times New Roman" w:cs="Times New Roman" w:eastAsiaTheme="minorEastAsia"/>
                <w:spacing w:val="-11"/>
                <w:kern w:val="21"/>
                <w:sz w:val="21"/>
                <w:szCs w:val="21"/>
              </w:rPr>
            </w:pPr>
            <w:r>
              <w:rPr>
                <w:rFonts w:hint="default" w:ascii="Times New Roman" w:hAnsi="Times New Roman" w:cs="Times New Roman" w:eastAsiaTheme="minorEastAsia"/>
                <w:spacing w:val="-11"/>
                <w:kern w:val="21"/>
                <w:sz w:val="21"/>
                <w:szCs w:val="21"/>
              </w:rPr>
              <w:t>82.6</w:t>
            </w:r>
          </w:p>
        </w:tc>
        <w:tc>
          <w:tcPr>
            <w:tcW w:w="635" w:type="dxa"/>
            <w:vAlign w:val="center"/>
          </w:tcPr>
          <w:p w14:paraId="337422B7">
            <w:pPr>
              <w:keepNext w:val="0"/>
              <w:keepLines w:val="0"/>
              <w:pageBreakBefore w:val="0"/>
              <w:widowControl/>
              <w:kinsoku/>
              <w:wordWrap/>
              <w:overflowPunct/>
              <w:topLinePunct w:val="0"/>
              <w:bidi w:val="0"/>
              <w:snapToGrid/>
              <w:spacing w:line="220" w:lineRule="exact"/>
              <w:jc w:val="center"/>
              <w:rPr>
                <w:rFonts w:hint="default" w:ascii="Times New Roman" w:hAnsi="Times New Roman" w:cs="Times New Roman" w:eastAsiaTheme="minorEastAsia"/>
                <w:color w:val="000000"/>
                <w:spacing w:val="-11"/>
                <w:kern w:val="21"/>
                <w:sz w:val="21"/>
                <w:szCs w:val="21"/>
              </w:rPr>
            </w:pPr>
            <w:r>
              <w:rPr>
                <w:rFonts w:hint="default" w:ascii="Times New Roman" w:hAnsi="Times New Roman" w:cs="Times New Roman" w:eastAsiaTheme="minorEastAsia"/>
                <w:color w:val="000000"/>
                <w:spacing w:val="-11"/>
                <w:kern w:val="21"/>
                <w:sz w:val="21"/>
                <w:szCs w:val="21"/>
              </w:rPr>
              <w:t>31.3</w:t>
            </w:r>
          </w:p>
        </w:tc>
        <w:tc>
          <w:tcPr>
            <w:tcW w:w="727" w:type="dxa"/>
            <w:vAlign w:val="center"/>
          </w:tcPr>
          <w:p w14:paraId="62910889">
            <w:pPr>
              <w:keepNext w:val="0"/>
              <w:keepLines w:val="0"/>
              <w:pageBreakBefore w:val="0"/>
              <w:widowControl/>
              <w:kinsoku/>
              <w:wordWrap/>
              <w:overflowPunct/>
              <w:topLinePunct w:val="0"/>
              <w:bidi w:val="0"/>
              <w:snapToGrid/>
              <w:spacing w:line="220" w:lineRule="exact"/>
              <w:jc w:val="center"/>
              <w:rPr>
                <w:rFonts w:hint="default" w:ascii="Times New Roman" w:hAnsi="Times New Roman" w:cs="Times New Roman" w:eastAsiaTheme="minorEastAsia"/>
                <w:color w:val="000000"/>
                <w:spacing w:val="-11"/>
                <w:kern w:val="21"/>
                <w:sz w:val="21"/>
                <w:szCs w:val="21"/>
              </w:rPr>
            </w:pPr>
            <w:r>
              <w:rPr>
                <w:rFonts w:hint="default" w:ascii="Times New Roman" w:hAnsi="Times New Roman" w:cs="Times New Roman" w:eastAsiaTheme="minorEastAsia"/>
                <w:color w:val="000000"/>
                <w:spacing w:val="-11"/>
                <w:kern w:val="21"/>
                <w:sz w:val="21"/>
                <w:szCs w:val="21"/>
              </w:rPr>
              <w:t>37.9%</w:t>
            </w:r>
          </w:p>
        </w:tc>
        <w:tc>
          <w:tcPr>
            <w:tcW w:w="635" w:type="dxa"/>
            <w:vAlign w:val="center"/>
          </w:tcPr>
          <w:p w14:paraId="533253C9">
            <w:pPr>
              <w:keepNext w:val="0"/>
              <w:keepLines w:val="0"/>
              <w:pageBreakBefore w:val="0"/>
              <w:widowControl/>
              <w:kinsoku/>
              <w:wordWrap/>
              <w:overflowPunct/>
              <w:topLinePunct w:val="0"/>
              <w:bidi w:val="0"/>
              <w:snapToGrid/>
              <w:spacing w:line="220" w:lineRule="exact"/>
              <w:jc w:val="center"/>
              <w:rPr>
                <w:rFonts w:hint="default" w:ascii="Times New Roman" w:hAnsi="Times New Roman" w:cs="Times New Roman" w:eastAsiaTheme="minorEastAsia"/>
                <w:color w:val="000000"/>
                <w:spacing w:val="-11"/>
                <w:kern w:val="21"/>
                <w:sz w:val="21"/>
                <w:szCs w:val="21"/>
              </w:rPr>
            </w:pPr>
            <w:r>
              <w:rPr>
                <w:rFonts w:hint="default" w:ascii="Times New Roman" w:hAnsi="Times New Roman" w:cs="Times New Roman" w:eastAsiaTheme="minorEastAsia"/>
                <w:color w:val="000000"/>
                <w:spacing w:val="-11"/>
                <w:kern w:val="21"/>
                <w:sz w:val="21"/>
                <w:szCs w:val="21"/>
              </w:rPr>
              <w:t>54.7</w:t>
            </w:r>
          </w:p>
        </w:tc>
        <w:tc>
          <w:tcPr>
            <w:tcW w:w="726" w:type="dxa"/>
            <w:vAlign w:val="center"/>
          </w:tcPr>
          <w:p w14:paraId="75863D47">
            <w:pPr>
              <w:keepNext w:val="0"/>
              <w:keepLines w:val="0"/>
              <w:pageBreakBefore w:val="0"/>
              <w:widowControl/>
              <w:kinsoku/>
              <w:wordWrap/>
              <w:overflowPunct/>
              <w:topLinePunct w:val="0"/>
              <w:bidi w:val="0"/>
              <w:snapToGrid/>
              <w:spacing w:line="220" w:lineRule="exact"/>
              <w:jc w:val="center"/>
              <w:rPr>
                <w:rFonts w:hint="default" w:ascii="Times New Roman" w:hAnsi="Times New Roman" w:cs="Times New Roman" w:eastAsiaTheme="minorEastAsia"/>
                <w:color w:val="000000"/>
                <w:spacing w:val="-11"/>
                <w:kern w:val="21"/>
                <w:sz w:val="21"/>
                <w:szCs w:val="21"/>
              </w:rPr>
            </w:pPr>
            <w:r>
              <w:rPr>
                <w:rFonts w:hint="default" w:ascii="Times New Roman" w:hAnsi="Times New Roman" w:cs="Times New Roman" w:eastAsiaTheme="minorEastAsia"/>
                <w:color w:val="000000"/>
                <w:spacing w:val="-11"/>
                <w:kern w:val="21"/>
                <w:sz w:val="21"/>
                <w:szCs w:val="21"/>
              </w:rPr>
              <w:t>66.2%</w:t>
            </w:r>
          </w:p>
        </w:tc>
        <w:tc>
          <w:tcPr>
            <w:tcW w:w="693" w:type="dxa"/>
            <w:vAlign w:val="center"/>
          </w:tcPr>
          <w:p w14:paraId="7665146C">
            <w:pPr>
              <w:keepNext w:val="0"/>
              <w:keepLines w:val="0"/>
              <w:pageBreakBefore w:val="0"/>
              <w:widowControl/>
              <w:kinsoku/>
              <w:wordWrap/>
              <w:overflowPunct/>
              <w:topLinePunct w:val="0"/>
              <w:bidi w:val="0"/>
              <w:snapToGrid/>
              <w:spacing w:line="220" w:lineRule="exact"/>
              <w:jc w:val="center"/>
              <w:rPr>
                <w:rFonts w:hint="default" w:ascii="Times New Roman" w:hAnsi="Times New Roman" w:cs="Times New Roman" w:eastAsiaTheme="minorEastAsia"/>
                <w:color w:val="000000"/>
                <w:spacing w:val="-11"/>
                <w:kern w:val="21"/>
                <w:sz w:val="21"/>
                <w:szCs w:val="21"/>
              </w:rPr>
            </w:pPr>
            <w:r>
              <w:rPr>
                <w:rFonts w:hint="default" w:ascii="Times New Roman" w:hAnsi="Times New Roman" w:cs="Times New Roman" w:eastAsiaTheme="minorEastAsia"/>
                <w:color w:val="000000"/>
                <w:spacing w:val="-11"/>
                <w:kern w:val="21"/>
                <w:sz w:val="21"/>
                <w:szCs w:val="21"/>
              </w:rPr>
              <w:t>74</w:t>
            </w:r>
          </w:p>
        </w:tc>
        <w:tc>
          <w:tcPr>
            <w:tcW w:w="727" w:type="dxa"/>
            <w:vAlign w:val="center"/>
          </w:tcPr>
          <w:p w14:paraId="17A24831">
            <w:pPr>
              <w:keepNext w:val="0"/>
              <w:keepLines w:val="0"/>
              <w:pageBreakBefore w:val="0"/>
              <w:widowControl/>
              <w:kinsoku/>
              <w:wordWrap/>
              <w:overflowPunct/>
              <w:topLinePunct w:val="0"/>
              <w:bidi w:val="0"/>
              <w:snapToGrid/>
              <w:spacing w:line="220" w:lineRule="exact"/>
              <w:jc w:val="center"/>
              <w:rPr>
                <w:rFonts w:hint="default" w:ascii="Times New Roman" w:hAnsi="Times New Roman" w:cs="Times New Roman" w:eastAsiaTheme="minorEastAsia"/>
                <w:color w:val="000000"/>
                <w:spacing w:val="-11"/>
                <w:kern w:val="21"/>
                <w:sz w:val="21"/>
                <w:szCs w:val="21"/>
              </w:rPr>
            </w:pPr>
            <w:r>
              <w:rPr>
                <w:rFonts w:hint="default" w:ascii="Times New Roman" w:hAnsi="Times New Roman" w:cs="Times New Roman" w:eastAsiaTheme="minorEastAsia"/>
                <w:color w:val="000000"/>
                <w:spacing w:val="-11"/>
                <w:kern w:val="21"/>
                <w:sz w:val="21"/>
                <w:szCs w:val="21"/>
              </w:rPr>
              <w:t>89.6%</w:t>
            </w:r>
          </w:p>
        </w:tc>
        <w:tc>
          <w:tcPr>
            <w:tcW w:w="1548" w:type="dxa"/>
            <w:vAlign w:val="center"/>
          </w:tcPr>
          <w:p w14:paraId="5D67BBC6">
            <w:pPr>
              <w:pStyle w:val="29"/>
              <w:keepNext w:val="0"/>
              <w:keepLines w:val="0"/>
              <w:pageBreakBefore w:val="0"/>
              <w:kinsoku/>
              <w:wordWrap/>
              <w:overflowPunct/>
              <w:topLinePunct w:val="0"/>
              <w:bidi w:val="0"/>
              <w:snapToGrid/>
              <w:spacing w:line="220" w:lineRule="exact"/>
              <w:jc w:val="center"/>
              <w:rPr>
                <w:rFonts w:hint="default" w:ascii="Times New Roman" w:hAnsi="Times New Roman" w:cs="Times New Roman" w:eastAsiaTheme="minorEastAsia"/>
                <w:spacing w:val="-11"/>
                <w:kern w:val="21"/>
                <w:sz w:val="21"/>
                <w:szCs w:val="21"/>
              </w:rPr>
            </w:pPr>
          </w:p>
        </w:tc>
      </w:tr>
      <w:tr w14:paraId="59E10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35" w:type="dxa"/>
            <w:vMerge w:val="restart"/>
            <w:vAlign w:val="center"/>
          </w:tcPr>
          <w:p w14:paraId="7A9ADFB5">
            <w:pPr>
              <w:pStyle w:val="29"/>
              <w:keepNext w:val="0"/>
              <w:keepLines w:val="0"/>
              <w:pageBreakBefore w:val="0"/>
              <w:kinsoku/>
              <w:wordWrap/>
              <w:overflowPunct/>
              <w:topLinePunct w:val="0"/>
              <w:bidi w:val="0"/>
              <w:snapToGrid/>
              <w:spacing w:line="220" w:lineRule="exact"/>
              <w:jc w:val="center"/>
              <w:rPr>
                <w:rFonts w:hint="default" w:ascii="Times New Roman" w:hAnsi="Times New Roman" w:cs="Times New Roman" w:eastAsiaTheme="minorEastAsia"/>
                <w:spacing w:val="-11"/>
                <w:kern w:val="21"/>
                <w:sz w:val="21"/>
                <w:szCs w:val="21"/>
              </w:rPr>
            </w:pPr>
            <w:r>
              <w:rPr>
                <w:rFonts w:hint="default" w:ascii="Times New Roman" w:hAnsi="Times New Roman" w:cs="Times New Roman" w:eastAsiaTheme="minorEastAsia"/>
                <w:spacing w:val="-11"/>
                <w:kern w:val="21"/>
                <w:sz w:val="21"/>
                <w:szCs w:val="21"/>
              </w:rPr>
              <w:t>项目支出</w:t>
            </w:r>
          </w:p>
        </w:tc>
        <w:tc>
          <w:tcPr>
            <w:tcW w:w="3278" w:type="dxa"/>
            <w:vAlign w:val="center"/>
          </w:tcPr>
          <w:p w14:paraId="1EFEC171">
            <w:pPr>
              <w:pStyle w:val="29"/>
              <w:keepNext w:val="0"/>
              <w:keepLines w:val="0"/>
              <w:pageBreakBefore w:val="0"/>
              <w:kinsoku/>
              <w:wordWrap/>
              <w:overflowPunct/>
              <w:topLinePunct w:val="0"/>
              <w:bidi w:val="0"/>
              <w:snapToGrid/>
              <w:spacing w:line="220" w:lineRule="exact"/>
              <w:jc w:val="center"/>
              <w:rPr>
                <w:rFonts w:hint="default" w:ascii="Times New Roman" w:hAnsi="Times New Roman" w:cs="Times New Roman" w:eastAsiaTheme="minorEastAsia"/>
                <w:spacing w:val="-11"/>
                <w:kern w:val="21"/>
                <w:sz w:val="21"/>
                <w:szCs w:val="21"/>
              </w:rPr>
            </w:pPr>
            <w:r>
              <w:rPr>
                <w:rFonts w:hint="default" w:ascii="Times New Roman" w:hAnsi="Times New Roman" w:cs="Times New Roman" w:eastAsiaTheme="minorEastAsia"/>
                <w:spacing w:val="-11"/>
                <w:kern w:val="21"/>
                <w:sz w:val="21"/>
                <w:szCs w:val="21"/>
              </w:rPr>
              <w:t>运转类特定项目</w:t>
            </w:r>
          </w:p>
        </w:tc>
        <w:tc>
          <w:tcPr>
            <w:tcW w:w="923" w:type="dxa"/>
            <w:vAlign w:val="center"/>
          </w:tcPr>
          <w:p w14:paraId="43C7D9B3">
            <w:pPr>
              <w:pStyle w:val="29"/>
              <w:keepNext w:val="0"/>
              <w:keepLines w:val="0"/>
              <w:pageBreakBefore w:val="0"/>
              <w:kinsoku/>
              <w:wordWrap/>
              <w:overflowPunct/>
              <w:topLinePunct w:val="0"/>
              <w:bidi w:val="0"/>
              <w:snapToGrid/>
              <w:spacing w:line="220" w:lineRule="exact"/>
              <w:jc w:val="center"/>
              <w:rPr>
                <w:rFonts w:hint="default" w:ascii="Times New Roman" w:hAnsi="Times New Roman" w:cs="Times New Roman" w:eastAsiaTheme="minorEastAsia"/>
                <w:spacing w:val="-11"/>
                <w:kern w:val="21"/>
                <w:sz w:val="21"/>
                <w:szCs w:val="21"/>
              </w:rPr>
            </w:pPr>
            <w:r>
              <w:rPr>
                <w:rFonts w:hint="default" w:ascii="Times New Roman" w:hAnsi="Times New Roman" w:cs="Times New Roman" w:eastAsiaTheme="minorEastAsia"/>
                <w:spacing w:val="-11"/>
                <w:kern w:val="21"/>
                <w:sz w:val="21"/>
                <w:szCs w:val="21"/>
              </w:rPr>
              <w:t>30</w:t>
            </w:r>
          </w:p>
        </w:tc>
        <w:tc>
          <w:tcPr>
            <w:tcW w:w="635" w:type="dxa"/>
            <w:vAlign w:val="center"/>
          </w:tcPr>
          <w:p w14:paraId="5F2FF890">
            <w:pPr>
              <w:pStyle w:val="29"/>
              <w:keepNext w:val="0"/>
              <w:keepLines w:val="0"/>
              <w:pageBreakBefore w:val="0"/>
              <w:kinsoku/>
              <w:wordWrap/>
              <w:overflowPunct/>
              <w:topLinePunct w:val="0"/>
              <w:bidi w:val="0"/>
              <w:snapToGrid/>
              <w:spacing w:line="220" w:lineRule="exact"/>
              <w:jc w:val="center"/>
              <w:rPr>
                <w:rFonts w:hint="default" w:ascii="Times New Roman" w:hAnsi="Times New Roman" w:cs="Times New Roman" w:eastAsiaTheme="minorEastAsia"/>
                <w:spacing w:val="-11"/>
                <w:kern w:val="21"/>
                <w:sz w:val="21"/>
                <w:szCs w:val="21"/>
              </w:rPr>
            </w:pPr>
            <w:r>
              <w:rPr>
                <w:rFonts w:hint="default" w:ascii="Times New Roman" w:hAnsi="Times New Roman" w:cs="Times New Roman" w:eastAsiaTheme="minorEastAsia"/>
                <w:spacing w:val="-11"/>
                <w:kern w:val="21"/>
                <w:sz w:val="21"/>
                <w:szCs w:val="21"/>
              </w:rPr>
              <w:t>5.5</w:t>
            </w:r>
          </w:p>
        </w:tc>
        <w:tc>
          <w:tcPr>
            <w:tcW w:w="727" w:type="dxa"/>
            <w:vAlign w:val="center"/>
          </w:tcPr>
          <w:p w14:paraId="3DECB37C">
            <w:pPr>
              <w:pStyle w:val="29"/>
              <w:keepNext w:val="0"/>
              <w:keepLines w:val="0"/>
              <w:pageBreakBefore w:val="0"/>
              <w:kinsoku/>
              <w:wordWrap/>
              <w:overflowPunct/>
              <w:topLinePunct w:val="0"/>
              <w:bidi w:val="0"/>
              <w:snapToGrid/>
              <w:spacing w:line="220" w:lineRule="exact"/>
              <w:jc w:val="center"/>
              <w:rPr>
                <w:rFonts w:hint="default" w:ascii="Times New Roman" w:hAnsi="Times New Roman" w:cs="Times New Roman" w:eastAsiaTheme="minorEastAsia"/>
                <w:spacing w:val="-11"/>
                <w:kern w:val="21"/>
                <w:sz w:val="21"/>
                <w:szCs w:val="21"/>
              </w:rPr>
            </w:pPr>
            <w:r>
              <w:rPr>
                <w:rFonts w:hint="default" w:ascii="Times New Roman" w:hAnsi="Times New Roman" w:cs="Times New Roman" w:eastAsiaTheme="minorEastAsia"/>
                <w:spacing w:val="-11"/>
                <w:kern w:val="21"/>
                <w:sz w:val="21"/>
                <w:szCs w:val="21"/>
              </w:rPr>
              <w:t>18%</w:t>
            </w:r>
          </w:p>
        </w:tc>
        <w:tc>
          <w:tcPr>
            <w:tcW w:w="635" w:type="dxa"/>
            <w:vAlign w:val="center"/>
          </w:tcPr>
          <w:p w14:paraId="72961BC5">
            <w:pPr>
              <w:pStyle w:val="29"/>
              <w:keepNext w:val="0"/>
              <w:keepLines w:val="0"/>
              <w:pageBreakBefore w:val="0"/>
              <w:kinsoku/>
              <w:wordWrap/>
              <w:overflowPunct/>
              <w:topLinePunct w:val="0"/>
              <w:bidi w:val="0"/>
              <w:snapToGrid/>
              <w:spacing w:line="220" w:lineRule="exact"/>
              <w:jc w:val="center"/>
              <w:rPr>
                <w:rFonts w:hint="default" w:ascii="Times New Roman" w:hAnsi="Times New Roman" w:cs="Times New Roman" w:eastAsiaTheme="minorEastAsia"/>
                <w:spacing w:val="-11"/>
                <w:kern w:val="21"/>
                <w:sz w:val="21"/>
                <w:szCs w:val="21"/>
              </w:rPr>
            </w:pPr>
            <w:r>
              <w:rPr>
                <w:rFonts w:hint="default" w:ascii="Times New Roman" w:hAnsi="Times New Roman" w:cs="Times New Roman" w:eastAsiaTheme="minorEastAsia"/>
                <w:spacing w:val="-11"/>
                <w:kern w:val="21"/>
                <w:sz w:val="21"/>
                <w:szCs w:val="21"/>
              </w:rPr>
              <w:t>15.5</w:t>
            </w:r>
          </w:p>
        </w:tc>
        <w:tc>
          <w:tcPr>
            <w:tcW w:w="726" w:type="dxa"/>
            <w:vAlign w:val="center"/>
          </w:tcPr>
          <w:p w14:paraId="66327BF9">
            <w:pPr>
              <w:pStyle w:val="29"/>
              <w:keepNext w:val="0"/>
              <w:keepLines w:val="0"/>
              <w:pageBreakBefore w:val="0"/>
              <w:kinsoku/>
              <w:wordWrap/>
              <w:overflowPunct/>
              <w:topLinePunct w:val="0"/>
              <w:bidi w:val="0"/>
              <w:snapToGrid/>
              <w:spacing w:line="220" w:lineRule="exact"/>
              <w:jc w:val="center"/>
              <w:rPr>
                <w:rFonts w:hint="default" w:ascii="Times New Roman" w:hAnsi="Times New Roman" w:cs="Times New Roman" w:eastAsiaTheme="minorEastAsia"/>
                <w:spacing w:val="-11"/>
                <w:kern w:val="21"/>
                <w:sz w:val="21"/>
                <w:szCs w:val="21"/>
              </w:rPr>
            </w:pPr>
            <w:r>
              <w:rPr>
                <w:rFonts w:hint="default" w:ascii="Times New Roman" w:hAnsi="Times New Roman" w:cs="Times New Roman" w:eastAsiaTheme="minorEastAsia"/>
                <w:spacing w:val="-11"/>
                <w:kern w:val="21"/>
                <w:sz w:val="21"/>
                <w:szCs w:val="21"/>
              </w:rPr>
              <w:t>52%</w:t>
            </w:r>
          </w:p>
        </w:tc>
        <w:tc>
          <w:tcPr>
            <w:tcW w:w="693" w:type="dxa"/>
            <w:vAlign w:val="center"/>
          </w:tcPr>
          <w:p w14:paraId="60671851">
            <w:pPr>
              <w:pStyle w:val="29"/>
              <w:keepNext w:val="0"/>
              <w:keepLines w:val="0"/>
              <w:pageBreakBefore w:val="0"/>
              <w:kinsoku/>
              <w:wordWrap/>
              <w:overflowPunct/>
              <w:topLinePunct w:val="0"/>
              <w:bidi w:val="0"/>
              <w:snapToGrid/>
              <w:spacing w:line="220" w:lineRule="exact"/>
              <w:jc w:val="center"/>
              <w:rPr>
                <w:rFonts w:hint="default" w:ascii="Times New Roman" w:hAnsi="Times New Roman" w:cs="Times New Roman" w:eastAsiaTheme="minorEastAsia"/>
                <w:spacing w:val="-11"/>
                <w:kern w:val="21"/>
                <w:sz w:val="21"/>
                <w:szCs w:val="21"/>
              </w:rPr>
            </w:pPr>
          </w:p>
        </w:tc>
        <w:tc>
          <w:tcPr>
            <w:tcW w:w="727" w:type="dxa"/>
            <w:vAlign w:val="center"/>
          </w:tcPr>
          <w:p w14:paraId="38F4D9D5">
            <w:pPr>
              <w:pStyle w:val="29"/>
              <w:keepNext w:val="0"/>
              <w:keepLines w:val="0"/>
              <w:pageBreakBefore w:val="0"/>
              <w:kinsoku/>
              <w:wordWrap/>
              <w:overflowPunct/>
              <w:topLinePunct w:val="0"/>
              <w:bidi w:val="0"/>
              <w:snapToGrid/>
              <w:spacing w:line="220" w:lineRule="exact"/>
              <w:jc w:val="center"/>
              <w:rPr>
                <w:rFonts w:hint="default" w:ascii="Times New Roman" w:hAnsi="Times New Roman" w:cs="Times New Roman" w:eastAsiaTheme="minorEastAsia"/>
                <w:spacing w:val="-11"/>
                <w:kern w:val="21"/>
                <w:sz w:val="21"/>
                <w:szCs w:val="21"/>
              </w:rPr>
            </w:pPr>
          </w:p>
        </w:tc>
        <w:tc>
          <w:tcPr>
            <w:tcW w:w="1548" w:type="dxa"/>
            <w:vAlign w:val="center"/>
          </w:tcPr>
          <w:p w14:paraId="5DC2E3FF">
            <w:pPr>
              <w:pStyle w:val="29"/>
              <w:keepNext w:val="0"/>
              <w:keepLines w:val="0"/>
              <w:pageBreakBefore w:val="0"/>
              <w:kinsoku/>
              <w:wordWrap/>
              <w:overflowPunct/>
              <w:topLinePunct w:val="0"/>
              <w:bidi w:val="0"/>
              <w:snapToGrid/>
              <w:spacing w:line="220" w:lineRule="exact"/>
              <w:jc w:val="center"/>
              <w:rPr>
                <w:rFonts w:hint="default" w:ascii="Times New Roman" w:hAnsi="Times New Roman" w:cs="Times New Roman" w:eastAsiaTheme="minorEastAsia"/>
                <w:spacing w:val="-11"/>
                <w:kern w:val="21"/>
                <w:sz w:val="21"/>
                <w:szCs w:val="21"/>
              </w:rPr>
            </w:pPr>
          </w:p>
        </w:tc>
      </w:tr>
      <w:tr w14:paraId="60BBE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735" w:type="dxa"/>
            <w:vMerge w:val="continue"/>
            <w:vAlign w:val="center"/>
          </w:tcPr>
          <w:p w14:paraId="69F64A62">
            <w:pPr>
              <w:pStyle w:val="29"/>
              <w:keepNext w:val="0"/>
              <w:keepLines w:val="0"/>
              <w:pageBreakBefore w:val="0"/>
              <w:kinsoku/>
              <w:wordWrap/>
              <w:overflowPunct/>
              <w:topLinePunct w:val="0"/>
              <w:bidi w:val="0"/>
              <w:snapToGrid/>
              <w:spacing w:line="220" w:lineRule="exact"/>
              <w:jc w:val="center"/>
              <w:rPr>
                <w:rFonts w:hint="default" w:ascii="Times New Roman" w:hAnsi="Times New Roman" w:cs="Times New Roman" w:eastAsiaTheme="minorEastAsia"/>
                <w:spacing w:val="-11"/>
                <w:kern w:val="21"/>
                <w:sz w:val="21"/>
                <w:szCs w:val="21"/>
              </w:rPr>
            </w:pPr>
          </w:p>
        </w:tc>
        <w:tc>
          <w:tcPr>
            <w:tcW w:w="3278" w:type="dxa"/>
            <w:vAlign w:val="center"/>
          </w:tcPr>
          <w:p w14:paraId="1297AF8B">
            <w:pPr>
              <w:pStyle w:val="29"/>
              <w:keepNext w:val="0"/>
              <w:keepLines w:val="0"/>
              <w:pageBreakBefore w:val="0"/>
              <w:kinsoku/>
              <w:wordWrap/>
              <w:overflowPunct/>
              <w:topLinePunct w:val="0"/>
              <w:bidi w:val="0"/>
              <w:snapToGrid/>
              <w:spacing w:line="220" w:lineRule="exact"/>
              <w:jc w:val="center"/>
              <w:rPr>
                <w:rFonts w:hint="default" w:ascii="Times New Roman" w:hAnsi="Times New Roman" w:cs="Times New Roman" w:eastAsiaTheme="minorEastAsia"/>
                <w:spacing w:val="-11"/>
                <w:kern w:val="21"/>
                <w:sz w:val="21"/>
                <w:szCs w:val="21"/>
              </w:rPr>
            </w:pPr>
            <w:r>
              <w:rPr>
                <w:rFonts w:hint="default" w:ascii="Times New Roman" w:hAnsi="Times New Roman" w:cs="Times New Roman" w:eastAsiaTheme="minorEastAsia"/>
                <w:spacing w:val="-11"/>
                <w:kern w:val="21"/>
                <w:sz w:val="21"/>
                <w:szCs w:val="21"/>
              </w:rPr>
              <w:t>2022年第一批中央地质灾害防治补助资金</w:t>
            </w:r>
          </w:p>
        </w:tc>
        <w:tc>
          <w:tcPr>
            <w:tcW w:w="923" w:type="dxa"/>
            <w:vAlign w:val="center"/>
          </w:tcPr>
          <w:p w14:paraId="1F3FEE2B">
            <w:pPr>
              <w:pStyle w:val="29"/>
              <w:keepNext w:val="0"/>
              <w:keepLines w:val="0"/>
              <w:pageBreakBefore w:val="0"/>
              <w:kinsoku/>
              <w:wordWrap/>
              <w:overflowPunct/>
              <w:topLinePunct w:val="0"/>
              <w:bidi w:val="0"/>
              <w:snapToGrid/>
              <w:spacing w:line="220" w:lineRule="exact"/>
              <w:jc w:val="center"/>
              <w:rPr>
                <w:rFonts w:hint="default" w:ascii="Times New Roman" w:hAnsi="Times New Roman" w:cs="Times New Roman" w:eastAsiaTheme="minorEastAsia"/>
                <w:spacing w:val="-11"/>
                <w:kern w:val="21"/>
                <w:sz w:val="21"/>
                <w:szCs w:val="21"/>
              </w:rPr>
            </w:pPr>
            <w:r>
              <w:rPr>
                <w:rFonts w:hint="default" w:ascii="Times New Roman" w:hAnsi="Times New Roman" w:cs="Times New Roman" w:eastAsiaTheme="minorEastAsia"/>
                <w:spacing w:val="-11"/>
                <w:kern w:val="21"/>
                <w:sz w:val="21"/>
                <w:szCs w:val="21"/>
              </w:rPr>
              <w:t>706</w:t>
            </w:r>
          </w:p>
        </w:tc>
        <w:tc>
          <w:tcPr>
            <w:tcW w:w="635" w:type="dxa"/>
            <w:vAlign w:val="center"/>
          </w:tcPr>
          <w:p w14:paraId="44AB5EE9">
            <w:pPr>
              <w:pStyle w:val="29"/>
              <w:keepNext w:val="0"/>
              <w:keepLines w:val="0"/>
              <w:pageBreakBefore w:val="0"/>
              <w:kinsoku/>
              <w:wordWrap/>
              <w:overflowPunct/>
              <w:topLinePunct w:val="0"/>
              <w:bidi w:val="0"/>
              <w:snapToGrid/>
              <w:spacing w:line="220" w:lineRule="exact"/>
              <w:jc w:val="center"/>
              <w:rPr>
                <w:rFonts w:hint="default" w:ascii="Times New Roman" w:hAnsi="Times New Roman" w:cs="Times New Roman" w:eastAsiaTheme="minorEastAsia"/>
                <w:spacing w:val="-11"/>
                <w:kern w:val="21"/>
                <w:sz w:val="21"/>
                <w:szCs w:val="21"/>
              </w:rPr>
            </w:pPr>
          </w:p>
        </w:tc>
        <w:tc>
          <w:tcPr>
            <w:tcW w:w="727" w:type="dxa"/>
            <w:vAlign w:val="center"/>
          </w:tcPr>
          <w:p w14:paraId="25C33381">
            <w:pPr>
              <w:pStyle w:val="29"/>
              <w:keepNext w:val="0"/>
              <w:keepLines w:val="0"/>
              <w:pageBreakBefore w:val="0"/>
              <w:kinsoku/>
              <w:wordWrap/>
              <w:overflowPunct/>
              <w:topLinePunct w:val="0"/>
              <w:bidi w:val="0"/>
              <w:snapToGrid/>
              <w:spacing w:line="220" w:lineRule="exact"/>
              <w:jc w:val="center"/>
              <w:rPr>
                <w:rFonts w:hint="default" w:ascii="Times New Roman" w:hAnsi="Times New Roman" w:cs="Times New Roman" w:eastAsiaTheme="minorEastAsia"/>
                <w:spacing w:val="-11"/>
                <w:kern w:val="21"/>
                <w:sz w:val="21"/>
                <w:szCs w:val="21"/>
              </w:rPr>
            </w:pPr>
          </w:p>
        </w:tc>
        <w:tc>
          <w:tcPr>
            <w:tcW w:w="635" w:type="dxa"/>
            <w:vAlign w:val="center"/>
          </w:tcPr>
          <w:p w14:paraId="6E8B65CB">
            <w:pPr>
              <w:pStyle w:val="29"/>
              <w:keepNext w:val="0"/>
              <w:keepLines w:val="0"/>
              <w:pageBreakBefore w:val="0"/>
              <w:kinsoku/>
              <w:wordWrap/>
              <w:overflowPunct/>
              <w:topLinePunct w:val="0"/>
              <w:bidi w:val="0"/>
              <w:snapToGrid/>
              <w:spacing w:line="220" w:lineRule="exact"/>
              <w:jc w:val="center"/>
              <w:rPr>
                <w:rFonts w:hint="default" w:ascii="Times New Roman" w:hAnsi="Times New Roman" w:cs="Times New Roman" w:eastAsiaTheme="minorEastAsia"/>
                <w:spacing w:val="-11"/>
                <w:kern w:val="21"/>
                <w:sz w:val="21"/>
                <w:szCs w:val="21"/>
              </w:rPr>
            </w:pPr>
            <w:r>
              <w:rPr>
                <w:rFonts w:hint="default" w:ascii="Times New Roman" w:hAnsi="Times New Roman" w:cs="Times New Roman" w:eastAsiaTheme="minorEastAsia"/>
                <w:spacing w:val="-11"/>
                <w:kern w:val="21"/>
                <w:sz w:val="21"/>
                <w:szCs w:val="21"/>
              </w:rPr>
              <w:t>64</w:t>
            </w:r>
          </w:p>
        </w:tc>
        <w:tc>
          <w:tcPr>
            <w:tcW w:w="726" w:type="dxa"/>
            <w:vAlign w:val="center"/>
          </w:tcPr>
          <w:p w14:paraId="249616E4">
            <w:pPr>
              <w:pStyle w:val="29"/>
              <w:keepNext w:val="0"/>
              <w:keepLines w:val="0"/>
              <w:pageBreakBefore w:val="0"/>
              <w:kinsoku/>
              <w:wordWrap/>
              <w:overflowPunct/>
              <w:topLinePunct w:val="0"/>
              <w:bidi w:val="0"/>
              <w:snapToGrid/>
              <w:spacing w:line="220" w:lineRule="exact"/>
              <w:jc w:val="center"/>
              <w:rPr>
                <w:rFonts w:hint="default" w:ascii="Times New Roman" w:hAnsi="Times New Roman" w:cs="Times New Roman" w:eastAsiaTheme="minorEastAsia"/>
                <w:spacing w:val="-11"/>
                <w:kern w:val="21"/>
                <w:sz w:val="21"/>
                <w:szCs w:val="21"/>
              </w:rPr>
            </w:pPr>
            <w:r>
              <w:rPr>
                <w:rFonts w:hint="default" w:ascii="Times New Roman" w:hAnsi="Times New Roman" w:cs="Times New Roman" w:eastAsiaTheme="minorEastAsia"/>
                <w:spacing w:val="-11"/>
                <w:kern w:val="21"/>
                <w:sz w:val="21"/>
                <w:szCs w:val="21"/>
              </w:rPr>
              <w:t>9%</w:t>
            </w:r>
          </w:p>
        </w:tc>
        <w:tc>
          <w:tcPr>
            <w:tcW w:w="693" w:type="dxa"/>
            <w:vAlign w:val="center"/>
          </w:tcPr>
          <w:p w14:paraId="435E3568">
            <w:pPr>
              <w:pStyle w:val="29"/>
              <w:keepNext w:val="0"/>
              <w:keepLines w:val="0"/>
              <w:pageBreakBefore w:val="0"/>
              <w:kinsoku/>
              <w:wordWrap/>
              <w:overflowPunct/>
              <w:topLinePunct w:val="0"/>
              <w:bidi w:val="0"/>
              <w:snapToGrid/>
              <w:spacing w:line="220" w:lineRule="exact"/>
              <w:jc w:val="center"/>
              <w:rPr>
                <w:rFonts w:hint="default" w:ascii="Times New Roman" w:hAnsi="Times New Roman" w:cs="Times New Roman" w:eastAsiaTheme="minorEastAsia"/>
                <w:spacing w:val="-11"/>
                <w:kern w:val="21"/>
                <w:sz w:val="21"/>
                <w:szCs w:val="21"/>
              </w:rPr>
            </w:pPr>
            <w:r>
              <w:rPr>
                <w:rFonts w:hint="default" w:ascii="Times New Roman" w:hAnsi="Times New Roman" w:cs="Times New Roman" w:eastAsiaTheme="minorEastAsia"/>
                <w:spacing w:val="-11"/>
                <w:kern w:val="21"/>
                <w:sz w:val="21"/>
                <w:szCs w:val="21"/>
              </w:rPr>
              <w:t>291.85</w:t>
            </w:r>
          </w:p>
        </w:tc>
        <w:tc>
          <w:tcPr>
            <w:tcW w:w="727" w:type="dxa"/>
            <w:vAlign w:val="center"/>
          </w:tcPr>
          <w:p w14:paraId="34D1A260">
            <w:pPr>
              <w:pStyle w:val="29"/>
              <w:keepNext w:val="0"/>
              <w:keepLines w:val="0"/>
              <w:pageBreakBefore w:val="0"/>
              <w:kinsoku/>
              <w:wordWrap/>
              <w:overflowPunct/>
              <w:topLinePunct w:val="0"/>
              <w:bidi w:val="0"/>
              <w:snapToGrid/>
              <w:spacing w:line="220" w:lineRule="exact"/>
              <w:jc w:val="center"/>
              <w:rPr>
                <w:rFonts w:hint="default" w:ascii="Times New Roman" w:hAnsi="Times New Roman" w:cs="Times New Roman" w:eastAsiaTheme="minorEastAsia"/>
                <w:spacing w:val="-11"/>
                <w:kern w:val="21"/>
                <w:sz w:val="21"/>
                <w:szCs w:val="21"/>
              </w:rPr>
            </w:pPr>
            <w:r>
              <w:rPr>
                <w:rFonts w:hint="default" w:ascii="Times New Roman" w:hAnsi="Times New Roman" w:cs="Times New Roman" w:eastAsiaTheme="minorEastAsia"/>
                <w:spacing w:val="-11"/>
                <w:kern w:val="21"/>
                <w:sz w:val="21"/>
                <w:szCs w:val="21"/>
              </w:rPr>
              <w:t>41.3%</w:t>
            </w:r>
          </w:p>
        </w:tc>
        <w:tc>
          <w:tcPr>
            <w:tcW w:w="1548" w:type="dxa"/>
            <w:vAlign w:val="center"/>
          </w:tcPr>
          <w:p w14:paraId="29B6221A">
            <w:pPr>
              <w:pStyle w:val="29"/>
              <w:keepNext w:val="0"/>
              <w:keepLines w:val="0"/>
              <w:pageBreakBefore w:val="0"/>
              <w:kinsoku/>
              <w:wordWrap/>
              <w:overflowPunct/>
              <w:topLinePunct w:val="0"/>
              <w:bidi w:val="0"/>
              <w:snapToGrid/>
              <w:spacing w:line="220" w:lineRule="exact"/>
              <w:jc w:val="center"/>
              <w:rPr>
                <w:rFonts w:hint="default" w:ascii="Times New Roman" w:hAnsi="Times New Roman" w:cs="Times New Roman" w:eastAsiaTheme="minorEastAsia"/>
                <w:spacing w:val="-11"/>
                <w:kern w:val="21"/>
                <w:sz w:val="21"/>
                <w:szCs w:val="21"/>
              </w:rPr>
            </w:pPr>
            <w:r>
              <w:rPr>
                <w:rFonts w:hint="default" w:ascii="Times New Roman" w:hAnsi="Times New Roman" w:cs="Times New Roman" w:eastAsiaTheme="minorEastAsia"/>
                <w:spacing w:val="-11"/>
                <w:kern w:val="21"/>
                <w:sz w:val="21"/>
                <w:szCs w:val="21"/>
              </w:rPr>
              <w:t>按项目进度付款</w:t>
            </w:r>
          </w:p>
        </w:tc>
      </w:tr>
      <w:tr w14:paraId="5C6E5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35" w:type="dxa"/>
            <w:vMerge w:val="continue"/>
            <w:vAlign w:val="center"/>
          </w:tcPr>
          <w:p w14:paraId="59146704">
            <w:pPr>
              <w:pStyle w:val="29"/>
              <w:keepNext w:val="0"/>
              <w:keepLines w:val="0"/>
              <w:pageBreakBefore w:val="0"/>
              <w:kinsoku/>
              <w:wordWrap/>
              <w:overflowPunct/>
              <w:topLinePunct w:val="0"/>
              <w:bidi w:val="0"/>
              <w:snapToGrid/>
              <w:spacing w:line="220" w:lineRule="exact"/>
              <w:jc w:val="center"/>
              <w:rPr>
                <w:rFonts w:hint="default" w:ascii="Times New Roman" w:hAnsi="Times New Roman" w:cs="Times New Roman" w:eastAsiaTheme="minorEastAsia"/>
                <w:spacing w:val="-11"/>
                <w:kern w:val="21"/>
                <w:sz w:val="21"/>
                <w:szCs w:val="21"/>
              </w:rPr>
            </w:pPr>
          </w:p>
        </w:tc>
        <w:tc>
          <w:tcPr>
            <w:tcW w:w="3278" w:type="dxa"/>
            <w:vAlign w:val="center"/>
          </w:tcPr>
          <w:p w14:paraId="2E0A3AE3">
            <w:pPr>
              <w:pStyle w:val="29"/>
              <w:keepNext w:val="0"/>
              <w:keepLines w:val="0"/>
              <w:pageBreakBefore w:val="0"/>
              <w:kinsoku/>
              <w:wordWrap/>
              <w:overflowPunct/>
              <w:topLinePunct w:val="0"/>
              <w:bidi w:val="0"/>
              <w:snapToGrid/>
              <w:spacing w:line="220" w:lineRule="exact"/>
              <w:jc w:val="center"/>
              <w:rPr>
                <w:rFonts w:hint="default" w:ascii="Times New Roman" w:hAnsi="Times New Roman" w:cs="Times New Roman" w:eastAsiaTheme="minorEastAsia"/>
                <w:spacing w:val="-11"/>
                <w:kern w:val="21"/>
                <w:sz w:val="21"/>
                <w:szCs w:val="21"/>
              </w:rPr>
            </w:pPr>
            <w:r>
              <w:rPr>
                <w:rFonts w:hint="default" w:ascii="Times New Roman" w:hAnsi="Times New Roman" w:cs="Times New Roman" w:eastAsiaTheme="minorEastAsia"/>
                <w:spacing w:val="-11"/>
                <w:kern w:val="21"/>
                <w:sz w:val="21"/>
                <w:szCs w:val="21"/>
              </w:rPr>
              <w:t>2022年第三批地质灾害防治补助资金</w:t>
            </w:r>
          </w:p>
        </w:tc>
        <w:tc>
          <w:tcPr>
            <w:tcW w:w="923" w:type="dxa"/>
            <w:vAlign w:val="center"/>
          </w:tcPr>
          <w:p w14:paraId="3DD75D48">
            <w:pPr>
              <w:pStyle w:val="29"/>
              <w:keepNext w:val="0"/>
              <w:keepLines w:val="0"/>
              <w:pageBreakBefore w:val="0"/>
              <w:kinsoku/>
              <w:wordWrap/>
              <w:overflowPunct/>
              <w:topLinePunct w:val="0"/>
              <w:bidi w:val="0"/>
              <w:snapToGrid/>
              <w:spacing w:line="220" w:lineRule="exact"/>
              <w:jc w:val="center"/>
              <w:rPr>
                <w:rFonts w:hint="default" w:ascii="Times New Roman" w:hAnsi="Times New Roman" w:cs="Times New Roman" w:eastAsiaTheme="minorEastAsia"/>
                <w:spacing w:val="-11"/>
                <w:kern w:val="21"/>
                <w:sz w:val="21"/>
                <w:szCs w:val="21"/>
              </w:rPr>
            </w:pPr>
            <w:r>
              <w:rPr>
                <w:rFonts w:hint="default" w:ascii="Times New Roman" w:hAnsi="Times New Roman" w:cs="Times New Roman" w:eastAsiaTheme="minorEastAsia"/>
                <w:spacing w:val="-11"/>
                <w:kern w:val="21"/>
                <w:sz w:val="21"/>
                <w:szCs w:val="21"/>
              </w:rPr>
              <w:t>193.06</w:t>
            </w:r>
          </w:p>
        </w:tc>
        <w:tc>
          <w:tcPr>
            <w:tcW w:w="635" w:type="dxa"/>
            <w:vAlign w:val="center"/>
          </w:tcPr>
          <w:p w14:paraId="769398E1">
            <w:pPr>
              <w:pStyle w:val="29"/>
              <w:keepNext w:val="0"/>
              <w:keepLines w:val="0"/>
              <w:pageBreakBefore w:val="0"/>
              <w:kinsoku/>
              <w:wordWrap/>
              <w:overflowPunct/>
              <w:topLinePunct w:val="0"/>
              <w:bidi w:val="0"/>
              <w:snapToGrid/>
              <w:spacing w:line="220" w:lineRule="exact"/>
              <w:jc w:val="center"/>
              <w:rPr>
                <w:rFonts w:hint="default" w:ascii="Times New Roman" w:hAnsi="Times New Roman" w:cs="Times New Roman" w:eastAsiaTheme="minorEastAsia"/>
                <w:spacing w:val="-11"/>
                <w:kern w:val="21"/>
                <w:sz w:val="21"/>
                <w:szCs w:val="21"/>
              </w:rPr>
            </w:pPr>
          </w:p>
        </w:tc>
        <w:tc>
          <w:tcPr>
            <w:tcW w:w="727" w:type="dxa"/>
            <w:vAlign w:val="center"/>
          </w:tcPr>
          <w:p w14:paraId="42C2B3DC">
            <w:pPr>
              <w:pStyle w:val="29"/>
              <w:keepNext w:val="0"/>
              <w:keepLines w:val="0"/>
              <w:pageBreakBefore w:val="0"/>
              <w:kinsoku/>
              <w:wordWrap/>
              <w:overflowPunct/>
              <w:topLinePunct w:val="0"/>
              <w:bidi w:val="0"/>
              <w:snapToGrid/>
              <w:spacing w:line="220" w:lineRule="exact"/>
              <w:jc w:val="center"/>
              <w:rPr>
                <w:rFonts w:hint="default" w:ascii="Times New Roman" w:hAnsi="Times New Roman" w:cs="Times New Roman" w:eastAsiaTheme="minorEastAsia"/>
                <w:spacing w:val="-11"/>
                <w:kern w:val="21"/>
                <w:sz w:val="21"/>
                <w:szCs w:val="21"/>
              </w:rPr>
            </w:pPr>
          </w:p>
        </w:tc>
        <w:tc>
          <w:tcPr>
            <w:tcW w:w="635" w:type="dxa"/>
            <w:vAlign w:val="center"/>
          </w:tcPr>
          <w:p w14:paraId="6DF25C61">
            <w:pPr>
              <w:pStyle w:val="29"/>
              <w:keepNext w:val="0"/>
              <w:keepLines w:val="0"/>
              <w:pageBreakBefore w:val="0"/>
              <w:kinsoku/>
              <w:wordWrap/>
              <w:overflowPunct/>
              <w:topLinePunct w:val="0"/>
              <w:bidi w:val="0"/>
              <w:snapToGrid/>
              <w:spacing w:line="220" w:lineRule="exact"/>
              <w:jc w:val="center"/>
              <w:rPr>
                <w:rFonts w:hint="default" w:ascii="Times New Roman" w:hAnsi="Times New Roman" w:cs="Times New Roman" w:eastAsiaTheme="minorEastAsia"/>
                <w:spacing w:val="-11"/>
                <w:kern w:val="21"/>
                <w:sz w:val="21"/>
                <w:szCs w:val="21"/>
              </w:rPr>
            </w:pPr>
          </w:p>
        </w:tc>
        <w:tc>
          <w:tcPr>
            <w:tcW w:w="726" w:type="dxa"/>
            <w:vAlign w:val="center"/>
          </w:tcPr>
          <w:p w14:paraId="3F65F559">
            <w:pPr>
              <w:pStyle w:val="29"/>
              <w:keepNext w:val="0"/>
              <w:keepLines w:val="0"/>
              <w:pageBreakBefore w:val="0"/>
              <w:kinsoku/>
              <w:wordWrap/>
              <w:overflowPunct/>
              <w:topLinePunct w:val="0"/>
              <w:bidi w:val="0"/>
              <w:snapToGrid/>
              <w:spacing w:line="220" w:lineRule="exact"/>
              <w:jc w:val="center"/>
              <w:rPr>
                <w:rFonts w:hint="default" w:ascii="Times New Roman" w:hAnsi="Times New Roman" w:cs="Times New Roman" w:eastAsiaTheme="minorEastAsia"/>
                <w:spacing w:val="-11"/>
                <w:kern w:val="21"/>
                <w:sz w:val="21"/>
                <w:szCs w:val="21"/>
              </w:rPr>
            </w:pPr>
          </w:p>
        </w:tc>
        <w:tc>
          <w:tcPr>
            <w:tcW w:w="693" w:type="dxa"/>
            <w:vAlign w:val="center"/>
          </w:tcPr>
          <w:p w14:paraId="781653C0">
            <w:pPr>
              <w:pStyle w:val="29"/>
              <w:keepNext w:val="0"/>
              <w:keepLines w:val="0"/>
              <w:pageBreakBefore w:val="0"/>
              <w:kinsoku/>
              <w:wordWrap/>
              <w:overflowPunct/>
              <w:topLinePunct w:val="0"/>
              <w:bidi w:val="0"/>
              <w:snapToGrid/>
              <w:spacing w:line="220" w:lineRule="exact"/>
              <w:jc w:val="center"/>
              <w:rPr>
                <w:rFonts w:hint="default" w:ascii="Times New Roman" w:hAnsi="Times New Roman" w:cs="Times New Roman" w:eastAsiaTheme="minorEastAsia"/>
                <w:spacing w:val="-11"/>
                <w:kern w:val="21"/>
                <w:sz w:val="21"/>
                <w:szCs w:val="21"/>
              </w:rPr>
            </w:pPr>
            <w:r>
              <w:rPr>
                <w:rFonts w:hint="default" w:ascii="Times New Roman" w:hAnsi="Times New Roman" w:cs="Times New Roman" w:eastAsiaTheme="minorEastAsia"/>
                <w:spacing w:val="-11"/>
                <w:kern w:val="21"/>
                <w:sz w:val="21"/>
                <w:szCs w:val="21"/>
              </w:rPr>
              <w:t>83.52</w:t>
            </w:r>
          </w:p>
        </w:tc>
        <w:tc>
          <w:tcPr>
            <w:tcW w:w="727" w:type="dxa"/>
            <w:vAlign w:val="center"/>
          </w:tcPr>
          <w:p w14:paraId="2CCD12D5">
            <w:pPr>
              <w:pStyle w:val="29"/>
              <w:keepNext w:val="0"/>
              <w:keepLines w:val="0"/>
              <w:pageBreakBefore w:val="0"/>
              <w:kinsoku/>
              <w:wordWrap/>
              <w:overflowPunct/>
              <w:topLinePunct w:val="0"/>
              <w:bidi w:val="0"/>
              <w:snapToGrid/>
              <w:spacing w:line="220" w:lineRule="exact"/>
              <w:jc w:val="center"/>
              <w:rPr>
                <w:rFonts w:hint="default" w:ascii="Times New Roman" w:hAnsi="Times New Roman" w:cs="Times New Roman" w:eastAsiaTheme="minorEastAsia"/>
                <w:spacing w:val="-11"/>
                <w:kern w:val="21"/>
                <w:sz w:val="21"/>
                <w:szCs w:val="21"/>
              </w:rPr>
            </w:pPr>
            <w:r>
              <w:rPr>
                <w:rFonts w:hint="default" w:ascii="Times New Roman" w:hAnsi="Times New Roman" w:cs="Times New Roman" w:eastAsiaTheme="minorEastAsia"/>
                <w:spacing w:val="-11"/>
                <w:kern w:val="21"/>
                <w:sz w:val="21"/>
                <w:szCs w:val="21"/>
              </w:rPr>
              <w:t>43.3%</w:t>
            </w:r>
          </w:p>
        </w:tc>
        <w:tc>
          <w:tcPr>
            <w:tcW w:w="1548" w:type="dxa"/>
            <w:vAlign w:val="center"/>
          </w:tcPr>
          <w:p w14:paraId="364DA7B2">
            <w:pPr>
              <w:pStyle w:val="29"/>
              <w:keepNext w:val="0"/>
              <w:keepLines w:val="0"/>
              <w:pageBreakBefore w:val="0"/>
              <w:kinsoku/>
              <w:wordWrap/>
              <w:overflowPunct/>
              <w:topLinePunct w:val="0"/>
              <w:bidi w:val="0"/>
              <w:snapToGrid/>
              <w:spacing w:line="220" w:lineRule="exact"/>
              <w:jc w:val="center"/>
              <w:rPr>
                <w:rFonts w:hint="default" w:ascii="Times New Roman" w:hAnsi="Times New Roman" w:cs="Times New Roman" w:eastAsiaTheme="minorEastAsia"/>
                <w:spacing w:val="-11"/>
                <w:kern w:val="21"/>
                <w:sz w:val="21"/>
                <w:szCs w:val="21"/>
              </w:rPr>
            </w:pPr>
            <w:r>
              <w:rPr>
                <w:rFonts w:hint="default" w:ascii="Times New Roman" w:hAnsi="Times New Roman" w:cs="Times New Roman" w:eastAsiaTheme="minorEastAsia"/>
                <w:spacing w:val="-11"/>
                <w:kern w:val="21"/>
                <w:sz w:val="21"/>
                <w:szCs w:val="21"/>
              </w:rPr>
              <w:t>按项目进度付款</w:t>
            </w:r>
          </w:p>
        </w:tc>
      </w:tr>
      <w:tr w14:paraId="75129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5" w:type="dxa"/>
            <w:vMerge w:val="continue"/>
            <w:vAlign w:val="center"/>
          </w:tcPr>
          <w:p w14:paraId="462879B4">
            <w:pPr>
              <w:pStyle w:val="29"/>
              <w:keepNext w:val="0"/>
              <w:keepLines w:val="0"/>
              <w:pageBreakBefore w:val="0"/>
              <w:kinsoku/>
              <w:wordWrap/>
              <w:overflowPunct/>
              <w:topLinePunct w:val="0"/>
              <w:bidi w:val="0"/>
              <w:snapToGrid/>
              <w:spacing w:line="220" w:lineRule="exact"/>
              <w:jc w:val="center"/>
              <w:rPr>
                <w:rFonts w:hint="default" w:ascii="Times New Roman" w:hAnsi="Times New Roman" w:cs="Times New Roman" w:eastAsiaTheme="minorEastAsia"/>
                <w:spacing w:val="-11"/>
                <w:kern w:val="21"/>
                <w:sz w:val="21"/>
                <w:szCs w:val="21"/>
              </w:rPr>
            </w:pPr>
          </w:p>
        </w:tc>
        <w:tc>
          <w:tcPr>
            <w:tcW w:w="3278" w:type="dxa"/>
            <w:vAlign w:val="center"/>
          </w:tcPr>
          <w:p w14:paraId="4F046865">
            <w:pPr>
              <w:pStyle w:val="29"/>
              <w:keepNext w:val="0"/>
              <w:keepLines w:val="0"/>
              <w:pageBreakBefore w:val="0"/>
              <w:kinsoku/>
              <w:wordWrap/>
              <w:overflowPunct/>
              <w:topLinePunct w:val="0"/>
              <w:bidi w:val="0"/>
              <w:snapToGrid/>
              <w:spacing w:line="220" w:lineRule="exact"/>
              <w:jc w:val="center"/>
              <w:rPr>
                <w:rFonts w:hint="default" w:ascii="Times New Roman" w:hAnsi="Times New Roman" w:cs="Times New Roman" w:eastAsiaTheme="minorEastAsia"/>
                <w:spacing w:val="-11"/>
                <w:kern w:val="21"/>
                <w:sz w:val="21"/>
                <w:szCs w:val="21"/>
              </w:rPr>
            </w:pPr>
            <w:r>
              <w:rPr>
                <w:rFonts w:hint="default" w:ascii="Times New Roman" w:hAnsi="Times New Roman" w:cs="Times New Roman" w:eastAsiaTheme="minorEastAsia"/>
                <w:spacing w:val="-11"/>
                <w:kern w:val="21"/>
                <w:sz w:val="21"/>
                <w:szCs w:val="21"/>
              </w:rPr>
              <w:t>2022年第一批省级土地整治专项资金</w:t>
            </w:r>
          </w:p>
        </w:tc>
        <w:tc>
          <w:tcPr>
            <w:tcW w:w="923" w:type="dxa"/>
            <w:vAlign w:val="center"/>
          </w:tcPr>
          <w:p w14:paraId="2967C4E0">
            <w:pPr>
              <w:pStyle w:val="29"/>
              <w:keepNext w:val="0"/>
              <w:keepLines w:val="0"/>
              <w:pageBreakBefore w:val="0"/>
              <w:kinsoku/>
              <w:wordWrap/>
              <w:overflowPunct/>
              <w:topLinePunct w:val="0"/>
              <w:bidi w:val="0"/>
              <w:snapToGrid/>
              <w:spacing w:line="220" w:lineRule="exact"/>
              <w:jc w:val="center"/>
              <w:rPr>
                <w:rFonts w:hint="default" w:ascii="Times New Roman" w:hAnsi="Times New Roman" w:cs="Times New Roman" w:eastAsiaTheme="minorEastAsia"/>
                <w:spacing w:val="-11"/>
                <w:kern w:val="21"/>
                <w:sz w:val="21"/>
                <w:szCs w:val="21"/>
              </w:rPr>
            </w:pPr>
            <w:r>
              <w:rPr>
                <w:rFonts w:hint="default" w:ascii="Times New Roman" w:hAnsi="Times New Roman" w:cs="Times New Roman" w:eastAsiaTheme="minorEastAsia"/>
                <w:spacing w:val="-11"/>
                <w:kern w:val="21"/>
                <w:sz w:val="21"/>
                <w:szCs w:val="21"/>
              </w:rPr>
              <w:t>1280.18</w:t>
            </w:r>
          </w:p>
        </w:tc>
        <w:tc>
          <w:tcPr>
            <w:tcW w:w="635" w:type="dxa"/>
            <w:vAlign w:val="center"/>
          </w:tcPr>
          <w:p w14:paraId="220E4D8E">
            <w:pPr>
              <w:pStyle w:val="29"/>
              <w:keepNext w:val="0"/>
              <w:keepLines w:val="0"/>
              <w:pageBreakBefore w:val="0"/>
              <w:kinsoku/>
              <w:wordWrap/>
              <w:overflowPunct/>
              <w:topLinePunct w:val="0"/>
              <w:bidi w:val="0"/>
              <w:snapToGrid/>
              <w:spacing w:line="220" w:lineRule="exact"/>
              <w:jc w:val="center"/>
              <w:rPr>
                <w:rFonts w:hint="default" w:ascii="Times New Roman" w:hAnsi="Times New Roman" w:cs="Times New Roman" w:eastAsiaTheme="minorEastAsia"/>
                <w:spacing w:val="-11"/>
                <w:kern w:val="21"/>
                <w:sz w:val="21"/>
                <w:szCs w:val="21"/>
              </w:rPr>
            </w:pPr>
          </w:p>
        </w:tc>
        <w:tc>
          <w:tcPr>
            <w:tcW w:w="727" w:type="dxa"/>
            <w:vAlign w:val="center"/>
          </w:tcPr>
          <w:p w14:paraId="65958107">
            <w:pPr>
              <w:pStyle w:val="29"/>
              <w:keepNext w:val="0"/>
              <w:keepLines w:val="0"/>
              <w:pageBreakBefore w:val="0"/>
              <w:kinsoku/>
              <w:wordWrap/>
              <w:overflowPunct/>
              <w:topLinePunct w:val="0"/>
              <w:bidi w:val="0"/>
              <w:snapToGrid/>
              <w:spacing w:line="220" w:lineRule="exact"/>
              <w:jc w:val="center"/>
              <w:rPr>
                <w:rFonts w:hint="default" w:ascii="Times New Roman" w:hAnsi="Times New Roman" w:cs="Times New Roman" w:eastAsiaTheme="minorEastAsia"/>
                <w:spacing w:val="-11"/>
                <w:kern w:val="21"/>
                <w:sz w:val="21"/>
                <w:szCs w:val="21"/>
              </w:rPr>
            </w:pPr>
          </w:p>
        </w:tc>
        <w:tc>
          <w:tcPr>
            <w:tcW w:w="635" w:type="dxa"/>
            <w:vAlign w:val="center"/>
          </w:tcPr>
          <w:p w14:paraId="23617026">
            <w:pPr>
              <w:pStyle w:val="29"/>
              <w:keepNext w:val="0"/>
              <w:keepLines w:val="0"/>
              <w:pageBreakBefore w:val="0"/>
              <w:kinsoku/>
              <w:wordWrap/>
              <w:overflowPunct/>
              <w:topLinePunct w:val="0"/>
              <w:bidi w:val="0"/>
              <w:snapToGrid/>
              <w:spacing w:line="220" w:lineRule="exact"/>
              <w:jc w:val="center"/>
              <w:rPr>
                <w:rFonts w:hint="default" w:ascii="Times New Roman" w:hAnsi="Times New Roman" w:cs="Times New Roman" w:eastAsiaTheme="minorEastAsia"/>
                <w:spacing w:val="-11"/>
                <w:kern w:val="21"/>
                <w:sz w:val="21"/>
                <w:szCs w:val="21"/>
              </w:rPr>
            </w:pPr>
          </w:p>
        </w:tc>
        <w:tc>
          <w:tcPr>
            <w:tcW w:w="726" w:type="dxa"/>
            <w:vAlign w:val="center"/>
          </w:tcPr>
          <w:p w14:paraId="514B45C3">
            <w:pPr>
              <w:pStyle w:val="29"/>
              <w:keepNext w:val="0"/>
              <w:keepLines w:val="0"/>
              <w:pageBreakBefore w:val="0"/>
              <w:kinsoku/>
              <w:wordWrap/>
              <w:overflowPunct/>
              <w:topLinePunct w:val="0"/>
              <w:bidi w:val="0"/>
              <w:snapToGrid/>
              <w:spacing w:line="220" w:lineRule="exact"/>
              <w:jc w:val="center"/>
              <w:rPr>
                <w:rFonts w:hint="default" w:ascii="Times New Roman" w:hAnsi="Times New Roman" w:cs="Times New Roman" w:eastAsiaTheme="minorEastAsia"/>
                <w:spacing w:val="-11"/>
                <w:kern w:val="21"/>
                <w:sz w:val="21"/>
                <w:szCs w:val="21"/>
              </w:rPr>
            </w:pPr>
          </w:p>
        </w:tc>
        <w:tc>
          <w:tcPr>
            <w:tcW w:w="693" w:type="dxa"/>
            <w:vAlign w:val="center"/>
          </w:tcPr>
          <w:p w14:paraId="6B1537E4">
            <w:pPr>
              <w:pStyle w:val="29"/>
              <w:keepNext w:val="0"/>
              <w:keepLines w:val="0"/>
              <w:pageBreakBefore w:val="0"/>
              <w:kinsoku/>
              <w:wordWrap/>
              <w:overflowPunct/>
              <w:topLinePunct w:val="0"/>
              <w:bidi w:val="0"/>
              <w:snapToGrid/>
              <w:spacing w:line="220" w:lineRule="exact"/>
              <w:jc w:val="center"/>
              <w:rPr>
                <w:rFonts w:hint="default" w:ascii="Times New Roman" w:hAnsi="Times New Roman" w:cs="Times New Roman" w:eastAsiaTheme="minorEastAsia"/>
                <w:spacing w:val="-11"/>
                <w:kern w:val="21"/>
                <w:sz w:val="21"/>
                <w:szCs w:val="21"/>
              </w:rPr>
            </w:pPr>
            <w:r>
              <w:rPr>
                <w:rFonts w:hint="default" w:ascii="Times New Roman" w:hAnsi="Times New Roman" w:cs="Times New Roman" w:eastAsiaTheme="minorEastAsia"/>
                <w:spacing w:val="-11"/>
                <w:kern w:val="21"/>
                <w:sz w:val="21"/>
                <w:szCs w:val="21"/>
              </w:rPr>
              <w:t>46.81</w:t>
            </w:r>
          </w:p>
        </w:tc>
        <w:tc>
          <w:tcPr>
            <w:tcW w:w="727" w:type="dxa"/>
            <w:vAlign w:val="center"/>
          </w:tcPr>
          <w:p w14:paraId="1CEA1F06">
            <w:pPr>
              <w:pStyle w:val="29"/>
              <w:keepNext w:val="0"/>
              <w:keepLines w:val="0"/>
              <w:pageBreakBefore w:val="0"/>
              <w:kinsoku/>
              <w:wordWrap/>
              <w:overflowPunct/>
              <w:topLinePunct w:val="0"/>
              <w:bidi w:val="0"/>
              <w:snapToGrid/>
              <w:spacing w:line="220" w:lineRule="exact"/>
              <w:jc w:val="center"/>
              <w:rPr>
                <w:rFonts w:hint="default" w:ascii="Times New Roman" w:hAnsi="Times New Roman" w:cs="Times New Roman" w:eastAsiaTheme="minorEastAsia"/>
                <w:spacing w:val="-11"/>
                <w:kern w:val="21"/>
                <w:sz w:val="21"/>
                <w:szCs w:val="21"/>
              </w:rPr>
            </w:pPr>
            <w:r>
              <w:rPr>
                <w:rFonts w:hint="default" w:ascii="Times New Roman" w:hAnsi="Times New Roman" w:cs="Times New Roman" w:eastAsiaTheme="minorEastAsia"/>
                <w:spacing w:val="-11"/>
                <w:kern w:val="21"/>
                <w:sz w:val="21"/>
                <w:szCs w:val="21"/>
              </w:rPr>
              <w:t>3.7%</w:t>
            </w:r>
          </w:p>
        </w:tc>
        <w:tc>
          <w:tcPr>
            <w:tcW w:w="1548" w:type="dxa"/>
            <w:vAlign w:val="center"/>
          </w:tcPr>
          <w:p w14:paraId="30FE16BE">
            <w:pPr>
              <w:pStyle w:val="29"/>
              <w:keepNext w:val="0"/>
              <w:keepLines w:val="0"/>
              <w:pageBreakBefore w:val="0"/>
              <w:kinsoku/>
              <w:wordWrap/>
              <w:overflowPunct/>
              <w:topLinePunct w:val="0"/>
              <w:bidi w:val="0"/>
              <w:snapToGrid/>
              <w:spacing w:line="220" w:lineRule="exact"/>
              <w:jc w:val="center"/>
              <w:rPr>
                <w:rFonts w:hint="default" w:ascii="Times New Roman" w:hAnsi="Times New Roman" w:cs="Times New Roman" w:eastAsiaTheme="minorEastAsia"/>
                <w:spacing w:val="-11"/>
                <w:kern w:val="21"/>
                <w:sz w:val="21"/>
                <w:szCs w:val="21"/>
              </w:rPr>
            </w:pPr>
            <w:r>
              <w:rPr>
                <w:rFonts w:hint="default" w:ascii="Times New Roman" w:hAnsi="Times New Roman" w:cs="Times New Roman" w:eastAsiaTheme="minorEastAsia"/>
                <w:spacing w:val="-11"/>
                <w:kern w:val="21"/>
                <w:sz w:val="21"/>
                <w:szCs w:val="21"/>
              </w:rPr>
              <w:t>前期该项工作暂停，12月才通知恢复该项工作</w:t>
            </w:r>
          </w:p>
        </w:tc>
      </w:tr>
      <w:tr w14:paraId="0CDF6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735" w:type="dxa"/>
            <w:vMerge w:val="continue"/>
            <w:vAlign w:val="center"/>
          </w:tcPr>
          <w:p w14:paraId="0010A86D">
            <w:pPr>
              <w:pStyle w:val="29"/>
              <w:keepNext w:val="0"/>
              <w:keepLines w:val="0"/>
              <w:pageBreakBefore w:val="0"/>
              <w:kinsoku/>
              <w:wordWrap/>
              <w:overflowPunct/>
              <w:topLinePunct w:val="0"/>
              <w:bidi w:val="0"/>
              <w:snapToGrid/>
              <w:spacing w:line="220" w:lineRule="exact"/>
              <w:jc w:val="center"/>
              <w:rPr>
                <w:rFonts w:hint="default" w:ascii="Times New Roman" w:hAnsi="Times New Roman" w:cs="Times New Roman" w:eastAsiaTheme="minorEastAsia"/>
                <w:spacing w:val="-11"/>
                <w:kern w:val="21"/>
                <w:sz w:val="21"/>
                <w:szCs w:val="21"/>
              </w:rPr>
            </w:pPr>
          </w:p>
        </w:tc>
        <w:tc>
          <w:tcPr>
            <w:tcW w:w="3278" w:type="dxa"/>
            <w:vAlign w:val="center"/>
          </w:tcPr>
          <w:p w14:paraId="2B5C12BB">
            <w:pPr>
              <w:pStyle w:val="29"/>
              <w:keepNext w:val="0"/>
              <w:keepLines w:val="0"/>
              <w:pageBreakBefore w:val="0"/>
              <w:kinsoku/>
              <w:wordWrap/>
              <w:overflowPunct/>
              <w:topLinePunct w:val="0"/>
              <w:bidi w:val="0"/>
              <w:snapToGrid/>
              <w:spacing w:line="220" w:lineRule="exact"/>
              <w:jc w:val="center"/>
              <w:rPr>
                <w:rFonts w:hint="default" w:ascii="Times New Roman" w:hAnsi="Times New Roman" w:cs="Times New Roman" w:eastAsiaTheme="minorEastAsia"/>
                <w:spacing w:val="-11"/>
                <w:kern w:val="21"/>
                <w:sz w:val="21"/>
                <w:szCs w:val="21"/>
              </w:rPr>
            </w:pPr>
            <w:r>
              <w:rPr>
                <w:rFonts w:hint="default" w:ascii="Times New Roman" w:hAnsi="Times New Roman" w:cs="Times New Roman" w:eastAsiaTheme="minorEastAsia"/>
                <w:spacing w:val="-11"/>
                <w:kern w:val="21"/>
                <w:sz w:val="21"/>
                <w:szCs w:val="21"/>
              </w:rPr>
              <w:t>2022年乡村国土空间规划编制省级财政奖补专项资金</w:t>
            </w:r>
          </w:p>
        </w:tc>
        <w:tc>
          <w:tcPr>
            <w:tcW w:w="923" w:type="dxa"/>
            <w:vAlign w:val="center"/>
          </w:tcPr>
          <w:p w14:paraId="4C1555CD">
            <w:pPr>
              <w:pStyle w:val="29"/>
              <w:keepNext w:val="0"/>
              <w:keepLines w:val="0"/>
              <w:pageBreakBefore w:val="0"/>
              <w:kinsoku/>
              <w:wordWrap/>
              <w:overflowPunct/>
              <w:topLinePunct w:val="0"/>
              <w:bidi w:val="0"/>
              <w:snapToGrid/>
              <w:spacing w:line="220" w:lineRule="exact"/>
              <w:jc w:val="center"/>
              <w:rPr>
                <w:rFonts w:hint="default" w:ascii="Times New Roman" w:hAnsi="Times New Roman" w:cs="Times New Roman" w:eastAsiaTheme="minorEastAsia"/>
                <w:spacing w:val="-11"/>
                <w:kern w:val="21"/>
                <w:sz w:val="21"/>
                <w:szCs w:val="21"/>
              </w:rPr>
            </w:pPr>
            <w:r>
              <w:rPr>
                <w:rFonts w:hint="default" w:ascii="Times New Roman" w:hAnsi="Times New Roman" w:cs="Times New Roman" w:eastAsiaTheme="minorEastAsia"/>
                <w:spacing w:val="-11"/>
                <w:kern w:val="21"/>
                <w:sz w:val="21"/>
                <w:szCs w:val="21"/>
              </w:rPr>
              <w:t>36</w:t>
            </w:r>
          </w:p>
        </w:tc>
        <w:tc>
          <w:tcPr>
            <w:tcW w:w="635" w:type="dxa"/>
            <w:vAlign w:val="center"/>
          </w:tcPr>
          <w:p w14:paraId="24F75759">
            <w:pPr>
              <w:pStyle w:val="29"/>
              <w:keepNext w:val="0"/>
              <w:keepLines w:val="0"/>
              <w:pageBreakBefore w:val="0"/>
              <w:kinsoku/>
              <w:wordWrap/>
              <w:overflowPunct/>
              <w:topLinePunct w:val="0"/>
              <w:bidi w:val="0"/>
              <w:snapToGrid/>
              <w:spacing w:line="220" w:lineRule="exact"/>
              <w:jc w:val="center"/>
              <w:rPr>
                <w:rFonts w:hint="default" w:ascii="Times New Roman" w:hAnsi="Times New Roman" w:cs="Times New Roman" w:eastAsiaTheme="minorEastAsia"/>
                <w:spacing w:val="-11"/>
                <w:kern w:val="21"/>
                <w:sz w:val="21"/>
                <w:szCs w:val="21"/>
              </w:rPr>
            </w:pPr>
          </w:p>
        </w:tc>
        <w:tc>
          <w:tcPr>
            <w:tcW w:w="727" w:type="dxa"/>
            <w:vAlign w:val="center"/>
          </w:tcPr>
          <w:p w14:paraId="4C6C21F9">
            <w:pPr>
              <w:pStyle w:val="29"/>
              <w:keepNext w:val="0"/>
              <w:keepLines w:val="0"/>
              <w:pageBreakBefore w:val="0"/>
              <w:kinsoku/>
              <w:wordWrap/>
              <w:overflowPunct/>
              <w:topLinePunct w:val="0"/>
              <w:bidi w:val="0"/>
              <w:snapToGrid/>
              <w:spacing w:line="220" w:lineRule="exact"/>
              <w:jc w:val="center"/>
              <w:rPr>
                <w:rFonts w:hint="default" w:ascii="Times New Roman" w:hAnsi="Times New Roman" w:cs="Times New Roman" w:eastAsiaTheme="minorEastAsia"/>
                <w:spacing w:val="-11"/>
                <w:kern w:val="21"/>
                <w:sz w:val="21"/>
                <w:szCs w:val="21"/>
              </w:rPr>
            </w:pPr>
          </w:p>
        </w:tc>
        <w:tc>
          <w:tcPr>
            <w:tcW w:w="635" w:type="dxa"/>
            <w:vAlign w:val="center"/>
          </w:tcPr>
          <w:p w14:paraId="49FAA07B">
            <w:pPr>
              <w:pStyle w:val="29"/>
              <w:keepNext w:val="0"/>
              <w:keepLines w:val="0"/>
              <w:pageBreakBefore w:val="0"/>
              <w:kinsoku/>
              <w:wordWrap/>
              <w:overflowPunct/>
              <w:topLinePunct w:val="0"/>
              <w:bidi w:val="0"/>
              <w:snapToGrid/>
              <w:spacing w:line="220" w:lineRule="exact"/>
              <w:jc w:val="center"/>
              <w:rPr>
                <w:rFonts w:hint="default" w:ascii="Times New Roman" w:hAnsi="Times New Roman" w:cs="Times New Roman" w:eastAsiaTheme="minorEastAsia"/>
                <w:spacing w:val="-11"/>
                <w:kern w:val="21"/>
                <w:sz w:val="21"/>
                <w:szCs w:val="21"/>
              </w:rPr>
            </w:pPr>
          </w:p>
        </w:tc>
        <w:tc>
          <w:tcPr>
            <w:tcW w:w="726" w:type="dxa"/>
            <w:vAlign w:val="center"/>
          </w:tcPr>
          <w:p w14:paraId="3177B71E">
            <w:pPr>
              <w:pStyle w:val="29"/>
              <w:keepNext w:val="0"/>
              <w:keepLines w:val="0"/>
              <w:pageBreakBefore w:val="0"/>
              <w:kinsoku/>
              <w:wordWrap/>
              <w:overflowPunct/>
              <w:topLinePunct w:val="0"/>
              <w:bidi w:val="0"/>
              <w:snapToGrid/>
              <w:spacing w:line="220" w:lineRule="exact"/>
              <w:jc w:val="center"/>
              <w:rPr>
                <w:rFonts w:hint="default" w:ascii="Times New Roman" w:hAnsi="Times New Roman" w:cs="Times New Roman" w:eastAsiaTheme="minorEastAsia"/>
                <w:spacing w:val="-11"/>
                <w:kern w:val="21"/>
                <w:sz w:val="21"/>
                <w:szCs w:val="21"/>
              </w:rPr>
            </w:pPr>
          </w:p>
        </w:tc>
        <w:tc>
          <w:tcPr>
            <w:tcW w:w="693" w:type="dxa"/>
            <w:vAlign w:val="center"/>
          </w:tcPr>
          <w:p w14:paraId="0ED81359">
            <w:pPr>
              <w:pStyle w:val="29"/>
              <w:keepNext w:val="0"/>
              <w:keepLines w:val="0"/>
              <w:pageBreakBefore w:val="0"/>
              <w:kinsoku/>
              <w:wordWrap/>
              <w:overflowPunct/>
              <w:topLinePunct w:val="0"/>
              <w:bidi w:val="0"/>
              <w:snapToGrid/>
              <w:spacing w:line="220" w:lineRule="exact"/>
              <w:jc w:val="center"/>
              <w:rPr>
                <w:rFonts w:hint="default" w:ascii="Times New Roman" w:hAnsi="Times New Roman" w:cs="Times New Roman" w:eastAsiaTheme="minorEastAsia"/>
                <w:spacing w:val="-11"/>
                <w:kern w:val="21"/>
                <w:sz w:val="21"/>
                <w:szCs w:val="21"/>
              </w:rPr>
            </w:pPr>
            <w:r>
              <w:rPr>
                <w:rFonts w:hint="default" w:ascii="Times New Roman" w:hAnsi="Times New Roman" w:cs="Times New Roman" w:eastAsiaTheme="minorEastAsia"/>
                <w:spacing w:val="-11"/>
                <w:kern w:val="21"/>
                <w:sz w:val="21"/>
                <w:szCs w:val="21"/>
              </w:rPr>
              <w:t>11.57</w:t>
            </w:r>
          </w:p>
        </w:tc>
        <w:tc>
          <w:tcPr>
            <w:tcW w:w="727" w:type="dxa"/>
            <w:vAlign w:val="center"/>
          </w:tcPr>
          <w:p w14:paraId="3E810149">
            <w:pPr>
              <w:pStyle w:val="29"/>
              <w:keepNext w:val="0"/>
              <w:keepLines w:val="0"/>
              <w:pageBreakBefore w:val="0"/>
              <w:kinsoku/>
              <w:wordWrap/>
              <w:overflowPunct/>
              <w:topLinePunct w:val="0"/>
              <w:bidi w:val="0"/>
              <w:snapToGrid/>
              <w:spacing w:line="220" w:lineRule="exact"/>
              <w:jc w:val="center"/>
              <w:rPr>
                <w:rFonts w:hint="default" w:ascii="Times New Roman" w:hAnsi="Times New Roman" w:cs="Times New Roman" w:eastAsiaTheme="minorEastAsia"/>
                <w:spacing w:val="-11"/>
                <w:kern w:val="21"/>
                <w:sz w:val="21"/>
                <w:szCs w:val="21"/>
              </w:rPr>
            </w:pPr>
            <w:r>
              <w:rPr>
                <w:rFonts w:hint="default" w:ascii="Times New Roman" w:hAnsi="Times New Roman" w:cs="Times New Roman" w:eastAsiaTheme="minorEastAsia"/>
                <w:spacing w:val="-11"/>
                <w:kern w:val="21"/>
                <w:sz w:val="21"/>
                <w:szCs w:val="21"/>
              </w:rPr>
              <w:t>32.1%</w:t>
            </w:r>
          </w:p>
        </w:tc>
        <w:tc>
          <w:tcPr>
            <w:tcW w:w="1548" w:type="dxa"/>
            <w:vAlign w:val="center"/>
          </w:tcPr>
          <w:p w14:paraId="0CB57017">
            <w:pPr>
              <w:pStyle w:val="29"/>
              <w:keepNext w:val="0"/>
              <w:keepLines w:val="0"/>
              <w:pageBreakBefore w:val="0"/>
              <w:kinsoku/>
              <w:wordWrap/>
              <w:overflowPunct/>
              <w:topLinePunct w:val="0"/>
              <w:bidi w:val="0"/>
              <w:snapToGrid/>
              <w:spacing w:line="220" w:lineRule="exact"/>
              <w:jc w:val="center"/>
              <w:rPr>
                <w:rFonts w:hint="default" w:ascii="Times New Roman" w:hAnsi="Times New Roman" w:cs="Times New Roman" w:eastAsiaTheme="minorEastAsia"/>
                <w:spacing w:val="-11"/>
                <w:kern w:val="21"/>
                <w:sz w:val="21"/>
                <w:szCs w:val="21"/>
              </w:rPr>
            </w:pPr>
            <w:r>
              <w:rPr>
                <w:rFonts w:hint="default" w:ascii="Times New Roman" w:hAnsi="Times New Roman" w:cs="Times New Roman" w:eastAsiaTheme="minorEastAsia"/>
                <w:spacing w:val="-11"/>
                <w:kern w:val="21"/>
                <w:sz w:val="21"/>
                <w:szCs w:val="21"/>
              </w:rPr>
              <w:t>按项目进度付款</w:t>
            </w:r>
          </w:p>
        </w:tc>
      </w:tr>
      <w:tr w14:paraId="29935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735" w:type="dxa"/>
            <w:vMerge w:val="continue"/>
            <w:vAlign w:val="center"/>
          </w:tcPr>
          <w:p w14:paraId="0F08968E">
            <w:pPr>
              <w:pStyle w:val="29"/>
              <w:keepNext w:val="0"/>
              <w:keepLines w:val="0"/>
              <w:pageBreakBefore w:val="0"/>
              <w:kinsoku/>
              <w:wordWrap/>
              <w:overflowPunct/>
              <w:topLinePunct w:val="0"/>
              <w:bidi w:val="0"/>
              <w:snapToGrid/>
              <w:spacing w:line="220" w:lineRule="exact"/>
              <w:jc w:val="center"/>
              <w:rPr>
                <w:rFonts w:hint="default" w:ascii="Times New Roman" w:hAnsi="Times New Roman" w:cs="Times New Roman" w:eastAsiaTheme="minorEastAsia"/>
                <w:spacing w:val="-11"/>
                <w:kern w:val="21"/>
                <w:sz w:val="21"/>
                <w:szCs w:val="21"/>
              </w:rPr>
            </w:pPr>
          </w:p>
        </w:tc>
        <w:tc>
          <w:tcPr>
            <w:tcW w:w="3278" w:type="dxa"/>
            <w:vAlign w:val="center"/>
          </w:tcPr>
          <w:p w14:paraId="5BE9AD18">
            <w:pPr>
              <w:pStyle w:val="29"/>
              <w:keepNext w:val="0"/>
              <w:keepLines w:val="0"/>
              <w:pageBreakBefore w:val="0"/>
              <w:kinsoku/>
              <w:wordWrap/>
              <w:overflowPunct/>
              <w:topLinePunct w:val="0"/>
              <w:bidi w:val="0"/>
              <w:snapToGrid/>
              <w:spacing w:line="220" w:lineRule="exact"/>
              <w:jc w:val="center"/>
              <w:rPr>
                <w:rFonts w:hint="default" w:ascii="Times New Roman" w:hAnsi="Times New Roman" w:cs="Times New Roman" w:eastAsiaTheme="minorEastAsia"/>
                <w:spacing w:val="-11"/>
                <w:kern w:val="21"/>
                <w:sz w:val="21"/>
                <w:szCs w:val="21"/>
              </w:rPr>
            </w:pPr>
            <w:r>
              <w:rPr>
                <w:rFonts w:hint="default" w:ascii="Times New Roman" w:hAnsi="Times New Roman" w:cs="Times New Roman" w:eastAsiaTheme="minorEastAsia"/>
                <w:spacing w:val="-11"/>
                <w:kern w:val="21"/>
                <w:sz w:val="21"/>
                <w:szCs w:val="21"/>
              </w:rPr>
              <w:t>广元市昭化区2022年地质灾害防治体系建设项目</w:t>
            </w:r>
          </w:p>
        </w:tc>
        <w:tc>
          <w:tcPr>
            <w:tcW w:w="923" w:type="dxa"/>
            <w:vAlign w:val="center"/>
          </w:tcPr>
          <w:p w14:paraId="6441ED55">
            <w:pPr>
              <w:pStyle w:val="29"/>
              <w:keepNext w:val="0"/>
              <w:keepLines w:val="0"/>
              <w:pageBreakBefore w:val="0"/>
              <w:kinsoku/>
              <w:wordWrap/>
              <w:overflowPunct/>
              <w:topLinePunct w:val="0"/>
              <w:bidi w:val="0"/>
              <w:snapToGrid/>
              <w:spacing w:line="220" w:lineRule="exact"/>
              <w:jc w:val="center"/>
              <w:rPr>
                <w:rFonts w:hint="default" w:ascii="Times New Roman" w:hAnsi="Times New Roman" w:cs="Times New Roman" w:eastAsiaTheme="minorEastAsia"/>
                <w:spacing w:val="-11"/>
                <w:kern w:val="21"/>
                <w:sz w:val="21"/>
                <w:szCs w:val="21"/>
              </w:rPr>
            </w:pPr>
            <w:r>
              <w:rPr>
                <w:rFonts w:hint="default" w:ascii="Times New Roman" w:hAnsi="Times New Roman" w:cs="Times New Roman" w:eastAsiaTheme="minorEastAsia"/>
                <w:spacing w:val="-11"/>
                <w:kern w:val="21"/>
                <w:sz w:val="21"/>
                <w:szCs w:val="21"/>
              </w:rPr>
              <w:t>668</w:t>
            </w:r>
          </w:p>
        </w:tc>
        <w:tc>
          <w:tcPr>
            <w:tcW w:w="635" w:type="dxa"/>
            <w:vAlign w:val="center"/>
          </w:tcPr>
          <w:p w14:paraId="1F4C2D9A">
            <w:pPr>
              <w:pStyle w:val="29"/>
              <w:keepNext w:val="0"/>
              <w:keepLines w:val="0"/>
              <w:pageBreakBefore w:val="0"/>
              <w:kinsoku/>
              <w:wordWrap/>
              <w:overflowPunct/>
              <w:topLinePunct w:val="0"/>
              <w:bidi w:val="0"/>
              <w:snapToGrid/>
              <w:spacing w:line="220" w:lineRule="exact"/>
              <w:jc w:val="center"/>
              <w:rPr>
                <w:rFonts w:hint="default" w:ascii="Times New Roman" w:hAnsi="Times New Roman" w:cs="Times New Roman" w:eastAsiaTheme="minorEastAsia"/>
                <w:spacing w:val="-11"/>
                <w:kern w:val="21"/>
                <w:sz w:val="21"/>
                <w:szCs w:val="21"/>
              </w:rPr>
            </w:pPr>
          </w:p>
        </w:tc>
        <w:tc>
          <w:tcPr>
            <w:tcW w:w="727" w:type="dxa"/>
            <w:vAlign w:val="center"/>
          </w:tcPr>
          <w:p w14:paraId="3FFA75BC">
            <w:pPr>
              <w:pStyle w:val="29"/>
              <w:keepNext w:val="0"/>
              <w:keepLines w:val="0"/>
              <w:pageBreakBefore w:val="0"/>
              <w:kinsoku/>
              <w:wordWrap/>
              <w:overflowPunct/>
              <w:topLinePunct w:val="0"/>
              <w:bidi w:val="0"/>
              <w:snapToGrid/>
              <w:spacing w:line="220" w:lineRule="exact"/>
              <w:jc w:val="center"/>
              <w:rPr>
                <w:rFonts w:hint="default" w:ascii="Times New Roman" w:hAnsi="Times New Roman" w:cs="Times New Roman" w:eastAsiaTheme="minorEastAsia"/>
                <w:spacing w:val="-11"/>
                <w:kern w:val="21"/>
                <w:sz w:val="21"/>
                <w:szCs w:val="21"/>
              </w:rPr>
            </w:pPr>
          </w:p>
        </w:tc>
        <w:tc>
          <w:tcPr>
            <w:tcW w:w="635" w:type="dxa"/>
            <w:vAlign w:val="center"/>
          </w:tcPr>
          <w:p w14:paraId="40F401B4">
            <w:pPr>
              <w:pStyle w:val="29"/>
              <w:keepNext w:val="0"/>
              <w:keepLines w:val="0"/>
              <w:pageBreakBefore w:val="0"/>
              <w:kinsoku/>
              <w:wordWrap/>
              <w:overflowPunct/>
              <w:topLinePunct w:val="0"/>
              <w:bidi w:val="0"/>
              <w:snapToGrid/>
              <w:spacing w:line="220" w:lineRule="exact"/>
              <w:jc w:val="center"/>
              <w:rPr>
                <w:rFonts w:hint="default" w:ascii="Times New Roman" w:hAnsi="Times New Roman" w:cs="Times New Roman" w:eastAsiaTheme="minorEastAsia"/>
                <w:spacing w:val="-11"/>
                <w:kern w:val="21"/>
                <w:sz w:val="21"/>
                <w:szCs w:val="21"/>
              </w:rPr>
            </w:pPr>
          </w:p>
        </w:tc>
        <w:tc>
          <w:tcPr>
            <w:tcW w:w="726" w:type="dxa"/>
            <w:vAlign w:val="center"/>
          </w:tcPr>
          <w:p w14:paraId="57B2CC53">
            <w:pPr>
              <w:pStyle w:val="29"/>
              <w:keepNext w:val="0"/>
              <w:keepLines w:val="0"/>
              <w:pageBreakBefore w:val="0"/>
              <w:kinsoku/>
              <w:wordWrap/>
              <w:overflowPunct/>
              <w:topLinePunct w:val="0"/>
              <w:bidi w:val="0"/>
              <w:snapToGrid/>
              <w:spacing w:line="220" w:lineRule="exact"/>
              <w:jc w:val="center"/>
              <w:rPr>
                <w:rFonts w:hint="default" w:ascii="Times New Roman" w:hAnsi="Times New Roman" w:cs="Times New Roman" w:eastAsiaTheme="minorEastAsia"/>
                <w:spacing w:val="-11"/>
                <w:kern w:val="21"/>
                <w:sz w:val="21"/>
                <w:szCs w:val="21"/>
              </w:rPr>
            </w:pPr>
          </w:p>
        </w:tc>
        <w:tc>
          <w:tcPr>
            <w:tcW w:w="693" w:type="dxa"/>
            <w:vAlign w:val="center"/>
          </w:tcPr>
          <w:p w14:paraId="41005198">
            <w:pPr>
              <w:pStyle w:val="29"/>
              <w:keepNext w:val="0"/>
              <w:keepLines w:val="0"/>
              <w:pageBreakBefore w:val="0"/>
              <w:kinsoku/>
              <w:wordWrap/>
              <w:overflowPunct/>
              <w:topLinePunct w:val="0"/>
              <w:bidi w:val="0"/>
              <w:snapToGrid/>
              <w:spacing w:line="220" w:lineRule="exact"/>
              <w:jc w:val="center"/>
              <w:rPr>
                <w:rFonts w:hint="default" w:ascii="Times New Roman" w:hAnsi="Times New Roman" w:cs="Times New Roman" w:eastAsiaTheme="minorEastAsia"/>
                <w:spacing w:val="-11"/>
                <w:kern w:val="21"/>
                <w:sz w:val="21"/>
                <w:szCs w:val="21"/>
              </w:rPr>
            </w:pPr>
            <w:r>
              <w:rPr>
                <w:rFonts w:hint="default" w:ascii="Times New Roman" w:hAnsi="Times New Roman" w:cs="Times New Roman" w:eastAsiaTheme="minorEastAsia"/>
                <w:spacing w:val="-11"/>
                <w:kern w:val="21"/>
                <w:sz w:val="21"/>
                <w:szCs w:val="21"/>
              </w:rPr>
              <w:t>133.84</w:t>
            </w:r>
          </w:p>
        </w:tc>
        <w:tc>
          <w:tcPr>
            <w:tcW w:w="727" w:type="dxa"/>
            <w:vAlign w:val="center"/>
          </w:tcPr>
          <w:p w14:paraId="3E37FDE7">
            <w:pPr>
              <w:pStyle w:val="29"/>
              <w:keepNext w:val="0"/>
              <w:keepLines w:val="0"/>
              <w:pageBreakBefore w:val="0"/>
              <w:kinsoku/>
              <w:wordWrap/>
              <w:overflowPunct/>
              <w:topLinePunct w:val="0"/>
              <w:bidi w:val="0"/>
              <w:snapToGrid/>
              <w:spacing w:line="220" w:lineRule="exact"/>
              <w:jc w:val="center"/>
              <w:rPr>
                <w:rFonts w:hint="default" w:ascii="Times New Roman" w:hAnsi="Times New Roman" w:cs="Times New Roman" w:eastAsiaTheme="minorEastAsia"/>
                <w:spacing w:val="-11"/>
                <w:kern w:val="21"/>
                <w:sz w:val="21"/>
                <w:szCs w:val="21"/>
              </w:rPr>
            </w:pPr>
            <w:r>
              <w:rPr>
                <w:rFonts w:hint="default" w:ascii="Times New Roman" w:hAnsi="Times New Roman" w:cs="Times New Roman" w:eastAsiaTheme="minorEastAsia"/>
                <w:spacing w:val="-11"/>
                <w:kern w:val="21"/>
                <w:sz w:val="21"/>
                <w:szCs w:val="21"/>
              </w:rPr>
              <w:t>20%</w:t>
            </w:r>
          </w:p>
        </w:tc>
        <w:tc>
          <w:tcPr>
            <w:tcW w:w="1548" w:type="dxa"/>
            <w:vAlign w:val="center"/>
          </w:tcPr>
          <w:p w14:paraId="1DE5502D">
            <w:pPr>
              <w:pStyle w:val="29"/>
              <w:keepNext w:val="0"/>
              <w:keepLines w:val="0"/>
              <w:pageBreakBefore w:val="0"/>
              <w:kinsoku/>
              <w:wordWrap/>
              <w:overflowPunct/>
              <w:topLinePunct w:val="0"/>
              <w:bidi w:val="0"/>
              <w:snapToGrid/>
              <w:spacing w:line="220" w:lineRule="exact"/>
              <w:jc w:val="center"/>
              <w:rPr>
                <w:rFonts w:hint="default" w:ascii="Times New Roman" w:hAnsi="Times New Roman" w:cs="Times New Roman" w:eastAsiaTheme="minorEastAsia"/>
                <w:spacing w:val="-11"/>
                <w:kern w:val="21"/>
                <w:sz w:val="21"/>
                <w:szCs w:val="21"/>
              </w:rPr>
            </w:pPr>
            <w:r>
              <w:rPr>
                <w:rFonts w:hint="default" w:ascii="Times New Roman" w:hAnsi="Times New Roman" w:cs="Times New Roman" w:eastAsiaTheme="minorEastAsia"/>
                <w:spacing w:val="-11"/>
                <w:kern w:val="21"/>
                <w:sz w:val="21"/>
                <w:szCs w:val="21"/>
              </w:rPr>
              <w:t>按项目进度付款</w:t>
            </w:r>
          </w:p>
        </w:tc>
      </w:tr>
      <w:tr w14:paraId="1AEDC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35" w:type="dxa"/>
            <w:vMerge w:val="continue"/>
            <w:vAlign w:val="center"/>
          </w:tcPr>
          <w:p w14:paraId="5023E197">
            <w:pPr>
              <w:pStyle w:val="29"/>
              <w:keepNext w:val="0"/>
              <w:keepLines w:val="0"/>
              <w:pageBreakBefore w:val="0"/>
              <w:kinsoku/>
              <w:wordWrap/>
              <w:overflowPunct/>
              <w:topLinePunct w:val="0"/>
              <w:bidi w:val="0"/>
              <w:snapToGrid/>
              <w:spacing w:line="220" w:lineRule="exact"/>
              <w:jc w:val="center"/>
              <w:rPr>
                <w:rFonts w:hint="default" w:ascii="Times New Roman" w:hAnsi="Times New Roman" w:cs="Times New Roman" w:eastAsiaTheme="minorEastAsia"/>
                <w:spacing w:val="-11"/>
                <w:kern w:val="21"/>
                <w:sz w:val="21"/>
                <w:szCs w:val="21"/>
              </w:rPr>
            </w:pPr>
          </w:p>
        </w:tc>
        <w:tc>
          <w:tcPr>
            <w:tcW w:w="3278" w:type="dxa"/>
            <w:vAlign w:val="center"/>
          </w:tcPr>
          <w:p w14:paraId="638A837C">
            <w:pPr>
              <w:keepNext w:val="0"/>
              <w:keepLines w:val="0"/>
              <w:pageBreakBefore w:val="0"/>
              <w:widowControl/>
              <w:kinsoku/>
              <w:wordWrap/>
              <w:overflowPunct/>
              <w:topLinePunct w:val="0"/>
              <w:bidi w:val="0"/>
              <w:snapToGrid/>
              <w:spacing w:line="220" w:lineRule="exact"/>
              <w:jc w:val="center"/>
              <w:textAlignment w:val="center"/>
              <w:rPr>
                <w:rFonts w:hint="default" w:ascii="Times New Roman" w:hAnsi="Times New Roman" w:cs="Times New Roman" w:eastAsiaTheme="minorEastAsia"/>
                <w:spacing w:val="-11"/>
                <w:kern w:val="21"/>
                <w:sz w:val="21"/>
                <w:szCs w:val="21"/>
              </w:rPr>
            </w:pPr>
            <w:r>
              <w:rPr>
                <w:rFonts w:hint="default" w:ascii="Times New Roman" w:hAnsi="Times New Roman" w:cs="Times New Roman" w:eastAsiaTheme="minorEastAsia"/>
                <w:color w:val="000000"/>
                <w:spacing w:val="-11"/>
                <w:kern w:val="21"/>
                <w:sz w:val="21"/>
                <w:szCs w:val="21"/>
              </w:rPr>
              <w:t>增减挂钩项目指挥部工作经费</w:t>
            </w:r>
          </w:p>
        </w:tc>
        <w:tc>
          <w:tcPr>
            <w:tcW w:w="923" w:type="dxa"/>
            <w:vAlign w:val="center"/>
          </w:tcPr>
          <w:p w14:paraId="3FC3ACDB">
            <w:pPr>
              <w:pStyle w:val="29"/>
              <w:keepNext w:val="0"/>
              <w:keepLines w:val="0"/>
              <w:pageBreakBefore w:val="0"/>
              <w:kinsoku/>
              <w:wordWrap/>
              <w:overflowPunct/>
              <w:topLinePunct w:val="0"/>
              <w:bidi w:val="0"/>
              <w:snapToGrid/>
              <w:spacing w:line="220" w:lineRule="exact"/>
              <w:jc w:val="center"/>
              <w:rPr>
                <w:rFonts w:hint="default" w:ascii="Times New Roman" w:hAnsi="Times New Roman" w:cs="Times New Roman" w:eastAsiaTheme="minorEastAsia"/>
                <w:spacing w:val="-11"/>
                <w:kern w:val="21"/>
                <w:sz w:val="21"/>
                <w:szCs w:val="21"/>
              </w:rPr>
            </w:pPr>
            <w:r>
              <w:rPr>
                <w:rFonts w:hint="default" w:ascii="Times New Roman" w:hAnsi="Times New Roman" w:cs="Times New Roman" w:eastAsiaTheme="minorEastAsia"/>
                <w:spacing w:val="-11"/>
                <w:kern w:val="21"/>
                <w:sz w:val="21"/>
                <w:szCs w:val="21"/>
              </w:rPr>
              <w:t>85</w:t>
            </w:r>
          </w:p>
        </w:tc>
        <w:tc>
          <w:tcPr>
            <w:tcW w:w="635" w:type="dxa"/>
            <w:vAlign w:val="center"/>
          </w:tcPr>
          <w:p w14:paraId="03AE6D77">
            <w:pPr>
              <w:pStyle w:val="29"/>
              <w:keepNext w:val="0"/>
              <w:keepLines w:val="0"/>
              <w:pageBreakBefore w:val="0"/>
              <w:kinsoku/>
              <w:wordWrap/>
              <w:overflowPunct/>
              <w:topLinePunct w:val="0"/>
              <w:bidi w:val="0"/>
              <w:snapToGrid/>
              <w:spacing w:line="220" w:lineRule="exact"/>
              <w:jc w:val="center"/>
              <w:rPr>
                <w:rFonts w:hint="default" w:ascii="Times New Roman" w:hAnsi="Times New Roman" w:cs="Times New Roman" w:eastAsiaTheme="minorEastAsia"/>
                <w:spacing w:val="-11"/>
                <w:kern w:val="21"/>
                <w:sz w:val="21"/>
                <w:szCs w:val="21"/>
              </w:rPr>
            </w:pPr>
            <w:r>
              <w:rPr>
                <w:rFonts w:hint="default" w:ascii="Times New Roman" w:hAnsi="Times New Roman" w:cs="Times New Roman" w:eastAsiaTheme="minorEastAsia"/>
                <w:spacing w:val="-11"/>
                <w:kern w:val="21"/>
                <w:sz w:val="21"/>
                <w:szCs w:val="21"/>
              </w:rPr>
              <w:t>85</w:t>
            </w:r>
          </w:p>
        </w:tc>
        <w:tc>
          <w:tcPr>
            <w:tcW w:w="727" w:type="dxa"/>
            <w:vAlign w:val="center"/>
          </w:tcPr>
          <w:p w14:paraId="515D967E">
            <w:pPr>
              <w:pStyle w:val="29"/>
              <w:keepNext w:val="0"/>
              <w:keepLines w:val="0"/>
              <w:pageBreakBefore w:val="0"/>
              <w:kinsoku/>
              <w:wordWrap/>
              <w:overflowPunct/>
              <w:topLinePunct w:val="0"/>
              <w:bidi w:val="0"/>
              <w:snapToGrid/>
              <w:spacing w:line="220" w:lineRule="exact"/>
              <w:jc w:val="center"/>
              <w:rPr>
                <w:rFonts w:hint="default" w:ascii="Times New Roman" w:hAnsi="Times New Roman" w:cs="Times New Roman" w:eastAsiaTheme="minorEastAsia"/>
                <w:spacing w:val="-11"/>
                <w:kern w:val="21"/>
                <w:sz w:val="21"/>
                <w:szCs w:val="21"/>
              </w:rPr>
            </w:pPr>
            <w:r>
              <w:rPr>
                <w:rFonts w:hint="default" w:ascii="Times New Roman" w:hAnsi="Times New Roman" w:cs="Times New Roman" w:eastAsiaTheme="minorEastAsia"/>
                <w:spacing w:val="-11"/>
                <w:kern w:val="21"/>
                <w:sz w:val="21"/>
                <w:szCs w:val="21"/>
              </w:rPr>
              <w:t>100%</w:t>
            </w:r>
          </w:p>
        </w:tc>
        <w:tc>
          <w:tcPr>
            <w:tcW w:w="635" w:type="dxa"/>
            <w:vAlign w:val="center"/>
          </w:tcPr>
          <w:p w14:paraId="5626D369">
            <w:pPr>
              <w:pStyle w:val="29"/>
              <w:keepNext w:val="0"/>
              <w:keepLines w:val="0"/>
              <w:pageBreakBefore w:val="0"/>
              <w:kinsoku/>
              <w:wordWrap/>
              <w:overflowPunct/>
              <w:topLinePunct w:val="0"/>
              <w:bidi w:val="0"/>
              <w:snapToGrid/>
              <w:spacing w:line="220" w:lineRule="exact"/>
              <w:jc w:val="center"/>
              <w:rPr>
                <w:rFonts w:hint="default" w:ascii="Times New Roman" w:hAnsi="Times New Roman" w:cs="Times New Roman" w:eastAsiaTheme="minorEastAsia"/>
                <w:spacing w:val="-11"/>
                <w:kern w:val="21"/>
                <w:sz w:val="21"/>
                <w:szCs w:val="21"/>
              </w:rPr>
            </w:pPr>
          </w:p>
        </w:tc>
        <w:tc>
          <w:tcPr>
            <w:tcW w:w="726" w:type="dxa"/>
            <w:vAlign w:val="center"/>
          </w:tcPr>
          <w:p w14:paraId="3BBC44F9">
            <w:pPr>
              <w:pStyle w:val="29"/>
              <w:keepNext w:val="0"/>
              <w:keepLines w:val="0"/>
              <w:pageBreakBefore w:val="0"/>
              <w:kinsoku/>
              <w:wordWrap/>
              <w:overflowPunct/>
              <w:topLinePunct w:val="0"/>
              <w:bidi w:val="0"/>
              <w:snapToGrid/>
              <w:spacing w:line="220" w:lineRule="exact"/>
              <w:jc w:val="center"/>
              <w:rPr>
                <w:rFonts w:hint="default" w:ascii="Times New Roman" w:hAnsi="Times New Roman" w:cs="Times New Roman" w:eastAsiaTheme="minorEastAsia"/>
                <w:spacing w:val="-11"/>
                <w:kern w:val="21"/>
                <w:sz w:val="21"/>
                <w:szCs w:val="21"/>
              </w:rPr>
            </w:pPr>
          </w:p>
        </w:tc>
        <w:tc>
          <w:tcPr>
            <w:tcW w:w="693" w:type="dxa"/>
            <w:vAlign w:val="center"/>
          </w:tcPr>
          <w:p w14:paraId="06D92F68">
            <w:pPr>
              <w:pStyle w:val="29"/>
              <w:keepNext w:val="0"/>
              <w:keepLines w:val="0"/>
              <w:pageBreakBefore w:val="0"/>
              <w:kinsoku/>
              <w:wordWrap/>
              <w:overflowPunct/>
              <w:topLinePunct w:val="0"/>
              <w:bidi w:val="0"/>
              <w:snapToGrid/>
              <w:spacing w:line="220" w:lineRule="exact"/>
              <w:jc w:val="center"/>
              <w:rPr>
                <w:rFonts w:hint="default" w:ascii="Times New Roman" w:hAnsi="Times New Roman" w:cs="Times New Roman" w:eastAsiaTheme="minorEastAsia"/>
                <w:spacing w:val="-11"/>
                <w:kern w:val="21"/>
                <w:sz w:val="21"/>
                <w:szCs w:val="21"/>
              </w:rPr>
            </w:pPr>
          </w:p>
        </w:tc>
        <w:tc>
          <w:tcPr>
            <w:tcW w:w="727" w:type="dxa"/>
            <w:vAlign w:val="center"/>
          </w:tcPr>
          <w:p w14:paraId="07C3ADF1">
            <w:pPr>
              <w:pStyle w:val="29"/>
              <w:keepNext w:val="0"/>
              <w:keepLines w:val="0"/>
              <w:pageBreakBefore w:val="0"/>
              <w:kinsoku/>
              <w:wordWrap/>
              <w:overflowPunct/>
              <w:topLinePunct w:val="0"/>
              <w:bidi w:val="0"/>
              <w:snapToGrid/>
              <w:spacing w:line="220" w:lineRule="exact"/>
              <w:jc w:val="center"/>
              <w:rPr>
                <w:rFonts w:hint="default" w:ascii="Times New Roman" w:hAnsi="Times New Roman" w:cs="Times New Roman" w:eastAsiaTheme="minorEastAsia"/>
                <w:spacing w:val="-11"/>
                <w:kern w:val="21"/>
                <w:sz w:val="21"/>
                <w:szCs w:val="21"/>
              </w:rPr>
            </w:pPr>
          </w:p>
        </w:tc>
        <w:tc>
          <w:tcPr>
            <w:tcW w:w="1548" w:type="dxa"/>
            <w:vAlign w:val="center"/>
          </w:tcPr>
          <w:p w14:paraId="785E9B33">
            <w:pPr>
              <w:pStyle w:val="29"/>
              <w:keepNext w:val="0"/>
              <w:keepLines w:val="0"/>
              <w:pageBreakBefore w:val="0"/>
              <w:kinsoku/>
              <w:wordWrap/>
              <w:overflowPunct/>
              <w:topLinePunct w:val="0"/>
              <w:bidi w:val="0"/>
              <w:snapToGrid/>
              <w:spacing w:line="220" w:lineRule="exact"/>
              <w:jc w:val="center"/>
              <w:rPr>
                <w:rFonts w:hint="default" w:ascii="Times New Roman" w:hAnsi="Times New Roman" w:cs="Times New Roman" w:eastAsiaTheme="minorEastAsia"/>
                <w:spacing w:val="-11"/>
                <w:kern w:val="21"/>
                <w:sz w:val="21"/>
                <w:szCs w:val="21"/>
              </w:rPr>
            </w:pPr>
          </w:p>
        </w:tc>
      </w:tr>
      <w:tr w14:paraId="7FE95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35" w:type="dxa"/>
            <w:vMerge w:val="continue"/>
            <w:vAlign w:val="center"/>
          </w:tcPr>
          <w:p w14:paraId="61D6F954">
            <w:pPr>
              <w:pStyle w:val="29"/>
              <w:keepNext w:val="0"/>
              <w:keepLines w:val="0"/>
              <w:pageBreakBefore w:val="0"/>
              <w:kinsoku/>
              <w:wordWrap/>
              <w:overflowPunct/>
              <w:topLinePunct w:val="0"/>
              <w:bidi w:val="0"/>
              <w:snapToGrid/>
              <w:spacing w:line="220" w:lineRule="exact"/>
              <w:jc w:val="center"/>
              <w:rPr>
                <w:rFonts w:hint="default" w:ascii="Times New Roman" w:hAnsi="Times New Roman" w:cs="Times New Roman" w:eastAsiaTheme="minorEastAsia"/>
                <w:spacing w:val="-11"/>
                <w:kern w:val="21"/>
                <w:sz w:val="21"/>
                <w:szCs w:val="21"/>
              </w:rPr>
            </w:pPr>
          </w:p>
        </w:tc>
        <w:tc>
          <w:tcPr>
            <w:tcW w:w="3278" w:type="dxa"/>
            <w:vAlign w:val="center"/>
          </w:tcPr>
          <w:p w14:paraId="406AAED5">
            <w:pPr>
              <w:keepNext w:val="0"/>
              <w:keepLines w:val="0"/>
              <w:pageBreakBefore w:val="0"/>
              <w:widowControl/>
              <w:kinsoku/>
              <w:wordWrap/>
              <w:overflowPunct/>
              <w:topLinePunct w:val="0"/>
              <w:bidi w:val="0"/>
              <w:snapToGrid/>
              <w:spacing w:line="220" w:lineRule="exact"/>
              <w:jc w:val="center"/>
              <w:textAlignment w:val="center"/>
              <w:rPr>
                <w:rFonts w:hint="default" w:ascii="Times New Roman" w:hAnsi="Times New Roman" w:cs="Times New Roman" w:eastAsiaTheme="minorEastAsia"/>
                <w:spacing w:val="-11"/>
                <w:kern w:val="21"/>
                <w:sz w:val="21"/>
                <w:szCs w:val="21"/>
              </w:rPr>
            </w:pPr>
            <w:r>
              <w:rPr>
                <w:rFonts w:hint="default" w:ascii="Times New Roman" w:hAnsi="Times New Roman" w:cs="Times New Roman" w:eastAsiaTheme="minorEastAsia"/>
                <w:color w:val="000000"/>
                <w:spacing w:val="-11"/>
                <w:kern w:val="21"/>
                <w:sz w:val="21"/>
                <w:szCs w:val="21"/>
              </w:rPr>
              <w:t>原文村增减挂钩项目指标回购资金</w:t>
            </w:r>
          </w:p>
        </w:tc>
        <w:tc>
          <w:tcPr>
            <w:tcW w:w="923" w:type="dxa"/>
            <w:vAlign w:val="center"/>
          </w:tcPr>
          <w:p w14:paraId="4BCFCE13">
            <w:pPr>
              <w:pStyle w:val="29"/>
              <w:keepNext w:val="0"/>
              <w:keepLines w:val="0"/>
              <w:pageBreakBefore w:val="0"/>
              <w:kinsoku/>
              <w:wordWrap/>
              <w:overflowPunct/>
              <w:topLinePunct w:val="0"/>
              <w:bidi w:val="0"/>
              <w:snapToGrid/>
              <w:spacing w:line="220" w:lineRule="exact"/>
              <w:jc w:val="center"/>
              <w:rPr>
                <w:rFonts w:hint="default" w:ascii="Times New Roman" w:hAnsi="Times New Roman" w:cs="Times New Roman" w:eastAsiaTheme="minorEastAsia"/>
                <w:spacing w:val="-11"/>
                <w:kern w:val="21"/>
                <w:sz w:val="21"/>
                <w:szCs w:val="21"/>
              </w:rPr>
            </w:pPr>
            <w:r>
              <w:rPr>
                <w:rFonts w:hint="default" w:ascii="Times New Roman" w:hAnsi="Times New Roman" w:cs="Times New Roman" w:eastAsiaTheme="minorEastAsia"/>
                <w:spacing w:val="-11"/>
                <w:kern w:val="21"/>
                <w:sz w:val="21"/>
                <w:szCs w:val="21"/>
              </w:rPr>
              <w:t>200</w:t>
            </w:r>
          </w:p>
        </w:tc>
        <w:tc>
          <w:tcPr>
            <w:tcW w:w="635" w:type="dxa"/>
            <w:vAlign w:val="center"/>
          </w:tcPr>
          <w:p w14:paraId="61005431">
            <w:pPr>
              <w:pStyle w:val="29"/>
              <w:keepNext w:val="0"/>
              <w:keepLines w:val="0"/>
              <w:pageBreakBefore w:val="0"/>
              <w:kinsoku/>
              <w:wordWrap/>
              <w:overflowPunct/>
              <w:topLinePunct w:val="0"/>
              <w:bidi w:val="0"/>
              <w:snapToGrid/>
              <w:spacing w:line="220" w:lineRule="exact"/>
              <w:jc w:val="center"/>
              <w:rPr>
                <w:rFonts w:hint="default" w:ascii="Times New Roman" w:hAnsi="Times New Roman" w:cs="Times New Roman" w:eastAsiaTheme="minorEastAsia"/>
                <w:spacing w:val="-11"/>
                <w:kern w:val="21"/>
                <w:sz w:val="21"/>
                <w:szCs w:val="21"/>
              </w:rPr>
            </w:pPr>
          </w:p>
        </w:tc>
        <w:tc>
          <w:tcPr>
            <w:tcW w:w="727" w:type="dxa"/>
            <w:vAlign w:val="center"/>
          </w:tcPr>
          <w:p w14:paraId="3F58BEB5">
            <w:pPr>
              <w:pStyle w:val="29"/>
              <w:keepNext w:val="0"/>
              <w:keepLines w:val="0"/>
              <w:pageBreakBefore w:val="0"/>
              <w:kinsoku/>
              <w:wordWrap/>
              <w:overflowPunct/>
              <w:topLinePunct w:val="0"/>
              <w:bidi w:val="0"/>
              <w:snapToGrid/>
              <w:spacing w:line="220" w:lineRule="exact"/>
              <w:jc w:val="center"/>
              <w:rPr>
                <w:rFonts w:hint="default" w:ascii="Times New Roman" w:hAnsi="Times New Roman" w:cs="Times New Roman" w:eastAsiaTheme="minorEastAsia"/>
                <w:spacing w:val="-11"/>
                <w:kern w:val="21"/>
                <w:sz w:val="21"/>
                <w:szCs w:val="21"/>
              </w:rPr>
            </w:pPr>
          </w:p>
        </w:tc>
        <w:tc>
          <w:tcPr>
            <w:tcW w:w="635" w:type="dxa"/>
            <w:vAlign w:val="center"/>
          </w:tcPr>
          <w:p w14:paraId="6ACA5A3E">
            <w:pPr>
              <w:pStyle w:val="29"/>
              <w:keepNext w:val="0"/>
              <w:keepLines w:val="0"/>
              <w:pageBreakBefore w:val="0"/>
              <w:kinsoku/>
              <w:wordWrap/>
              <w:overflowPunct/>
              <w:topLinePunct w:val="0"/>
              <w:bidi w:val="0"/>
              <w:snapToGrid/>
              <w:spacing w:line="220" w:lineRule="exact"/>
              <w:jc w:val="center"/>
              <w:rPr>
                <w:rFonts w:hint="default" w:ascii="Times New Roman" w:hAnsi="Times New Roman" w:cs="Times New Roman" w:eastAsiaTheme="minorEastAsia"/>
                <w:spacing w:val="-11"/>
                <w:kern w:val="21"/>
                <w:sz w:val="21"/>
                <w:szCs w:val="21"/>
              </w:rPr>
            </w:pPr>
            <w:r>
              <w:rPr>
                <w:rFonts w:hint="default" w:ascii="Times New Roman" w:hAnsi="Times New Roman" w:cs="Times New Roman" w:eastAsiaTheme="minorEastAsia"/>
                <w:spacing w:val="-11"/>
                <w:kern w:val="21"/>
                <w:sz w:val="21"/>
                <w:szCs w:val="21"/>
              </w:rPr>
              <w:t>100</w:t>
            </w:r>
          </w:p>
        </w:tc>
        <w:tc>
          <w:tcPr>
            <w:tcW w:w="726" w:type="dxa"/>
            <w:vAlign w:val="center"/>
          </w:tcPr>
          <w:p w14:paraId="432262FC">
            <w:pPr>
              <w:pStyle w:val="29"/>
              <w:keepNext w:val="0"/>
              <w:keepLines w:val="0"/>
              <w:pageBreakBefore w:val="0"/>
              <w:kinsoku/>
              <w:wordWrap/>
              <w:overflowPunct/>
              <w:topLinePunct w:val="0"/>
              <w:bidi w:val="0"/>
              <w:snapToGrid/>
              <w:spacing w:line="220" w:lineRule="exact"/>
              <w:jc w:val="center"/>
              <w:rPr>
                <w:rFonts w:hint="default" w:ascii="Times New Roman" w:hAnsi="Times New Roman" w:cs="Times New Roman" w:eastAsiaTheme="minorEastAsia"/>
                <w:spacing w:val="-11"/>
                <w:kern w:val="21"/>
                <w:sz w:val="21"/>
                <w:szCs w:val="21"/>
              </w:rPr>
            </w:pPr>
            <w:r>
              <w:rPr>
                <w:rFonts w:hint="default" w:ascii="Times New Roman" w:hAnsi="Times New Roman" w:cs="Times New Roman" w:eastAsiaTheme="minorEastAsia"/>
                <w:spacing w:val="-11"/>
                <w:kern w:val="21"/>
                <w:sz w:val="21"/>
                <w:szCs w:val="21"/>
              </w:rPr>
              <w:t>50%</w:t>
            </w:r>
          </w:p>
        </w:tc>
        <w:tc>
          <w:tcPr>
            <w:tcW w:w="693" w:type="dxa"/>
            <w:vAlign w:val="center"/>
          </w:tcPr>
          <w:p w14:paraId="43677BCC">
            <w:pPr>
              <w:pStyle w:val="29"/>
              <w:keepNext w:val="0"/>
              <w:keepLines w:val="0"/>
              <w:pageBreakBefore w:val="0"/>
              <w:kinsoku/>
              <w:wordWrap/>
              <w:overflowPunct/>
              <w:topLinePunct w:val="0"/>
              <w:bidi w:val="0"/>
              <w:snapToGrid/>
              <w:spacing w:line="220" w:lineRule="exact"/>
              <w:jc w:val="center"/>
              <w:rPr>
                <w:rFonts w:hint="default" w:ascii="Times New Roman" w:hAnsi="Times New Roman" w:cs="Times New Roman" w:eastAsiaTheme="minorEastAsia"/>
                <w:spacing w:val="-11"/>
                <w:kern w:val="21"/>
                <w:sz w:val="21"/>
                <w:szCs w:val="21"/>
              </w:rPr>
            </w:pPr>
            <w:r>
              <w:rPr>
                <w:rFonts w:hint="default" w:ascii="Times New Roman" w:hAnsi="Times New Roman" w:cs="Times New Roman" w:eastAsiaTheme="minorEastAsia"/>
                <w:spacing w:val="-11"/>
                <w:kern w:val="21"/>
                <w:sz w:val="21"/>
                <w:szCs w:val="21"/>
              </w:rPr>
              <w:t>100</w:t>
            </w:r>
          </w:p>
        </w:tc>
        <w:tc>
          <w:tcPr>
            <w:tcW w:w="727" w:type="dxa"/>
            <w:vAlign w:val="center"/>
          </w:tcPr>
          <w:p w14:paraId="57702584">
            <w:pPr>
              <w:pStyle w:val="29"/>
              <w:keepNext w:val="0"/>
              <w:keepLines w:val="0"/>
              <w:pageBreakBefore w:val="0"/>
              <w:kinsoku/>
              <w:wordWrap/>
              <w:overflowPunct/>
              <w:topLinePunct w:val="0"/>
              <w:bidi w:val="0"/>
              <w:snapToGrid/>
              <w:spacing w:line="220" w:lineRule="exact"/>
              <w:jc w:val="center"/>
              <w:rPr>
                <w:rFonts w:hint="default" w:ascii="Times New Roman" w:hAnsi="Times New Roman" w:cs="Times New Roman" w:eastAsiaTheme="minorEastAsia"/>
                <w:spacing w:val="-11"/>
                <w:kern w:val="21"/>
                <w:sz w:val="21"/>
                <w:szCs w:val="21"/>
              </w:rPr>
            </w:pPr>
            <w:r>
              <w:rPr>
                <w:rFonts w:hint="default" w:ascii="Times New Roman" w:hAnsi="Times New Roman" w:cs="Times New Roman" w:eastAsiaTheme="minorEastAsia"/>
                <w:spacing w:val="-11"/>
                <w:kern w:val="21"/>
                <w:sz w:val="21"/>
                <w:szCs w:val="21"/>
              </w:rPr>
              <w:t>50%</w:t>
            </w:r>
          </w:p>
        </w:tc>
        <w:tc>
          <w:tcPr>
            <w:tcW w:w="1548" w:type="dxa"/>
            <w:vAlign w:val="center"/>
          </w:tcPr>
          <w:p w14:paraId="3886C485">
            <w:pPr>
              <w:pStyle w:val="29"/>
              <w:keepNext w:val="0"/>
              <w:keepLines w:val="0"/>
              <w:pageBreakBefore w:val="0"/>
              <w:kinsoku/>
              <w:wordWrap/>
              <w:overflowPunct/>
              <w:topLinePunct w:val="0"/>
              <w:bidi w:val="0"/>
              <w:snapToGrid/>
              <w:spacing w:line="220" w:lineRule="exact"/>
              <w:jc w:val="center"/>
              <w:rPr>
                <w:rFonts w:hint="default" w:ascii="Times New Roman" w:hAnsi="Times New Roman" w:cs="Times New Roman" w:eastAsiaTheme="minorEastAsia"/>
                <w:spacing w:val="-11"/>
                <w:kern w:val="21"/>
                <w:sz w:val="21"/>
                <w:szCs w:val="21"/>
              </w:rPr>
            </w:pPr>
          </w:p>
        </w:tc>
      </w:tr>
      <w:tr w14:paraId="4E5B5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735" w:type="dxa"/>
            <w:vMerge w:val="continue"/>
            <w:vAlign w:val="center"/>
          </w:tcPr>
          <w:p w14:paraId="4970653E">
            <w:pPr>
              <w:pStyle w:val="29"/>
              <w:keepNext w:val="0"/>
              <w:keepLines w:val="0"/>
              <w:pageBreakBefore w:val="0"/>
              <w:kinsoku/>
              <w:wordWrap/>
              <w:overflowPunct/>
              <w:topLinePunct w:val="0"/>
              <w:bidi w:val="0"/>
              <w:snapToGrid/>
              <w:spacing w:line="220" w:lineRule="exact"/>
              <w:jc w:val="center"/>
              <w:rPr>
                <w:rFonts w:hint="default" w:ascii="Times New Roman" w:hAnsi="Times New Roman" w:cs="Times New Roman" w:eastAsiaTheme="minorEastAsia"/>
                <w:spacing w:val="-11"/>
                <w:kern w:val="21"/>
                <w:sz w:val="21"/>
                <w:szCs w:val="21"/>
              </w:rPr>
            </w:pPr>
          </w:p>
        </w:tc>
        <w:tc>
          <w:tcPr>
            <w:tcW w:w="3278" w:type="dxa"/>
            <w:vAlign w:val="center"/>
          </w:tcPr>
          <w:p w14:paraId="5165AE7F">
            <w:pPr>
              <w:pStyle w:val="29"/>
              <w:keepNext w:val="0"/>
              <w:keepLines w:val="0"/>
              <w:pageBreakBefore w:val="0"/>
              <w:kinsoku/>
              <w:wordWrap/>
              <w:overflowPunct/>
              <w:topLinePunct w:val="0"/>
              <w:bidi w:val="0"/>
              <w:snapToGrid/>
              <w:spacing w:line="220" w:lineRule="exact"/>
              <w:jc w:val="center"/>
              <w:rPr>
                <w:rFonts w:hint="default" w:ascii="Times New Roman" w:hAnsi="Times New Roman" w:cs="Times New Roman" w:eastAsiaTheme="minorEastAsia"/>
                <w:spacing w:val="-11"/>
                <w:kern w:val="21"/>
                <w:sz w:val="21"/>
                <w:szCs w:val="21"/>
              </w:rPr>
            </w:pPr>
            <w:r>
              <w:rPr>
                <w:rFonts w:hint="default" w:ascii="Times New Roman" w:hAnsi="Times New Roman" w:cs="Times New Roman" w:eastAsiaTheme="minorEastAsia"/>
                <w:spacing w:val="-11"/>
                <w:kern w:val="21"/>
                <w:sz w:val="21"/>
                <w:szCs w:val="21"/>
              </w:rPr>
              <w:t>2021-2022年度卫片执法经费</w:t>
            </w:r>
          </w:p>
        </w:tc>
        <w:tc>
          <w:tcPr>
            <w:tcW w:w="923" w:type="dxa"/>
            <w:vAlign w:val="center"/>
          </w:tcPr>
          <w:p w14:paraId="3A49C73E">
            <w:pPr>
              <w:pStyle w:val="29"/>
              <w:keepNext w:val="0"/>
              <w:keepLines w:val="0"/>
              <w:pageBreakBefore w:val="0"/>
              <w:kinsoku/>
              <w:wordWrap/>
              <w:overflowPunct/>
              <w:topLinePunct w:val="0"/>
              <w:bidi w:val="0"/>
              <w:snapToGrid/>
              <w:spacing w:line="220" w:lineRule="exact"/>
              <w:jc w:val="center"/>
              <w:rPr>
                <w:rFonts w:hint="default" w:ascii="Times New Roman" w:hAnsi="Times New Roman" w:cs="Times New Roman" w:eastAsiaTheme="minorEastAsia"/>
                <w:spacing w:val="-11"/>
                <w:kern w:val="21"/>
                <w:sz w:val="21"/>
                <w:szCs w:val="21"/>
              </w:rPr>
            </w:pPr>
            <w:r>
              <w:rPr>
                <w:rFonts w:hint="default" w:ascii="Times New Roman" w:hAnsi="Times New Roman" w:cs="Times New Roman" w:eastAsiaTheme="minorEastAsia"/>
                <w:spacing w:val="-11"/>
                <w:kern w:val="21"/>
                <w:sz w:val="21"/>
                <w:szCs w:val="21"/>
              </w:rPr>
              <w:t>62.75</w:t>
            </w:r>
          </w:p>
        </w:tc>
        <w:tc>
          <w:tcPr>
            <w:tcW w:w="635" w:type="dxa"/>
            <w:vAlign w:val="center"/>
          </w:tcPr>
          <w:p w14:paraId="1C44BC92">
            <w:pPr>
              <w:pStyle w:val="29"/>
              <w:keepNext w:val="0"/>
              <w:keepLines w:val="0"/>
              <w:pageBreakBefore w:val="0"/>
              <w:kinsoku/>
              <w:wordWrap/>
              <w:overflowPunct/>
              <w:topLinePunct w:val="0"/>
              <w:bidi w:val="0"/>
              <w:snapToGrid/>
              <w:spacing w:line="220" w:lineRule="exact"/>
              <w:jc w:val="center"/>
              <w:rPr>
                <w:rFonts w:hint="default" w:ascii="Times New Roman" w:hAnsi="Times New Roman" w:cs="Times New Roman" w:eastAsiaTheme="minorEastAsia"/>
                <w:spacing w:val="-11"/>
                <w:kern w:val="21"/>
                <w:sz w:val="21"/>
                <w:szCs w:val="21"/>
              </w:rPr>
            </w:pPr>
          </w:p>
        </w:tc>
        <w:tc>
          <w:tcPr>
            <w:tcW w:w="727" w:type="dxa"/>
            <w:vAlign w:val="center"/>
          </w:tcPr>
          <w:p w14:paraId="716A9619">
            <w:pPr>
              <w:pStyle w:val="29"/>
              <w:keepNext w:val="0"/>
              <w:keepLines w:val="0"/>
              <w:pageBreakBefore w:val="0"/>
              <w:kinsoku/>
              <w:wordWrap/>
              <w:overflowPunct/>
              <w:topLinePunct w:val="0"/>
              <w:bidi w:val="0"/>
              <w:snapToGrid/>
              <w:spacing w:line="220" w:lineRule="exact"/>
              <w:jc w:val="center"/>
              <w:rPr>
                <w:rFonts w:hint="default" w:ascii="Times New Roman" w:hAnsi="Times New Roman" w:cs="Times New Roman" w:eastAsiaTheme="minorEastAsia"/>
                <w:spacing w:val="-11"/>
                <w:kern w:val="21"/>
                <w:sz w:val="21"/>
                <w:szCs w:val="21"/>
              </w:rPr>
            </w:pPr>
          </w:p>
        </w:tc>
        <w:tc>
          <w:tcPr>
            <w:tcW w:w="635" w:type="dxa"/>
            <w:vAlign w:val="center"/>
          </w:tcPr>
          <w:p w14:paraId="57AADF5B">
            <w:pPr>
              <w:pStyle w:val="29"/>
              <w:keepNext w:val="0"/>
              <w:keepLines w:val="0"/>
              <w:pageBreakBefore w:val="0"/>
              <w:kinsoku/>
              <w:wordWrap/>
              <w:overflowPunct/>
              <w:topLinePunct w:val="0"/>
              <w:bidi w:val="0"/>
              <w:snapToGrid/>
              <w:spacing w:line="220" w:lineRule="exact"/>
              <w:jc w:val="center"/>
              <w:rPr>
                <w:rFonts w:hint="default" w:ascii="Times New Roman" w:hAnsi="Times New Roman" w:cs="Times New Roman" w:eastAsiaTheme="minorEastAsia"/>
                <w:spacing w:val="-11"/>
                <w:kern w:val="21"/>
                <w:sz w:val="21"/>
                <w:szCs w:val="21"/>
              </w:rPr>
            </w:pPr>
          </w:p>
        </w:tc>
        <w:tc>
          <w:tcPr>
            <w:tcW w:w="726" w:type="dxa"/>
            <w:vAlign w:val="center"/>
          </w:tcPr>
          <w:p w14:paraId="0D7A72D0">
            <w:pPr>
              <w:pStyle w:val="29"/>
              <w:keepNext w:val="0"/>
              <w:keepLines w:val="0"/>
              <w:pageBreakBefore w:val="0"/>
              <w:kinsoku/>
              <w:wordWrap/>
              <w:overflowPunct/>
              <w:topLinePunct w:val="0"/>
              <w:bidi w:val="0"/>
              <w:snapToGrid/>
              <w:spacing w:line="220" w:lineRule="exact"/>
              <w:jc w:val="center"/>
              <w:rPr>
                <w:rFonts w:hint="default" w:ascii="Times New Roman" w:hAnsi="Times New Roman" w:cs="Times New Roman" w:eastAsiaTheme="minorEastAsia"/>
                <w:spacing w:val="-11"/>
                <w:kern w:val="21"/>
                <w:sz w:val="21"/>
                <w:szCs w:val="21"/>
              </w:rPr>
            </w:pPr>
          </w:p>
        </w:tc>
        <w:tc>
          <w:tcPr>
            <w:tcW w:w="693" w:type="dxa"/>
            <w:vAlign w:val="center"/>
          </w:tcPr>
          <w:p w14:paraId="76623904">
            <w:pPr>
              <w:pStyle w:val="29"/>
              <w:keepNext w:val="0"/>
              <w:keepLines w:val="0"/>
              <w:pageBreakBefore w:val="0"/>
              <w:kinsoku/>
              <w:wordWrap/>
              <w:overflowPunct/>
              <w:topLinePunct w:val="0"/>
              <w:bidi w:val="0"/>
              <w:snapToGrid/>
              <w:spacing w:line="220" w:lineRule="exact"/>
              <w:jc w:val="center"/>
              <w:rPr>
                <w:rFonts w:hint="default" w:ascii="Times New Roman" w:hAnsi="Times New Roman" w:cs="Times New Roman" w:eastAsiaTheme="minorEastAsia"/>
                <w:spacing w:val="-11"/>
                <w:kern w:val="21"/>
                <w:sz w:val="21"/>
                <w:szCs w:val="21"/>
              </w:rPr>
            </w:pPr>
          </w:p>
        </w:tc>
        <w:tc>
          <w:tcPr>
            <w:tcW w:w="727" w:type="dxa"/>
            <w:vAlign w:val="center"/>
          </w:tcPr>
          <w:p w14:paraId="36D6B6C7">
            <w:pPr>
              <w:pStyle w:val="29"/>
              <w:keepNext w:val="0"/>
              <w:keepLines w:val="0"/>
              <w:pageBreakBefore w:val="0"/>
              <w:kinsoku/>
              <w:wordWrap/>
              <w:overflowPunct/>
              <w:topLinePunct w:val="0"/>
              <w:bidi w:val="0"/>
              <w:snapToGrid/>
              <w:spacing w:line="220" w:lineRule="exact"/>
              <w:jc w:val="center"/>
              <w:rPr>
                <w:rFonts w:hint="default" w:ascii="Times New Roman" w:hAnsi="Times New Roman" w:cs="Times New Roman" w:eastAsiaTheme="minorEastAsia"/>
                <w:spacing w:val="-11"/>
                <w:kern w:val="21"/>
                <w:sz w:val="21"/>
                <w:szCs w:val="21"/>
              </w:rPr>
            </w:pPr>
          </w:p>
        </w:tc>
        <w:tc>
          <w:tcPr>
            <w:tcW w:w="1548" w:type="dxa"/>
            <w:vAlign w:val="center"/>
          </w:tcPr>
          <w:p w14:paraId="51C6A4B0">
            <w:pPr>
              <w:pStyle w:val="29"/>
              <w:keepNext w:val="0"/>
              <w:keepLines w:val="0"/>
              <w:pageBreakBefore w:val="0"/>
              <w:kinsoku/>
              <w:wordWrap/>
              <w:overflowPunct/>
              <w:topLinePunct w:val="0"/>
              <w:bidi w:val="0"/>
              <w:snapToGrid/>
              <w:spacing w:line="220" w:lineRule="exact"/>
              <w:jc w:val="center"/>
              <w:rPr>
                <w:rFonts w:hint="default" w:ascii="Times New Roman" w:hAnsi="Times New Roman" w:cs="Times New Roman" w:eastAsiaTheme="minorEastAsia"/>
                <w:spacing w:val="-11"/>
                <w:kern w:val="21"/>
                <w:sz w:val="21"/>
                <w:szCs w:val="21"/>
              </w:rPr>
            </w:pPr>
            <w:r>
              <w:rPr>
                <w:rFonts w:hint="default" w:ascii="Times New Roman" w:hAnsi="Times New Roman" w:cs="Times New Roman" w:eastAsiaTheme="minorEastAsia"/>
                <w:spacing w:val="-11"/>
                <w:kern w:val="21"/>
                <w:sz w:val="21"/>
                <w:szCs w:val="21"/>
              </w:rPr>
              <w:t>年末12月31日追加预算</w:t>
            </w:r>
          </w:p>
        </w:tc>
      </w:tr>
      <w:tr w14:paraId="20A13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735" w:type="dxa"/>
            <w:vMerge w:val="continue"/>
            <w:vAlign w:val="center"/>
          </w:tcPr>
          <w:p w14:paraId="57324580">
            <w:pPr>
              <w:pStyle w:val="29"/>
              <w:keepNext w:val="0"/>
              <w:keepLines w:val="0"/>
              <w:pageBreakBefore w:val="0"/>
              <w:kinsoku/>
              <w:wordWrap/>
              <w:overflowPunct/>
              <w:topLinePunct w:val="0"/>
              <w:bidi w:val="0"/>
              <w:snapToGrid/>
              <w:spacing w:line="220" w:lineRule="exact"/>
              <w:jc w:val="center"/>
              <w:rPr>
                <w:rFonts w:hint="default" w:ascii="Times New Roman" w:hAnsi="Times New Roman" w:cs="Times New Roman" w:eastAsiaTheme="minorEastAsia"/>
                <w:spacing w:val="-11"/>
                <w:kern w:val="21"/>
                <w:sz w:val="21"/>
                <w:szCs w:val="21"/>
              </w:rPr>
            </w:pPr>
          </w:p>
        </w:tc>
        <w:tc>
          <w:tcPr>
            <w:tcW w:w="3278" w:type="dxa"/>
            <w:vAlign w:val="center"/>
          </w:tcPr>
          <w:p w14:paraId="1076A846">
            <w:pPr>
              <w:pStyle w:val="29"/>
              <w:keepNext w:val="0"/>
              <w:keepLines w:val="0"/>
              <w:pageBreakBefore w:val="0"/>
              <w:kinsoku/>
              <w:wordWrap/>
              <w:overflowPunct/>
              <w:topLinePunct w:val="0"/>
              <w:bidi w:val="0"/>
              <w:snapToGrid/>
              <w:spacing w:line="220" w:lineRule="exact"/>
              <w:ind w:firstLine="336"/>
              <w:jc w:val="center"/>
              <w:rPr>
                <w:rFonts w:hint="default" w:ascii="Times New Roman" w:hAnsi="Times New Roman" w:cs="Times New Roman" w:eastAsiaTheme="minorEastAsia"/>
                <w:spacing w:val="-11"/>
                <w:kern w:val="21"/>
                <w:sz w:val="21"/>
                <w:szCs w:val="21"/>
              </w:rPr>
            </w:pPr>
            <w:r>
              <w:rPr>
                <w:rFonts w:hint="default" w:ascii="Times New Roman" w:hAnsi="Times New Roman" w:cs="Times New Roman" w:eastAsiaTheme="minorEastAsia"/>
                <w:spacing w:val="-11"/>
                <w:kern w:val="21"/>
                <w:sz w:val="21"/>
                <w:szCs w:val="21"/>
              </w:rPr>
              <w:t>全区地形图测绘经费</w:t>
            </w:r>
          </w:p>
        </w:tc>
        <w:tc>
          <w:tcPr>
            <w:tcW w:w="923" w:type="dxa"/>
            <w:vAlign w:val="center"/>
          </w:tcPr>
          <w:p w14:paraId="18F2C3C3">
            <w:pPr>
              <w:pStyle w:val="29"/>
              <w:keepNext w:val="0"/>
              <w:keepLines w:val="0"/>
              <w:pageBreakBefore w:val="0"/>
              <w:kinsoku/>
              <w:wordWrap/>
              <w:overflowPunct/>
              <w:topLinePunct w:val="0"/>
              <w:bidi w:val="0"/>
              <w:snapToGrid/>
              <w:spacing w:line="220" w:lineRule="exact"/>
              <w:jc w:val="center"/>
              <w:rPr>
                <w:rFonts w:hint="default" w:ascii="Times New Roman" w:hAnsi="Times New Roman" w:cs="Times New Roman" w:eastAsiaTheme="minorEastAsia"/>
                <w:spacing w:val="-11"/>
                <w:kern w:val="21"/>
                <w:sz w:val="21"/>
                <w:szCs w:val="21"/>
              </w:rPr>
            </w:pPr>
            <w:r>
              <w:rPr>
                <w:rFonts w:hint="default" w:ascii="Times New Roman" w:hAnsi="Times New Roman" w:cs="Times New Roman" w:eastAsiaTheme="minorEastAsia"/>
                <w:spacing w:val="-11"/>
                <w:kern w:val="21"/>
                <w:sz w:val="21"/>
                <w:szCs w:val="21"/>
              </w:rPr>
              <w:t>216.16</w:t>
            </w:r>
          </w:p>
        </w:tc>
        <w:tc>
          <w:tcPr>
            <w:tcW w:w="635" w:type="dxa"/>
            <w:vAlign w:val="center"/>
          </w:tcPr>
          <w:p w14:paraId="469747AC">
            <w:pPr>
              <w:pStyle w:val="29"/>
              <w:keepNext w:val="0"/>
              <w:keepLines w:val="0"/>
              <w:pageBreakBefore w:val="0"/>
              <w:kinsoku/>
              <w:wordWrap/>
              <w:overflowPunct/>
              <w:topLinePunct w:val="0"/>
              <w:bidi w:val="0"/>
              <w:snapToGrid/>
              <w:spacing w:line="220" w:lineRule="exact"/>
              <w:jc w:val="center"/>
              <w:rPr>
                <w:rFonts w:hint="default" w:ascii="Times New Roman" w:hAnsi="Times New Roman" w:cs="Times New Roman" w:eastAsiaTheme="minorEastAsia"/>
                <w:spacing w:val="-11"/>
                <w:kern w:val="21"/>
                <w:sz w:val="21"/>
                <w:szCs w:val="21"/>
              </w:rPr>
            </w:pPr>
          </w:p>
        </w:tc>
        <w:tc>
          <w:tcPr>
            <w:tcW w:w="727" w:type="dxa"/>
            <w:vAlign w:val="center"/>
          </w:tcPr>
          <w:p w14:paraId="0D305652">
            <w:pPr>
              <w:pStyle w:val="29"/>
              <w:keepNext w:val="0"/>
              <w:keepLines w:val="0"/>
              <w:pageBreakBefore w:val="0"/>
              <w:kinsoku/>
              <w:wordWrap/>
              <w:overflowPunct/>
              <w:topLinePunct w:val="0"/>
              <w:bidi w:val="0"/>
              <w:snapToGrid/>
              <w:spacing w:line="220" w:lineRule="exact"/>
              <w:jc w:val="center"/>
              <w:rPr>
                <w:rFonts w:hint="default" w:ascii="Times New Roman" w:hAnsi="Times New Roman" w:cs="Times New Roman" w:eastAsiaTheme="minorEastAsia"/>
                <w:spacing w:val="-11"/>
                <w:kern w:val="21"/>
                <w:sz w:val="21"/>
                <w:szCs w:val="21"/>
              </w:rPr>
            </w:pPr>
          </w:p>
        </w:tc>
        <w:tc>
          <w:tcPr>
            <w:tcW w:w="635" w:type="dxa"/>
            <w:vAlign w:val="center"/>
          </w:tcPr>
          <w:p w14:paraId="1D168200">
            <w:pPr>
              <w:pStyle w:val="29"/>
              <w:keepNext w:val="0"/>
              <w:keepLines w:val="0"/>
              <w:pageBreakBefore w:val="0"/>
              <w:kinsoku/>
              <w:wordWrap/>
              <w:overflowPunct/>
              <w:topLinePunct w:val="0"/>
              <w:bidi w:val="0"/>
              <w:snapToGrid/>
              <w:spacing w:line="220" w:lineRule="exact"/>
              <w:jc w:val="center"/>
              <w:rPr>
                <w:rFonts w:hint="default" w:ascii="Times New Roman" w:hAnsi="Times New Roman" w:cs="Times New Roman" w:eastAsiaTheme="minorEastAsia"/>
                <w:spacing w:val="-11"/>
                <w:kern w:val="21"/>
                <w:sz w:val="21"/>
                <w:szCs w:val="21"/>
              </w:rPr>
            </w:pPr>
          </w:p>
        </w:tc>
        <w:tc>
          <w:tcPr>
            <w:tcW w:w="726" w:type="dxa"/>
            <w:vAlign w:val="center"/>
          </w:tcPr>
          <w:p w14:paraId="164845C3">
            <w:pPr>
              <w:pStyle w:val="29"/>
              <w:keepNext w:val="0"/>
              <w:keepLines w:val="0"/>
              <w:pageBreakBefore w:val="0"/>
              <w:kinsoku/>
              <w:wordWrap/>
              <w:overflowPunct/>
              <w:topLinePunct w:val="0"/>
              <w:bidi w:val="0"/>
              <w:snapToGrid/>
              <w:spacing w:line="220" w:lineRule="exact"/>
              <w:jc w:val="center"/>
              <w:rPr>
                <w:rFonts w:hint="default" w:ascii="Times New Roman" w:hAnsi="Times New Roman" w:cs="Times New Roman" w:eastAsiaTheme="minorEastAsia"/>
                <w:spacing w:val="-11"/>
                <w:kern w:val="21"/>
                <w:sz w:val="21"/>
                <w:szCs w:val="21"/>
              </w:rPr>
            </w:pPr>
          </w:p>
        </w:tc>
        <w:tc>
          <w:tcPr>
            <w:tcW w:w="693" w:type="dxa"/>
            <w:vAlign w:val="center"/>
          </w:tcPr>
          <w:p w14:paraId="2DC89774">
            <w:pPr>
              <w:pStyle w:val="29"/>
              <w:keepNext w:val="0"/>
              <w:keepLines w:val="0"/>
              <w:pageBreakBefore w:val="0"/>
              <w:kinsoku/>
              <w:wordWrap/>
              <w:overflowPunct/>
              <w:topLinePunct w:val="0"/>
              <w:bidi w:val="0"/>
              <w:snapToGrid/>
              <w:spacing w:line="220" w:lineRule="exact"/>
              <w:jc w:val="center"/>
              <w:rPr>
                <w:rFonts w:hint="default" w:ascii="Times New Roman" w:hAnsi="Times New Roman" w:cs="Times New Roman" w:eastAsiaTheme="minorEastAsia"/>
                <w:spacing w:val="-11"/>
                <w:kern w:val="21"/>
                <w:sz w:val="21"/>
                <w:szCs w:val="21"/>
              </w:rPr>
            </w:pPr>
          </w:p>
        </w:tc>
        <w:tc>
          <w:tcPr>
            <w:tcW w:w="727" w:type="dxa"/>
            <w:vAlign w:val="center"/>
          </w:tcPr>
          <w:p w14:paraId="449427EF">
            <w:pPr>
              <w:pStyle w:val="29"/>
              <w:keepNext w:val="0"/>
              <w:keepLines w:val="0"/>
              <w:pageBreakBefore w:val="0"/>
              <w:kinsoku/>
              <w:wordWrap/>
              <w:overflowPunct/>
              <w:topLinePunct w:val="0"/>
              <w:bidi w:val="0"/>
              <w:snapToGrid/>
              <w:spacing w:line="220" w:lineRule="exact"/>
              <w:jc w:val="center"/>
              <w:rPr>
                <w:rFonts w:hint="default" w:ascii="Times New Roman" w:hAnsi="Times New Roman" w:cs="Times New Roman" w:eastAsiaTheme="minorEastAsia"/>
                <w:spacing w:val="-11"/>
                <w:kern w:val="21"/>
                <w:sz w:val="21"/>
                <w:szCs w:val="21"/>
              </w:rPr>
            </w:pPr>
          </w:p>
        </w:tc>
        <w:tc>
          <w:tcPr>
            <w:tcW w:w="1548" w:type="dxa"/>
            <w:vAlign w:val="center"/>
          </w:tcPr>
          <w:p w14:paraId="22B2A370">
            <w:pPr>
              <w:pStyle w:val="29"/>
              <w:keepNext w:val="0"/>
              <w:keepLines w:val="0"/>
              <w:pageBreakBefore w:val="0"/>
              <w:kinsoku/>
              <w:wordWrap/>
              <w:overflowPunct/>
              <w:topLinePunct w:val="0"/>
              <w:bidi w:val="0"/>
              <w:snapToGrid/>
              <w:spacing w:line="220" w:lineRule="exact"/>
              <w:jc w:val="center"/>
              <w:rPr>
                <w:rFonts w:hint="default" w:ascii="Times New Roman" w:hAnsi="Times New Roman" w:cs="Times New Roman" w:eastAsiaTheme="minorEastAsia"/>
                <w:spacing w:val="-11"/>
                <w:kern w:val="21"/>
                <w:sz w:val="21"/>
                <w:szCs w:val="21"/>
              </w:rPr>
            </w:pPr>
            <w:r>
              <w:rPr>
                <w:rFonts w:hint="default" w:ascii="Times New Roman" w:hAnsi="Times New Roman" w:cs="Times New Roman" w:eastAsiaTheme="minorEastAsia"/>
                <w:spacing w:val="-11"/>
                <w:kern w:val="21"/>
                <w:sz w:val="21"/>
                <w:szCs w:val="21"/>
              </w:rPr>
              <w:t>年末12月31日追加预算</w:t>
            </w:r>
          </w:p>
        </w:tc>
      </w:tr>
      <w:tr w14:paraId="60A12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735" w:type="dxa"/>
            <w:vMerge w:val="continue"/>
            <w:vAlign w:val="center"/>
          </w:tcPr>
          <w:p w14:paraId="3867CDE0">
            <w:pPr>
              <w:pStyle w:val="29"/>
              <w:keepNext w:val="0"/>
              <w:keepLines w:val="0"/>
              <w:pageBreakBefore w:val="0"/>
              <w:kinsoku/>
              <w:wordWrap/>
              <w:overflowPunct/>
              <w:topLinePunct w:val="0"/>
              <w:bidi w:val="0"/>
              <w:snapToGrid/>
              <w:spacing w:line="220" w:lineRule="exact"/>
              <w:jc w:val="center"/>
              <w:rPr>
                <w:rFonts w:hint="default" w:ascii="Times New Roman" w:hAnsi="Times New Roman" w:cs="Times New Roman" w:eastAsiaTheme="minorEastAsia"/>
                <w:spacing w:val="-11"/>
                <w:kern w:val="21"/>
                <w:sz w:val="21"/>
                <w:szCs w:val="21"/>
              </w:rPr>
            </w:pPr>
          </w:p>
        </w:tc>
        <w:tc>
          <w:tcPr>
            <w:tcW w:w="3278" w:type="dxa"/>
            <w:vAlign w:val="center"/>
          </w:tcPr>
          <w:p w14:paraId="6922E720">
            <w:pPr>
              <w:pStyle w:val="29"/>
              <w:keepNext w:val="0"/>
              <w:keepLines w:val="0"/>
              <w:pageBreakBefore w:val="0"/>
              <w:kinsoku/>
              <w:wordWrap/>
              <w:overflowPunct/>
              <w:topLinePunct w:val="0"/>
              <w:bidi w:val="0"/>
              <w:snapToGrid/>
              <w:spacing w:line="220" w:lineRule="exact"/>
              <w:ind w:firstLine="336"/>
              <w:jc w:val="center"/>
              <w:rPr>
                <w:rFonts w:hint="default" w:ascii="Times New Roman" w:hAnsi="Times New Roman" w:cs="Times New Roman" w:eastAsiaTheme="minorEastAsia"/>
                <w:spacing w:val="-11"/>
                <w:kern w:val="21"/>
                <w:sz w:val="21"/>
                <w:szCs w:val="21"/>
              </w:rPr>
            </w:pPr>
            <w:r>
              <w:rPr>
                <w:rFonts w:hint="default" w:ascii="Times New Roman" w:hAnsi="Times New Roman" w:cs="Times New Roman" w:eastAsiaTheme="minorEastAsia"/>
                <w:spacing w:val="-11"/>
                <w:kern w:val="21"/>
                <w:sz w:val="21"/>
                <w:szCs w:val="21"/>
              </w:rPr>
              <w:t>2021、2022年度自然资源统一确权登记工作</w:t>
            </w:r>
          </w:p>
        </w:tc>
        <w:tc>
          <w:tcPr>
            <w:tcW w:w="923" w:type="dxa"/>
            <w:vAlign w:val="center"/>
          </w:tcPr>
          <w:p w14:paraId="785DCD05">
            <w:pPr>
              <w:pStyle w:val="29"/>
              <w:keepNext w:val="0"/>
              <w:keepLines w:val="0"/>
              <w:pageBreakBefore w:val="0"/>
              <w:kinsoku/>
              <w:wordWrap/>
              <w:overflowPunct/>
              <w:topLinePunct w:val="0"/>
              <w:bidi w:val="0"/>
              <w:snapToGrid/>
              <w:spacing w:line="220" w:lineRule="exact"/>
              <w:jc w:val="center"/>
              <w:rPr>
                <w:rFonts w:hint="default" w:ascii="Times New Roman" w:hAnsi="Times New Roman" w:cs="Times New Roman" w:eastAsiaTheme="minorEastAsia"/>
                <w:spacing w:val="-11"/>
                <w:kern w:val="21"/>
                <w:sz w:val="21"/>
                <w:szCs w:val="21"/>
              </w:rPr>
            </w:pPr>
            <w:r>
              <w:rPr>
                <w:rFonts w:hint="default" w:ascii="Times New Roman" w:hAnsi="Times New Roman" w:cs="Times New Roman" w:eastAsiaTheme="minorEastAsia"/>
                <w:spacing w:val="-11"/>
                <w:kern w:val="21"/>
                <w:sz w:val="21"/>
                <w:szCs w:val="21"/>
              </w:rPr>
              <w:t>31.33</w:t>
            </w:r>
          </w:p>
        </w:tc>
        <w:tc>
          <w:tcPr>
            <w:tcW w:w="635" w:type="dxa"/>
            <w:vAlign w:val="center"/>
          </w:tcPr>
          <w:p w14:paraId="1C61639C">
            <w:pPr>
              <w:pStyle w:val="29"/>
              <w:keepNext w:val="0"/>
              <w:keepLines w:val="0"/>
              <w:pageBreakBefore w:val="0"/>
              <w:kinsoku/>
              <w:wordWrap/>
              <w:overflowPunct/>
              <w:topLinePunct w:val="0"/>
              <w:bidi w:val="0"/>
              <w:snapToGrid/>
              <w:spacing w:line="220" w:lineRule="exact"/>
              <w:jc w:val="center"/>
              <w:rPr>
                <w:rFonts w:hint="default" w:ascii="Times New Roman" w:hAnsi="Times New Roman" w:cs="Times New Roman" w:eastAsiaTheme="minorEastAsia"/>
                <w:spacing w:val="-11"/>
                <w:kern w:val="21"/>
                <w:sz w:val="21"/>
                <w:szCs w:val="21"/>
              </w:rPr>
            </w:pPr>
          </w:p>
        </w:tc>
        <w:tc>
          <w:tcPr>
            <w:tcW w:w="727" w:type="dxa"/>
            <w:vAlign w:val="center"/>
          </w:tcPr>
          <w:p w14:paraId="3E4C8011">
            <w:pPr>
              <w:pStyle w:val="29"/>
              <w:keepNext w:val="0"/>
              <w:keepLines w:val="0"/>
              <w:pageBreakBefore w:val="0"/>
              <w:kinsoku/>
              <w:wordWrap/>
              <w:overflowPunct/>
              <w:topLinePunct w:val="0"/>
              <w:bidi w:val="0"/>
              <w:snapToGrid/>
              <w:spacing w:line="220" w:lineRule="exact"/>
              <w:jc w:val="center"/>
              <w:rPr>
                <w:rFonts w:hint="default" w:ascii="Times New Roman" w:hAnsi="Times New Roman" w:cs="Times New Roman" w:eastAsiaTheme="minorEastAsia"/>
                <w:spacing w:val="-11"/>
                <w:kern w:val="21"/>
                <w:sz w:val="21"/>
                <w:szCs w:val="21"/>
              </w:rPr>
            </w:pPr>
          </w:p>
        </w:tc>
        <w:tc>
          <w:tcPr>
            <w:tcW w:w="635" w:type="dxa"/>
            <w:vAlign w:val="center"/>
          </w:tcPr>
          <w:p w14:paraId="2883289A">
            <w:pPr>
              <w:pStyle w:val="29"/>
              <w:keepNext w:val="0"/>
              <w:keepLines w:val="0"/>
              <w:pageBreakBefore w:val="0"/>
              <w:kinsoku/>
              <w:wordWrap/>
              <w:overflowPunct/>
              <w:topLinePunct w:val="0"/>
              <w:bidi w:val="0"/>
              <w:snapToGrid/>
              <w:spacing w:line="220" w:lineRule="exact"/>
              <w:jc w:val="center"/>
              <w:rPr>
                <w:rFonts w:hint="default" w:ascii="Times New Roman" w:hAnsi="Times New Roman" w:cs="Times New Roman" w:eastAsiaTheme="minorEastAsia"/>
                <w:spacing w:val="-11"/>
                <w:kern w:val="21"/>
                <w:sz w:val="21"/>
                <w:szCs w:val="21"/>
              </w:rPr>
            </w:pPr>
          </w:p>
        </w:tc>
        <w:tc>
          <w:tcPr>
            <w:tcW w:w="726" w:type="dxa"/>
            <w:vAlign w:val="center"/>
          </w:tcPr>
          <w:p w14:paraId="25EFF48D">
            <w:pPr>
              <w:pStyle w:val="29"/>
              <w:keepNext w:val="0"/>
              <w:keepLines w:val="0"/>
              <w:pageBreakBefore w:val="0"/>
              <w:kinsoku/>
              <w:wordWrap/>
              <w:overflowPunct/>
              <w:topLinePunct w:val="0"/>
              <w:bidi w:val="0"/>
              <w:snapToGrid/>
              <w:spacing w:line="220" w:lineRule="exact"/>
              <w:jc w:val="center"/>
              <w:rPr>
                <w:rFonts w:hint="default" w:ascii="Times New Roman" w:hAnsi="Times New Roman" w:cs="Times New Roman" w:eastAsiaTheme="minorEastAsia"/>
                <w:spacing w:val="-11"/>
                <w:kern w:val="21"/>
                <w:sz w:val="21"/>
                <w:szCs w:val="21"/>
              </w:rPr>
            </w:pPr>
          </w:p>
        </w:tc>
        <w:tc>
          <w:tcPr>
            <w:tcW w:w="693" w:type="dxa"/>
            <w:vAlign w:val="center"/>
          </w:tcPr>
          <w:p w14:paraId="5C4A3A3A">
            <w:pPr>
              <w:pStyle w:val="29"/>
              <w:keepNext w:val="0"/>
              <w:keepLines w:val="0"/>
              <w:pageBreakBefore w:val="0"/>
              <w:kinsoku/>
              <w:wordWrap/>
              <w:overflowPunct/>
              <w:topLinePunct w:val="0"/>
              <w:bidi w:val="0"/>
              <w:snapToGrid/>
              <w:spacing w:line="220" w:lineRule="exact"/>
              <w:jc w:val="center"/>
              <w:rPr>
                <w:rFonts w:hint="default" w:ascii="Times New Roman" w:hAnsi="Times New Roman" w:cs="Times New Roman" w:eastAsiaTheme="minorEastAsia"/>
                <w:spacing w:val="-11"/>
                <w:kern w:val="21"/>
                <w:sz w:val="21"/>
                <w:szCs w:val="21"/>
              </w:rPr>
            </w:pPr>
          </w:p>
        </w:tc>
        <w:tc>
          <w:tcPr>
            <w:tcW w:w="727" w:type="dxa"/>
            <w:vAlign w:val="center"/>
          </w:tcPr>
          <w:p w14:paraId="1C4115CA">
            <w:pPr>
              <w:pStyle w:val="29"/>
              <w:keepNext w:val="0"/>
              <w:keepLines w:val="0"/>
              <w:pageBreakBefore w:val="0"/>
              <w:kinsoku/>
              <w:wordWrap/>
              <w:overflowPunct/>
              <w:topLinePunct w:val="0"/>
              <w:bidi w:val="0"/>
              <w:snapToGrid/>
              <w:spacing w:line="220" w:lineRule="exact"/>
              <w:jc w:val="center"/>
              <w:rPr>
                <w:rFonts w:hint="default" w:ascii="Times New Roman" w:hAnsi="Times New Roman" w:cs="Times New Roman" w:eastAsiaTheme="minorEastAsia"/>
                <w:spacing w:val="-11"/>
                <w:kern w:val="21"/>
                <w:sz w:val="21"/>
                <w:szCs w:val="21"/>
              </w:rPr>
            </w:pPr>
          </w:p>
        </w:tc>
        <w:tc>
          <w:tcPr>
            <w:tcW w:w="1548" w:type="dxa"/>
            <w:vAlign w:val="center"/>
          </w:tcPr>
          <w:p w14:paraId="37FD55CE">
            <w:pPr>
              <w:pStyle w:val="29"/>
              <w:keepNext w:val="0"/>
              <w:keepLines w:val="0"/>
              <w:pageBreakBefore w:val="0"/>
              <w:kinsoku/>
              <w:wordWrap/>
              <w:overflowPunct/>
              <w:topLinePunct w:val="0"/>
              <w:bidi w:val="0"/>
              <w:snapToGrid/>
              <w:spacing w:line="220" w:lineRule="exact"/>
              <w:jc w:val="center"/>
              <w:rPr>
                <w:rFonts w:hint="default" w:ascii="Times New Roman" w:hAnsi="Times New Roman" w:cs="Times New Roman" w:eastAsiaTheme="minorEastAsia"/>
                <w:spacing w:val="-11"/>
                <w:kern w:val="21"/>
                <w:sz w:val="21"/>
                <w:szCs w:val="21"/>
              </w:rPr>
            </w:pPr>
            <w:r>
              <w:rPr>
                <w:rFonts w:hint="default" w:ascii="Times New Roman" w:hAnsi="Times New Roman" w:cs="Times New Roman" w:eastAsiaTheme="minorEastAsia"/>
                <w:spacing w:val="-11"/>
                <w:kern w:val="21"/>
                <w:sz w:val="21"/>
                <w:szCs w:val="21"/>
              </w:rPr>
              <w:t>年末12月31日追加预算</w:t>
            </w:r>
          </w:p>
        </w:tc>
      </w:tr>
      <w:tr w14:paraId="69BFE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735" w:type="dxa"/>
            <w:vMerge w:val="restart"/>
            <w:vAlign w:val="center"/>
          </w:tcPr>
          <w:p w14:paraId="278C9BB4">
            <w:pPr>
              <w:pStyle w:val="29"/>
              <w:keepNext w:val="0"/>
              <w:keepLines w:val="0"/>
              <w:pageBreakBefore w:val="0"/>
              <w:kinsoku/>
              <w:wordWrap/>
              <w:overflowPunct/>
              <w:topLinePunct w:val="0"/>
              <w:bidi w:val="0"/>
              <w:snapToGrid/>
              <w:spacing w:line="220" w:lineRule="exact"/>
              <w:jc w:val="center"/>
              <w:rPr>
                <w:rFonts w:hint="default" w:ascii="Times New Roman" w:hAnsi="Times New Roman" w:cs="Times New Roman" w:eastAsiaTheme="minorEastAsia"/>
                <w:spacing w:val="-11"/>
                <w:kern w:val="21"/>
                <w:sz w:val="21"/>
                <w:szCs w:val="21"/>
              </w:rPr>
            </w:pPr>
            <w:r>
              <w:rPr>
                <w:rFonts w:hint="default" w:ascii="Times New Roman" w:hAnsi="Times New Roman" w:cs="Times New Roman" w:eastAsiaTheme="minorEastAsia"/>
                <w:spacing w:val="-11"/>
                <w:kern w:val="21"/>
                <w:sz w:val="21"/>
                <w:szCs w:val="21"/>
              </w:rPr>
              <w:t>项目支出</w:t>
            </w:r>
          </w:p>
        </w:tc>
        <w:tc>
          <w:tcPr>
            <w:tcW w:w="3278" w:type="dxa"/>
            <w:vAlign w:val="center"/>
          </w:tcPr>
          <w:p w14:paraId="05993F53">
            <w:pPr>
              <w:keepNext w:val="0"/>
              <w:keepLines w:val="0"/>
              <w:pageBreakBefore w:val="0"/>
              <w:widowControl/>
              <w:kinsoku/>
              <w:wordWrap/>
              <w:overflowPunct/>
              <w:topLinePunct w:val="0"/>
              <w:bidi w:val="0"/>
              <w:snapToGrid/>
              <w:spacing w:line="220" w:lineRule="exact"/>
              <w:ind w:firstLine="336"/>
              <w:jc w:val="center"/>
              <w:textAlignment w:val="center"/>
              <w:rPr>
                <w:rFonts w:hint="default" w:ascii="Times New Roman" w:hAnsi="Times New Roman" w:cs="Times New Roman" w:eastAsiaTheme="minorEastAsia"/>
                <w:spacing w:val="-11"/>
                <w:kern w:val="21"/>
                <w:sz w:val="21"/>
                <w:szCs w:val="21"/>
              </w:rPr>
            </w:pPr>
            <w:r>
              <w:rPr>
                <w:rFonts w:hint="default" w:ascii="Times New Roman" w:hAnsi="Times New Roman" w:cs="Times New Roman" w:eastAsiaTheme="minorEastAsia"/>
                <w:color w:val="000000"/>
                <w:spacing w:val="-11"/>
                <w:kern w:val="21"/>
                <w:sz w:val="21"/>
                <w:szCs w:val="21"/>
              </w:rPr>
              <w:t>昭化区农村房地一体和集体建设用地确权登记工作经费</w:t>
            </w:r>
          </w:p>
        </w:tc>
        <w:tc>
          <w:tcPr>
            <w:tcW w:w="923" w:type="dxa"/>
            <w:vAlign w:val="center"/>
          </w:tcPr>
          <w:p w14:paraId="6C1AC350">
            <w:pPr>
              <w:pStyle w:val="29"/>
              <w:keepNext w:val="0"/>
              <w:keepLines w:val="0"/>
              <w:pageBreakBefore w:val="0"/>
              <w:kinsoku/>
              <w:wordWrap/>
              <w:overflowPunct/>
              <w:topLinePunct w:val="0"/>
              <w:bidi w:val="0"/>
              <w:snapToGrid/>
              <w:spacing w:line="220" w:lineRule="exact"/>
              <w:jc w:val="center"/>
              <w:rPr>
                <w:rFonts w:hint="default" w:ascii="Times New Roman" w:hAnsi="Times New Roman" w:cs="Times New Roman" w:eastAsiaTheme="minorEastAsia"/>
                <w:spacing w:val="-11"/>
                <w:kern w:val="21"/>
                <w:sz w:val="21"/>
                <w:szCs w:val="21"/>
              </w:rPr>
            </w:pPr>
            <w:r>
              <w:rPr>
                <w:rFonts w:hint="default" w:ascii="Times New Roman" w:hAnsi="Times New Roman" w:cs="Times New Roman" w:eastAsiaTheme="minorEastAsia"/>
                <w:spacing w:val="-11"/>
                <w:kern w:val="21"/>
                <w:sz w:val="21"/>
                <w:szCs w:val="21"/>
              </w:rPr>
              <w:t>94.45</w:t>
            </w:r>
          </w:p>
        </w:tc>
        <w:tc>
          <w:tcPr>
            <w:tcW w:w="635" w:type="dxa"/>
            <w:vAlign w:val="center"/>
          </w:tcPr>
          <w:p w14:paraId="76356CD6">
            <w:pPr>
              <w:pStyle w:val="29"/>
              <w:keepNext w:val="0"/>
              <w:keepLines w:val="0"/>
              <w:pageBreakBefore w:val="0"/>
              <w:kinsoku/>
              <w:wordWrap/>
              <w:overflowPunct/>
              <w:topLinePunct w:val="0"/>
              <w:bidi w:val="0"/>
              <w:snapToGrid/>
              <w:spacing w:line="220" w:lineRule="exact"/>
              <w:jc w:val="center"/>
              <w:rPr>
                <w:rFonts w:hint="default" w:ascii="Times New Roman" w:hAnsi="Times New Roman" w:cs="Times New Roman" w:eastAsiaTheme="minorEastAsia"/>
                <w:spacing w:val="-11"/>
                <w:kern w:val="21"/>
                <w:sz w:val="21"/>
                <w:szCs w:val="21"/>
              </w:rPr>
            </w:pPr>
          </w:p>
        </w:tc>
        <w:tc>
          <w:tcPr>
            <w:tcW w:w="727" w:type="dxa"/>
            <w:vAlign w:val="center"/>
          </w:tcPr>
          <w:p w14:paraId="2FBB881C">
            <w:pPr>
              <w:pStyle w:val="29"/>
              <w:keepNext w:val="0"/>
              <w:keepLines w:val="0"/>
              <w:pageBreakBefore w:val="0"/>
              <w:kinsoku/>
              <w:wordWrap/>
              <w:overflowPunct/>
              <w:topLinePunct w:val="0"/>
              <w:bidi w:val="0"/>
              <w:snapToGrid/>
              <w:spacing w:line="220" w:lineRule="exact"/>
              <w:jc w:val="center"/>
              <w:rPr>
                <w:rFonts w:hint="default" w:ascii="Times New Roman" w:hAnsi="Times New Roman" w:cs="Times New Roman" w:eastAsiaTheme="minorEastAsia"/>
                <w:spacing w:val="-11"/>
                <w:kern w:val="21"/>
                <w:sz w:val="21"/>
                <w:szCs w:val="21"/>
              </w:rPr>
            </w:pPr>
          </w:p>
        </w:tc>
        <w:tc>
          <w:tcPr>
            <w:tcW w:w="635" w:type="dxa"/>
            <w:vAlign w:val="center"/>
          </w:tcPr>
          <w:p w14:paraId="79E6A46C">
            <w:pPr>
              <w:pStyle w:val="29"/>
              <w:keepNext w:val="0"/>
              <w:keepLines w:val="0"/>
              <w:pageBreakBefore w:val="0"/>
              <w:kinsoku/>
              <w:wordWrap/>
              <w:overflowPunct/>
              <w:topLinePunct w:val="0"/>
              <w:bidi w:val="0"/>
              <w:snapToGrid/>
              <w:spacing w:line="220" w:lineRule="exact"/>
              <w:jc w:val="center"/>
              <w:rPr>
                <w:rFonts w:hint="default" w:ascii="Times New Roman" w:hAnsi="Times New Roman" w:cs="Times New Roman" w:eastAsiaTheme="minorEastAsia"/>
                <w:spacing w:val="-11"/>
                <w:kern w:val="21"/>
                <w:sz w:val="21"/>
                <w:szCs w:val="21"/>
              </w:rPr>
            </w:pPr>
          </w:p>
        </w:tc>
        <w:tc>
          <w:tcPr>
            <w:tcW w:w="726" w:type="dxa"/>
            <w:vAlign w:val="center"/>
          </w:tcPr>
          <w:p w14:paraId="516D9AE5">
            <w:pPr>
              <w:pStyle w:val="29"/>
              <w:keepNext w:val="0"/>
              <w:keepLines w:val="0"/>
              <w:pageBreakBefore w:val="0"/>
              <w:kinsoku/>
              <w:wordWrap/>
              <w:overflowPunct/>
              <w:topLinePunct w:val="0"/>
              <w:bidi w:val="0"/>
              <w:snapToGrid/>
              <w:spacing w:line="220" w:lineRule="exact"/>
              <w:jc w:val="center"/>
              <w:rPr>
                <w:rFonts w:hint="default" w:ascii="Times New Roman" w:hAnsi="Times New Roman" w:cs="Times New Roman" w:eastAsiaTheme="minorEastAsia"/>
                <w:spacing w:val="-11"/>
                <w:kern w:val="21"/>
                <w:sz w:val="21"/>
                <w:szCs w:val="21"/>
              </w:rPr>
            </w:pPr>
          </w:p>
        </w:tc>
        <w:tc>
          <w:tcPr>
            <w:tcW w:w="693" w:type="dxa"/>
            <w:vAlign w:val="center"/>
          </w:tcPr>
          <w:p w14:paraId="7CF44C6A">
            <w:pPr>
              <w:pStyle w:val="29"/>
              <w:keepNext w:val="0"/>
              <w:keepLines w:val="0"/>
              <w:pageBreakBefore w:val="0"/>
              <w:kinsoku/>
              <w:wordWrap/>
              <w:overflowPunct/>
              <w:topLinePunct w:val="0"/>
              <w:bidi w:val="0"/>
              <w:snapToGrid/>
              <w:spacing w:line="220" w:lineRule="exact"/>
              <w:jc w:val="center"/>
              <w:rPr>
                <w:rFonts w:hint="default" w:ascii="Times New Roman" w:hAnsi="Times New Roman" w:cs="Times New Roman" w:eastAsiaTheme="minorEastAsia"/>
                <w:spacing w:val="-11"/>
                <w:kern w:val="21"/>
                <w:sz w:val="21"/>
                <w:szCs w:val="21"/>
              </w:rPr>
            </w:pPr>
            <w:r>
              <w:rPr>
                <w:rFonts w:hint="default" w:ascii="Times New Roman" w:hAnsi="Times New Roman" w:cs="Times New Roman" w:eastAsiaTheme="minorEastAsia"/>
                <w:spacing w:val="-11"/>
                <w:kern w:val="21"/>
                <w:sz w:val="21"/>
                <w:szCs w:val="21"/>
              </w:rPr>
              <w:t>80</w:t>
            </w:r>
          </w:p>
        </w:tc>
        <w:tc>
          <w:tcPr>
            <w:tcW w:w="727" w:type="dxa"/>
            <w:vAlign w:val="center"/>
          </w:tcPr>
          <w:p w14:paraId="513D5BDE">
            <w:pPr>
              <w:pStyle w:val="29"/>
              <w:keepNext w:val="0"/>
              <w:keepLines w:val="0"/>
              <w:pageBreakBefore w:val="0"/>
              <w:kinsoku/>
              <w:wordWrap/>
              <w:overflowPunct/>
              <w:topLinePunct w:val="0"/>
              <w:bidi w:val="0"/>
              <w:snapToGrid/>
              <w:spacing w:line="220" w:lineRule="exact"/>
              <w:jc w:val="center"/>
              <w:rPr>
                <w:rFonts w:hint="default" w:ascii="Times New Roman" w:hAnsi="Times New Roman" w:cs="Times New Roman" w:eastAsiaTheme="minorEastAsia"/>
                <w:spacing w:val="-11"/>
                <w:kern w:val="21"/>
                <w:sz w:val="21"/>
                <w:szCs w:val="21"/>
              </w:rPr>
            </w:pPr>
            <w:r>
              <w:rPr>
                <w:rFonts w:hint="default" w:ascii="Times New Roman" w:hAnsi="Times New Roman" w:cs="Times New Roman" w:eastAsiaTheme="minorEastAsia"/>
                <w:spacing w:val="-11"/>
                <w:kern w:val="21"/>
                <w:sz w:val="21"/>
                <w:szCs w:val="21"/>
              </w:rPr>
              <w:t>84.7%</w:t>
            </w:r>
          </w:p>
        </w:tc>
        <w:tc>
          <w:tcPr>
            <w:tcW w:w="1548" w:type="dxa"/>
            <w:vAlign w:val="center"/>
          </w:tcPr>
          <w:p w14:paraId="33E48A34">
            <w:pPr>
              <w:pStyle w:val="29"/>
              <w:keepNext w:val="0"/>
              <w:keepLines w:val="0"/>
              <w:pageBreakBefore w:val="0"/>
              <w:kinsoku/>
              <w:wordWrap/>
              <w:overflowPunct/>
              <w:topLinePunct w:val="0"/>
              <w:bidi w:val="0"/>
              <w:snapToGrid/>
              <w:spacing w:line="220" w:lineRule="exact"/>
              <w:jc w:val="center"/>
              <w:rPr>
                <w:rFonts w:hint="default" w:ascii="Times New Roman" w:hAnsi="Times New Roman" w:cs="Times New Roman" w:eastAsiaTheme="minorEastAsia"/>
                <w:spacing w:val="-11"/>
                <w:kern w:val="21"/>
                <w:sz w:val="21"/>
                <w:szCs w:val="21"/>
              </w:rPr>
            </w:pPr>
          </w:p>
        </w:tc>
      </w:tr>
      <w:tr w14:paraId="40FFD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735" w:type="dxa"/>
            <w:vMerge w:val="continue"/>
            <w:vAlign w:val="center"/>
          </w:tcPr>
          <w:p w14:paraId="1C264DBC">
            <w:pPr>
              <w:pStyle w:val="29"/>
              <w:keepNext w:val="0"/>
              <w:keepLines w:val="0"/>
              <w:pageBreakBefore w:val="0"/>
              <w:kinsoku/>
              <w:wordWrap/>
              <w:overflowPunct/>
              <w:topLinePunct w:val="0"/>
              <w:bidi w:val="0"/>
              <w:snapToGrid/>
              <w:spacing w:line="220" w:lineRule="exact"/>
              <w:ind w:firstLine="336"/>
              <w:jc w:val="center"/>
              <w:rPr>
                <w:rFonts w:hint="default" w:ascii="Times New Roman" w:hAnsi="Times New Roman" w:cs="Times New Roman" w:eastAsiaTheme="minorEastAsia"/>
                <w:spacing w:val="-11"/>
                <w:kern w:val="21"/>
                <w:sz w:val="21"/>
                <w:szCs w:val="21"/>
              </w:rPr>
            </w:pPr>
          </w:p>
        </w:tc>
        <w:tc>
          <w:tcPr>
            <w:tcW w:w="3278" w:type="dxa"/>
            <w:vAlign w:val="center"/>
          </w:tcPr>
          <w:p w14:paraId="3AB26240">
            <w:pPr>
              <w:keepNext w:val="0"/>
              <w:keepLines w:val="0"/>
              <w:pageBreakBefore w:val="0"/>
              <w:widowControl/>
              <w:kinsoku/>
              <w:wordWrap/>
              <w:overflowPunct/>
              <w:topLinePunct w:val="0"/>
              <w:bidi w:val="0"/>
              <w:snapToGrid/>
              <w:spacing w:line="220" w:lineRule="exact"/>
              <w:jc w:val="center"/>
              <w:textAlignment w:val="center"/>
              <w:rPr>
                <w:rFonts w:hint="default" w:ascii="Times New Roman" w:hAnsi="Times New Roman" w:cs="Times New Roman" w:eastAsiaTheme="minorEastAsia"/>
                <w:color w:val="000000"/>
                <w:spacing w:val="-11"/>
                <w:kern w:val="21"/>
                <w:sz w:val="21"/>
                <w:szCs w:val="21"/>
              </w:rPr>
            </w:pPr>
            <w:r>
              <w:rPr>
                <w:rFonts w:hint="default" w:ascii="Times New Roman" w:hAnsi="Times New Roman" w:cs="Times New Roman" w:eastAsiaTheme="minorEastAsia"/>
                <w:color w:val="000000"/>
                <w:spacing w:val="-11"/>
                <w:kern w:val="21"/>
                <w:sz w:val="21"/>
                <w:szCs w:val="21"/>
              </w:rPr>
              <w:t>昭化区2022年第8批次建设用地被征收农民养老保险费</w:t>
            </w:r>
          </w:p>
        </w:tc>
        <w:tc>
          <w:tcPr>
            <w:tcW w:w="923" w:type="dxa"/>
            <w:vAlign w:val="center"/>
          </w:tcPr>
          <w:p w14:paraId="7510478C">
            <w:pPr>
              <w:keepNext w:val="0"/>
              <w:keepLines w:val="0"/>
              <w:pageBreakBefore w:val="0"/>
              <w:widowControl/>
              <w:kinsoku/>
              <w:wordWrap/>
              <w:overflowPunct/>
              <w:topLinePunct w:val="0"/>
              <w:bidi w:val="0"/>
              <w:snapToGrid/>
              <w:spacing w:line="220" w:lineRule="exact"/>
              <w:jc w:val="center"/>
              <w:textAlignment w:val="center"/>
              <w:rPr>
                <w:rFonts w:hint="default" w:ascii="Times New Roman" w:hAnsi="Times New Roman" w:cs="Times New Roman" w:eastAsiaTheme="minorEastAsia"/>
                <w:color w:val="000000"/>
                <w:spacing w:val="-11"/>
                <w:kern w:val="21"/>
                <w:sz w:val="21"/>
                <w:szCs w:val="21"/>
              </w:rPr>
            </w:pPr>
            <w:r>
              <w:rPr>
                <w:rFonts w:hint="default" w:ascii="Times New Roman" w:hAnsi="Times New Roman" w:cs="Times New Roman" w:eastAsiaTheme="minorEastAsia"/>
                <w:color w:val="000000"/>
                <w:spacing w:val="-11"/>
                <w:kern w:val="21"/>
                <w:sz w:val="21"/>
                <w:szCs w:val="21"/>
              </w:rPr>
              <w:t>1771.07</w:t>
            </w:r>
          </w:p>
        </w:tc>
        <w:tc>
          <w:tcPr>
            <w:tcW w:w="635" w:type="dxa"/>
            <w:vAlign w:val="center"/>
          </w:tcPr>
          <w:p w14:paraId="313BF5E1">
            <w:pPr>
              <w:keepNext w:val="0"/>
              <w:keepLines w:val="0"/>
              <w:pageBreakBefore w:val="0"/>
              <w:widowControl/>
              <w:kinsoku/>
              <w:wordWrap/>
              <w:overflowPunct/>
              <w:topLinePunct w:val="0"/>
              <w:bidi w:val="0"/>
              <w:snapToGrid/>
              <w:spacing w:line="220" w:lineRule="exact"/>
              <w:jc w:val="center"/>
              <w:textAlignment w:val="center"/>
              <w:rPr>
                <w:rFonts w:hint="default" w:ascii="Times New Roman" w:hAnsi="Times New Roman" w:cs="Times New Roman" w:eastAsiaTheme="minorEastAsia"/>
                <w:color w:val="000000"/>
                <w:spacing w:val="-11"/>
                <w:kern w:val="21"/>
                <w:sz w:val="21"/>
                <w:szCs w:val="21"/>
              </w:rPr>
            </w:pPr>
          </w:p>
        </w:tc>
        <w:tc>
          <w:tcPr>
            <w:tcW w:w="727" w:type="dxa"/>
            <w:vAlign w:val="center"/>
          </w:tcPr>
          <w:p w14:paraId="30AB8B2C">
            <w:pPr>
              <w:keepNext w:val="0"/>
              <w:keepLines w:val="0"/>
              <w:pageBreakBefore w:val="0"/>
              <w:widowControl/>
              <w:kinsoku/>
              <w:wordWrap/>
              <w:overflowPunct/>
              <w:topLinePunct w:val="0"/>
              <w:bidi w:val="0"/>
              <w:snapToGrid/>
              <w:spacing w:line="220" w:lineRule="exact"/>
              <w:jc w:val="center"/>
              <w:textAlignment w:val="center"/>
              <w:rPr>
                <w:rFonts w:hint="default" w:ascii="Times New Roman" w:hAnsi="Times New Roman" w:cs="Times New Roman" w:eastAsiaTheme="minorEastAsia"/>
                <w:color w:val="000000"/>
                <w:spacing w:val="-11"/>
                <w:kern w:val="21"/>
                <w:sz w:val="21"/>
                <w:szCs w:val="21"/>
              </w:rPr>
            </w:pPr>
          </w:p>
        </w:tc>
        <w:tc>
          <w:tcPr>
            <w:tcW w:w="635" w:type="dxa"/>
            <w:vAlign w:val="center"/>
          </w:tcPr>
          <w:p w14:paraId="7DCFA5B3">
            <w:pPr>
              <w:keepNext w:val="0"/>
              <w:keepLines w:val="0"/>
              <w:pageBreakBefore w:val="0"/>
              <w:widowControl/>
              <w:kinsoku/>
              <w:wordWrap/>
              <w:overflowPunct/>
              <w:topLinePunct w:val="0"/>
              <w:bidi w:val="0"/>
              <w:snapToGrid/>
              <w:spacing w:line="220" w:lineRule="exact"/>
              <w:jc w:val="center"/>
              <w:textAlignment w:val="center"/>
              <w:rPr>
                <w:rFonts w:hint="default" w:ascii="Times New Roman" w:hAnsi="Times New Roman" w:cs="Times New Roman" w:eastAsiaTheme="minorEastAsia"/>
                <w:color w:val="000000"/>
                <w:spacing w:val="-11"/>
                <w:kern w:val="21"/>
                <w:sz w:val="21"/>
                <w:szCs w:val="21"/>
              </w:rPr>
            </w:pPr>
            <w:r>
              <w:rPr>
                <w:rFonts w:hint="default" w:ascii="Times New Roman" w:hAnsi="Times New Roman" w:cs="Times New Roman" w:eastAsiaTheme="minorEastAsia"/>
                <w:color w:val="000000"/>
                <w:spacing w:val="-11"/>
                <w:kern w:val="21"/>
                <w:sz w:val="21"/>
                <w:szCs w:val="21"/>
              </w:rPr>
              <w:t>1771.07</w:t>
            </w:r>
          </w:p>
        </w:tc>
        <w:tc>
          <w:tcPr>
            <w:tcW w:w="726" w:type="dxa"/>
            <w:vAlign w:val="center"/>
          </w:tcPr>
          <w:p w14:paraId="74A55CFB">
            <w:pPr>
              <w:keepNext w:val="0"/>
              <w:keepLines w:val="0"/>
              <w:pageBreakBefore w:val="0"/>
              <w:widowControl/>
              <w:kinsoku/>
              <w:wordWrap/>
              <w:overflowPunct/>
              <w:topLinePunct w:val="0"/>
              <w:bidi w:val="0"/>
              <w:snapToGrid/>
              <w:spacing w:line="220" w:lineRule="exact"/>
              <w:jc w:val="center"/>
              <w:textAlignment w:val="center"/>
              <w:rPr>
                <w:rFonts w:hint="default" w:ascii="Times New Roman" w:hAnsi="Times New Roman" w:cs="Times New Roman" w:eastAsiaTheme="minorEastAsia"/>
                <w:color w:val="000000"/>
                <w:spacing w:val="-11"/>
                <w:kern w:val="21"/>
                <w:sz w:val="21"/>
                <w:szCs w:val="21"/>
              </w:rPr>
            </w:pPr>
            <w:r>
              <w:rPr>
                <w:rFonts w:hint="default" w:ascii="Times New Roman" w:hAnsi="Times New Roman" w:cs="Times New Roman" w:eastAsiaTheme="minorEastAsia"/>
                <w:color w:val="000000"/>
                <w:spacing w:val="-11"/>
                <w:kern w:val="21"/>
                <w:sz w:val="21"/>
                <w:szCs w:val="21"/>
              </w:rPr>
              <w:t>100%</w:t>
            </w:r>
          </w:p>
        </w:tc>
        <w:tc>
          <w:tcPr>
            <w:tcW w:w="693" w:type="dxa"/>
            <w:vAlign w:val="center"/>
          </w:tcPr>
          <w:p w14:paraId="794E75EA">
            <w:pPr>
              <w:keepNext w:val="0"/>
              <w:keepLines w:val="0"/>
              <w:pageBreakBefore w:val="0"/>
              <w:widowControl/>
              <w:kinsoku/>
              <w:wordWrap/>
              <w:overflowPunct/>
              <w:topLinePunct w:val="0"/>
              <w:bidi w:val="0"/>
              <w:snapToGrid/>
              <w:spacing w:line="220" w:lineRule="exact"/>
              <w:jc w:val="center"/>
              <w:textAlignment w:val="center"/>
              <w:rPr>
                <w:rFonts w:hint="default" w:ascii="Times New Roman" w:hAnsi="Times New Roman" w:cs="Times New Roman" w:eastAsiaTheme="minorEastAsia"/>
                <w:color w:val="000000"/>
                <w:spacing w:val="-11"/>
                <w:kern w:val="21"/>
                <w:sz w:val="21"/>
                <w:szCs w:val="21"/>
              </w:rPr>
            </w:pPr>
          </w:p>
        </w:tc>
        <w:tc>
          <w:tcPr>
            <w:tcW w:w="727" w:type="dxa"/>
            <w:vAlign w:val="center"/>
          </w:tcPr>
          <w:p w14:paraId="58FC137A">
            <w:pPr>
              <w:keepNext w:val="0"/>
              <w:keepLines w:val="0"/>
              <w:pageBreakBefore w:val="0"/>
              <w:widowControl/>
              <w:kinsoku/>
              <w:wordWrap/>
              <w:overflowPunct/>
              <w:topLinePunct w:val="0"/>
              <w:bidi w:val="0"/>
              <w:snapToGrid/>
              <w:spacing w:line="220" w:lineRule="exact"/>
              <w:jc w:val="center"/>
              <w:textAlignment w:val="center"/>
              <w:rPr>
                <w:rFonts w:hint="default" w:ascii="Times New Roman" w:hAnsi="Times New Roman" w:cs="Times New Roman" w:eastAsiaTheme="minorEastAsia"/>
                <w:color w:val="000000"/>
                <w:spacing w:val="-11"/>
                <w:kern w:val="21"/>
                <w:sz w:val="21"/>
                <w:szCs w:val="21"/>
              </w:rPr>
            </w:pPr>
          </w:p>
        </w:tc>
        <w:tc>
          <w:tcPr>
            <w:tcW w:w="1548" w:type="dxa"/>
            <w:vAlign w:val="center"/>
          </w:tcPr>
          <w:p w14:paraId="35B0D68C">
            <w:pPr>
              <w:keepNext w:val="0"/>
              <w:keepLines w:val="0"/>
              <w:pageBreakBefore w:val="0"/>
              <w:widowControl/>
              <w:kinsoku/>
              <w:wordWrap/>
              <w:overflowPunct/>
              <w:topLinePunct w:val="0"/>
              <w:bidi w:val="0"/>
              <w:snapToGrid/>
              <w:spacing w:line="220" w:lineRule="exact"/>
              <w:jc w:val="center"/>
              <w:textAlignment w:val="center"/>
              <w:rPr>
                <w:rFonts w:hint="default" w:ascii="Times New Roman" w:hAnsi="Times New Roman" w:cs="Times New Roman" w:eastAsiaTheme="minorEastAsia"/>
                <w:color w:val="000000"/>
                <w:spacing w:val="-11"/>
                <w:kern w:val="21"/>
                <w:sz w:val="21"/>
                <w:szCs w:val="21"/>
              </w:rPr>
            </w:pPr>
          </w:p>
        </w:tc>
      </w:tr>
      <w:tr w14:paraId="0581E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735" w:type="dxa"/>
            <w:vMerge w:val="continue"/>
            <w:vAlign w:val="center"/>
          </w:tcPr>
          <w:p w14:paraId="53C3C6F4">
            <w:pPr>
              <w:pStyle w:val="29"/>
              <w:keepNext w:val="0"/>
              <w:keepLines w:val="0"/>
              <w:pageBreakBefore w:val="0"/>
              <w:kinsoku/>
              <w:wordWrap/>
              <w:overflowPunct/>
              <w:topLinePunct w:val="0"/>
              <w:bidi w:val="0"/>
              <w:snapToGrid/>
              <w:spacing w:line="220" w:lineRule="exact"/>
              <w:ind w:firstLine="336"/>
              <w:jc w:val="center"/>
              <w:rPr>
                <w:rFonts w:hint="default" w:ascii="Times New Roman" w:hAnsi="Times New Roman" w:cs="Times New Roman" w:eastAsiaTheme="minorEastAsia"/>
                <w:spacing w:val="-11"/>
                <w:kern w:val="21"/>
                <w:sz w:val="21"/>
                <w:szCs w:val="21"/>
              </w:rPr>
            </w:pPr>
          </w:p>
        </w:tc>
        <w:tc>
          <w:tcPr>
            <w:tcW w:w="3278" w:type="dxa"/>
            <w:vAlign w:val="center"/>
          </w:tcPr>
          <w:p w14:paraId="4B704F96">
            <w:pPr>
              <w:keepNext w:val="0"/>
              <w:keepLines w:val="0"/>
              <w:pageBreakBefore w:val="0"/>
              <w:widowControl/>
              <w:kinsoku/>
              <w:wordWrap/>
              <w:overflowPunct/>
              <w:topLinePunct w:val="0"/>
              <w:bidi w:val="0"/>
              <w:snapToGrid/>
              <w:spacing w:line="220" w:lineRule="exact"/>
              <w:jc w:val="center"/>
              <w:textAlignment w:val="center"/>
              <w:rPr>
                <w:rFonts w:hint="default" w:ascii="Times New Roman" w:hAnsi="Times New Roman" w:cs="Times New Roman" w:eastAsiaTheme="minorEastAsia"/>
                <w:color w:val="000000"/>
                <w:spacing w:val="-11"/>
                <w:kern w:val="21"/>
                <w:sz w:val="21"/>
                <w:szCs w:val="21"/>
              </w:rPr>
            </w:pPr>
            <w:r>
              <w:rPr>
                <w:rFonts w:hint="default" w:ascii="Times New Roman" w:hAnsi="Times New Roman" w:cs="Times New Roman" w:eastAsiaTheme="minorEastAsia"/>
                <w:color w:val="000000"/>
                <w:spacing w:val="-11"/>
                <w:kern w:val="21"/>
                <w:sz w:val="21"/>
                <w:szCs w:val="21"/>
              </w:rPr>
              <w:t>昭化区2022年第7批次建设用地被征收农民养老保险费</w:t>
            </w:r>
          </w:p>
        </w:tc>
        <w:tc>
          <w:tcPr>
            <w:tcW w:w="923" w:type="dxa"/>
            <w:vAlign w:val="center"/>
          </w:tcPr>
          <w:p w14:paraId="53C31F5A">
            <w:pPr>
              <w:keepNext w:val="0"/>
              <w:keepLines w:val="0"/>
              <w:pageBreakBefore w:val="0"/>
              <w:widowControl/>
              <w:kinsoku/>
              <w:wordWrap/>
              <w:overflowPunct/>
              <w:topLinePunct w:val="0"/>
              <w:bidi w:val="0"/>
              <w:snapToGrid/>
              <w:spacing w:line="220" w:lineRule="exact"/>
              <w:jc w:val="center"/>
              <w:textAlignment w:val="center"/>
              <w:rPr>
                <w:rFonts w:hint="default" w:ascii="Times New Roman" w:hAnsi="Times New Roman" w:cs="Times New Roman" w:eastAsiaTheme="minorEastAsia"/>
                <w:color w:val="000000"/>
                <w:spacing w:val="-11"/>
                <w:kern w:val="21"/>
                <w:sz w:val="21"/>
                <w:szCs w:val="21"/>
              </w:rPr>
            </w:pPr>
            <w:r>
              <w:rPr>
                <w:rFonts w:hint="default" w:ascii="Times New Roman" w:hAnsi="Times New Roman" w:cs="Times New Roman" w:eastAsiaTheme="minorEastAsia"/>
                <w:color w:val="000000"/>
                <w:spacing w:val="-11"/>
                <w:kern w:val="21"/>
                <w:sz w:val="21"/>
                <w:szCs w:val="21"/>
              </w:rPr>
              <w:t>2523.39</w:t>
            </w:r>
          </w:p>
        </w:tc>
        <w:tc>
          <w:tcPr>
            <w:tcW w:w="635" w:type="dxa"/>
            <w:vAlign w:val="center"/>
          </w:tcPr>
          <w:p w14:paraId="73F19BDD">
            <w:pPr>
              <w:keepNext w:val="0"/>
              <w:keepLines w:val="0"/>
              <w:pageBreakBefore w:val="0"/>
              <w:widowControl/>
              <w:kinsoku/>
              <w:wordWrap/>
              <w:overflowPunct/>
              <w:topLinePunct w:val="0"/>
              <w:bidi w:val="0"/>
              <w:snapToGrid/>
              <w:spacing w:line="220" w:lineRule="exact"/>
              <w:jc w:val="center"/>
              <w:textAlignment w:val="center"/>
              <w:rPr>
                <w:rFonts w:hint="default" w:ascii="Times New Roman" w:hAnsi="Times New Roman" w:cs="Times New Roman" w:eastAsiaTheme="minorEastAsia"/>
                <w:color w:val="000000"/>
                <w:spacing w:val="-11"/>
                <w:kern w:val="21"/>
                <w:sz w:val="21"/>
                <w:szCs w:val="21"/>
              </w:rPr>
            </w:pPr>
          </w:p>
        </w:tc>
        <w:tc>
          <w:tcPr>
            <w:tcW w:w="727" w:type="dxa"/>
            <w:vAlign w:val="center"/>
          </w:tcPr>
          <w:p w14:paraId="55F84082">
            <w:pPr>
              <w:keepNext w:val="0"/>
              <w:keepLines w:val="0"/>
              <w:pageBreakBefore w:val="0"/>
              <w:widowControl/>
              <w:kinsoku/>
              <w:wordWrap/>
              <w:overflowPunct/>
              <w:topLinePunct w:val="0"/>
              <w:bidi w:val="0"/>
              <w:snapToGrid/>
              <w:spacing w:line="220" w:lineRule="exact"/>
              <w:jc w:val="center"/>
              <w:textAlignment w:val="center"/>
              <w:rPr>
                <w:rFonts w:hint="default" w:ascii="Times New Roman" w:hAnsi="Times New Roman" w:cs="Times New Roman" w:eastAsiaTheme="minorEastAsia"/>
                <w:color w:val="000000"/>
                <w:spacing w:val="-11"/>
                <w:kern w:val="21"/>
                <w:sz w:val="21"/>
                <w:szCs w:val="21"/>
              </w:rPr>
            </w:pPr>
          </w:p>
        </w:tc>
        <w:tc>
          <w:tcPr>
            <w:tcW w:w="635" w:type="dxa"/>
            <w:vAlign w:val="center"/>
          </w:tcPr>
          <w:p w14:paraId="71EAB21A">
            <w:pPr>
              <w:keepNext w:val="0"/>
              <w:keepLines w:val="0"/>
              <w:pageBreakBefore w:val="0"/>
              <w:widowControl/>
              <w:kinsoku/>
              <w:wordWrap/>
              <w:overflowPunct/>
              <w:topLinePunct w:val="0"/>
              <w:bidi w:val="0"/>
              <w:snapToGrid/>
              <w:spacing w:line="220" w:lineRule="exact"/>
              <w:jc w:val="center"/>
              <w:textAlignment w:val="center"/>
              <w:rPr>
                <w:rFonts w:hint="default" w:ascii="Times New Roman" w:hAnsi="Times New Roman" w:cs="Times New Roman" w:eastAsiaTheme="minorEastAsia"/>
                <w:color w:val="000000"/>
                <w:spacing w:val="-11"/>
                <w:kern w:val="21"/>
                <w:sz w:val="21"/>
                <w:szCs w:val="21"/>
              </w:rPr>
            </w:pPr>
            <w:r>
              <w:rPr>
                <w:rFonts w:hint="default" w:ascii="Times New Roman" w:hAnsi="Times New Roman" w:cs="Times New Roman" w:eastAsiaTheme="minorEastAsia"/>
                <w:color w:val="000000"/>
                <w:spacing w:val="-11"/>
                <w:kern w:val="21"/>
                <w:sz w:val="21"/>
                <w:szCs w:val="21"/>
              </w:rPr>
              <w:t>2523.39</w:t>
            </w:r>
          </w:p>
        </w:tc>
        <w:tc>
          <w:tcPr>
            <w:tcW w:w="726" w:type="dxa"/>
            <w:vAlign w:val="center"/>
          </w:tcPr>
          <w:p w14:paraId="65B4D1C6">
            <w:pPr>
              <w:keepNext w:val="0"/>
              <w:keepLines w:val="0"/>
              <w:pageBreakBefore w:val="0"/>
              <w:widowControl/>
              <w:kinsoku/>
              <w:wordWrap/>
              <w:overflowPunct/>
              <w:topLinePunct w:val="0"/>
              <w:bidi w:val="0"/>
              <w:snapToGrid/>
              <w:spacing w:line="220" w:lineRule="exact"/>
              <w:jc w:val="center"/>
              <w:textAlignment w:val="center"/>
              <w:rPr>
                <w:rFonts w:hint="default" w:ascii="Times New Roman" w:hAnsi="Times New Roman" w:cs="Times New Roman" w:eastAsiaTheme="minorEastAsia"/>
                <w:color w:val="000000"/>
                <w:spacing w:val="-11"/>
                <w:kern w:val="21"/>
                <w:sz w:val="21"/>
                <w:szCs w:val="21"/>
              </w:rPr>
            </w:pPr>
            <w:r>
              <w:rPr>
                <w:rFonts w:hint="default" w:ascii="Times New Roman" w:hAnsi="Times New Roman" w:cs="Times New Roman" w:eastAsiaTheme="minorEastAsia"/>
                <w:color w:val="000000"/>
                <w:spacing w:val="-11"/>
                <w:kern w:val="21"/>
                <w:sz w:val="21"/>
                <w:szCs w:val="21"/>
              </w:rPr>
              <w:t>100%</w:t>
            </w:r>
          </w:p>
        </w:tc>
        <w:tc>
          <w:tcPr>
            <w:tcW w:w="693" w:type="dxa"/>
            <w:vAlign w:val="center"/>
          </w:tcPr>
          <w:p w14:paraId="26A83D75">
            <w:pPr>
              <w:keepNext w:val="0"/>
              <w:keepLines w:val="0"/>
              <w:pageBreakBefore w:val="0"/>
              <w:widowControl/>
              <w:kinsoku/>
              <w:wordWrap/>
              <w:overflowPunct/>
              <w:topLinePunct w:val="0"/>
              <w:bidi w:val="0"/>
              <w:snapToGrid/>
              <w:spacing w:line="220" w:lineRule="exact"/>
              <w:jc w:val="center"/>
              <w:textAlignment w:val="center"/>
              <w:rPr>
                <w:rFonts w:hint="default" w:ascii="Times New Roman" w:hAnsi="Times New Roman" w:cs="Times New Roman" w:eastAsiaTheme="minorEastAsia"/>
                <w:color w:val="000000"/>
                <w:spacing w:val="-11"/>
                <w:kern w:val="21"/>
                <w:sz w:val="21"/>
                <w:szCs w:val="21"/>
              </w:rPr>
            </w:pPr>
          </w:p>
        </w:tc>
        <w:tc>
          <w:tcPr>
            <w:tcW w:w="727" w:type="dxa"/>
            <w:vAlign w:val="center"/>
          </w:tcPr>
          <w:p w14:paraId="06AFA089">
            <w:pPr>
              <w:keepNext w:val="0"/>
              <w:keepLines w:val="0"/>
              <w:pageBreakBefore w:val="0"/>
              <w:widowControl/>
              <w:kinsoku/>
              <w:wordWrap/>
              <w:overflowPunct/>
              <w:topLinePunct w:val="0"/>
              <w:bidi w:val="0"/>
              <w:snapToGrid/>
              <w:spacing w:line="220" w:lineRule="exact"/>
              <w:jc w:val="center"/>
              <w:textAlignment w:val="center"/>
              <w:rPr>
                <w:rFonts w:hint="default" w:ascii="Times New Roman" w:hAnsi="Times New Roman" w:cs="Times New Roman" w:eastAsiaTheme="minorEastAsia"/>
                <w:color w:val="000000"/>
                <w:spacing w:val="-11"/>
                <w:kern w:val="21"/>
                <w:sz w:val="21"/>
                <w:szCs w:val="21"/>
              </w:rPr>
            </w:pPr>
          </w:p>
        </w:tc>
        <w:tc>
          <w:tcPr>
            <w:tcW w:w="1548" w:type="dxa"/>
            <w:vAlign w:val="center"/>
          </w:tcPr>
          <w:p w14:paraId="44DB6FAB">
            <w:pPr>
              <w:keepNext w:val="0"/>
              <w:keepLines w:val="0"/>
              <w:pageBreakBefore w:val="0"/>
              <w:widowControl/>
              <w:kinsoku/>
              <w:wordWrap/>
              <w:overflowPunct/>
              <w:topLinePunct w:val="0"/>
              <w:bidi w:val="0"/>
              <w:snapToGrid/>
              <w:spacing w:line="220" w:lineRule="exact"/>
              <w:jc w:val="center"/>
              <w:textAlignment w:val="center"/>
              <w:rPr>
                <w:rFonts w:hint="default" w:ascii="Times New Roman" w:hAnsi="Times New Roman" w:cs="Times New Roman" w:eastAsiaTheme="minorEastAsia"/>
                <w:color w:val="000000"/>
                <w:spacing w:val="-11"/>
                <w:kern w:val="21"/>
                <w:sz w:val="21"/>
                <w:szCs w:val="21"/>
              </w:rPr>
            </w:pPr>
          </w:p>
        </w:tc>
      </w:tr>
      <w:tr w14:paraId="22BF1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735" w:type="dxa"/>
            <w:vMerge w:val="continue"/>
            <w:vAlign w:val="center"/>
          </w:tcPr>
          <w:p w14:paraId="305B8B00">
            <w:pPr>
              <w:pStyle w:val="29"/>
              <w:keepNext w:val="0"/>
              <w:keepLines w:val="0"/>
              <w:pageBreakBefore w:val="0"/>
              <w:kinsoku/>
              <w:wordWrap/>
              <w:overflowPunct/>
              <w:topLinePunct w:val="0"/>
              <w:bidi w:val="0"/>
              <w:snapToGrid/>
              <w:spacing w:line="220" w:lineRule="exact"/>
              <w:ind w:firstLine="336"/>
              <w:jc w:val="center"/>
              <w:rPr>
                <w:rFonts w:hint="default" w:ascii="Times New Roman" w:hAnsi="Times New Roman" w:cs="Times New Roman" w:eastAsiaTheme="minorEastAsia"/>
                <w:spacing w:val="-11"/>
                <w:kern w:val="21"/>
                <w:sz w:val="21"/>
                <w:szCs w:val="21"/>
              </w:rPr>
            </w:pPr>
          </w:p>
        </w:tc>
        <w:tc>
          <w:tcPr>
            <w:tcW w:w="3278" w:type="dxa"/>
            <w:vAlign w:val="center"/>
          </w:tcPr>
          <w:p w14:paraId="1E3385AC">
            <w:pPr>
              <w:keepNext w:val="0"/>
              <w:keepLines w:val="0"/>
              <w:pageBreakBefore w:val="0"/>
              <w:widowControl/>
              <w:kinsoku/>
              <w:wordWrap/>
              <w:overflowPunct/>
              <w:topLinePunct w:val="0"/>
              <w:bidi w:val="0"/>
              <w:snapToGrid/>
              <w:spacing w:line="220" w:lineRule="exact"/>
              <w:jc w:val="center"/>
              <w:textAlignment w:val="center"/>
              <w:rPr>
                <w:rFonts w:hint="default" w:ascii="Times New Roman" w:hAnsi="Times New Roman" w:cs="Times New Roman" w:eastAsiaTheme="minorEastAsia"/>
                <w:color w:val="000000"/>
                <w:spacing w:val="-11"/>
                <w:kern w:val="21"/>
                <w:sz w:val="21"/>
                <w:szCs w:val="21"/>
              </w:rPr>
            </w:pPr>
            <w:r>
              <w:rPr>
                <w:rFonts w:hint="default" w:ascii="Times New Roman" w:hAnsi="Times New Roman" w:cs="Times New Roman" w:eastAsiaTheme="minorEastAsia"/>
                <w:color w:val="000000"/>
                <w:spacing w:val="-11"/>
                <w:kern w:val="21"/>
                <w:sz w:val="21"/>
                <w:szCs w:val="21"/>
              </w:rPr>
              <w:t>昭化区2021年第二批次建设用地新增建设用地有偿使用费</w:t>
            </w:r>
          </w:p>
        </w:tc>
        <w:tc>
          <w:tcPr>
            <w:tcW w:w="923" w:type="dxa"/>
            <w:vAlign w:val="center"/>
          </w:tcPr>
          <w:p w14:paraId="18F8C898">
            <w:pPr>
              <w:keepNext w:val="0"/>
              <w:keepLines w:val="0"/>
              <w:pageBreakBefore w:val="0"/>
              <w:widowControl/>
              <w:kinsoku/>
              <w:wordWrap/>
              <w:overflowPunct/>
              <w:topLinePunct w:val="0"/>
              <w:bidi w:val="0"/>
              <w:snapToGrid/>
              <w:spacing w:line="220" w:lineRule="exact"/>
              <w:jc w:val="center"/>
              <w:textAlignment w:val="center"/>
              <w:rPr>
                <w:rFonts w:hint="default" w:ascii="Times New Roman" w:hAnsi="Times New Roman" w:cs="Times New Roman" w:eastAsiaTheme="minorEastAsia"/>
                <w:color w:val="000000"/>
                <w:spacing w:val="-11"/>
                <w:kern w:val="21"/>
                <w:sz w:val="21"/>
                <w:szCs w:val="21"/>
              </w:rPr>
            </w:pPr>
            <w:r>
              <w:rPr>
                <w:rFonts w:hint="default" w:ascii="Times New Roman" w:hAnsi="Times New Roman" w:cs="Times New Roman" w:eastAsiaTheme="minorEastAsia"/>
                <w:color w:val="000000"/>
                <w:spacing w:val="-11"/>
                <w:kern w:val="21"/>
                <w:sz w:val="21"/>
                <w:szCs w:val="21"/>
              </w:rPr>
              <w:t>38.57</w:t>
            </w:r>
          </w:p>
        </w:tc>
        <w:tc>
          <w:tcPr>
            <w:tcW w:w="635" w:type="dxa"/>
            <w:vAlign w:val="center"/>
          </w:tcPr>
          <w:p w14:paraId="4AC456CA">
            <w:pPr>
              <w:keepNext w:val="0"/>
              <w:keepLines w:val="0"/>
              <w:pageBreakBefore w:val="0"/>
              <w:widowControl/>
              <w:kinsoku/>
              <w:wordWrap/>
              <w:overflowPunct/>
              <w:topLinePunct w:val="0"/>
              <w:bidi w:val="0"/>
              <w:snapToGrid/>
              <w:spacing w:line="220" w:lineRule="exact"/>
              <w:jc w:val="center"/>
              <w:textAlignment w:val="center"/>
              <w:rPr>
                <w:rFonts w:hint="default" w:ascii="Times New Roman" w:hAnsi="Times New Roman" w:cs="Times New Roman" w:eastAsiaTheme="minorEastAsia"/>
                <w:color w:val="000000"/>
                <w:spacing w:val="-11"/>
                <w:kern w:val="21"/>
                <w:sz w:val="21"/>
                <w:szCs w:val="21"/>
              </w:rPr>
            </w:pPr>
          </w:p>
        </w:tc>
        <w:tc>
          <w:tcPr>
            <w:tcW w:w="727" w:type="dxa"/>
            <w:vAlign w:val="center"/>
          </w:tcPr>
          <w:p w14:paraId="6B8F256D">
            <w:pPr>
              <w:keepNext w:val="0"/>
              <w:keepLines w:val="0"/>
              <w:pageBreakBefore w:val="0"/>
              <w:widowControl/>
              <w:kinsoku/>
              <w:wordWrap/>
              <w:overflowPunct/>
              <w:topLinePunct w:val="0"/>
              <w:bidi w:val="0"/>
              <w:snapToGrid/>
              <w:spacing w:line="220" w:lineRule="exact"/>
              <w:jc w:val="center"/>
              <w:textAlignment w:val="center"/>
              <w:rPr>
                <w:rFonts w:hint="default" w:ascii="Times New Roman" w:hAnsi="Times New Roman" w:cs="Times New Roman" w:eastAsiaTheme="minorEastAsia"/>
                <w:color w:val="000000"/>
                <w:spacing w:val="-11"/>
                <w:kern w:val="21"/>
                <w:sz w:val="21"/>
                <w:szCs w:val="21"/>
              </w:rPr>
            </w:pPr>
          </w:p>
        </w:tc>
        <w:tc>
          <w:tcPr>
            <w:tcW w:w="635" w:type="dxa"/>
            <w:vAlign w:val="center"/>
          </w:tcPr>
          <w:p w14:paraId="7E34B72F">
            <w:pPr>
              <w:keepNext w:val="0"/>
              <w:keepLines w:val="0"/>
              <w:pageBreakBefore w:val="0"/>
              <w:widowControl/>
              <w:kinsoku/>
              <w:wordWrap/>
              <w:overflowPunct/>
              <w:topLinePunct w:val="0"/>
              <w:bidi w:val="0"/>
              <w:snapToGrid/>
              <w:spacing w:line="220" w:lineRule="exact"/>
              <w:jc w:val="center"/>
              <w:textAlignment w:val="center"/>
              <w:rPr>
                <w:rFonts w:hint="default" w:ascii="Times New Roman" w:hAnsi="Times New Roman" w:cs="Times New Roman" w:eastAsiaTheme="minorEastAsia"/>
                <w:color w:val="000000"/>
                <w:spacing w:val="-11"/>
                <w:kern w:val="21"/>
                <w:sz w:val="21"/>
                <w:szCs w:val="21"/>
              </w:rPr>
            </w:pPr>
            <w:r>
              <w:rPr>
                <w:rFonts w:hint="default" w:ascii="Times New Roman" w:hAnsi="Times New Roman" w:cs="Times New Roman" w:eastAsiaTheme="minorEastAsia"/>
                <w:color w:val="000000"/>
                <w:spacing w:val="-11"/>
                <w:kern w:val="21"/>
                <w:sz w:val="21"/>
                <w:szCs w:val="21"/>
              </w:rPr>
              <w:t>38.57</w:t>
            </w:r>
          </w:p>
        </w:tc>
        <w:tc>
          <w:tcPr>
            <w:tcW w:w="726" w:type="dxa"/>
            <w:vAlign w:val="center"/>
          </w:tcPr>
          <w:p w14:paraId="34FA253E">
            <w:pPr>
              <w:keepNext w:val="0"/>
              <w:keepLines w:val="0"/>
              <w:pageBreakBefore w:val="0"/>
              <w:widowControl/>
              <w:kinsoku/>
              <w:wordWrap/>
              <w:overflowPunct/>
              <w:topLinePunct w:val="0"/>
              <w:bidi w:val="0"/>
              <w:snapToGrid/>
              <w:spacing w:line="220" w:lineRule="exact"/>
              <w:jc w:val="center"/>
              <w:textAlignment w:val="center"/>
              <w:rPr>
                <w:rFonts w:hint="default" w:ascii="Times New Roman" w:hAnsi="Times New Roman" w:cs="Times New Roman" w:eastAsiaTheme="minorEastAsia"/>
                <w:color w:val="000000"/>
                <w:spacing w:val="-11"/>
                <w:kern w:val="21"/>
                <w:sz w:val="21"/>
                <w:szCs w:val="21"/>
              </w:rPr>
            </w:pPr>
            <w:r>
              <w:rPr>
                <w:rFonts w:hint="default" w:ascii="Times New Roman" w:hAnsi="Times New Roman" w:cs="Times New Roman" w:eastAsiaTheme="minorEastAsia"/>
                <w:color w:val="000000"/>
                <w:spacing w:val="-11"/>
                <w:kern w:val="21"/>
                <w:sz w:val="21"/>
                <w:szCs w:val="21"/>
              </w:rPr>
              <w:t>100%</w:t>
            </w:r>
          </w:p>
        </w:tc>
        <w:tc>
          <w:tcPr>
            <w:tcW w:w="693" w:type="dxa"/>
            <w:vAlign w:val="center"/>
          </w:tcPr>
          <w:p w14:paraId="0568B4C6">
            <w:pPr>
              <w:keepNext w:val="0"/>
              <w:keepLines w:val="0"/>
              <w:pageBreakBefore w:val="0"/>
              <w:widowControl/>
              <w:kinsoku/>
              <w:wordWrap/>
              <w:overflowPunct/>
              <w:topLinePunct w:val="0"/>
              <w:bidi w:val="0"/>
              <w:snapToGrid/>
              <w:spacing w:line="220" w:lineRule="exact"/>
              <w:jc w:val="center"/>
              <w:textAlignment w:val="center"/>
              <w:rPr>
                <w:rFonts w:hint="default" w:ascii="Times New Roman" w:hAnsi="Times New Roman" w:cs="Times New Roman" w:eastAsiaTheme="minorEastAsia"/>
                <w:color w:val="000000"/>
                <w:spacing w:val="-11"/>
                <w:kern w:val="21"/>
                <w:sz w:val="21"/>
                <w:szCs w:val="21"/>
              </w:rPr>
            </w:pPr>
          </w:p>
        </w:tc>
        <w:tc>
          <w:tcPr>
            <w:tcW w:w="727" w:type="dxa"/>
            <w:vAlign w:val="center"/>
          </w:tcPr>
          <w:p w14:paraId="347BA867">
            <w:pPr>
              <w:keepNext w:val="0"/>
              <w:keepLines w:val="0"/>
              <w:pageBreakBefore w:val="0"/>
              <w:widowControl/>
              <w:kinsoku/>
              <w:wordWrap/>
              <w:overflowPunct/>
              <w:topLinePunct w:val="0"/>
              <w:bidi w:val="0"/>
              <w:snapToGrid/>
              <w:spacing w:line="220" w:lineRule="exact"/>
              <w:jc w:val="center"/>
              <w:textAlignment w:val="center"/>
              <w:rPr>
                <w:rFonts w:hint="default" w:ascii="Times New Roman" w:hAnsi="Times New Roman" w:cs="Times New Roman" w:eastAsiaTheme="minorEastAsia"/>
                <w:color w:val="000000"/>
                <w:spacing w:val="-11"/>
                <w:kern w:val="21"/>
                <w:sz w:val="21"/>
                <w:szCs w:val="21"/>
              </w:rPr>
            </w:pPr>
          </w:p>
        </w:tc>
        <w:tc>
          <w:tcPr>
            <w:tcW w:w="1548" w:type="dxa"/>
            <w:vAlign w:val="center"/>
          </w:tcPr>
          <w:p w14:paraId="0B977726">
            <w:pPr>
              <w:keepNext w:val="0"/>
              <w:keepLines w:val="0"/>
              <w:pageBreakBefore w:val="0"/>
              <w:widowControl/>
              <w:kinsoku/>
              <w:wordWrap/>
              <w:overflowPunct/>
              <w:topLinePunct w:val="0"/>
              <w:bidi w:val="0"/>
              <w:snapToGrid/>
              <w:spacing w:line="220" w:lineRule="exact"/>
              <w:jc w:val="center"/>
              <w:textAlignment w:val="center"/>
              <w:rPr>
                <w:rFonts w:hint="default" w:ascii="Times New Roman" w:hAnsi="Times New Roman" w:cs="Times New Roman" w:eastAsiaTheme="minorEastAsia"/>
                <w:color w:val="000000"/>
                <w:spacing w:val="-11"/>
                <w:kern w:val="21"/>
                <w:sz w:val="21"/>
                <w:szCs w:val="21"/>
              </w:rPr>
            </w:pPr>
          </w:p>
        </w:tc>
      </w:tr>
      <w:tr w14:paraId="16E79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735" w:type="dxa"/>
            <w:vMerge w:val="continue"/>
            <w:vAlign w:val="center"/>
          </w:tcPr>
          <w:p w14:paraId="1D812AB5">
            <w:pPr>
              <w:pStyle w:val="29"/>
              <w:keepNext w:val="0"/>
              <w:keepLines w:val="0"/>
              <w:pageBreakBefore w:val="0"/>
              <w:kinsoku/>
              <w:wordWrap/>
              <w:overflowPunct/>
              <w:topLinePunct w:val="0"/>
              <w:bidi w:val="0"/>
              <w:snapToGrid/>
              <w:spacing w:line="220" w:lineRule="exact"/>
              <w:ind w:firstLine="336"/>
              <w:jc w:val="center"/>
              <w:rPr>
                <w:rFonts w:hint="default" w:ascii="Times New Roman" w:hAnsi="Times New Roman" w:cs="Times New Roman" w:eastAsiaTheme="minorEastAsia"/>
                <w:spacing w:val="-11"/>
                <w:kern w:val="21"/>
                <w:sz w:val="21"/>
                <w:szCs w:val="21"/>
              </w:rPr>
            </w:pPr>
          </w:p>
        </w:tc>
        <w:tc>
          <w:tcPr>
            <w:tcW w:w="3278" w:type="dxa"/>
            <w:vAlign w:val="center"/>
          </w:tcPr>
          <w:p w14:paraId="3FA70DEC">
            <w:pPr>
              <w:keepNext w:val="0"/>
              <w:keepLines w:val="0"/>
              <w:pageBreakBefore w:val="0"/>
              <w:widowControl/>
              <w:kinsoku/>
              <w:wordWrap/>
              <w:overflowPunct/>
              <w:topLinePunct w:val="0"/>
              <w:bidi w:val="0"/>
              <w:snapToGrid/>
              <w:spacing w:line="220" w:lineRule="exact"/>
              <w:jc w:val="center"/>
              <w:textAlignment w:val="center"/>
              <w:rPr>
                <w:rFonts w:hint="default" w:ascii="Times New Roman" w:hAnsi="Times New Roman" w:cs="Times New Roman" w:eastAsiaTheme="minorEastAsia"/>
                <w:color w:val="000000"/>
                <w:spacing w:val="-11"/>
                <w:kern w:val="21"/>
                <w:sz w:val="21"/>
                <w:szCs w:val="21"/>
              </w:rPr>
            </w:pPr>
            <w:r>
              <w:rPr>
                <w:rFonts w:hint="default" w:ascii="Times New Roman" w:hAnsi="Times New Roman" w:cs="Times New Roman" w:eastAsiaTheme="minorEastAsia"/>
                <w:color w:val="000000"/>
                <w:spacing w:val="-11"/>
                <w:kern w:val="21"/>
                <w:sz w:val="21"/>
                <w:szCs w:val="21"/>
              </w:rPr>
              <w:t>昭化区2021年第二批次第三批次耕地占用税</w:t>
            </w:r>
          </w:p>
        </w:tc>
        <w:tc>
          <w:tcPr>
            <w:tcW w:w="923" w:type="dxa"/>
            <w:vAlign w:val="center"/>
          </w:tcPr>
          <w:p w14:paraId="55951372">
            <w:pPr>
              <w:keepNext w:val="0"/>
              <w:keepLines w:val="0"/>
              <w:pageBreakBefore w:val="0"/>
              <w:widowControl/>
              <w:kinsoku/>
              <w:wordWrap/>
              <w:overflowPunct/>
              <w:topLinePunct w:val="0"/>
              <w:bidi w:val="0"/>
              <w:snapToGrid/>
              <w:spacing w:line="220" w:lineRule="exact"/>
              <w:jc w:val="center"/>
              <w:textAlignment w:val="center"/>
              <w:rPr>
                <w:rFonts w:hint="default" w:ascii="Times New Roman" w:hAnsi="Times New Roman" w:cs="Times New Roman" w:eastAsiaTheme="minorEastAsia"/>
                <w:color w:val="000000"/>
                <w:spacing w:val="-11"/>
                <w:kern w:val="21"/>
                <w:sz w:val="21"/>
                <w:szCs w:val="21"/>
              </w:rPr>
            </w:pPr>
            <w:r>
              <w:rPr>
                <w:rFonts w:hint="default" w:ascii="Times New Roman" w:hAnsi="Times New Roman" w:cs="Times New Roman" w:eastAsiaTheme="minorEastAsia"/>
                <w:color w:val="000000"/>
                <w:spacing w:val="-11"/>
                <w:kern w:val="21"/>
                <w:sz w:val="21"/>
                <w:szCs w:val="21"/>
              </w:rPr>
              <w:t>45.31</w:t>
            </w:r>
          </w:p>
        </w:tc>
        <w:tc>
          <w:tcPr>
            <w:tcW w:w="635" w:type="dxa"/>
            <w:vAlign w:val="center"/>
          </w:tcPr>
          <w:p w14:paraId="2E3226D7">
            <w:pPr>
              <w:keepNext w:val="0"/>
              <w:keepLines w:val="0"/>
              <w:pageBreakBefore w:val="0"/>
              <w:widowControl/>
              <w:kinsoku/>
              <w:wordWrap/>
              <w:overflowPunct/>
              <w:topLinePunct w:val="0"/>
              <w:bidi w:val="0"/>
              <w:snapToGrid/>
              <w:spacing w:line="220" w:lineRule="exact"/>
              <w:jc w:val="center"/>
              <w:textAlignment w:val="center"/>
              <w:rPr>
                <w:rFonts w:hint="default" w:ascii="Times New Roman" w:hAnsi="Times New Roman" w:cs="Times New Roman" w:eastAsiaTheme="minorEastAsia"/>
                <w:color w:val="000000"/>
                <w:spacing w:val="-11"/>
                <w:kern w:val="21"/>
                <w:sz w:val="21"/>
                <w:szCs w:val="21"/>
              </w:rPr>
            </w:pPr>
            <w:r>
              <w:rPr>
                <w:rFonts w:hint="default" w:ascii="Times New Roman" w:hAnsi="Times New Roman" w:cs="Times New Roman" w:eastAsiaTheme="minorEastAsia"/>
                <w:color w:val="000000"/>
                <w:spacing w:val="-11"/>
                <w:kern w:val="21"/>
                <w:sz w:val="21"/>
                <w:szCs w:val="21"/>
              </w:rPr>
              <w:t>45.31</w:t>
            </w:r>
          </w:p>
        </w:tc>
        <w:tc>
          <w:tcPr>
            <w:tcW w:w="727" w:type="dxa"/>
            <w:vAlign w:val="center"/>
          </w:tcPr>
          <w:p w14:paraId="1687B333">
            <w:pPr>
              <w:keepNext w:val="0"/>
              <w:keepLines w:val="0"/>
              <w:pageBreakBefore w:val="0"/>
              <w:widowControl/>
              <w:kinsoku/>
              <w:wordWrap/>
              <w:overflowPunct/>
              <w:topLinePunct w:val="0"/>
              <w:bidi w:val="0"/>
              <w:snapToGrid/>
              <w:spacing w:line="220" w:lineRule="exact"/>
              <w:jc w:val="center"/>
              <w:textAlignment w:val="center"/>
              <w:rPr>
                <w:rFonts w:hint="default" w:ascii="Times New Roman" w:hAnsi="Times New Roman" w:cs="Times New Roman" w:eastAsiaTheme="minorEastAsia"/>
                <w:color w:val="000000"/>
                <w:spacing w:val="-11"/>
                <w:kern w:val="21"/>
                <w:sz w:val="21"/>
                <w:szCs w:val="21"/>
              </w:rPr>
            </w:pPr>
            <w:r>
              <w:rPr>
                <w:rFonts w:hint="default" w:ascii="Times New Roman" w:hAnsi="Times New Roman" w:cs="Times New Roman" w:eastAsiaTheme="minorEastAsia"/>
                <w:color w:val="000000"/>
                <w:spacing w:val="-11"/>
                <w:kern w:val="21"/>
                <w:sz w:val="21"/>
                <w:szCs w:val="21"/>
              </w:rPr>
              <w:t>100%</w:t>
            </w:r>
          </w:p>
        </w:tc>
        <w:tc>
          <w:tcPr>
            <w:tcW w:w="635" w:type="dxa"/>
            <w:vAlign w:val="center"/>
          </w:tcPr>
          <w:p w14:paraId="606C2EC6">
            <w:pPr>
              <w:keepNext w:val="0"/>
              <w:keepLines w:val="0"/>
              <w:pageBreakBefore w:val="0"/>
              <w:widowControl/>
              <w:kinsoku/>
              <w:wordWrap/>
              <w:overflowPunct/>
              <w:topLinePunct w:val="0"/>
              <w:bidi w:val="0"/>
              <w:snapToGrid/>
              <w:spacing w:line="220" w:lineRule="exact"/>
              <w:jc w:val="center"/>
              <w:textAlignment w:val="center"/>
              <w:rPr>
                <w:rFonts w:hint="default" w:ascii="Times New Roman" w:hAnsi="Times New Roman" w:cs="Times New Roman" w:eastAsiaTheme="minorEastAsia"/>
                <w:color w:val="000000"/>
                <w:spacing w:val="-11"/>
                <w:kern w:val="21"/>
                <w:sz w:val="21"/>
                <w:szCs w:val="21"/>
              </w:rPr>
            </w:pPr>
          </w:p>
        </w:tc>
        <w:tc>
          <w:tcPr>
            <w:tcW w:w="726" w:type="dxa"/>
            <w:vAlign w:val="center"/>
          </w:tcPr>
          <w:p w14:paraId="71FA530D">
            <w:pPr>
              <w:keepNext w:val="0"/>
              <w:keepLines w:val="0"/>
              <w:pageBreakBefore w:val="0"/>
              <w:widowControl/>
              <w:kinsoku/>
              <w:wordWrap/>
              <w:overflowPunct/>
              <w:topLinePunct w:val="0"/>
              <w:bidi w:val="0"/>
              <w:snapToGrid/>
              <w:spacing w:line="220" w:lineRule="exact"/>
              <w:jc w:val="center"/>
              <w:textAlignment w:val="center"/>
              <w:rPr>
                <w:rFonts w:hint="default" w:ascii="Times New Roman" w:hAnsi="Times New Roman" w:cs="Times New Roman" w:eastAsiaTheme="minorEastAsia"/>
                <w:color w:val="000000"/>
                <w:spacing w:val="-11"/>
                <w:kern w:val="21"/>
                <w:sz w:val="21"/>
                <w:szCs w:val="21"/>
              </w:rPr>
            </w:pPr>
          </w:p>
        </w:tc>
        <w:tc>
          <w:tcPr>
            <w:tcW w:w="693" w:type="dxa"/>
            <w:vAlign w:val="center"/>
          </w:tcPr>
          <w:p w14:paraId="3F3FC357">
            <w:pPr>
              <w:keepNext w:val="0"/>
              <w:keepLines w:val="0"/>
              <w:pageBreakBefore w:val="0"/>
              <w:widowControl/>
              <w:kinsoku/>
              <w:wordWrap/>
              <w:overflowPunct/>
              <w:topLinePunct w:val="0"/>
              <w:bidi w:val="0"/>
              <w:snapToGrid/>
              <w:spacing w:line="220" w:lineRule="exact"/>
              <w:jc w:val="center"/>
              <w:textAlignment w:val="center"/>
              <w:rPr>
                <w:rFonts w:hint="default" w:ascii="Times New Roman" w:hAnsi="Times New Roman" w:cs="Times New Roman" w:eastAsiaTheme="minorEastAsia"/>
                <w:color w:val="000000"/>
                <w:spacing w:val="-11"/>
                <w:kern w:val="21"/>
                <w:sz w:val="21"/>
                <w:szCs w:val="21"/>
              </w:rPr>
            </w:pPr>
          </w:p>
        </w:tc>
        <w:tc>
          <w:tcPr>
            <w:tcW w:w="727" w:type="dxa"/>
            <w:vAlign w:val="center"/>
          </w:tcPr>
          <w:p w14:paraId="1C32625C">
            <w:pPr>
              <w:keepNext w:val="0"/>
              <w:keepLines w:val="0"/>
              <w:pageBreakBefore w:val="0"/>
              <w:widowControl/>
              <w:kinsoku/>
              <w:wordWrap/>
              <w:overflowPunct/>
              <w:topLinePunct w:val="0"/>
              <w:bidi w:val="0"/>
              <w:snapToGrid/>
              <w:spacing w:line="220" w:lineRule="exact"/>
              <w:jc w:val="center"/>
              <w:textAlignment w:val="center"/>
              <w:rPr>
                <w:rFonts w:hint="default" w:ascii="Times New Roman" w:hAnsi="Times New Roman" w:cs="Times New Roman" w:eastAsiaTheme="minorEastAsia"/>
                <w:color w:val="000000"/>
                <w:spacing w:val="-11"/>
                <w:kern w:val="21"/>
                <w:sz w:val="21"/>
                <w:szCs w:val="21"/>
              </w:rPr>
            </w:pPr>
          </w:p>
        </w:tc>
        <w:tc>
          <w:tcPr>
            <w:tcW w:w="1548" w:type="dxa"/>
            <w:vAlign w:val="center"/>
          </w:tcPr>
          <w:p w14:paraId="2BA04E60">
            <w:pPr>
              <w:keepNext w:val="0"/>
              <w:keepLines w:val="0"/>
              <w:pageBreakBefore w:val="0"/>
              <w:widowControl/>
              <w:kinsoku/>
              <w:wordWrap/>
              <w:overflowPunct/>
              <w:topLinePunct w:val="0"/>
              <w:bidi w:val="0"/>
              <w:snapToGrid/>
              <w:spacing w:line="220" w:lineRule="exact"/>
              <w:jc w:val="center"/>
              <w:textAlignment w:val="center"/>
              <w:rPr>
                <w:rFonts w:hint="default" w:ascii="Times New Roman" w:hAnsi="Times New Roman" w:cs="Times New Roman" w:eastAsiaTheme="minorEastAsia"/>
                <w:color w:val="000000"/>
                <w:spacing w:val="-11"/>
                <w:kern w:val="21"/>
                <w:sz w:val="21"/>
                <w:szCs w:val="21"/>
              </w:rPr>
            </w:pPr>
          </w:p>
        </w:tc>
      </w:tr>
      <w:tr w14:paraId="77B01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735" w:type="dxa"/>
            <w:vMerge w:val="continue"/>
            <w:vAlign w:val="center"/>
          </w:tcPr>
          <w:p w14:paraId="2AEADF1C">
            <w:pPr>
              <w:pStyle w:val="29"/>
              <w:keepNext w:val="0"/>
              <w:keepLines w:val="0"/>
              <w:pageBreakBefore w:val="0"/>
              <w:kinsoku/>
              <w:wordWrap/>
              <w:overflowPunct/>
              <w:topLinePunct w:val="0"/>
              <w:bidi w:val="0"/>
              <w:snapToGrid/>
              <w:spacing w:line="220" w:lineRule="exact"/>
              <w:ind w:firstLine="336"/>
              <w:jc w:val="center"/>
              <w:rPr>
                <w:rFonts w:hint="default" w:ascii="Times New Roman" w:hAnsi="Times New Roman" w:cs="Times New Roman" w:eastAsiaTheme="minorEastAsia"/>
                <w:spacing w:val="-11"/>
                <w:kern w:val="21"/>
                <w:sz w:val="21"/>
                <w:szCs w:val="21"/>
              </w:rPr>
            </w:pPr>
          </w:p>
        </w:tc>
        <w:tc>
          <w:tcPr>
            <w:tcW w:w="3278" w:type="dxa"/>
            <w:vAlign w:val="center"/>
          </w:tcPr>
          <w:p w14:paraId="08832717">
            <w:pPr>
              <w:keepNext w:val="0"/>
              <w:keepLines w:val="0"/>
              <w:pageBreakBefore w:val="0"/>
              <w:widowControl/>
              <w:kinsoku/>
              <w:wordWrap/>
              <w:overflowPunct/>
              <w:topLinePunct w:val="0"/>
              <w:bidi w:val="0"/>
              <w:snapToGrid/>
              <w:spacing w:line="220" w:lineRule="exact"/>
              <w:jc w:val="center"/>
              <w:textAlignment w:val="center"/>
              <w:rPr>
                <w:rFonts w:hint="default" w:ascii="Times New Roman" w:hAnsi="Times New Roman" w:cs="Times New Roman" w:eastAsiaTheme="minorEastAsia"/>
                <w:color w:val="000000"/>
                <w:spacing w:val="-11"/>
                <w:kern w:val="21"/>
                <w:sz w:val="21"/>
                <w:szCs w:val="21"/>
              </w:rPr>
            </w:pPr>
            <w:r>
              <w:rPr>
                <w:rFonts w:hint="default" w:ascii="Times New Roman" w:hAnsi="Times New Roman" w:cs="Times New Roman" w:eastAsiaTheme="minorEastAsia"/>
                <w:color w:val="000000"/>
                <w:spacing w:val="-11"/>
                <w:kern w:val="21"/>
                <w:sz w:val="21"/>
                <w:szCs w:val="21"/>
              </w:rPr>
              <w:t>昭化区2021年第三批次建设用地新增建设用地有偿使用费</w:t>
            </w:r>
          </w:p>
        </w:tc>
        <w:tc>
          <w:tcPr>
            <w:tcW w:w="923" w:type="dxa"/>
            <w:vAlign w:val="center"/>
          </w:tcPr>
          <w:p w14:paraId="0B650C11">
            <w:pPr>
              <w:keepNext w:val="0"/>
              <w:keepLines w:val="0"/>
              <w:pageBreakBefore w:val="0"/>
              <w:widowControl/>
              <w:kinsoku/>
              <w:wordWrap/>
              <w:overflowPunct/>
              <w:topLinePunct w:val="0"/>
              <w:bidi w:val="0"/>
              <w:snapToGrid/>
              <w:spacing w:line="220" w:lineRule="exact"/>
              <w:jc w:val="center"/>
              <w:textAlignment w:val="center"/>
              <w:rPr>
                <w:rFonts w:hint="default" w:ascii="Times New Roman" w:hAnsi="Times New Roman" w:cs="Times New Roman" w:eastAsiaTheme="minorEastAsia"/>
                <w:color w:val="000000"/>
                <w:spacing w:val="-11"/>
                <w:kern w:val="21"/>
                <w:sz w:val="21"/>
                <w:szCs w:val="21"/>
              </w:rPr>
            </w:pPr>
            <w:r>
              <w:rPr>
                <w:rFonts w:hint="default" w:ascii="Times New Roman" w:hAnsi="Times New Roman" w:cs="Times New Roman" w:eastAsiaTheme="minorEastAsia"/>
                <w:color w:val="000000"/>
                <w:spacing w:val="-11"/>
                <w:kern w:val="21"/>
                <w:sz w:val="21"/>
                <w:szCs w:val="21"/>
              </w:rPr>
              <w:t>19.43</w:t>
            </w:r>
          </w:p>
        </w:tc>
        <w:tc>
          <w:tcPr>
            <w:tcW w:w="635" w:type="dxa"/>
            <w:vAlign w:val="center"/>
          </w:tcPr>
          <w:p w14:paraId="67712490">
            <w:pPr>
              <w:keepNext w:val="0"/>
              <w:keepLines w:val="0"/>
              <w:pageBreakBefore w:val="0"/>
              <w:widowControl/>
              <w:kinsoku/>
              <w:wordWrap/>
              <w:overflowPunct/>
              <w:topLinePunct w:val="0"/>
              <w:bidi w:val="0"/>
              <w:snapToGrid/>
              <w:spacing w:line="220" w:lineRule="exact"/>
              <w:jc w:val="center"/>
              <w:textAlignment w:val="center"/>
              <w:rPr>
                <w:rFonts w:hint="default" w:ascii="Times New Roman" w:hAnsi="Times New Roman" w:cs="Times New Roman" w:eastAsiaTheme="minorEastAsia"/>
                <w:color w:val="000000"/>
                <w:spacing w:val="-11"/>
                <w:kern w:val="21"/>
                <w:sz w:val="21"/>
                <w:szCs w:val="21"/>
              </w:rPr>
            </w:pPr>
            <w:r>
              <w:rPr>
                <w:rFonts w:hint="default" w:ascii="Times New Roman" w:hAnsi="Times New Roman" w:cs="Times New Roman" w:eastAsiaTheme="minorEastAsia"/>
                <w:color w:val="000000"/>
                <w:spacing w:val="-11"/>
                <w:kern w:val="21"/>
                <w:sz w:val="21"/>
                <w:szCs w:val="21"/>
              </w:rPr>
              <w:t>19.43</w:t>
            </w:r>
          </w:p>
        </w:tc>
        <w:tc>
          <w:tcPr>
            <w:tcW w:w="727" w:type="dxa"/>
            <w:vAlign w:val="center"/>
          </w:tcPr>
          <w:p w14:paraId="1BC81D66">
            <w:pPr>
              <w:keepNext w:val="0"/>
              <w:keepLines w:val="0"/>
              <w:pageBreakBefore w:val="0"/>
              <w:widowControl/>
              <w:kinsoku/>
              <w:wordWrap/>
              <w:overflowPunct/>
              <w:topLinePunct w:val="0"/>
              <w:bidi w:val="0"/>
              <w:snapToGrid/>
              <w:spacing w:line="220" w:lineRule="exact"/>
              <w:jc w:val="center"/>
              <w:textAlignment w:val="center"/>
              <w:rPr>
                <w:rFonts w:hint="default" w:ascii="Times New Roman" w:hAnsi="Times New Roman" w:cs="Times New Roman" w:eastAsiaTheme="minorEastAsia"/>
                <w:color w:val="000000"/>
                <w:spacing w:val="-11"/>
                <w:kern w:val="21"/>
                <w:sz w:val="21"/>
                <w:szCs w:val="21"/>
              </w:rPr>
            </w:pPr>
            <w:r>
              <w:rPr>
                <w:rFonts w:hint="default" w:ascii="Times New Roman" w:hAnsi="Times New Roman" w:cs="Times New Roman" w:eastAsiaTheme="minorEastAsia"/>
                <w:color w:val="000000"/>
                <w:spacing w:val="-11"/>
                <w:kern w:val="21"/>
                <w:sz w:val="21"/>
                <w:szCs w:val="21"/>
              </w:rPr>
              <w:t>100%</w:t>
            </w:r>
          </w:p>
        </w:tc>
        <w:tc>
          <w:tcPr>
            <w:tcW w:w="635" w:type="dxa"/>
            <w:vAlign w:val="center"/>
          </w:tcPr>
          <w:p w14:paraId="0CEF858E">
            <w:pPr>
              <w:keepNext w:val="0"/>
              <w:keepLines w:val="0"/>
              <w:pageBreakBefore w:val="0"/>
              <w:widowControl/>
              <w:kinsoku/>
              <w:wordWrap/>
              <w:overflowPunct/>
              <w:topLinePunct w:val="0"/>
              <w:bidi w:val="0"/>
              <w:snapToGrid/>
              <w:spacing w:line="220" w:lineRule="exact"/>
              <w:jc w:val="center"/>
              <w:textAlignment w:val="center"/>
              <w:rPr>
                <w:rFonts w:hint="default" w:ascii="Times New Roman" w:hAnsi="Times New Roman" w:cs="Times New Roman" w:eastAsiaTheme="minorEastAsia"/>
                <w:color w:val="000000"/>
                <w:spacing w:val="-11"/>
                <w:kern w:val="21"/>
                <w:sz w:val="21"/>
                <w:szCs w:val="21"/>
              </w:rPr>
            </w:pPr>
          </w:p>
        </w:tc>
        <w:tc>
          <w:tcPr>
            <w:tcW w:w="726" w:type="dxa"/>
            <w:vAlign w:val="center"/>
          </w:tcPr>
          <w:p w14:paraId="5CFDB8B3">
            <w:pPr>
              <w:keepNext w:val="0"/>
              <w:keepLines w:val="0"/>
              <w:pageBreakBefore w:val="0"/>
              <w:widowControl/>
              <w:kinsoku/>
              <w:wordWrap/>
              <w:overflowPunct/>
              <w:topLinePunct w:val="0"/>
              <w:bidi w:val="0"/>
              <w:snapToGrid/>
              <w:spacing w:line="220" w:lineRule="exact"/>
              <w:jc w:val="center"/>
              <w:textAlignment w:val="center"/>
              <w:rPr>
                <w:rFonts w:hint="default" w:ascii="Times New Roman" w:hAnsi="Times New Roman" w:cs="Times New Roman" w:eastAsiaTheme="minorEastAsia"/>
                <w:color w:val="000000"/>
                <w:spacing w:val="-11"/>
                <w:kern w:val="21"/>
                <w:sz w:val="21"/>
                <w:szCs w:val="21"/>
              </w:rPr>
            </w:pPr>
          </w:p>
        </w:tc>
        <w:tc>
          <w:tcPr>
            <w:tcW w:w="693" w:type="dxa"/>
            <w:vAlign w:val="center"/>
          </w:tcPr>
          <w:p w14:paraId="581AC625">
            <w:pPr>
              <w:keepNext w:val="0"/>
              <w:keepLines w:val="0"/>
              <w:pageBreakBefore w:val="0"/>
              <w:widowControl/>
              <w:kinsoku/>
              <w:wordWrap/>
              <w:overflowPunct/>
              <w:topLinePunct w:val="0"/>
              <w:bidi w:val="0"/>
              <w:snapToGrid/>
              <w:spacing w:line="220" w:lineRule="exact"/>
              <w:jc w:val="center"/>
              <w:textAlignment w:val="center"/>
              <w:rPr>
                <w:rFonts w:hint="default" w:ascii="Times New Roman" w:hAnsi="Times New Roman" w:cs="Times New Roman" w:eastAsiaTheme="minorEastAsia"/>
                <w:color w:val="000000"/>
                <w:spacing w:val="-11"/>
                <w:kern w:val="21"/>
                <w:sz w:val="21"/>
                <w:szCs w:val="21"/>
              </w:rPr>
            </w:pPr>
          </w:p>
        </w:tc>
        <w:tc>
          <w:tcPr>
            <w:tcW w:w="727" w:type="dxa"/>
            <w:vAlign w:val="center"/>
          </w:tcPr>
          <w:p w14:paraId="7E966A05">
            <w:pPr>
              <w:keepNext w:val="0"/>
              <w:keepLines w:val="0"/>
              <w:pageBreakBefore w:val="0"/>
              <w:widowControl/>
              <w:kinsoku/>
              <w:wordWrap/>
              <w:overflowPunct/>
              <w:topLinePunct w:val="0"/>
              <w:bidi w:val="0"/>
              <w:snapToGrid/>
              <w:spacing w:line="220" w:lineRule="exact"/>
              <w:jc w:val="center"/>
              <w:textAlignment w:val="center"/>
              <w:rPr>
                <w:rFonts w:hint="default" w:ascii="Times New Roman" w:hAnsi="Times New Roman" w:cs="Times New Roman" w:eastAsiaTheme="minorEastAsia"/>
                <w:color w:val="000000"/>
                <w:spacing w:val="-11"/>
                <w:kern w:val="21"/>
                <w:sz w:val="21"/>
                <w:szCs w:val="21"/>
              </w:rPr>
            </w:pPr>
          </w:p>
        </w:tc>
        <w:tc>
          <w:tcPr>
            <w:tcW w:w="1548" w:type="dxa"/>
            <w:vAlign w:val="center"/>
          </w:tcPr>
          <w:p w14:paraId="55E43068">
            <w:pPr>
              <w:keepNext w:val="0"/>
              <w:keepLines w:val="0"/>
              <w:pageBreakBefore w:val="0"/>
              <w:widowControl/>
              <w:kinsoku/>
              <w:wordWrap/>
              <w:overflowPunct/>
              <w:topLinePunct w:val="0"/>
              <w:bidi w:val="0"/>
              <w:snapToGrid/>
              <w:spacing w:line="220" w:lineRule="exact"/>
              <w:jc w:val="center"/>
              <w:textAlignment w:val="center"/>
              <w:rPr>
                <w:rFonts w:hint="default" w:ascii="Times New Roman" w:hAnsi="Times New Roman" w:cs="Times New Roman" w:eastAsiaTheme="minorEastAsia"/>
                <w:color w:val="000000"/>
                <w:spacing w:val="-11"/>
                <w:kern w:val="21"/>
                <w:sz w:val="21"/>
                <w:szCs w:val="21"/>
              </w:rPr>
            </w:pPr>
          </w:p>
        </w:tc>
      </w:tr>
      <w:tr w14:paraId="3DFB2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735" w:type="dxa"/>
            <w:vMerge w:val="continue"/>
            <w:vAlign w:val="center"/>
          </w:tcPr>
          <w:p w14:paraId="7FD85E35">
            <w:pPr>
              <w:pStyle w:val="29"/>
              <w:keepNext w:val="0"/>
              <w:keepLines w:val="0"/>
              <w:pageBreakBefore w:val="0"/>
              <w:kinsoku/>
              <w:wordWrap/>
              <w:overflowPunct/>
              <w:topLinePunct w:val="0"/>
              <w:bidi w:val="0"/>
              <w:snapToGrid/>
              <w:spacing w:line="220" w:lineRule="exact"/>
              <w:ind w:firstLine="336"/>
              <w:jc w:val="center"/>
              <w:rPr>
                <w:rFonts w:hint="default" w:ascii="Times New Roman" w:hAnsi="Times New Roman" w:cs="Times New Roman" w:eastAsiaTheme="minorEastAsia"/>
                <w:spacing w:val="-11"/>
                <w:kern w:val="21"/>
                <w:sz w:val="21"/>
                <w:szCs w:val="21"/>
              </w:rPr>
            </w:pPr>
          </w:p>
        </w:tc>
        <w:tc>
          <w:tcPr>
            <w:tcW w:w="3278" w:type="dxa"/>
            <w:vAlign w:val="center"/>
          </w:tcPr>
          <w:p w14:paraId="51AFEA99">
            <w:pPr>
              <w:keepNext w:val="0"/>
              <w:keepLines w:val="0"/>
              <w:pageBreakBefore w:val="0"/>
              <w:widowControl/>
              <w:kinsoku/>
              <w:wordWrap/>
              <w:overflowPunct/>
              <w:topLinePunct w:val="0"/>
              <w:bidi w:val="0"/>
              <w:snapToGrid/>
              <w:spacing w:line="220" w:lineRule="exact"/>
              <w:jc w:val="center"/>
              <w:textAlignment w:val="center"/>
              <w:rPr>
                <w:rFonts w:hint="default" w:ascii="Times New Roman" w:hAnsi="Times New Roman" w:cs="Times New Roman" w:eastAsiaTheme="minorEastAsia"/>
                <w:color w:val="000000"/>
                <w:spacing w:val="-11"/>
                <w:kern w:val="21"/>
                <w:sz w:val="21"/>
                <w:szCs w:val="21"/>
              </w:rPr>
            </w:pPr>
            <w:r>
              <w:rPr>
                <w:rFonts w:hint="default" w:ascii="Times New Roman" w:hAnsi="Times New Roman" w:cs="Times New Roman" w:eastAsiaTheme="minorEastAsia"/>
                <w:color w:val="000000"/>
                <w:spacing w:val="-11"/>
                <w:kern w:val="21"/>
                <w:sz w:val="21"/>
                <w:szCs w:val="21"/>
              </w:rPr>
              <w:t>成片开发傅家店3个地块建设项目土地勘探定界费用</w:t>
            </w:r>
          </w:p>
        </w:tc>
        <w:tc>
          <w:tcPr>
            <w:tcW w:w="923" w:type="dxa"/>
            <w:vAlign w:val="center"/>
          </w:tcPr>
          <w:p w14:paraId="4BB88EE9">
            <w:pPr>
              <w:keepNext w:val="0"/>
              <w:keepLines w:val="0"/>
              <w:pageBreakBefore w:val="0"/>
              <w:widowControl/>
              <w:kinsoku/>
              <w:wordWrap/>
              <w:overflowPunct/>
              <w:topLinePunct w:val="0"/>
              <w:bidi w:val="0"/>
              <w:snapToGrid/>
              <w:spacing w:line="220" w:lineRule="exact"/>
              <w:jc w:val="center"/>
              <w:textAlignment w:val="center"/>
              <w:rPr>
                <w:rFonts w:hint="default" w:ascii="Times New Roman" w:hAnsi="Times New Roman" w:cs="Times New Roman" w:eastAsiaTheme="minorEastAsia"/>
                <w:color w:val="000000"/>
                <w:spacing w:val="-11"/>
                <w:kern w:val="21"/>
                <w:sz w:val="21"/>
                <w:szCs w:val="21"/>
              </w:rPr>
            </w:pPr>
            <w:r>
              <w:rPr>
                <w:rFonts w:hint="default" w:ascii="Times New Roman" w:hAnsi="Times New Roman" w:cs="Times New Roman" w:eastAsiaTheme="minorEastAsia"/>
                <w:color w:val="000000"/>
                <w:spacing w:val="-11"/>
                <w:kern w:val="21"/>
                <w:sz w:val="21"/>
                <w:szCs w:val="21"/>
              </w:rPr>
              <w:t>4.8</w:t>
            </w:r>
          </w:p>
        </w:tc>
        <w:tc>
          <w:tcPr>
            <w:tcW w:w="635" w:type="dxa"/>
            <w:vAlign w:val="center"/>
          </w:tcPr>
          <w:p w14:paraId="1D3DB8C0">
            <w:pPr>
              <w:keepNext w:val="0"/>
              <w:keepLines w:val="0"/>
              <w:pageBreakBefore w:val="0"/>
              <w:widowControl/>
              <w:kinsoku/>
              <w:wordWrap/>
              <w:overflowPunct/>
              <w:topLinePunct w:val="0"/>
              <w:bidi w:val="0"/>
              <w:snapToGrid/>
              <w:spacing w:line="220" w:lineRule="exact"/>
              <w:jc w:val="center"/>
              <w:textAlignment w:val="center"/>
              <w:rPr>
                <w:rFonts w:hint="default" w:ascii="Times New Roman" w:hAnsi="Times New Roman" w:cs="Times New Roman" w:eastAsiaTheme="minorEastAsia"/>
                <w:color w:val="000000"/>
                <w:spacing w:val="-11"/>
                <w:kern w:val="21"/>
                <w:sz w:val="21"/>
                <w:szCs w:val="21"/>
              </w:rPr>
            </w:pPr>
          </w:p>
        </w:tc>
        <w:tc>
          <w:tcPr>
            <w:tcW w:w="727" w:type="dxa"/>
            <w:vAlign w:val="center"/>
          </w:tcPr>
          <w:p w14:paraId="000C9C0A">
            <w:pPr>
              <w:keepNext w:val="0"/>
              <w:keepLines w:val="0"/>
              <w:pageBreakBefore w:val="0"/>
              <w:widowControl/>
              <w:kinsoku/>
              <w:wordWrap/>
              <w:overflowPunct/>
              <w:topLinePunct w:val="0"/>
              <w:bidi w:val="0"/>
              <w:snapToGrid/>
              <w:spacing w:line="220" w:lineRule="exact"/>
              <w:jc w:val="center"/>
              <w:textAlignment w:val="center"/>
              <w:rPr>
                <w:rFonts w:hint="default" w:ascii="Times New Roman" w:hAnsi="Times New Roman" w:cs="Times New Roman" w:eastAsiaTheme="minorEastAsia"/>
                <w:color w:val="000000"/>
                <w:spacing w:val="-11"/>
                <w:kern w:val="21"/>
                <w:sz w:val="21"/>
                <w:szCs w:val="21"/>
              </w:rPr>
            </w:pPr>
          </w:p>
        </w:tc>
        <w:tc>
          <w:tcPr>
            <w:tcW w:w="635" w:type="dxa"/>
            <w:vAlign w:val="center"/>
          </w:tcPr>
          <w:p w14:paraId="569C6735">
            <w:pPr>
              <w:keepNext w:val="0"/>
              <w:keepLines w:val="0"/>
              <w:pageBreakBefore w:val="0"/>
              <w:widowControl/>
              <w:kinsoku/>
              <w:wordWrap/>
              <w:overflowPunct/>
              <w:topLinePunct w:val="0"/>
              <w:bidi w:val="0"/>
              <w:snapToGrid/>
              <w:spacing w:line="220" w:lineRule="exact"/>
              <w:jc w:val="center"/>
              <w:textAlignment w:val="center"/>
              <w:rPr>
                <w:rFonts w:hint="default" w:ascii="Times New Roman" w:hAnsi="Times New Roman" w:cs="Times New Roman" w:eastAsiaTheme="minorEastAsia"/>
                <w:color w:val="000000"/>
                <w:spacing w:val="-11"/>
                <w:kern w:val="21"/>
                <w:sz w:val="21"/>
                <w:szCs w:val="21"/>
              </w:rPr>
            </w:pPr>
            <w:r>
              <w:rPr>
                <w:rFonts w:hint="default" w:ascii="Times New Roman" w:hAnsi="Times New Roman" w:cs="Times New Roman" w:eastAsiaTheme="minorEastAsia"/>
                <w:color w:val="000000"/>
                <w:spacing w:val="-11"/>
                <w:kern w:val="21"/>
                <w:sz w:val="21"/>
                <w:szCs w:val="21"/>
              </w:rPr>
              <w:t>4.8</w:t>
            </w:r>
          </w:p>
        </w:tc>
        <w:tc>
          <w:tcPr>
            <w:tcW w:w="726" w:type="dxa"/>
            <w:vAlign w:val="center"/>
          </w:tcPr>
          <w:p w14:paraId="61900D05">
            <w:pPr>
              <w:keepNext w:val="0"/>
              <w:keepLines w:val="0"/>
              <w:pageBreakBefore w:val="0"/>
              <w:widowControl/>
              <w:kinsoku/>
              <w:wordWrap/>
              <w:overflowPunct/>
              <w:topLinePunct w:val="0"/>
              <w:bidi w:val="0"/>
              <w:snapToGrid/>
              <w:spacing w:line="220" w:lineRule="exact"/>
              <w:jc w:val="center"/>
              <w:textAlignment w:val="center"/>
              <w:rPr>
                <w:rFonts w:hint="default" w:ascii="Times New Roman" w:hAnsi="Times New Roman" w:cs="Times New Roman" w:eastAsiaTheme="minorEastAsia"/>
                <w:color w:val="000000"/>
                <w:spacing w:val="-11"/>
                <w:kern w:val="21"/>
                <w:sz w:val="21"/>
                <w:szCs w:val="21"/>
              </w:rPr>
            </w:pPr>
            <w:r>
              <w:rPr>
                <w:rFonts w:hint="default" w:ascii="Times New Roman" w:hAnsi="Times New Roman" w:cs="Times New Roman" w:eastAsiaTheme="minorEastAsia"/>
                <w:color w:val="000000"/>
                <w:spacing w:val="-11"/>
                <w:kern w:val="21"/>
                <w:sz w:val="21"/>
                <w:szCs w:val="21"/>
              </w:rPr>
              <w:t>100%</w:t>
            </w:r>
          </w:p>
        </w:tc>
        <w:tc>
          <w:tcPr>
            <w:tcW w:w="693" w:type="dxa"/>
            <w:vAlign w:val="center"/>
          </w:tcPr>
          <w:p w14:paraId="32FB9E89">
            <w:pPr>
              <w:keepNext w:val="0"/>
              <w:keepLines w:val="0"/>
              <w:pageBreakBefore w:val="0"/>
              <w:widowControl/>
              <w:kinsoku/>
              <w:wordWrap/>
              <w:overflowPunct/>
              <w:topLinePunct w:val="0"/>
              <w:bidi w:val="0"/>
              <w:snapToGrid/>
              <w:spacing w:line="220" w:lineRule="exact"/>
              <w:jc w:val="center"/>
              <w:textAlignment w:val="center"/>
              <w:rPr>
                <w:rFonts w:hint="default" w:ascii="Times New Roman" w:hAnsi="Times New Roman" w:cs="Times New Roman" w:eastAsiaTheme="minorEastAsia"/>
                <w:color w:val="000000"/>
                <w:spacing w:val="-11"/>
                <w:kern w:val="21"/>
                <w:sz w:val="21"/>
                <w:szCs w:val="21"/>
              </w:rPr>
            </w:pPr>
          </w:p>
        </w:tc>
        <w:tc>
          <w:tcPr>
            <w:tcW w:w="727" w:type="dxa"/>
            <w:vAlign w:val="center"/>
          </w:tcPr>
          <w:p w14:paraId="406C44B2">
            <w:pPr>
              <w:keepNext w:val="0"/>
              <w:keepLines w:val="0"/>
              <w:pageBreakBefore w:val="0"/>
              <w:widowControl/>
              <w:kinsoku/>
              <w:wordWrap/>
              <w:overflowPunct/>
              <w:topLinePunct w:val="0"/>
              <w:bidi w:val="0"/>
              <w:snapToGrid/>
              <w:spacing w:line="220" w:lineRule="exact"/>
              <w:jc w:val="center"/>
              <w:textAlignment w:val="center"/>
              <w:rPr>
                <w:rFonts w:hint="default" w:ascii="Times New Roman" w:hAnsi="Times New Roman" w:cs="Times New Roman" w:eastAsiaTheme="minorEastAsia"/>
                <w:color w:val="000000"/>
                <w:spacing w:val="-11"/>
                <w:kern w:val="21"/>
                <w:sz w:val="21"/>
                <w:szCs w:val="21"/>
              </w:rPr>
            </w:pPr>
          </w:p>
        </w:tc>
        <w:tc>
          <w:tcPr>
            <w:tcW w:w="1548" w:type="dxa"/>
            <w:vAlign w:val="center"/>
          </w:tcPr>
          <w:p w14:paraId="072C176F">
            <w:pPr>
              <w:keepNext w:val="0"/>
              <w:keepLines w:val="0"/>
              <w:pageBreakBefore w:val="0"/>
              <w:widowControl/>
              <w:kinsoku/>
              <w:wordWrap/>
              <w:overflowPunct/>
              <w:topLinePunct w:val="0"/>
              <w:bidi w:val="0"/>
              <w:snapToGrid/>
              <w:spacing w:line="220" w:lineRule="exact"/>
              <w:jc w:val="center"/>
              <w:textAlignment w:val="center"/>
              <w:rPr>
                <w:rFonts w:hint="default" w:ascii="Times New Roman" w:hAnsi="Times New Roman" w:cs="Times New Roman" w:eastAsiaTheme="minorEastAsia"/>
                <w:color w:val="000000"/>
                <w:spacing w:val="-11"/>
                <w:kern w:val="21"/>
                <w:sz w:val="21"/>
                <w:szCs w:val="21"/>
              </w:rPr>
            </w:pPr>
          </w:p>
        </w:tc>
      </w:tr>
      <w:tr w14:paraId="4B351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735" w:type="dxa"/>
            <w:vMerge w:val="continue"/>
            <w:vAlign w:val="center"/>
          </w:tcPr>
          <w:p w14:paraId="5595B567">
            <w:pPr>
              <w:pStyle w:val="29"/>
              <w:keepNext w:val="0"/>
              <w:keepLines w:val="0"/>
              <w:pageBreakBefore w:val="0"/>
              <w:kinsoku/>
              <w:wordWrap/>
              <w:overflowPunct/>
              <w:topLinePunct w:val="0"/>
              <w:bidi w:val="0"/>
              <w:snapToGrid/>
              <w:spacing w:line="220" w:lineRule="exact"/>
              <w:ind w:firstLine="336"/>
              <w:jc w:val="center"/>
              <w:rPr>
                <w:rFonts w:hint="default" w:ascii="Times New Roman" w:hAnsi="Times New Roman" w:cs="Times New Roman" w:eastAsiaTheme="minorEastAsia"/>
                <w:spacing w:val="-11"/>
                <w:kern w:val="21"/>
                <w:sz w:val="21"/>
                <w:szCs w:val="21"/>
              </w:rPr>
            </w:pPr>
          </w:p>
        </w:tc>
        <w:tc>
          <w:tcPr>
            <w:tcW w:w="3278" w:type="dxa"/>
            <w:vAlign w:val="center"/>
          </w:tcPr>
          <w:p w14:paraId="349BDE92">
            <w:pPr>
              <w:keepNext w:val="0"/>
              <w:keepLines w:val="0"/>
              <w:pageBreakBefore w:val="0"/>
              <w:widowControl/>
              <w:kinsoku/>
              <w:wordWrap/>
              <w:overflowPunct/>
              <w:topLinePunct w:val="0"/>
              <w:bidi w:val="0"/>
              <w:snapToGrid/>
              <w:spacing w:line="220" w:lineRule="exact"/>
              <w:jc w:val="center"/>
              <w:textAlignment w:val="center"/>
              <w:rPr>
                <w:rFonts w:hint="default" w:ascii="Times New Roman" w:hAnsi="Times New Roman" w:cs="Times New Roman" w:eastAsiaTheme="minorEastAsia"/>
                <w:color w:val="000000"/>
                <w:spacing w:val="-11"/>
                <w:kern w:val="21"/>
                <w:sz w:val="21"/>
                <w:szCs w:val="21"/>
              </w:rPr>
            </w:pPr>
            <w:r>
              <w:rPr>
                <w:rFonts w:hint="default" w:ascii="Times New Roman" w:hAnsi="Times New Roman" w:cs="Times New Roman" w:eastAsiaTheme="minorEastAsia"/>
                <w:color w:val="000000"/>
                <w:spacing w:val="-11"/>
                <w:kern w:val="21"/>
                <w:sz w:val="21"/>
                <w:szCs w:val="21"/>
              </w:rPr>
              <w:t>不动产登记自主设备经费</w:t>
            </w:r>
          </w:p>
        </w:tc>
        <w:tc>
          <w:tcPr>
            <w:tcW w:w="923" w:type="dxa"/>
            <w:vAlign w:val="center"/>
          </w:tcPr>
          <w:p w14:paraId="30D0CE03">
            <w:pPr>
              <w:keepNext w:val="0"/>
              <w:keepLines w:val="0"/>
              <w:pageBreakBefore w:val="0"/>
              <w:widowControl/>
              <w:kinsoku/>
              <w:wordWrap/>
              <w:overflowPunct/>
              <w:topLinePunct w:val="0"/>
              <w:bidi w:val="0"/>
              <w:snapToGrid/>
              <w:spacing w:line="220" w:lineRule="exact"/>
              <w:jc w:val="center"/>
              <w:textAlignment w:val="center"/>
              <w:rPr>
                <w:rFonts w:hint="default" w:ascii="Times New Roman" w:hAnsi="Times New Roman" w:cs="Times New Roman" w:eastAsiaTheme="minorEastAsia"/>
                <w:color w:val="000000"/>
                <w:spacing w:val="-11"/>
                <w:kern w:val="21"/>
                <w:sz w:val="21"/>
                <w:szCs w:val="21"/>
              </w:rPr>
            </w:pPr>
            <w:r>
              <w:rPr>
                <w:rFonts w:hint="default" w:ascii="Times New Roman" w:hAnsi="Times New Roman" w:cs="Times New Roman" w:eastAsiaTheme="minorEastAsia"/>
                <w:color w:val="000000"/>
                <w:spacing w:val="-11"/>
                <w:kern w:val="21"/>
                <w:sz w:val="21"/>
                <w:szCs w:val="21"/>
              </w:rPr>
              <w:t>27.46</w:t>
            </w:r>
          </w:p>
        </w:tc>
        <w:tc>
          <w:tcPr>
            <w:tcW w:w="635" w:type="dxa"/>
            <w:vAlign w:val="center"/>
          </w:tcPr>
          <w:p w14:paraId="6909D539">
            <w:pPr>
              <w:keepNext w:val="0"/>
              <w:keepLines w:val="0"/>
              <w:pageBreakBefore w:val="0"/>
              <w:widowControl/>
              <w:kinsoku/>
              <w:wordWrap/>
              <w:overflowPunct/>
              <w:topLinePunct w:val="0"/>
              <w:bidi w:val="0"/>
              <w:snapToGrid/>
              <w:spacing w:line="220" w:lineRule="exact"/>
              <w:jc w:val="center"/>
              <w:textAlignment w:val="center"/>
              <w:rPr>
                <w:rFonts w:hint="default" w:ascii="Times New Roman" w:hAnsi="Times New Roman" w:cs="Times New Roman" w:eastAsiaTheme="minorEastAsia"/>
                <w:color w:val="000000"/>
                <w:spacing w:val="-11"/>
                <w:kern w:val="21"/>
                <w:sz w:val="21"/>
                <w:szCs w:val="21"/>
              </w:rPr>
            </w:pPr>
          </w:p>
        </w:tc>
        <w:tc>
          <w:tcPr>
            <w:tcW w:w="727" w:type="dxa"/>
            <w:vAlign w:val="center"/>
          </w:tcPr>
          <w:p w14:paraId="55442106">
            <w:pPr>
              <w:keepNext w:val="0"/>
              <w:keepLines w:val="0"/>
              <w:pageBreakBefore w:val="0"/>
              <w:widowControl/>
              <w:kinsoku/>
              <w:wordWrap/>
              <w:overflowPunct/>
              <w:topLinePunct w:val="0"/>
              <w:bidi w:val="0"/>
              <w:snapToGrid/>
              <w:spacing w:line="220" w:lineRule="exact"/>
              <w:jc w:val="center"/>
              <w:textAlignment w:val="center"/>
              <w:rPr>
                <w:rFonts w:hint="default" w:ascii="Times New Roman" w:hAnsi="Times New Roman" w:cs="Times New Roman" w:eastAsiaTheme="minorEastAsia"/>
                <w:color w:val="000000"/>
                <w:spacing w:val="-11"/>
                <w:kern w:val="21"/>
                <w:sz w:val="21"/>
                <w:szCs w:val="21"/>
              </w:rPr>
            </w:pPr>
          </w:p>
        </w:tc>
        <w:tc>
          <w:tcPr>
            <w:tcW w:w="635" w:type="dxa"/>
            <w:vAlign w:val="center"/>
          </w:tcPr>
          <w:p w14:paraId="4EC1EA32">
            <w:pPr>
              <w:keepNext w:val="0"/>
              <w:keepLines w:val="0"/>
              <w:pageBreakBefore w:val="0"/>
              <w:widowControl/>
              <w:kinsoku/>
              <w:wordWrap/>
              <w:overflowPunct/>
              <w:topLinePunct w:val="0"/>
              <w:bidi w:val="0"/>
              <w:snapToGrid/>
              <w:spacing w:line="220" w:lineRule="exact"/>
              <w:jc w:val="center"/>
              <w:textAlignment w:val="center"/>
              <w:rPr>
                <w:rFonts w:hint="default" w:ascii="Times New Roman" w:hAnsi="Times New Roman" w:cs="Times New Roman" w:eastAsiaTheme="minorEastAsia"/>
                <w:color w:val="000000"/>
                <w:spacing w:val="-11"/>
                <w:kern w:val="21"/>
                <w:sz w:val="21"/>
                <w:szCs w:val="21"/>
              </w:rPr>
            </w:pPr>
          </w:p>
        </w:tc>
        <w:tc>
          <w:tcPr>
            <w:tcW w:w="726" w:type="dxa"/>
            <w:vAlign w:val="center"/>
          </w:tcPr>
          <w:p w14:paraId="58E63C6A">
            <w:pPr>
              <w:keepNext w:val="0"/>
              <w:keepLines w:val="0"/>
              <w:pageBreakBefore w:val="0"/>
              <w:widowControl/>
              <w:kinsoku/>
              <w:wordWrap/>
              <w:overflowPunct/>
              <w:topLinePunct w:val="0"/>
              <w:bidi w:val="0"/>
              <w:snapToGrid/>
              <w:spacing w:line="220" w:lineRule="exact"/>
              <w:jc w:val="center"/>
              <w:textAlignment w:val="center"/>
              <w:rPr>
                <w:rFonts w:hint="default" w:ascii="Times New Roman" w:hAnsi="Times New Roman" w:cs="Times New Roman" w:eastAsiaTheme="minorEastAsia"/>
                <w:color w:val="000000"/>
                <w:spacing w:val="-11"/>
                <w:kern w:val="21"/>
                <w:sz w:val="21"/>
                <w:szCs w:val="21"/>
              </w:rPr>
            </w:pPr>
          </w:p>
        </w:tc>
        <w:tc>
          <w:tcPr>
            <w:tcW w:w="693" w:type="dxa"/>
            <w:vAlign w:val="center"/>
          </w:tcPr>
          <w:p w14:paraId="18DD8BF7">
            <w:pPr>
              <w:keepNext w:val="0"/>
              <w:keepLines w:val="0"/>
              <w:pageBreakBefore w:val="0"/>
              <w:widowControl/>
              <w:kinsoku/>
              <w:wordWrap/>
              <w:overflowPunct/>
              <w:topLinePunct w:val="0"/>
              <w:bidi w:val="0"/>
              <w:snapToGrid/>
              <w:spacing w:line="220" w:lineRule="exact"/>
              <w:jc w:val="center"/>
              <w:textAlignment w:val="center"/>
              <w:rPr>
                <w:rFonts w:hint="default" w:ascii="Times New Roman" w:hAnsi="Times New Roman" w:cs="Times New Roman" w:eastAsiaTheme="minorEastAsia"/>
                <w:color w:val="000000"/>
                <w:spacing w:val="-11"/>
                <w:kern w:val="21"/>
                <w:sz w:val="21"/>
                <w:szCs w:val="21"/>
              </w:rPr>
            </w:pPr>
          </w:p>
        </w:tc>
        <w:tc>
          <w:tcPr>
            <w:tcW w:w="727" w:type="dxa"/>
            <w:vAlign w:val="center"/>
          </w:tcPr>
          <w:p w14:paraId="75A61701">
            <w:pPr>
              <w:keepNext w:val="0"/>
              <w:keepLines w:val="0"/>
              <w:pageBreakBefore w:val="0"/>
              <w:widowControl/>
              <w:kinsoku/>
              <w:wordWrap/>
              <w:overflowPunct/>
              <w:topLinePunct w:val="0"/>
              <w:bidi w:val="0"/>
              <w:snapToGrid/>
              <w:spacing w:line="220" w:lineRule="exact"/>
              <w:jc w:val="center"/>
              <w:textAlignment w:val="center"/>
              <w:rPr>
                <w:rFonts w:hint="default" w:ascii="Times New Roman" w:hAnsi="Times New Roman" w:cs="Times New Roman" w:eastAsiaTheme="minorEastAsia"/>
                <w:color w:val="000000"/>
                <w:spacing w:val="-11"/>
                <w:kern w:val="21"/>
                <w:sz w:val="21"/>
                <w:szCs w:val="21"/>
              </w:rPr>
            </w:pPr>
          </w:p>
        </w:tc>
        <w:tc>
          <w:tcPr>
            <w:tcW w:w="1548" w:type="dxa"/>
            <w:vAlign w:val="center"/>
          </w:tcPr>
          <w:p w14:paraId="6CC16B15">
            <w:pPr>
              <w:keepNext w:val="0"/>
              <w:keepLines w:val="0"/>
              <w:pageBreakBefore w:val="0"/>
              <w:widowControl/>
              <w:kinsoku/>
              <w:wordWrap/>
              <w:overflowPunct/>
              <w:topLinePunct w:val="0"/>
              <w:bidi w:val="0"/>
              <w:snapToGrid/>
              <w:spacing w:line="220" w:lineRule="exact"/>
              <w:jc w:val="center"/>
              <w:textAlignment w:val="center"/>
              <w:rPr>
                <w:rFonts w:hint="default" w:ascii="Times New Roman" w:hAnsi="Times New Roman" w:cs="Times New Roman" w:eastAsiaTheme="minorEastAsia"/>
                <w:color w:val="000000"/>
                <w:spacing w:val="-11"/>
                <w:kern w:val="21"/>
                <w:sz w:val="21"/>
                <w:szCs w:val="21"/>
              </w:rPr>
            </w:pPr>
            <w:r>
              <w:rPr>
                <w:rFonts w:hint="default" w:ascii="Times New Roman" w:hAnsi="Times New Roman" w:cs="Times New Roman" w:eastAsiaTheme="minorEastAsia"/>
                <w:color w:val="000000"/>
                <w:spacing w:val="-11"/>
                <w:kern w:val="21"/>
                <w:sz w:val="21"/>
                <w:szCs w:val="21"/>
              </w:rPr>
              <w:t>年末12月31日追加预算</w:t>
            </w:r>
          </w:p>
        </w:tc>
      </w:tr>
      <w:tr w14:paraId="0A552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35" w:type="dxa"/>
            <w:vMerge w:val="continue"/>
            <w:vAlign w:val="center"/>
          </w:tcPr>
          <w:p w14:paraId="09435FBE">
            <w:pPr>
              <w:pStyle w:val="29"/>
              <w:keepNext w:val="0"/>
              <w:keepLines w:val="0"/>
              <w:pageBreakBefore w:val="0"/>
              <w:kinsoku/>
              <w:wordWrap/>
              <w:overflowPunct/>
              <w:topLinePunct w:val="0"/>
              <w:bidi w:val="0"/>
              <w:snapToGrid/>
              <w:spacing w:line="220" w:lineRule="exact"/>
              <w:ind w:firstLine="336"/>
              <w:jc w:val="center"/>
              <w:rPr>
                <w:rFonts w:hint="default" w:ascii="Times New Roman" w:hAnsi="Times New Roman" w:cs="Times New Roman" w:eastAsiaTheme="minorEastAsia"/>
                <w:spacing w:val="-11"/>
                <w:kern w:val="21"/>
                <w:sz w:val="21"/>
                <w:szCs w:val="21"/>
              </w:rPr>
            </w:pPr>
          </w:p>
        </w:tc>
        <w:tc>
          <w:tcPr>
            <w:tcW w:w="3278" w:type="dxa"/>
            <w:vAlign w:val="center"/>
          </w:tcPr>
          <w:p w14:paraId="7CB2E628">
            <w:pPr>
              <w:keepNext w:val="0"/>
              <w:keepLines w:val="0"/>
              <w:pageBreakBefore w:val="0"/>
              <w:widowControl/>
              <w:kinsoku/>
              <w:wordWrap/>
              <w:overflowPunct/>
              <w:topLinePunct w:val="0"/>
              <w:bidi w:val="0"/>
              <w:snapToGrid/>
              <w:spacing w:line="220" w:lineRule="exact"/>
              <w:jc w:val="center"/>
              <w:textAlignment w:val="center"/>
              <w:rPr>
                <w:rFonts w:hint="default" w:ascii="Times New Roman" w:hAnsi="Times New Roman" w:cs="Times New Roman" w:eastAsiaTheme="minorEastAsia"/>
                <w:color w:val="000000"/>
                <w:spacing w:val="-11"/>
                <w:kern w:val="21"/>
                <w:sz w:val="21"/>
                <w:szCs w:val="21"/>
              </w:rPr>
            </w:pPr>
            <w:r>
              <w:rPr>
                <w:rFonts w:hint="default" w:ascii="Times New Roman" w:hAnsi="Times New Roman" w:cs="Times New Roman" w:eastAsiaTheme="minorEastAsia"/>
                <w:color w:val="000000"/>
                <w:spacing w:val="-11"/>
                <w:kern w:val="21"/>
                <w:sz w:val="21"/>
                <w:szCs w:val="21"/>
              </w:rPr>
              <w:t>东方明珠13套房产权转移经费</w:t>
            </w:r>
          </w:p>
        </w:tc>
        <w:tc>
          <w:tcPr>
            <w:tcW w:w="923" w:type="dxa"/>
            <w:vAlign w:val="center"/>
          </w:tcPr>
          <w:p w14:paraId="6ADAF214">
            <w:pPr>
              <w:keepNext w:val="0"/>
              <w:keepLines w:val="0"/>
              <w:pageBreakBefore w:val="0"/>
              <w:widowControl/>
              <w:kinsoku/>
              <w:wordWrap/>
              <w:overflowPunct/>
              <w:topLinePunct w:val="0"/>
              <w:bidi w:val="0"/>
              <w:snapToGrid/>
              <w:spacing w:line="220" w:lineRule="exact"/>
              <w:jc w:val="center"/>
              <w:textAlignment w:val="center"/>
              <w:rPr>
                <w:rFonts w:hint="default" w:ascii="Times New Roman" w:hAnsi="Times New Roman" w:cs="Times New Roman" w:eastAsiaTheme="minorEastAsia"/>
                <w:color w:val="000000"/>
                <w:spacing w:val="-11"/>
                <w:kern w:val="21"/>
                <w:sz w:val="21"/>
                <w:szCs w:val="21"/>
              </w:rPr>
            </w:pPr>
            <w:r>
              <w:rPr>
                <w:rFonts w:hint="default" w:ascii="Times New Roman" w:hAnsi="Times New Roman" w:cs="Times New Roman" w:eastAsiaTheme="minorEastAsia"/>
                <w:color w:val="000000"/>
                <w:spacing w:val="-11"/>
                <w:kern w:val="21"/>
                <w:sz w:val="21"/>
                <w:szCs w:val="21"/>
              </w:rPr>
              <w:t>13.76</w:t>
            </w:r>
          </w:p>
        </w:tc>
        <w:tc>
          <w:tcPr>
            <w:tcW w:w="635" w:type="dxa"/>
            <w:vAlign w:val="center"/>
          </w:tcPr>
          <w:p w14:paraId="04365964">
            <w:pPr>
              <w:keepNext w:val="0"/>
              <w:keepLines w:val="0"/>
              <w:pageBreakBefore w:val="0"/>
              <w:widowControl/>
              <w:kinsoku/>
              <w:wordWrap/>
              <w:overflowPunct/>
              <w:topLinePunct w:val="0"/>
              <w:bidi w:val="0"/>
              <w:snapToGrid/>
              <w:spacing w:line="220" w:lineRule="exact"/>
              <w:jc w:val="center"/>
              <w:textAlignment w:val="center"/>
              <w:rPr>
                <w:rFonts w:hint="default" w:ascii="Times New Roman" w:hAnsi="Times New Roman" w:cs="Times New Roman" w:eastAsiaTheme="minorEastAsia"/>
                <w:color w:val="000000"/>
                <w:spacing w:val="-11"/>
                <w:kern w:val="21"/>
                <w:sz w:val="21"/>
                <w:szCs w:val="21"/>
              </w:rPr>
            </w:pPr>
          </w:p>
        </w:tc>
        <w:tc>
          <w:tcPr>
            <w:tcW w:w="727" w:type="dxa"/>
            <w:vAlign w:val="center"/>
          </w:tcPr>
          <w:p w14:paraId="201368CC">
            <w:pPr>
              <w:keepNext w:val="0"/>
              <w:keepLines w:val="0"/>
              <w:pageBreakBefore w:val="0"/>
              <w:widowControl/>
              <w:kinsoku/>
              <w:wordWrap/>
              <w:overflowPunct/>
              <w:topLinePunct w:val="0"/>
              <w:bidi w:val="0"/>
              <w:snapToGrid/>
              <w:spacing w:line="220" w:lineRule="exact"/>
              <w:jc w:val="center"/>
              <w:textAlignment w:val="center"/>
              <w:rPr>
                <w:rFonts w:hint="default" w:ascii="Times New Roman" w:hAnsi="Times New Roman" w:cs="Times New Roman" w:eastAsiaTheme="minorEastAsia"/>
                <w:color w:val="000000"/>
                <w:spacing w:val="-11"/>
                <w:kern w:val="21"/>
                <w:sz w:val="21"/>
                <w:szCs w:val="21"/>
              </w:rPr>
            </w:pPr>
          </w:p>
        </w:tc>
        <w:tc>
          <w:tcPr>
            <w:tcW w:w="635" w:type="dxa"/>
            <w:vAlign w:val="center"/>
          </w:tcPr>
          <w:p w14:paraId="46D1ED6B">
            <w:pPr>
              <w:keepNext w:val="0"/>
              <w:keepLines w:val="0"/>
              <w:pageBreakBefore w:val="0"/>
              <w:widowControl/>
              <w:kinsoku/>
              <w:wordWrap/>
              <w:overflowPunct/>
              <w:topLinePunct w:val="0"/>
              <w:bidi w:val="0"/>
              <w:snapToGrid/>
              <w:spacing w:line="220" w:lineRule="exact"/>
              <w:jc w:val="center"/>
              <w:textAlignment w:val="center"/>
              <w:rPr>
                <w:rFonts w:hint="default" w:ascii="Times New Roman" w:hAnsi="Times New Roman" w:cs="Times New Roman" w:eastAsiaTheme="minorEastAsia"/>
                <w:color w:val="000000"/>
                <w:spacing w:val="-11"/>
                <w:kern w:val="21"/>
                <w:sz w:val="21"/>
                <w:szCs w:val="21"/>
              </w:rPr>
            </w:pPr>
          </w:p>
        </w:tc>
        <w:tc>
          <w:tcPr>
            <w:tcW w:w="726" w:type="dxa"/>
            <w:vAlign w:val="center"/>
          </w:tcPr>
          <w:p w14:paraId="1E0B2BC5">
            <w:pPr>
              <w:keepNext w:val="0"/>
              <w:keepLines w:val="0"/>
              <w:pageBreakBefore w:val="0"/>
              <w:widowControl/>
              <w:kinsoku/>
              <w:wordWrap/>
              <w:overflowPunct/>
              <w:topLinePunct w:val="0"/>
              <w:bidi w:val="0"/>
              <w:snapToGrid/>
              <w:spacing w:line="220" w:lineRule="exact"/>
              <w:jc w:val="center"/>
              <w:textAlignment w:val="center"/>
              <w:rPr>
                <w:rFonts w:hint="default" w:ascii="Times New Roman" w:hAnsi="Times New Roman" w:cs="Times New Roman" w:eastAsiaTheme="minorEastAsia"/>
                <w:color w:val="000000"/>
                <w:spacing w:val="-11"/>
                <w:kern w:val="21"/>
                <w:sz w:val="21"/>
                <w:szCs w:val="21"/>
              </w:rPr>
            </w:pPr>
          </w:p>
        </w:tc>
        <w:tc>
          <w:tcPr>
            <w:tcW w:w="693" w:type="dxa"/>
            <w:vAlign w:val="center"/>
          </w:tcPr>
          <w:p w14:paraId="1094AF88">
            <w:pPr>
              <w:keepNext w:val="0"/>
              <w:keepLines w:val="0"/>
              <w:pageBreakBefore w:val="0"/>
              <w:widowControl/>
              <w:kinsoku/>
              <w:wordWrap/>
              <w:overflowPunct/>
              <w:topLinePunct w:val="0"/>
              <w:bidi w:val="0"/>
              <w:snapToGrid/>
              <w:spacing w:line="220" w:lineRule="exact"/>
              <w:jc w:val="center"/>
              <w:textAlignment w:val="center"/>
              <w:rPr>
                <w:rFonts w:hint="default" w:ascii="Times New Roman" w:hAnsi="Times New Roman" w:cs="Times New Roman" w:eastAsiaTheme="minorEastAsia"/>
                <w:color w:val="000000"/>
                <w:spacing w:val="-11"/>
                <w:kern w:val="21"/>
                <w:sz w:val="21"/>
                <w:szCs w:val="21"/>
              </w:rPr>
            </w:pPr>
            <w:r>
              <w:rPr>
                <w:rFonts w:hint="default" w:ascii="Times New Roman" w:hAnsi="Times New Roman" w:cs="Times New Roman" w:eastAsiaTheme="minorEastAsia"/>
                <w:color w:val="000000"/>
                <w:spacing w:val="-11"/>
                <w:kern w:val="21"/>
                <w:sz w:val="21"/>
                <w:szCs w:val="21"/>
              </w:rPr>
              <w:t>13.76</w:t>
            </w:r>
          </w:p>
        </w:tc>
        <w:tc>
          <w:tcPr>
            <w:tcW w:w="727" w:type="dxa"/>
            <w:vAlign w:val="center"/>
          </w:tcPr>
          <w:p w14:paraId="7EE0E8D3">
            <w:pPr>
              <w:keepNext w:val="0"/>
              <w:keepLines w:val="0"/>
              <w:pageBreakBefore w:val="0"/>
              <w:widowControl/>
              <w:kinsoku/>
              <w:wordWrap/>
              <w:overflowPunct/>
              <w:topLinePunct w:val="0"/>
              <w:bidi w:val="0"/>
              <w:snapToGrid/>
              <w:spacing w:line="220" w:lineRule="exact"/>
              <w:jc w:val="center"/>
              <w:textAlignment w:val="center"/>
              <w:rPr>
                <w:rFonts w:hint="default" w:ascii="Times New Roman" w:hAnsi="Times New Roman" w:cs="Times New Roman" w:eastAsiaTheme="minorEastAsia"/>
                <w:color w:val="000000"/>
                <w:spacing w:val="-11"/>
                <w:kern w:val="21"/>
                <w:sz w:val="21"/>
                <w:szCs w:val="21"/>
              </w:rPr>
            </w:pPr>
            <w:r>
              <w:rPr>
                <w:rFonts w:hint="default" w:ascii="Times New Roman" w:hAnsi="Times New Roman" w:cs="Times New Roman" w:eastAsiaTheme="minorEastAsia"/>
                <w:color w:val="000000"/>
                <w:spacing w:val="-11"/>
                <w:kern w:val="21"/>
                <w:sz w:val="21"/>
                <w:szCs w:val="21"/>
              </w:rPr>
              <w:t>100%</w:t>
            </w:r>
          </w:p>
        </w:tc>
        <w:tc>
          <w:tcPr>
            <w:tcW w:w="1548" w:type="dxa"/>
            <w:vAlign w:val="center"/>
          </w:tcPr>
          <w:p w14:paraId="0EB95322">
            <w:pPr>
              <w:keepNext w:val="0"/>
              <w:keepLines w:val="0"/>
              <w:pageBreakBefore w:val="0"/>
              <w:widowControl/>
              <w:kinsoku/>
              <w:wordWrap/>
              <w:overflowPunct/>
              <w:topLinePunct w:val="0"/>
              <w:bidi w:val="0"/>
              <w:snapToGrid/>
              <w:spacing w:line="220" w:lineRule="exact"/>
              <w:jc w:val="center"/>
              <w:textAlignment w:val="center"/>
              <w:rPr>
                <w:rFonts w:hint="default" w:ascii="Times New Roman" w:hAnsi="Times New Roman" w:cs="Times New Roman" w:eastAsiaTheme="minorEastAsia"/>
                <w:color w:val="000000"/>
                <w:spacing w:val="-11"/>
                <w:kern w:val="21"/>
                <w:sz w:val="21"/>
                <w:szCs w:val="21"/>
              </w:rPr>
            </w:pPr>
          </w:p>
        </w:tc>
      </w:tr>
    </w:tbl>
    <w:p w14:paraId="62B9B669">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如上表，我局预算执行进度基本符合量化指标要求。</w:t>
      </w:r>
    </w:p>
    <w:p w14:paraId="6BE8B23F">
      <w:pPr>
        <w:keepNext w:val="0"/>
        <w:keepLines w:val="0"/>
        <w:pageBreakBefore w:val="0"/>
        <w:widowControl w:val="0"/>
        <w:kinsoku/>
        <w:wordWrap/>
        <w:overflowPunct/>
        <w:topLinePunct w:val="0"/>
        <w:autoSpaceDE/>
        <w:autoSpaceDN/>
        <w:bidi w:val="0"/>
        <w:adjustRightInd/>
        <w:snapToGrid/>
        <w:spacing w:line="53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5．预算完成情况</w:t>
      </w:r>
    </w:p>
    <w:p w14:paraId="57C9EC1B">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2022年本单位预算收入执行总额为9003.24万元，其中：当年财政拨款收入9003.24万元，事业收入0万元，其他收入0万元，上年结转收入0万元；2022年本单位预算支出执行总额为9003.24万元，其中：当年一般公共预算财政拨款支出3869.7</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万元，政府性基金预算财政拨款支出为5133.47万元，上年结转0万元。</w:t>
      </w:r>
    </w:p>
    <w:p w14:paraId="3272C1E3">
      <w:pPr>
        <w:keepNext w:val="0"/>
        <w:keepLines w:val="0"/>
        <w:pageBreakBefore w:val="0"/>
        <w:widowControl w:val="0"/>
        <w:kinsoku/>
        <w:wordWrap/>
        <w:overflowPunct/>
        <w:topLinePunct w:val="0"/>
        <w:autoSpaceDE/>
        <w:autoSpaceDN/>
        <w:bidi w:val="0"/>
        <w:adjustRightInd/>
        <w:snapToGrid/>
        <w:spacing w:line="53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6．资金结余</w:t>
      </w:r>
    </w:p>
    <w:p w14:paraId="0E2845E5">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2022年度我单位预算金额为9003.24万元，预算执行金额为9003.24万元，指标结转金额为0万元，资金结余率为0。</w:t>
      </w:r>
    </w:p>
    <w:p w14:paraId="4194B4AA">
      <w:pPr>
        <w:keepNext w:val="0"/>
        <w:keepLines w:val="0"/>
        <w:pageBreakBefore w:val="0"/>
        <w:widowControl w:val="0"/>
        <w:kinsoku/>
        <w:wordWrap/>
        <w:overflowPunct/>
        <w:topLinePunct w:val="0"/>
        <w:autoSpaceDE/>
        <w:autoSpaceDN/>
        <w:bidi w:val="0"/>
        <w:adjustRightInd/>
        <w:snapToGrid/>
        <w:spacing w:line="53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7．违规记录</w:t>
      </w:r>
    </w:p>
    <w:p w14:paraId="1D6ED819">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无。</w:t>
      </w:r>
    </w:p>
    <w:p w14:paraId="1E914F45">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textAlignment w:val="auto"/>
        <w:rPr>
          <w:rFonts w:hint="default" w:ascii="Times New Roman" w:hAnsi="Times New Roman" w:eastAsia="楷体_GB2312" w:cs="Times New Roman"/>
          <w:kern w:val="0"/>
          <w:sz w:val="32"/>
          <w:szCs w:val="32"/>
          <w:shd w:val="clear" w:color="auto" w:fill="FFFFFF"/>
          <w:lang w:val="zh-CN"/>
        </w:rPr>
      </w:pPr>
      <w:r>
        <w:rPr>
          <w:rFonts w:hint="default" w:ascii="Times New Roman" w:hAnsi="Times New Roman" w:eastAsia="楷体_GB2312" w:cs="Times New Roman"/>
          <w:kern w:val="0"/>
          <w:sz w:val="32"/>
          <w:szCs w:val="32"/>
          <w:shd w:val="clear" w:color="auto" w:fill="FFFFFF"/>
          <w:lang w:val="zh-CN"/>
        </w:rPr>
        <w:t>（二）部门整体履职绩效分析。</w:t>
      </w:r>
    </w:p>
    <w:p w14:paraId="5C487BE2">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zh-CN"/>
        </w:rPr>
        <w:t>2022年，我部门整体年度绩效目标：一是保障单位正常运转，按时支付人员工资，按时缴纳保险，按时支付保障单位正常运转所产生的水、电、办公等费用；二是完成区委区政府下达的2022年目标任务；三是做好全区各项目建设用地要素保障；四是完成项目争取工作，五是完成区委区政府安排的其他工作。</w:t>
      </w:r>
      <w:r>
        <w:rPr>
          <w:rFonts w:hint="default" w:ascii="Times New Roman" w:hAnsi="Times New Roman" w:eastAsia="仿宋_GB2312" w:cs="Times New Roman"/>
          <w:sz w:val="32"/>
          <w:szCs w:val="32"/>
        </w:rPr>
        <w:t>全年我单位部门整体支出绩效评价自查自评结果良好，严格按照预算要求进行开支，支出对象明确，支出原因充分合理，总体使用效率高，保证了部门业务的正常开展，达到预期绩效目标。</w:t>
      </w:r>
    </w:p>
    <w:p w14:paraId="585AB78B">
      <w:pPr>
        <w:widowControl/>
        <w:adjustRightInd w:val="0"/>
        <w:snapToGrid w:val="0"/>
        <w:spacing w:line="550" w:lineRule="exact"/>
        <w:ind w:firstLine="640" w:firstLineChars="200"/>
        <w:contextualSpacing/>
        <w:rPr>
          <w:rFonts w:hint="default" w:ascii="Times New Roman" w:hAnsi="Times New Roman" w:eastAsia="楷体_GB2312" w:cs="Times New Roman"/>
          <w:kern w:val="0"/>
          <w:sz w:val="32"/>
          <w:szCs w:val="32"/>
          <w:shd w:val="clear" w:color="auto" w:fill="FFFFFF"/>
          <w:lang w:val="zh-CN"/>
        </w:rPr>
      </w:pPr>
      <w:r>
        <w:rPr>
          <w:rFonts w:hint="default" w:ascii="Times New Roman" w:hAnsi="Times New Roman" w:eastAsia="楷体_GB2312" w:cs="Times New Roman"/>
          <w:kern w:val="0"/>
          <w:sz w:val="32"/>
          <w:szCs w:val="32"/>
          <w:shd w:val="clear" w:color="auto" w:fill="FFFFFF"/>
          <w:lang w:val="zh-CN"/>
        </w:rPr>
        <w:t>（三）结果应用情况。</w:t>
      </w:r>
    </w:p>
    <w:p w14:paraId="7AA7CB7B">
      <w:pPr>
        <w:spacing w:line="55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内部应用：</w:t>
      </w:r>
      <w:r>
        <w:rPr>
          <w:rFonts w:hint="default" w:ascii="Times New Roman" w:hAnsi="Times New Roman" w:eastAsia="仿宋_GB2312" w:cs="Times New Roman"/>
          <w:sz w:val="32"/>
          <w:szCs w:val="32"/>
        </w:rPr>
        <w:t>我局将预算绩效工作整体纳入部门年度考核并制定《广元市昭化区自然资源系统预算绩效管理办法》，根据单位年度总体绩效目标，成立了预算绩效管理工作领导小组，做好事前绩效评估、事中绩效监控、事后绩效评价。</w:t>
      </w:r>
    </w:p>
    <w:p w14:paraId="1FFD5DA7">
      <w:pPr>
        <w:spacing w:line="55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2</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自评公开：</w:t>
      </w:r>
      <w:r>
        <w:rPr>
          <w:rFonts w:hint="default" w:ascii="Times New Roman" w:hAnsi="Times New Roman" w:eastAsia="仿宋_GB2312" w:cs="Times New Roman"/>
          <w:sz w:val="32"/>
          <w:szCs w:val="32"/>
        </w:rPr>
        <w:t>按照区财政统一安排，我局按照时间节点要求准确真实的编报了单位预决算，并将相关绩效信息随同预决算在政府门户网站进行了公开。</w:t>
      </w:r>
    </w:p>
    <w:p w14:paraId="4AA12533">
      <w:pPr>
        <w:spacing w:line="576"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3</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问题整改：</w:t>
      </w:r>
      <w:r>
        <w:rPr>
          <w:rFonts w:hint="default" w:ascii="Times New Roman" w:hAnsi="Times New Roman" w:eastAsia="仿宋_GB2312" w:cs="Times New Roman"/>
          <w:sz w:val="32"/>
          <w:szCs w:val="32"/>
        </w:rPr>
        <w:t>认真开展预算绩效目标自评，完成康华砖厂矿山生态环境保护与恢复等3个项目支出绩效评价问题整改及自评。</w:t>
      </w:r>
    </w:p>
    <w:p w14:paraId="28B4A923">
      <w:pPr>
        <w:spacing w:line="576"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4</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应用反馈：</w:t>
      </w:r>
      <w:r>
        <w:rPr>
          <w:rFonts w:hint="default" w:ascii="Times New Roman" w:hAnsi="Times New Roman" w:eastAsia="仿宋_GB2312" w:cs="Times New Roman"/>
          <w:sz w:val="32"/>
          <w:szCs w:val="32"/>
        </w:rPr>
        <w:t>全年认真开展了2022年度财政预算绩效运行监控：1个部门整体支出绩效运行监控，5个项目预算绩效运行监控。目前单位绩效目标设置合理规范，绩效管理高效有序，绩效运行监督机制运行流畅。</w:t>
      </w:r>
    </w:p>
    <w:p w14:paraId="5A890DDE">
      <w:pPr>
        <w:spacing w:line="576"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5</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lang w:val="zh-CN"/>
        </w:rPr>
        <w:t>自评质量：</w:t>
      </w:r>
      <w:r>
        <w:rPr>
          <w:rFonts w:hint="default" w:ascii="Times New Roman" w:hAnsi="Times New Roman" w:eastAsia="仿宋_GB2312" w:cs="Times New Roman"/>
          <w:sz w:val="32"/>
          <w:szCs w:val="32"/>
        </w:rPr>
        <w:t>2022年我单位部门整体支出绩效评价自查自评结果良好，全年严格按照预算要求进行开支，支出对象明确，支出原因充分合理，总体使用效率高，保证了部门业务的正常开展，达到预期绩效目标。</w:t>
      </w:r>
    </w:p>
    <w:p w14:paraId="7F26ABBF">
      <w:pPr>
        <w:spacing w:line="576" w:lineRule="exact"/>
        <w:ind w:firstLine="640" w:firstLineChars="200"/>
        <w:outlineLvl w:val="1"/>
        <w:rPr>
          <w:rFonts w:hint="default" w:ascii="Times New Roman" w:hAnsi="Times New Roman" w:eastAsia="黑体" w:cs="Times New Roman"/>
          <w:sz w:val="32"/>
          <w:szCs w:val="32"/>
        </w:rPr>
      </w:pPr>
      <w:bookmarkStart w:id="86" w:name="_Toc24629"/>
      <w:r>
        <w:rPr>
          <w:rFonts w:hint="default" w:ascii="Times New Roman" w:hAnsi="Times New Roman" w:eastAsia="黑体" w:cs="Times New Roman"/>
          <w:sz w:val="32"/>
          <w:szCs w:val="32"/>
          <w:lang w:val="en-US" w:eastAsia="zh-CN"/>
        </w:rPr>
        <w:t>五</w:t>
      </w:r>
      <w:r>
        <w:rPr>
          <w:rFonts w:hint="default" w:ascii="Times New Roman" w:hAnsi="Times New Roman" w:eastAsia="黑体" w:cs="Times New Roman"/>
          <w:sz w:val="32"/>
          <w:szCs w:val="32"/>
        </w:rPr>
        <w:t>、评价结论及建议</w:t>
      </w:r>
      <w:bookmarkEnd w:id="86"/>
    </w:p>
    <w:p w14:paraId="58744D89">
      <w:pPr>
        <w:widowControl/>
        <w:adjustRightInd w:val="0"/>
        <w:snapToGrid w:val="0"/>
        <w:spacing w:line="576" w:lineRule="exact"/>
        <w:ind w:firstLine="640" w:firstLineChars="200"/>
        <w:contextualSpacing/>
        <w:rPr>
          <w:rFonts w:hint="default" w:ascii="Times New Roman" w:hAnsi="Times New Roman" w:eastAsia="楷体_GB2312" w:cs="Times New Roman"/>
          <w:kern w:val="0"/>
          <w:sz w:val="32"/>
          <w:szCs w:val="32"/>
          <w:shd w:val="clear" w:color="auto" w:fill="FFFFFF"/>
          <w:lang w:val="zh-CN"/>
        </w:rPr>
      </w:pPr>
      <w:r>
        <w:rPr>
          <w:rFonts w:hint="default" w:ascii="Times New Roman" w:hAnsi="Times New Roman" w:eastAsia="楷体_GB2312" w:cs="Times New Roman"/>
          <w:kern w:val="0"/>
          <w:sz w:val="32"/>
          <w:szCs w:val="32"/>
          <w:shd w:val="clear" w:color="auto" w:fill="FFFFFF"/>
          <w:lang w:val="zh-CN"/>
        </w:rPr>
        <w:t>（一）自评结论</w:t>
      </w:r>
    </w:p>
    <w:p w14:paraId="70093F9D">
      <w:pPr>
        <w:spacing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我局从预算执行、预算管理等方面对2022年部门整体、项目支出绩效评价。全年基本支出保证了单位的正常运行和日常工作的正常开展，达到预期绩效目标。2022年度部门整体、项目支出绩效自评综合得分：94.5分。</w:t>
      </w:r>
    </w:p>
    <w:p w14:paraId="0220C257">
      <w:pPr>
        <w:widowControl/>
        <w:adjustRightInd w:val="0"/>
        <w:snapToGrid w:val="0"/>
        <w:spacing w:line="576" w:lineRule="exact"/>
        <w:ind w:firstLine="640" w:firstLineChars="200"/>
        <w:contextualSpacing/>
        <w:rPr>
          <w:rFonts w:hint="default" w:ascii="Times New Roman" w:hAnsi="Times New Roman" w:eastAsia="楷体_GB2312" w:cs="Times New Roman"/>
          <w:kern w:val="0"/>
          <w:sz w:val="32"/>
          <w:szCs w:val="32"/>
          <w:shd w:val="clear" w:color="auto" w:fill="FFFFFF"/>
          <w:lang w:val="zh-CN"/>
        </w:rPr>
      </w:pPr>
      <w:r>
        <w:rPr>
          <w:rFonts w:hint="default" w:ascii="Times New Roman" w:hAnsi="Times New Roman" w:eastAsia="楷体_GB2312" w:cs="Times New Roman"/>
          <w:kern w:val="0"/>
          <w:sz w:val="32"/>
          <w:szCs w:val="32"/>
          <w:shd w:val="clear" w:color="auto" w:fill="FFFFFF"/>
          <w:lang w:val="zh-CN"/>
        </w:rPr>
        <w:t>（二）存在问题</w:t>
      </w:r>
    </w:p>
    <w:p w14:paraId="7363017C">
      <w:pPr>
        <w:spacing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受人员专业能力水平制约，预算编制测算还不够精确，编制依据和测算深度不够，缺乏一定的科学性，预算编制精准度有待提高。</w:t>
      </w:r>
    </w:p>
    <w:p w14:paraId="233612C9">
      <w:pPr>
        <w:widowControl/>
        <w:adjustRightInd w:val="0"/>
        <w:snapToGrid w:val="0"/>
        <w:spacing w:line="576" w:lineRule="exact"/>
        <w:ind w:firstLine="640" w:firstLineChars="200"/>
        <w:contextualSpacing/>
        <w:rPr>
          <w:rFonts w:hint="default" w:ascii="Times New Roman" w:hAnsi="Times New Roman" w:eastAsia="楷体_GB2312" w:cs="Times New Roman"/>
          <w:kern w:val="0"/>
          <w:sz w:val="32"/>
          <w:szCs w:val="32"/>
          <w:shd w:val="clear" w:color="auto" w:fill="FFFFFF"/>
          <w:lang w:val="zh-CN"/>
        </w:rPr>
      </w:pPr>
      <w:r>
        <w:rPr>
          <w:rFonts w:hint="default" w:ascii="Times New Roman" w:hAnsi="Times New Roman" w:eastAsia="楷体_GB2312" w:cs="Times New Roman"/>
          <w:kern w:val="0"/>
          <w:sz w:val="32"/>
          <w:szCs w:val="32"/>
          <w:shd w:val="clear" w:color="auto" w:fill="FFFFFF"/>
          <w:lang w:val="zh-CN"/>
        </w:rPr>
        <w:t>（三）改进建议</w:t>
      </w:r>
    </w:p>
    <w:p w14:paraId="378EA214">
      <w:pPr>
        <w:spacing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针对问题，我单位将进一步提高预算编制质量，切实提高预算编制到预算执行的一致性。建议财政进一步加强预算绩效工作系统化培训，提高从事该项工作人员理论知识水平和业务能力</w:t>
      </w:r>
    </w:p>
    <w:p w14:paraId="09FB7A80">
      <w:pPr>
        <w:spacing w:line="576" w:lineRule="exact"/>
        <w:ind w:firstLine="640" w:firstLineChars="200"/>
        <w:rPr>
          <w:rFonts w:hint="default" w:ascii="Times New Roman" w:hAnsi="Times New Roman" w:eastAsia="仿宋_GB2312" w:cs="Times New Roman"/>
          <w:sz w:val="32"/>
          <w:szCs w:val="32"/>
          <w:lang w:val="zh-CN"/>
        </w:rPr>
      </w:pPr>
    </w:p>
    <w:p w14:paraId="34B2D28F">
      <w:pPr>
        <w:keepNext w:val="0"/>
        <w:keepLines w:val="0"/>
        <w:pageBreakBefore w:val="0"/>
        <w:widowControl w:val="0"/>
        <w:kinsoku/>
        <w:wordWrap/>
        <w:overflowPunct/>
        <w:topLinePunct w:val="0"/>
        <w:autoSpaceDE/>
        <w:autoSpaceDN/>
        <w:bidi w:val="0"/>
        <w:adjustRightInd/>
        <w:snapToGrid/>
        <w:spacing w:line="576" w:lineRule="exact"/>
        <w:ind w:left="1600" w:hanging="1600" w:hangingChars="500"/>
        <w:textAlignment w:val="auto"/>
        <w:rPr>
          <w:rFonts w:hint="default" w:ascii="Times New Roman" w:hAnsi="Times New Roman" w:eastAsia="仿宋_GB2312" w:cs="Times New Roman"/>
          <w:sz w:val="32"/>
          <w:szCs w:val="32"/>
        </w:rPr>
      </w:pPr>
      <w:r>
        <w:rPr>
          <w:rFonts w:hint="eastAsia" w:eastAsia="仿宋_GB2312" w:cs="Times New Roman"/>
          <w:sz w:val="32"/>
          <w:szCs w:val="32"/>
          <w:lang w:val="zh-CN"/>
        </w:rPr>
        <w:t>　　</w:t>
      </w:r>
      <w:r>
        <w:rPr>
          <w:rFonts w:hint="default" w:ascii="Times New Roman" w:hAnsi="Times New Roman" w:eastAsia="仿宋_GB2312" w:cs="Times New Roman"/>
          <w:sz w:val="32"/>
          <w:szCs w:val="32"/>
          <w:lang w:val="zh-CN"/>
        </w:rPr>
        <w:t>附表：广元市昭化区部门整体支出绩效目标自评表</w:t>
      </w:r>
      <w:r>
        <w:rPr>
          <w:rFonts w:hint="default" w:ascii="Times New Roman" w:hAnsi="Times New Roman" w:eastAsia="仿宋_GB2312" w:cs="Times New Roman"/>
          <w:sz w:val="32"/>
          <w:szCs w:val="32"/>
        </w:rPr>
        <w:t>（2022年度）</w:t>
      </w:r>
    </w:p>
    <w:p w14:paraId="5E5A4C6D">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14:paraId="69F3921F">
      <w:pPr>
        <w:spacing w:line="576" w:lineRule="exact"/>
        <w:rPr>
          <w:rFonts w:hint="eastAsia" w:ascii="Times New Roman" w:hAnsi="Times New Roman" w:eastAsia="黑体" w:cs="Times New Roman"/>
          <w:sz w:val="32"/>
          <w:szCs w:val="32"/>
          <w:lang w:eastAsia="zh-CN"/>
        </w:rPr>
      </w:pPr>
      <w:r>
        <w:rPr>
          <w:rFonts w:hint="default" w:ascii="Times New Roman" w:hAnsi="Times New Roman" w:eastAsia="黑体" w:cs="Times New Roman"/>
          <w:sz w:val="32"/>
          <w:szCs w:val="32"/>
        </w:rPr>
        <w:t>附</w:t>
      </w:r>
      <w:r>
        <w:rPr>
          <w:rFonts w:hint="eastAsia" w:eastAsia="黑体" w:cs="Times New Roman"/>
          <w:sz w:val="32"/>
          <w:szCs w:val="32"/>
          <w:lang w:val="en-US" w:eastAsia="zh-CN"/>
        </w:rPr>
        <w:t>表</w:t>
      </w:r>
    </w:p>
    <w:p w14:paraId="0141A60A">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cs="Times New Roman"/>
        </w:rPr>
      </w:pPr>
    </w:p>
    <w:p w14:paraId="6647B70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1"/>
        <w:rPr>
          <w:rFonts w:hint="default" w:ascii="Times New Roman" w:hAnsi="Times New Roman" w:eastAsia="方正小标宋简体" w:cs="Times New Roman"/>
          <w:sz w:val="44"/>
          <w:szCs w:val="44"/>
        </w:rPr>
      </w:pPr>
      <w:bookmarkStart w:id="87" w:name="_Toc16119"/>
      <w:r>
        <w:rPr>
          <w:rFonts w:hint="default" w:ascii="Times New Roman" w:hAnsi="Times New Roman" w:eastAsia="方正小标宋简体" w:cs="Times New Roman"/>
          <w:sz w:val="44"/>
          <w:szCs w:val="44"/>
        </w:rPr>
        <w:t>广元市昭化区部门整体支出绩效目标自评表</w:t>
      </w:r>
      <w:bookmarkEnd w:id="87"/>
    </w:p>
    <w:p w14:paraId="13ACEDB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pacing w:val="-16"/>
          <w:sz w:val="32"/>
          <w:szCs w:val="32"/>
        </w:rPr>
        <w:t>（</w:t>
      </w:r>
      <w:r>
        <w:rPr>
          <w:rFonts w:hint="default" w:ascii="Times New Roman" w:hAnsi="Times New Roman" w:eastAsia="楷体_GB2312" w:cs="Times New Roman"/>
          <w:b/>
          <w:bCs/>
          <w:spacing w:val="24"/>
          <w:sz w:val="32"/>
          <w:szCs w:val="32"/>
        </w:rPr>
        <w:t>2022</w:t>
      </w:r>
      <w:r>
        <w:rPr>
          <w:rFonts w:hint="default" w:ascii="Times New Roman" w:hAnsi="Times New Roman" w:eastAsia="楷体_GB2312" w:cs="Times New Roman"/>
          <w:b/>
          <w:bCs/>
          <w:spacing w:val="-16"/>
          <w:sz w:val="32"/>
          <w:szCs w:val="32"/>
        </w:rPr>
        <w:t>年度）</w:t>
      </w:r>
    </w:p>
    <w:tbl>
      <w:tblPr>
        <w:tblStyle w:val="17"/>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84"/>
        <w:gridCol w:w="829"/>
        <w:gridCol w:w="1129"/>
        <w:gridCol w:w="1119"/>
        <w:gridCol w:w="1269"/>
        <w:gridCol w:w="1398"/>
        <w:gridCol w:w="1398"/>
        <w:gridCol w:w="1430"/>
      </w:tblGrid>
      <w:tr w14:paraId="2AA60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exact"/>
          <w:jc w:val="center"/>
        </w:trPr>
        <w:tc>
          <w:tcPr>
            <w:tcW w:w="1613" w:type="dxa"/>
            <w:gridSpan w:val="2"/>
            <w:tcBorders>
              <w:tl2br w:val="nil"/>
              <w:tr2bl w:val="nil"/>
            </w:tcBorders>
            <w:vAlign w:val="center"/>
          </w:tcPr>
          <w:p w14:paraId="7456704D">
            <w:pPr>
              <w:spacing w:line="230" w:lineRule="exact"/>
              <w:jc w:val="center"/>
              <w:rPr>
                <w:rFonts w:hint="default" w:ascii="Times New Roman" w:hAnsi="Times New Roman" w:eastAsia="黑体" w:cs="Times New Roman"/>
                <w:szCs w:val="21"/>
              </w:rPr>
            </w:pPr>
            <w:r>
              <w:rPr>
                <w:rFonts w:hint="default" w:ascii="Times New Roman" w:hAnsi="Times New Roman" w:eastAsia="黑体" w:cs="Times New Roman"/>
                <w:spacing w:val="5"/>
                <w:szCs w:val="21"/>
              </w:rPr>
              <w:t>主管部门</w:t>
            </w:r>
          </w:p>
        </w:tc>
        <w:tc>
          <w:tcPr>
            <w:tcW w:w="3517" w:type="dxa"/>
            <w:gridSpan w:val="3"/>
            <w:tcBorders>
              <w:tl2br w:val="nil"/>
              <w:tr2bl w:val="nil"/>
            </w:tcBorders>
            <w:vAlign w:val="center"/>
          </w:tcPr>
          <w:p w14:paraId="79C3F380">
            <w:pPr>
              <w:spacing w:line="230" w:lineRule="exact"/>
              <w:jc w:val="center"/>
              <w:rPr>
                <w:rFonts w:hint="default" w:ascii="Times New Roman" w:hAnsi="Times New Roman" w:eastAsia="黑体" w:cs="Times New Roman"/>
                <w:szCs w:val="21"/>
              </w:rPr>
            </w:pPr>
            <w:r>
              <w:rPr>
                <w:rFonts w:hint="default" w:ascii="Times New Roman" w:hAnsi="Times New Roman" w:eastAsia="黑体" w:cs="Times New Roman"/>
                <w:szCs w:val="21"/>
              </w:rPr>
              <w:t>广元市自然资源局</w:t>
            </w:r>
          </w:p>
        </w:tc>
        <w:tc>
          <w:tcPr>
            <w:tcW w:w="1398" w:type="dxa"/>
            <w:tcBorders>
              <w:tl2br w:val="nil"/>
              <w:tr2bl w:val="nil"/>
            </w:tcBorders>
            <w:vAlign w:val="center"/>
          </w:tcPr>
          <w:p w14:paraId="3EC65067">
            <w:pPr>
              <w:spacing w:line="230" w:lineRule="exact"/>
              <w:jc w:val="center"/>
              <w:rPr>
                <w:rFonts w:hint="default" w:ascii="Times New Roman" w:hAnsi="Times New Roman" w:eastAsia="黑体" w:cs="Times New Roman"/>
                <w:szCs w:val="21"/>
              </w:rPr>
            </w:pPr>
            <w:r>
              <w:rPr>
                <w:rFonts w:hint="default" w:ascii="Times New Roman" w:hAnsi="Times New Roman" w:eastAsia="黑体" w:cs="Times New Roman"/>
                <w:spacing w:val="-3"/>
                <w:szCs w:val="21"/>
              </w:rPr>
              <w:t>实施单位</w:t>
            </w:r>
          </w:p>
        </w:tc>
        <w:tc>
          <w:tcPr>
            <w:tcW w:w="2828" w:type="dxa"/>
            <w:gridSpan w:val="2"/>
            <w:tcBorders>
              <w:tl2br w:val="nil"/>
              <w:tr2bl w:val="nil"/>
            </w:tcBorders>
            <w:vAlign w:val="center"/>
          </w:tcPr>
          <w:p w14:paraId="583404E1">
            <w:pPr>
              <w:spacing w:line="230" w:lineRule="exact"/>
              <w:jc w:val="center"/>
              <w:rPr>
                <w:rFonts w:hint="default" w:ascii="Times New Roman" w:hAnsi="Times New Roman" w:eastAsia="黑体" w:cs="Times New Roman"/>
                <w:szCs w:val="21"/>
              </w:rPr>
            </w:pPr>
            <w:r>
              <w:rPr>
                <w:rFonts w:hint="default" w:ascii="Times New Roman" w:hAnsi="Times New Roman" w:eastAsia="黑体" w:cs="Times New Roman"/>
                <w:szCs w:val="21"/>
              </w:rPr>
              <w:t>广元市自然资源局昭化区分局</w:t>
            </w:r>
          </w:p>
        </w:tc>
      </w:tr>
      <w:tr w14:paraId="0EA17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exact"/>
          <w:jc w:val="center"/>
        </w:trPr>
        <w:tc>
          <w:tcPr>
            <w:tcW w:w="1613" w:type="dxa"/>
            <w:gridSpan w:val="2"/>
            <w:vMerge w:val="restart"/>
            <w:tcBorders>
              <w:tl2br w:val="nil"/>
              <w:tr2bl w:val="nil"/>
            </w:tcBorders>
            <w:vAlign w:val="center"/>
          </w:tcPr>
          <w:p w14:paraId="5865B207">
            <w:pPr>
              <w:spacing w:line="230" w:lineRule="exact"/>
              <w:jc w:val="center"/>
              <w:rPr>
                <w:rFonts w:hint="default" w:ascii="Times New Roman" w:hAnsi="Times New Roman" w:eastAsia="黑体" w:cs="Times New Roman"/>
                <w:szCs w:val="21"/>
              </w:rPr>
            </w:pPr>
            <w:r>
              <w:rPr>
                <w:rFonts w:hint="default" w:ascii="Times New Roman" w:hAnsi="Times New Roman" w:eastAsia="黑体" w:cs="Times New Roman"/>
                <w:spacing w:val="-2"/>
                <w:szCs w:val="21"/>
              </w:rPr>
              <w:t>项目（政策）资金</w:t>
            </w:r>
            <w:r>
              <w:rPr>
                <w:rFonts w:hint="default" w:ascii="Times New Roman" w:hAnsi="Times New Roman" w:eastAsia="黑体" w:cs="Times New Roman"/>
                <w:spacing w:val="5"/>
                <w:szCs w:val="21"/>
              </w:rPr>
              <w:t xml:space="preserve"> </w:t>
            </w:r>
            <w:r>
              <w:rPr>
                <w:rFonts w:hint="default" w:ascii="Times New Roman" w:hAnsi="Times New Roman" w:eastAsia="黑体" w:cs="Times New Roman"/>
                <w:spacing w:val="9"/>
                <w:szCs w:val="21"/>
              </w:rPr>
              <w:t>（万元）</w:t>
            </w:r>
          </w:p>
        </w:tc>
        <w:tc>
          <w:tcPr>
            <w:tcW w:w="2248" w:type="dxa"/>
            <w:gridSpan w:val="2"/>
            <w:tcBorders>
              <w:tl2br w:val="nil"/>
              <w:tr2bl w:val="nil"/>
            </w:tcBorders>
            <w:vAlign w:val="center"/>
          </w:tcPr>
          <w:p w14:paraId="0DB05C8F">
            <w:pPr>
              <w:spacing w:line="230" w:lineRule="exact"/>
              <w:jc w:val="center"/>
              <w:rPr>
                <w:rFonts w:hint="default" w:ascii="Times New Roman" w:hAnsi="Times New Roman" w:eastAsia="黑体" w:cs="Times New Roman"/>
                <w:szCs w:val="21"/>
              </w:rPr>
            </w:pPr>
          </w:p>
        </w:tc>
        <w:tc>
          <w:tcPr>
            <w:tcW w:w="1269" w:type="dxa"/>
            <w:tcBorders>
              <w:tl2br w:val="nil"/>
              <w:tr2bl w:val="nil"/>
            </w:tcBorders>
            <w:vAlign w:val="center"/>
          </w:tcPr>
          <w:p w14:paraId="388B6A66">
            <w:pPr>
              <w:spacing w:line="230" w:lineRule="exact"/>
              <w:jc w:val="center"/>
              <w:rPr>
                <w:rFonts w:hint="default" w:ascii="Times New Roman" w:hAnsi="Times New Roman" w:cs="Times New Roman"/>
                <w:szCs w:val="21"/>
              </w:rPr>
            </w:pPr>
            <w:r>
              <w:rPr>
                <w:rFonts w:hint="default" w:ascii="Times New Roman" w:hAnsi="Times New Roman" w:cs="Times New Roman"/>
                <w:spacing w:val="-2"/>
                <w:szCs w:val="21"/>
              </w:rPr>
              <w:t>年初预算数</w:t>
            </w:r>
          </w:p>
        </w:tc>
        <w:tc>
          <w:tcPr>
            <w:tcW w:w="1398" w:type="dxa"/>
            <w:tcBorders>
              <w:tl2br w:val="nil"/>
              <w:tr2bl w:val="nil"/>
            </w:tcBorders>
            <w:vAlign w:val="center"/>
          </w:tcPr>
          <w:p w14:paraId="304B89AA">
            <w:pPr>
              <w:spacing w:line="230" w:lineRule="exact"/>
              <w:jc w:val="center"/>
              <w:rPr>
                <w:rFonts w:hint="default" w:ascii="Times New Roman" w:hAnsi="Times New Roman" w:cs="Times New Roman"/>
                <w:szCs w:val="21"/>
              </w:rPr>
            </w:pPr>
            <w:r>
              <w:rPr>
                <w:rFonts w:hint="default" w:ascii="Times New Roman" w:hAnsi="Times New Roman" w:cs="Times New Roman"/>
                <w:spacing w:val="-2"/>
                <w:szCs w:val="21"/>
              </w:rPr>
              <w:t>全年预算数</w:t>
            </w:r>
          </w:p>
        </w:tc>
        <w:tc>
          <w:tcPr>
            <w:tcW w:w="1398" w:type="dxa"/>
            <w:tcBorders>
              <w:tl2br w:val="nil"/>
              <w:tr2bl w:val="nil"/>
            </w:tcBorders>
            <w:vAlign w:val="center"/>
          </w:tcPr>
          <w:p w14:paraId="1C2477B1">
            <w:pPr>
              <w:spacing w:line="230" w:lineRule="exact"/>
              <w:jc w:val="center"/>
              <w:rPr>
                <w:rFonts w:hint="default" w:ascii="Times New Roman" w:hAnsi="Times New Roman" w:cs="Times New Roman"/>
                <w:szCs w:val="21"/>
              </w:rPr>
            </w:pPr>
            <w:r>
              <w:rPr>
                <w:rFonts w:hint="default" w:ascii="Times New Roman" w:hAnsi="Times New Roman" w:cs="Times New Roman"/>
                <w:spacing w:val="-2"/>
                <w:szCs w:val="21"/>
              </w:rPr>
              <w:t>全年执行数</w:t>
            </w:r>
          </w:p>
        </w:tc>
        <w:tc>
          <w:tcPr>
            <w:tcW w:w="1430" w:type="dxa"/>
            <w:tcBorders>
              <w:tl2br w:val="nil"/>
              <w:tr2bl w:val="nil"/>
            </w:tcBorders>
            <w:vAlign w:val="center"/>
          </w:tcPr>
          <w:p w14:paraId="0E5EAA32">
            <w:pPr>
              <w:spacing w:line="230" w:lineRule="exact"/>
              <w:jc w:val="center"/>
              <w:rPr>
                <w:rFonts w:hint="default" w:ascii="Times New Roman" w:hAnsi="Times New Roman" w:cs="Times New Roman"/>
                <w:szCs w:val="21"/>
              </w:rPr>
            </w:pPr>
            <w:r>
              <w:rPr>
                <w:rFonts w:hint="default" w:ascii="Times New Roman" w:hAnsi="Times New Roman" w:cs="Times New Roman"/>
                <w:spacing w:val="6"/>
                <w:szCs w:val="21"/>
              </w:rPr>
              <w:t>执行率（%）</w:t>
            </w:r>
          </w:p>
        </w:tc>
      </w:tr>
      <w:tr w14:paraId="22DDF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exact"/>
          <w:jc w:val="center"/>
        </w:trPr>
        <w:tc>
          <w:tcPr>
            <w:tcW w:w="1613" w:type="dxa"/>
            <w:gridSpan w:val="2"/>
            <w:vMerge w:val="continue"/>
            <w:tcBorders>
              <w:tl2br w:val="nil"/>
              <w:tr2bl w:val="nil"/>
            </w:tcBorders>
            <w:vAlign w:val="center"/>
          </w:tcPr>
          <w:p w14:paraId="028444E1">
            <w:pPr>
              <w:spacing w:line="230" w:lineRule="exact"/>
              <w:jc w:val="center"/>
              <w:rPr>
                <w:rFonts w:hint="default" w:ascii="Times New Roman" w:hAnsi="Times New Roman" w:eastAsia="黑体" w:cs="Times New Roman"/>
                <w:szCs w:val="21"/>
              </w:rPr>
            </w:pPr>
          </w:p>
        </w:tc>
        <w:tc>
          <w:tcPr>
            <w:tcW w:w="2248" w:type="dxa"/>
            <w:gridSpan w:val="2"/>
            <w:tcBorders>
              <w:tl2br w:val="nil"/>
              <w:tr2bl w:val="nil"/>
            </w:tcBorders>
            <w:vAlign w:val="center"/>
          </w:tcPr>
          <w:p w14:paraId="2B604EE4">
            <w:pPr>
              <w:spacing w:line="230" w:lineRule="exact"/>
              <w:jc w:val="center"/>
              <w:rPr>
                <w:rFonts w:hint="default" w:ascii="Times New Roman" w:hAnsi="Times New Roman" w:eastAsia="黑体" w:cs="Times New Roman"/>
                <w:szCs w:val="21"/>
              </w:rPr>
            </w:pPr>
            <w:r>
              <w:rPr>
                <w:rFonts w:hint="default" w:ascii="Times New Roman" w:hAnsi="Times New Roman" w:eastAsia="黑体" w:cs="Times New Roman"/>
                <w:spacing w:val="-2"/>
                <w:szCs w:val="21"/>
              </w:rPr>
              <w:t>年度资金总额</w:t>
            </w:r>
          </w:p>
        </w:tc>
        <w:tc>
          <w:tcPr>
            <w:tcW w:w="1269" w:type="dxa"/>
            <w:tcBorders>
              <w:tl2br w:val="nil"/>
              <w:tr2bl w:val="nil"/>
            </w:tcBorders>
            <w:vAlign w:val="center"/>
          </w:tcPr>
          <w:p w14:paraId="7C58C8DD">
            <w:pPr>
              <w:spacing w:line="230" w:lineRule="exact"/>
              <w:jc w:val="center"/>
              <w:rPr>
                <w:rFonts w:hint="default" w:ascii="Times New Roman" w:hAnsi="Times New Roman" w:cs="Times New Roman"/>
                <w:szCs w:val="21"/>
              </w:rPr>
            </w:pPr>
          </w:p>
        </w:tc>
        <w:tc>
          <w:tcPr>
            <w:tcW w:w="1398" w:type="dxa"/>
            <w:tcBorders>
              <w:tl2br w:val="nil"/>
              <w:tr2bl w:val="nil"/>
            </w:tcBorders>
            <w:vAlign w:val="center"/>
          </w:tcPr>
          <w:p w14:paraId="582DF43E">
            <w:pPr>
              <w:spacing w:line="230" w:lineRule="exact"/>
              <w:jc w:val="center"/>
              <w:rPr>
                <w:rFonts w:hint="default" w:ascii="Times New Roman" w:hAnsi="Times New Roman" w:cs="Times New Roman"/>
                <w:szCs w:val="21"/>
              </w:rPr>
            </w:pPr>
          </w:p>
        </w:tc>
        <w:tc>
          <w:tcPr>
            <w:tcW w:w="1398" w:type="dxa"/>
            <w:tcBorders>
              <w:tl2br w:val="nil"/>
              <w:tr2bl w:val="nil"/>
            </w:tcBorders>
            <w:vAlign w:val="center"/>
          </w:tcPr>
          <w:p w14:paraId="24BC9850">
            <w:pPr>
              <w:spacing w:line="230" w:lineRule="exact"/>
              <w:jc w:val="center"/>
              <w:rPr>
                <w:rFonts w:hint="default" w:ascii="Times New Roman" w:hAnsi="Times New Roman" w:cs="Times New Roman"/>
                <w:szCs w:val="21"/>
              </w:rPr>
            </w:pPr>
          </w:p>
        </w:tc>
        <w:tc>
          <w:tcPr>
            <w:tcW w:w="1430" w:type="dxa"/>
            <w:tcBorders>
              <w:tl2br w:val="nil"/>
              <w:tr2bl w:val="nil"/>
            </w:tcBorders>
            <w:vAlign w:val="center"/>
          </w:tcPr>
          <w:p w14:paraId="20522597">
            <w:pPr>
              <w:spacing w:line="230" w:lineRule="exact"/>
              <w:jc w:val="center"/>
              <w:rPr>
                <w:rFonts w:hint="default" w:ascii="Times New Roman" w:hAnsi="Times New Roman" w:cs="Times New Roman"/>
                <w:szCs w:val="21"/>
              </w:rPr>
            </w:pPr>
          </w:p>
        </w:tc>
      </w:tr>
      <w:tr w14:paraId="28090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exact"/>
          <w:jc w:val="center"/>
        </w:trPr>
        <w:tc>
          <w:tcPr>
            <w:tcW w:w="1613" w:type="dxa"/>
            <w:gridSpan w:val="2"/>
            <w:vMerge w:val="continue"/>
            <w:tcBorders>
              <w:tl2br w:val="nil"/>
              <w:tr2bl w:val="nil"/>
            </w:tcBorders>
            <w:vAlign w:val="center"/>
          </w:tcPr>
          <w:p w14:paraId="2D760B98">
            <w:pPr>
              <w:spacing w:line="230" w:lineRule="exact"/>
              <w:jc w:val="center"/>
              <w:rPr>
                <w:rFonts w:hint="default" w:ascii="Times New Roman" w:hAnsi="Times New Roman" w:eastAsia="黑体" w:cs="Times New Roman"/>
                <w:szCs w:val="21"/>
              </w:rPr>
            </w:pPr>
          </w:p>
        </w:tc>
        <w:tc>
          <w:tcPr>
            <w:tcW w:w="2248" w:type="dxa"/>
            <w:gridSpan w:val="2"/>
            <w:tcBorders>
              <w:tl2br w:val="nil"/>
              <w:tr2bl w:val="nil"/>
            </w:tcBorders>
            <w:vAlign w:val="center"/>
          </w:tcPr>
          <w:p w14:paraId="35A8CC08">
            <w:pPr>
              <w:spacing w:line="230" w:lineRule="exact"/>
              <w:jc w:val="center"/>
              <w:rPr>
                <w:rFonts w:hint="default" w:ascii="Times New Roman" w:hAnsi="Times New Roman" w:eastAsia="黑体" w:cs="Times New Roman"/>
                <w:szCs w:val="21"/>
              </w:rPr>
            </w:pPr>
            <w:r>
              <w:rPr>
                <w:rFonts w:hint="default" w:ascii="Times New Roman" w:hAnsi="Times New Roman" w:eastAsia="黑体" w:cs="Times New Roman"/>
                <w:szCs w:val="21"/>
              </w:rPr>
              <w:t>（一）财政拨款小计</w:t>
            </w:r>
          </w:p>
        </w:tc>
        <w:tc>
          <w:tcPr>
            <w:tcW w:w="1269" w:type="dxa"/>
            <w:tcBorders>
              <w:tl2br w:val="nil"/>
              <w:tr2bl w:val="nil"/>
            </w:tcBorders>
            <w:vAlign w:val="center"/>
          </w:tcPr>
          <w:p w14:paraId="094A9841">
            <w:pPr>
              <w:spacing w:line="230" w:lineRule="exact"/>
              <w:jc w:val="center"/>
              <w:rPr>
                <w:rFonts w:hint="default" w:ascii="Times New Roman" w:hAnsi="Times New Roman" w:cs="Times New Roman"/>
                <w:szCs w:val="21"/>
              </w:rPr>
            </w:pPr>
            <w:r>
              <w:rPr>
                <w:rFonts w:hint="default" w:ascii="Times New Roman" w:hAnsi="Times New Roman" w:cs="Times New Roman"/>
                <w:szCs w:val="21"/>
              </w:rPr>
              <w:t>910.04</w:t>
            </w:r>
          </w:p>
        </w:tc>
        <w:tc>
          <w:tcPr>
            <w:tcW w:w="1398" w:type="dxa"/>
            <w:tcBorders>
              <w:tl2br w:val="nil"/>
              <w:tr2bl w:val="nil"/>
            </w:tcBorders>
            <w:vAlign w:val="center"/>
          </w:tcPr>
          <w:p w14:paraId="12819775">
            <w:pPr>
              <w:spacing w:line="230" w:lineRule="exact"/>
              <w:jc w:val="center"/>
              <w:rPr>
                <w:rFonts w:hint="default" w:ascii="Times New Roman" w:hAnsi="Times New Roman" w:cs="Times New Roman"/>
                <w:szCs w:val="21"/>
              </w:rPr>
            </w:pPr>
            <w:r>
              <w:rPr>
                <w:rFonts w:hint="default" w:ascii="Times New Roman" w:hAnsi="Times New Roman" w:cs="Times New Roman"/>
                <w:szCs w:val="21"/>
              </w:rPr>
              <w:t>9003.24</w:t>
            </w:r>
          </w:p>
        </w:tc>
        <w:tc>
          <w:tcPr>
            <w:tcW w:w="1398" w:type="dxa"/>
            <w:tcBorders>
              <w:tl2br w:val="nil"/>
              <w:tr2bl w:val="nil"/>
            </w:tcBorders>
            <w:vAlign w:val="center"/>
          </w:tcPr>
          <w:p w14:paraId="3B4BB487">
            <w:pPr>
              <w:spacing w:line="230" w:lineRule="exact"/>
              <w:jc w:val="center"/>
              <w:rPr>
                <w:rFonts w:hint="default" w:ascii="Times New Roman" w:hAnsi="Times New Roman" w:cs="Times New Roman"/>
                <w:szCs w:val="21"/>
              </w:rPr>
            </w:pPr>
            <w:r>
              <w:rPr>
                <w:rFonts w:hint="default" w:ascii="Times New Roman" w:hAnsi="Times New Roman" w:cs="Times New Roman"/>
                <w:szCs w:val="21"/>
              </w:rPr>
              <w:t>9003.24</w:t>
            </w:r>
          </w:p>
        </w:tc>
        <w:tc>
          <w:tcPr>
            <w:tcW w:w="1430" w:type="dxa"/>
            <w:tcBorders>
              <w:tl2br w:val="nil"/>
              <w:tr2bl w:val="nil"/>
            </w:tcBorders>
            <w:vAlign w:val="center"/>
          </w:tcPr>
          <w:p w14:paraId="58AA0DFB">
            <w:pPr>
              <w:spacing w:line="230" w:lineRule="exact"/>
              <w:jc w:val="center"/>
              <w:rPr>
                <w:rFonts w:hint="default" w:ascii="Times New Roman" w:hAnsi="Times New Roman" w:cs="Times New Roman"/>
                <w:szCs w:val="21"/>
              </w:rPr>
            </w:pPr>
            <w:r>
              <w:rPr>
                <w:rFonts w:hint="default" w:ascii="Times New Roman" w:hAnsi="Times New Roman" w:cs="Times New Roman"/>
                <w:szCs w:val="21"/>
              </w:rPr>
              <w:t>100%</w:t>
            </w:r>
          </w:p>
        </w:tc>
      </w:tr>
      <w:tr w14:paraId="2DF25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exact"/>
          <w:jc w:val="center"/>
        </w:trPr>
        <w:tc>
          <w:tcPr>
            <w:tcW w:w="1613" w:type="dxa"/>
            <w:gridSpan w:val="2"/>
            <w:vMerge w:val="continue"/>
            <w:tcBorders>
              <w:tl2br w:val="nil"/>
              <w:tr2bl w:val="nil"/>
            </w:tcBorders>
            <w:vAlign w:val="center"/>
          </w:tcPr>
          <w:p w14:paraId="214C7567">
            <w:pPr>
              <w:spacing w:line="230" w:lineRule="exact"/>
              <w:jc w:val="center"/>
              <w:rPr>
                <w:rFonts w:hint="default" w:ascii="Times New Roman" w:hAnsi="Times New Roman" w:eastAsia="黑体" w:cs="Times New Roman"/>
                <w:szCs w:val="21"/>
              </w:rPr>
            </w:pPr>
          </w:p>
        </w:tc>
        <w:tc>
          <w:tcPr>
            <w:tcW w:w="2248" w:type="dxa"/>
            <w:gridSpan w:val="2"/>
            <w:tcBorders>
              <w:tl2br w:val="nil"/>
              <w:tr2bl w:val="nil"/>
            </w:tcBorders>
            <w:vAlign w:val="center"/>
          </w:tcPr>
          <w:p w14:paraId="112EA163">
            <w:pPr>
              <w:spacing w:line="230" w:lineRule="exact"/>
              <w:jc w:val="center"/>
              <w:rPr>
                <w:rFonts w:hint="default" w:ascii="Times New Roman" w:hAnsi="Times New Roman" w:eastAsia="黑体" w:cs="Times New Roman"/>
                <w:szCs w:val="21"/>
              </w:rPr>
            </w:pPr>
            <w:r>
              <w:rPr>
                <w:rFonts w:hint="default" w:ascii="Times New Roman" w:hAnsi="Times New Roman" w:eastAsia="黑体" w:cs="Times New Roman"/>
                <w:spacing w:val="1"/>
                <w:szCs w:val="21"/>
              </w:rPr>
              <w:t>1.一般公共预算</w:t>
            </w:r>
          </w:p>
        </w:tc>
        <w:tc>
          <w:tcPr>
            <w:tcW w:w="1269" w:type="dxa"/>
            <w:tcBorders>
              <w:tl2br w:val="nil"/>
              <w:tr2bl w:val="nil"/>
            </w:tcBorders>
            <w:vAlign w:val="center"/>
          </w:tcPr>
          <w:p w14:paraId="3A5C7DDA">
            <w:pPr>
              <w:spacing w:line="230" w:lineRule="exact"/>
              <w:jc w:val="center"/>
              <w:rPr>
                <w:rFonts w:hint="default" w:ascii="Times New Roman" w:hAnsi="Times New Roman" w:cs="Times New Roman"/>
                <w:szCs w:val="21"/>
              </w:rPr>
            </w:pPr>
            <w:r>
              <w:rPr>
                <w:rFonts w:hint="default" w:ascii="Times New Roman" w:hAnsi="Times New Roman" w:cs="Times New Roman"/>
                <w:szCs w:val="21"/>
              </w:rPr>
              <w:t>910.04</w:t>
            </w:r>
          </w:p>
        </w:tc>
        <w:tc>
          <w:tcPr>
            <w:tcW w:w="1398" w:type="dxa"/>
            <w:tcBorders>
              <w:tl2br w:val="nil"/>
              <w:tr2bl w:val="nil"/>
            </w:tcBorders>
            <w:vAlign w:val="center"/>
          </w:tcPr>
          <w:p w14:paraId="580E9DC5">
            <w:pPr>
              <w:spacing w:line="230" w:lineRule="exact"/>
              <w:jc w:val="center"/>
              <w:rPr>
                <w:rFonts w:hint="default" w:ascii="Times New Roman" w:hAnsi="Times New Roman" w:cs="Times New Roman"/>
                <w:szCs w:val="21"/>
              </w:rPr>
            </w:pPr>
            <w:r>
              <w:rPr>
                <w:rFonts w:hint="default" w:ascii="Times New Roman" w:hAnsi="Times New Roman" w:cs="Times New Roman"/>
                <w:szCs w:val="21"/>
              </w:rPr>
              <w:t>3869.78</w:t>
            </w:r>
          </w:p>
        </w:tc>
        <w:tc>
          <w:tcPr>
            <w:tcW w:w="1398" w:type="dxa"/>
            <w:tcBorders>
              <w:tl2br w:val="nil"/>
              <w:tr2bl w:val="nil"/>
            </w:tcBorders>
            <w:vAlign w:val="center"/>
          </w:tcPr>
          <w:p w14:paraId="7235AA0F">
            <w:pPr>
              <w:spacing w:line="230" w:lineRule="exact"/>
              <w:jc w:val="center"/>
              <w:rPr>
                <w:rFonts w:hint="default" w:ascii="Times New Roman" w:hAnsi="Times New Roman" w:cs="Times New Roman"/>
                <w:szCs w:val="21"/>
              </w:rPr>
            </w:pPr>
            <w:r>
              <w:rPr>
                <w:rFonts w:hint="default" w:ascii="Times New Roman" w:hAnsi="Times New Roman" w:cs="Times New Roman"/>
                <w:szCs w:val="21"/>
              </w:rPr>
              <w:t>3869.78</w:t>
            </w:r>
          </w:p>
        </w:tc>
        <w:tc>
          <w:tcPr>
            <w:tcW w:w="1430" w:type="dxa"/>
            <w:tcBorders>
              <w:tl2br w:val="nil"/>
              <w:tr2bl w:val="nil"/>
            </w:tcBorders>
            <w:vAlign w:val="center"/>
          </w:tcPr>
          <w:p w14:paraId="48B804F7">
            <w:pPr>
              <w:spacing w:line="230" w:lineRule="exact"/>
              <w:jc w:val="center"/>
              <w:rPr>
                <w:rFonts w:hint="default" w:ascii="Times New Roman" w:hAnsi="Times New Roman" w:cs="Times New Roman"/>
                <w:szCs w:val="21"/>
              </w:rPr>
            </w:pPr>
            <w:r>
              <w:rPr>
                <w:rFonts w:hint="default" w:ascii="Times New Roman" w:hAnsi="Times New Roman" w:cs="Times New Roman"/>
                <w:szCs w:val="21"/>
              </w:rPr>
              <w:t>100%</w:t>
            </w:r>
          </w:p>
        </w:tc>
      </w:tr>
      <w:tr w14:paraId="4B1D6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exact"/>
          <w:jc w:val="center"/>
        </w:trPr>
        <w:tc>
          <w:tcPr>
            <w:tcW w:w="1613" w:type="dxa"/>
            <w:gridSpan w:val="2"/>
            <w:vMerge w:val="continue"/>
            <w:tcBorders>
              <w:tl2br w:val="nil"/>
              <w:tr2bl w:val="nil"/>
            </w:tcBorders>
            <w:vAlign w:val="center"/>
          </w:tcPr>
          <w:p w14:paraId="4F3DDC9A">
            <w:pPr>
              <w:spacing w:line="230" w:lineRule="exact"/>
              <w:jc w:val="center"/>
              <w:rPr>
                <w:rFonts w:hint="default" w:ascii="Times New Roman" w:hAnsi="Times New Roman" w:eastAsia="黑体" w:cs="Times New Roman"/>
                <w:szCs w:val="21"/>
              </w:rPr>
            </w:pPr>
          </w:p>
        </w:tc>
        <w:tc>
          <w:tcPr>
            <w:tcW w:w="2248" w:type="dxa"/>
            <w:gridSpan w:val="2"/>
            <w:tcBorders>
              <w:tl2br w:val="nil"/>
              <w:tr2bl w:val="nil"/>
            </w:tcBorders>
            <w:vAlign w:val="center"/>
          </w:tcPr>
          <w:p w14:paraId="0D0FDF17">
            <w:pPr>
              <w:spacing w:line="230" w:lineRule="exact"/>
              <w:jc w:val="center"/>
              <w:rPr>
                <w:rFonts w:hint="default" w:ascii="Times New Roman" w:hAnsi="Times New Roman" w:eastAsia="黑体" w:cs="Times New Roman"/>
                <w:szCs w:val="21"/>
              </w:rPr>
            </w:pPr>
            <w:r>
              <w:rPr>
                <w:rFonts w:hint="default" w:ascii="Times New Roman" w:hAnsi="Times New Roman" w:eastAsia="黑体" w:cs="Times New Roman"/>
                <w:spacing w:val="-2"/>
                <w:szCs w:val="21"/>
              </w:rPr>
              <w:t>2.政府性基金</w:t>
            </w:r>
          </w:p>
        </w:tc>
        <w:tc>
          <w:tcPr>
            <w:tcW w:w="1269" w:type="dxa"/>
            <w:tcBorders>
              <w:tl2br w:val="nil"/>
              <w:tr2bl w:val="nil"/>
            </w:tcBorders>
            <w:vAlign w:val="center"/>
          </w:tcPr>
          <w:p w14:paraId="5CCA6B16">
            <w:pPr>
              <w:spacing w:line="230" w:lineRule="exact"/>
              <w:jc w:val="center"/>
              <w:rPr>
                <w:rFonts w:hint="default" w:ascii="Times New Roman" w:hAnsi="Times New Roman" w:cs="Times New Roman"/>
                <w:szCs w:val="21"/>
              </w:rPr>
            </w:pPr>
          </w:p>
        </w:tc>
        <w:tc>
          <w:tcPr>
            <w:tcW w:w="1398" w:type="dxa"/>
            <w:tcBorders>
              <w:tl2br w:val="nil"/>
              <w:tr2bl w:val="nil"/>
            </w:tcBorders>
            <w:vAlign w:val="center"/>
          </w:tcPr>
          <w:p w14:paraId="3AB090AB">
            <w:pPr>
              <w:spacing w:line="230" w:lineRule="exact"/>
              <w:jc w:val="center"/>
              <w:rPr>
                <w:rFonts w:hint="default" w:ascii="Times New Roman" w:hAnsi="Times New Roman" w:cs="Times New Roman"/>
                <w:szCs w:val="21"/>
              </w:rPr>
            </w:pPr>
            <w:r>
              <w:rPr>
                <w:rFonts w:hint="default" w:ascii="Times New Roman" w:hAnsi="Times New Roman" w:cs="Times New Roman"/>
                <w:szCs w:val="21"/>
              </w:rPr>
              <w:t>5133.47</w:t>
            </w:r>
          </w:p>
        </w:tc>
        <w:tc>
          <w:tcPr>
            <w:tcW w:w="1398" w:type="dxa"/>
            <w:tcBorders>
              <w:tl2br w:val="nil"/>
              <w:tr2bl w:val="nil"/>
            </w:tcBorders>
            <w:vAlign w:val="center"/>
          </w:tcPr>
          <w:p w14:paraId="20814DC9">
            <w:pPr>
              <w:spacing w:line="230" w:lineRule="exact"/>
              <w:jc w:val="center"/>
              <w:rPr>
                <w:rFonts w:hint="default" w:ascii="Times New Roman" w:hAnsi="Times New Roman" w:cs="Times New Roman"/>
                <w:szCs w:val="21"/>
              </w:rPr>
            </w:pPr>
            <w:r>
              <w:rPr>
                <w:rFonts w:hint="default" w:ascii="Times New Roman" w:hAnsi="Times New Roman" w:cs="Times New Roman"/>
                <w:szCs w:val="21"/>
              </w:rPr>
              <w:t>5133.47</w:t>
            </w:r>
          </w:p>
        </w:tc>
        <w:tc>
          <w:tcPr>
            <w:tcW w:w="1430" w:type="dxa"/>
            <w:tcBorders>
              <w:tl2br w:val="nil"/>
              <w:tr2bl w:val="nil"/>
            </w:tcBorders>
            <w:vAlign w:val="center"/>
          </w:tcPr>
          <w:p w14:paraId="2EBAA0F3">
            <w:pPr>
              <w:spacing w:line="230" w:lineRule="exact"/>
              <w:jc w:val="center"/>
              <w:rPr>
                <w:rFonts w:hint="default" w:ascii="Times New Roman" w:hAnsi="Times New Roman" w:cs="Times New Roman"/>
                <w:szCs w:val="21"/>
              </w:rPr>
            </w:pPr>
            <w:r>
              <w:rPr>
                <w:rFonts w:hint="default" w:ascii="Times New Roman" w:hAnsi="Times New Roman" w:cs="Times New Roman"/>
                <w:szCs w:val="21"/>
              </w:rPr>
              <w:t>100%</w:t>
            </w:r>
          </w:p>
        </w:tc>
      </w:tr>
      <w:tr w14:paraId="4E962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exact"/>
          <w:jc w:val="center"/>
        </w:trPr>
        <w:tc>
          <w:tcPr>
            <w:tcW w:w="1613" w:type="dxa"/>
            <w:gridSpan w:val="2"/>
            <w:vMerge w:val="continue"/>
            <w:tcBorders>
              <w:tl2br w:val="nil"/>
              <w:tr2bl w:val="nil"/>
            </w:tcBorders>
            <w:vAlign w:val="center"/>
          </w:tcPr>
          <w:p w14:paraId="145CBFAA">
            <w:pPr>
              <w:spacing w:line="230" w:lineRule="exact"/>
              <w:jc w:val="center"/>
              <w:rPr>
                <w:rFonts w:hint="default" w:ascii="Times New Roman" w:hAnsi="Times New Roman" w:eastAsia="黑体" w:cs="Times New Roman"/>
                <w:szCs w:val="21"/>
              </w:rPr>
            </w:pPr>
          </w:p>
        </w:tc>
        <w:tc>
          <w:tcPr>
            <w:tcW w:w="2248" w:type="dxa"/>
            <w:gridSpan w:val="2"/>
            <w:tcBorders>
              <w:tl2br w:val="nil"/>
              <w:tr2bl w:val="nil"/>
            </w:tcBorders>
            <w:vAlign w:val="center"/>
          </w:tcPr>
          <w:p w14:paraId="4020C97C">
            <w:pPr>
              <w:spacing w:line="230" w:lineRule="exact"/>
              <w:jc w:val="center"/>
              <w:rPr>
                <w:rFonts w:hint="default" w:ascii="Times New Roman" w:hAnsi="Times New Roman" w:eastAsia="黑体" w:cs="Times New Roman"/>
                <w:szCs w:val="21"/>
              </w:rPr>
            </w:pPr>
            <w:r>
              <w:rPr>
                <w:rFonts w:hint="default" w:ascii="Times New Roman" w:hAnsi="Times New Roman" w:eastAsia="黑体" w:cs="Times New Roman"/>
                <w:spacing w:val="-1"/>
                <w:szCs w:val="21"/>
              </w:rPr>
              <w:t>3.国有资本经营预算</w:t>
            </w:r>
          </w:p>
        </w:tc>
        <w:tc>
          <w:tcPr>
            <w:tcW w:w="1269" w:type="dxa"/>
            <w:tcBorders>
              <w:tl2br w:val="nil"/>
              <w:tr2bl w:val="nil"/>
            </w:tcBorders>
            <w:vAlign w:val="center"/>
          </w:tcPr>
          <w:p w14:paraId="442CBAAE">
            <w:pPr>
              <w:spacing w:line="230" w:lineRule="exact"/>
              <w:jc w:val="center"/>
              <w:rPr>
                <w:rFonts w:hint="default" w:ascii="Times New Roman" w:hAnsi="Times New Roman" w:cs="Times New Roman"/>
                <w:szCs w:val="21"/>
              </w:rPr>
            </w:pPr>
          </w:p>
        </w:tc>
        <w:tc>
          <w:tcPr>
            <w:tcW w:w="1398" w:type="dxa"/>
            <w:tcBorders>
              <w:tl2br w:val="nil"/>
              <w:tr2bl w:val="nil"/>
            </w:tcBorders>
            <w:vAlign w:val="center"/>
          </w:tcPr>
          <w:p w14:paraId="28A5DADF">
            <w:pPr>
              <w:spacing w:line="230" w:lineRule="exact"/>
              <w:jc w:val="center"/>
              <w:rPr>
                <w:rFonts w:hint="default" w:ascii="Times New Roman" w:hAnsi="Times New Roman" w:cs="Times New Roman"/>
                <w:szCs w:val="21"/>
              </w:rPr>
            </w:pPr>
          </w:p>
        </w:tc>
        <w:tc>
          <w:tcPr>
            <w:tcW w:w="1398" w:type="dxa"/>
            <w:tcBorders>
              <w:tl2br w:val="nil"/>
              <w:tr2bl w:val="nil"/>
            </w:tcBorders>
            <w:vAlign w:val="center"/>
          </w:tcPr>
          <w:p w14:paraId="05FE7C09">
            <w:pPr>
              <w:spacing w:line="230" w:lineRule="exact"/>
              <w:jc w:val="center"/>
              <w:rPr>
                <w:rFonts w:hint="default" w:ascii="Times New Roman" w:hAnsi="Times New Roman" w:cs="Times New Roman"/>
                <w:szCs w:val="21"/>
              </w:rPr>
            </w:pPr>
          </w:p>
        </w:tc>
        <w:tc>
          <w:tcPr>
            <w:tcW w:w="1430" w:type="dxa"/>
            <w:tcBorders>
              <w:tl2br w:val="nil"/>
              <w:tr2bl w:val="nil"/>
            </w:tcBorders>
            <w:vAlign w:val="center"/>
          </w:tcPr>
          <w:p w14:paraId="09932B01">
            <w:pPr>
              <w:spacing w:line="230" w:lineRule="exact"/>
              <w:jc w:val="center"/>
              <w:rPr>
                <w:rFonts w:hint="default" w:ascii="Times New Roman" w:hAnsi="Times New Roman" w:cs="Times New Roman"/>
                <w:szCs w:val="21"/>
              </w:rPr>
            </w:pPr>
          </w:p>
        </w:tc>
      </w:tr>
      <w:tr w14:paraId="69CE0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exact"/>
          <w:jc w:val="center"/>
        </w:trPr>
        <w:tc>
          <w:tcPr>
            <w:tcW w:w="1613" w:type="dxa"/>
            <w:gridSpan w:val="2"/>
            <w:vMerge w:val="continue"/>
            <w:tcBorders>
              <w:tl2br w:val="nil"/>
              <w:tr2bl w:val="nil"/>
            </w:tcBorders>
            <w:vAlign w:val="center"/>
          </w:tcPr>
          <w:p w14:paraId="043F848F">
            <w:pPr>
              <w:spacing w:line="230" w:lineRule="exact"/>
              <w:jc w:val="center"/>
              <w:rPr>
                <w:rFonts w:hint="default" w:ascii="Times New Roman" w:hAnsi="Times New Roman" w:eastAsia="黑体" w:cs="Times New Roman"/>
                <w:szCs w:val="21"/>
              </w:rPr>
            </w:pPr>
          </w:p>
        </w:tc>
        <w:tc>
          <w:tcPr>
            <w:tcW w:w="2248" w:type="dxa"/>
            <w:gridSpan w:val="2"/>
            <w:tcBorders>
              <w:tl2br w:val="nil"/>
              <w:tr2bl w:val="nil"/>
            </w:tcBorders>
            <w:vAlign w:val="center"/>
          </w:tcPr>
          <w:p w14:paraId="29383E1E">
            <w:pPr>
              <w:spacing w:line="230" w:lineRule="exact"/>
              <w:jc w:val="center"/>
              <w:rPr>
                <w:rFonts w:hint="default" w:ascii="Times New Roman" w:hAnsi="Times New Roman" w:eastAsia="黑体" w:cs="Times New Roman"/>
                <w:szCs w:val="21"/>
              </w:rPr>
            </w:pPr>
            <w:r>
              <w:rPr>
                <w:rFonts w:hint="default" w:ascii="Times New Roman" w:hAnsi="Times New Roman" w:eastAsia="黑体" w:cs="Times New Roman"/>
                <w:spacing w:val="-1"/>
                <w:szCs w:val="21"/>
              </w:rPr>
              <w:t>4.社保基金</w:t>
            </w:r>
          </w:p>
        </w:tc>
        <w:tc>
          <w:tcPr>
            <w:tcW w:w="1269" w:type="dxa"/>
            <w:tcBorders>
              <w:tl2br w:val="nil"/>
              <w:tr2bl w:val="nil"/>
            </w:tcBorders>
            <w:vAlign w:val="center"/>
          </w:tcPr>
          <w:p w14:paraId="20A8DF89">
            <w:pPr>
              <w:spacing w:line="230" w:lineRule="exact"/>
              <w:jc w:val="center"/>
              <w:rPr>
                <w:rFonts w:hint="default" w:ascii="Times New Roman" w:hAnsi="Times New Roman" w:cs="Times New Roman"/>
                <w:szCs w:val="21"/>
              </w:rPr>
            </w:pPr>
          </w:p>
        </w:tc>
        <w:tc>
          <w:tcPr>
            <w:tcW w:w="1398" w:type="dxa"/>
            <w:tcBorders>
              <w:tl2br w:val="nil"/>
              <w:tr2bl w:val="nil"/>
            </w:tcBorders>
            <w:vAlign w:val="center"/>
          </w:tcPr>
          <w:p w14:paraId="74E3EA20">
            <w:pPr>
              <w:spacing w:line="230" w:lineRule="exact"/>
              <w:jc w:val="center"/>
              <w:rPr>
                <w:rFonts w:hint="default" w:ascii="Times New Roman" w:hAnsi="Times New Roman" w:cs="Times New Roman"/>
                <w:szCs w:val="21"/>
              </w:rPr>
            </w:pPr>
          </w:p>
        </w:tc>
        <w:tc>
          <w:tcPr>
            <w:tcW w:w="1398" w:type="dxa"/>
            <w:tcBorders>
              <w:tl2br w:val="nil"/>
              <w:tr2bl w:val="nil"/>
            </w:tcBorders>
            <w:vAlign w:val="center"/>
          </w:tcPr>
          <w:p w14:paraId="1B4A78C7">
            <w:pPr>
              <w:spacing w:line="230" w:lineRule="exact"/>
              <w:jc w:val="center"/>
              <w:rPr>
                <w:rFonts w:hint="default" w:ascii="Times New Roman" w:hAnsi="Times New Roman" w:cs="Times New Roman"/>
                <w:szCs w:val="21"/>
              </w:rPr>
            </w:pPr>
          </w:p>
        </w:tc>
        <w:tc>
          <w:tcPr>
            <w:tcW w:w="1430" w:type="dxa"/>
            <w:tcBorders>
              <w:tl2br w:val="nil"/>
              <w:tr2bl w:val="nil"/>
            </w:tcBorders>
            <w:vAlign w:val="center"/>
          </w:tcPr>
          <w:p w14:paraId="4C9ACD57">
            <w:pPr>
              <w:spacing w:line="230" w:lineRule="exact"/>
              <w:jc w:val="center"/>
              <w:rPr>
                <w:rFonts w:hint="default" w:ascii="Times New Roman" w:hAnsi="Times New Roman" w:cs="Times New Roman"/>
                <w:szCs w:val="21"/>
              </w:rPr>
            </w:pPr>
          </w:p>
        </w:tc>
      </w:tr>
      <w:tr w14:paraId="4473A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exact"/>
          <w:jc w:val="center"/>
        </w:trPr>
        <w:tc>
          <w:tcPr>
            <w:tcW w:w="1613" w:type="dxa"/>
            <w:gridSpan w:val="2"/>
            <w:vMerge w:val="continue"/>
            <w:tcBorders>
              <w:tl2br w:val="nil"/>
              <w:tr2bl w:val="nil"/>
            </w:tcBorders>
            <w:vAlign w:val="center"/>
          </w:tcPr>
          <w:p w14:paraId="1004E20A">
            <w:pPr>
              <w:spacing w:line="230" w:lineRule="exact"/>
              <w:jc w:val="center"/>
              <w:rPr>
                <w:rFonts w:hint="default" w:ascii="Times New Roman" w:hAnsi="Times New Roman" w:eastAsia="黑体" w:cs="Times New Roman"/>
                <w:szCs w:val="21"/>
              </w:rPr>
            </w:pPr>
          </w:p>
        </w:tc>
        <w:tc>
          <w:tcPr>
            <w:tcW w:w="2248" w:type="dxa"/>
            <w:gridSpan w:val="2"/>
            <w:tcBorders>
              <w:tl2br w:val="nil"/>
              <w:tr2bl w:val="nil"/>
            </w:tcBorders>
            <w:vAlign w:val="center"/>
          </w:tcPr>
          <w:p w14:paraId="2F4F9C20">
            <w:pPr>
              <w:spacing w:line="230" w:lineRule="exact"/>
              <w:jc w:val="center"/>
              <w:rPr>
                <w:rFonts w:hint="default" w:ascii="Times New Roman" w:hAnsi="Times New Roman" w:eastAsia="黑体" w:cs="Times New Roman"/>
                <w:szCs w:val="21"/>
              </w:rPr>
            </w:pPr>
            <w:r>
              <w:rPr>
                <w:rFonts w:hint="default" w:ascii="Times New Roman" w:hAnsi="Times New Roman" w:eastAsia="黑体" w:cs="Times New Roman"/>
                <w:spacing w:val="1"/>
                <w:szCs w:val="21"/>
              </w:rPr>
              <w:t>（二）其他资金</w:t>
            </w:r>
          </w:p>
        </w:tc>
        <w:tc>
          <w:tcPr>
            <w:tcW w:w="1269" w:type="dxa"/>
            <w:tcBorders>
              <w:tl2br w:val="nil"/>
              <w:tr2bl w:val="nil"/>
            </w:tcBorders>
            <w:vAlign w:val="center"/>
          </w:tcPr>
          <w:p w14:paraId="185123E8">
            <w:pPr>
              <w:spacing w:line="230" w:lineRule="exact"/>
              <w:jc w:val="center"/>
              <w:rPr>
                <w:rFonts w:hint="default" w:ascii="Times New Roman" w:hAnsi="Times New Roman" w:cs="Times New Roman"/>
                <w:szCs w:val="21"/>
              </w:rPr>
            </w:pPr>
          </w:p>
        </w:tc>
        <w:tc>
          <w:tcPr>
            <w:tcW w:w="1398" w:type="dxa"/>
            <w:tcBorders>
              <w:tl2br w:val="nil"/>
              <w:tr2bl w:val="nil"/>
            </w:tcBorders>
            <w:vAlign w:val="center"/>
          </w:tcPr>
          <w:p w14:paraId="60D6E804">
            <w:pPr>
              <w:spacing w:line="230" w:lineRule="exact"/>
              <w:jc w:val="center"/>
              <w:rPr>
                <w:rFonts w:hint="default" w:ascii="Times New Roman" w:hAnsi="Times New Roman" w:cs="Times New Roman"/>
                <w:szCs w:val="21"/>
              </w:rPr>
            </w:pPr>
          </w:p>
        </w:tc>
        <w:tc>
          <w:tcPr>
            <w:tcW w:w="1398" w:type="dxa"/>
            <w:tcBorders>
              <w:tl2br w:val="nil"/>
              <w:tr2bl w:val="nil"/>
            </w:tcBorders>
            <w:vAlign w:val="center"/>
          </w:tcPr>
          <w:p w14:paraId="295BAFAC">
            <w:pPr>
              <w:spacing w:line="230" w:lineRule="exact"/>
              <w:jc w:val="center"/>
              <w:rPr>
                <w:rFonts w:hint="default" w:ascii="Times New Roman" w:hAnsi="Times New Roman" w:cs="Times New Roman"/>
                <w:szCs w:val="21"/>
              </w:rPr>
            </w:pPr>
          </w:p>
        </w:tc>
        <w:tc>
          <w:tcPr>
            <w:tcW w:w="1430" w:type="dxa"/>
            <w:tcBorders>
              <w:tl2br w:val="nil"/>
              <w:tr2bl w:val="nil"/>
            </w:tcBorders>
            <w:vAlign w:val="center"/>
          </w:tcPr>
          <w:p w14:paraId="6C015F5C">
            <w:pPr>
              <w:spacing w:line="230" w:lineRule="exact"/>
              <w:jc w:val="center"/>
              <w:rPr>
                <w:rFonts w:hint="default" w:ascii="Times New Roman" w:hAnsi="Times New Roman" w:cs="Times New Roman"/>
                <w:szCs w:val="21"/>
              </w:rPr>
            </w:pPr>
          </w:p>
        </w:tc>
      </w:tr>
      <w:tr w14:paraId="144D9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exact"/>
          <w:jc w:val="center"/>
        </w:trPr>
        <w:tc>
          <w:tcPr>
            <w:tcW w:w="784" w:type="dxa"/>
            <w:vMerge w:val="restart"/>
            <w:tcBorders>
              <w:tl2br w:val="nil"/>
              <w:tr2bl w:val="nil"/>
            </w:tcBorders>
            <w:vAlign w:val="center"/>
          </w:tcPr>
          <w:p w14:paraId="331F3948">
            <w:pPr>
              <w:spacing w:line="230" w:lineRule="exact"/>
              <w:jc w:val="center"/>
              <w:rPr>
                <w:rFonts w:hint="default" w:ascii="Times New Roman" w:hAnsi="Times New Roman" w:eastAsia="黑体" w:cs="Times New Roman"/>
                <w:szCs w:val="21"/>
              </w:rPr>
            </w:pPr>
            <w:r>
              <w:rPr>
                <w:rFonts w:hint="default" w:ascii="Times New Roman" w:hAnsi="Times New Roman" w:eastAsia="黑体" w:cs="Times New Roman"/>
                <w:szCs w:val="21"/>
              </w:rPr>
              <w:t>整体</w:t>
            </w:r>
          </w:p>
          <w:p w14:paraId="5AA30A5D">
            <w:pPr>
              <w:spacing w:line="230" w:lineRule="exact"/>
              <w:jc w:val="center"/>
              <w:rPr>
                <w:rFonts w:hint="default" w:ascii="Times New Roman" w:hAnsi="Times New Roman" w:cs="Times New Roman"/>
                <w:szCs w:val="21"/>
              </w:rPr>
            </w:pPr>
            <w:r>
              <w:rPr>
                <w:rFonts w:hint="default" w:ascii="Times New Roman" w:hAnsi="Times New Roman" w:eastAsia="黑体" w:cs="Times New Roman"/>
                <w:szCs w:val="21"/>
              </w:rPr>
              <w:t>目标</w:t>
            </w:r>
          </w:p>
        </w:tc>
        <w:tc>
          <w:tcPr>
            <w:tcW w:w="5744" w:type="dxa"/>
            <w:gridSpan w:val="5"/>
            <w:tcBorders>
              <w:tl2br w:val="nil"/>
              <w:tr2bl w:val="nil"/>
            </w:tcBorders>
            <w:vAlign w:val="center"/>
          </w:tcPr>
          <w:p w14:paraId="2BF30849">
            <w:pPr>
              <w:spacing w:line="230" w:lineRule="exact"/>
              <w:jc w:val="center"/>
              <w:rPr>
                <w:rFonts w:hint="default" w:ascii="Times New Roman" w:hAnsi="Times New Roman" w:eastAsia="黑体" w:cs="Times New Roman"/>
                <w:szCs w:val="21"/>
              </w:rPr>
            </w:pPr>
            <w:r>
              <w:rPr>
                <w:rFonts w:hint="default" w:ascii="Times New Roman" w:hAnsi="Times New Roman" w:eastAsia="黑体" w:cs="Times New Roman"/>
                <w:szCs w:val="21"/>
              </w:rPr>
              <w:t>年度目标</w:t>
            </w:r>
          </w:p>
        </w:tc>
        <w:tc>
          <w:tcPr>
            <w:tcW w:w="2828" w:type="dxa"/>
            <w:gridSpan w:val="2"/>
            <w:tcBorders>
              <w:tl2br w:val="nil"/>
              <w:tr2bl w:val="nil"/>
            </w:tcBorders>
            <w:vAlign w:val="center"/>
          </w:tcPr>
          <w:p w14:paraId="2E46AB93">
            <w:pPr>
              <w:spacing w:line="230" w:lineRule="exact"/>
              <w:jc w:val="center"/>
              <w:rPr>
                <w:rFonts w:hint="default" w:ascii="Times New Roman" w:hAnsi="Times New Roman" w:eastAsia="黑体" w:cs="Times New Roman"/>
                <w:szCs w:val="21"/>
              </w:rPr>
            </w:pPr>
            <w:r>
              <w:rPr>
                <w:rFonts w:hint="default" w:ascii="Times New Roman" w:hAnsi="Times New Roman" w:eastAsia="黑体" w:cs="Times New Roman"/>
                <w:szCs w:val="21"/>
              </w:rPr>
              <w:t>完成情况</w:t>
            </w:r>
          </w:p>
        </w:tc>
      </w:tr>
      <w:tr w14:paraId="4AEE5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84" w:type="dxa"/>
            <w:vMerge w:val="continue"/>
            <w:tcBorders>
              <w:tl2br w:val="nil"/>
              <w:tr2bl w:val="nil"/>
            </w:tcBorders>
            <w:vAlign w:val="center"/>
          </w:tcPr>
          <w:p w14:paraId="56B1996E">
            <w:pPr>
              <w:spacing w:line="230" w:lineRule="exact"/>
              <w:jc w:val="center"/>
              <w:rPr>
                <w:rFonts w:hint="default" w:ascii="Times New Roman" w:hAnsi="Times New Roman" w:cs="Times New Roman"/>
                <w:szCs w:val="21"/>
              </w:rPr>
            </w:pPr>
          </w:p>
        </w:tc>
        <w:tc>
          <w:tcPr>
            <w:tcW w:w="5744" w:type="dxa"/>
            <w:gridSpan w:val="5"/>
            <w:tcBorders>
              <w:tl2br w:val="nil"/>
              <w:tr2bl w:val="nil"/>
            </w:tcBorders>
            <w:vAlign w:val="center"/>
          </w:tcPr>
          <w:p w14:paraId="1D4B76EC">
            <w:pPr>
              <w:spacing w:line="230" w:lineRule="exact"/>
              <w:ind w:firstLine="396" w:firstLineChars="200"/>
              <w:jc w:val="left"/>
              <w:rPr>
                <w:rFonts w:hint="default" w:ascii="Times New Roman" w:hAnsi="Times New Roman" w:cs="Times New Roman"/>
                <w:szCs w:val="21"/>
              </w:rPr>
            </w:pPr>
            <w:r>
              <w:rPr>
                <w:rFonts w:hint="default" w:ascii="Times New Roman" w:hAnsi="Times New Roman" w:cs="Times New Roman"/>
                <w:color w:val="000000" w:themeColor="text1"/>
                <w:spacing w:val="-6"/>
                <w:kern w:val="0"/>
                <w:szCs w:val="21"/>
                <w14:textFill>
                  <w14:solidFill>
                    <w14:schemeClr w14:val="tx1"/>
                  </w14:solidFill>
                </w14:textFill>
              </w:rPr>
              <w:t>按时足额支付单位干部职工工资、社会保险和其他工资福利；按照“过紧日子”要求，合理支付单位日常办公、水、电、气、邮电、差旅、会议、公务接待费等，保障机关高效运转，确保全年目标任务圆满完成；统筹安排好地质灾害防治等项目申报工作，力争地质灾害防治项目到位资金500万元，切实提高地质灾害防范能力，有效降低地质灾害发生率，改善人民群众生产生活环境。</w:t>
            </w:r>
          </w:p>
        </w:tc>
        <w:tc>
          <w:tcPr>
            <w:tcW w:w="2828" w:type="dxa"/>
            <w:gridSpan w:val="2"/>
            <w:tcBorders>
              <w:tl2br w:val="nil"/>
              <w:tr2bl w:val="nil"/>
            </w:tcBorders>
            <w:vAlign w:val="center"/>
          </w:tcPr>
          <w:p w14:paraId="062B6958">
            <w:pPr>
              <w:spacing w:line="230" w:lineRule="exact"/>
              <w:jc w:val="center"/>
              <w:rPr>
                <w:rFonts w:hint="default" w:ascii="Times New Roman" w:hAnsi="Times New Roman" w:cs="Times New Roman"/>
                <w:szCs w:val="21"/>
              </w:rPr>
            </w:pPr>
            <w:r>
              <w:rPr>
                <w:rFonts w:hint="default" w:ascii="Times New Roman" w:hAnsi="Times New Roman" w:cs="Times New Roman"/>
                <w:szCs w:val="21"/>
              </w:rPr>
              <w:t>全部完成</w:t>
            </w:r>
          </w:p>
        </w:tc>
      </w:tr>
      <w:tr w14:paraId="0DF36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84" w:type="dxa"/>
            <w:vMerge w:val="restart"/>
            <w:tcBorders>
              <w:tl2br w:val="nil"/>
              <w:tr2bl w:val="nil"/>
            </w:tcBorders>
            <w:vAlign w:val="center"/>
          </w:tcPr>
          <w:p w14:paraId="3DBC4DD2">
            <w:pPr>
              <w:spacing w:line="230" w:lineRule="exact"/>
              <w:jc w:val="center"/>
              <w:rPr>
                <w:rFonts w:hint="default" w:ascii="Times New Roman" w:hAnsi="Times New Roman" w:cs="Times New Roman"/>
                <w:szCs w:val="21"/>
              </w:rPr>
            </w:pPr>
            <w:r>
              <w:rPr>
                <w:rFonts w:hint="default" w:ascii="Times New Roman" w:hAnsi="Times New Roman" w:eastAsia="黑体" w:cs="Times New Roman"/>
                <w:szCs w:val="21"/>
              </w:rPr>
              <w:t>部门整体绩效指标</w:t>
            </w:r>
          </w:p>
        </w:tc>
        <w:tc>
          <w:tcPr>
            <w:tcW w:w="829" w:type="dxa"/>
            <w:tcBorders>
              <w:tl2br w:val="nil"/>
              <w:tr2bl w:val="nil"/>
            </w:tcBorders>
            <w:vAlign w:val="center"/>
          </w:tcPr>
          <w:p w14:paraId="480698EE">
            <w:pPr>
              <w:spacing w:line="230" w:lineRule="exact"/>
              <w:jc w:val="center"/>
              <w:rPr>
                <w:rFonts w:hint="default" w:ascii="Times New Roman" w:hAnsi="Times New Roman" w:eastAsia="黑体" w:cs="Times New Roman"/>
                <w:szCs w:val="21"/>
              </w:rPr>
            </w:pPr>
            <w:r>
              <w:rPr>
                <w:rFonts w:hint="default" w:ascii="Times New Roman" w:hAnsi="Times New Roman" w:eastAsia="黑体" w:cs="Times New Roman"/>
                <w:spacing w:val="-2"/>
                <w:szCs w:val="21"/>
              </w:rPr>
              <w:t>一级指标</w:t>
            </w:r>
          </w:p>
        </w:tc>
        <w:tc>
          <w:tcPr>
            <w:tcW w:w="1129" w:type="dxa"/>
            <w:tcBorders>
              <w:tl2br w:val="nil"/>
              <w:tr2bl w:val="nil"/>
            </w:tcBorders>
            <w:vAlign w:val="center"/>
          </w:tcPr>
          <w:p w14:paraId="6521517A">
            <w:pPr>
              <w:spacing w:line="230" w:lineRule="exact"/>
              <w:jc w:val="center"/>
              <w:rPr>
                <w:rFonts w:hint="default" w:ascii="Times New Roman" w:hAnsi="Times New Roman" w:eastAsia="黑体" w:cs="Times New Roman"/>
                <w:szCs w:val="21"/>
              </w:rPr>
            </w:pPr>
            <w:r>
              <w:rPr>
                <w:rFonts w:hint="default" w:ascii="Times New Roman" w:hAnsi="Times New Roman" w:eastAsia="黑体" w:cs="Times New Roman"/>
                <w:spacing w:val="-2"/>
                <w:szCs w:val="21"/>
              </w:rPr>
              <w:t>二级指标</w:t>
            </w:r>
          </w:p>
        </w:tc>
        <w:tc>
          <w:tcPr>
            <w:tcW w:w="2388" w:type="dxa"/>
            <w:gridSpan w:val="2"/>
            <w:tcBorders>
              <w:tl2br w:val="nil"/>
              <w:tr2bl w:val="nil"/>
            </w:tcBorders>
            <w:vAlign w:val="center"/>
          </w:tcPr>
          <w:p w14:paraId="1316A1AA">
            <w:pPr>
              <w:spacing w:line="230" w:lineRule="exact"/>
              <w:jc w:val="center"/>
              <w:rPr>
                <w:rFonts w:hint="default" w:ascii="Times New Roman" w:hAnsi="Times New Roman" w:eastAsia="黑体" w:cs="Times New Roman"/>
                <w:szCs w:val="21"/>
              </w:rPr>
            </w:pPr>
            <w:r>
              <w:rPr>
                <w:rFonts w:hint="default" w:ascii="Times New Roman" w:hAnsi="Times New Roman" w:eastAsia="黑体" w:cs="Times New Roman"/>
                <w:spacing w:val="-2"/>
                <w:szCs w:val="21"/>
              </w:rPr>
              <w:t>三级指标</w:t>
            </w:r>
          </w:p>
        </w:tc>
        <w:tc>
          <w:tcPr>
            <w:tcW w:w="1398" w:type="dxa"/>
            <w:tcBorders>
              <w:tl2br w:val="nil"/>
              <w:tr2bl w:val="nil"/>
            </w:tcBorders>
            <w:vAlign w:val="center"/>
          </w:tcPr>
          <w:p w14:paraId="4C21E269">
            <w:pPr>
              <w:spacing w:line="230" w:lineRule="exact"/>
              <w:jc w:val="center"/>
              <w:rPr>
                <w:rFonts w:hint="default" w:ascii="Times New Roman" w:hAnsi="Times New Roman" w:eastAsia="黑体" w:cs="Times New Roman"/>
                <w:szCs w:val="21"/>
              </w:rPr>
            </w:pPr>
            <w:r>
              <w:rPr>
                <w:rFonts w:hint="default" w:ascii="Times New Roman" w:hAnsi="Times New Roman" w:eastAsia="黑体" w:cs="Times New Roman"/>
                <w:spacing w:val="-2"/>
                <w:szCs w:val="21"/>
              </w:rPr>
              <w:t>年度指标值</w:t>
            </w:r>
          </w:p>
        </w:tc>
        <w:tc>
          <w:tcPr>
            <w:tcW w:w="1398" w:type="dxa"/>
            <w:tcBorders>
              <w:tl2br w:val="nil"/>
              <w:tr2bl w:val="nil"/>
            </w:tcBorders>
            <w:vAlign w:val="center"/>
          </w:tcPr>
          <w:p w14:paraId="2D9E4399">
            <w:pPr>
              <w:spacing w:line="230" w:lineRule="exact"/>
              <w:jc w:val="center"/>
              <w:rPr>
                <w:rFonts w:hint="default" w:ascii="Times New Roman" w:hAnsi="Times New Roman" w:eastAsia="黑体" w:cs="Times New Roman"/>
                <w:szCs w:val="21"/>
              </w:rPr>
            </w:pPr>
            <w:r>
              <w:rPr>
                <w:rFonts w:hint="default" w:ascii="Times New Roman" w:hAnsi="Times New Roman" w:eastAsia="黑体" w:cs="Times New Roman"/>
                <w:spacing w:val="-2"/>
                <w:szCs w:val="21"/>
              </w:rPr>
              <w:t>实际完成值</w:t>
            </w:r>
          </w:p>
        </w:tc>
        <w:tc>
          <w:tcPr>
            <w:tcW w:w="1430" w:type="dxa"/>
            <w:tcBorders>
              <w:tl2br w:val="nil"/>
              <w:tr2bl w:val="nil"/>
            </w:tcBorders>
            <w:vAlign w:val="center"/>
          </w:tcPr>
          <w:p w14:paraId="25569208">
            <w:pPr>
              <w:spacing w:line="230" w:lineRule="exact"/>
              <w:jc w:val="center"/>
              <w:rPr>
                <w:rFonts w:hint="default" w:ascii="Times New Roman" w:hAnsi="Times New Roman" w:eastAsia="黑体" w:cs="Times New Roman"/>
                <w:szCs w:val="21"/>
              </w:rPr>
            </w:pPr>
            <w:r>
              <w:rPr>
                <w:rFonts w:hint="default" w:ascii="Times New Roman" w:hAnsi="Times New Roman" w:eastAsia="黑体" w:cs="Times New Roman"/>
                <w:spacing w:val="7"/>
                <w:szCs w:val="21"/>
              </w:rPr>
              <w:t>偏原因分析及</w:t>
            </w:r>
            <w:r>
              <w:rPr>
                <w:rFonts w:hint="default" w:ascii="Times New Roman" w:hAnsi="Times New Roman" w:eastAsia="黑体" w:cs="Times New Roman"/>
                <w:spacing w:val="2"/>
                <w:szCs w:val="21"/>
              </w:rPr>
              <w:t xml:space="preserve"> </w:t>
            </w:r>
            <w:r>
              <w:rPr>
                <w:rFonts w:hint="default" w:ascii="Times New Roman" w:hAnsi="Times New Roman" w:eastAsia="黑体" w:cs="Times New Roman"/>
                <w:spacing w:val="10"/>
                <w:szCs w:val="21"/>
              </w:rPr>
              <w:t>改进措施</w:t>
            </w:r>
          </w:p>
        </w:tc>
      </w:tr>
      <w:tr w14:paraId="20E07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exact"/>
          <w:jc w:val="center"/>
        </w:trPr>
        <w:tc>
          <w:tcPr>
            <w:tcW w:w="784" w:type="dxa"/>
            <w:vMerge w:val="continue"/>
            <w:tcBorders>
              <w:tl2br w:val="nil"/>
              <w:tr2bl w:val="nil"/>
            </w:tcBorders>
            <w:vAlign w:val="center"/>
          </w:tcPr>
          <w:p w14:paraId="5A594200">
            <w:pPr>
              <w:spacing w:line="230" w:lineRule="exact"/>
              <w:jc w:val="center"/>
              <w:rPr>
                <w:rFonts w:hint="default" w:ascii="Times New Roman" w:hAnsi="Times New Roman" w:cs="Times New Roman"/>
                <w:szCs w:val="21"/>
              </w:rPr>
            </w:pPr>
          </w:p>
        </w:tc>
        <w:tc>
          <w:tcPr>
            <w:tcW w:w="829" w:type="dxa"/>
            <w:vMerge w:val="restart"/>
            <w:tcBorders>
              <w:tl2br w:val="nil"/>
              <w:tr2bl w:val="nil"/>
            </w:tcBorders>
            <w:vAlign w:val="center"/>
          </w:tcPr>
          <w:p w14:paraId="7132ECE5">
            <w:pPr>
              <w:spacing w:line="230" w:lineRule="exact"/>
              <w:jc w:val="center"/>
              <w:rPr>
                <w:rFonts w:hint="default" w:ascii="Times New Roman" w:hAnsi="Times New Roman" w:cs="Times New Roman"/>
                <w:szCs w:val="21"/>
              </w:rPr>
            </w:pPr>
            <w:r>
              <w:rPr>
                <w:rFonts w:hint="default" w:ascii="Times New Roman" w:hAnsi="Times New Roman" w:cs="Times New Roman"/>
                <w:spacing w:val="-2"/>
                <w:szCs w:val="21"/>
              </w:rPr>
              <w:t>产出指标</w:t>
            </w:r>
          </w:p>
        </w:tc>
        <w:tc>
          <w:tcPr>
            <w:tcW w:w="1129" w:type="dxa"/>
            <w:vMerge w:val="restart"/>
            <w:tcBorders>
              <w:tl2br w:val="nil"/>
              <w:tr2bl w:val="nil"/>
            </w:tcBorders>
            <w:vAlign w:val="center"/>
          </w:tcPr>
          <w:p w14:paraId="093A68F8">
            <w:pPr>
              <w:spacing w:line="230" w:lineRule="exact"/>
              <w:jc w:val="center"/>
              <w:rPr>
                <w:rFonts w:hint="default" w:ascii="Times New Roman" w:hAnsi="Times New Roman" w:cs="Times New Roman"/>
                <w:szCs w:val="21"/>
              </w:rPr>
            </w:pPr>
            <w:r>
              <w:rPr>
                <w:rFonts w:hint="default" w:ascii="Times New Roman" w:hAnsi="Times New Roman" w:cs="Times New Roman"/>
                <w:spacing w:val="-2"/>
                <w:szCs w:val="21"/>
              </w:rPr>
              <w:t>数量指标</w:t>
            </w:r>
          </w:p>
        </w:tc>
        <w:tc>
          <w:tcPr>
            <w:tcW w:w="2388" w:type="dxa"/>
            <w:gridSpan w:val="2"/>
            <w:tcBorders>
              <w:tl2br w:val="nil"/>
              <w:tr2bl w:val="nil"/>
            </w:tcBorders>
            <w:vAlign w:val="center"/>
          </w:tcPr>
          <w:p w14:paraId="3CDB4086">
            <w:pPr>
              <w:spacing w:line="230" w:lineRule="exact"/>
              <w:jc w:val="center"/>
              <w:rPr>
                <w:rFonts w:hint="default" w:ascii="Times New Roman" w:hAnsi="Times New Roman" w:cs="Times New Roman"/>
                <w:spacing w:val="-2"/>
                <w:szCs w:val="21"/>
              </w:rPr>
            </w:pPr>
            <w:r>
              <w:rPr>
                <w:rFonts w:hint="default" w:ascii="Times New Roman" w:hAnsi="Times New Roman" w:cs="Times New Roman"/>
                <w:spacing w:val="-2"/>
                <w:szCs w:val="21"/>
              </w:rPr>
              <w:t>争取地质灾害防治等项目</w:t>
            </w:r>
          </w:p>
        </w:tc>
        <w:tc>
          <w:tcPr>
            <w:tcW w:w="1398" w:type="dxa"/>
            <w:tcBorders>
              <w:tl2br w:val="nil"/>
              <w:tr2bl w:val="nil"/>
            </w:tcBorders>
            <w:vAlign w:val="center"/>
          </w:tcPr>
          <w:p w14:paraId="5E5411DD">
            <w:pPr>
              <w:spacing w:line="230" w:lineRule="exact"/>
              <w:jc w:val="center"/>
              <w:rPr>
                <w:rFonts w:hint="default" w:ascii="Times New Roman" w:hAnsi="Times New Roman" w:cs="Times New Roman"/>
                <w:spacing w:val="-2"/>
                <w:szCs w:val="21"/>
              </w:rPr>
            </w:pPr>
            <w:r>
              <w:rPr>
                <w:rFonts w:hint="default" w:ascii="Times New Roman" w:hAnsi="Times New Roman" w:cs="Times New Roman"/>
                <w:spacing w:val="-2"/>
                <w:szCs w:val="21"/>
              </w:rPr>
              <w:t>≥</w:t>
            </w:r>
          </w:p>
        </w:tc>
        <w:tc>
          <w:tcPr>
            <w:tcW w:w="1398" w:type="dxa"/>
            <w:tcBorders>
              <w:tl2br w:val="nil"/>
              <w:tr2bl w:val="nil"/>
            </w:tcBorders>
            <w:vAlign w:val="center"/>
          </w:tcPr>
          <w:p w14:paraId="773DDCA7">
            <w:pPr>
              <w:spacing w:line="230" w:lineRule="exact"/>
              <w:jc w:val="center"/>
              <w:rPr>
                <w:rFonts w:hint="default" w:ascii="Times New Roman" w:hAnsi="Times New Roman" w:cs="Times New Roman"/>
                <w:szCs w:val="21"/>
              </w:rPr>
            </w:pPr>
            <w:r>
              <w:rPr>
                <w:rFonts w:hint="default" w:ascii="Times New Roman" w:hAnsi="Times New Roman" w:cs="Times New Roman"/>
                <w:spacing w:val="-2"/>
                <w:szCs w:val="21"/>
              </w:rPr>
              <w:t>11个</w:t>
            </w:r>
          </w:p>
        </w:tc>
        <w:tc>
          <w:tcPr>
            <w:tcW w:w="1430" w:type="dxa"/>
            <w:tcBorders>
              <w:tl2br w:val="nil"/>
              <w:tr2bl w:val="nil"/>
            </w:tcBorders>
            <w:vAlign w:val="center"/>
          </w:tcPr>
          <w:p w14:paraId="20FCDE65">
            <w:pPr>
              <w:spacing w:line="230" w:lineRule="exact"/>
              <w:jc w:val="center"/>
              <w:rPr>
                <w:rFonts w:hint="default" w:ascii="Times New Roman" w:hAnsi="Times New Roman" w:cs="Times New Roman"/>
                <w:szCs w:val="21"/>
              </w:rPr>
            </w:pPr>
          </w:p>
        </w:tc>
      </w:tr>
      <w:tr w14:paraId="03D34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exact"/>
          <w:jc w:val="center"/>
        </w:trPr>
        <w:tc>
          <w:tcPr>
            <w:tcW w:w="784" w:type="dxa"/>
            <w:vMerge w:val="continue"/>
            <w:tcBorders>
              <w:tl2br w:val="nil"/>
              <w:tr2bl w:val="nil"/>
            </w:tcBorders>
            <w:vAlign w:val="center"/>
          </w:tcPr>
          <w:p w14:paraId="62557736">
            <w:pPr>
              <w:spacing w:line="230" w:lineRule="exact"/>
              <w:jc w:val="center"/>
              <w:rPr>
                <w:rFonts w:hint="default" w:ascii="Times New Roman" w:hAnsi="Times New Roman" w:cs="Times New Roman"/>
                <w:szCs w:val="21"/>
              </w:rPr>
            </w:pPr>
          </w:p>
        </w:tc>
        <w:tc>
          <w:tcPr>
            <w:tcW w:w="829" w:type="dxa"/>
            <w:vMerge w:val="continue"/>
            <w:tcBorders>
              <w:tl2br w:val="nil"/>
              <w:tr2bl w:val="nil"/>
            </w:tcBorders>
            <w:vAlign w:val="center"/>
          </w:tcPr>
          <w:p w14:paraId="30076961">
            <w:pPr>
              <w:spacing w:line="230" w:lineRule="exact"/>
              <w:jc w:val="center"/>
              <w:rPr>
                <w:rFonts w:hint="default" w:ascii="Times New Roman" w:hAnsi="Times New Roman" w:cs="Times New Roman"/>
                <w:szCs w:val="21"/>
              </w:rPr>
            </w:pPr>
          </w:p>
        </w:tc>
        <w:tc>
          <w:tcPr>
            <w:tcW w:w="1129" w:type="dxa"/>
            <w:vMerge w:val="continue"/>
            <w:tcBorders>
              <w:tl2br w:val="nil"/>
              <w:tr2bl w:val="nil"/>
            </w:tcBorders>
            <w:vAlign w:val="center"/>
          </w:tcPr>
          <w:p w14:paraId="0E04CE3E">
            <w:pPr>
              <w:spacing w:line="230" w:lineRule="exact"/>
              <w:jc w:val="center"/>
              <w:rPr>
                <w:rFonts w:hint="default" w:ascii="Times New Roman" w:hAnsi="Times New Roman" w:cs="Times New Roman"/>
                <w:szCs w:val="21"/>
              </w:rPr>
            </w:pPr>
          </w:p>
        </w:tc>
        <w:tc>
          <w:tcPr>
            <w:tcW w:w="2388" w:type="dxa"/>
            <w:gridSpan w:val="2"/>
            <w:tcBorders>
              <w:tl2br w:val="nil"/>
              <w:tr2bl w:val="nil"/>
            </w:tcBorders>
            <w:vAlign w:val="center"/>
          </w:tcPr>
          <w:p w14:paraId="3742738B">
            <w:pPr>
              <w:spacing w:line="230" w:lineRule="exact"/>
              <w:jc w:val="center"/>
              <w:rPr>
                <w:rFonts w:hint="default" w:ascii="Times New Roman" w:hAnsi="Times New Roman" w:cs="Times New Roman"/>
                <w:spacing w:val="-2"/>
                <w:szCs w:val="21"/>
              </w:rPr>
            </w:pPr>
            <w:r>
              <w:rPr>
                <w:rFonts w:hint="default" w:ascii="Times New Roman" w:hAnsi="Times New Roman" w:cs="Times New Roman"/>
                <w:spacing w:val="-2"/>
                <w:szCs w:val="21"/>
              </w:rPr>
              <w:t>在编人员数</w:t>
            </w:r>
          </w:p>
        </w:tc>
        <w:tc>
          <w:tcPr>
            <w:tcW w:w="1398" w:type="dxa"/>
            <w:tcBorders>
              <w:tl2br w:val="nil"/>
              <w:tr2bl w:val="nil"/>
            </w:tcBorders>
            <w:vAlign w:val="center"/>
          </w:tcPr>
          <w:p w14:paraId="6CF245C6">
            <w:pPr>
              <w:spacing w:line="230" w:lineRule="exact"/>
              <w:jc w:val="center"/>
              <w:rPr>
                <w:rFonts w:hint="default" w:ascii="Times New Roman" w:hAnsi="Times New Roman" w:cs="Times New Roman"/>
                <w:spacing w:val="-2"/>
                <w:szCs w:val="21"/>
              </w:rPr>
            </w:pPr>
            <w:r>
              <w:rPr>
                <w:rFonts w:hint="default" w:ascii="Times New Roman" w:hAnsi="Times New Roman" w:cs="Times New Roman"/>
                <w:spacing w:val="-2"/>
                <w:szCs w:val="21"/>
              </w:rPr>
              <w:t>≥</w:t>
            </w:r>
          </w:p>
        </w:tc>
        <w:tc>
          <w:tcPr>
            <w:tcW w:w="1398" w:type="dxa"/>
            <w:tcBorders>
              <w:tl2br w:val="nil"/>
              <w:tr2bl w:val="nil"/>
            </w:tcBorders>
            <w:vAlign w:val="center"/>
          </w:tcPr>
          <w:p w14:paraId="3F65165C">
            <w:pPr>
              <w:spacing w:line="230" w:lineRule="exact"/>
              <w:jc w:val="center"/>
              <w:rPr>
                <w:rFonts w:hint="default" w:ascii="Times New Roman" w:hAnsi="Times New Roman" w:cs="Times New Roman"/>
                <w:szCs w:val="21"/>
              </w:rPr>
            </w:pPr>
            <w:r>
              <w:rPr>
                <w:rFonts w:hint="default" w:ascii="Times New Roman" w:hAnsi="Times New Roman" w:cs="Times New Roman"/>
                <w:spacing w:val="-2"/>
                <w:szCs w:val="21"/>
              </w:rPr>
              <w:t>58人</w:t>
            </w:r>
          </w:p>
        </w:tc>
        <w:tc>
          <w:tcPr>
            <w:tcW w:w="1430" w:type="dxa"/>
            <w:tcBorders>
              <w:tl2br w:val="nil"/>
              <w:tr2bl w:val="nil"/>
            </w:tcBorders>
            <w:vAlign w:val="center"/>
          </w:tcPr>
          <w:p w14:paraId="67F0275D">
            <w:pPr>
              <w:spacing w:line="230" w:lineRule="exact"/>
              <w:jc w:val="center"/>
              <w:rPr>
                <w:rFonts w:hint="default" w:ascii="Times New Roman" w:hAnsi="Times New Roman" w:cs="Times New Roman"/>
                <w:szCs w:val="21"/>
              </w:rPr>
            </w:pPr>
          </w:p>
        </w:tc>
      </w:tr>
      <w:tr w14:paraId="7DFAD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exact"/>
          <w:jc w:val="center"/>
        </w:trPr>
        <w:tc>
          <w:tcPr>
            <w:tcW w:w="784" w:type="dxa"/>
            <w:vMerge w:val="continue"/>
            <w:tcBorders>
              <w:tl2br w:val="nil"/>
              <w:tr2bl w:val="nil"/>
            </w:tcBorders>
            <w:vAlign w:val="center"/>
          </w:tcPr>
          <w:p w14:paraId="5E9567C3">
            <w:pPr>
              <w:spacing w:line="230" w:lineRule="exact"/>
              <w:jc w:val="center"/>
              <w:rPr>
                <w:rFonts w:hint="default" w:ascii="Times New Roman" w:hAnsi="Times New Roman" w:cs="Times New Roman"/>
                <w:szCs w:val="21"/>
              </w:rPr>
            </w:pPr>
          </w:p>
        </w:tc>
        <w:tc>
          <w:tcPr>
            <w:tcW w:w="829" w:type="dxa"/>
            <w:vMerge w:val="continue"/>
            <w:tcBorders>
              <w:tl2br w:val="nil"/>
              <w:tr2bl w:val="nil"/>
            </w:tcBorders>
            <w:vAlign w:val="center"/>
          </w:tcPr>
          <w:p w14:paraId="03AC3EE6">
            <w:pPr>
              <w:spacing w:line="230" w:lineRule="exact"/>
              <w:jc w:val="center"/>
              <w:rPr>
                <w:rFonts w:hint="default" w:ascii="Times New Roman" w:hAnsi="Times New Roman" w:cs="Times New Roman"/>
                <w:szCs w:val="21"/>
              </w:rPr>
            </w:pPr>
          </w:p>
        </w:tc>
        <w:tc>
          <w:tcPr>
            <w:tcW w:w="1129" w:type="dxa"/>
            <w:vMerge w:val="continue"/>
            <w:tcBorders>
              <w:tl2br w:val="nil"/>
              <w:tr2bl w:val="nil"/>
            </w:tcBorders>
            <w:vAlign w:val="center"/>
          </w:tcPr>
          <w:p w14:paraId="755336F3">
            <w:pPr>
              <w:spacing w:line="230" w:lineRule="exact"/>
              <w:jc w:val="center"/>
              <w:rPr>
                <w:rFonts w:hint="default" w:ascii="Times New Roman" w:hAnsi="Times New Roman" w:cs="Times New Roman"/>
                <w:szCs w:val="21"/>
              </w:rPr>
            </w:pPr>
          </w:p>
        </w:tc>
        <w:tc>
          <w:tcPr>
            <w:tcW w:w="2388" w:type="dxa"/>
            <w:gridSpan w:val="2"/>
            <w:tcBorders>
              <w:tl2br w:val="nil"/>
              <w:tr2bl w:val="nil"/>
            </w:tcBorders>
            <w:vAlign w:val="center"/>
          </w:tcPr>
          <w:p w14:paraId="607C4668">
            <w:pPr>
              <w:spacing w:line="230" w:lineRule="exact"/>
              <w:jc w:val="center"/>
              <w:rPr>
                <w:rFonts w:hint="default" w:ascii="Times New Roman" w:hAnsi="Times New Roman" w:cs="Times New Roman"/>
                <w:spacing w:val="-2"/>
                <w:szCs w:val="21"/>
              </w:rPr>
            </w:pPr>
            <w:r>
              <w:rPr>
                <w:rFonts w:hint="default" w:ascii="Times New Roman" w:hAnsi="Times New Roman" w:cs="Times New Roman"/>
                <w:spacing w:val="-2"/>
                <w:szCs w:val="21"/>
              </w:rPr>
              <w:t>争取到位资金金额</w:t>
            </w:r>
          </w:p>
        </w:tc>
        <w:tc>
          <w:tcPr>
            <w:tcW w:w="1398" w:type="dxa"/>
            <w:tcBorders>
              <w:tl2br w:val="nil"/>
              <w:tr2bl w:val="nil"/>
            </w:tcBorders>
            <w:vAlign w:val="center"/>
          </w:tcPr>
          <w:p w14:paraId="6459CAD1">
            <w:pPr>
              <w:spacing w:line="230" w:lineRule="exact"/>
              <w:jc w:val="center"/>
              <w:rPr>
                <w:rFonts w:hint="default" w:ascii="Times New Roman" w:hAnsi="Times New Roman" w:cs="Times New Roman"/>
                <w:spacing w:val="-2"/>
                <w:szCs w:val="21"/>
              </w:rPr>
            </w:pPr>
            <w:r>
              <w:rPr>
                <w:rFonts w:hint="default" w:ascii="Times New Roman" w:hAnsi="Times New Roman" w:cs="Times New Roman"/>
                <w:spacing w:val="-2"/>
                <w:szCs w:val="21"/>
              </w:rPr>
              <w:t>≥</w:t>
            </w:r>
          </w:p>
        </w:tc>
        <w:tc>
          <w:tcPr>
            <w:tcW w:w="1398" w:type="dxa"/>
            <w:tcBorders>
              <w:tl2br w:val="nil"/>
              <w:tr2bl w:val="nil"/>
            </w:tcBorders>
            <w:vAlign w:val="center"/>
          </w:tcPr>
          <w:p w14:paraId="7026FEFD">
            <w:pPr>
              <w:spacing w:line="230" w:lineRule="exact"/>
              <w:jc w:val="center"/>
              <w:rPr>
                <w:rFonts w:hint="default" w:ascii="Times New Roman" w:hAnsi="Times New Roman" w:cs="Times New Roman"/>
                <w:szCs w:val="21"/>
              </w:rPr>
            </w:pPr>
            <w:r>
              <w:rPr>
                <w:rFonts w:hint="default" w:ascii="Times New Roman" w:hAnsi="Times New Roman" w:cs="Times New Roman"/>
                <w:spacing w:val="-2"/>
                <w:szCs w:val="21"/>
              </w:rPr>
              <w:t>500万元</w:t>
            </w:r>
          </w:p>
        </w:tc>
        <w:tc>
          <w:tcPr>
            <w:tcW w:w="1430" w:type="dxa"/>
            <w:tcBorders>
              <w:tl2br w:val="nil"/>
              <w:tr2bl w:val="nil"/>
            </w:tcBorders>
            <w:vAlign w:val="center"/>
          </w:tcPr>
          <w:p w14:paraId="46805A97">
            <w:pPr>
              <w:spacing w:line="230" w:lineRule="exact"/>
              <w:jc w:val="center"/>
              <w:rPr>
                <w:rFonts w:hint="default" w:ascii="Times New Roman" w:hAnsi="Times New Roman" w:cs="Times New Roman"/>
                <w:szCs w:val="21"/>
              </w:rPr>
            </w:pPr>
          </w:p>
        </w:tc>
      </w:tr>
      <w:tr w14:paraId="196B1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exact"/>
          <w:jc w:val="center"/>
        </w:trPr>
        <w:tc>
          <w:tcPr>
            <w:tcW w:w="784" w:type="dxa"/>
            <w:vMerge w:val="continue"/>
            <w:tcBorders>
              <w:tl2br w:val="nil"/>
              <w:tr2bl w:val="nil"/>
            </w:tcBorders>
            <w:vAlign w:val="center"/>
          </w:tcPr>
          <w:p w14:paraId="1F59A5A3">
            <w:pPr>
              <w:spacing w:line="230" w:lineRule="exact"/>
              <w:jc w:val="center"/>
              <w:rPr>
                <w:rFonts w:hint="default" w:ascii="Times New Roman" w:hAnsi="Times New Roman" w:cs="Times New Roman"/>
                <w:szCs w:val="21"/>
              </w:rPr>
            </w:pPr>
          </w:p>
        </w:tc>
        <w:tc>
          <w:tcPr>
            <w:tcW w:w="829" w:type="dxa"/>
            <w:vMerge w:val="continue"/>
            <w:tcBorders>
              <w:tl2br w:val="nil"/>
              <w:tr2bl w:val="nil"/>
            </w:tcBorders>
            <w:vAlign w:val="center"/>
          </w:tcPr>
          <w:p w14:paraId="1254E123">
            <w:pPr>
              <w:spacing w:line="230" w:lineRule="exact"/>
              <w:jc w:val="center"/>
              <w:rPr>
                <w:rFonts w:hint="default" w:ascii="Times New Roman" w:hAnsi="Times New Roman" w:cs="Times New Roman"/>
                <w:szCs w:val="21"/>
              </w:rPr>
            </w:pPr>
          </w:p>
        </w:tc>
        <w:tc>
          <w:tcPr>
            <w:tcW w:w="1129" w:type="dxa"/>
            <w:vMerge w:val="restart"/>
            <w:tcBorders>
              <w:tl2br w:val="nil"/>
              <w:tr2bl w:val="nil"/>
            </w:tcBorders>
            <w:vAlign w:val="center"/>
          </w:tcPr>
          <w:p w14:paraId="633D9A9B">
            <w:pPr>
              <w:spacing w:line="230" w:lineRule="exact"/>
              <w:jc w:val="center"/>
              <w:rPr>
                <w:rFonts w:hint="default" w:ascii="Times New Roman" w:hAnsi="Times New Roman" w:cs="Times New Roman"/>
                <w:szCs w:val="21"/>
              </w:rPr>
            </w:pPr>
            <w:r>
              <w:rPr>
                <w:rFonts w:hint="default" w:ascii="Times New Roman" w:hAnsi="Times New Roman" w:cs="Times New Roman"/>
                <w:spacing w:val="-2"/>
                <w:szCs w:val="21"/>
              </w:rPr>
              <w:t>质量指标</w:t>
            </w:r>
          </w:p>
        </w:tc>
        <w:tc>
          <w:tcPr>
            <w:tcW w:w="2388" w:type="dxa"/>
            <w:gridSpan w:val="2"/>
            <w:tcBorders>
              <w:tl2br w:val="nil"/>
              <w:tr2bl w:val="nil"/>
            </w:tcBorders>
            <w:vAlign w:val="center"/>
          </w:tcPr>
          <w:p w14:paraId="2E5BCC18">
            <w:pPr>
              <w:spacing w:line="230" w:lineRule="exact"/>
              <w:jc w:val="center"/>
              <w:rPr>
                <w:rFonts w:hint="default" w:ascii="Times New Roman" w:hAnsi="Times New Roman" w:cs="Times New Roman"/>
                <w:spacing w:val="-2"/>
                <w:szCs w:val="21"/>
              </w:rPr>
            </w:pPr>
            <w:r>
              <w:rPr>
                <w:rFonts w:hint="default" w:ascii="Times New Roman" w:hAnsi="Times New Roman" w:cs="Times New Roman"/>
                <w:spacing w:val="-2"/>
                <w:szCs w:val="21"/>
              </w:rPr>
              <w:t>争取资金到位率</w:t>
            </w:r>
          </w:p>
        </w:tc>
        <w:tc>
          <w:tcPr>
            <w:tcW w:w="1398" w:type="dxa"/>
            <w:tcBorders>
              <w:tl2br w:val="nil"/>
              <w:tr2bl w:val="nil"/>
            </w:tcBorders>
            <w:vAlign w:val="center"/>
          </w:tcPr>
          <w:p w14:paraId="46B08E3F">
            <w:pPr>
              <w:spacing w:line="230" w:lineRule="exact"/>
              <w:jc w:val="center"/>
              <w:rPr>
                <w:rFonts w:hint="default" w:ascii="Times New Roman" w:hAnsi="Times New Roman" w:cs="Times New Roman"/>
                <w:spacing w:val="-2"/>
                <w:szCs w:val="21"/>
              </w:rPr>
            </w:pPr>
            <w:r>
              <w:rPr>
                <w:rFonts w:hint="default" w:ascii="Times New Roman" w:hAnsi="Times New Roman" w:cs="Times New Roman"/>
                <w:spacing w:val="-2"/>
                <w:szCs w:val="21"/>
              </w:rPr>
              <w:t>≥</w:t>
            </w:r>
          </w:p>
        </w:tc>
        <w:tc>
          <w:tcPr>
            <w:tcW w:w="1398" w:type="dxa"/>
            <w:tcBorders>
              <w:tl2br w:val="nil"/>
              <w:tr2bl w:val="nil"/>
            </w:tcBorders>
            <w:vAlign w:val="center"/>
          </w:tcPr>
          <w:p w14:paraId="43704C16">
            <w:pPr>
              <w:spacing w:line="230" w:lineRule="exact"/>
              <w:jc w:val="center"/>
              <w:rPr>
                <w:rFonts w:hint="default" w:ascii="Times New Roman" w:hAnsi="Times New Roman" w:cs="Times New Roman"/>
                <w:szCs w:val="21"/>
              </w:rPr>
            </w:pPr>
            <w:r>
              <w:rPr>
                <w:rFonts w:hint="default" w:ascii="Times New Roman" w:hAnsi="Times New Roman" w:cs="Times New Roman"/>
                <w:spacing w:val="-2"/>
                <w:szCs w:val="21"/>
              </w:rPr>
              <w:t>95%</w:t>
            </w:r>
          </w:p>
        </w:tc>
        <w:tc>
          <w:tcPr>
            <w:tcW w:w="1430" w:type="dxa"/>
            <w:tcBorders>
              <w:tl2br w:val="nil"/>
              <w:tr2bl w:val="nil"/>
            </w:tcBorders>
            <w:vAlign w:val="center"/>
          </w:tcPr>
          <w:p w14:paraId="2B6F076B">
            <w:pPr>
              <w:spacing w:line="230" w:lineRule="exact"/>
              <w:jc w:val="center"/>
              <w:rPr>
                <w:rFonts w:hint="default" w:ascii="Times New Roman" w:hAnsi="Times New Roman" w:cs="Times New Roman"/>
                <w:szCs w:val="21"/>
              </w:rPr>
            </w:pPr>
          </w:p>
        </w:tc>
      </w:tr>
      <w:tr w14:paraId="2C1B6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exact"/>
          <w:jc w:val="center"/>
        </w:trPr>
        <w:tc>
          <w:tcPr>
            <w:tcW w:w="784" w:type="dxa"/>
            <w:vMerge w:val="continue"/>
            <w:tcBorders>
              <w:tl2br w:val="nil"/>
              <w:tr2bl w:val="nil"/>
            </w:tcBorders>
            <w:vAlign w:val="center"/>
          </w:tcPr>
          <w:p w14:paraId="031D1EE8">
            <w:pPr>
              <w:spacing w:line="230" w:lineRule="exact"/>
              <w:jc w:val="center"/>
              <w:rPr>
                <w:rFonts w:hint="default" w:ascii="Times New Roman" w:hAnsi="Times New Roman" w:cs="Times New Roman"/>
                <w:szCs w:val="21"/>
              </w:rPr>
            </w:pPr>
          </w:p>
        </w:tc>
        <w:tc>
          <w:tcPr>
            <w:tcW w:w="829" w:type="dxa"/>
            <w:vMerge w:val="continue"/>
            <w:tcBorders>
              <w:tl2br w:val="nil"/>
              <w:tr2bl w:val="nil"/>
            </w:tcBorders>
            <w:vAlign w:val="center"/>
          </w:tcPr>
          <w:p w14:paraId="4C6B1C8D">
            <w:pPr>
              <w:spacing w:line="230" w:lineRule="exact"/>
              <w:jc w:val="center"/>
              <w:rPr>
                <w:rFonts w:hint="default" w:ascii="Times New Roman" w:hAnsi="Times New Roman" w:cs="Times New Roman"/>
                <w:szCs w:val="21"/>
              </w:rPr>
            </w:pPr>
          </w:p>
        </w:tc>
        <w:tc>
          <w:tcPr>
            <w:tcW w:w="1129" w:type="dxa"/>
            <w:vMerge w:val="continue"/>
            <w:tcBorders>
              <w:tl2br w:val="nil"/>
              <w:tr2bl w:val="nil"/>
            </w:tcBorders>
            <w:vAlign w:val="center"/>
          </w:tcPr>
          <w:p w14:paraId="58A13FC9">
            <w:pPr>
              <w:spacing w:line="230" w:lineRule="exact"/>
              <w:jc w:val="center"/>
              <w:rPr>
                <w:rFonts w:hint="default" w:ascii="Times New Roman" w:hAnsi="Times New Roman" w:cs="Times New Roman"/>
                <w:szCs w:val="21"/>
              </w:rPr>
            </w:pPr>
          </w:p>
        </w:tc>
        <w:tc>
          <w:tcPr>
            <w:tcW w:w="2388" w:type="dxa"/>
            <w:gridSpan w:val="2"/>
            <w:tcBorders>
              <w:tl2br w:val="nil"/>
              <w:tr2bl w:val="nil"/>
            </w:tcBorders>
            <w:vAlign w:val="center"/>
          </w:tcPr>
          <w:p w14:paraId="2AE04174">
            <w:pPr>
              <w:spacing w:line="230" w:lineRule="exact"/>
              <w:jc w:val="center"/>
              <w:rPr>
                <w:rFonts w:hint="default" w:ascii="Times New Roman" w:hAnsi="Times New Roman" w:cs="Times New Roman"/>
                <w:spacing w:val="-2"/>
                <w:szCs w:val="21"/>
              </w:rPr>
            </w:pPr>
            <w:r>
              <w:rPr>
                <w:rFonts w:hint="default" w:ascii="Times New Roman" w:hAnsi="Times New Roman" w:cs="Times New Roman"/>
                <w:spacing w:val="-2"/>
                <w:szCs w:val="21"/>
              </w:rPr>
              <w:t>工资发放、社保缴纳及时性</w:t>
            </w:r>
          </w:p>
        </w:tc>
        <w:tc>
          <w:tcPr>
            <w:tcW w:w="1398" w:type="dxa"/>
            <w:tcBorders>
              <w:tl2br w:val="nil"/>
              <w:tr2bl w:val="nil"/>
            </w:tcBorders>
            <w:vAlign w:val="center"/>
          </w:tcPr>
          <w:p w14:paraId="68346C31">
            <w:pPr>
              <w:spacing w:line="230" w:lineRule="exact"/>
              <w:jc w:val="center"/>
              <w:rPr>
                <w:rFonts w:hint="default" w:ascii="Times New Roman" w:hAnsi="Times New Roman" w:cs="Times New Roman"/>
                <w:spacing w:val="-2"/>
                <w:szCs w:val="21"/>
              </w:rPr>
            </w:pPr>
            <w:r>
              <w:rPr>
                <w:rFonts w:hint="default" w:ascii="Times New Roman" w:hAnsi="Times New Roman" w:cs="Times New Roman"/>
                <w:spacing w:val="-2"/>
                <w:szCs w:val="21"/>
              </w:rPr>
              <w:t>≥</w:t>
            </w:r>
          </w:p>
        </w:tc>
        <w:tc>
          <w:tcPr>
            <w:tcW w:w="1398" w:type="dxa"/>
            <w:tcBorders>
              <w:tl2br w:val="nil"/>
              <w:tr2bl w:val="nil"/>
            </w:tcBorders>
            <w:vAlign w:val="center"/>
          </w:tcPr>
          <w:p w14:paraId="5BE8EE14">
            <w:pPr>
              <w:spacing w:line="230" w:lineRule="exact"/>
              <w:jc w:val="center"/>
              <w:rPr>
                <w:rFonts w:hint="default" w:ascii="Times New Roman" w:hAnsi="Times New Roman" w:cs="Times New Roman"/>
                <w:szCs w:val="21"/>
              </w:rPr>
            </w:pPr>
            <w:r>
              <w:rPr>
                <w:rFonts w:hint="default" w:ascii="Times New Roman" w:hAnsi="Times New Roman" w:cs="Times New Roman"/>
                <w:spacing w:val="-2"/>
                <w:szCs w:val="21"/>
              </w:rPr>
              <w:t>100%</w:t>
            </w:r>
          </w:p>
        </w:tc>
        <w:tc>
          <w:tcPr>
            <w:tcW w:w="1430" w:type="dxa"/>
            <w:tcBorders>
              <w:tl2br w:val="nil"/>
              <w:tr2bl w:val="nil"/>
            </w:tcBorders>
            <w:vAlign w:val="center"/>
          </w:tcPr>
          <w:p w14:paraId="6552C250">
            <w:pPr>
              <w:spacing w:line="230" w:lineRule="exact"/>
              <w:jc w:val="center"/>
              <w:rPr>
                <w:rFonts w:hint="default" w:ascii="Times New Roman" w:hAnsi="Times New Roman" w:cs="Times New Roman"/>
                <w:szCs w:val="21"/>
              </w:rPr>
            </w:pPr>
          </w:p>
        </w:tc>
      </w:tr>
      <w:tr w14:paraId="4BE82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exact"/>
          <w:jc w:val="center"/>
        </w:trPr>
        <w:tc>
          <w:tcPr>
            <w:tcW w:w="784" w:type="dxa"/>
            <w:vMerge w:val="continue"/>
            <w:tcBorders>
              <w:tl2br w:val="nil"/>
              <w:tr2bl w:val="nil"/>
            </w:tcBorders>
            <w:vAlign w:val="center"/>
          </w:tcPr>
          <w:p w14:paraId="6B995136">
            <w:pPr>
              <w:spacing w:line="230" w:lineRule="exact"/>
              <w:jc w:val="center"/>
              <w:rPr>
                <w:rFonts w:hint="default" w:ascii="Times New Roman" w:hAnsi="Times New Roman" w:cs="Times New Roman"/>
                <w:szCs w:val="21"/>
              </w:rPr>
            </w:pPr>
          </w:p>
        </w:tc>
        <w:tc>
          <w:tcPr>
            <w:tcW w:w="829" w:type="dxa"/>
            <w:vMerge w:val="continue"/>
            <w:tcBorders>
              <w:tl2br w:val="nil"/>
              <w:tr2bl w:val="nil"/>
            </w:tcBorders>
            <w:vAlign w:val="center"/>
          </w:tcPr>
          <w:p w14:paraId="7853BD13">
            <w:pPr>
              <w:spacing w:line="230" w:lineRule="exact"/>
              <w:jc w:val="center"/>
              <w:rPr>
                <w:rFonts w:hint="default" w:ascii="Times New Roman" w:hAnsi="Times New Roman" w:cs="Times New Roman"/>
                <w:szCs w:val="21"/>
              </w:rPr>
            </w:pPr>
          </w:p>
        </w:tc>
        <w:tc>
          <w:tcPr>
            <w:tcW w:w="1129" w:type="dxa"/>
            <w:tcBorders>
              <w:tl2br w:val="nil"/>
              <w:tr2bl w:val="nil"/>
            </w:tcBorders>
            <w:vAlign w:val="center"/>
          </w:tcPr>
          <w:p w14:paraId="37BB8141">
            <w:pPr>
              <w:spacing w:line="230" w:lineRule="exact"/>
              <w:jc w:val="center"/>
              <w:rPr>
                <w:rFonts w:hint="default" w:ascii="Times New Roman" w:hAnsi="Times New Roman" w:cs="Times New Roman"/>
                <w:szCs w:val="21"/>
              </w:rPr>
            </w:pPr>
            <w:r>
              <w:rPr>
                <w:rFonts w:hint="default" w:ascii="Times New Roman" w:hAnsi="Times New Roman" w:cs="Times New Roman"/>
                <w:spacing w:val="1"/>
                <w:szCs w:val="21"/>
              </w:rPr>
              <w:t>时效指标</w:t>
            </w:r>
          </w:p>
        </w:tc>
        <w:tc>
          <w:tcPr>
            <w:tcW w:w="2388" w:type="dxa"/>
            <w:gridSpan w:val="2"/>
            <w:tcBorders>
              <w:tl2br w:val="nil"/>
              <w:tr2bl w:val="nil"/>
            </w:tcBorders>
            <w:vAlign w:val="center"/>
          </w:tcPr>
          <w:p w14:paraId="4D766042">
            <w:pPr>
              <w:spacing w:line="230" w:lineRule="exact"/>
              <w:jc w:val="center"/>
              <w:rPr>
                <w:rFonts w:hint="default" w:ascii="Times New Roman" w:hAnsi="Times New Roman" w:cs="Times New Roman"/>
                <w:spacing w:val="-2"/>
                <w:szCs w:val="21"/>
              </w:rPr>
            </w:pPr>
            <w:r>
              <w:rPr>
                <w:rFonts w:hint="default" w:ascii="Times New Roman" w:hAnsi="Times New Roman" w:cs="Times New Roman"/>
                <w:spacing w:val="-2"/>
                <w:szCs w:val="21"/>
              </w:rPr>
              <w:t>各项目完成及时率</w:t>
            </w:r>
          </w:p>
        </w:tc>
        <w:tc>
          <w:tcPr>
            <w:tcW w:w="1398" w:type="dxa"/>
            <w:tcBorders>
              <w:tl2br w:val="nil"/>
              <w:tr2bl w:val="nil"/>
            </w:tcBorders>
            <w:vAlign w:val="center"/>
          </w:tcPr>
          <w:p w14:paraId="458216A7">
            <w:pPr>
              <w:spacing w:line="230" w:lineRule="exact"/>
              <w:jc w:val="center"/>
              <w:rPr>
                <w:rFonts w:hint="default" w:ascii="Times New Roman" w:hAnsi="Times New Roman" w:cs="Times New Roman"/>
                <w:spacing w:val="-2"/>
                <w:szCs w:val="21"/>
              </w:rPr>
            </w:pPr>
            <w:r>
              <w:rPr>
                <w:rFonts w:hint="default" w:ascii="Times New Roman" w:hAnsi="Times New Roman" w:cs="Times New Roman"/>
                <w:spacing w:val="-2"/>
                <w:szCs w:val="21"/>
              </w:rPr>
              <w:t>≥</w:t>
            </w:r>
          </w:p>
        </w:tc>
        <w:tc>
          <w:tcPr>
            <w:tcW w:w="1398" w:type="dxa"/>
            <w:tcBorders>
              <w:tl2br w:val="nil"/>
              <w:tr2bl w:val="nil"/>
            </w:tcBorders>
            <w:vAlign w:val="center"/>
          </w:tcPr>
          <w:p w14:paraId="3B21026F">
            <w:pPr>
              <w:spacing w:line="230" w:lineRule="exact"/>
              <w:jc w:val="center"/>
              <w:rPr>
                <w:rFonts w:hint="default" w:ascii="Times New Roman" w:hAnsi="Times New Roman" w:cs="Times New Roman"/>
                <w:szCs w:val="21"/>
              </w:rPr>
            </w:pPr>
            <w:r>
              <w:rPr>
                <w:rFonts w:hint="default" w:ascii="Times New Roman" w:hAnsi="Times New Roman" w:cs="Times New Roman"/>
                <w:spacing w:val="-2"/>
                <w:szCs w:val="21"/>
              </w:rPr>
              <w:t>90%</w:t>
            </w:r>
          </w:p>
        </w:tc>
        <w:tc>
          <w:tcPr>
            <w:tcW w:w="1430" w:type="dxa"/>
            <w:tcBorders>
              <w:tl2br w:val="nil"/>
              <w:tr2bl w:val="nil"/>
            </w:tcBorders>
            <w:vAlign w:val="center"/>
          </w:tcPr>
          <w:p w14:paraId="6D7275F8">
            <w:pPr>
              <w:spacing w:line="230" w:lineRule="exact"/>
              <w:jc w:val="center"/>
              <w:rPr>
                <w:rFonts w:hint="default" w:ascii="Times New Roman" w:hAnsi="Times New Roman" w:cs="Times New Roman"/>
                <w:szCs w:val="21"/>
              </w:rPr>
            </w:pPr>
          </w:p>
        </w:tc>
      </w:tr>
      <w:tr w14:paraId="0205E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exact"/>
          <w:jc w:val="center"/>
        </w:trPr>
        <w:tc>
          <w:tcPr>
            <w:tcW w:w="784" w:type="dxa"/>
            <w:vMerge w:val="continue"/>
            <w:tcBorders>
              <w:tl2br w:val="nil"/>
              <w:tr2bl w:val="nil"/>
            </w:tcBorders>
            <w:vAlign w:val="center"/>
          </w:tcPr>
          <w:p w14:paraId="1EE6343A">
            <w:pPr>
              <w:spacing w:line="230" w:lineRule="exact"/>
              <w:jc w:val="center"/>
              <w:rPr>
                <w:rFonts w:hint="default" w:ascii="Times New Roman" w:hAnsi="Times New Roman" w:cs="Times New Roman"/>
                <w:szCs w:val="21"/>
              </w:rPr>
            </w:pPr>
          </w:p>
        </w:tc>
        <w:tc>
          <w:tcPr>
            <w:tcW w:w="829" w:type="dxa"/>
            <w:vMerge w:val="continue"/>
            <w:tcBorders>
              <w:tl2br w:val="nil"/>
              <w:tr2bl w:val="nil"/>
            </w:tcBorders>
            <w:vAlign w:val="center"/>
          </w:tcPr>
          <w:p w14:paraId="4869FC62">
            <w:pPr>
              <w:spacing w:line="230" w:lineRule="exact"/>
              <w:jc w:val="center"/>
              <w:rPr>
                <w:rFonts w:hint="default" w:ascii="Times New Roman" w:hAnsi="Times New Roman" w:cs="Times New Roman"/>
                <w:szCs w:val="21"/>
              </w:rPr>
            </w:pPr>
          </w:p>
        </w:tc>
        <w:tc>
          <w:tcPr>
            <w:tcW w:w="1129" w:type="dxa"/>
            <w:vMerge w:val="restart"/>
            <w:tcBorders>
              <w:tl2br w:val="nil"/>
              <w:tr2bl w:val="nil"/>
            </w:tcBorders>
            <w:vAlign w:val="center"/>
          </w:tcPr>
          <w:p w14:paraId="00E694DB">
            <w:pPr>
              <w:spacing w:line="230" w:lineRule="exact"/>
              <w:jc w:val="center"/>
              <w:rPr>
                <w:rFonts w:hint="default" w:ascii="Times New Roman" w:hAnsi="Times New Roman" w:cs="Times New Roman"/>
                <w:szCs w:val="21"/>
              </w:rPr>
            </w:pPr>
            <w:r>
              <w:rPr>
                <w:rFonts w:hint="default" w:ascii="Times New Roman" w:hAnsi="Times New Roman" w:cs="Times New Roman"/>
                <w:spacing w:val="-2"/>
                <w:szCs w:val="21"/>
              </w:rPr>
              <w:t>成本指标</w:t>
            </w:r>
          </w:p>
        </w:tc>
        <w:tc>
          <w:tcPr>
            <w:tcW w:w="2388" w:type="dxa"/>
            <w:gridSpan w:val="2"/>
            <w:tcBorders>
              <w:tl2br w:val="nil"/>
              <w:tr2bl w:val="nil"/>
            </w:tcBorders>
            <w:vAlign w:val="center"/>
          </w:tcPr>
          <w:p w14:paraId="727AF756">
            <w:pPr>
              <w:spacing w:line="230" w:lineRule="exact"/>
              <w:jc w:val="center"/>
              <w:rPr>
                <w:rFonts w:hint="default" w:ascii="Times New Roman" w:hAnsi="Times New Roman" w:cs="Times New Roman"/>
                <w:spacing w:val="-2"/>
                <w:szCs w:val="21"/>
              </w:rPr>
            </w:pPr>
            <w:r>
              <w:rPr>
                <w:rFonts w:hint="default" w:ascii="Times New Roman" w:hAnsi="Times New Roman" w:cs="Times New Roman"/>
                <w:spacing w:val="-2"/>
                <w:szCs w:val="21"/>
              </w:rPr>
              <w:t>人员经费</w:t>
            </w:r>
          </w:p>
        </w:tc>
        <w:tc>
          <w:tcPr>
            <w:tcW w:w="1398" w:type="dxa"/>
            <w:tcBorders>
              <w:tl2br w:val="nil"/>
              <w:tr2bl w:val="nil"/>
            </w:tcBorders>
            <w:vAlign w:val="center"/>
          </w:tcPr>
          <w:p w14:paraId="356D4060">
            <w:pPr>
              <w:spacing w:line="230" w:lineRule="exact"/>
              <w:jc w:val="center"/>
              <w:rPr>
                <w:rFonts w:hint="default" w:ascii="Times New Roman" w:hAnsi="Times New Roman" w:cs="Times New Roman"/>
                <w:spacing w:val="-2"/>
                <w:szCs w:val="21"/>
              </w:rPr>
            </w:pPr>
            <w:r>
              <w:rPr>
                <w:rFonts w:hint="default" w:ascii="Times New Roman" w:hAnsi="Times New Roman" w:cs="Times New Roman"/>
                <w:spacing w:val="-2"/>
                <w:szCs w:val="21"/>
              </w:rPr>
              <w:t>≤</w:t>
            </w:r>
          </w:p>
        </w:tc>
        <w:tc>
          <w:tcPr>
            <w:tcW w:w="1398" w:type="dxa"/>
            <w:tcBorders>
              <w:tl2br w:val="nil"/>
              <w:tr2bl w:val="nil"/>
            </w:tcBorders>
            <w:vAlign w:val="center"/>
          </w:tcPr>
          <w:p w14:paraId="7C071A32">
            <w:pPr>
              <w:spacing w:line="230" w:lineRule="exact"/>
              <w:jc w:val="center"/>
              <w:rPr>
                <w:rFonts w:hint="default" w:ascii="Times New Roman" w:hAnsi="Times New Roman" w:cs="Times New Roman"/>
                <w:szCs w:val="21"/>
              </w:rPr>
            </w:pPr>
            <w:r>
              <w:rPr>
                <w:rFonts w:hint="default" w:ascii="Times New Roman" w:hAnsi="Times New Roman" w:cs="Times New Roman"/>
                <w:spacing w:val="-2"/>
                <w:szCs w:val="21"/>
              </w:rPr>
              <w:t>797.44万元</w:t>
            </w:r>
          </w:p>
        </w:tc>
        <w:tc>
          <w:tcPr>
            <w:tcW w:w="1430" w:type="dxa"/>
            <w:tcBorders>
              <w:tl2br w:val="nil"/>
              <w:tr2bl w:val="nil"/>
            </w:tcBorders>
            <w:vAlign w:val="center"/>
          </w:tcPr>
          <w:p w14:paraId="45B37672">
            <w:pPr>
              <w:spacing w:line="230" w:lineRule="exact"/>
              <w:jc w:val="center"/>
              <w:rPr>
                <w:rFonts w:hint="default" w:ascii="Times New Roman" w:hAnsi="Times New Roman" w:cs="Times New Roman"/>
                <w:szCs w:val="21"/>
              </w:rPr>
            </w:pPr>
          </w:p>
        </w:tc>
      </w:tr>
      <w:tr w14:paraId="20F80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exact"/>
          <w:jc w:val="center"/>
        </w:trPr>
        <w:tc>
          <w:tcPr>
            <w:tcW w:w="784" w:type="dxa"/>
            <w:vMerge w:val="continue"/>
            <w:tcBorders>
              <w:tl2br w:val="nil"/>
              <w:tr2bl w:val="nil"/>
            </w:tcBorders>
            <w:vAlign w:val="center"/>
          </w:tcPr>
          <w:p w14:paraId="46B36831">
            <w:pPr>
              <w:spacing w:line="230" w:lineRule="exact"/>
              <w:jc w:val="center"/>
              <w:rPr>
                <w:rFonts w:hint="default" w:ascii="Times New Roman" w:hAnsi="Times New Roman" w:cs="Times New Roman"/>
                <w:szCs w:val="21"/>
              </w:rPr>
            </w:pPr>
          </w:p>
        </w:tc>
        <w:tc>
          <w:tcPr>
            <w:tcW w:w="829" w:type="dxa"/>
            <w:vMerge w:val="continue"/>
            <w:tcBorders>
              <w:tl2br w:val="nil"/>
              <w:tr2bl w:val="nil"/>
            </w:tcBorders>
            <w:vAlign w:val="center"/>
          </w:tcPr>
          <w:p w14:paraId="1AF55AD9">
            <w:pPr>
              <w:spacing w:line="230" w:lineRule="exact"/>
              <w:jc w:val="center"/>
              <w:rPr>
                <w:rFonts w:hint="default" w:ascii="Times New Roman" w:hAnsi="Times New Roman" w:cs="Times New Roman"/>
                <w:szCs w:val="21"/>
              </w:rPr>
            </w:pPr>
          </w:p>
        </w:tc>
        <w:tc>
          <w:tcPr>
            <w:tcW w:w="1129" w:type="dxa"/>
            <w:vMerge w:val="continue"/>
            <w:tcBorders>
              <w:tl2br w:val="nil"/>
              <w:tr2bl w:val="nil"/>
            </w:tcBorders>
            <w:vAlign w:val="center"/>
          </w:tcPr>
          <w:p w14:paraId="314EB0E8">
            <w:pPr>
              <w:spacing w:line="230" w:lineRule="exact"/>
              <w:jc w:val="center"/>
              <w:rPr>
                <w:rFonts w:hint="default" w:ascii="Times New Roman" w:hAnsi="Times New Roman" w:cs="Times New Roman"/>
                <w:szCs w:val="21"/>
              </w:rPr>
            </w:pPr>
          </w:p>
        </w:tc>
        <w:tc>
          <w:tcPr>
            <w:tcW w:w="2388" w:type="dxa"/>
            <w:gridSpan w:val="2"/>
            <w:tcBorders>
              <w:tl2br w:val="nil"/>
              <w:tr2bl w:val="nil"/>
            </w:tcBorders>
            <w:vAlign w:val="center"/>
          </w:tcPr>
          <w:p w14:paraId="0DB77F16">
            <w:pPr>
              <w:spacing w:line="230" w:lineRule="exact"/>
              <w:jc w:val="center"/>
              <w:rPr>
                <w:rFonts w:hint="default" w:ascii="Times New Roman" w:hAnsi="Times New Roman" w:cs="Times New Roman"/>
                <w:spacing w:val="-2"/>
                <w:szCs w:val="21"/>
              </w:rPr>
            </w:pPr>
            <w:r>
              <w:rPr>
                <w:rFonts w:hint="default" w:ascii="Times New Roman" w:hAnsi="Times New Roman" w:cs="Times New Roman"/>
                <w:spacing w:val="-2"/>
                <w:szCs w:val="21"/>
              </w:rPr>
              <w:t>日常公用经费</w:t>
            </w:r>
          </w:p>
        </w:tc>
        <w:tc>
          <w:tcPr>
            <w:tcW w:w="1398" w:type="dxa"/>
            <w:tcBorders>
              <w:tl2br w:val="nil"/>
              <w:tr2bl w:val="nil"/>
            </w:tcBorders>
            <w:vAlign w:val="center"/>
          </w:tcPr>
          <w:p w14:paraId="4D382339">
            <w:pPr>
              <w:spacing w:line="230" w:lineRule="exact"/>
              <w:jc w:val="center"/>
              <w:rPr>
                <w:rFonts w:hint="default" w:ascii="Times New Roman" w:hAnsi="Times New Roman" w:cs="Times New Roman"/>
                <w:spacing w:val="-2"/>
                <w:szCs w:val="21"/>
              </w:rPr>
            </w:pPr>
            <w:r>
              <w:rPr>
                <w:rFonts w:hint="default" w:ascii="Times New Roman" w:hAnsi="Times New Roman" w:cs="Times New Roman"/>
                <w:spacing w:val="-2"/>
                <w:szCs w:val="21"/>
              </w:rPr>
              <w:t>≤</w:t>
            </w:r>
          </w:p>
        </w:tc>
        <w:tc>
          <w:tcPr>
            <w:tcW w:w="1398" w:type="dxa"/>
            <w:tcBorders>
              <w:tl2br w:val="nil"/>
              <w:tr2bl w:val="nil"/>
            </w:tcBorders>
            <w:vAlign w:val="center"/>
          </w:tcPr>
          <w:p w14:paraId="2843F858">
            <w:pPr>
              <w:spacing w:line="230" w:lineRule="exact"/>
              <w:jc w:val="center"/>
              <w:rPr>
                <w:rFonts w:hint="default" w:ascii="Times New Roman" w:hAnsi="Times New Roman" w:cs="Times New Roman"/>
                <w:szCs w:val="21"/>
              </w:rPr>
            </w:pPr>
            <w:r>
              <w:rPr>
                <w:rFonts w:hint="default" w:ascii="Times New Roman" w:hAnsi="Times New Roman" w:cs="Times New Roman"/>
                <w:spacing w:val="-2"/>
                <w:szCs w:val="21"/>
              </w:rPr>
              <w:t>82.60万元</w:t>
            </w:r>
          </w:p>
        </w:tc>
        <w:tc>
          <w:tcPr>
            <w:tcW w:w="1430" w:type="dxa"/>
            <w:tcBorders>
              <w:tl2br w:val="nil"/>
              <w:tr2bl w:val="nil"/>
            </w:tcBorders>
            <w:vAlign w:val="center"/>
          </w:tcPr>
          <w:p w14:paraId="307BF26E">
            <w:pPr>
              <w:spacing w:line="230" w:lineRule="exact"/>
              <w:jc w:val="center"/>
              <w:rPr>
                <w:rFonts w:hint="default" w:ascii="Times New Roman" w:hAnsi="Times New Roman" w:cs="Times New Roman"/>
                <w:szCs w:val="21"/>
              </w:rPr>
            </w:pPr>
          </w:p>
        </w:tc>
      </w:tr>
      <w:tr w14:paraId="174AF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exact"/>
          <w:jc w:val="center"/>
        </w:trPr>
        <w:tc>
          <w:tcPr>
            <w:tcW w:w="784" w:type="dxa"/>
            <w:vMerge w:val="continue"/>
            <w:tcBorders>
              <w:tl2br w:val="nil"/>
              <w:tr2bl w:val="nil"/>
            </w:tcBorders>
            <w:vAlign w:val="center"/>
          </w:tcPr>
          <w:p w14:paraId="6F39D5FB">
            <w:pPr>
              <w:spacing w:line="230" w:lineRule="exact"/>
              <w:jc w:val="center"/>
              <w:rPr>
                <w:rFonts w:hint="default" w:ascii="Times New Roman" w:hAnsi="Times New Roman" w:cs="Times New Roman"/>
                <w:szCs w:val="21"/>
              </w:rPr>
            </w:pPr>
          </w:p>
        </w:tc>
        <w:tc>
          <w:tcPr>
            <w:tcW w:w="829" w:type="dxa"/>
            <w:tcBorders>
              <w:tl2br w:val="nil"/>
              <w:tr2bl w:val="nil"/>
            </w:tcBorders>
            <w:vAlign w:val="center"/>
          </w:tcPr>
          <w:p w14:paraId="5F9A513C">
            <w:pPr>
              <w:spacing w:line="230" w:lineRule="exact"/>
              <w:jc w:val="center"/>
              <w:rPr>
                <w:rFonts w:hint="default" w:ascii="Times New Roman" w:hAnsi="Times New Roman" w:cs="Times New Roman"/>
                <w:szCs w:val="21"/>
              </w:rPr>
            </w:pPr>
          </w:p>
        </w:tc>
        <w:tc>
          <w:tcPr>
            <w:tcW w:w="1129" w:type="dxa"/>
            <w:tcBorders>
              <w:tl2br w:val="nil"/>
              <w:tr2bl w:val="nil"/>
            </w:tcBorders>
            <w:vAlign w:val="center"/>
          </w:tcPr>
          <w:p w14:paraId="13C46531">
            <w:pPr>
              <w:spacing w:line="230" w:lineRule="exact"/>
              <w:jc w:val="center"/>
              <w:rPr>
                <w:rFonts w:hint="default" w:ascii="Times New Roman" w:hAnsi="Times New Roman" w:cs="Times New Roman"/>
                <w:szCs w:val="21"/>
              </w:rPr>
            </w:pPr>
          </w:p>
        </w:tc>
        <w:tc>
          <w:tcPr>
            <w:tcW w:w="2388" w:type="dxa"/>
            <w:gridSpan w:val="2"/>
            <w:tcBorders>
              <w:tl2br w:val="nil"/>
              <w:tr2bl w:val="nil"/>
            </w:tcBorders>
            <w:vAlign w:val="center"/>
          </w:tcPr>
          <w:p w14:paraId="7C6696A7">
            <w:pPr>
              <w:spacing w:line="230" w:lineRule="exact"/>
              <w:jc w:val="center"/>
              <w:rPr>
                <w:rFonts w:hint="default" w:ascii="Times New Roman" w:hAnsi="Times New Roman" w:cs="Times New Roman"/>
                <w:spacing w:val="-2"/>
                <w:szCs w:val="21"/>
              </w:rPr>
            </w:pPr>
            <w:r>
              <w:rPr>
                <w:rFonts w:hint="default" w:ascii="Times New Roman" w:hAnsi="Times New Roman" w:cs="Times New Roman"/>
                <w:spacing w:val="-2"/>
                <w:szCs w:val="21"/>
              </w:rPr>
              <w:t>争取项目工作经费</w:t>
            </w:r>
          </w:p>
        </w:tc>
        <w:tc>
          <w:tcPr>
            <w:tcW w:w="1398" w:type="dxa"/>
            <w:tcBorders>
              <w:tl2br w:val="nil"/>
              <w:tr2bl w:val="nil"/>
            </w:tcBorders>
            <w:vAlign w:val="center"/>
          </w:tcPr>
          <w:p w14:paraId="03363D21">
            <w:pPr>
              <w:spacing w:line="230" w:lineRule="exact"/>
              <w:jc w:val="center"/>
              <w:rPr>
                <w:rFonts w:hint="default" w:ascii="Times New Roman" w:hAnsi="Times New Roman" w:cs="Times New Roman"/>
                <w:spacing w:val="-2"/>
                <w:szCs w:val="21"/>
              </w:rPr>
            </w:pPr>
            <w:r>
              <w:rPr>
                <w:rFonts w:hint="default" w:ascii="Times New Roman" w:hAnsi="Times New Roman" w:cs="Times New Roman"/>
                <w:spacing w:val="-2"/>
                <w:szCs w:val="21"/>
              </w:rPr>
              <w:t>≤</w:t>
            </w:r>
          </w:p>
        </w:tc>
        <w:tc>
          <w:tcPr>
            <w:tcW w:w="1398" w:type="dxa"/>
            <w:tcBorders>
              <w:tl2br w:val="nil"/>
              <w:tr2bl w:val="nil"/>
            </w:tcBorders>
            <w:vAlign w:val="center"/>
          </w:tcPr>
          <w:p w14:paraId="13D06829">
            <w:pPr>
              <w:spacing w:line="230" w:lineRule="exact"/>
              <w:jc w:val="center"/>
              <w:rPr>
                <w:rFonts w:hint="default" w:ascii="Times New Roman" w:hAnsi="Times New Roman" w:cs="Times New Roman"/>
                <w:szCs w:val="21"/>
              </w:rPr>
            </w:pPr>
            <w:r>
              <w:rPr>
                <w:rFonts w:hint="default" w:ascii="Times New Roman" w:hAnsi="Times New Roman" w:cs="Times New Roman"/>
                <w:spacing w:val="-2"/>
                <w:szCs w:val="21"/>
              </w:rPr>
              <w:t>30万元</w:t>
            </w:r>
          </w:p>
        </w:tc>
        <w:tc>
          <w:tcPr>
            <w:tcW w:w="1430" w:type="dxa"/>
            <w:tcBorders>
              <w:tl2br w:val="nil"/>
              <w:tr2bl w:val="nil"/>
            </w:tcBorders>
            <w:vAlign w:val="center"/>
          </w:tcPr>
          <w:p w14:paraId="6C7ECB9F">
            <w:pPr>
              <w:spacing w:line="230" w:lineRule="exact"/>
              <w:jc w:val="center"/>
              <w:rPr>
                <w:rFonts w:hint="default" w:ascii="Times New Roman" w:hAnsi="Times New Roman" w:cs="Times New Roman"/>
                <w:szCs w:val="21"/>
              </w:rPr>
            </w:pPr>
          </w:p>
        </w:tc>
      </w:tr>
      <w:tr w14:paraId="13595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84" w:type="dxa"/>
            <w:vMerge w:val="continue"/>
            <w:tcBorders>
              <w:tl2br w:val="nil"/>
              <w:tr2bl w:val="nil"/>
            </w:tcBorders>
            <w:vAlign w:val="center"/>
          </w:tcPr>
          <w:p w14:paraId="7E8BA9CF">
            <w:pPr>
              <w:spacing w:line="230" w:lineRule="exact"/>
              <w:jc w:val="center"/>
              <w:rPr>
                <w:rFonts w:hint="default" w:ascii="Times New Roman" w:hAnsi="Times New Roman" w:cs="Times New Roman"/>
                <w:szCs w:val="21"/>
              </w:rPr>
            </w:pPr>
          </w:p>
        </w:tc>
        <w:tc>
          <w:tcPr>
            <w:tcW w:w="829" w:type="dxa"/>
            <w:vMerge w:val="restart"/>
            <w:tcBorders>
              <w:tl2br w:val="nil"/>
              <w:tr2bl w:val="nil"/>
            </w:tcBorders>
            <w:vAlign w:val="center"/>
          </w:tcPr>
          <w:p w14:paraId="73B8FC33">
            <w:pPr>
              <w:spacing w:line="230" w:lineRule="exact"/>
              <w:jc w:val="center"/>
              <w:rPr>
                <w:rFonts w:hint="default" w:ascii="Times New Roman" w:hAnsi="Times New Roman" w:cs="Times New Roman"/>
                <w:szCs w:val="21"/>
              </w:rPr>
            </w:pPr>
            <w:r>
              <w:rPr>
                <w:rFonts w:hint="default" w:ascii="Times New Roman" w:hAnsi="Times New Roman" w:cs="Times New Roman"/>
                <w:spacing w:val="-3"/>
                <w:szCs w:val="21"/>
              </w:rPr>
              <w:t>效益指标</w:t>
            </w:r>
          </w:p>
        </w:tc>
        <w:tc>
          <w:tcPr>
            <w:tcW w:w="1129" w:type="dxa"/>
            <w:tcBorders>
              <w:tl2br w:val="nil"/>
              <w:tr2bl w:val="nil"/>
            </w:tcBorders>
            <w:vAlign w:val="center"/>
          </w:tcPr>
          <w:p w14:paraId="739D17B1">
            <w:pPr>
              <w:spacing w:line="230" w:lineRule="exact"/>
              <w:jc w:val="center"/>
              <w:rPr>
                <w:rFonts w:hint="default" w:ascii="Times New Roman" w:hAnsi="Times New Roman" w:cs="Times New Roman"/>
                <w:spacing w:val="4"/>
                <w:szCs w:val="21"/>
              </w:rPr>
            </w:pPr>
            <w:r>
              <w:rPr>
                <w:rFonts w:hint="default" w:ascii="Times New Roman" w:hAnsi="Times New Roman" w:cs="Times New Roman"/>
                <w:spacing w:val="4"/>
                <w:szCs w:val="21"/>
              </w:rPr>
              <w:t>经济效益 指标</w:t>
            </w:r>
          </w:p>
        </w:tc>
        <w:tc>
          <w:tcPr>
            <w:tcW w:w="2388" w:type="dxa"/>
            <w:gridSpan w:val="2"/>
            <w:tcBorders>
              <w:tl2br w:val="nil"/>
              <w:tr2bl w:val="nil"/>
            </w:tcBorders>
            <w:vAlign w:val="center"/>
          </w:tcPr>
          <w:p w14:paraId="6B49855A">
            <w:pPr>
              <w:spacing w:line="230" w:lineRule="exact"/>
              <w:jc w:val="center"/>
              <w:rPr>
                <w:rFonts w:hint="default" w:ascii="Times New Roman" w:hAnsi="Times New Roman" w:cs="Times New Roman"/>
                <w:spacing w:val="4"/>
                <w:szCs w:val="21"/>
              </w:rPr>
            </w:pPr>
            <w:r>
              <w:rPr>
                <w:rFonts w:hint="default" w:ascii="Times New Roman" w:hAnsi="Times New Roman" w:cs="Times New Roman"/>
                <w:spacing w:val="4"/>
                <w:szCs w:val="21"/>
              </w:rPr>
              <w:t>助推经济发展</w:t>
            </w:r>
          </w:p>
        </w:tc>
        <w:tc>
          <w:tcPr>
            <w:tcW w:w="1398" w:type="dxa"/>
            <w:tcBorders>
              <w:tl2br w:val="nil"/>
              <w:tr2bl w:val="nil"/>
            </w:tcBorders>
            <w:vAlign w:val="center"/>
          </w:tcPr>
          <w:p w14:paraId="6FCA924B">
            <w:pPr>
              <w:spacing w:line="230" w:lineRule="exact"/>
              <w:jc w:val="center"/>
              <w:rPr>
                <w:rFonts w:hint="default" w:ascii="Times New Roman" w:hAnsi="Times New Roman" w:cs="Times New Roman"/>
                <w:spacing w:val="4"/>
                <w:szCs w:val="21"/>
              </w:rPr>
            </w:pPr>
            <w:r>
              <w:rPr>
                <w:rFonts w:hint="default" w:ascii="Times New Roman" w:hAnsi="Times New Roman" w:cs="Times New Roman"/>
                <w:spacing w:val="4"/>
                <w:szCs w:val="21"/>
              </w:rPr>
              <w:t>定性</w:t>
            </w:r>
          </w:p>
        </w:tc>
        <w:tc>
          <w:tcPr>
            <w:tcW w:w="1398" w:type="dxa"/>
            <w:tcBorders>
              <w:tl2br w:val="nil"/>
              <w:tr2bl w:val="nil"/>
            </w:tcBorders>
            <w:vAlign w:val="center"/>
          </w:tcPr>
          <w:p w14:paraId="6D848F51">
            <w:pPr>
              <w:spacing w:line="230" w:lineRule="exact"/>
              <w:jc w:val="center"/>
              <w:rPr>
                <w:rFonts w:hint="default" w:ascii="Times New Roman" w:hAnsi="Times New Roman" w:cs="Times New Roman"/>
                <w:szCs w:val="21"/>
              </w:rPr>
            </w:pPr>
            <w:r>
              <w:rPr>
                <w:rFonts w:hint="default" w:ascii="Times New Roman" w:hAnsi="Times New Roman" w:cs="Times New Roman"/>
                <w:szCs w:val="21"/>
              </w:rPr>
              <w:t>优</w:t>
            </w:r>
          </w:p>
        </w:tc>
        <w:tc>
          <w:tcPr>
            <w:tcW w:w="1430" w:type="dxa"/>
            <w:tcBorders>
              <w:tl2br w:val="nil"/>
              <w:tr2bl w:val="nil"/>
            </w:tcBorders>
            <w:vAlign w:val="center"/>
          </w:tcPr>
          <w:p w14:paraId="79581A56">
            <w:pPr>
              <w:spacing w:line="230" w:lineRule="exact"/>
              <w:jc w:val="center"/>
              <w:rPr>
                <w:rFonts w:hint="default" w:ascii="Times New Roman" w:hAnsi="Times New Roman" w:cs="Times New Roman"/>
                <w:szCs w:val="21"/>
              </w:rPr>
            </w:pPr>
          </w:p>
        </w:tc>
      </w:tr>
      <w:tr w14:paraId="25EB9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84" w:type="dxa"/>
            <w:vMerge w:val="continue"/>
            <w:tcBorders>
              <w:tl2br w:val="nil"/>
              <w:tr2bl w:val="nil"/>
            </w:tcBorders>
            <w:vAlign w:val="center"/>
          </w:tcPr>
          <w:p w14:paraId="2647BCA9">
            <w:pPr>
              <w:spacing w:line="230" w:lineRule="exact"/>
              <w:jc w:val="center"/>
              <w:rPr>
                <w:rFonts w:hint="default" w:ascii="Times New Roman" w:hAnsi="Times New Roman" w:cs="Times New Roman"/>
                <w:szCs w:val="21"/>
              </w:rPr>
            </w:pPr>
          </w:p>
        </w:tc>
        <w:tc>
          <w:tcPr>
            <w:tcW w:w="829" w:type="dxa"/>
            <w:vMerge w:val="continue"/>
            <w:tcBorders>
              <w:tl2br w:val="nil"/>
              <w:tr2bl w:val="nil"/>
            </w:tcBorders>
            <w:vAlign w:val="center"/>
          </w:tcPr>
          <w:p w14:paraId="6AF61C25">
            <w:pPr>
              <w:spacing w:line="230" w:lineRule="exact"/>
              <w:jc w:val="center"/>
              <w:rPr>
                <w:rFonts w:hint="default" w:ascii="Times New Roman" w:hAnsi="Times New Roman" w:cs="Times New Roman"/>
                <w:szCs w:val="21"/>
              </w:rPr>
            </w:pPr>
          </w:p>
        </w:tc>
        <w:tc>
          <w:tcPr>
            <w:tcW w:w="1129" w:type="dxa"/>
            <w:tcBorders>
              <w:tl2br w:val="nil"/>
              <w:tr2bl w:val="nil"/>
            </w:tcBorders>
            <w:vAlign w:val="center"/>
          </w:tcPr>
          <w:p w14:paraId="20FF3789">
            <w:pPr>
              <w:spacing w:line="230" w:lineRule="exact"/>
              <w:jc w:val="center"/>
              <w:rPr>
                <w:rFonts w:hint="default" w:ascii="Times New Roman" w:hAnsi="Times New Roman" w:cs="Times New Roman"/>
                <w:spacing w:val="4"/>
                <w:szCs w:val="21"/>
              </w:rPr>
            </w:pPr>
            <w:r>
              <w:rPr>
                <w:rFonts w:hint="default" w:ascii="Times New Roman" w:hAnsi="Times New Roman" w:cs="Times New Roman"/>
                <w:spacing w:val="4"/>
                <w:szCs w:val="21"/>
              </w:rPr>
              <w:t>社会效益 指标</w:t>
            </w:r>
          </w:p>
        </w:tc>
        <w:tc>
          <w:tcPr>
            <w:tcW w:w="2388" w:type="dxa"/>
            <w:gridSpan w:val="2"/>
            <w:tcBorders>
              <w:tl2br w:val="nil"/>
              <w:tr2bl w:val="nil"/>
            </w:tcBorders>
            <w:vAlign w:val="center"/>
          </w:tcPr>
          <w:p w14:paraId="0E3303A3">
            <w:pPr>
              <w:spacing w:line="230" w:lineRule="exact"/>
              <w:jc w:val="center"/>
              <w:rPr>
                <w:rFonts w:hint="default" w:ascii="Times New Roman" w:hAnsi="Times New Roman" w:cs="Times New Roman"/>
                <w:spacing w:val="4"/>
                <w:szCs w:val="21"/>
              </w:rPr>
            </w:pPr>
            <w:r>
              <w:rPr>
                <w:rFonts w:hint="default" w:ascii="Times New Roman" w:hAnsi="Times New Roman" w:cs="Times New Roman"/>
                <w:spacing w:val="4"/>
                <w:szCs w:val="21"/>
              </w:rPr>
              <w:t>改善人居环境</w:t>
            </w:r>
          </w:p>
        </w:tc>
        <w:tc>
          <w:tcPr>
            <w:tcW w:w="1398" w:type="dxa"/>
            <w:tcBorders>
              <w:tl2br w:val="nil"/>
              <w:tr2bl w:val="nil"/>
            </w:tcBorders>
            <w:vAlign w:val="center"/>
          </w:tcPr>
          <w:p w14:paraId="4B3ED7CE">
            <w:pPr>
              <w:spacing w:line="230" w:lineRule="exact"/>
              <w:jc w:val="center"/>
              <w:rPr>
                <w:rFonts w:hint="default" w:ascii="Times New Roman" w:hAnsi="Times New Roman" w:cs="Times New Roman"/>
                <w:spacing w:val="4"/>
                <w:szCs w:val="21"/>
              </w:rPr>
            </w:pPr>
            <w:r>
              <w:rPr>
                <w:rFonts w:hint="default" w:ascii="Times New Roman" w:hAnsi="Times New Roman" w:cs="Times New Roman"/>
                <w:spacing w:val="4"/>
                <w:szCs w:val="21"/>
              </w:rPr>
              <w:t>定性</w:t>
            </w:r>
          </w:p>
        </w:tc>
        <w:tc>
          <w:tcPr>
            <w:tcW w:w="1398" w:type="dxa"/>
            <w:tcBorders>
              <w:tl2br w:val="nil"/>
              <w:tr2bl w:val="nil"/>
            </w:tcBorders>
            <w:vAlign w:val="center"/>
          </w:tcPr>
          <w:p w14:paraId="49A00402">
            <w:pPr>
              <w:spacing w:line="230" w:lineRule="exact"/>
              <w:jc w:val="center"/>
              <w:rPr>
                <w:rFonts w:hint="default" w:ascii="Times New Roman" w:hAnsi="Times New Roman" w:cs="Times New Roman"/>
                <w:szCs w:val="21"/>
              </w:rPr>
            </w:pPr>
            <w:r>
              <w:rPr>
                <w:rFonts w:hint="default" w:ascii="Times New Roman" w:hAnsi="Times New Roman" w:cs="Times New Roman"/>
                <w:szCs w:val="21"/>
              </w:rPr>
              <w:t>优</w:t>
            </w:r>
          </w:p>
        </w:tc>
        <w:tc>
          <w:tcPr>
            <w:tcW w:w="1430" w:type="dxa"/>
            <w:tcBorders>
              <w:tl2br w:val="nil"/>
              <w:tr2bl w:val="nil"/>
            </w:tcBorders>
            <w:vAlign w:val="center"/>
          </w:tcPr>
          <w:p w14:paraId="3D68E6E4">
            <w:pPr>
              <w:spacing w:line="230" w:lineRule="exact"/>
              <w:jc w:val="center"/>
              <w:rPr>
                <w:rFonts w:hint="default" w:ascii="Times New Roman" w:hAnsi="Times New Roman" w:cs="Times New Roman"/>
                <w:szCs w:val="21"/>
              </w:rPr>
            </w:pPr>
          </w:p>
        </w:tc>
      </w:tr>
      <w:tr w14:paraId="02A54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84" w:type="dxa"/>
            <w:vMerge w:val="continue"/>
            <w:tcBorders>
              <w:tl2br w:val="nil"/>
              <w:tr2bl w:val="nil"/>
            </w:tcBorders>
            <w:vAlign w:val="center"/>
          </w:tcPr>
          <w:p w14:paraId="63982522">
            <w:pPr>
              <w:spacing w:line="230" w:lineRule="exact"/>
              <w:jc w:val="center"/>
              <w:rPr>
                <w:rFonts w:hint="default" w:ascii="Times New Roman" w:hAnsi="Times New Roman" w:cs="Times New Roman"/>
                <w:szCs w:val="21"/>
              </w:rPr>
            </w:pPr>
          </w:p>
        </w:tc>
        <w:tc>
          <w:tcPr>
            <w:tcW w:w="829" w:type="dxa"/>
            <w:vMerge w:val="continue"/>
            <w:tcBorders>
              <w:tl2br w:val="nil"/>
              <w:tr2bl w:val="nil"/>
            </w:tcBorders>
            <w:vAlign w:val="center"/>
          </w:tcPr>
          <w:p w14:paraId="5A2C132C">
            <w:pPr>
              <w:spacing w:line="230" w:lineRule="exact"/>
              <w:jc w:val="center"/>
              <w:rPr>
                <w:rFonts w:hint="default" w:ascii="Times New Roman" w:hAnsi="Times New Roman" w:cs="Times New Roman"/>
                <w:szCs w:val="21"/>
              </w:rPr>
            </w:pPr>
          </w:p>
        </w:tc>
        <w:tc>
          <w:tcPr>
            <w:tcW w:w="1129" w:type="dxa"/>
            <w:tcBorders>
              <w:tl2br w:val="nil"/>
              <w:tr2bl w:val="nil"/>
            </w:tcBorders>
            <w:vAlign w:val="center"/>
          </w:tcPr>
          <w:p w14:paraId="06F487EE">
            <w:pPr>
              <w:spacing w:line="230" w:lineRule="exact"/>
              <w:jc w:val="center"/>
              <w:rPr>
                <w:rFonts w:hint="default" w:ascii="Times New Roman" w:hAnsi="Times New Roman" w:cs="Times New Roman"/>
                <w:spacing w:val="4"/>
                <w:szCs w:val="21"/>
              </w:rPr>
            </w:pPr>
            <w:r>
              <w:rPr>
                <w:rFonts w:hint="default" w:ascii="Times New Roman" w:hAnsi="Times New Roman" w:cs="Times New Roman"/>
                <w:spacing w:val="4"/>
                <w:szCs w:val="21"/>
              </w:rPr>
              <w:t>生态效益 指标</w:t>
            </w:r>
          </w:p>
        </w:tc>
        <w:tc>
          <w:tcPr>
            <w:tcW w:w="2388" w:type="dxa"/>
            <w:gridSpan w:val="2"/>
            <w:tcBorders>
              <w:tl2br w:val="nil"/>
              <w:tr2bl w:val="nil"/>
            </w:tcBorders>
            <w:vAlign w:val="center"/>
          </w:tcPr>
          <w:p w14:paraId="7B9B571B">
            <w:pPr>
              <w:spacing w:line="230" w:lineRule="exact"/>
              <w:jc w:val="center"/>
              <w:rPr>
                <w:rFonts w:hint="default" w:ascii="Times New Roman" w:hAnsi="Times New Roman" w:cs="Times New Roman"/>
                <w:spacing w:val="4"/>
                <w:szCs w:val="21"/>
              </w:rPr>
            </w:pPr>
            <w:r>
              <w:rPr>
                <w:rFonts w:hint="default" w:ascii="Times New Roman" w:hAnsi="Times New Roman" w:cs="Times New Roman"/>
                <w:spacing w:val="4"/>
                <w:szCs w:val="21"/>
              </w:rPr>
              <w:t>降低地质灾害发生率</w:t>
            </w:r>
          </w:p>
        </w:tc>
        <w:tc>
          <w:tcPr>
            <w:tcW w:w="1398" w:type="dxa"/>
            <w:tcBorders>
              <w:tl2br w:val="nil"/>
              <w:tr2bl w:val="nil"/>
            </w:tcBorders>
            <w:vAlign w:val="center"/>
          </w:tcPr>
          <w:p w14:paraId="36FBE6D3">
            <w:pPr>
              <w:spacing w:line="230" w:lineRule="exact"/>
              <w:jc w:val="center"/>
              <w:rPr>
                <w:rFonts w:hint="default" w:ascii="Times New Roman" w:hAnsi="Times New Roman" w:cs="Times New Roman"/>
                <w:spacing w:val="4"/>
                <w:szCs w:val="21"/>
              </w:rPr>
            </w:pPr>
            <w:r>
              <w:rPr>
                <w:rFonts w:hint="default" w:ascii="Times New Roman" w:hAnsi="Times New Roman" w:cs="Times New Roman"/>
                <w:spacing w:val="4"/>
                <w:szCs w:val="21"/>
              </w:rPr>
              <w:t>定性</w:t>
            </w:r>
          </w:p>
        </w:tc>
        <w:tc>
          <w:tcPr>
            <w:tcW w:w="1398" w:type="dxa"/>
            <w:tcBorders>
              <w:tl2br w:val="nil"/>
              <w:tr2bl w:val="nil"/>
            </w:tcBorders>
            <w:vAlign w:val="center"/>
          </w:tcPr>
          <w:p w14:paraId="1C4E6219">
            <w:pPr>
              <w:spacing w:line="230" w:lineRule="exact"/>
              <w:jc w:val="center"/>
              <w:rPr>
                <w:rFonts w:hint="default" w:ascii="Times New Roman" w:hAnsi="Times New Roman" w:cs="Times New Roman"/>
                <w:szCs w:val="21"/>
              </w:rPr>
            </w:pPr>
            <w:r>
              <w:rPr>
                <w:rFonts w:hint="default" w:ascii="Times New Roman" w:hAnsi="Times New Roman" w:cs="Times New Roman"/>
                <w:szCs w:val="21"/>
              </w:rPr>
              <w:t>优</w:t>
            </w:r>
          </w:p>
        </w:tc>
        <w:tc>
          <w:tcPr>
            <w:tcW w:w="1430" w:type="dxa"/>
            <w:tcBorders>
              <w:tl2br w:val="nil"/>
              <w:tr2bl w:val="nil"/>
            </w:tcBorders>
            <w:vAlign w:val="center"/>
          </w:tcPr>
          <w:p w14:paraId="33D18708">
            <w:pPr>
              <w:spacing w:line="230" w:lineRule="exact"/>
              <w:jc w:val="center"/>
              <w:rPr>
                <w:rFonts w:hint="default" w:ascii="Times New Roman" w:hAnsi="Times New Roman" w:cs="Times New Roman"/>
                <w:szCs w:val="21"/>
              </w:rPr>
            </w:pPr>
          </w:p>
        </w:tc>
      </w:tr>
      <w:tr w14:paraId="3C854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84" w:type="dxa"/>
            <w:vMerge w:val="continue"/>
            <w:tcBorders>
              <w:tl2br w:val="nil"/>
              <w:tr2bl w:val="nil"/>
            </w:tcBorders>
            <w:vAlign w:val="center"/>
          </w:tcPr>
          <w:p w14:paraId="5F4C3309">
            <w:pPr>
              <w:spacing w:line="230" w:lineRule="exact"/>
              <w:jc w:val="center"/>
              <w:rPr>
                <w:rFonts w:hint="default" w:ascii="Times New Roman" w:hAnsi="Times New Roman" w:cs="Times New Roman"/>
                <w:szCs w:val="21"/>
              </w:rPr>
            </w:pPr>
          </w:p>
        </w:tc>
        <w:tc>
          <w:tcPr>
            <w:tcW w:w="829" w:type="dxa"/>
            <w:tcBorders>
              <w:tl2br w:val="nil"/>
              <w:tr2bl w:val="nil"/>
            </w:tcBorders>
            <w:vAlign w:val="center"/>
          </w:tcPr>
          <w:p w14:paraId="2E5B7CBF">
            <w:pPr>
              <w:spacing w:line="230" w:lineRule="exact"/>
              <w:jc w:val="center"/>
              <w:rPr>
                <w:rFonts w:hint="default" w:ascii="Times New Roman" w:hAnsi="Times New Roman" w:cs="Times New Roman"/>
                <w:szCs w:val="21"/>
              </w:rPr>
            </w:pPr>
            <w:r>
              <w:rPr>
                <w:rFonts w:hint="default" w:ascii="Times New Roman" w:hAnsi="Times New Roman" w:cs="Times New Roman"/>
                <w:spacing w:val="-2"/>
                <w:szCs w:val="21"/>
              </w:rPr>
              <w:t>满意度</w:t>
            </w:r>
          </w:p>
          <w:p w14:paraId="5438361C">
            <w:pPr>
              <w:spacing w:line="230" w:lineRule="exact"/>
              <w:jc w:val="center"/>
              <w:rPr>
                <w:rFonts w:hint="default" w:ascii="Times New Roman" w:hAnsi="Times New Roman" w:cs="Times New Roman"/>
                <w:szCs w:val="21"/>
              </w:rPr>
            </w:pPr>
            <w:r>
              <w:rPr>
                <w:rFonts w:hint="default" w:ascii="Times New Roman" w:hAnsi="Times New Roman" w:cs="Times New Roman"/>
                <w:spacing w:val="-3"/>
                <w:szCs w:val="21"/>
              </w:rPr>
              <w:t>指标</w:t>
            </w:r>
          </w:p>
        </w:tc>
        <w:tc>
          <w:tcPr>
            <w:tcW w:w="1129" w:type="dxa"/>
            <w:tcBorders>
              <w:tl2br w:val="nil"/>
              <w:tr2bl w:val="nil"/>
            </w:tcBorders>
            <w:vAlign w:val="center"/>
          </w:tcPr>
          <w:p w14:paraId="5307E328">
            <w:pPr>
              <w:spacing w:line="230" w:lineRule="exact"/>
              <w:jc w:val="center"/>
              <w:rPr>
                <w:rFonts w:hint="default" w:ascii="Times New Roman" w:hAnsi="Times New Roman" w:cs="Times New Roman"/>
                <w:spacing w:val="4"/>
                <w:szCs w:val="21"/>
              </w:rPr>
            </w:pPr>
            <w:r>
              <w:rPr>
                <w:rFonts w:hint="default" w:ascii="Times New Roman" w:hAnsi="Times New Roman" w:cs="Times New Roman"/>
                <w:spacing w:val="4"/>
                <w:szCs w:val="21"/>
              </w:rPr>
              <w:t>服务对象满</w:t>
            </w:r>
          </w:p>
          <w:p w14:paraId="4BAF5E10">
            <w:pPr>
              <w:spacing w:line="230" w:lineRule="exact"/>
              <w:jc w:val="center"/>
              <w:rPr>
                <w:rFonts w:hint="default" w:ascii="Times New Roman" w:hAnsi="Times New Roman" w:cs="Times New Roman"/>
                <w:spacing w:val="4"/>
                <w:szCs w:val="21"/>
              </w:rPr>
            </w:pPr>
            <w:r>
              <w:rPr>
                <w:rFonts w:hint="default" w:ascii="Times New Roman" w:hAnsi="Times New Roman" w:cs="Times New Roman"/>
                <w:spacing w:val="4"/>
                <w:szCs w:val="21"/>
              </w:rPr>
              <w:t>意度指标</w:t>
            </w:r>
          </w:p>
        </w:tc>
        <w:tc>
          <w:tcPr>
            <w:tcW w:w="2388" w:type="dxa"/>
            <w:gridSpan w:val="2"/>
            <w:tcBorders>
              <w:tl2br w:val="nil"/>
              <w:tr2bl w:val="nil"/>
            </w:tcBorders>
            <w:vAlign w:val="center"/>
          </w:tcPr>
          <w:p w14:paraId="6D78DE6E">
            <w:pPr>
              <w:spacing w:line="230" w:lineRule="exact"/>
              <w:jc w:val="center"/>
              <w:rPr>
                <w:rFonts w:hint="default" w:ascii="Times New Roman" w:hAnsi="Times New Roman" w:cs="Times New Roman"/>
                <w:spacing w:val="4"/>
                <w:szCs w:val="21"/>
              </w:rPr>
            </w:pPr>
            <w:r>
              <w:rPr>
                <w:rFonts w:hint="default" w:ascii="Times New Roman" w:hAnsi="Times New Roman" w:cs="Times New Roman"/>
                <w:spacing w:val="4"/>
                <w:szCs w:val="21"/>
              </w:rPr>
              <w:t>建设项目区域内人民群众满意度</w:t>
            </w:r>
          </w:p>
        </w:tc>
        <w:tc>
          <w:tcPr>
            <w:tcW w:w="1398" w:type="dxa"/>
            <w:tcBorders>
              <w:tl2br w:val="nil"/>
              <w:tr2bl w:val="nil"/>
            </w:tcBorders>
            <w:vAlign w:val="center"/>
          </w:tcPr>
          <w:p w14:paraId="13339E16">
            <w:pPr>
              <w:spacing w:line="230" w:lineRule="exact"/>
              <w:jc w:val="center"/>
              <w:rPr>
                <w:rFonts w:hint="default" w:ascii="Times New Roman" w:hAnsi="Times New Roman" w:cs="Times New Roman"/>
                <w:spacing w:val="4"/>
                <w:szCs w:val="21"/>
              </w:rPr>
            </w:pPr>
            <w:r>
              <w:rPr>
                <w:rFonts w:hint="default" w:ascii="Times New Roman" w:hAnsi="Times New Roman" w:cs="Times New Roman"/>
                <w:spacing w:val="4"/>
                <w:szCs w:val="21"/>
              </w:rPr>
              <w:t>≥</w:t>
            </w:r>
          </w:p>
        </w:tc>
        <w:tc>
          <w:tcPr>
            <w:tcW w:w="1398" w:type="dxa"/>
            <w:tcBorders>
              <w:tl2br w:val="nil"/>
              <w:tr2bl w:val="nil"/>
            </w:tcBorders>
            <w:vAlign w:val="center"/>
          </w:tcPr>
          <w:p w14:paraId="37810AA4">
            <w:pPr>
              <w:spacing w:line="230" w:lineRule="exact"/>
              <w:jc w:val="center"/>
              <w:rPr>
                <w:rFonts w:hint="default" w:ascii="Times New Roman" w:hAnsi="Times New Roman" w:cs="Times New Roman"/>
                <w:szCs w:val="21"/>
              </w:rPr>
            </w:pPr>
            <w:r>
              <w:rPr>
                <w:rFonts w:hint="default" w:ascii="Times New Roman" w:hAnsi="Times New Roman" w:cs="Times New Roman"/>
                <w:spacing w:val="4"/>
                <w:szCs w:val="21"/>
              </w:rPr>
              <w:t>95%</w:t>
            </w:r>
          </w:p>
        </w:tc>
        <w:tc>
          <w:tcPr>
            <w:tcW w:w="1430" w:type="dxa"/>
            <w:tcBorders>
              <w:tl2br w:val="nil"/>
              <w:tr2bl w:val="nil"/>
            </w:tcBorders>
            <w:vAlign w:val="center"/>
          </w:tcPr>
          <w:p w14:paraId="02C0C1D3">
            <w:pPr>
              <w:spacing w:line="230" w:lineRule="exact"/>
              <w:jc w:val="center"/>
              <w:rPr>
                <w:rFonts w:hint="default" w:ascii="Times New Roman" w:hAnsi="Times New Roman" w:cs="Times New Roman"/>
                <w:szCs w:val="21"/>
              </w:rPr>
            </w:pPr>
          </w:p>
        </w:tc>
      </w:tr>
    </w:tbl>
    <w:p w14:paraId="2BB74C8F">
      <w:pPr>
        <w:widowControl/>
        <w:adjustRightInd w:val="0"/>
        <w:snapToGrid w:val="0"/>
        <w:spacing w:line="300" w:lineRule="exact"/>
        <w:ind w:firstLine="480" w:firstLineChars="200"/>
        <w:contextualSpacing/>
        <w:jc w:val="left"/>
        <w:rPr>
          <w:rFonts w:hint="default" w:ascii="Times New Roman" w:hAnsi="Times New Roman" w:cs="Times New Roman" w:eastAsiaTheme="majorEastAsia"/>
          <w:kern w:val="0"/>
          <w:sz w:val="24"/>
          <w:shd w:val="clear" w:color="auto" w:fill="FFFFFF"/>
        </w:rPr>
      </w:pPr>
      <w:r>
        <w:rPr>
          <w:rFonts w:hint="default" w:ascii="Times New Roman" w:hAnsi="Times New Roman" w:cs="Times New Roman" w:eastAsiaTheme="majorEastAsia"/>
          <w:sz w:val="24"/>
        </w:rPr>
        <w:t>（备注：按照绩效自评工作安排，各部门已在预算管理一体化系统绩效自评模块上传“部门预算项目支出绩效自评表（2022年度）”，该表格应作为附表予以公开。）</w:t>
      </w:r>
      <w:r>
        <w:rPr>
          <w:rFonts w:hint="default" w:ascii="Times New Roman" w:hAnsi="Times New Roman" w:cs="Times New Roman" w:eastAsiaTheme="majorEastAsia"/>
          <w:kern w:val="0"/>
          <w:sz w:val="24"/>
          <w:shd w:val="clear" w:color="auto" w:fill="FFFFFF"/>
          <w:lang w:val="zh-CN"/>
        </w:rPr>
        <w:t>包括部门绩效目标制定、目标实现、支出控制、及时处置、执行进度、预算完成情况、资金结余率（低效无效率）和违规记录等情况。</w:t>
      </w:r>
    </w:p>
    <w:p w14:paraId="3E736568">
      <w:pPr>
        <w:pStyle w:val="37"/>
        <w:spacing w:line="578"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color w:val="auto"/>
          <w:kern w:val="2"/>
          <w:sz w:val="44"/>
          <w:szCs w:val="44"/>
          <w:lang w:val="en-US"/>
        </w:rPr>
        <w:t>2022年预算项目绩效自评报告</w:t>
      </w:r>
      <w:r>
        <w:rPr>
          <w:rFonts w:hint="default" w:ascii="Times New Roman" w:hAnsi="Times New Roman" w:eastAsia="方正小标宋简体" w:cs="Times New Roman"/>
          <w:sz w:val="44"/>
          <w:szCs w:val="44"/>
        </w:rPr>
        <w:t>林权权籍</w:t>
      </w:r>
    </w:p>
    <w:p w14:paraId="5200EEF4">
      <w:pPr>
        <w:pStyle w:val="37"/>
        <w:spacing w:line="578"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补充调查项目</w:t>
      </w:r>
    </w:p>
    <w:p w14:paraId="0DC65FB1">
      <w:pPr>
        <w:keepNext w:val="0"/>
        <w:keepLines w:val="0"/>
        <w:pageBreakBefore w:val="0"/>
        <w:widowControl w:val="0"/>
        <w:kinsoku/>
        <w:wordWrap/>
        <w:overflowPunct w:val="0"/>
        <w:topLinePunct w:val="0"/>
        <w:autoSpaceDE/>
        <w:autoSpaceDN/>
        <w:bidi w:val="0"/>
        <w:adjustRightInd/>
        <w:snapToGrid/>
        <w:spacing w:line="576" w:lineRule="exact"/>
        <w:ind w:left="0" w:firstLine="640" w:firstLineChars="200"/>
        <w:textAlignment w:val="auto"/>
        <w:outlineLvl w:val="0"/>
        <w:rPr>
          <w:rFonts w:hint="default" w:ascii="Times New Roman" w:hAnsi="Times New Roman" w:eastAsia="仿宋_GB2312" w:cs="Times New Roman"/>
          <w:b w:val="0"/>
          <w:bCs w:val="0"/>
          <w:sz w:val="32"/>
          <w:szCs w:val="32"/>
        </w:rPr>
      </w:pPr>
    </w:p>
    <w:p w14:paraId="44917E0C">
      <w:pPr>
        <w:keepNext w:val="0"/>
        <w:keepLines w:val="0"/>
        <w:pageBreakBefore w:val="0"/>
        <w:widowControl w:val="0"/>
        <w:kinsoku/>
        <w:wordWrap/>
        <w:overflowPunct w:val="0"/>
        <w:topLinePunct w:val="0"/>
        <w:autoSpaceDE/>
        <w:autoSpaceDN/>
        <w:bidi w:val="0"/>
        <w:adjustRightInd/>
        <w:snapToGrid/>
        <w:spacing w:line="576" w:lineRule="exact"/>
        <w:ind w:left="0" w:firstLine="640" w:firstLineChars="200"/>
        <w:textAlignment w:val="auto"/>
        <w:outlineLvl w:val="0"/>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一、项目概况</w:t>
      </w:r>
    </w:p>
    <w:p w14:paraId="1F706187">
      <w:pPr>
        <w:keepNext w:val="0"/>
        <w:keepLines w:val="0"/>
        <w:pageBreakBefore w:val="0"/>
        <w:widowControl w:val="0"/>
        <w:kinsoku/>
        <w:wordWrap/>
        <w:overflowPunct w:val="0"/>
        <w:topLinePunct w:val="0"/>
        <w:autoSpaceDE/>
        <w:autoSpaceDN/>
        <w:bidi w:val="0"/>
        <w:adjustRightInd/>
        <w:snapToGrid/>
        <w:spacing w:line="576" w:lineRule="exact"/>
        <w:ind w:left="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cs="Times New Roman"/>
          <w:b w:val="0"/>
          <w:bCs w:val="0"/>
          <w:sz w:val="32"/>
        </w:rPr>
        <mc:AlternateContent>
          <mc:Choice Requires="wps">
            <w:drawing>
              <wp:anchor distT="0" distB="0" distL="114300" distR="114300" simplePos="0" relativeHeight="251659264" behindDoc="0" locked="0" layoutInCell="1" allowOverlap="1">
                <wp:simplePos x="0" y="0"/>
                <wp:positionH relativeFrom="column">
                  <wp:posOffset>5017770</wp:posOffset>
                </wp:positionH>
                <wp:positionV relativeFrom="paragraph">
                  <wp:posOffset>3187700</wp:posOffset>
                </wp:positionV>
                <wp:extent cx="852805" cy="440690"/>
                <wp:effectExtent l="4445" t="4445" r="19050" b="12065"/>
                <wp:wrapNone/>
                <wp:docPr id="2" name="文本框 6"/>
                <wp:cNvGraphicFramePr/>
                <a:graphic xmlns:a="http://schemas.openxmlformats.org/drawingml/2006/main">
                  <a:graphicData uri="http://schemas.microsoft.com/office/word/2010/wordprocessingShape">
                    <wps:wsp>
                      <wps:cNvSpPr txBox="1"/>
                      <wps:spPr>
                        <a:xfrm>
                          <a:off x="0" y="0"/>
                          <a:ext cx="852805" cy="440690"/>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25C8082E"/>
                        </w:txbxContent>
                      </wps:txbx>
                      <wps:bodyPr upright="1"/>
                    </wps:wsp>
                  </a:graphicData>
                </a:graphic>
              </wp:anchor>
            </w:drawing>
          </mc:Choice>
          <mc:Fallback>
            <w:pict>
              <v:shape id="文本框 6" o:spid="_x0000_s1026" o:spt="202" type="#_x0000_t202" style="position:absolute;left:0pt;margin-left:395.1pt;margin-top:251pt;height:34.7pt;width:67.15pt;z-index:251659264;mso-width-relative:page;mso-height-relative:page;" fillcolor="#FFFFFF" filled="t" stroked="t" coordsize="21600,21600" o:gfxdata="UEsDBAoAAAAAAIdO4kAAAAAAAAAAAAAAAAAEAAAAZHJzL1BLAwQUAAAACACHTuJAuH8o3tkAAAAL&#10;AQAADwAAAGRycy9kb3ducmV2LnhtbE2PwU7DMAyG70i8Q2QkLogljTbGStMJTSDOG1y4ZY3XVjRO&#10;22TrxtNjTnC0/en39xfrs+/ECcfYBjKQzRQIpCq4lmoDH++v948gYrLkbBcIDVwwwrq8vips7sJE&#10;WzztUi04hGJuDTQp9bmUsWrQ2zgLPRLfDmH0NvE41tKNduJw30mt1IP0tiX+0NgeNw1WX7ujNxCm&#10;l4sPOCh99/nt3zbPw/agB2NubzL1BCLhOf3B8KvP6lCy0z4cyUXRGViulGbUwEJpLsXESs8XIPa8&#10;WWZzkGUh/3cofwBQSwMEFAAAAAgAh07iQOAjhbUIAgAANQQAAA4AAABkcnMvZTJvRG9jLnhtbK1T&#10;S27bMBDdF+gdCO5rKUZsOILlAK3rboq2QNID0CQlEeAPHNqSL9DeoKtuuu+5fI4OKcdpko0X0YIa&#10;ksPH994Ml7eD0WQvAyhna3o1KSmRljuhbFvT7/ebdwtKIDIrmHZW1vQggd6u3r5Z9r6SU9c5LWQg&#10;CGKh6n1Nuxh9VRTAO2kYTJyXFjcbFwyLOA1tIQLrEd3oYlqW86J3QfjguATA1fW4SU+I4RJA1zSK&#10;y7XjOyNtHFGD1CyiJOiUB7rKbJtG8vi1aUBGomuKSmMe8RKMt2ksVktWtYH5TvETBXYJhWeaDFMW&#10;Lz1DrVlkZBfUCyijeHDgmjjhzhSjkOwIqrgqn3lz1zEvsxa0GvzZdHg9WP5l/y0QJWo6pcQygwU/&#10;/vp5/P33+OcHmSd7eg8VZt15zIvDezdg0zysAy4m1UMTTPqjHoL7aO7hbK4cIuG4uJhNF+WMEo5b&#10;19fl/CabXzwe9gHiJ+kMSUFNA9YuW8r2nyEiEUx9SEl3gdNKbJTWeRLa7QcdyJ5hnTf5SxzxyJM0&#10;bUlf05vZNPFg2LwNNg2GxqMBYNt835MTcBlwIrZm0I0EMsLYWkZFGXKTdZKJj1aQePBossW3RRMZ&#10;IwUlWuJTTFHOjEzpSzJRnbYoMlVorESK4rAdECaFWycOWLWdD6rt0NJct5yO3ZTdOXV+atf/5xn0&#10;8bWv/g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4fyje2QAAAAsBAAAPAAAAAAAAAAEAIAAAACIA&#10;AABkcnMvZG93bnJldi54bWxQSwECFAAUAAAACACHTuJA4COFtQgCAAA1BAAADgAAAAAAAAABACAA&#10;AAAoAQAAZHJzL2Uyb0RvYy54bWxQSwUGAAAAAAYABgBZAQAAogUAAAAA&#10;">
                <v:fill on="t" focussize="0,0"/>
                <v:stroke color="#FFFFFF" joinstyle="miter"/>
                <v:imagedata o:title=""/>
                <o:lock v:ext="edit" aspectratio="f"/>
                <v:textbox>
                  <w:txbxContent>
                    <w:p w14:paraId="25C8082E"/>
                  </w:txbxContent>
                </v:textbox>
              </v:shape>
            </w:pict>
          </mc:Fallback>
        </mc:AlternateContent>
      </w:r>
      <w:r>
        <w:rPr>
          <w:rFonts w:hint="default" w:ascii="Times New Roman" w:hAnsi="Times New Roman" w:eastAsia="仿宋_GB2312" w:cs="Times New Roman"/>
          <w:b w:val="0"/>
          <w:bCs w:val="0"/>
          <w:sz w:val="32"/>
          <w:szCs w:val="32"/>
        </w:rPr>
        <w:t xml:space="preserve">因历史林权登记无空间矢量数据，造成不动产统一登记以来无法开展林权登记工作。为了减轻林农负担，区政府决定开展林权补充权籍调查工作。林权权籍补充调查项目属于测绘类技术服务项目，由我局委托具备相应资质的社会机构作为权籍调查单位开展补充调查。该项目要完成全区124万亩森林，35万宗历史林权登记，开展林权权籍补充调查，采集林权空间矢量数据，形成历史登记档案、林权证书、林权登记空间矢量数据（图形）和登记属性表册，完成昭化区林权数据汇交，启动林权不动产统一登记。 </w:t>
      </w:r>
    </w:p>
    <w:p w14:paraId="0B462624">
      <w:pPr>
        <w:keepNext w:val="0"/>
        <w:keepLines w:val="0"/>
        <w:pageBreakBefore w:val="0"/>
        <w:widowControl w:val="0"/>
        <w:kinsoku/>
        <w:wordWrap/>
        <w:overflowPunct w:val="0"/>
        <w:topLinePunct w:val="0"/>
        <w:autoSpaceDE/>
        <w:autoSpaceDN/>
        <w:bidi w:val="0"/>
        <w:adjustRightInd/>
        <w:snapToGrid/>
        <w:spacing w:line="576" w:lineRule="exact"/>
        <w:ind w:left="0" w:firstLine="640" w:firstLineChars="200"/>
        <w:textAlignment w:val="auto"/>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rPr>
        <w:t>（一）项目资金申报科学合理，项目批复程序合法</w:t>
      </w:r>
    </w:p>
    <w:p w14:paraId="2385B8A9">
      <w:pPr>
        <w:keepNext w:val="0"/>
        <w:keepLines w:val="0"/>
        <w:pageBreakBefore w:val="0"/>
        <w:widowControl w:val="0"/>
        <w:kinsoku/>
        <w:wordWrap/>
        <w:overflowPunct w:val="0"/>
        <w:topLinePunct w:val="0"/>
        <w:autoSpaceDE/>
        <w:autoSpaceDN/>
        <w:bidi w:val="0"/>
        <w:adjustRightInd/>
        <w:snapToGrid/>
        <w:spacing w:line="576" w:lineRule="exact"/>
        <w:ind w:left="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项目立项程序合法：为深入贯彻落实《自然资源部办公厅国家林业和草原局办公室关于进一步规范林权类不动产登记做好林权登记与林业管理衔接的通知》（自然资办发〔2022〕—76）全面履行林权登记职责，按照《国土资源部办公厅关于规范不动产权籍调查有关工作的通知》（国土资厅函〔2017〕1272号）《自然资源部办公厅国家林业和草原局办公室关于进一步规范林权类不动产登记做好林权登记与林业管理衔接的通知》（自然资办发〔2020〕31号）等文件精神“由各地政府落实经费统一补充开展权籍调查，不得要求权利人委托调查单位开展权籍调查、缴纳测绘费、配图费等额外费用，在2021年底基本完成数据建库，并汇交到自然资源部”。林权权籍调查项目设立依据充分，符合国家、省、市、区对林权登记工作决策部署，属于本部门职责，由区政府公共财政支持资金，2021年我局完成该项目事前评估，并立项争取资金945万元，符合地方事权支出责任划分原则。项目管理方面制定了工作实施方案与林权调查技术方案，制度和机制健全，项目年度绩效目标与中长期规划一致，按项目设立的基本规范和程序要求开展工作，无项目重复。</w:t>
      </w:r>
    </w:p>
    <w:p w14:paraId="6B3F4369">
      <w:pPr>
        <w:keepNext w:val="0"/>
        <w:keepLines w:val="0"/>
        <w:pageBreakBefore w:val="0"/>
        <w:widowControl w:val="0"/>
        <w:kinsoku/>
        <w:wordWrap/>
        <w:overflowPunct w:val="0"/>
        <w:topLinePunct w:val="0"/>
        <w:autoSpaceDE/>
        <w:autoSpaceDN/>
        <w:bidi w:val="0"/>
        <w:adjustRightInd/>
        <w:snapToGrid/>
        <w:spacing w:line="576" w:lineRule="exact"/>
        <w:ind w:left="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项目资金申报依据及批复科学合理：2021年9月2日，区政府批准我局《关于启动昭化区林权补充权籍调查工作的请示》（昭自然资〔2021〕131号）“同意开展林权权籍补充调查工作”；2022年1月13日，区政府批准我局《关于启动昭化区林权补充权籍调查工作经费的请示》（昭自然资〔2021〕130号）“同意在土地收益中解决资金945万元（技术服务费900万元，监理服务费27万元，工作经费18万元）”。</w:t>
      </w:r>
    </w:p>
    <w:p w14:paraId="10BC350D">
      <w:pPr>
        <w:keepNext w:val="0"/>
        <w:keepLines w:val="0"/>
        <w:pageBreakBefore w:val="0"/>
        <w:widowControl w:val="0"/>
        <w:kinsoku/>
        <w:wordWrap/>
        <w:overflowPunct w:val="0"/>
        <w:topLinePunct w:val="0"/>
        <w:autoSpaceDE/>
        <w:autoSpaceDN/>
        <w:bidi w:val="0"/>
        <w:adjustRightInd/>
        <w:snapToGrid/>
        <w:spacing w:line="576" w:lineRule="exact"/>
        <w:ind w:left="0" w:firstLine="640" w:firstLineChars="200"/>
        <w:textAlignment w:val="auto"/>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rPr>
        <w:t>（二）项目绩效目标</w:t>
      </w:r>
    </w:p>
    <w:p w14:paraId="0739F83C">
      <w:pPr>
        <w:keepNext w:val="0"/>
        <w:keepLines w:val="0"/>
        <w:pageBreakBefore w:val="0"/>
        <w:widowControl w:val="0"/>
        <w:kinsoku/>
        <w:wordWrap/>
        <w:overflowPunct w:val="0"/>
        <w:topLinePunct w:val="0"/>
        <w:autoSpaceDE/>
        <w:autoSpaceDN/>
        <w:bidi w:val="0"/>
        <w:adjustRightInd/>
        <w:snapToGrid/>
        <w:spacing w:line="576" w:lineRule="exact"/>
        <w:ind w:left="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项目主要内容：按照不动产统一登记及不动产权籍调查要求，以历史登记林权宗地为单位开展广元市昭化区林权权籍补充调查，核实存量林权登记数据及标准化整理，完成空间数据和属性数据补充采集，建立图形数据、属性数据和档案数据关联并入库，完成权籍调查、落宗、权籍成果入库、挂接、数据汇交等，达到不动产登记标准。确保2023年6月底前，全区开展林权类不动产日常登记工作。</w:t>
      </w:r>
    </w:p>
    <w:p w14:paraId="2B1517CE">
      <w:pPr>
        <w:keepNext w:val="0"/>
        <w:keepLines w:val="0"/>
        <w:pageBreakBefore w:val="0"/>
        <w:widowControl w:val="0"/>
        <w:kinsoku/>
        <w:wordWrap/>
        <w:overflowPunct w:val="0"/>
        <w:topLinePunct w:val="0"/>
        <w:autoSpaceDE/>
        <w:autoSpaceDN/>
        <w:bidi w:val="0"/>
        <w:adjustRightInd/>
        <w:snapToGrid/>
        <w:spacing w:line="576" w:lineRule="exact"/>
        <w:ind w:left="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项目应实现的具体绩效目标：广元市昭化区林权权籍补充调查服务项目绩效目标共设置了三级指标。主要包含一级指标4个，二级指标7个，三级指标7个。在10个月内完成全区林权权籍补充调查35万余宗，全区历史林权数据合格率达到95%以上，有效地为乡村振兴提供产权基础，保护财产权益户数超过6.1万户，做到了全区农户确权登记满意度90%以上。</w:t>
      </w:r>
    </w:p>
    <w:p w14:paraId="3D22AA55">
      <w:pPr>
        <w:keepNext w:val="0"/>
        <w:keepLines w:val="0"/>
        <w:pageBreakBefore w:val="0"/>
        <w:widowControl w:val="0"/>
        <w:kinsoku/>
        <w:wordWrap/>
        <w:overflowPunct w:val="0"/>
        <w:topLinePunct w:val="0"/>
        <w:autoSpaceDE/>
        <w:autoSpaceDN/>
        <w:bidi w:val="0"/>
        <w:adjustRightInd/>
        <w:snapToGrid/>
        <w:spacing w:line="576" w:lineRule="exact"/>
        <w:ind w:left="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项目实施进度计划：一是项目立项及财评阶段。2021年9月2日，该项目经区政府批准实施，2022年1月13号，区政府同意在土地收益款中解决项目工作经费945万元。2022年1月26日区财政出具预算资金评审结果，单价为25.64元每宗。二是项目招标阶段。该项目按照采购相关要求，2022年7月1日，在四川政府采购一体化平台开展项目意向公开、采购需求论证、发布公告并公布采购项目结果。2022年8月25日，与四川中水成勘院测绘工程有限责任公司签订合同，约定合同单价为21元每宗，2023年6月30日前完成项目招标及合同约定工作内容。三是项目实施阶段。项目实施准备阶段，2022年7月，区政府制定《关于印发广元市昭化区林权权籍补充调查工作实施方案的通知》（〔2020〕31号）文件。各镇结合当地实际，制定工作实施方案和操作办法，成立工作领导小组。全面实施阶段。2022年7月1日—2023年6月30日，完成历史已登记林权权籍补充调查工作，完成林权数据汇交，开展项目验收，整理完善调查资料并归档。</w:t>
      </w:r>
    </w:p>
    <w:p w14:paraId="7F532408">
      <w:pPr>
        <w:keepNext w:val="0"/>
        <w:keepLines w:val="0"/>
        <w:pageBreakBefore w:val="0"/>
        <w:widowControl w:val="0"/>
        <w:kinsoku/>
        <w:wordWrap/>
        <w:overflowPunct w:val="0"/>
        <w:topLinePunct w:val="0"/>
        <w:autoSpaceDE/>
        <w:autoSpaceDN/>
        <w:bidi w:val="0"/>
        <w:adjustRightInd/>
        <w:snapToGrid/>
        <w:spacing w:line="576" w:lineRule="exact"/>
        <w:ind w:left="0" w:firstLine="640" w:firstLineChars="200"/>
        <w:textAlignment w:val="auto"/>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rPr>
        <w:t>（三）项目资金申报相符性</w:t>
      </w:r>
    </w:p>
    <w:p w14:paraId="0A6B324E">
      <w:pPr>
        <w:keepNext w:val="0"/>
        <w:keepLines w:val="0"/>
        <w:pageBreakBefore w:val="0"/>
        <w:widowControl w:val="0"/>
        <w:kinsoku/>
        <w:wordWrap/>
        <w:overflowPunct w:val="0"/>
        <w:topLinePunct w:val="0"/>
        <w:autoSpaceDE/>
        <w:autoSpaceDN/>
        <w:bidi w:val="0"/>
        <w:adjustRightInd/>
        <w:snapToGrid/>
        <w:spacing w:line="576" w:lineRule="exact"/>
        <w:ind w:left="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2022年8月，申请技术服务资金110.25万元，该项目申报第一笔资金于2023年1月拨付50万元到四川中水成勘院测绘工程有限责任公司，项目资金拨付占申报比45.35%。</w:t>
      </w:r>
    </w:p>
    <w:p w14:paraId="1E2C06D5">
      <w:pPr>
        <w:keepNext w:val="0"/>
        <w:keepLines w:val="0"/>
        <w:pageBreakBefore w:val="0"/>
        <w:widowControl w:val="0"/>
        <w:kinsoku/>
        <w:wordWrap/>
        <w:overflowPunct w:val="0"/>
        <w:topLinePunct w:val="0"/>
        <w:autoSpaceDE/>
        <w:autoSpaceDN/>
        <w:bidi w:val="0"/>
        <w:adjustRightInd/>
        <w:snapToGrid/>
        <w:spacing w:line="576" w:lineRule="exact"/>
        <w:ind w:left="0" w:firstLine="640" w:firstLineChars="200"/>
        <w:textAlignment w:val="auto"/>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rPr>
        <w:t>（四）自评步骤及方法</w:t>
      </w:r>
    </w:p>
    <w:p w14:paraId="62E85197">
      <w:pPr>
        <w:keepNext w:val="0"/>
        <w:keepLines w:val="0"/>
        <w:pageBreakBefore w:val="0"/>
        <w:widowControl w:val="0"/>
        <w:kinsoku/>
        <w:wordWrap/>
        <w:overflowPunct w:val="0"/>
        <w:topLinePunct w:val="0"/>
        <w:autoSpaceDE/>
        <w:autoSpaceDN/>
        <w:bidi w:val="0"/>
        <w:adjustRightInd/>
        <w:snapToGrid/>
        <w:spacing w:line="576" w:lineRule="exact"/>
        <w:ind w:left="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由主管部门成立广元市昭化区林权权籍补充调查服务项目绩效评价小组制定自评方案</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通过综合评价法，按照项目支出绩效评价指标体系，采取现场检查项目实施进度、开展满意度调查、核查项目预算执行和查阅资料进行自评。</w:t>
      </w:r>
    </w:p>
    <w:p w14:paraId="2B200536">
      <w:pPr>
        <w:keepNext w:val="0"/>
        <w:keepLines w:val="0"/>
        <w:pageBreakBefore w:val="0"/>
        <w:widowControl w:val="0"/>
        <w:kinsoku/>
        <w:wordWrap/>
        <w:overflowPunct w:val="0"/>
        <w:topLinePunct w:val="0"/>
        <w:autoSpaceDE/>
        <w:autoSpaceDN/>
        <w:bidi w:val="0"/>
        <w:adjustRightInd/>
        <w:snapToGrid/>
        <w:spacing w:line="576" w:lineRule="exact"/>
        <w:ind w:left="0" w:firstLine="640" w:firstLineChars="200"/>
        <w:textAlignment w:val="auto"/>
        <w:outlineLvl w:val="0"/>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二、项目实施及管理情况</w:t>
      </w:r>
    </w:p>
    <w:p w14:paraId="175BB7FA">
      <w:pPr>
        <w:keepNext w:val="0"/>
        <w:keepLines w:val="0"/>
        <w:pageBreakBefore w:val="0"/>
        <w:widowControl w:val="0"/>
        <w:kinsoku/>
        <w:wordWrap/>
        <w:overflowPunct w:val="0"/>
        <w:topLinePunct w:val="0"/>
        <w:autoSpaceDE/>
        <w:autoSpaceDN/>
        <w:bidi w:val="0"/>
        <w:adjustRightInd/>
        <w:snapToGrid/>
        <w:spacing w:line="576" w:lineRule="exact"/>
        <w:ind w:left="0" w:firstLine="640" w:firstLineChars="200"/>
        <w:textAlignment w:val="auto"/>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rPr>
        <w:t>（一）资金计划、到位及使用情况</w:t>
      </w:r>
    </w:p>
    <w:p w14:paraId="2B035055">
      <w:pPr>
        <w:keepNext w:val="0"/>
        <w:keepLines w:val="0"/>
        <w:pageBreakBefore w:val="0"/>
        <w:widowControl w:val="0"/>
        <w:kinsoku/>
        <w:wordWrap/>
        <w:overflowPunct w:val="0"/>
        <w:topLinePunct w:val="0"/>
        <w:autoSpaceDE/>
        <w:autoSpaceDN/>
        <w:bidi w:val="0"/>
        <w:adjustRightInd/>
        <w:snapToGrid/>
        <w:spacing w:line="576" w:lineRule="exact"/>
        <w:ind w:left="0"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资金计划及到位</w:t>
      </w:r>
    </w:p>
    <w:tbl>
      <w:tblPr>
        <w:tblStyle w:val="17"/>
        <w:tblW w:w="9231" w:type="dxa"/>
        <w:jc w:val="center"/>
        <w:tblLayout w:type="fixed"/>
        <w:tblCellMar>
          <w:top w:w="0" w:type="dxa"/>
          <w:left w:w="108" w:type="dxa"/>
          <w:bottom w:w="0" w:type="dxa"/>
          <w:right w:w="108" w:type="dxa"/>
        </w:tblCellMar>
      </w:tblPr>
      <w:tblGrid>
        <w:gridCol w:w="453"/>
        <w:gridCol w:w="1588"/>
        <w:gridCol w:w="724"/>
        <w:gridCol w:w="907"/>
        <w:gridCol w:w="1248"/>
        <w:gridCol w:w="1139"/>
        <w:gridCol w:w="723"/>
        <w:gridCol w:w="913"/>
        <w:gridCol w:w="800"/>
        <w:gridCol w:w="736"/>
      </w:tblGrid>
      <w:tr w14:paraId="050AB4F2">
        <w:tblPrEx>
          <w:tblCellMar>
            <w:top w:w="0" w:type="dxa"/>
            <w:left w:w="108" w:type="dxa"/>
            <w:bottom w:w="0" w:type="dxa"/>
            <w:right w:w="108" w:type="dxa"/>
          </w:tblCellMar>
        </w:tblPrEx>
        <w:trPr>
          <w:trHeight w:val="90" w:hRule="atLeast"/>
          <w:jc w:val="center"/>
        </w:trPr>
        <w:tc>
          <w:tcPr>
            <w:tcW w:w="9231" w:type="dxa"/>
            <w:gridSpan w:val="10"/>
            <w:tcBorders>
              <w:top w:val="nil"/>
              <w:left w:val="nil"/>
              <w:bottom w:val="nil"/>
              <w:right w:val="nil"/>
            </w:tcBorders>
            <w:noWrap/>
            <w:vAlign w:val="center"/>
          </w:tcPr>
          <w:p w14:paraId="27A84596">
            <w:pPr>
              <w:overflowPunct w:val="0"/>
              <w:spacing w:line="400" w:lineRule="exact"/>
              <w:jc w:val="center"/>
              <w:textAlignment w:val="center"/>
              <w:rPr>
                <w:rFonts w:hint="default" w:ascii="Times New Roman" w:hAnsi="Times New Roman" w:eastAsia="方正小标宋简体" w:cs="Times New Roman"/>
                <w:sz w:val="30"/>
                <w:szCs w:val="30"/>
              </w:rPr>
            </w:pPr>
            <w:r>
              <w:rPr>
                <w:rFonts w:hint="default" w:ascii="Times New Roman" w:hAnsi="Times New Roman" w:eastAsia="方正小标宋简体" w:cs="Times New Roman"/>
                <w:sz w:val="30"/>
                <w:szCs w:val="30"/>
              </w:rPr>
              <w:t>项目资金使用统计表</w:t>
            </w:r>
          </w:p>
          <w:p w14:paraId="6C9761BC">
            <w:pPr>
              <w:overflowPunct w:val="0"/>
              <w:spacing w:line="240" w:lineRule="exact"/>
              <w:jc w:val="right"/>
              <w:textAlignment w:val="center"/>
              <w:rPr>
                <w:rFonts w:hint="default" w:ascii="Times New Roman" w:hAnsi="Times New Roman" w:cs="Times New Roman"/>
              </w:rPr>
            </w:pPr>
            <w:r>
              <w:rPr>
                <w:rFonts w:hint="default" w:ascii="Times New Roman" w:hAnsi="Times New Roman" w:cs="Times New Roman"/>
              </w:rPr>
              <w:t>单位：万元</w:t>
            </w:r>
          </w:p>
        </w:tc>
      </w:tr>
      <w:tr w14:paraId="7B61DD72">
        <w:tblPrEx>
          <w:tblCellMar>
            <w:top w:w="0" w:type="dxa"/>
            <w:left w:w="108" w:type="dxa"/>
            <w:bottom w:w="0" w:type="dxa"/>
            <w:right w:w="108" w:type="dxa"/>
          </w:tblCellMar>
        </w:tblPrEx>
        <w:trPr>
          <w:trHeight w:val="1140" w:hRule="atLeast"/>
          <w:jc w:val="center"/>
        </w:trPr>
        <w:tc>
          <w:tcPr>
            <w:tcW w:w="453" w:type="dxa"/>
            <w:tcBorders>
              <w:top w:val="single" w:color="000000" w:sz="4" w:space="0"/>
              <w:left w:val="single" w:color="000000" w:sz="4" w:space="0"/>
              <w:bottom w:val="single" w:color="000000" w:sz="4" w:space="0"/>
              <w:right w:val="single" w:color="000000" w:sz="4" w:space="0"/>
            </w:tcBorders>
            <w:noWrap/>
            <w:vAlign w:val="center"/>
          </w:tcPr>
          <w:p w14:paraId="4AAC436D">
            <w:pPr>
              <w:keepNext w:val="0"/>
              <w:keepLines w:val="0"/>
              <w:pageBreakBefore w:val="0"/>
              <w:widowControl/>
              <w:kinsoku/>
              <w:wordWrap/>
              <w:overflowPunct w:val="0"/>
              <w:topLinePunct w:val="0"/>
              <w:autoSpaceDE w:val="0"/>
              <w:autoSpaceDN w:val="0"/>
              <w:bidi w:val="0"/>
              <w:adjustRightInd w:val="0"/>
              <w:snapToGrid w:val="0"/>
              <w:spacing w:line="280" w:lineRule="exact"/>
              <w:jc w:val="center"/>
              <w:textAlignment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序号</w:t>
            </w:r>
          </w:p>
        </w:tc>
        <w:tc>
          <w:tcPr>
            <w:tcW w:w="1588" w:type="dxa"/>
            <w:tcBorders>
              <w:top w:val="single" w:color="000000" w:sz="4" w:space="0"/>
              <w:left w:val="single" w:color="000000" w:sz="4" w:space="0"/>
              <w:bottom w:val="single" w:color="000000" w:sz="4" w:space="0"/>
              <w:right w:val="single" w:color="000000" w:sz="4" w:space="0"/>
            </w:tcBorders>
            <w:vAlign w:val="center"/>
          </w:tcPr>
          <w:p w14:paraId="5BB4D9DE">
            <w:pPr>
              <w:keepNext w:val="0"/>
              <w:keepLines w:val="0"/>
              <w:pageBreakBefore w:val="0"/>
              <w:widowControl/>
              <w:kinsoku/>
              <w:wordWrap/>
              <w:overflowPunct w:val="0"/>
              <w:topLinePunct w:val="0"/>
              <w:autoSpaceDE w:val="0"/>
              <w:autoSpaceDN w:val="0"/>
              <w:bidi w:val="0"/>
              <w:adjustRightInd w:val="0"/>
              <w:snapToGrid w:val="0"/>
              <w:spacing w:line="280" w:lineRule="exact"/>
              <w:jc w:val="center"/>
              <w:textAlignment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项目名称</w:t>
            </w:r>
          </w:p>
        </w:tc>
        <w:tc>
          <w:tcPr>
            <w:tcW w:w="724" w:type="dxa"/>
            <w:tcBorders>
              <w:top w:val="single" w:color="000000" w:sz="4" w:space="0"/>
              <w:left w:val="single" w:color="000000" w:sz="4" w:space="0"/>
              <w:bottom w:val="single" w:color="000000" w:sz="4" w:space="0"/>
              <w:right w:val="single" w:color="auto" w:sz="4" w:space="0"/>
            </w:tcBorders>
            <w:vAlign w:val="center"/>
          </w:tcPr>
          <w:p w14:paraId="708B29D3">
            <w:pPr>
              <w:keepNext w:val="0"/>
              <w:keepLines w:val="0"/>
              <w:pageBreakBefore w:val="0"/>
              <w:widowControl/>
              <w:kinsoku/>
              <w:wordWrap/>
              <w:overflowPunct w:val="0"/>
              <w:topLinePunct w:val="0"/>
              <w:autoSpaceDE w:val="0"/>
              <w:autoSpaceDN w:val="0"/>
              <w:bidi w:val="0"/>
              <w:adjustRightInd w:val="0"/>
              <w:snapToGrid w:val="0"/>
              <w:spacing w:line="280" w:lineRule="exact"/>
              <w:jc w:val="center"/>
              <w:textAlignment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到位区级财政资金</w:t>
            </w:r>
          </w:p>
        </w:tc>
        <w:tc>
          <w:tcPr>
            <w:tcW w:w="907" w:type="dxa"/>
            <w:tcBorders>
              <w:top w:val="single" w:color="000000" w:sz="4" w:space="0"/>
              <w:left w:val="single" w:color="auto" w:sz="4" w:space="0"/>
              <w:bottom w:val="single" w:color="000000" w:sz="4" w:space="0"/>
              <w:right w:val="single" w:color="000000" w:sz="4" w:space="0"/>
            </w:tcBorders>
            <w:vAlign w:val="center"/>
          </w:tcPr>
          <w:p w14:paraId="760D65F0">
            <w:pPr>
              <w:keepNext w:val="0"/>
              <w:keepLines w:val="0"/>
              <w:pageBreakBefore w:val="0"/>
              <w:widowControl/>
              <w:kinsoku/>
              <w:wordWrap/>
              <w:overflowPunct w:val="0"/>
              <w:topLinePunct w:val="0"/>
              <w:autoSpaceDE w:val="0"/>
              <w:autoSpaceDN w:val="0"/>
              <w:bidi w:val="0"/>
              <w:adjustRightInd w:val="0"/>
              <w:snapToGrid w:val="0"/>
              <w:spacing w:line="280" w:lineRule="exact"/>
              <w:jc w:val="center"/>
              <w:textAlignment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指标到位率</w:t>
            </w:r>
          </w:p>
        </w:tc>
        <w:tc>
          <w:tcPr>
            <w:tcW w:w="1248" w:type="dxa"/>
            <w:tcBorders>
              <w:top w:val="single" w:color="000000" w:sz="4" w:space="0"/>
              <w:left w:val="single" w:color="000000" w:sz="4" w:space="0"/>
              <w:bottom w:val="single" w:color="000000" w:sz="4" w:space="0"/>
              <w:right w:val="single" w:color="000000" w:sz="4" w:space="0"/>
            </w:tcBorders>
            <w:vAlign w:val="center"/>
          </w:tcPr>
          <w:p w14:paraId="15797B0B">
            <w:pPr>
              <w:keepNext w:val="0"/>
              <w:keepLines w:val="0"/>
              <w:pageBreakBefore w:val="0"/>
              <w:widowControl/>
              <w:kinsoku/>
              <w:wordWrap/>
              <w:overflowPunct w:val="0"/>
              <w:topLinePunct w:val="0"/>
              <w:autoSpaceDE w:val="0"/>
              <w:autoSpaceDN w:val="0"/>
              <w:bidi w:val="0"/>
              <w:adjustRightInd w:val="0"/>
              <w:snapToGrid w:val="0"/>
              <w:spacing w:line="280" w:lineRule="exact"/>
              <w:jc w:val="center"/>
              <w:textAlignment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合同总价</w:t>
            </w:r>
          </w:p>
        </w:tc>
        <w:tc>
          <w:tcPr>
            <w:tcW w:w="1139" w:type="dxa"/>
            <w:tcBorders>
              <w:top w:val="single" w:color="000000" w:sz="4" w:space="0"/>
              <w:left w:val="single" w:color="000000" w:sz="4" w:space="0"/>
              <w:bottom w:val="single" w:color="000000" w:sz="4" w:space="0"/>
              <w:right w:val="single" w:color="auto" w:sz="4" w:space="0"/>
            </w:tcBorders>
            <w:vAlign w:val="center"/>
          </w:tcPr>
          <w:p w14:paraId="6CD203B3">
            <w:pPr>
              <w:keepNext w:val="0"/>
              <w:keepLines w:val="0"/>
              <w:pageBreakBefore w:val="0"/>
              <w:widowControl/>
              <w:kinsoku/>
              <w:wordWrap/>
              <w:overflowPunct w:val="0"/>
              <w:topLinePunct w:val="0"/>
              <w:autoSpaceDE w:val="0"/>
              <w:autoSpaceDN w:val="0"/>
              <w:bidi w:val="0"/>
              <w:adjustRightInd w:val="0"/>
              <w:snapToGrid w:val="0"/>
              <w:spacing w:line="280" w:lineRule="exact"/>
              <w:jc w:val="center"/>
              <w:textAlignment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2022年8月计划支付金额</w:t>
            </w:r>
          </w:p>
        </w:tc>
        <w:tc>
          <w:tcPr>
            <w:tcW w:w="723" w:type="dxa"/>
            <w:tcBorders>
              <w:top w:val="single" w:color="000000" w:sz="4" w:space="0"/>
              <w:left w:val="single" w:color="auto" w:sz="4" w:space="0"/>
              <w:bottom w:val="single" w:color="000000" w:sz="4" w:space="0"/>
              <w:right w:val="single" w:color="auto" w:sz="4" w:space="0"/>
            </w:tcBorders>
            <w:vAlign w:val="center"/>
          </w:tcPr>
          <w:p w14:paraId="64E64105">
            <w:pPr>
              <w:keepNext w:val="0"/>
              <w:keepLines w:val="0"/>
              <w:pageBreakBefore w:val="0"/>
              <w:widowControl/>
              <w:kinsoku/>
              <w:wordWrap/>
              <w:overflowPunct w:val="0"/>
              <w:topLinePunct w:val="0"/>
              <w:autoSpaceDE w:val="0"/>
              <w:autoSpaceDN w:val="0"/>
              <w:bidi w:val="0"/>
              <w:adjustRightInd w:val="0"/>
              <w:snapToGrid w:val="0"/>
              <w:spacing w:line="280" w:lineRule="exact"/>
              <w:jc w:val="center"/>
              <w:textAlignment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计划支付率</w:t>
            </w:r>
          </w:p>
        </w:tc>
        <w:tc>
          <w:tcPr>
            <w:tcW w:w="913" w:type="dxa"/>
            <w:tcBorders>
              <w:top w:val="single" w:color="000000" w:sz="4" w:space="0"/>
              <w:left w:val="single" w:color="auto" w:sz="4" w:space="0"/>
              <w:bottom w:val="single" w:color="000000" w:sz="4" w:space="0"/>
              <w:right w:val="single" w:color="000000" w:sz="4" w:space="0"/>
            </w:tcBorders>
            <w:vAlign w:val="center"/>
          </w:tcPr>
          <w:p w14:paraId="5E418948">
            <w:pPr>
              <w:keepNext w:val="0"/>
              <w:keepLines w:val="0"/>
              <w:pageBreakBefore w:val="0"/>
              <w:widowControl/>
              <w:kinsoku/>
              <w:wordWrap/>
              <w:overflowPunct w:val="0"/>
              <w:topLinePunct w:val="0"/>
              <w:autoSpaceDE w:val="0"/>
              <w:autoSpaceDN w:val="0"/>
              <w:bidi w:val="0"/>
              <w:adjustRightInd w:val="0"/>
              <w:snapToGrid w:val="0"/>
              <w:spacing w:line="280" w:lineRule="exact"/>
              <w:jc w:val="center"/>
              <w:textAlignment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2023年1月支付金额</w:t>
            </w:r>
          </w:p>
        </w:tc>
        <w:tc>
          <w:tcPr>
            <w:tcW w:w="800" w:type="dxa"/>
            <w:tcBorders>
              <w:top w:val="single" w:color="000000" w:sz="4" w:space="0"/>
              <w:left w:val="single" w:color="000000" w:sz="4" w:space="0"/>
              <w:bottom w:val="single" w:color="000000" w:sz="4" w:space="0"/>
              <w:right w:val="single" w:color="000000" w:sz="4" w:space="0"/>
            </w:tcBorders>
            <w:vAlign w:val="center"/>
          </w:tcPr>
          <w:p w14:paraId="42F1D1CD">
            <w:pPr>
              <w:keepNext w:val="0"/>
              <w:keepLines w:val="0"/>
              <w:pageBreakBefore w:val="0"/>
              <w:widowControl/>
              <w:kinsoku/>
              <w:wordWrap/>
              <w:overflowPunct w:val="0"/>
              <w:topLinePunct w:val="0"/>
              <w:autoSpaceDE w:val="0"/>
              <w:autoSpaceDN w:val="0"/>
              <w:bidi w:val="0"/>
              <w:adjustRightInd w:val="0"/>
              <w:snapToGrid w:val="0"/>
              <w:spacing w:line="280" w:lineRule="exact"/>
              <w:jc w:val="center"/>
              <w:textAlignment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支付资金率</w:t>
            </w:r>
          </w:p>
        </w:tc>
        <w:tc>
          <w:tcPr>
            <w:tcW w:w="736" w:type="dxa"/>
            <w:tcBorders>
              <w:top w:val="single" w:color="000000" w:sz="4" w:space="0"/>
              <w:left w:val="single" w:color="000000" w:sz="4" w:space="0"/>
              <w:bottom w:val="single" w:color="000000" w:sz="4" w:space="0"/>
              <w:right w:val="single" w:color="000000" w:sz="4" w:space="0"/>
            </w:tcBorders>
            <w:vAlign w:val="center"/>
          </w:tcPr>
          <w:p w14:paraId="7B39CB01">
            <w:pPr>
              <w:keepNext w:val="0"/>
              <w:keepLines w:val="0"/>
              <w:pageBreakBefore w:val="0"/>
              <w:widowControl/>
              <w:kinsoku/>
              <w:wordWrap/>
              <w:overflowPunct w:val="0"/>
              <w:topLinePunct w:val="0"/>
              <w:autoSpaceDE w:val="0"/>
              <w:autoSpaceDN w:val="0"/>
              <w:bidi w:val="0"/>
              <w:adjustRightInd w:val="0"/>
              <w:snapToGrid w:val="0"/>
              <w:spacing w:line="280" w:lineRule="exact"/>
              <w:jc w:val="center"/>
              <w:textAlignment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备注</w:t>
            </w:r>
          </w:p>
        </w:tc>
      </w:tr>
      <w:tr w14:paraId="05058E49">
        <w:tblPrEx>
          <w:tblCellMar>
            <w:top w:w="0" w:type="dxa"/>
            <w:left w:w="108" w:type="dxa"/>
            <w:bottom w:w="0" w:type="dxa"/>
            <w:right w:w="108" w:type="dxa"/>
          </w:tblCellMar>
        </w:tblPrEx>
        <w:trPr>
          <w:trHeight w:val="1293" w:hRule="atLeast"/>
          <w:jc w:val="center"/>
        </w:trPr>
        <w:tc>
          <w:tcPr>
            <w:tcW w:w="453" w:type="dxa"/>
            <w:tcBorders>
              <w:top w:val="single" w:color="000000" w:sz="4" w:space="0"/>
              <w:left w:val="single" w:color="000000" w:sz="4" w:space="0"/>
              <w:bottom w:val="single" w:color="000000" w:sz="4" w:space="0"/>
              <w:right w:val="single" w:color="000000" w:sz="4" w:space="0"/>
            </w:tcBorders>
            <w:noWrap/>
            <w:vAlign w:val="center"/>
          </w:tcPr>
          <w:p w14:paraId="6AEC08AC">
            <w:pPr>
              <w:keepNext w:val="0"/>
              <w:keepLines w:val="0"/>
              <w:pageBreakBefore w:val="0"/>
              <w:kinsoku/>
              <w:wordWrap/>
              <w:overflowPunct w:val="0"/>
              <w:topLinePunct w:val="0"/>
              <w:bidi w:val="0"/>
              <w:spacing w:line="280" w:lineRule="exact"/>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w:t>
            </w:r>
          </w:p>
        </w:tc>
        <w:tc>
          <w:tcPr>
            <w:tcW w:w="1588" w:type="dxa"/>
            <w:tcBorders>
              <w:top w:val="single" w:color="000000" w:sz="4" w:space="0"/>
              <w:left w:val="single" w:color="000000" w:sz="4" w:space="0"/>
              <w:bottom w:val="single" w:color="000000" w:sz="4" w:space="0"/>
              <w:right w:val="single" w:color="000000" w:sz="4" w:space="0"/>
            </w:tcBorders>
            <w:vAlign w:val="center"/>
          </w:tcPr>
          <w:p w14:paraId="00638E7C">
            <w:pPr>
              <w:keepNext w:val="0"/>
              <w:keepLines w:val="0"/>
              <w:pageBreakBefore w:val="0"/>
              <w:kinsoku/>
              <w:wordWrap/>
              <w:overflowPunct w:val="0"/>
              <w:topLinePunct w:val="0"/>
              <w:bidi w:val="0"/>
              <w:spacing w:line="280" w:lineRule="exact"/>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昭化区林权权籍补充调查项目（技术服务）</w:t>
            </w:r>
          </w:p>
        </w:tc>
        <w:tc>
          <w:tcPr>
            <w:tcW w:w="724" w:type="dxa"/>
            <w:vMerge w:val="restart"/>
            <w:tcBorders>
              <w:top w:val="single" w:color="000000" w:sz="4" w:space="0"/>
              <w:left w:val="single" w:color="000000" w:sz="4" w:space="0"/>
              <w:bottom w:val="single" w:color="000000" w:sz="4" w:space="0"/>
              <w:right w:val="single" w:color="auto" w:sz="4" w:space="0"/>
            </w:tcBorders>
            <w:vAlign w:val="center"/>
          </w:tcPr>
          <w:p w14:paraId="40A8B137">
            <w:pPr>
              <w:keepNext w:val="0"/>
              <w:keepLines w:val="0"/>
              <w:pageBreakBefore w:val="0"/>
              <w:kinsoku/>
              <w:wordWrap/>
              <w:overflowPunct w:val="0"/>
              <w:topLinePunct w:val="0"/>
              <w:bidi w:val="0"/>
              <w:spacing w:line="280" w:lineRule="exact"/>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945</w:t>
            </w:r>
          </w:p>
        </w:tc>
        <w:tc>
          <w:tcPr>
            <w:tcW w:w="907" w:type="dxa"/>
            <w:vMerge w:val="restart"/>
            <w:tcBorders>
              <w:top w:val="single" w:color="000000" w:sz="4" w:space="0"/>
              <w:left w:val="single" w:color="auto" w:sz="4" w:space="0"/>
              <w:bottom w:val="single" w:color="000000" w:sz="4" w:space="0"/>
              <w:right w:val="single" w:color="000000" w:sz="4" w:space="0"/>
            </w:tcBorders>
            <w:vAlign w:val="center"/>
          </w:tcPr>
          <w:p w14:paraId="5DB66ACA">
            <w:pPr>
              <w:keepNext w:val="0"/>
              <w:keepLines w:val="0"/>
              <w:pageBreakBefore w:val="0"/>
              <w:kinsoku/>
              <w:wordWrap/>
              <w:overflowPunct w:val="0"/>
              <w:topLinePunct w:val="0"/>
              <w:bidi w:val="0"/>
              <w:spacing w:line="280" w:lineRule="exact"/>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100%</w:t>
            </w:r>
          </w:p>
        </w:tc>
        <w:tc>
          <w:tcPr>
            <w:tcW w:w="1248" w:type="dxa"/>
            <w:tcBorders>
              <w:top w:val="single" w:color="000000" w:sz="4" w:space="0"/>
              <w:left w:val="single" w:color="000000" w:sz="4" w:space="0"/>
              <w:bottom w:val="single" w:color="000000" w:sz="4" w:space="0"/>
              <w:right w:val="single" w:color="000000" w:sz="4" w:space="0"/>
            </w:tcBorders>
            <w:vAlign w:val="center"/>
          </w:tcPr>
          <w:p w14:paraId="2454F28E">
            <w:pPr>
              <w:keepNext w:val="0"/>
              <w:keepLines w:val="0"/>
              <w:pageBreakBefore w:val="0"/>
              <w:kinsoku/>
              <w:wordWrap/>
              <w:overflowPunct w:val="0"/>
              <w:topLinePunct w:val="0"/>
              <w:bidi w:val="0"/>
              <w:spacing w:line="280" w:lineRule="exact"/>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21元/宗（约735万元）</w:t>
            </w:r>
          </w:p>
        </w:tc>
        <w:tc>
          <w:tcPr>
            <w:tcW w:w="1139" w:type="dxa"/>
            <w:tcBorders>
              <w:top w:val="single" w:color="000000" w:sz="4" w:space="0"/>
              <w:left w:val="single" w:color="000000" w:sz="4" w:space="0"/>
              <w:bottom w:val="single" w:color="000000" w:sz="4" w:space="0"/>
              <w:right w:val="single" w:color="auto" w:sz="4" w:space="0"/>
            </w:tcBorders>
            <w:vAlign w:val="center"/>
          </w:tcPr>
          <w:p w14:paraId="0D9DAE48">
            <w:pPr>
              <w:keepNext w:val="0"/>
              <w:keepLines w:val="0"/>
              <w:pageBreakBefore w:val="0"/>
              <w:kinsoku/>
              <w:wordWrap/>
              <w:overflowPunct w:val="0"/>
              <w:topLinePunct w:val="0"/>
              <w:bidi w:val="0"/>
              <w:spacing w:line="280" w:lineRule="exact"/>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110.25</w:t>
            </w:r>
          </w:p>
        </w:tc>
        <w:tc>
          <w:tcPr>
            <w:tcW w:w="723" w:type="dxa"/>
            <w:tcBorders>
              <w:top w:val="single" w:color="000000" w:sz="4" w:space="0"/>
              <w:left w:val="single" w:color="auto" w:sz="4" w:space="0"/>
              <w:bottom w:val="single" w:color="000000" w:sz="4" w:space="0"/>
              <w:right w:val="single" w:color="auto" w:sz="4" w:space="0"/>
            </w:tcBorders>
            <w:vAlign w:val="center"/>
          </w:tcPr>
          <w:p w14:paraId="13516908">
            <w:pPr>
              <w:keepNext w:val="0"/>
              <w:keepLines w:val="0"/>
              <w:pageBreakBefore w:val="0"/>
              <w:kinsoku/>
              <w:wordWrap/>
              <w:overflowPunct w:val="0"/>
              <w:topLinePunct w:val="0"/>
              <w:bidi w:val="0"/>
              <w:spacing w:line="280" w:lineRule="exact"/>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15%</w:t>
            </w:r>
          </w:p>
        </w:tc>
        <w:tc>
          <w:tcPr>
            <w:tcW w:w="913" w:type="dxa"/>
            <w:tcBorders>
              <w:top w:val="single" w:color="000000" w:sz="4" w:space="0"/>
              <w:left w:val="single" w:color="auto" w:sz="4" w:space="0"/>
              <w:bottom w:val="single" w:color="000000" w:sz="4" w:space="0"/>
              <w:right w:val="single" w:color="000000" w:sz="4" w:space="0"/>
            </w:tcBorders>
            <w:vAlign w:val="center"/>
          </w:tcPr>
          <w:p w14:paraId="546A1580">
            <w:pPr>
              <w:keepNext w:val="0"/>
              <w:keepLines w:val="0"/>
              <w:pageBreakBefore w:val="0"/>
              <w:kinsoku/>
              <w:wordWrap/>
              <w:overflowPunct w:val="0"/>
              <w:topLinePunct w:val="0"/>
              <w:bidi w:val="0"/>
              <w:spacing w:line="280" w:lineRule="exact"/>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50</w:t>
            </w:r>
          </w:p>
        </w:tc>
        <w:tc>
          <w:tcPr>
            <w:tcW w:w="800" w:type="dxa"/>
            <w:tcBorders>
              <w:top w:val="single" w:color="000000" w:sz="4" w:space="0"/>
              <w:left w:val="single" w:color="000000" w:sz="4" w:space="0"/>
              <w:bottom w:val="single" w:color="000000" w:sz="4" w:space="0"/>
              <w:right w:val="single" w:color="000000" w:sz="4" w:space="0"/>
            </w:tcBorders>
            <w:vAlign w:val="center"/>
          </w:tcPr>
          <w:p w14:paraId="5FB78F9E">
            <w:pPr>
              <w:keepNext w:val="0"/>
              <w:keepLines w:val="0"/>
              <w:pageBreakBefore w:val="0"/>
              <w:kinsoku/>
              <w:wordWrap/>
              <w:overflowPunct w:val="0"/>
              <w:topLinePunct w:val="0"/>
              <w:bidi w:val="0"/>
              <w:spacing w:line="280" w:lineRule="exact"/>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6.8%</w:t>
            </w:r>
          </w:p>
        </w:tc>
        <w:tc>
          <w:tcPr>
            <w:tcW w:w="736" w:type="dxa"/>
            <w:vMerge w:val="restart"/>
            <w:tcBorders>
              <w:top w:val="single" w:color="000000" w:sz="4" w:space="0"/>
              <w:left w:val="single" w:color="000000" w:sz="4" w:space="0"/>
              <w:bottom w:val="single" w:color="000000" w:sz="4" w:space="0"/>
              <w:right w:val="single" w:color="000000" w:sz="4" w:space="0"/>
            </w:tcBorders>
            <w:vAlign w:val="center"/>
          </w:tcPr>
          <w:p w14:paraId="79D2B532">
            <w:pPr>
              <w:keepNext w:val="0"/>
              <w:keepLines w:val="0"/>
              <w:pageBreakBefore w:val="0"/>
              <w:kinsoku/>
              <w:wordWrap/>
              <w:overflowPunct w:val="0"/>
              <w:topLinePunct w:val="0"/>
              <w:bidi w:val="0"/>
              <w:spacing w:line="280" w:lineRule="exact"/>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因财政资金紧张</w:t>
            </w:r>
          </w:p>
        </w:tc>
      </w:tr>
      <w:tr w14:paraId="4007FEE3">
        <w:tblPrEx>
          <w:tblCellMar>
            <w:top w:w="0" w:type="dxa"/>
            <w:left w:w="108" w:type="dxa"/>
            <w:bottom w:w="0" w:type="dxa"/>
            <w:right w:w="108" w:type="dxa"/>
          </w:tblCellMar>
        </w:tblPrEx>
        <w:trPr>
          <w:trHeight w:val="1190" w:hRule="atLeast"/>
          <w:jc w:val="center"/>
        </w:trPr>
        <w:tc>
          <w:tcPr>
            <w:tcW w:w="453" w:type="dxa"/>
            <w:tcBorders>
              <w:top w:val="single" w:color="000000" w:sz="4" w:space="0"/>
              <w:left w:val="single" w:color="000000" w:sz="4" w:space="0"/>
              <w:bottom w:val="single" w:color="000000" w:sz="4" w:space="0"/>
              <w:right w:val="single" w:color="000000" w:sz="4" w:space="0"/>
            </w:tcBorders>
            <w:noWrap/>
            <w:vAlign w:val="center"/>
          </w:tcPr>
          <w:p w14:paraId="49313A38">
            <w:pPr>
              <w:overflowPunct w:val="0"/>
              <w:spacing w:line="240" w:lineRule="exact"/>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w:t>
            </w:r>
          </w:p>
        </w:tc>
        <w:tc>
          <w:tcPr>
            <w:tcW w:w="1588" w:type="dxa"/>
            <w:tcBorders>
              <w:top w:val="single" w:color="000000" w:sz="4" w:space="0"/>
              <w:left w:val="single" w:color="000000" w:sz="4" w:space="0"/>
              <w:bottom w:val="single" w:color="000000" w:sz="4" w:space="0"/>
              <w:right w:val="single" w:color="000000" w:sz="4" w:space="0"/>
            </w:tcBorders>
            <w:vAlign w:val="center"/>
          </w:tcPr>
          <w:p w14:paraId="57FCC63A">
            <w:pPr>
              <w:overflowPunct w:val="0"/>
              <w:spacing w:line="240" w:lineRule="exact"/>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昭化区林权权籍补充调查项目（监理服务）</w:t>
            </w:r>
          </w:p>
        </w:tc>
        <w:tc>
          <w:tcPr>
            <w:tcW w:w="724" w:type="dxa"/>
            <w:vMerge w:val="continue"/>
            <w:tcBorders>
              <w:top w:val="single" w:color="000000" w:sz="4" w:space="0"/>
              <w:left w:val="single" w:color="000000" w:sz="4" w:space="0"/>
              <w:bottom w:val="single" w:color="000000" w:sz="4" w:space="0"/>
              <w:right w:val="single" w:color="auto" w:sz="4" w:space="0"/>
            </w:tcBorders>
            <w:vAlign w:val="center"/>
          </w:tcPr>
          <w:p w14:paraId="14E2AE46">
            <w:pPr>
              <w:overflowPunct w:val="0"/>
              <w:spacing w:line="240" w:lineRule="exact"/>
              <w:jc w:val="center"/>
              <w:textAlignment w:val="center"/>
              <w:rPr>
                <w:rFonts w:hint="default" w:ascii="Times New Roman" w:hAnsi="Times New Roman" w:eastAsia="宋体" w:cs="Times New Roman"/>
                <w:sz w:val="24"/>
                <w:szCs w:val="24"/>
              </w:rPr>
            </w:pPr>
          </w:p>
        </w:tc>
        <w:tc>
          <w:tcPr>
            <w:tcW w:w="907" w:type="dxa"/>
            <w:vMerge w:val="continue"/>
            <w:tcBorders>
              <w:top w:val="single" w:color="000000" w:sz="4" w:space="0"/>
              <w:left w:val="single" w:color="auto" w:sz="4" w:space="0"/>
              <w:bottom w:val="single" w:color="000000" w:sz="4" w:space="0"/>
              <w:right w:val="single" w:color="000000" w:sz="4" w:space="0"/>
            </w:tcBorders>
            <w:vAlign w:val="center"/>
          </w:tcPr>
          <w:p w14:paraId="411215DF">
            <w:pPr>
              <w:overflowPunct w:val="0"/>
              <w:spacing w:line="240" w:lineRule="exact"/>
              <w:jc w:val="center"/>
              <w:textAlignment w:val="center"/>
              <w:rPr>
                <w:rFonts w:hint="default" w:ascii="Times New Roman" w:hAnsi="Times New Roman" w:eastAsia="宋体" w:cs="Times New Roman"/>
                <w:sz w:val="24"/>
                <w:szCs w:val="24"/>
              </w:rPr>
            </w:pPr>
          </w:p>
        </w:tc>
        <w:tc>
          <w:tcPr>
            <w:tcW w:w="1248" w:type="dxa"/>
            <w:tcBorders>
              <w:top w:val="single" w:color="000000" w:sz="4" w:space="0"/>
              <w:left w:val="single" w:color="000000" w:sz="4" w:space="0"/>
              <w:bottom w:val="single" w:color="000000" w:sz="4" w:space="0"/>
              <w:right w:val="single" w:color="000000" w:sz="4" w:space="0"/>
            </w:tcBorders>
            <w:vAlign w:val="center"/>
          </w:tcPr>
          <w:p w14:paraId="00D3E724">
            <w:pPr>
              <w:overflowPunct w:val="0"/>
              <w:spacing w:line="240" w:lineRule="exact"/>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21</w:t>
            </w:r>
          </w:p>
        </w:tc>
        <w:tc>
          <w:tcPr>
            <w:tcW w:w="1139" w:type="dxa"/>
            <w:tcBorders>
              <w:top w:val="single" w:color="000000" w:sz="4" w:space="0"/>
              <w:left w:val="single" w:color="000000" w:sz="4" w:space="0"/>
              <w:bottom w:val="single" w:color="000000" w:sz="4" w:space="0"/>
              <w:right w:val="single" w:color="auto" w:sz="4" w:space="0"/>
            </w:tcBorders>
            <w:vAlign w:val="center"/>
          </w:tcPr>
          <w:p w14:paraId="64516A5C">
            <w:pPr>
              <w:overflowPunct w:val="0"/>
              <w:spacing w:line="240" w:lineRule="exact"/>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4.2</w:t>
            </w:r>
          </w:p>
        </w:tc>
        <w:tc>
          <w:tcPr>
            <w:tcW w:w="723" w:type="dxa"/>
            <w:tcBorders>
              <w:top w:val="single" w:color="000000" w:sz="4" w:space="0"/>
              <w:left w:val="single" w:color="auto" w:sz="4" w:space="0"/>
              <w:bottom w:val="single" w:color="000000" w:sz="4" w:space="0"/>
              <w:right w:val="single" w:color="auto" w:sz="4" w:space="0"/>
            </w:tcBorders>
            <w:vAlign w:val="center"/>
          </w:tcPr>
          <w:p w14:paraId="09EAB681">
            <w:pPr>
              <w:overflowPunct w:val="0"/>
              <w:spacing w:line="240" w:lineRule="exact"/>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20%</w:t>
            </w:r>
          </w:p>
        </w:tc>
        <w:tc>
          <w:tcPr>
            <w:tcW w:w="913" w:type="dxa"/>
            <w:tcBorders>
              <w:top w:val="single" w:color="000000" w:sz="4" w:space="0"/>
              <w:left w:val="single" w:color="auto" w:sz="4" w:space="0"/>
              <w:bottom w:val="single" w:color="000000" w:sz="4" w:space="0"/>
              <w:right w:val="single" w:color="000000" w:sz="4" w:space="0"/>
            </w:tcBorders>
            <w:vAlign w:val="center"/>
          </w:tcPr>
          <w:p w14:paraId="7E6F5DBD">
            <w:pPr>
              <w:overflowPunct w:val="0"/>
              <w:spacing w:line="240" w:lineRule="exact"/>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4.2</w:t>
            </w:r>
          </w:p>
        </w:tc>
        <w:tc>
          <w:tcPr>
            <w:tcW w:w="800" w:type="dxa"/>
            <w:tcBorders>
              <w:top w:val="single" w:color="000000" w:sz="4" w:space="0"/>
              <w:left w:val="single" w:color="000000" w:sz="4" w:space="0"/>
              <w:bottom w:val="single" w:color="000000" w:sz="4" w:space="0"/>
              <w:right w:val="single" w:color="000000" w:sz="4" w:space="0"/>
            </w:tcBorders>
            <w:vAlign w:val="center"/>
          </w:tcPr>
          <w:p w14:paraId="71BFCF19">
            <w:pPr>
              <w:overflowPunct w:val="0"/>
              <w:spacing w:line="240" w:lineRule="exact"/>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20%</w:t>
            </w:r>
          </w:p>
        </w:tc>
        <w:tc>
          <w:tcPr>
            <w:tcW w:w="736" w:type="dxa"/>
            <w:vMerge w:val="continue"/>
            <w:tcBorders>
              <w:top w:val="single" w:color="000000" w:sz="4" w:space="0"/>
              <w:left w:val="single" w:color="000000" w:sz="4" w:space="0"/>
              <w:bottom w:val="single" w:color="000000" w:sz="4" w:space="0"/>
              <w:right w:val="single" w:color="000000" w:sz="4" w:space="0"/>
            </w:tcBorders>
            <w:vAlign w:val="center"/>
          </w:tcPr>
          <w:p w14:paraId="1ED0E883">
            <w:pPr>
              <w:overflowPunct w:val="0"/>
              <w:spacing w:line="240" w:lineRule="exact"/>
              <w:jc w:val="center"/>
              <w:textAlignment w:val="center"/>
              <w:rPr>
                <w:rFonts w:hint="default" w:ascii="Times New Roman" w:hAnsi="Times New Roman" w:eastAsia="宋体" w:cs="Times New Roman"/>
                <w:sz w:val="24"/>
                <w:szCs w:val="24"/>
              </w:rPr>
            </w:pPr>
          </w:p>
        </w:tc>
      </w:tr>
    </w:tbl>
    <w:p w14:paraId="5880AB3F">
      <w:pPr>
        <w:keepNext w:val="0"/>
        <w:keepLines w:val="0"/>
        <w:pageBreakBefore w:val="0"/>
        <w:widowControl w:val="0"/>
        <w:kinsoku/>
        <w:wordWrap/>
        <w:overflowPunct w:val="0"/>
        <w:topLinePunct w:val="0"/>
        <w:bidi w:val="0"/>
        <w:spacing w:line="576"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2</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资金使用。</w:t>
      </w:r>
      <w:r>
        <w:rPr>
          <w:rFonts w:hint="default" w:ascii="Times New Roman" w:hAnsi="Times New Roman" w:eastAsia="仿宋_GB2312" w:cs="Times New Roman"/>
          <w:sz w:val="32"/>
          <w:szCs w:val="32"/>
        </w:rPr>
        <w:t>该项目现已支出技术服务费50万，尚未列支的项目支出预算资金685万元。项目资金按合同约定申报，拨付申请资料完整，审批程序手续完善，符合项目预算批复及合同规定用途，评价申报目标合理可行，评价内容与实际相符，不存在截留、挤占、挪用、虚列支出等情况。该项目未按拨付申请支出，资金拨付进度缓慢。</w:t>
      </w:r>
    </w:p>
    <w:p w14:paraId="38BB550B">
      <w:pPr>
        <w:keepNext w:val="0"/>
        <w:keepLines w:val="0"/>
        <w:pageBreakBefore w:val="0"/>
        <w:widowControl w:val="0"/>
        <w:kinsoku/>
        <w:wordWrap/>
        <w:overflowPunct w:val="0"/>
        <w:topLinePunct w:val="0"/>
        <w:bidi w:val="0"/>
        <w:spacing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（二）项目财务管理情况。</w:t>
      </w:r>
      <w:r>
        <w:rPr>
          <w:rFonts w:hint="default" w:ascii="Times New Roman" w:hAnsi="Times New Roman" w:eastAsia="仿宋_GB2312" w:cs="Times New Roman"/>
          <w:sz w:val="32"/>
          <w:szCs w:val="32"/>
        </w:rPr>
        <w:t>我局严格按《预算法》相关规定及时分配专项预算资金，分配结果与规划计划一致，符合国家财经法规和财务管理制度及有关专项资金管理办法规定。我局财务管理制度健全，会计核算规范、财务处理及时，严格执行各项财务管理制度。</w:t>
      </w:r>
    </w:p>
    <w:p w14:paraId="64CA4948">
      <w:pPr>
        <w:keepNext w:val="0"/>
        <w:keepLines w:val="0"/>
        <w:pageBreakBefore w:val="0"/>
        <w:widowControl w:val="0"/>
        <w:kinsoku/>
        <w:wordWrap/>
        <w:overflowPunct w:val="0"/>
        <w:topLinePunct w:val="0"/>
        <w:bidi w:val="0"/>
        <w:spacing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（三）项目组织实施及管理情况。</w:t>
      </w:r>
      <w:r>
        <w:rPr>
          <w:rFonts w:hint="default" w:ascii="Times New Roman" w:hAnsi="Times New Roman" w:eastAsia="仿宋_GB2312" w:cs="Times New Roman"/>
          <w:sz w:val="32"/>
          <w:szCs w:val="32"/>
        </w:rPr>
        <w:t>该项目属于测绘技术服务项目，严格按照招投标管理办法，在区财政局的指导监督下，通过采购平台确定中标技术服务单位为四川中水成勘院测绘工程有限责任公司，中标金额21元/宗（约735万元），并在政府采购网、区政府门户网和市自然资源局网站公示；我局通过公开委托第三方采购单位，确定监理服务单位四川格锐乾图科技有限公司，中标金额21万元，并在招标网、区政府门户网和市自然资源局网站予以公示。</w:t>
      </w:r>
    </w:p>
    <w:p w14:paraId="0A73889B">
      <w:pPr>
        <w:keepNext w:val="0"/>
        <w:keepLines w:val="0"/>
        <w:pageBreakBefore w:val="0"/>
        <w:widowControl w:val="0"/>
        <w:kinsoku/>
        <w:wordWrap/>
        <w:overflowPunct w:val="0"/>
        <w:topLinePunct w:val="0"/>
        <w:bidi w:val="0"/>
        <w:spacing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该项目实施和管理严格按照《不动产权籍调查规程和昭化区权籍调查技术方案》开展调查，遵守相关法律法规，无项目变更，项目管理等资料齐全并及时归档，项目实施的人员均具备测绘等相关专业性条件，有固定项目部及办公场地和测绘等设备，信息技术支撑和信息安全落实到位。一是区政府通过出台《广元市昭化区林权权籍补充调查工作实施方案》《昭化区林权权籍调查技术方案》，成立了由分管副区长任组长的昭化区林权权籍补充调查工作领导小组，区自然资源分局、区林业局主要负责人任副组长，区财政局、区不动产登记中心、区档案馆、各镇主要负责人为成员，领导小组负责昭化区林权权籍补充调查工作的组织领导、统筹协调和指导、监督、检查、考核等工作，统筹推进辖区内林权权籍补充调查工作，明确了部门职责及措施。二是项目技术服务单位制定《广元市昭化区林权权籍补充调查项目技术方案》与监理技术服务方案开展全区林权权籍补充调查工作。三是健全项目管理制度。落实专人开展项目管理，实行周报告、分管领导半月调度，局长月、季调度项目推进情况，不定期解决实施过程中遇到的问题。四是全域开展宣传。利用村村通开展调查宣传，与区林业局不定期召开问题协商会议，建立政策指导协商机制，解决调查中遇到的问题。五是健全项目实施机构，落实项目管理运行机制。组织四川中水成勘院测绘工程有限责任公司成立项目部，落实项目运行管理组织机构，下设内业处理组、外业调查组、质检组、售后服务组等。在项目负责人的领导下，项目管理部对项目的生产、技术、质量进行管理、协调及监督。项目负责人统管项目全局，负责项目的人力资源调度，对全程进度进行控制，解决项目运行过程中出现的重大问题，确保项目的有序开展。技术开发组、内业处理组、质检组及外业测绘组及售后服务组直接接受项目指挥部领导，主要负责内业数据处理及外业补充测量、调查、数据建库及后期技术支持等工作，严格按照技术设计书及项目指挥部的要求组织该项目的生产作业，确保工作按进度正常进行。六是明确项目实施流程。项目部根据生产成果要求将生产流程总共分为十步。准备工作、林权登记存量档案电子化及标准化整理、工作底图制作、空间信息补充采集（外业勘查）、内业整理、登记档案整理、林权数据库建设和更新、图件编制及文字报告编写、档案建库与数据归档处理、数据成果检查与汇交。</w:t>
      </w:r>
    </w:p>
    <w:p w14:paraId="04AF3DCB">
      <w:pPr>
        <w:keepNext w:val="0"/>
        <w:keepLines w:val="0"/>
        <w:pageBreakBefore w:val="0"/>
        <w:widowControl w:val="0"/>
        <w:kinsoku/>
        <w:wordWrap/>
        <w:overflowPunct w:val="0"/>
        <w:topLinePunct w:val="0"/>
        <w:bidi w:val="0"/>
        <w:spacing w:line="576" w:lineRule="exact"/>
        <w:ind w:firstLine="640" w:firstLineChars="200"/>
        <w:outlineLvl w:val="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三、项目绩效情况</w:t>
      </w:r>
    </w:p>
    <w:p w14:paraId="1564E57A">
      <w:pPr>
        <w:keepNext w:val="0"/>
        <w:keepLines w:val="0"/>
        <w:pageBreakBefore w:val="0"/>
        <w:widowControl w:val="0"/>
        <w:kinsoku/>
        <w:wordWrap/>
        <w:overflowPunct w:val="0"/>
        <w:topLinePunct w:val="0"/>
        <w:bidi w:val="0"/>
        <w:spacing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项目完成情况。</w:t>
      </w:r>
      <w:r>
        <w:rPr>
          <w:rFonts w:hint="default" w:ascii="Times New Roman" w:hAnsi="Times New Roman" w:eastAsia="仿宋_GB2312" w:cs="Times New Roman"/>
          <w:sz w:val="32"/>
          <w:szCs w:val="32"/>
        </w:rPr>
        <w:t>截</w:t>
      </w:r>
      <w:r>
        <w:rPr>
          <w:rFonts w:hint="eastAsia" w:eastAsia="仿宋_GB2312" w:cs="Times New Roman"/>
          <w:sz w:val="32"/>
          <w:szCs w:val="32"/>
          <w:lang w:val="en-US" w:eastAsia="zh-CN"/>
        </w:rPr>
        <w:t>至</w:t>
      </w:r>
      <w:r>
        <w:rPr>
          <w:rFonts w:hint="default" w:ascii="Times New Roman" w:hAnsi="Times New Roman" w:eastAsia="仿宋_GB2312" w:cs="Times New Roman"/>
          <w:sz w:val="32"/>
          <w:szCs w:val="32"/>
        </w:rPr>
        <w:t>目前，项目总体推进情况良好。2022年8月底，项目部组织作业人员完成元坝镇中梁村试点村工作，并在我局的指导下完成成果资料的输出，签字和公示，666宗林地通过数据质检并汇交自然资源部。项目部投入管理人员和生产人员60共余人，监理单位5人。核实存量林权登记数据及标准化整理约26万宗，完成空间数据和属性数据补充采集24万宗，建立图形数据129027宗，属性数据101072宗，档案数据关联184014宗。外业补充调查工作开展了9个镇，包括王家镇、卫子镇、红岩镇、磨滩镇、虎跳镇、柏林沟镇、青牛镇、太公镇、清水镇，外业补充调查宗数共计19万余宗。剩余的射箭镇、昭化镇、元坝镇预计本月开展外业补充调查工作。受去年10—12月疫情影响，项目的推进也按照预期计划在进行，预计6月底完成数据库成果，并推进数据入库和汇交工作。该项目科学组织实施，技术方案及相关资料齐全，无审计监督、财政检查结果反映专项管理问题。</w:t>
      </w:r>
    </w:p>
    <w:p w14:paraId="1844FD68">
      <w:pPr>
        <w:keepNext w:val="0"/>
        <w:keepLines w:val="0"/>
        <w:pageBreakBefore w:val="0"/>
        <w:widowControl w:val="0"/>
        <w:kinsoku/>
        <w:wordWrap/>
        <w:overflowPunct w:val="0"/>
        <w:topLinePunct w:val="0"/>
        <w:bidi w:val="0"/>
        <w:spacing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项目效益情况。</w:t>
      </w:r>
      <w:r>
        <w:rPr>
          <w:rFonts w:hint="default" w:ascii="Times New Roman" w:hAnsi="Times New Roman" w:eastAsia="仿宋_GB2312" w:cs="Times New Roman"/>
          <w:sz w:val="32"/>
          <w:szCs w:val="32"/>
        </w:rPr>
        <w:t>一是经济方面，政府统一负责资金来完成林权补充调查工作，为老百姓减少了负担每宗地3000—5000元测绘经费，同时成果使得农民财产权益显化180—1800亿元；二是在社会效益方面，目前农村产权制度改革，林权权属补充调查迫在眉睫，该项目涉及24万群众，提升了农民的物权能力，保护了农民的财产。三是生态方面，昭化区林业用地面积达124万亩，人均拥有林地面积5.16亩，成果数据有利于林业主管部门对林地优质的管理、统筹规划，发挥林权开发、碳汇等最大经济效益。四是在可持续方面，农村林权历史登记工作基础十分薄弱，至2016年8月以来，昭化区因无林权空间矢量数据，造成林权数据整合、日常登记至今未能有效开展。该项目实施顺利推进林权不动产登记，成果可作为担保物权来进行产权流转，这为乡村振兴提供产权基础。五是在满意度方面，参与农户对项目的开展支持，满意度达100%。</w:t>
      </w:r>
    </w:p>
    <w:p w14:paraId="4DDB8A84">
      <w:pPr>
        <w:keepNext w:val="0"/>
        <w:keepLines w:val="0"/>
        <w:pageBreakBefore w:val="0"/>
        <w:widowControl w:val="0"/>
        <w:kinsoku/>
        <w:wordWrap/>
        <w:overflowPunct w:val="0"/>
        <w:topLinePunct w:val="0"/>
        <w:bidi w:val="0"/>
        <w:spacing w:line="576" w:lineRule="exact"/>
        <w:ind w:firstLine="640" w:firstLineChars="200"/>
        <w:outlineLvl w:val="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四、自评结论及建议</w:t>
      </w:r>
    </w:p>
    <w:p w14:paraId="5D66A191">
      <w:pPr>
        <w:keepNext w:val="0"/>
        <w:keepLines w:val="0"/>
        <w:pageBreakBefore w:val="0"/>
        <w:widowControl w:val="0"/>
        <w:kinsoku/>
        <w:wordWrap/>
        <w:overflowPunct w:val="0"/>
        <w:topLinePunct w:val="0"/>
        <w:autoSpaceDE w:val="0"/>
        <w:autoSpaceDN w:val="0"/>
        <w:bidi w:val="0"/>
        <w:adjustRightInd w:val="0"/>
        <w:snapToGrid w:val="0"/>
        <w:spacing w:line="576"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（一）评价结论。</w:t>
      </w:r>
      <w:r>
        <w:rPr>
          <w:rFonts w:hint="default" w:ascii="Times New Roman" w:hAnsi="Times New Roman" w:eastAsia="仿宋_GB2312" w:cs="Times New Roman"/>
          <w:sz w:val="32"/>
          <w:szCs w:val="32"/>
        </w:rPr>
        <w:t>不动产登记事关产权保护、市场主体、经济体制改革和营商环境优化等方方面面</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涉及千家万户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影响各行各业。党中央、国务院对不动产登记工作高度重视，土地、房屋、森林林木等自然资源确权登记，通过地方政府预算资金来解决确权登记工作经费，为保障农民财产权益，该项目进入全区6.1万户及124万亩林地上开展权籍调查工作，得到群众认可。该项目实施效果与绩效目标总体符合；项目资金分配结果公平合理，与支出绩效评价指标体系相符。</w:t>
      </w:r>
    </w:p>
    <w:p w14:paraId="5D0755C9">
      <w:pPr>
        <w:keepNext w:val="0"/>
        <w:keepLines w:val="0"/>
        <w:pageBreakBefore w:val="0"/>
        <w:widowControl w:val="0"/>
        <w:kinsoku/>
        <w:wordWrap/>
        <w:overflowPunct w:val="0"/>
        <w:topLinePunct w:val="0"/>
        <w:bidi w:val="0"/>
        <w:spacing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（二）存在的问题。</w:t>
      </w:r>
      <w:r>
        <w:rPr>
          <w:rFonts w:hint="default" w:ascii="Times New Roman" w:hAnsi="Times New Roman" w:eastAsia="仿宋_GB2312" w:cs="Times New Roman"/>
          <w:sz w:val="32"/>
          <w:szCs w:val="32"/>
        </w:rPr>
        <w:t>一是行政区划调整影响工作进度。我区完成行政区划调整后，因乡镇、村组合并，部分乡镇及村组干部对工作不熟悉，导致工作进展缓慢，权籍调查开展困难，资料收取难度大，致使无法按照既定时间完成资料收集工作。二是户籍资料收集难度大，权利人长期不在本集体经济组织生产生活，林农参与度需提升。三是历史遗留问题较多。历史林权登记界限模糊，属性数据不全，四至边界不清、登记错误率高，漏登现象严重，林农重视度待提升。</w:t>
      </w:r>
    </w:p>
    <w:p w14:paraId="67EDE96F">
      <w:pPr>
        <w:keepNext w:val="0"/>
        <w:keepLines w:val="0"/>
        <w:pageBreakBefore w:val="0"/>
        <w:widowControl w:val="0"/>
        <w:kinsoku/>
        <w:wordWrap/>
        <w:overflowPunct w:val="0"/>
        <w:topLinePunct w:val="0"/>
        <w:bidi w:val="0"/>
        <w:spacing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（三）相关建议。</w:t>
      </w:r>
      <w:r>
        <w:rPr>
          <w:rFonts w:hint="default" w:ascii="Times New Roman" w:hAnsi="Times New Roman" w:eastAsia="仿宋_GB2312" w:cs="Times New Roman"/>
          <w:sz w:val="32"/>
          <w:szCs w:val="32"/>
        </w:rPr>
        <w:t>一是加强工作宣传，提升林业部门、镇、村社及林农自愿参与度、知晓度。二是加强与林业、农业等部门协调，提升统筹协调能力。三是加强林权业务学习，提升解决林权调查问题。</w:t>
      </w:r>
    </w:p>
    <w:p w14:paraId="60E78BB8">
      <w:pPr>
        <w:overflowPunct w:val="0"/>
        <w:spacing w:line="576" w:lineRule="exact"/>
        <w:ind w:firstLine="640" w:firstLineChars="200"/>
        <w:rPr>
          <w:rFonts w:hint="default" w:ascii="Times New Roman" w:hAnsi="Times New Roman" w:eastAsia="仿宋_GB2312" w:cs="Times New Roman"/>
          <w:sz w:val="32"/>
          <w:szCs w:val="32"/>
        </w:rPr>
      </w:pPr>
    </w:p>
    <w:p w14:paraId="6F5199B9">
      <w:pP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br w:type="page"/>
      </w:r>
    </w:p>
    <w:p w14:paraId="150F8956">
      <w:pPr>
        <w:overflowPunct w:val="0"/>
        <w:spacing w:line="60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广元市昭化区财政项目支出绩效自评表</w:t>
      </w:r>
    </w:p>
    <w:p w14:paraId="6A3A93C4">
      <w:pPr>
        <w:overflowPunct w:val="0"/>
        <w:spacing w:before="86" w:line="219" w:lineRule="auto"/>
        <w:ind w:left="3894"/>
        <w:rPr>
          <w:rFonts w:hint="default" w:ascii="Times New Roman" w:hAnsi="Times New Roman" w:eastAsia="楷体_GB2312" w:cs="Times New Roman"/>
          <w:b/>
          <w:bCs/>
          <w:sz w:val="28"/>
          <w:szCs w:val="28"/>
        </w:rPr>
      </w:pPr>
      <w:r>
        <w:rPr>
          <w:rFonts w:hint="default" w:ascii="Times New Roman" w:hAnsi="Times New Roman" w:eastAsia="楷体_GB2312" w:cs="Times New Roman"/>
          <w:b/>
          <w:bCs/>
          <w:sz w:val="28"/>
          <w:szCs w:val="28"/>
        </w:rPr>
        <w:t>（2022年度）</w:t>
      </w:r>
    </w:p>
    <w:p w14:paraId="437F2470">
      <w:pPr>
        <w:overflowPunct w:val="0"/>
        <w:spacing w:line="134" w:lineRule="exact"/>
        <w:rPr>
          <w:rFonts w:hint="default" w:ascii="Times New Roman" w:hAnsi="Times New Roman" w:cs="Times New Roman"/>
        </w:rPr>
      </w:pPr>
    </w:p>
    <w:tbl>
      <w:tblPr>
        <w:tblStyle w:val="17"/>
        <w:tblW w:w="976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2"/>
        <w:gridCol w:w="1075"/>
        <w:gridCol w:w="434"/>
        <w:gridCol w:w="1118"/>
        <w:gridCol w:w="671"/>
        <w:gridCol w:w="1285"/>
        <w:gridCol w:w="234"/>
        <w:gridCol w:w="1311"/>
        <w:gridCol w:w="1240"/>
        <w:gridCol w:w="309"/>
        <w:gridCol w:w="1482"/>
      </w:tblGrid>
      <w:tr w14:paraId="73F4B2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111" w:type="dxa"/>
            <w:gridSpan w:val="3"/>
            <w:vAlign w:val="center"/>
          </w:tcPr>
          <w:p w14:paraId="1293003B">
            <w:pPr>
              <w:widowControl/>
              <w:overflowPunct w:val="0"/>
              <w:autoSpaceDE w:val="0"/>
              <w:autoSpaceDN w:val="0"/>
              <w:adjustRightInd w:val="0"/>
              <w:snapToGrid w:val="0"/>
              <w:spacing w:line="240" w:lineRule="exact"/>
              <w:jc w:val="center"/>
              <w:rPr>
                <w:rFonts w:hint="default" w:ascii="Times New Roman" w:hAnsi="Times New Roman" w:eastAsia="黑体" w:cs="Times New Roman"/>
                <w:szCs w:val="21"/>
              </w:rPr>
            </w:pPr>
            <w:r>
              <w:rPr>
                <w:rFonts w:hint="default" w:ascii="Times New Roman" w:hAnsi="Times New Roman" w:eastAsia="黑体" w:cs="Times New Roman"/>
                <w:szCs w:val="21"/>
              </w:rPr>
              <w:t>项目（政策）名称</w:t>
            </w:r>
          </w:p>
        </w:tc>
        <w:tc>
          <w:tcPr>
            <w:tcW w:w="7650" w:type="dxa"/>
            <w:gridSpan w:val="8"/>
            <w:vAlign w:val="center"/>
          </w:tcPr>
          <w:p w14:paraId="02ABDAA8">
            <w:pPr>
              <w:widowControl/>
              <w:overflowPunct w:val="0"/>
              <w:autoSpaceDE w:val="0"/>
              <w:autoSpaceDN w:val="0"/>
              <w:adjustRightInd w:val="0"/>
              <w:snapToGrid w:val="0"/>
              <w:spacing w:line="240" w:lineRule="exact"/>
              <w:jc w:val="center"/>
              <w:rPr>
                <w:rFonts w:hint="default" w:ascii="Times New Roman" w:hAnsi="Times New Roman" w:cs="Times New Roman"/>
                <w:szCs w:val="21"/>
              </w:rPr>
            </w:pPr>
            <w:r>
              <w:rPr>
                <w:rFonts w:hint="default" w:ascii="Times New Roman" w:hAnsi="Times New Roman" w:cs="Times New Roman"/>
                <w:szCs w:val="21"/>
              </w:rPr>
              <w:t>广元市昭化区林权权籍补充调查服务项目</w:t>
            </w:r>
          </w:p>
        </w:tc>
      </w:tr>
      <w:tr w14:paraId="3F090E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111" w:type="dxa"/>
            <w:gridSpan w:val="3"/>
            <w:vAlign w:val="center"/>
          </w:tcPr>
          <w:p w14:paraId="6420C070">
            <w:pPr>
              <w:widowControl/>
              <w:overflowPunct w:val="0"/>
              <w:autoSpaceDE w:val="0"/>
              <w:autoSpaceDN w:val="0"/>
              <w:adjustRightInd w:val="0"/>
              <w:snapToGrid w:val="0"/>
              <w:spacing w:line="240" w:lineRule="exact"/>
              <w:jc w:val="center"/>
              <w:rPr>
                <w:rFonts w:hint="default" w:ascii="Times New Roman" w:hAnsi="Times New Roman" w:eastAsia="黑体" w:cs="Times New Roman"/>
                <w:szCs w:val="21"/>
              </w:rPr>
            </w:pPr>
            <w:r>
              <w:rPr>
                <w:rFonts w:hint="default" w:ascii="Times New Roman" w:hAnsi="Times New Roman" w:eastAsia="黑体" w:cs="Times New Roman"/>
                <w:szCs w:val="21"/>
              </w:rPr>
              <w:t>主管部门</w:t>
            </w:r>
          </w:p>
        </w:tc>
        <w:tc>
          <w:tcPr>
            <w:tcW w:w="3308" w:type="dxa"/>
            <w:gridSpan w:val="4"/>
            <w:vAlign w:val="center"/>
          </w:tcPr>
          <w:p w14:paraId="68AB0B43">
            <w:pPr>
              <w:widowControl/>
              <w:overflowPunct w:val="0"/>
              <w:autoSpaceDE w:val="0"/>
              <w:autoSpaceDN w:val="0"/>
              <w:adjustRightInd w:val="0"/>
              <w:snapToGrid w:val="0"/>
              <w:spacing w:line="240" w:lineRule="exact"/>
              <w:jc w:val="center"/>
              <w:rPr>
                <w:rFonts w:hint="default" w:ascii="Times New Roman" w:hAnsi="Times New Roman" w:cs="Times New Roman"/>
                <w:szCs w:val="21"/>
              </w:rPr>
            </w:pPr>
            <w:r>
              <w:rPr>
                <w:rFonts w:hint="default" w:ascii="Times New Roman" w:hAnsi="Times New Roman" w:cs="Times New Roman"/>
                <w:szCs w:val="21"/>
              </w:rPr>
              <w:t>广元市自然资源局昭化区分局</w:t>
            </w:r>
          </w:p>
        </w:tc>
        <w:tc>
          <w:tcPr>
            <w:tcW w:w="1311" w:type="dxa"/>
            <w:vAlign w:val="center"/>
          </w:tcPr>
          <w:p w14:paraId="174BFA51">
            <w:pPr>
              <w:widowControl/>
              <w:overflowPunct w:val="0"/>
              <w:autoSpaceDE w:val="0"/>
              <w:autoSpaceDN w:val="0"/>
              <w:adjustRightInd w:val="0"/>
              <w:snapToGrid w:val="0"/>
              <w:spacing w:line="240" w:lineRule="exact"/>
              <w:jc w:val="center"/>
              <w:rPr>
                <w:rFonts w:hint="default" w:ascii="Times New Roman" w:hAnsi="Times New Roman" w:cs="Times New Roman"/>
                <w:szCs w:val="21"/>
              </w:rPr>
            </w:pPr>
            <w:r>
              <w:rPr>
                <w:rFonts w:hint="default" w:ascii="Times New Roman" w:hAnsi="Times New Roman" w:eastAsia="黑体" w:cs="Times New Roman"/>
                <w:szCs w:val="21"/>
              </w:rPr>
              <w:t>实施单位</w:t>
            </w:r>
          </w:p>
        </w:tc>
        <w:tc>
          <w:tcPr>
            <w:tcW w:w="3031" w:type="dxa"/>
            <w:gridSpan w:val="3"/>
            <w:vAlign w:val="center"/>
          </w:tcPr>
          <w:p w14:paraId="0ADF1BC8">
            <w:pPr>
              <w:widowControl/>
              <w:overflowPunct w:val="0"/>
              <w:autoSpaceDE w:val="0"/>
              <w:autoSpaceDN w:val="0"/>
              <w:adjustRightInd w:val="0"/>
              <w:snapToGrid w:val="0"/>
              <w:spacing w:line="240" w:lineRule="exact"/>
              <w:jc w:val="center"/>
              <w:rPr>
                <w:rFonts w:hint="default" w:ascii="Times New Roman" w:hAnsi="Times New Roman" w:cs="Times New Roman"/>
                <w:szCs w:val="21"/>
              </w:rPr>
            </w:pPr>
            <w:r>
              <w:rPr>
                <w:rFonts w:hint="default" w:ascii="Times New Roman" w:hAnsi="Times New Roman" w:cs="Times New Roman"/>
                <w:szCs w:val="21"/>
              </w:rPr>
              <w:t>四川中水成勘院测绘工程</w:t>
            </w:r>
          </w:p>
          <w:p w14:paraId="0EB2C094">
            <w:pPr>
              <w:widowControl/>
              <w:overflowPunct w:val="0"/>
              <w:autoSpaceDE w:val="0"/>
              <w:autoSpaceDN w:val="0"/>
              <w:adjustRightInd w:val="0"/>
              <w:snapToGrid w:val="0"/>
              <w:spacing w:line="240" w:lineRule="exact"/>
              <w:jc w:val="center"/>
              <w:rPr>
                <w:rFonts w:hint="default" w:ascii="Times New Roman" w:hAnsi="Times New Roman" w:cs="Times New Roman"/>
                <w:szCs w:val="21"/>
              </w:rPr>
            </w:pPr>
            <w:r>
              <w:rPr>
                <w:rFonts w:hint="default" w:ascii="Times New Roman" w:hAnsi="Times New Roman" w:cs="Times New Roman"/>
                <w:szCs w:val="21"/>
              </w:rPr>
              <w:t>有限责任公司</w:t>
            </w:r>
          </w:p>
        </w:tc>
      </w:tr>
      <w:tr w14:paraId="0939FC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677" w:type="dxa"/>
            <w:gridSpan w:val="2"/>
            <w:vMerge w:val="restart"/>
            <w:vAlign w:val="center"/>
          </w:tcPr>
          <w:p w14:paraId="7F8C8868">
            <w:pPr>
              <w:widowControl/>
              <w:overflowPunct w:val="0"/>
              <w:autoSpaceDE w:val="0"/>
              <w:autoSpaceDN w:val="0"/>
              <w:adjustRightInd w:val="0"/>
              <w:snapToGrid w:val="0"/>
              <w:spacing w:line="240" w:lineRule="exact"/>
              <w:jc w:val="center"/>
              <w:rPr>
                <w:rFonts w:hint="default" w:ascii="Times New Roman" w:hAnsi="Times New Roman" w:eastAsia="黑体" w:cs="Times New Roman"/>
                <w:szCs w:val="21"/>
              </w:rPr>
            </w:pPr>
            <w:r>
              <w:rPr>
                <w:rFonts w:hint="default" w:ascii="Times New Roman" w:hAnsi="Times New Roman" w:eastAsia="黑体" w:cs="Times New Roman"/>
                <w:szCs w:val="21"/>
              </w:rPr>
              <w:t>项目（政策）</w:t>
            </w:r>
          </w:p>
          <w:p w14:paraId="6BAB467F">
            <w:pPr>
              <w:widowControl/>
              <w:overflowPunct w:val="0"/>
              <w:autoSpaceDE w:val="0"/>
              <w:autoSpaceDN w:val="0"/>
              <w:adjustRightInd w:val="0"/>
              <w:snapToGrid w:val="0"/>
              <w:spacing w:line="240" w:lineRule="exact"/>
              <w:jc w:val="center"/>
              <w:rPr>
                <w:rFonts w:hint="default" w:ascii="Times New Roman" w:hAnsi="Times New Roman" w:eastAsia="黑体" w:cs="Times New Roman"/>
                <w:szCs w:val="21"/>
              </w:rPr>
            </w:pPr>
            <w:r>
              <w:rPr>
                <w:rFonts w:hint="default" w:ascii="Times New Roman" w:hAnsi="Times New Roman" w:eastAsia="黑体" w:cs="Times New Roman"/>
                <w:szCs w:val="21"/>
              </w:rPr>
              <w:t>资金（万元）</w:t>
            </w:r>
          </w:p>
        </w:tc>
        <w:tc>
          <w:tcPr>
            <w:tcW w:w="2223" w:type="dxa"/>
            <w:gridSpan w:val="3"/>
            <w:vAlign w:val="center"/>
          </w:tcPr>
          <w:p w14:paraId="1611FA7B">
            <w:pPr>
              <w:widowControl/>
              <w:overflowPunct w:val="0"/>
              <w:autoSpaceDE w:val="0"/>
              <w:autoSpaceDN w:val="0"/>
              <w:adjustRightInd w:val="0"/>
              <w:snapToGrid w:val="0"/>
              <w:spacing w:line="240" w:lineRule="exact"/>
              <w:jc w:val="center"/>
              <w:rPr>
                <w:rFonts w:hint="default" w:ascii="Times New Roman" w:hAnsi="Times New Roman" w:eastAsia="黑体" w:cs="Times New Roman"/>
                <w:szCs w:val="21"/>
              </w:rPr>
            </w:pPr>
          </w:p>
        </w:tc>
        <w:tc>
          <w:tcPr>
            <w:tcW w:w="1519" w:type="dxa"/>
            <w:gridSpan w:val="2"/>
            <w:vAlign w:val="center"/>
          </w:tcPr>
          <w:p w14:paraId="448E7ECA">
            <w:pPr>
              <w:widowControl/>
              <w:overflowPunct w:val="0"/>
              <w:autoSpaceDE w:val="0"/>
              <w:autoSpaceDN w:val="0"/>
              <w:adjustRightInd w:val="0"/>
              <w:snapToGrid w:val="0"/>
              <w:spacing w:line="240" w:lineRule="exact"/>
              <w:jc w:val="center"/>
              <w:rPr>
                <w:rFonts w:hint="default" w:ascii="Times New Roman" w:hAnsi="Times New Roman" w:eastAsia="黑体" w:cs="Times New Roman"/>
                <w:szCs w:val="21"/>
              </w:rPr>
            </w:pPr>
            <w:r>
              <w:rPr>
                <w:rFonts w:hint="default" w:ascii="Times New Roman" w:hAnsi="Times New Roman" w:eastAsia="黑体" w:cs="Times New Roman"/>
                <w:szCs w:val="21"/>
              </w:rPr>
              <w:t>年初预算数</w:t>
            </w:r>
          </w:p>
        </w:tc>
        <w:tc>
          <w:tcPr>
            <w:tcW w:w="1311" w:type="dxa"/>
            <w:vAlign w:val="center"/>
          </w:tcPr>
          <w:p w14:paraId="6A31996E">
            <w:pPr>
              <w:widowControl/>
              <w:overflowPunct w:val="0"/>
              <w:autoSpaceDE w:val="0"/>
              <w:autoSpaceDN w:val="0"/>
              <w:adjustRightInd w:val="0"/>
              <w:snapToGrid w:val="0"/>
              <w:spacing w:line="240" w:lineRule="exact"/>
              <w:jc w:val="center"/>
              <w:rPr>
                <w:rFonts w:hint="default" w:ascii="Times New Roman" w:hAnsi="Times New Roman" w:eastAsia="黑体" w:cs="Times New Roman"/>
                <w:szCs w:val="21"/>
              </w:rPr>
            </w:pPr>
            <w:r>
              <w:rPr>
                <w:rFonts w:hint="default" w:ascii="Times New Roman" w:hAnsi="Times New Roman" w:eastAsia="黑体" w:cs="Times New Roman"/>
                <w:szCs w:val="21"/>
              </w:rPr>
              <w:t>全年预算数</w:t>
            </w:r>
          </w:p>
        </w:tc>
        <w:tc>
          <w:tcPr>
            <w:tcW w:w="1549" w:type="dxa"/>
            <w:gridSpan w:val="2"/>
            <w:vAlign w:val="center"/>
          </w:tcPr>
          <w:p w14:paraId="4EF6DBFC">
            <w:pPr>
              <w:widowControl/>
              <w:overflowPunct w:val="0"/>
              <w:autoSpaceDE w:val="0"/>
              <w:autoSpaceDN w:val="0"/>
              <w:adjustRightInd w:val="0"/>
              <w:snapToGrid w:val="0"/>
              <w:spacing w:line="240" w:lineRule="exact"/>
              <w:jc w:val="center"/>
              <w:rPr>
                <w:rFonts w:hint="default" w:ascii="Times New Roman" w:hAnsi="Times New Roman" w:eastAsia="黑体" w:cs="Times New Roman"/>
                <w:szCs w:val="21"/>
              </w:rPr>
            </w:pPr>
            <w:r>
              <w:rPr>
                <w:rFonts w:hint="default" w:ascii="Times New Roman" w:hAnsi="Times New Roman" w:eastAsia="黑体" w:cs="Times New Roman"/>
                <w:szCs w:val="21"/>
              </w:rPr>
              <w:t>全年执行数</w:t>
            </w:r>
          </w:p>
        </w:tc>
        <w:tc>
          <w:tcPr>
            <w:tcW w:w="1482" w:type="dxa"/>
            <w:vAlign w:val="center"/>
          </w:tcPr>
          <w:p w14:paraId="66695260">
            <w:pPr>
              <w:widowControl/>
              <w:overflowPunct w:val="0"/>
              <w:autoSpaceDE w:val="0"/>
              <w:autoSpaceDN w:val="0"/>
              <w:adjustRightInd w:val="0"/>
              <w:snapToGrid w:val="0"/>
              <w:spacing w:line="240" w:lineRule="exact"/>
              <w:jc w:val="center"/>
              <w:rPr>
                <w:rFonts w:hint="default" w:ascii="Times New Roman" w:hAnsi="Times New Roman" w:eastAsia="黑体" w:cs="Times New Roman"/>
                <w:szCs w:val="21"/>
              </w:rPr>
            </w:pPr>
            <w:r>
              <w:rPr>
                <w:rFonts w:hint="default" w:ascii="Times New Roman" w:hAnsi="Times New Roman" w:eastAsia="黑体" w:cs="Times New Roman"/>
                <w:szCs w:val="21"/>
              </w:rPr>
              <w:t>执行率</w:t>
            </w:r>
          </w:p>
        </w:tc>
      </w:tr>
      <w:tr w14:paraId="4BE4B1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677" w:type="dxa"/>
            <w:gridSpan w:val="2"/>
            <w:vMerge w:val="continue"/>
            <w:vAlign w:val="center"/>
          </w:tcPr>
          <w:p w14:paraId="72284CAD">
            <w:pPr>
              <w:widowControl/>
              <w:overflowPunct w:val="0"/>
              <w:autoSpaceDE w:val="0"/>
              <w:autoSpaceDN w:val="0"/>
              <w:adjustRightInd w:val="0"/>
              <w:snapToGrid w:val="0"/>
              <w:spacing w:line="240" w:lineRule="exact"/>
              <w:jc w:val="center"/>
              <w:rPr>
                <w:rFonts w:hint="default" w:ascii="Times New Roman" w:hAnsi="Times New Roman" w:eastAsia="黑体" w:cs="Times New Roman"/>
                <w:szCs w:val="21"/>
              </w:rPr>
            </w:pPr>
          </w:p>
        </w:tc>
        <w:tc>
          <w:tcPr>
            <w:tcW w:w="2223" w:type="dxa"/>
            <w:gridSpan w:val="3"/>
            <w:vAlign w:val="center"/>
          </w:tcPr>
          <w:p w14:paraId="28859E31">
            <w:pPr>
              <w:widowControl/>
              <w:overflowPunct w:val="0"/>
              <w:autoSpaceDE w:val="0"/>
              <w:autoSpaceDN w:val="0"/>
              <w:adjustRightInd w:val="0"/>
              <w:snapToGrid w:val="0"/>
              <w:spacing w:line="240" w:lineRule="exact"/>
              <w:jc w:val="center"/>
              <w:rPr>
                <w:rFonts w:hint="default" w:ascii="Times New Roman" w:hAnsi="Times New Roman" w:eastAsia="黑体" w:cs="Times New Roman"/>
                <w:szCs w:val="21"/>
              </w:rPr>
            </w:pPr>
            <w:r>
              <w:rPr>
                <w:rFonts w:hint="default" w:ascii="Times New Roman" w:hAnsi="Times New Roman" w:eastAsia="黑体" w:cs="Times New Roman"/>
                <w:szCs w:val="21"/>
              </w:rPr>
              <w:t>年度资金总额</w:t>
            </w:r>
          </w:p>
        </w:tc>
        <w:tc>
          <w:tcPr>
            <w:tcW w:w="1519" w:type="dxa"/>
            <w:gridSpan w:val="2"/>
            <w:vAlign w:val="center"/>
          </w:tcPr>
          <w:p w14:paraId="3CD3BC49">
            <w:pPr>
              <w:widowControl/>
              <w:overflowPunct w:val="0"/>
              <w:autoSpaceDE w:val="0"/>
              <w:autoSpaceDN w:val="0"/>
              <w:adjustRightInd w:val="0"/>
              <w:snapToGrid w:val="0"/>
              <w:spacing w:line="240" w:lineRule="exact"/>
              <w:jc w:val="center"/>
              <w:rPr>
                <w:rFonts w:hint="default" w:ascii="Times New Roman" w:hAnsi="Times New Roman" w:cs="Times New Roman"/>
                <w:szCs w:val="21"/>
              </w:rPr>
            </w:pPr>
          </w:p>
        </w:tc>
        <w:tc>
          <w:tcPr>
            <w:tcW w:w="1311" w:type="dxa"/>
            <w:vAlign w:val="center"/>
          </w:tcPr>
          <w:p w14:paraId="16EDF403">
            <w:pPr>
              <w:widowControl/>
              <w:overflowPunct w:val="0"/>
              <w:autoSpaceDE w:val="0"/>
              <w:autoSpaceDN w:val="0"/>
              <w:adjustRightInd w:val="0"/>
              <w:snapToGrid w:val="0"/>
              <w:spacing w:line="240" w:lineRule="exact"/>
              <w:jc w:val="center"/>
              <w:rPr>
                <w:rFonts w:hint="default" w:ascii="Times New Roman" w:hAnsi="Times New Roman" w:cs="Times New Roman"/>
                <w:szCs w:val="21"/>
              </w:rPr>
            </w:pPr>
            <w:r>
              <w:rPr>
                <w:rFonts w:hint="default" w:ascii="Times New Roman" w:hAnsi="Times New Roman" w:cs="Times New Roman"/>
                <w:szCs w:val="21"/>
              </w:rPr>
              <w:t>945</w:t>
            </w:r>
          </w:p>
        </w:tc>
        <w:tc>
          <w:tcPr>
            <w:tcW w:w="1549" w:type="dxa"/>
            <w:gridSpan w:val="2"/>
            <w:vAlign w:val="center"/>
          </w:tcPr>
          <w:p w14:paraId="7F5CD57D">
            <w:pPr>
              <w:widowControl/>
              <w:overflowPunct w:val="0"/>
              <w:autoSpaceDE w:val="0"/>
              <w:autoSpaceDN w:val="0"/>
              <w:adjustRightInd w:val="0"/>
              <w:snapToGrid w:val="0"/>
              <w:spacing w:line="240" w:lineRule="exact"/>
              <w:jc w:val="center"/>
              <w:rPr>
                <w:rFonts w:hint="default" w:ascii="Times New Roman" w:hAnsi="Times New Roman" w:cs="Times New Roman"/>
                <w:szCs w:val="21"/>
              </w:rPr>
            </w:pPr>
            <w:r>
              <w:rPr>
                <w:rFonts w:hint="default" w:ascii="Times New Roman" w:hAnsi="Times New Roman" w:cs="Times New Roman"/>
                <w:szCs w:val="21"/>
              </w:rPr>
              <w:t>54.2</w:t>
            </w:r>
          </w:p>
        </w:tc>
        <w:tc>
          <w:tcPr>
            <w:tcW w:w="1482" w:type="dxa"/>
            <w:vAlign w:val="center"/>
          </w:tcPr>
          <w:p w14:paraId="3F74FA96">
            <w:pPr>
              <w:widowControl/>
              <w:overflowPunct w:val="0"/>
              <w:autoSpaceDE w:val="0"/>
              <w:autoSpaceDN w:val="0"/>
              <w:adjustRightInd w:val="0"/>
              <w:snapToGrid w:val="0"/>
              <w:spacing w:line="240" w:lineRule="exact"/>
              <w:jc w:val="center"/>
              <w:rPr>
                <w:rFonts w:hint="default" w:ascii="Times New Roman" w:hAnsi="Times New Roman" w:cs="Times New Roman"/>
                <w:szCs w:val="21"/>
              </w:rPr>
            </w:pPr>
            <w:r>
              <w:rPr>
                <w:rFonts w:hint="default" w:ascii="Times New Roman" w:hAnsi="Times New Roman" w:cs="Times New Roman"/>
                <w:szCs w:val="21"/>
              </w:rPr>
              <w:t>5.7%</w:t>
            </w:r>
          </w:p>
        </w:tc>
      </w:tr>
      <w:tr w14:paraId="75370B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677" w:type="dxa"/>
            <w:gridSpan w:val="2"/>
            <w:vMerge w:val="continue"/>
            <w:vAlign w:val="center"/>
          </w:tcPr>
          <w:p w14:paraId="6100404F">
            <w:pPr>
              <w:widowControl/>
              <w:overflowPunct w:val="0"/>
              <w:autoSpaceDE w:val="0"/>
              <w:autoSpaceDN w:val="0"/>
              <w:adjustRightInd w:val="0"/>
              <w:snapToGrid w:val="0"/>
              <w:spacing w:line="240" w:lineRule="exact"/>
              <w:jc w:val="center"/>
              <w:rPr>
                <w:rFonts w:hint="default" w:ascii="Times New Roman" w:hAnsi="Times New Roman" w:eastAsia="黑体" w:cs="Times New Roman"/>
                <w:szCs w:val="21"/>
              </w:rPr>
            </w:pPr>
          </w:p>
        </w:tc>
        <w:tc>
          <w:tcPr>
            <w:tcW w:w="2223" w:type="dxa"/>
            <w:gridSpan w:val="3"/>
            <w:vAlign w:val="center"/>
          </w:tcPr>
          <w:p w14:paraId="47EFF4AD">
            <w:pPr>
              <w:widowControl/>
              <w:overflowPunct w:val="0"/>
              <w:autoSpaceDE w:val="0"/>
              <w:autoSpaceDN w:val="0"/>
              <w:adjustRightInd w:val="0"/>
              <w:snapToGrid w:val="0"/>
              <w:spacing w:line="240" w:lineRule="exact"/>
              <w:jc w:val="center"/>
              <w:rPr>
                <w:rFonts w:hint="default" w:ascii="Times New Roman" w:hAnsi="Times New Roman" w:eastAsia="黑体" w:cs="Times New Roman"/>
                <w:szCs w:val="21"/>
              </w:rPr>
            </w:pPr>
            <w:r>
              <w:rPr>
                <w:rFonts w:hint="default" w:ascii="Times New Roman" w:hAnsi="Times New Roman" w:eastAsia="黑体" w:cs="Times New Roman"/>
                <w:szCs w:val="21"/>
              </w:rPr>
              <w:t>（一）财政拨款小计</w:t>
            </w:r>
          </w:p>
        </w:tc>
        <w:tc>
          <w:tcPr>
            <w:tcW w:w="1519" w:type="dxa"/>
            <w:gridSpan w:val="2"/>
            <w:vAlign w:val="center"/>
          </w:tcPr>
          <w:p w14:paraId="1D4FCCA3">
            <w:pPr>
              <w:widowControl/>
              <w:overflowPunct w:val="0"/>
              <w:autoSpaceDE w:val="0"/>
              <w:autoSpaceDN w:val="0"/>
              <w:adjustRightInd w:val="0"/>
              <w:snapToGrid w:val="0"/>
              <w:spacing w:line="240" w:lineRule="exact"/>
              <w:jc w:val="center"/>
              <w:rPr>
                <w:rFonts w:hint="default" w:ascii="Times New Roman" w:hAnsi="Times New Roman" w:cs="Times New Roman"/>
                <w:szCs w:val="21"/>
              </w:rPr>
            </w:pPr>
          </w:p>
        </w:tc>
        <w:tc>
          <w:tcPr>
            <w:tcW w:w="1311" w:type="dxa"/>
            <w:vAlign w:val="center"/>
          </w:tcPr>
          <w:p w14:paraId="65C95DF6">
            <w:pPr>
              <w:widowControl/>
              <w:overflowPunct w:val="0"/>
              <w:autoSpaceDE w:val="0"/>
              <w:autoSpaceDN w:val="0"/>
              <w:adjustRightInd w:val="0"/>
              <w:snapToGrid w:val="0"/>
              <w:spacing w:line="240" w:lineRule="exact"/>
              <w:jc w:val="center"/>
              <w:rPr>
                <w:rFonts w:hint="default" w:ascii="Times New Roman" w:hAnsi="Times New Roman" w:cs="Times New Roman"/>
                <w:szCs w:val="21"/>
              </w:rPr>
            </w:pPr>
            <w:r>
              <w:rPr>
                <w:rFonts w:hint="default" w:ascii="Times New Roman" w:hAnsi="Times New Roman" w:cs="Times New Roman"/>
                <w:szCs w:val="21"/>
              </w:rPr>
              <w:t>945</w:t>
            </w:r>
          </w:p>
        </w:tc>
        <w:tc>
          <w:tcPr>
            <w:tcW w:w="1549" w:type="dxa"/>
            <w:gridSpan w:val="2"/>
            <w:vAlign w:val="center"/>
          </w:tcPr>
          <w:p w14:paraId="151AC3FB">
            <w:pPr>
              <w:widowControl/>
              <w:overflowPunct w:val="0"/>
              <w:autoSpaceDE w:val="0"/>
              <w:autoSpaceDN w:val="0"/>
              <w:adjustRightInd w:val="0"/>
              <w:snapToGrid w:val="0"/>
              <w:spacing w:line="240" w:lineRule="exact"/>
              <w:jc w:val="center"/>
              <w:rPr>
                <w:rFonts w:hint="default" w:ascii="Times New Roman" w:hAnsi="Times New Roman" w:cs="Times New Roman"/>
                <w:szCs w:val="21"/>
              </w:rPr>
            </w:pPr>
            <w:r>
              <w:rPr>
                <w:rFonts w:hint="default" w:ascii="Times New Roman" w:hAnsi="Times New Roman" w:cs="Times New Roman"/>
                <w:szCs w:val="21"/>
              </w:rPr>
              <w:t>54.2</w:t>
            </w:r>
          </w:p>
        </w:tc>
        <w:tc>
          <w:tcPr>
            <w:tcW w:w="1482" w:type="dxa"/>
            <w:vAlign w:val="center"/>
          </w:tcPr>
          <w:p w14:paraId="04BACB6B">
            <w:pPr>
              <w:widowControl/>
              <w:overflowPunct w:val="0"/>
              <w:autoSpaceDE w:val="0"/>
              <w:autoSpaceDN w:val="0"/>
              <w:adjustRightInd w:val="0"/>
              <w:snapToGrid w:val="0"/>
              <w:spacing w:line="240" w:lineRule="exact"/>
              <w:jc w:val="center"/>
              <w:rPr>
                <w:rFonts w:hint="default" w:ascii="Times New Roman" w:hAnsi="Times New Roman" w:cs="Times New Roman"/>
                <w:szCs w:val="21"/>
              </w:rPr>
            </w:pPr>
            <w:r>
              <w:rPr>
                <w:rFonts w:hint="default" w:ascii="Times New Roman" w:hAnsi="Times New Roman" w:cs="Times New Roman"/>
                <w:szCs w:val="21"/>
              </w:rPr>
              <w:t>5.7%</w:t>
            </w:r>
          </w:p>
        </w:tc>
      </w:tr>
      <w:tr w14:paraId="0D3A7F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1677" w:type="dxa"/>
            <w:gridSpan w:val="2"/>
            <w:vMerge w:val="continue"/>
            <w:vAlign w:val="center"/>
          </w:tcPr>
          <w:p w14:paraId="19A190ED">
            <w:pPr>
              <w:widowControl/>
              <w:overflowPunct w:val="0"/>
              <w:autoSpaceDE w:val="0"/>
              <w:autoSpaceDN w:val="0"/>
              <w:adjustRightInd w:val="0"/>
              <w:snapToGrid w:val="0"/>
              <w:spacing w:line="240" w:lineRule="exact"/>
              <w:jc w:val="center"/>
              <w:rPr>
                <w:rFonts w:hint="default" w:ascii="Times New Roman" w:hAnsi="Times New Roman" w:eastAsia="黑体" w:cs="Times New Roman"/>
                <w:szCs w:val="21"/>
              </w:rPr>
            </w:pPr>
          </w:p>
        </w:tc>
        <w:tc>
          <w:tcPr>
            <w:tcW w:w="2223" w:type="dxa"/>
            <w:gridSpan w:val="3"/>
            <w:vAlign w:val="center"/>
          </w:tcPr>
          <w:p w14:paraId="245A2155">
            <w:pPr>
              <w:widowControl/>
              <w:overflowPunct w:val="0"/>
              <w:autoSpaceDE w:val="0"/>
              <w:autoSpaceDN w:val="0"/>
              <w:adjustRightInd w:val="0"/>
              <w:snapToGrid w:val="0"/>
              <w:spacing w:line="240" w:lineRule="exact"/>
              <w:jc w:val="center"/>
              <w:rPr>
                <w:rFonts w:hint="default" w:ascii="Times New Roman" w:hAnsi="Times New Roman" w:eastAsia="黑体" w:cs="Times New Roman"/>
                <w:szCs w:val="21"/>
              </w:rPr>
            </w:pPr>
            <w:r>
              <w:rPr>
                <w:rFonts w:hint="default" w:ascii="Times New Roman" w:hAnsi="Times New Roman" w:eastAsia="黑体" w:cs="Times New Roman"/>
                <w:szCs w:val="21"/>
              </w:rPr>
              <w:t>1.一般公共预算</w:t>
            </w:r>
          </w:p>
        </w:tc>
        <w:tc>
          <w:tcPr>
            <w:tcW w:w="1519" w:type="dxa"/>
            <w:gridSpan w:val="2"/>
            <w:vAlign w:val="center"/>
          </w:tcPr>
          <w:p w14:paraId="2C123187">
            <w:pPr>
              <w:widowControl/>
              <w:overflowPunct w:val="0"/>
              <w:autoSpaceDE w:val="0"/>
              <w:autoSpaceDN w:val="0"/>
              <w:adjustRightInd w:val="0"/>
              <w:snapToGrid w:val="0"/>
              <w:spacing w:line="240" w:lineRule="exact"/>
              <w:jc w:val="center"/>
              <w:rPr>
                <w:rFonts w:hint="default" w:ascii="Times New Roman" w:hAnsi="Times New Roman" w:cs="Times New Roman"/>
                <w:szCs w:val="21"/>
              </w:rPr>
            </w:pPr>
          </w:p>
        </w:tc>
        <w:tc>
          <w:tcPr>
            <w:tcW w:w="1311" w:type="dxa"/>
            <w:vAlign w:val="center"/>
          </w:tcPr>
          <w:p w14:paraId="6AA0AA55">
            <w:pPr>
              <w:widowControl/>
              <w:overflowPunct w:val="0"/>
              <w:autoSpaceDE w:val="0"/>
              <w:autoSpaceDN w:val="0"/>
              <w:adjustRightInd w:val="0"/>
              <w:snapToGrid w:val="0"/>
              <w:spacing w:line="240" w:lineRule="exact"/>
              <w:jc w:val="center"/>
              <w:rPr>
                <w:rFonts w:hint="default" w:ascii="Times New Roman" w:hAnsi="Times New Roman" w:cs="Times New Roman"/>
                <w:szCs w:val="21"/>
              </w:rPr>
            </w:pPr>
          </w:p>
        </w:tc>
        <w:tc>
          <w:tcPr>
            <w:tcW w:w="1549" w:type="dxa"/>
            <w:gridSpan w:val="2"/>
            <w:vAlign w:val="center"/>
          </w:tcPr>
          <w:p w14:paraId="153D6929">
            <w:pPr>
              <w:widowControl/>
              <w:overflowPunct w:val="0"/>
              <w:autoSpaceDE w:val="0"/>
              <w:autoSpaceDN w:val="0"/>
              <w:adjustRightInd w:val="0"/>
              <w:snapToGrid w:val="0"/>
              <w:spacing w:line="240" w:lineRule="exact"/>
              <w:jc w:val="center"/>
              <w:rPr>
                <w:rFonts w:hint="default" w:ascii="Times New Roman" w:hAnsi="Times New Roman" w:cs="Times New Roman"/>
                <w:szCs w:val="21"/>
              </w:rPr>
            </w:pPr>
          </w:p>
        </w:tc>
        <w:tc>
          <w:tcPr>
            <w:tcW w:w="1482" w:type="dxa"/>
            <w:vAlign w:val="center"/>
          </w:tcPr>
          <w:p w14:paraId="3298E0D8">
            <w:pPr>
              <w:widowControl/>
              <w:overflowPunct w:val="0"/>
              <w:autoSpaceDE w:val="0"/>
              <w:autoSpaceDN w:val="0"/>
              <w:adjustRightInd w:val="0"/>
              <w:snapToGrid w:val="0"/>
              <w:spacing w:line="240" w:lineRule="exact"/>
              <w:jc w:val="center"/>
              <w:rPr>
                <w:rFonts w:hint="default" w:ascii="Times New Roman" w:hAnsi="Times New Roman" w:cs="Times New Roman"/>
                <w:szCs w:val="21"/>
              </w:rPr>
            </w:pPr>
          </w:p>
        </w:tc>
      </w:tr>
      <w:tr w14:paraId="4E17BA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677" w:type="dxa"/>
            <w:gridSpan w:val="2"/>
            <w:vMerge w:val="continue"/>
            <w:vAlign w:val="center"/>
          </w:tcPr>
          <w:p w14:paraId="07067CE9">
            <w:pPr>
              <w:widowControl/>
              <w:overflowPunct w:val="0"/>
              <w:autoSpaceDE w:val="0"/>
              <w:autoSpaceDN w:val="0"/>
              <w:adjustRightInd w:val="0"/>
              <w:snapToGrid w:val="0"/>
              <w:spacing w:line="240" w:lineRule="exact"/>
              <w:jc w:val="center"/>
              <w:rPr>
                <w:rFonts w:hint="default" w:ascii="Times New Roman" w:hAnsi="Times New Roman" w:eastAsia="黑体" w:cs="Times New Roman"/>
                <w:szCs w:val="21"/>
              </w:rPr>
            </w:pPr>
          </w:p>
        </w:tc>
        <w:tc>
          <w:tcPr>
            <w:tcW w:w="2223" w:type="dxa"/>
            <w:gridSpan w:val="3"/>
            <w:vAlign w:val="center"/>
          </w:tcPr>
          <w:p w14:paraId="607131B5">
            <w:pPr>
              <w:widowControl/>
              <w:overflowPunct w:val="0"/>
              <w:autoSpaceDE w:val="0"/>
              <w:autoSpaceDN w:val="0"/>
              <w:adjustRightInd w:val="0"/>
              <w:snapToGrid w:val="0"/>
              <w:spacing w:line="240" w:lineRule="exact"/>
              <w:jc w:val="center"/>
              <w:rPr>
                <w:rFonts w:hint="default" w:ascii="Times New Roman" w:hAnsi="Times New Roman" w:eastAsia="黑体" w:cs="Times New Roman"/>
                <w:szCs w:val="21"/>
              </w:rPr>
            </w:pPr>
            <w:r>
              <w:rPr>
                <w:rFonts w:hint="default" w:ascii="Times New Roman" w:hAnsi="Times New Roman" w:eastAsia="黑体" w:cs="Times New Roman"/>
                <w:szCs w:val="21"/>
              </w:rPr>
              <w:t>2.政府性基金</w:t>
            </w:r>
          </w:p>
        </w:tc>
        <w:tc>
          <w:tcPr>
            <w:tcW w:w="1519" w:type="dxa"/>
            <w:gridSpan w:val="2"/>
            <w:vAlign w:val="center"/>
          </w:tcPr>
          <w:p w14:paraId="752A7B5A">
            <w:pPr>
              <w:widowControl/>
              <w:overflowPunct w:val="0"/>
              <w:autoSpaceDE w:val="0"/>
              <w:autoSpaceDN w:val="0"/>
              <w:adjustRightInd w:val="0"/>
              <w:snapToGrid w:val="0"/>
              <w:spacing w:line="240" w:lineRule="exact"/>
              <w:jc w:val="center"/>
              <w:rPr>
                <w:rFonts w:hint="default" w:ascii="Times New Roman" w:hAnsi="Times New Roman" w:cs="Times New Roman"/>
                <w:szCs w:val="21"/>
              </w:rPr>
            </w:pPr>
          </w:p>
        </w:tc>
        <w:tc>
          <w:tcPr>
            <w:tcW w:w="1311" w:type="dxa"/>
            <w:vAlign w:val="center"/>
          </w:tcPr>
          <w:p w14:paraId="63CAC2DA">
            <w:pPr>
              <w:widowControl/>
              <w:overflowPunct w:val="0"/>
              <w:autoSpaceDE w:val="0"/>
              <w:autoSpaceDN w:val="0"/>
              <w:adjustRightInd w:val="0"/>
              <w:snapToGrid w:val="0"/>
              <w:spacing w:line="240" w:lineRule="exact"/>
              <w:jc w:val="center"/>
              <w:rPr>
                <w:rFonts w:hint="default" w:ascii="Times New Roman" w:hAnsi="Times New Roman" w:cs="Times New Roman"/>
                <w:szCs w:val="21"/>
              </w:rPr>
            </w:pPr>
            <w:r>
              <w:rPr>
                <w:rFonts w:hint="default" w:ascii="Times New Roman" w:hAnsi="Times New Roman" w:cs="Times New Roman"/>
                <w:szCs w:val="21"/>
              </w:rPr>
              <w:t>945</w:t>
            </w:r>
          </w:p>
        </w:tc>
        <w:tc>
          <w:tcPr>
            <w:tcW w:w="1549" w:type="dxa"/>
            <w:gridSpan w:val="2"/>
            <w:vAlign w:val="center"/>
          </w:tcPr>
          <w:p w14:paraId="12542429">
            <w:pPr>
              <w:widowControl/>
              <w:overflowPunct w:val="0"/>
              <w:autoSpaceDE w:val="0"/>
              <w:autoSpaceDN w:val="0"/>
              <w:adjustRightInd w:val="0"/>
              <w:snapToGrid w:val="0"/>
              <w:spacing w:line="240" w:lineRule="exact"/>
              <w:jc w:val="center"/>
              <w:rPr>
                <w:rFonts w:hint="default" w:ascii="Times New Roman" w:hAnsi="Times New Roman" w:cs="Times New Roman"/>
                <w:szCs w:val="21"/>
              </w:rPr>
            </w:pPr>
            <w:r>
              <w:rPr>
                <w:rFonts w:hint="default" w:ascii="Times New Roman" w:hAnsi="Times New Roman" w:cs="Times New Roman"/>
                <w:szCs w:val="21"/>
              </w:rPr>
              <w:t>54.2</w:t>
            </w:r>
          </w:p>
        </w:tc>
        <w:tc>
          <w:tcPr>
            <w:tcW w:w="1482" w:type="dxa"/>
            <w:vAlign w:val="center"/>
          </w:tcPr>
          <w:p w14:paraId="1C7A2E87">
            <w:pPr>
              <w:widowControl/>
              <w:overflowPunct w:val="0"/>
              <w:autoSpaceDE w:val="0"/>
              <w:autoSpaceDN w:val="0"/>
              <w:adjustRightInd w:val="0"/>
              <w:snapToGrid w:val="0"/>
              <w:spacing w:line="240" w:lineRule="exact"/>
              <w:jc w:val="center"/>
              <w:rPr>
                <w:rFonts w:hint="default" w:ascii="Times New Roman" w:hAnsi="Times New Roman" w:cs="Times New Roman"/>
                <w:szCs w:val="21"/>
              </w:rPr>
            </w:pPr>
            <w:r>
              <w:rPr>
                <w:rFonts w:hint="default" w:ascii="Times New Roman" w:hAnsi="Times New Roman" w:cs="Times New Roman"/>
                <w:szCs w:val="21"/>
              </w:rPr>
              <w:t>5.7%</w:t>
            </w:r>
          </w:p>
        </w:tc>
      </w:tr>
      <w:tr w14:paraId="7B1F57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1677" w:type="dxa"/>
            <w:gridSpan w:val="2"/>
            <w:vMerge w:val="continue"/>
            <w:vAlign w:val="center"/>
          </w:tcPr>
          <w:p w14:paraId="56C4EBC7">
            <w:pPr>
              <w:widowControl/>
              <w:overflowPunct w:val="0"/>
              <w:autoSpaceDE w:val="0"/>
              <w:autoSpaceDN w:val="0"/>
              <w:adjustRightInd w:val="0"/>
              <w:snapToGrid w:val="0"/>
              <w:spacing w:line="240" w:lineRule="exact"/>
              <w:jc w:val="center"/>
              <w:rPr>
                <w:rFonts w:hint="default" w:ascii="Times New Roman" w:hAnsi="Times New Roman" w:eastAsia="黑体" w:cs="Times New Roman"/>
                <w:szCs w:val="21"/>
              </w:rPr>
            </w:pPr>
          </w:p>
        </w:tc>
        <w:tc>
          <w:tcPr>
            <w:tcW w:w="2223" w:type="dxa"/>
            <w:gridSpan w:val="3"/>
            <w:vAlign w:val="center"/>
          </w:tcPr>
          <w:p w14:paraId="1C523684">
            <w:pPr>
              <w:widowControl/>
              <w:overflowPunct w:val="0"/>
              <w:autoSpaceDE w:val="0"/>
              <w:autoSpaceDN w:val="0"/>
              <w:adjustRightInd w:val="0"/>
              <w:snapToGrid w:val="0"/>
              <w:spacing w:line="240" w:lineRule="exact"/>
              <w:jc w:val="center"/>
              <w:rPr>
                <w:rFonts w:hint="default" w:ascii="Times New Roman" w:hAnsi="Times New Roman" w:eastAsia="黑体" w:cs="Times New Roman"/>
                <w:szCs w:val="21"/>
              </w:rPr>
            </w:pPr>
            <w:r>
              <w:rPr>
                <w:rFonts w:hint="default" w:ascii="Times New Roman" w:hAnsi="Times New Roman" w:eastAsia="黑体" w:cs="Times New Roman"/>
                <w:szCs w:val="21"/>
              </w:rPr>
              <w:t>3.国有资本经营预算</w:t>
            </w:r>
          </w:p>
        </w:tc>
        <w:tc>
          <w:tcPr>
            <w:tcW w:w="1519" w:type="dxa"/>
            <w:gridSpan w:val="2"/>
            <w:vAlign w:val="center"/>
          </w:tcPr>
          <w:p w14:paraId="19B314D2">
            <w:pPr>
              <w:widowControl/>
              <w:overflowPunct w:val="0"/>
              <w:autoSpaceDE w:val="0"/>
              <w:autoSpaceDN w:val="0"/>
              <w:adjustRightInd w:val="0"/>
              <w:snapToGrid w:val="0"/>
              <w:spacing w:line="240" w:lineRule="exact"/>
              <w:jc w:val="center"/>
              <w:rPr>
                <w:rFonts w:hint="default" w:ascii="Times New Roman" w:hAnsi="Times New Roman" w:cs="Times New Roman"/>
                <w:szCs w:val="21"/>
              </w:rPr>
            </w:pPr>
          </w:p>
        </w:tc>
        <w:tc>
          <w:tcPr>
            <w:tcW w:w="1311" w:type="dxa"/>
            <w:vAlign w:val="center"/>
          </w:tcPr>
          <w:p w14:paraId="1363F0F3">
            <w:pPr>
              <w:widowControl/>
              <w:overflowPunct w:val="0"/>
              <w:autoSpaceDE w:val="0"/>
              <w:autoSpaceDN w:val="0"/>
              <w:adjustRightInd w:val="0"/>
              <w:snapToGrid w:val="0"/>
              <w:spacing w:line="240" w:lineRule="exact"/>
              <w:jc w:val="center"/>
              <w:rPr>
                <w:rFonts w:hint="default" w:ascii="Times New Roman" w:hAnsi="Times New Roman" w:cs="Times New Roman"/>
                <w:szCs w:val="21"/>
              </w:rPr>
            </w:pPr>
          </w:p>
        </w:tc>
        <w:tc>
          <w:tcPr>
            <w:tcW w:w="1549" w:type="dxa"/>
            <w:gridSpan w:val="2"/>
            <w:vAlign w:val="center"/>
          </w:tcPr>
          <w:p w14:paraId="7494E717">
            <w:pPr>
              <w:widowControl/>
              <w:overflowPunct w:val="0"/>
              <w:autoSpaceDE w:val="0"/>
              <w:autoSpaceDN w:val="0"/>
              <w:adjustRightInd w:val="0"/>
              <w:snapToGrid w:val="0"/>
              <w:spacing w:line="240" w:lineRule="exact"/>
              <w:jc w:val="center"/>
              <w:rPr>
                <w:rFonts w:hint="default" w:ascii="Times New Roman" w:hAnsi="Times New Roman" w:cs="Times New Roman"/>
                <w:szCs w:val="21"/>
              </w:rPr>
            </w:pPr>
          </w:p>
        </w:tc>
        <w:tc>
          <w:tcPr>
            <w:tcW w:w="1482" w:type="dxa"/>
            <w:vAlign w:val="center"/>
          </w:tcPr>
          <w:p w14:paraId="63A69345">
            <w:pPr>
              <w:widowControl/>
              <w:overflowPunct w:val="0"/>
              <w:autoSpaceDE w:val="0"/>
              <w:autoSpaceDN w:val="0"/>
              <w:adjustRightInd w:val="0"/>
              <w:snapToGrid w:val="0"/>
              <w:spacing w:line="240" w:lineRule="exact"/>
              <w:jc w:val="center"/>
              <w:rPr>
                <w:rFonts w:hint="default" w:ascii="Times New Roman" w:hAnsi="Times New Roman" w:cs="Times New Roman"/>
                <w:szCs w:val="21"/>
              </w:rPr>
            </w:pPr>
          </w:p>
        </w:tc>
      </w:tr>
      <w:tr w14:paraId="0A7477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1677" w:type="dxa"/>
            <w:gridSpan w:val="2"/>
            <w:vMerge w:val="continue"/>
            <w:vAlign w:val="center"/>
          </w:tcPr>
          <w:p w14:paraId="36C6A274">
            <w:pPr>
              <w:widowControl/>
              <w:overflowPunct w:val="0"/>
              <w:autoSpaceDE w:val="0"/>
              <w:autoSpaceDN w:val="0"/>
              <w:adjustRightInd w:val="0"/>
              <w:snapToGrid w:val="0"/>
              <w:spacing w:line="240" w:lineRule="exact"/>
              <w:jc w:val="center"/>
              <w:rPr>
                <w:rFonts w:hint="default" w:ascii="Times New Roman" w:hAnsi="Times New Roman" w:eastAsia="黑体" w:cs="Times New Roman"/>
                <w:szCs w:val="21"/>
              </w:rPr>
            </w:pPr>
          </w:p>
        </w:tc>
        <w:tc>
          <w:tcPr>
            <w:tcW w:w="2223" w:type="dxa"/>
            <w:gridSpan w:val="3"/>
            <w:vAlign w:val="center"/>
          </w:tcPr>
          <w:p w14:paraId="52EE7ED0">
            <w:pPr>
              <w:widowControl/>
              <w:overflowPunct w:val="0"/>
              <w:autoSpaceDE w:val="0"/>
              <w:autoSpaceDN w:val="0"/>
              <w:adjustRightInd w:val="0"/>
              <w:snapToGrid w:val="0"/>
              <w:spacing w:line="240" w:lineRule="exact"/>
              <w:jc w:val="center"/>
              <w:rPr>
                <w:rFonts w:hint="default" w:ascii="Times New Roman" w:hAnsi="Times New Roman" w:eastAsia="黑体" w:cs="Times New Roman"/>
                <w:szCs w:val="21"/>
              </w:rPr>
            </w:pPr>
            <w:r>
              <w:rPr>
                <w:rFonts w:hint="default" w:ascii="Times New Roman" w:hAnsi="Times New Roman" w:eastAsia="黑体" w:cs="Times New Roman"/>
                <w:szCs w:val="21"/>
              </w:rPr>
              <w:t>4.社保基金</w:t>
            </w:r>
          </w:p>
        </w:tc>
        <w:tc>
          <w:tcPr>
            <w:tcW w:w="1519" w:type="dxa"/>
            <w:gridSpan w:val="2"/>
            <w:vAlign w:val="center"/>
          </w:tcPr>
          <w:p w14:paraId="6615FA4A">
            <w:pPr>
              <w:widowControl/>
              <w:overflowPunct w:val="0"/>
              <w:autoSpaceDE w:val="0"/>
              <w:autoSpaceDN w:val="0"/>
              <w:adjustRightInd w:val="0"/>
              <w:snapToGrid w:val="0"/>
              <w:spacing w:line="240" w:lineRule="exact"/>
              <w:jc w:val="center"/>
              <w:rPr>
                <w:rFonts w:hint="default" w:ascii="Times New Roman" w:hAnsi="Times New Roman" w:cs="Times New Roman"/>
                <w:szCs w:val="21"/>
              </w:rPr>
            </w:pPr>
          </w:p>
        </w:tc>
        <w:tc>
          <w:tcPr>
            <w:tcW w:w="1311" w:type="dxa"/>
            <w:vAlign w:val="center"/>
          </w:tcPr>
          <w:p w14:paraId="203568C1">
            <w:pPr>
              <w:widowControl/>
              <w:overflowPunct w:val="0"/>
              <w:autoSpaceDE w:val="0"/>
              <w:autoSpaceDN w:val="0"/>
              <w:adjustRightInd w:val="0"/>
              <w:snapToGrid w:val="0"/>
              <w:spacing w:line="240" w:lineRule="exact"/>
              <w:jc w:val="center"/>
              <w:rPr>
                <w:rFonts w:hint="default" w:ascii="Times New Roman" w:hAnsi="Times New Roman" w:cs="Times New Roman"/>
                <w:szCs w:val="21"/>
              </w:rPr>
            </w:pPr>
          </w:p>
        </w:tc>
        <w:tc>
          <w:tcPr>
            <w:tcW w:w="1549" w:type="dxa"/>
            <w:gridSpan w:val="2"/>
            <w:vAlign w:val="center"/>
          </w:tcPr>
          <w:p w14:paraId="62AECD9A">
            <w:pPr>
              <w:widowControl/>
              <w:overflowPunct w:val="0"/>
              <w:autoSpaceDE w:val="0"/>
              <w:autoSpaceDN w:val="0"/>
              <w:adjustRightInd w:val="0"/>
              <w:snapToGrid w:val="0"/>
              <w:spacing w:line="240" w:lineRule="exact"/>
              <w:jc w:val="center"/>
              <w:rPr>
                <w:rFonts w:hint="default" w:ascii="Times New Roman" w:hAnsi="Times New Roman" w:cs="Times New Roman"/>
                <w:szCs w:val="21"/>
              </w:rPr>
            </w:pPr>
          </w:p>
        </w:tc>
        <w:tc>
          <w:tcPr>
            <w:tcW w:w="1482" w:type="dxa"/>
            <w:vAlign w:val="center"/>
          </w:tcPr>
          <w:p w14:paraId="081107BD">
            <w:pPr>
              <w:widowControl/>
              <w:overflowPunct w:val="0"/>
              <w:autoSpaceDE w:val="0"/>
              <w:autoSpaceDN w:val="0"/>
              <w:adjustRightInd w:val="0"/>
              <w:snapToGrid w:val="0"/>
              <w:spacing w:line="240" w:lineRule="exact"/>
              <w:jc w:val="center"/>
              <w:rPr>
                <w:rFonts w:hint="default" w:ascii="Times New Roman" w:hAnsi="Times New Roman" w:cs="Times New Roman"/>
                <w:szCs w:val="21"/>
              </w:rPr>
            </w:pPr>
          </w:p>
        </w:tc>
      </w:tr>
      <w:tr w14:paraId="288DB8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1677" w:type="dxa"/>
            <w:gridSpan w:val="2"/>
            <w:vMerge w:val="continue"/>
            <w:vAlign w:val="center"/>
          </w:tcPr>
          <w:p w14:paraId="75E4F7A3">
            <w:pPr>
              <w:widowControl/>
              <w:overflowPunct w:val="0"/>
              <w:autoSpaceDE w:val="0"/>
              <w:autoSpaceDN w:val="0"/>
              <w:adjustRightInd w:val="0"/>
              <w:snapToGrid w:val="0"/>
              <w:spacing w:line="240" w:lineRule="exact"/>
              <w:jc w:val="center"/>
              <w:rPr>
                <w:rFonts w:hint="default" w:ascii="Times New Roman" w:hAnsi="Times New Roman" w:eastAsia="黑体" w:cs="Times New Roman"/>
                <w:szCs w:val="21"/>
              </w:rPr>
            </w:pPr>
          </w:p>
        </w:tc>
        <w:tc>
          <w:tcPr>
            <w:tcW w:w="2223" w:type="dxa"/>
            <w:gridSpan w:val="3"/>
            <w:vAlign w:val="center"/>
          </w:tcPr>
          <w:p w14:paraId="4133290B">
            <w:pPr>
              <w:widowControl/>
              <w:overflowPunct w:val="0"/>
              <w:autoSpaceDE w:val="0"/>
              <w:autoSpaceDN w:val="0"/>
              <w:adjustRightInd w:val="0"/>
              <w:snapToGrid w:val="0"/>
              <w:spacing w:line="240" w:lineRule="exact"/>
              <w:jc w:val="center"/>
              <w:rPr>
                <w:rFonts w:hint="default" w:ascii="Times New Roman" w:hAnsi="Times New Roman" w:eastAsia="黑体" w:cs="Times New Roman"/>
                <w:szCs w:val="21"/>
              </w:rPr>
            </w:pPr>
            <w:r>
              <w:rPr>
                <w:rFonts w:hint="default" w:ascii="Times New Roman" w:hAnsi="Times New Roman" w:eastAsia="黑体" w:cs="Times New Roman"/>
                <w:szCs w:val="21"/>
              </w:rPr>
              <w:t>（二）其他资金</w:t>
            </w:r>
          </w:p>
        </w:tc>
        <w:tc>
          <w:tcPr>
            <w:tcW w:w="1519" w:type="dxa"/>
            <w:gridSpan w:val="2"/>
            <w:vAlign w:val="center"/>
          </w:tcPr>
          <w:p w14:paraId="4DEF6A40">
            <w:pPr>
              <w:widowControl/>
              <w:overflowPunct w:val="0"/>
              <w:autoSpaceDE w:val="0"/>
              <w:autoSpaceDN w:val="0"/>
              <w:adjustRightInd w:val="0"/>
              <w:snapToGrid w:val="0"/>
              <w:spacing w:line="240" w:lineRule="exact"/>
              <w:jc w:val="center"/>
              <w:rPr>
                <w:rFonts w:hint="default" w:ascii="Times New Roman" w:hAnsi="Times New Roman" w:cs="Times New Roman"/>
                <w:szCs w:val="21"/>
              </w:rPr>
            </w:pPr>
          </w:p>
        </w:tc>
        <w:tc>
          <w:tcPr>
            <w:tcW w:w="1311" w:type="dxa"/>
            <w:vAlign w:val="center"/>
          </w:tcPr>
          <w:p w14:paraId="2EE0A0A1">
            <w:pPr>
              <w:widowControl/>
              <w:overflowPunct w:val="0"/>
              <w:autoSpaceDE w:val="0"/>
              <w:autoSpaceDN w:val="0"/>
              <w:adjustRightInd w:val="0"/>
              <w:snapToGrid w:val="0"/>
              <w:spacing w:line="240" w:lineRule="exact"/>
              <w:jc w:val="center"/>
              <w:rPr>
                <w:rFonts w:hint="default" w:ascii="Times New Roman" w:hAnsi="Times New Roman" w:cs="Times New Roman"/>
                <w:szCs w:val="21"/>
              </w:rPr>
            </w:pPr>
          </w:p>
        </w:tc>
        <w:tc>
          <w:tcPr>
            <w:tcW w:w="1549" w:type="dxa"/>
            <w:gridSpan w:val="2"/>
            <w:vAlign w:val="center"/>
          </w:tcPr>
          <w:p w14:paraId="7C654C9C">
            <w:pPr>
              <w:widowControl/>
              <w:overflowPunct w:val="0"/>
              <w:autoSpaceDE w:val="0"/>
              <w:autoSpaceDN w:val="0"/>
              <w:adjustRightInd w:val="0"/>
              <w:snapToGrid w:val="0"/>
              <w:spacing w:line="240" w:lineRule="exact"/>
              <w:jc w:val="center"/>
              <w:rPr>
                <w:rFonts w:hint="default" w:ascii="Times New Roman" w:hAnsi="Times New Roman" w:cs="Times New Roman"/>
                <w:szCs w:val="21"/>
              </w:rPr>
            </w:pPr>
          </w:p>
        </w:tc>
        <w:tc>
          <w:tcPr>
            <w:tcW w:w="1482" w:type="dxa"/>
            <w:vAlign w:val="center"/>
          </w:tcPr>
          <w:p w14:paraId="05F8B105">
            <w:pPr>
              <w:widowControl/>
              <w:overflowPunct w:val="0"/>
              <w:autoSpaceDE w:val="0"/>
              <w:autoSpaceDN w:val="0"/>
              <w:adjustRightInd w:val="0"/>
              <w:snapToGrid w:val="0"/>
              <w:spacing w:line="240" w:lineRule="exact"/>
              <w:jc w:val="center"/>
              <w:rPr>
                <w:rFonts w:hint="default" w:ascii="Times New Roman" w:hAnsi="Times New Roman" w:cs="Times New Roman"/>
                <w:szCs w:val="21"/>
              </w:rPr>
            </w:pPr>
          </w:p>
        </w:tc>
      </w:tr>
      <w:tr w14:paraId="602EB7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602" w:type="dxa"/>
            <w:vMerge w:val="restart"/>
            <w:vAlign w:val="center"/>
          </w:tcPr>
          <w:p w14:paraId="69324A5C">
            <w:pPr>
              <w:widowControl/>
              <w:overflowPunct w:val="0"/>
              <w:autoSpaceDE w:val="0"/>
              <w:autoSpaceDN w:val="0"/>
              <w:adjustRightInd w:val="0"/>
              <w:snapToGrid w:val="0"/>
              <w:spacing w:line="240" w:lineRule="exact"/>
              <w:jc w:val="center"/>
              <w:rPr>
                <w:rFonts w:hint="default" w:ascii="Times New Roman" w:hAnsi="Times New Roman" w:cs="Times New Roman"/>
                <w:szCs w:val="21"/>
              </w:rPr>
            </w:pPr>
            <w:r>
              <w:rPr>
                <w:rFonts w:hint="default" w:ascii="Times New Roman" w:hAnsi="Times New Roman" w:eastAsia="黑体" w:cs="Times New Roman"/>
                <w:szCs w:val="21"/>
              </w:rPr>
              <w:t>年度总体目标</w:t>
            </w:r>
          </w:p>
        </w:tc>
        <w:tc>
          <w:tcPr>
            <w:tcW w:w="4817" w:type="dxa"/>
            <w:gridSpan w:val="6"/>
            <w:vAlign w:val="center"/>
          </w:tcPr>
          <w:p w14:paraId="132EB363">
            <w:pPr>
              <w:widowControl/>
              <w:overflowPunct w:val="0"/>
              <w:autoSpaceDE w:val="0"/>
              <w:autoSpaceDN w:val="0"/>
              <w:adjustRightInd w:val="0"/>
              <w:snapToGrid w:val="0"/>
              <w:spacing w:line="240" w:lineRule="exact"/>
              <w:jc w:val="center"/>
              <w:rPr>
                <w:rFonts w:hint="default" w:ascii="Times New Roman" w:hAnsi="Times New Roman" w:eastAsia="黑体" w:cs="Times New Roman"/>
                <w:szCs w:val="21"/>
              </w:rPr>
            </w:pPr>
            <w:r>
              <w:rPr>
                <w:rFonts w:hint="default" w:ascii="Times New Roman" w:hAnsi="Times New Roman" w:eastAsia="黑体" w:cs="Times New Roman"/>
                <w:szCs w:val="21"/>
              </w:rPr>
              <w:t>预期目标</w:t>
            </w:r>
          </w:p>
        </w:tc>
        <w:tc>
          <w:tcPr>
            <w:tcW w:w="4342" w:type="dxa"/>
            <w:gridSpan w:val="4"/>
            <w:vAlign w:val="center"/>
          </w:tcPr>
          <w:p w14:paraId="123ABE6E">
            <w:pPr>
              <w:widowControl/>
              <w:overflowPunct w:val="0"/>
              <w:autoSpaceDE w:val="0"/>
              <w:autoSpaceDN w:val="0"/>
              <w:adjustRightInd w:val="0"/>
              <w:snapToGrid w:val="0"/>
              <w:spacing w:line="240" w:lineRule="exact"/>
              <w:jc w:val="center"/>
              <w:rPr>
                <w:rFonts w:hint="default" w:ascii="Times New Roman" w:hAnsi="Times New Roman" w:eastAsia="黑体" w:cs="Times New Roman"/>
                <w:szCs w:val="21"/>
              </w:rPr>
            </w:pPr>
            <w:r>
              <w:rPr>
                <w:rFonts w:hint="default" w:ascii="Times New Roman" w:hAnsi="Times New Roman" w:eastAsia="黑体" w:cs="Times New Roman"/>
                <w:szCs w:val="21"/>
              </w:rPr>
              <w:t>全年实际完成情况</w:t>
            </w:r>
          </w:p>
        </w:tc>
      </w:tr>
      <w:tr w14:paraId="2CC351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87" w:hRule="atLeast"/>
          <w:jc w:val="center"/>
        </w:trPr>
        <w:tc>
          <w:tcPr>
            <w:tcW w:w="602" w:type="dxa"/>
            <w:vMerge w:val="continue"/>
            <w:vAlign w:val="center"/>
          </w:tcPr>
          <w:p w14:paraId="77B1F69D">
            <w:pPr>
              <w:widowControl/>
              <w:overflowPunct w:val="0"/>
              <w:autoSpaceDE w:val="0"/>
              <w:autoSpaceDN w:val="0"/>
              <w:adjustRightInd w:val="0"/>
              <w:snapToGrid w:val="0"/>
              <w:spacing w:line="240" w:lineRule="exact"/>
              <w:jc w:val="center"/>
              <w:rPr>
                <w:rFonts w:hint="default" w:ascii="Times New Roman" w:hAnsi="Times New Roman" w:cs="Times New Roman"/>
                <w:szCs w:val="21"/>
              </w:rPr>
            </w:pPr>
          </w:p>
        </w:tc>
        <w:tc>
          <w:tcPr>
            <w:tcW w:w="4817" w:type="dxa"/>
            <w:gridSpan w:val="6"/>
            <w:vAlign w:val="center"/>
          </w:tcPr>
          <w:p w14:paraId="49666826">
            <w:pPr>
              <w:widowControl/>
              <w:overflowPunct w:val="0"/>
              <w:autoSpaceDE w:val="0"/>
              <w:autoSpaceDN w:val="0"/>
              <w:adjustRightInd w:val="0"/>
              <w:snapToGrid w:val="0"/>
              <w:spacing w:line="240" w:lineRule="exact"/>
              <w:ind w:left="105" w:leftChars="50" w:right="105" w:rightChars="50" w:firstLine="420" w:firstLineChars="200"/>
              <w:textAlignment w:val="baseline"/>
              <w:rPr>
                <w:rFonts w:hint="default" w:ascii="Times New Roman" w:hAnsi="Times New Roman" w:cs="Times New Roman"/>
                <w:szCs w:val="21"/>
              </w:rPr>
            </w:pPr>
            <w:r>
              <w:rPr>
                <w:rFonts w:hint="default" w:ascii="Times New Roman" w:hAnsi="Times New Roman" w:cs="Times New Roman"/>
                <w:szCs w:val="21"/>
              </w:rPr>
              <w:t>该项目要完成全区124万亩森林，35万宗历史林权登记开展林权权籍补充调查，采集林权空间矢量数据，形成历史登记档案、林权证书、林权登记空间矢量数据（图形）和登记属性表册，完成昭化区林权数据汇交，启动林权不动产统一登记，减轻林农负担。</w:t>
            </w:r>
          </w:p>
        </w:tc>
        <w:tc>
          <w:tcPr>
            <w:tcW w:w="4342" w:type="dxa"/>
            <w:gridSpan w:val="4"/>
            <w:vAlign w:val="center"/>
          </w:tcPr>
          <w:p w14:paraId="6F38DB14">
            <w:pPr>
              <w:widowControl/>
              <w:overflowPunct w:val="0"/>
              <w:autoSpaceDE w:val="0"/>
              <w:autoSpaceDN w:val="0"/>
              <w:adjustRightInd w:val="0"/>
              <w:snapToGrid w:val="0"/>
              <w:spacing w:line="240" w:lineRule="exact"/>
              <w:ind w:left="105" w:leftChars="50" w:right="105" w:rightChars="50" w:firstLine="420" w:firstLineChars="200"/>
              <w:textAlignment w:val="baseline"/>
              <w:rPr>
                <w:rFonts w:hint="default" w:ascii="Times New Roman" w:hAnsi="Times New Roman" w:cs="Times New Roman"/>
                <w:szCs w:val="21"/>
              </w:rPr>
            </w:pPr>
            <w:r>
              <w:rPr>
                <w:rFonts w:hint="default" w:ascii="Times New Roman" w:hAnsi="Times New Roman" w:cs="Times New Roman"/>
                <w:szCs w:val="21"/>
              </w:rPr>
              <w:t>存量林权登记数据及标准化整理约26万宗，完成空间数据和属性数据补充采集24万宗，建立图形数据129027宗，属性数据101072宗，档案数据关联184014宗，不动产登记及权籍入库，6月底完成权籍调查、落宗、权籍成果入库、挂接，并汇交自然资源部。</w:t>
            </w:r>
          </w:p>
        </w:tc>
      </w:tr>
      <w:tr w14:paraId="11C1D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jc w:val="center"/>
        </w:trPr>
        <w:tc>
          <w:tcPr>
            <w:tcW w:w="602" w:type="dxa"/>
            <w:vMerge w:val="restart"/>
            <w:vAlign w:val="center"/>
          </w:tcPr>
          <w:p w14:paraId="211CD0E7">
            <w:pPr>
              <w:widowControl/>
              <w:overflowPunct w:val="0"/>
              <w:autoSpaceDE w:val="0"/>
              <w:autoSpaceDN w:val="0"/>
              <w:adjustRightInd w:val="0"/>
              <w:snapToGrid w:val="0"/>
              <w:spacing w:line="240" w:lineRule="exact"/>
              <w:jc w:val="center"/>
              <w:rPr>
                <w:rFonts w:hint="default" w:ascii="Times New Roman" w:hAnsi="Times New Roman" w:cs="Times New Roman"/>
                <w:szCs w:val="21"/>
              </w:rPr>
            </w:pPr>
            <w:r>
              <w:rPr>
                <w:rFonts w:hint="default" w:ascii="Times New Roman" w:hAnsi="Times New Roman" w:eastAsia="黑体" w:cs="Times New Roman"/>
                <w:szCs w:val="21"/>
              </w:rPr>
              <w:t>绩效指标</w:t>
            </w:r>
          </w:p>
        </w:tc>
        <w:tc>
          <w:tcPr>
            <w:tcW w:w="1075" w:type="dxa"/>
            <w:vAlign w:val="center"/>
          </w:tcPr>
          <w:p w14:paraId="1BC31366">
            <w:pPr>
              <w:widowControl/>
              <w:overflowPunct w:val="0"/>
              <w:autoSpaceDE w:val="0"/>
              <w:autoSpaceDN w:val="0"/>
              <w:adjustRightInd w:val="0"/>
              <w:snapToGrid w:val="0"/>
              <w:spacing w:line="240" w:lineRule="exact"/>
              <w:jc w:val="center"/>
              <w:rPr>
                <w:rFonts w:hint="default" w:ascii="Times New Roman" w:hAnsi="Times New Roman" w:eastAsia="黑体" w:cs="Times New Roman"/>
                <w:szCs w:val="21"/>
              </w:rPr>
            </w:pPr>
            <w:r>
              <w:rPr>
                <w:rFonts w:hint="default" w:ascii="Times New Roman" w:hAnsi="Times New Roman" w:eastAsia="黑体" w:cs="Times New Roman"/>
                <w:szCs w:val="21"/>
              </w:rPr>
              <w:t>一级指标</w:t>
            </w:r>
          </w:p>
        </w:tc>
        <w:tc>
          <w:tcPr>
            <w:tcW w:w="1552" w:type="dxa"/>
            <w:gridSpan w:val="2"/>
            <w:vAlign w:val="center"/>
          </w:tcPr>
          <w:p w14:paraId="709CB52C">
            <w:pPr>
              <w:widowControl/>
              <w:overflowPunct w:val="0"/>
              <w:autoSpaceDE w:val="0"/>
              <w:autoSpaceDN w:val="0"/>
              <w:adjustRightInd w:val="0"/>
              <w:snapToGrid w:val="0"/>
              <w:spacing w:line="240" w:lineRule="exact"/>
              <w:jc w:val="center"/>
              <w:rPr>
                <w:rFonts w:hint="default" w:ascii="Times New Roman" w:hAnsi="Times New Roman" w:eastAsia="黑体" w:cs="Times New Roman"/>
                <w:szCs w:val="21"/>
              </w:rPr>
            </w:pPr>
            <w:r>
              <w:rPr>
                <w:rFonts w:hint="default" w:ascii="Times New Roman" w:hAnsi="Times New Roman" w:eastAsia="黑体" w:cs="Times New Roman"/>
                <w:szCs w:val="21"/>
              </w:rPr>
              <w:t>二级指标</w:t>
            </w:r>
          </w:p>
        </w:tc>
        <w:tc>
          <w:tcPr>
            <w:tcW w:w="1956" w:type="dxa"/>
            <w:gridSpan w:val="2"/>
            <w:vAlign w:val="center"/>
          </w:tcPr>
          <w:p w14:paraId="081F79E3">
            <w:pPr>
              <w:widowControl/>
              <w:overflowPunct w:val="0"/>
              <w:autoSpaceDE w:val="0"/>
              <w:autoSpaceDN w:val="0"/>
              <w:adjustRightInd w:val="0"/>
              <w:snapToGrid w:val="0"/>
              <w:spacing w:line="240" w:lineRule="exact"/>
              <w:jc w:val="center"/>
              <w:rPr>
                <w:rFonts w:hint="default" w:ascii="Times New Roman" w:hAnsi="Times New Roman" w:eastAsia="黑体" w:cs="Times New Roman"/>
                <w:szCs w:val="21"/>
              </w:rPr>
            </w:pPr>
            <w:r>
              <w:rPr>
                <w:rFonts w:hint="default" w:ascii="Times New Roman" w:hAnsi="Times New Roman" w:eastAsia="黑体" w:cs="Times New Roman"/>
                <w:szCs w:val="21"/>
              </w:rPr>
              <w:t>三级指标</w:t>
            </w:r>
          </w:p>
        </w:tc>
        <w:tc>
          <w:tcPr>
            <w:tcW w:w="1545" w:type="dxa"/>
            <w:gridSpan w:val="2"/>
            <w:vAlign w:val="center"/>
          </w:tcPr>
          <w:p w14:paraId="7A32E5B3">
            <w:pPr>
              <w:widowControl/>
              <w:overflowPunct w:val="0"/>
              <w:autoSpaceDE w:val="0"/>
              <w:autoSpaceDN w:val="0"/>
              <w:adjustRightInd w:val="0"/>
              <w:snapToGrid w:val="0"/>
              <w:spacing w:line="240" w:lineRule="exact"/>
              <w:jc w:val="center"/>
              <w:rPr>
                <w:rFonts w:hint="default" w:ascii="Times New Roman" w:hAnsi="Times New Roman" w:eastAsia="黑体" w:cs="Times New Roman"/>
                <w:szCs w:val="21"/>
              </w:rPr>
            </w:pPr>
            <w:r>
              <w:rPr>
                <w:rFonts w:hint="default" w:ascii="Times New Roman" w:hAnsi="Times New Roman" w:eastAsia="黑体" w:cs="Times New Roman"/>
                <w:szCs w:val="21"/>
              </w:rPr>
              <w:t>年度指标值</w:t>
            </w:r>
          </w:p>
        </w:tc>
        <w:tc>
          <w:tcPr>
            <w:tcW w:w="1240" w:type="dxa"/>
            <w:vAlign w:val="center"/>
          </w:tcPr>
          <w:p w14:paraId="68820F53">
            <w:pPr>
              <w:widowControl/>
              <w:overflowPunct w:val="0"/>
              <w:autoSpaceDE w:val="0"/>
              <w:autoSpaceDN w:val="0"/>
              <w:adjustRightInd w:val="0"/>
              <w:snapToGrid w:val="0"/>
              <w:spacing w:line="240" w:lineRule="exact"/>
              <w:jc w:val="center"/>
              <w:rPr>
                <w:rFonts w:hint="default" w:ascii="Times New Roman" w:hAnsi="Times New Roman" w:eastAsia="黑体" w:cs="Times New Roman"/>
                <w:szCs w:val="21"/>
              </w:rPr>
            </w:pPr>
            <w:r>
              <w:rPr>
                <w:rFonts w:hint="default" w:ascii="Times New Roman" w:hAnsi="Times New Roman" w:eastAsia="黑体" w:cs="Times New Roman"/>
                <w:szCs w:val="21"/>
              </w:rPr>
              <w:t>实际完成值</w:t>
            </w:r>
          </w:p>
        </w:tc>
        <w:tc>
          <w:tcPr>
            <w:tcW w:w="1791" w:type="dxa"/>
            <w:gridSpan w:val="2"/>
            <w:vAlign w:val="center"/>
          </w:tcPr>
          <w:p w14:paraId="40B87CFE">
            <w:pPr>
              <w:widowControl/>
              <w:overflowPunct w:val="0"/>
              <w:autoSpaceDE w:val="0"/>
              <w:autoSpaceDN w:val="0"/>
              <w:adjustRightInd w:val="0"/>
              <w:snapToGrid w:val="0"/>
              <w:spacing w:line="240" w:lineRule="exact"/>
              <w:jc w:val="center"/>
              <w:rPr>
                <w:rFonts w:hint="default" w:ascii="Times New Roman" w:hAnsi="Times New Roman" w:eastAsia="黑体" w:cs="Times New Roman"/>
                <w:szCs w:val="21"/>
              </w:rPr>
            </w:pPr>
            <w:r>
              <w:rPr>
                <w:rFonts w:hint="default" w:ascii="Times New Roman" w:hAnsi="Times New Roman" w:eastAsia="黑体" w:cs="Times New Roman"/>
                <w:szCs w:val="21"/>
              </w:rPr>
              <w:t>偏差原因分析及改进措施</w:t>
            </w:r>
          </w:p>
        </w:tc>
      </w:tr>
      <w:tr w14:paraId="1BA901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02" w:type="dxa"/>
            <w:vMerge w:val="continue"/>
            <w:vAlign w:val="center"/>
          </w:tcPr>
          <w:p w14:paraId="21EF210D">
            <w:pPr>
              <w:widowControl/>
              <w:overflowPunct w:val="0"/>
              <w:autoSpaceDE w:val="0"/>
              <w:autoSpaceDN w:val="0"/>
              <w:adjustRightInd w:val="0"/>
              <w:snapToGrid w:val="0"/>
              <w:spacing w:line="240" w:lineRule="exact"/>
              <w:jc w:val="center"/>
              <w:rPr>
                <w:rFonts w:hint="default" w:ascii="Times New Roman" w:hAnsi="Times New Roman" w:cs="Times New Roman"/>
                <w:szCs w:val="21"/>
              </w:rPr>
            </w:pPr>
          </w:p>
        </w:tc>
        <w:tc>
          <w:tcPr>
            <w:tcW w:w="1075" w:type="dxa"/>
            <w:vMerge w:val="restart"/>
            <w:vAlign w:val="center"/>
          </w:tcPr>
          <w:p w14:paraId="2FDD3A63">
            <w:pPr>
              <w:widowControl/>
              <w:overflowPunct w:val="0"/>
              <w:autoSpaceDE w:val="0"/>
              <w:autoSpaceDN w:val="0"/>
              <w:adjustRightInd w:val="0"/>
              <w:snapToGrid w:val="0"/>
              <w:spacing w:line="240" w:lineRule="exact"/>
              <w:jc w:val="center"/>
              <w:textAlignment w:val="center"/>
              <w:rPr>
                <w:rFonts w:hint="default" w:ascii="Times New Roman" w:hAnsi="Times New Roman" w:cs="Times New Roman"/>
                <w:szCs w:val="21"/>
              </w:rPr>
            </w:pPr>
            <w:r>
              <w:rPr>
                <w:rFonts w:hint="default" w:ascii="Times New Roman" w:hAnsi="Times New Roman" w:cs="Times New Roman"/>
                <w:szCs w:val="21"/>
              </w:rPr>
              <w:t>产出指标</w:t>
            </w:r>
          </w:p>
        </w:tc>
        <w:tc>
          <w:tcPr>
            <w:tcW w:w="1552" w:type="dxa"/>
            <w:gridSpan w:val="2"/>
            <w:vAlign w:val="center"/>
          </w:tcPr>
          <w:p w14:paraId="77F40F48">
            <w:pPr>
              <w:widowControl/>
              <w:overflowPunct w:val="0"/>
              <w:autoSpaceDE w:val="0"/>
              <w:autoSpaceDN w:val="0"/>
              <w:adjustRightInd w:val="0"/>
              <w:snapToGrid w:val="0"/>
              <w:spacing w:line="240" w:lineRule="exact"/>
              <w:jc w:val="center"/>
              <w:textAlignment w:val="center"/>
              <w:rPr>
                <w:rFonts w:hint="default" w:ascii="Times New Roman" w:hAnsi="Times New Roman" w:cs="Times New Roman"/>
                <w:szCs w:val="21"/>
              </w:rPr>
            </w:pPr>
            <w:r>
              <w:rPr>
                <w:rFonts w:hint="default" w:ascii="Times New Roman" w:hAnsi="Times New Roman" w:cs="Times New Roman"/>
                <w:szCs w:val="21"/>
              </w:rPr>
              <w:t>数量指标</w:t>
            </w:r>
          </w:p>
        </w:tc>
        <w:tc>
          <w:tcPr>
            <w:tcW w:w="1956" w:type="dxa"/>
            <w:gridSpan w:val="2"/>
            <w:vAlign w:val="center"/>
          </w:tcPr>
          <w:p w14:paraId="152130EE">
            <w:pPr>
              <w:widowControl/>
              <w:overflowPunct w:val="0"/>
              <w:autoSpaceDE w:val="0"/>
              <w:autoSpaceDN w:val="0"/>
              <w:adjustRightInd w:val="0"/>
              <w:snapToGrid w:val="0"/>
              <w:spacing w:line="240" w:lineRule="exact"/>
              <w:jc w:val="center"/>
              <w:textAlignment w:val="center"/>
              <w:rPr>
                <w:rFonts w:hint="default" w:ascii="Times New Roman" w:hAnsi="Times New Roman" w:cs="Times New Roman"/>
                <w:szCs w:val="21"/>
              </w:rPr>
            </w:pPr>
            <w:r>
              <w:rPr>
                <w:rFonts w:hint="default" w:ascii="Times New Roman" w:hAnsi="Times New Roman" w:cs="Times New Roman"/>
                <w:szCs w:val="21"/>
              </w:rPr>
              <w:t>完成昭化区林权权籍补充调查</w:t>
            </w:r>
          </w:p>
        </w:tc>
        <w:tc>
          <w:tcPr>
            <w:tcW w:w="1545" w:type="dxa"/>
            <w:gridSpan w:val="2"/>
            <w:vAlign w:val="center"/>
          </w:tcPr>
          <w:p w14:paraId="7D904744">
            <w:pPr>
              <w:widowControl/>
              <w:overflowPunct w:val="0"/>
              <w:autoSpaceDE w:val="0"/>
              <w:autoSpaceDN w:val="0"/>
              <w:adjustRightInd w:val="0"/>
              <w:snapToGrid w:val="0"/>
              <w:spacing w:line="240" w:lineRule="exact"/>
              <w:jc w:val="center"/>
              <w:textAlignment w:val="center"/>
              <w:rPr>
                <w:rFonts w:hint="default" w:ascii="Times New Roman" w:hAnsi="Times New Roman" w:cs="Times New Roman"/>
                <w:szCs w:val="21"/>
              </w:rPr>
            </w:pPr>
            <w:r>
              <w:rPr>
                <w:rFonts w:hint="default" w:ascii="Times New Roman" w:hAnsi="Times New Roman" w:cs="Times New Roman"/>
                <w:szCs w:val="21"/>
              </w:rPr>
              <w:t>≥35万宗</w:t>
            </w:r>
          </w:p>
        </w:tc>
        <w:tc>
          <w:tcPr>
            <w:tcW w:w="1240" w:type="dxa"/>
            <w:vAlign w:val="center"/>
          </w:tcPr>
          <w:p w14:paraId="2A477952">
            <w:pPr>
              <w:widowControl/>
              <w:overflowPunct w:val="0"/>
              <w:autoSpaceDE w:val="0"/>
              <w:autoSpaceDN w:val="0"/>
              <w:adjustRightInd w:val="0"/>
              <w:snapToGrid w:val="0"/>
              <w:spacing w:line="240" w:lineRule="exact"/>
              <w:jc w:val="center"/>
              <w:textAlignment w:val="center"/>
              <w:rPr>
                <w:rFonts w:hint="default" w:ascii="Times New Roman" w:hAnsi="Times New Roman" w:cs="Times New Roman"/>
                <w:szCs w:val="21"/>
              </w:rPr>
            </w:pPr>
            <w:r>
              <w:rPr>
                <w:rFonts w:hint="default" w:ascii="Times New Roman" w:hAnsi="Times New Roman" w:cs="Times New Roman"/>
                <w:szCs w:val="21"/>
              </w:rPr>
              <w:t>24万宗</w:t>
            </w:r>
          </w:p>
        </w:tc>
        <w:tc>
          <w:tcPr>
            <w:tcW w:w="1791" w:type="dxa"/>
            <w:gridSpan w:val="2"/>
            <w:vAlign w:val="center"/>
          </w:tcPr>
          <w:p w14:paraId="61065F8D">
            <w:pPr>
              <w:widowControl/>
              <w:overflowPunct w:val="0"/>
              <w:autoSpaceDE w:val="0"/>
              <w:autoSpaceDN w:val="0"/>
              <w:adjustRightInd w:val="0"/>
              <w:snapToGrid w:val="0"/>
              <w:spacing w:line="240" w:lineRule="exact"/>
              <w:jc w:val="center"/>
              <w:textAlignment w:val="center"/>
              <w:rPr>
                <w:rFonts w:hint="default" w:ascii="Times New Roman" w:hAnsi="Times New Roman" w:cs="Times New Roman"/>
                <w:szCs w:val="21"/>
              </w:rPr>
            </w:pPr>
            <w:r>
              <w:rPr>
                <w:rFonts w:hint="default" w:ascii="Times New Roman" w:hAnsi="Times New Roman" w:cs="Times New Roman"/>
                <w:szCs w:val="21"/>
              </w:rPr>
              <w:t>2022年10月至12月受疫情影响进度，正在实施</w:t>
            </w:r>
          </w:p>
        </w:tc>
      </w:tr>
      <w:tr w14:paraId="5E5575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02" w:type="dxa"/>
            <w:vMerge w:val="continue"/>
            <w:vAlign w:val="center"/>
          </w:tcPr>
          <w:p w14:paraId="5810B64C">
            <w:pPr>
              <w:widowControl/>
              <w:overflowPunct w:val="0"/>
              <w:autoSpaceDE w:val="0"/>
              <w:autoSpaceDN w:val="0"/>
              <w:adjustRightInd w:val="0"/>
              <w:snapToGrid w:val="0"/>
              <w:spacing w:line="240" w:lineRule="exact"/>
              <w:jc w:val="center"/>
              <w:rPr>
                <w:rFonts w:hint="default" w:ascii="Times New Roman" w:hAnsi="Times New Roman" w:cs="Times New Roman"/>
                <w:szCs w:val="21"/>
              </w:rPr>
            </w:pPr>
          </w:p>
        </w:tc>
        <w:tc>
          <w:tcPr>
            <w:tcW w:w="1075" w:type="dxa"/>
            <w:vMerge w:val="continue"/>
            <w:vAlign w:val="center"/>
          </w:tcPr>
          <w:p w14:paraId="12D728D5">
            <w:pPr>
              <w:widowControl/>
              <w:overflowPunct w:val="0"/>
              <w:autoSpaceDE w:val="0"/>
              <w:autoSpaceDN w:val="0"/>
              <w:adjustRightInd w:val="0"/>
              <w:snapToGrid w:val="0"/>
              <w:spacing w:line="240" w:lineRule="exact"/>
              <w:jc w:val="center"/>
              <w:rPr>
                <w:rFonts w:hint="default" w:ascii="Times New Roman" w:hAnsi="Times New Roman" w:cs="Times New Roman"/>
                <w:szCs w:val="21"/>
              </w:rPr>
            </w:pPr>
          </w:p>
        </w:tc>
        <w:tc>
          <w:tcPr>
            <w:tcW w:w="1552" w:type="dxa"/>
            <w:gridSpan w:val="2"/>
            <w:vAlign w:val="center"/>
          </w:tcPr>
          <w:p w14:paraId="22279A23">
            <w:pPr>
              <w:widowControl/>
              <w:overflowPunct w:val="0"/>
              <w:autoSpaceDE w:val="0"/>
              <w:autoSpaceDN w:val="0"/>
              <w:adjustRightInd w:val="0"/>
              <w:snapToGrid w:val="0"/>
              <w:spacing w:line="240" w:lineRule="exact"/>
              <w:jc w:val="center"/>
              <w:textAlignment w:val="center"/>
              <w:rPr>
                <w:rFonts w:hint="default" w:ascii="Times New Roman" w:hAnsi="Times New Roman" w:cs="Times New Roman"/>
                <w:szCs w:val="21"/>
              </w:rPr>
            </w:pPr>
            <w:r>
              <w:rPr>
                <w:rFonts w:hint="default" w:ascii="Times New Roman" w:hAnsi="Times New Roman" w:cs="Times New Roman"/>
                <w:szCs w:val="21"/>
              </w:rPr>
              <w:t>质量指标</w:t>
            </w:r>
          </w:p>
        </w:tc>
        <w:tc>
          <w:tcPr>
            <w:tcW w:w="1956" w:type="dxa"/>
            <w:gridSpan w:val="2"/>
            <w:vAlign w:val="center"/>
          </w:tcPr>
          <w:p w14:paraId="7BCEE985">
            <w:pPr>
              <w:widowControl/>
              <w:overflowPunct w:val="0"/>
              <w:autoSpaceDE w:val="0"/>
              <w:autoSpaceDN w:val="0"/>
              <w:adjustRightInd w:val="0"/>
              <w:snapToGrid w:val="0"/>
              <w:spacing w:line="240" w:lineRule="exact"/>
              <w:jc w:val="center"/>
              <w:textAlignment w:val="center"/>
              <w:rPr>
                <w:rFonts w:hint="default" w:ascii="Times New Roman" w:hAnsi="Times New Roman" w:cs="Times New Roman"/>
                <w:szCs w:val="21"/>
              </w:rPr>
            </w:pPr>
            <w:r>
              <w:rPr>
                <w:rFonts w:hint="default" w:ascii="Times New Roman" w:hAnsi="Times New Roman" w:cs="Times New Roman"/>
                <w:szCs w:val="21"/>
              </w:rPr>
              <w:t>历史林权数据合格率</w:t>
            </w:r>
          </w:p>
        </w:tc>
        <w:tc>
          <w:tcPr>
            <w:tcW w:w="1545" w:type="dxa"/>
            <w:gridSpan w:val="2"/>
            <w:vAlign w:val="center"/>
          </w:tcPr>
          <w:p w14:paraId="7333BD9C">
            <w:pPr>
              <w:widowControl/>
              <w:overflowPunct w:val="0"/>
              <w:autoSpaceDE w:val="0"/>
              <w:autoSpaceDN w:val="0"/>
              <w:adjustRightInd w:val="0"/>
              <w:snapToGrid w:val="0"/>
              <w:spacing w:line="240" w:lineRule="exact"/>
              <w:jc w:val="center"/>
              <w:textAlignment w:val="center"/>
              <w:rPr>
                <w:rFonts w:hint="default" w:ascii="Times New Roman" w:hAnsi="Times New Roman" w:cs="Times New Roman"/>
                <w:szCs w:val="21"/>
              </w:rPr>
            </w:pPr>
            <w:r>
              <w:rPr>
                <w:rFonts w:hint="default" w:ascii="Times New Roman" w:hAnsi="Times New Roman" w:cs="Times New Roman"/>
                <w:szCs w:val="21"/>
              </w:rPr>
              <w:t>≥95%</w:t>
            </w:r>
          </w:p>
        </w:tc>
        <w:tc>
          <w:tcPr>
            <w:tcW w:w="1240" w:type="dxa"/>
            <w:vAlign w:val="center"/>
          </w:tcPr>
          <w:p w14:paraId="15805637">
            <w:pPr>
              <w:widowControl/>
              <w:overflowPunct w:val="0"/>
              <w:autoSpaceDE w:val="0"/>
              <w:autoSpaceDN w:val="0"/>
              <w:adjustRightInd w:val="0"/>
              <w:snapToGrid w:val="0"/>
              <w:spacing w:line="240" w:lineRule="exact"/>
              <w:jc w:val="center"/>
              <w:textAlignment w:val="center"/>
              <w:rPr>
                <w:rFonts w:hint="default" w:ascii="Times New Roman" w:hAnsi="Times New Roman" w:cs="Times New Roman"/>
                <w:szCs w:val="21"/>
              </w:rPr>
            </w:pPr>
            <w:r>
              <w:rPr>
                <w:rFonts w:hint="default" w:ascii="Times New Roman" w:hAnsi="Times New Roman" w:cs="Times New Roman"/>
                <w:szCs w:val="21"/>
              </w:rPr>
              <w:t>正在实施</w:t>
            </w:r>
          </w:p>
        </w:tc>
        <w:tc>
          <w:tcPr>
            <w:tcW w:w="1791" w:type="dxa"/>
            <w:gridSpan w:val="2"/>
            <w:vMerge w:val="restart"/>
            <w:vAlign w:val="center"/>
          </w:tcPr>
          <w:p w14:paraId="1AAD1CC7">
            <w:pPr>
              <w:widowControl/>
              <w:overflowPunct w:val="0"/>
              <w:autoSpaceDE w:val="0"/>
              <w:autoSpaceDN w:val="0"/>
              <w:adjustRightInd w:val="0"/>
              <w:snapToGrid w:val="0"/>
              <w:spacing w:line="240" w:lineRule="exact"/>
              <w:jc w:val="center"/>
              <w:textAlignment w:val="center"/>
              <w:rPr>
                <w:rFonts w:hint="default" w:ascii="Times New Roman" w:hAnsi="Times New Roman" w:cs="Times New Roman"/>
                <w:szCs w:val="21"/>
              </w:rPr>
            </w:pPr>
            <w:r>
              <w:rPr>
                <w:rFonts w:hint="default" w:ascii="Times New Roman" w:hAnsi="Times New Roman" w:cs="Times New Roman"/>
                <w:szCs w:val="21"/>
              </w:rPr>
              <w:t>2022年10月至12月</w:t>
            </w:r>
          </w:p>
          <w:p w14:paraId="1A5184E2">
            <w:pPr>
              <w:widowControl/>
              <w:overflowPunct w:val="0"/>
              <w:autoSpaceDE w:val="0"/>
              <w:autoSpaceDN w:val="0"/>
              <w:adjustRightInd w:val="0"/>
              <w:snapToGrid w:val="0"/>
              <w:spacing w:line="240" w:lineRule="exact"/>
              <w:jc w:val="center"/>
              <w:textAlignment w:val="center"/>
              <w:rPr>
                <w:rFonts w:hint="default" w:ascii="Times New Roman" w:hAnsi="Times New Roman" w:cs="Times New Roman"/>
                <w:szCs w:val="21"/>
              </w:rPr>
            </w:pPr>
            <w:r>
              <w:rPr>
                <w:rFonts w:hint="default" w:ascii="Times New Roman" w:hAnsi="Times New Roman" w:cs="Times New Roman"/>
                <w:szCs w:val="21"/>
              </w:rPr>
              <w:t>受疫情影响进度，</w:t>
            </w:r>
          </w:p>
          <w:p w14:paraId="4A705258">
            <w:pPr>
              <w:widowControl/>
              <w:overflowPunct w:val="0"/>
              <w:autoSpaceDE w:val="0"/>
              <w:autoSpaceDN w:val="0"/>
              <w:adjustRightInd w:val="0"/>
              <w:snapToGrid w:val="0"/>
              <w:spacing w:line="240" w:lineRule="exact"/>
              <w:jc w:val="center"/>
              <w:textAlignment w:val="center"/>
              <w:rPr>
                <w:rFonts w:hint="default" w:ascii="Times New Roman" w:hAnsi="Times New Roman" w:cs="Times New Roman"/>
                <w:szCs w:val="21"/>
              </w:rPr>
            </w:pPr>
            <w:r>
              <w:rPr>
                <w:rFonts w:hint="default" w:ascii="Times New Roman" w:hAnsi="Times New Roman" w:cs="Times New Roman"/>
                <w:szCs w:val="21"/>
              </w:rPr>
              <w:t>正在实施</w:t>
            </w:r>
          </w:p>
        </w:tc>
      </w:tr>
      <w:tr w14:paraId="378AE7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02" w:type="dxa"/>
            <w:vMerge w:val="continue"/>
            <w:vAlign w:val="center"/>
          </w:tcPr>
          <w:p w14:paraId="345C3131">
            <w:pPr>
              <w:widowControl/>
              <w:overflowPunct w:val="0"/>
              <w:autoSpaceDE w:val="0"/>
              <w:autoSpaceDN w:val="0"/>
              <w:adjustRightInd w:val="0"/>
              <w:snapToGrid w:val="0"/>
              <w:spacing w:line="240" w:lineRule="exact"/>
              <w:jc w:val="center"/>
              <w:rPr>
                <w:rFonts w:hint="default" w:ascii="Times New Roman" w:hAnsi="Times New Roman" w:cs="Times New Roman"/>
                <w:szCs w:val="21"/>
              </w:rPr>
            </w:pPr>
          </w:p>
        </w:tc>
        <w:tc>
          <w:tcPr>
            <w:tcW w:w="1075" w:type="dxa"/>
            <w:vMerge w:val="continue"/>
            <w:vAlign w:val="center"/>
          </w:tcPr>
          <w:p w14:paraId="3C44F6D3">
            <w:pPr>
              <w:widowControl/>
              <w:overflowPunct w:val="0"/>
              <w:autoSpaceDE w:val="0"/>
              <w:autoSpaceDN w:val="0"/>
              <w:adjustRightInd w:val="0"/>
              <w:snapToGrid w:val="0"/>
              <w:spacing w:line="240" w:lineRule="exact"/>
              <w:jc w:val="center"/>
              <w:rPr>
                <w:rFonts w:hint="default" w:ascii="Times New Roman" w:hAnsi="Times New Roman" w:cs="Times New Roman"/>
                <w:szCs w:val="21"/>
              </w:rPr>
            </w:pPr>
          </w:p>
        </w:tc>
        <w:tc>
          <w:tcPr>
            <w:tcW w:w="1552" w:type="dxa"/>
            <w:gridSpan w:val="2"/>
            <w:vAlign w:val="center"/>
          </w:tcPr>
          <w:p w14:paraId="5D21C2F0">
            <w:pPr>
              <w:widowControl/>
              <w:overflowPunct w:val="0"/>
              <w:autoSpaceDE w:val="0"/>
              <w:autoSpaceDN w:val="0"/>
              <w:adjustRightInd w:val="0"/>
              <w:snapToGrid w:val="0"/>
              <w:spacing w:line="240" w:lineRule="exact"/>
              <w:jc w:val="center"/>
              <w:textAlignment w:val="center"/>
              <w:rPr>
                <w:rFonts w:hint="default" w:ascii="Times New Roman" w:hAnsi="Times New Roman" w:cs="Times New Roman"/>
                <w:szCs w:val="21"/>
              </w:rPr>
            </w:pPr>
            <w:r>
              <w:rPr>
                <w:rFonts w:hint="default" w:ascii="Times New Roman" w:hAnsi="Times New Roman" w:cs="Times New Roman"/>
                <w:szCs w:val="21"/>
              </w:rPr>
              <w:t>时效指标</w:t>
            </w:r>
          </w:p>
        </w:tc>
        <w:tc>
          <w:tcPr>
            <w:tcW w:w="1956" w:type="dxa"/>
            <w:gridSpan w:val="2"/>
            <w:vAlign w:val="center"/>
          </w:tcPr>
          <w:p w14:paraId="2BC6E4BD">
            <w:pPr>
              <w:pStyle w:val="6"/>
              <w:kinsoku/>
              <w:overflowPunct w:val="0"/>
              <w:spacing w:line="240" w:lineRule="exact"/>
              <w:jc w:val="center"/>
              <w:rPr>
                <w:rFonts w:hint="default" w:ascii="Times New Roman" w:hAnsi="Times New Roman" w:cs="Times New Roman"/>
                <w:color w:val="auto"/>
              </w:rPr>
            </w:pPr>
            <w:r>
              <w:rPr>
                <w:rFonts w:hint="default" w:ascii="Times New Roman" w:hAnsi="Times New Roman" w:cs="Times New Roman"/>
                <w:color w:val="auto"/>
              </w:rPr>
              <w:t>林权权籍补充调查的时限</w:t>
            </w:r>
          </w:p>
        </w:tc>
        <w:tc>
          <w:tcPr>
            <w:tcW w:w="1545" w:type="dxa"/>
            <w:gridSpan w:val="2"/>
            <w:vAlign w:val="center"/>
          </w:tcPr>
          <w:p w14:paraId="7134F7B9">
            <w:pPr>
              <w:widowControl/>
              <w:overflowPunct w:val="0"/>
              <w:autoSpaceDE w:val="0"/>
              <w:autoSpaceDN w:val="0"/>
              <w:adjustRightInd w:val="0"/>
              <w:snapToGrid w:val="0"/>
              <w:spacing w:line="240" w:lineRule="exact"/>
              <w:jc w:val="center"/>
              <w:rPr>
                <w:rFonts w:hint="default" w:ascii="Times New Roman" w:hAnsi="Times New Roman" w:cs="Times New Roman"/>
                <w:szCs w:val="21"/>
              </w:rPr>
            </w:pPr>
            <w:r>
              <w:rPr>
                <w:rFonts w:hint="default" w:ascii="Times New Roman" w:hAnsi="Times New Roman" w:cs="Times New Roman"/>
                <w:szCs w:val="21"/>
              </w:rPr>
              <w:t>≤10个月</w:t>
            </w:r>
          </w:p>
        </w:tc>
        <w:tc>
          <w:tcPr>
            <w:tcW w:w="1240" w:type="dxa"/>
            <w:vAlign w:val="center"/>
          </w:tcPr>
          <w:p w14:paraId="04C29509">
            <w:pPr>
              <w:widowControl/>
              <w:overflowPunct w:val="0"/>
              <w:autoSpaceDE w:val="0"/>
              <w:autoSpaceDN w:val="0"/>
              <w:adjustRightInd w:val="0"/>
              <w:snapToGrid w:val="0"/>
              <w:spacing w:line="240" w:lineRule="exact"/>
              <w:jc w:val="center"/>
              <w:textAlignment w:val="center"/>
              <w:rPr>
                <w:rFonts w:hint="default" w:ascii="Times New Roman" w:hAnsi="Times New Roman" w:cs="Times New Roman"/>
                <w:szCs w:val="21"/>
              </w:rPr>
            </w:pPr>
            <w:r>
              <w:rPr>
                <w:rFonts w:hint="default" w:ascii="Times New Roman" w:hAnsi="Times New Roman" w:cs="Times New Roman"/>
                <w:szCs w:val="21"/>
              </w:rPr>
              <w:t>正在实施</w:t>
            </w:r>
          </w:p>
        </w:tc>
        <w:tc>
          <w:tcPr>
            <w:tcW w:w="1791" w:type="dxa"/>
            <w:gridSpan w:val="2"/>
            <w:vMerge w:val="continue"/>
            <w:vAlign w:val="center"/>
          </w:tcPr>
          <w:p w14:paraId="5968CD51">
            <w:pPr>
              <w:widowControl/>
              <w:overflowPunct w:val="0"/>
              <w:autoSpaceDE w:val="0"/>
              <w:autoSpaceDN w:val="0"/>
              <w:adjustRightInd w:val="0"/>
              <w:snapToGrid w:val="0"/>
              <w:spacing w:line="240" w:lineRule="exact"/>
              <w:jc w:val="center"/>
              <w:textAlignment w:val="center"/>
              <w:rPr>
                <w:rFonts w:hint="default" w:ascii="Times New Roman" w:hAnsi="Times New Roman" w:cs="Times New Roman"/>
                <w:szCs w:val="21"/>
              </w:rPr>
            </w:pPr>
          </w:p>
        </w:tc>
      </w:tr>
      <w:tr w14:paraId="291DE5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jc w:val="center"/>
        </w:trPr>
        <w:tc>
          <w:tcPr>
            <w:tcW w:w="602" w:type="dxa"/>
            <w:vMerge w:val="continue"/>
            <w:vAlign w:val="center"/>
          </w:tcPr>
          <w:p w14:paraId="5671AF6C">
            <w:pPr>
              <w:widowControl/>
              <w:overflowPunct w:val="0"/>
              <w:autoSpaceDE w:val="0"/>
              <w:autoSpaceDN w:val="0"/>
              <w:adjustRightInd w:val="0"/>
              <w:snapToGrid w:val="0"/>
              <w:spacing w:line="240" w:lineRule="exact"/>
              <w:jc w:val="center"/>
              <w:rPr>
                <w:rFonts w:hint="default" w:ascii="Times New Roman" w:hAnsi="Times New Roman" w:cs="Times New Roman"/>
                <w:szCs w:val="21"/>
              </w:rPr>
            </w:pPr>
          </w:p>
        </w:tc>
        <w:tc>
          <w:tcPr>
            <w:tcW w:w="1075" w:type="dxa"/>
            <w:vAlign w:val="center"/>
          </w:tcPr>
          <w:p w14:paraId="0786BEAF">
            <w:pPr>
              <w:widowControl/>
              <w:overflowPunct w:val="0"/>
              <w:autoSpaceDE w:val="0"/>
              <w:autoSpaceDN w:val="0"/>
              <w:adjustRightInd w:val="0"/>
              <w:snapToGrid w:val="0"/>
              <w:spacing w:line="240" w:lineRule="exact"/>
              <w:jc w:val="center"/>
              <w:rPr>
                <w:rFonts w:hint="default" w:ascii="Times New Roman" w:hAnsi="Times New Roman" w:cs="Times New Roman"/>
                <w:szCs w:val="21"/>
              </w:rPr>
            </w:pPr>
            <w:r>
              <w:rPr>
                <w:rFonts w:hint="default" w:ascii="Times New Roman" w:hAnsi="Times New Roman" w:cs="Times New Roman"/>
                <w:szCs w:val="21"/>
              </w:rPr>
              <w:t>成本指标</w:t>
            </w:r>
          </w:p>
        </w:tc>
        <w:tc>
          <w:tcPr>
            <w:tcW w:w="1552" w:type="dxa"/>
            <w:gridSpan w:val="2"/>
            <w:vAlign w:val="center"/>
          </w:tcPr>
          <w:p w14:paraId="27961143">
            <w:pPr>
              <w:widowControl/>
              <w:overflowPunct w:val="0"/>
              <w:autoSpaceDE w:val="0"/>
              <w:autoSpaceDN w:val="0"/>
              <w:adjustRightInd w:val="0"/>
              <w:snapToGrid w:val="0"/>
              <w:spacing w:line="240" w:lineRule="exact"/>
              <w:jc w:val="center"/>
              <w:rPr>
                <w:rFonts w:hint="default" w:ascii="Times New Roman" w:hAnsi="Times New Roman" w:cs="Times New Roman"/>
                <w:szCs w:val="21"/>
              </w:rPr>
            </w:pPr>
            <w:r>
              <w:rPr>
                <w:rFonts w:hint="default" w:ascii="Times New Roman" w:hAnsi="Times New Roman" w:cs="Times New Roman"/>
                <w:szCs w:val="21"/>
              </w:rPr>
              <w:t>经济成本</w:t>
            </w:r>
          </w:p>
        </w:tc>
        <w:tc>
          <w:tcPr>
            <w:tcW w:w="1956" w:type="dxa"/>
            <w:gridSpan w:val="2"/>
            <w:vAlign w:val="center"/>
          </w:tcPr>
          <w:p w14:paraId="5AF84822">
            <w:pPr>
              <w:widowControl/>
              <w:overflowPunct w:val="0"/>
              <w:autoSpaceDE w:val="0"/>
              <w:autoSpaceDN w:val="0"/>
              <w:adjustRightInd w:val="0"/>
              <w:snapToGrid w:val="0"/>
              <w:spacing w:line="240" w:lineRule="exact"/>
              <w:jc w:val="center"/>
              <w:textAlignment w:val="center"/>
              <w:rPr>
                <w:rFonts w:hint="default" w:ascii="Times New Roman" w:hAnsi="Times New Roman" w:cs="Times New Roman"/>
                <w:szCs w:val="21"/>
              </w:rPr>
            </w:pPr>
            <w:r>
              <w:rPr>
                <w:rFonts w:hint="default" w:ascii="Times New Roman" w:hAnsi="Times New Roman" w:cs="Times New Roman"/>
                <w:szCs w:val="21"/>
              </w:rPr>
              <w:t>调查成本单价</w:t>
            </w:r>
          </w:p>
        </w:tc>
        <w:tc>
          <w:tcPr>
            <w:tcW w:w="1545" w:type="dxa"/>
            <w:gridSpan w:val="2"/>
            <w:vAlign w:val="center"/>
          </w:tcPr>
          <w:p w14:paraId="3AAEEA1B">
            <w:pPr>
              <w:widowControl/>
              <w:overflowPunct w:val="0"/>
              <w:autoSpaceDE w:val="0"/>
              <w:autoSpaceDN w:val="0"/>
              <w:adjustRightInd w:val="0"/>
              <w:snapToGrid w:val="0"/>
              <w:spacing w:line="240" w:lineRule="exact"/>
              <w:jc w:val="center"/>
              <w:textAlignment w:val="center"/>
              <w:rPr>
                <w:rFonts w:hint="default" w:ascii="Times New Roman" w:hAnsi="Times New Roman" w:cs="Times New Roman"/>
                <w:szCs w:val="21"/>
              </w:rPr>
            </w:pPr>
            <w:r>
              <w:rPr>
                <w:rFonts w:hint="default" w:ascii="Times New Roman" w:hAnsi="Times New Roman" w:cs="Times New Roman"/>
                <w:szCs w:val="21"/>
              </w:rPr>
              <w:t>≤25.71元/宗</w:t>
            </w:r>
          </w:p>
        </w:tc>
        <w:tc>
          <w:tcPr>
            <w:tcW w:w="1240" w:type="dxa"/>
            <w:vAlign w:val="center"/>
          </w:tcPr>
          <w:p w14:paraId="630EF25C">
            <w:pPr>
              <w:widowControl/>
              <w:overflowPunct w:val="0"/>
              <w:autoSpaceDE w:val="0"/>
              <w:autoSpaceDN w:val="0"/>
              <w:adjustRightInd w:val="0"/>
              <w:snapToGrid w:val="0"/>
              <w:spacing w:line="240" w:lineRule="exact"/>
              <w:jc w:val="center"/>
              <w:textAlignment w:val="center"/>
              <w:rPr>
                <w:rFonts w:hint="default" w:ascii="Times New Roman" w:hAnsi="Times New Roman" w:cs="Times New Roman"/>
                <w:szCs w:val="21"/>
              </w:rPr>
            </w:pPr>
            <w:r>
              <w:rPr>
                <w:rFonts w:hint="default" w:ascii="Times New Roman" w:hAnsi="Times New Roman" w:cs="Times New Roman"/>
                <w:szCs w:val="21"/>
              </w:rPr>
              <w:t>21元/宗</w:t>
            </w:r>
          </w:p>
        </w:tc>
        <w:tc>
          <w:tcPr>
            <w:tcW w:w="1791" w:type="dxa"/>
            <w:gridSpan w:val="2"/>
            <w:vAlign w:val="center"/>
          </w:tcPr>
          <w:p w14:paraId="6230A97C">
            <w:pPr>
              <w:widowControl/>
              <w:overflowPunct w:val="0"/>
              <w:autoSpaceDE w:val="0"/>
              <w:autoSpaceDN w:val="0"/>
              <w:adjustRightInd w:val="0"/>
              <w:snapToGrid w:val="0"/>
              <w:spacing w:line="240" w:lineRule="exact"/>
              <w:jc w:val="center"/>
              <w:textAlignment w:val="center"/>
              <w:rPr>
                <w:rFonts w:hint="default" w:ascii="Times New Roman" w:hAnsi="Times New Roman" w:cs="Times New Roman"/>
                <w:szCs w:val="21"/>
              </w:rPr>
            </w:pPr>
            <w:r>
              <w:rPr>
                <w:rFonts w:hint="default" w:ascii="Times New Roman" w:hAnsi="Times New Roman" w:cs="Times New Roman"/>
                <w:szCs w:val="21"/>
              </w:rPr>
              <w:t>根据投标单价</w:t>
            </w:r>
          </w:p>
        </w:tc>
      </w:tr>
      <w:tr w14:paraId="6A9179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02" w:type="dxa"/>
            <w:vMerge w:val="continue"/>
            <w:vAlign w:val="center"/>
          </w:tcPr>
          <w:p w14:paraId="5035C9AA">
            <w:pPr>
              <w:widowControl/>
              <w:overflowPunct w:val="0"/>
              <w:autoSpaceDE w:val="0"/>
              <w:autoSpaceDN w:val="0"/>
              <w:adjustRightInd w:val="0"/>
              <w:snapToGrid w:val="0"/>
              <w:spacing w:line="240" w:lineRule="exact"/>
              <w:jc w:val="center"/>
              <w:rPr>
                <w:rFonts w:hint="default" w:ascii="Times New Roman" w:hAnsi="Times New Roman" w:cs="Times New Roman"/>
                <w:szCs w:val="21"/>
              </w:rPr>
            </w:pPr>
          </w:p>
        </w:tc>
        <w:tc>
          <w:tcPr>
            <w:tcW w:w="1075" w:type="dxa"/>
            <w:vMerge w:val="restart"/>
            <w:vAlign w:val="center"/>
          </w:tcPr>
          <w:p w14:paraId="0D552737">
            <w:pPr>
              <w:widowControl/>
              <w:overflowPunct w:val="0"/>
              <w:autoSpaceDE w:val="0"/>
              <w:autoSpaceDN w:val="0"/>
              <w:adjustRightInd w:val="0"/>
              <w:snapToGrid w:val="0"/>
              <w:spacing w:line="240" w:lineRule="exact"/>
              <w:jc w:val="center"/>
              <w:rPr>
                <w:rFonts w:hint="default" w:ascii="Times New Roman" w:hAnsi="Times New Roman" w:cs="Times New Roman"/>
                <w:szCs w:val="21"/>
              </w:rPr>
            </w:pPr>
            <w:r>
              <w:rPr>
                <w:rFonts w:hint="default" w:ascii="Times New Roman" w:hAnsi="Times New Roman" w:cs="Times New Roman"/>
                <w:szCs w:val="21"/>
              </w:rPr>
              <w:t>效益指标</w:t>
            </w:r>
          </w:p>
        </w:tc>
        <w:tc>
          <w:tcPr>
            <w:tcW w:w="1552" w:type="dxa"/>
            <w:gridSpan w:val="2"/>
            <w:vAlign w:val="center"/>
          </w:tcPr>
          <w:p w14:paraId="39EB24EC">
            <w:pPr>
              <w:widowControl/>
              <w:overflowPunct w:val="0"/>
              <w:autoSpaceDE w:val="0"/>
              <w:autoSpaceDN w:val="0"/>
              <w:adjustRightInd w:val="0"/>
              <w:snapToGrid w:val="0"/>
              <w:spacing w:line="240" w:lineRule="exact"/>
              <w:jc w:val="center"/>
              <w:textAlignment w:val="center"/>
              <w:rPr>
                <w:rFonts w:hint="default" w:ascii="Times New Roman" w:hAnsi="Times New Roman" w:cs="Times New Roman"/>
                <w:szCs w:val="21"/>
              </w:rPr>
            </w:pPr>
            <w:r>
              <w:rPr>
                <w:rFonts w:hint="default" w:ascii="Times New Roman" w:hAnsi="Times New Roman" w:cs="Times New Roman"/>
                <w:szCs w:val="21"/>
              </w:rPr>
              <w:t>社会效益指标</w:t>
            </w:r>
          </w:p>
        </w:tc>
        <w:tc>
          <w:tcPr>
            <w:tcW w:w="1956" w:type="dxa"/>
            <w:gridSpan w:val="2"/>
            <w:vAlign w:val="center"/>
          </w:tcPr>
          <w:p w14:paraId="0224C5E0">
            <w:pPr>
              <w:widowControl/>
              <w:overflowPunct w:val="0"/>
              <w:autoSpaceDE w:val="0"/>
              <w:autoSpaceDN w:val="0"/>
              <w:adjustRightInd w:val="0"/>
              <w:snapToGrid w:val="0"/>
              <w:spacing w:line="240" w:lineRule="exact"/>
              <w:jc w:val="center"/>
              <w:textAlignment w:val="center"/>
              <w:rPr>
                <w:rFonts w:hint="default" w:ascii="Times New Roman" w:hAnsi="Times New Roman" w:cs="Times New Roman"/>
                <w:szCs w:val="21"/>
              </w:rPr>
            </w:pPr>
            <w:r>
              <w:rPr>
                <w:rFonts w:hint="default" w:ascii="Times New Roman" w:hAnsi="Times New Roman" w:cs="Times New Roman"/>
                <w:szCs w:val="21"/>
              </w:rPr>
              <w:t>保护财产权益户数</w:t>
            </w:r>
          </w:p>
        </w:tc>
        <w:tc>
          <w:tcPr>
            <w:tcW w:w="1545" w:type="dxa"/>
            <w:gridSpan w:val="2"/>
            <w:vAlign w:val="center"/>
          </w:tcPr>
          <w:p w14:paraId="6541F6B4">
            <w:pPr>
              <w:widowControl/>
              <w:overflowPunct w:val="0"/>
              <w:autoSpaceDE w:val="0"/>
              <w:autoSpaceDN w:val="0"/>
              <w:adjustRightInd w:val="0"/>
              <w:snapToGrid w:val="0"/>
              <w:spacing w:line="240" w:lineRule="exact"/>
              <w:jc w:val="center"/>
              <w:textAlignment w:val="center"/>
              <w:rPr>
                <w:rFonts w:hint="default" w:ascii="Times New Roman" w:hAnsi="Times New Roman" w:cs="Times New Roman"/>
                <w:szCs w:val="21"/>
              </w:rPr>
            </w:pPr>
            <w:r>
              <w:rPr>
                <w:rFonts w:hint="default" w:ascii="Times New Roman" w:hAnsi="Times New Roman" w:cs="Times New Roman"/>
                <w:szCs w:val="21"/>
              </w:rPr>
              <w:t>≥6.1万户群众</w:t>
            </w:r>
          </w:p>
        </w:tc>
        <w:tc>
          <w:tcPr>
            <w:tcW w:w="1240" w:type="dxa"/>
            <w:vAlign w:val="center"/>
          </w:tcPr>
          <w:p w14:paraId="65FFAFAC">
            <w:pPr>
              <w:widowControl/>
              <w:overflowPunct w:val="0"/>
              <w:autoSpaceDE w:val="0"/>
              <w:autoSpaceDN w:val="0"/>
              <w:adjustRightInd w:val="0"/>
              <w:snapToGrid w:val="0"/>
              <w:spacing w:line="240" w:lineRule="exact"/>
              <w:jc w:val="center"/>
              <w:textAlignment w:val="center"/>
              <w:rPr>
                <w:rFonts w:hint="default" w:ascii="Times New Roman" w:hAnsi="Times New Roman" w:cs="Times New Roman"/>
                <w:szCs w:val="21"/>
              </w:rPr>
            </w:pPr>
            <w:r>
              <w:rPr>
                <w:rFonts w:hint="default" w:ascii="Times New Roman" w:hAnsi="Times New Roman" w:cs="Times New Roman"/>
                <w:szCs w:val="21"/>
              </w:rPr>
              <w:t>4万户</w:t>
            </w:r>
          </w:p>
        </w:tc>
        <w:tc>
          <w:tcPr>
            <w:tcW w:w="1791" w:type="dxa"/>
            <w:gridSpan w:val="2"/>
            <w:vAlign w:val="center"/>
          </w:tcPr>
          <w:p w14:paraId="61689BB6">
            <w:pPr>
              <w:widowControl/>
              <w:overflowPunct w:val="0"/>
              <w:autoSpaceDE w:val="0"/>
              <w:autoSpaceDN w:val="0"/>
              <w:adjustRightInd w:val="0"/>
              <w:snapToGrid w:val="0"/>
              <w:spacing w:line="240" w:lineRule="exact"/>
              <w:jc w:val="center"/>
              <w:textAlignment w:val="center"/>
              <w:rPr>
                <w:rFonts w:hint="default" w:ascii="Times New Roman" w:hAnsi="Times New Roman" w:cs="Times New Roman"/>
                <w:szCs w:val="21"/>
              </w:rPr>
            </w:pPr>
            <w:r>
              <w:rPr>
                <w:rFonts w:hint="default" w:ascii="Times New Roman" w:hAnsi="Times New Roman" w:cs="Times New Roman"/>
                <w:szCs w:val="21"/>
              </w:rPr>
              <w:t>正在实施</w:t>
            </w:r>
          </w:p>
        </w:tc>
      </w:tr>
      <w:tr w14:paraId="24E1A1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02" w:type="dxa"/>
            <w:vMerge w:val="continue"/>
            <w:vAlign w:val="center"/>
          </w:tcPr>
          <w:p w14:paraId="578E98B2">
            <w:pPr>
              <w:widowControl/>
              <w:overflowPunct w:val="0"/>
              <w:autoSpaceDE w:val="0"/>
              <w:autoSpaceDN w:val="0"/>
              <w:adjustRightInd w:val="0"/>
              <w:snapToGrid w:val="0"/>
              <w:spacing w:line="240" w:lineRule="exact"/>
              <w:jc w:val="center"/>
              <w:rPr>
                <w:rFonts w:hint="default" w:ascii="Times New Roman" w:hAnsi="Times New Roman" w:cs="Times New Roman"/>
                <w:szCs w:val="21"/>
              </w:rPr>
            </w:pPr>
          </w:p>
        </w:tc>
        <w:tc>
          <w:tcPr>
            <w:tcW w:w="1075" w:type="dxa"/>
            <w:vMerge w:val="continue"/>
            <w:vAlign w:val="center"/>
          </w:tcPr>
          <w:p w14:paraId="4531893B">
            <w:pPr>
              <w:widowControl/>
              <w:overflowPunct w:val="0"/>
              <w:autoSpaceDE w:val="0"/>
              <w:autoSpaceDN w:val="0"/>
              <w:adjustRightInd w:val="0"/>
              <w:snapToGrid w:val="0"/>
              <w:spacing w:line="240" w:lineRule="exact"/>
              <w:jc w:val="center"/>
              <w:rPr>
                <w:rFonts w:hint="default" w:ascii="Times New Roman" w:hAnsi="Times New Roman" w:cs="Times New Roman"/>
                <w:szCs w:val="21"/>
              </w:rPr>
            </w:pPr>
          </w:p>
        </w:tc>
        <w:tc>
          <w:tcPr>
            <w:tcW w:w="1552" w:type="dxa"/>
            <w:gridSpan w:val="2"/>
            <w:vAlign w:val="center"/>
          </w:tcPr>
          <w:p w14:paraId="4FFBF77A">
            <w:pPr>
              <w:widowControl/>
              <w:overflowPunct w:val="0"/>
              <w:autoSpaceDE w:val="0"/>
              <w:autoSpaceDN w:val="0"/>
              <w:adjustRightInd w:val="0"/>
              <w:snapToGrid w:val="0"/>
              <w:spacing w:line="240" w:lineRule="exact"/>
              <w:jc w:val="center"/>
              <w:rPr>
                <w:rFonts w:hint="default" w:ascii="Times New Roman" w:hAnsi="Times New Roman" w:cs="Times New Roman"/>
                <w:szCs w:val="21"/>
              </w:rPr>
            </w:pPr>
            <w:r>
              <w:rPr>
                <w:rFonts w:hint="default" w:ascii="Times New Roman" w:hAnsi="Times New Roman" w:cs="Times New Roman"/>
                <w:szCs w:val="21"/>
              </w:rPr>
              <w:t>可持续影响指标</w:t>
            </w:r>
          </w:p>
        </w:tc>
        <w:tc>
          <w:tcPr>
            <w:tcW w:w="1956" w:type="dxa"/>
            <w:gridSpan w:val="2"/>
            <w:vAlign w:val="center"/>
          </w:tcPr>
          <w:p w14:paraId="165C7ADA">
            <w:pPr>
              <w:widowControl/>
              <w:overflowPunct w:val="0"/>
              <w:autoSpaceDE w:val="0"/>
              <w:autoSpaceDN w:val="0"/>
              <w:adjustRightInd w:val="0"/>
              <w:snapToGrid w:val="0"/>
              <w:spacing w:line="240" w:lineRule="exact"/>
              <w:jc w:val="center"/>
              <w:textAlignment w:val="center"/>
              <w:rPr>
                <w:rFonts w:hint="default" w:ascii="Times New Roman" w:hAnsi="Times New Roman" w:cs="Times New Roman"/>
                <w:szCs w:val="21"/>
              </w:rPr>
            </w:pPr>
            <w:r>
              <w:rPr>
                <w:rFonts w:hint="default" w:ascii="Times New Roman" w:hAnsi="Times New Roman" w:cs="Times New Roman"/>
                <w:szCs w:val="21"/>
              </w:rPr>
              <w:t>为乡村振兴提供产权基础</w:t>
            </w:r>
          </w:p>
        </w:tc>
        <w:tc>
          <w:tcPr>
            <w:tcW w:w="1545" w:type="dxa"/>
            <w:gridSpan w:val="2"/>
            <w:vAlign w:val="center"/>
          </w:tcPr>
          <w:p w14:paraId="336280A8">
            <w:pPr>
              <w:widowControl/>
              <w:overflowPunct w:val="0"/>
              <w:autoSpaceDE w:val="0"/>
              <w:autoSpaceDN w:val="0"/>
              <w:adjustRightInd w:val="0"/>
              <w:snapToGrid w:val="0"/>
              <w:spacing w:line="240" w:lineRule="exact"/>
              <w:jc w:val="center"/>
              <w:textAlignment w:val="center"/>
              <w:rPr>
                <w:rFonts w:hint="default" w:ascii="Times New Roman" w:hAnsi="Times New Roman" w:cs="Times New Roman"/>
                <w:szCs w:val="21"/>
              </w:rPr>
            </w:pPr>
            <w:r>
              <w:rPr>
                <w:rFonts w:hint="default" w:ascii="Times New Roman" w:hAnsi="Times New Roman" w:cs="Times New Roman"/>
                <w:szCs w:val="21"/>
              </w:rPr>
              <w:t>有效</w:t>
            </w:r>
          </w:p>
        </w:tc>
        <w:tc>
          <w:tcPr>
            <w:tcW w:w="1240" w:type="dxa"/>
            <w:vAlign w:val="center"/>
          </w:tcPr>
          <w:p w14:paraId="7877D49D">
            <w:pPr>
              <w:widowControl/>
              <w:overflowPunct w:val="0"/>
              <w:autoSpaceDE w:val="0"/>
              <w:autoSpaceDN w:val="0"/>
              <w:adjustRightInd w:val="0"/>
              <w:snapToGrid w:val="0"/>
              <w:spacing w:line="240" w:lineRule="exact"/>
              <w:jc w:val="center"/>
              <w:textAlignment w:val="center"/>
              <w:rPr>
                <w:rFonts w:hint="default" w:ascii="Times New Roman" w:hAnsi="Times New Roman" w:cs="Times New Roman"/>
                <w:szCs w:val="21"/>
              </w:rPr>
            </w:pPr>
            <w:r>
              <w:rPr>
                <w:rFonts w:hint="default" w:ascii="Times New Roman" w:hAnsi="Times New Roman" w:cs="Times New Roman"/>
                <w:szCs w:val="21"/>
              </w:rPr>
              <w:t>有效</w:t>
            </w:r>
          </w:p>
        </w:tc>
        <w:tc>
          <w:tcPr>
            <w:tcW w:w="1791" w:type="dxa"/>
            <w:gridSpan w:val="2"/>
            <w:vAlign w:val="center"/>
          </w:tcPr>
          <w:p w14:paraId="18FAE160">
            <w:pPr>
              <w:widowControl/>
              <w:overflowPunct w:val="0"/>
              <w:autoSpaceDE w:val="0"/>
              <w:autoSpaceDN w:val="0"/>
              <w:adjustRightInd w:val="0"/>
              <w:snapToGrid w:val="0"/>
              <w:spacing w:line="240" w:lineRule="exact"/>
              <w:jc w:val="center"/>
              <w:textAlignment w:val="center"/>
              <w:rPr>
                <w:rFonts w:hint="default" w:ascii="Times New Roman" w:hAnsi="Times New Roman" w:cs="Times New Roman"/>
                <w:szCs w:val="21"/>
              </w:rPr>
            </w:pPr>
          </w:p>
        </w:tc>
      </w:tr>
      <w:tr w14:paraId="092687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02" w:type="dxa"/>
            <w:vMerge w:val="continue"/>
            <w:vAlign w:val="center"/>
          </w:tcPr>
          <w:p w14:paraId="0C3C4643">
            <w:pPr>
              <w:widowControl/>
              <w:overflowPunct w:val="0"/>
              <w:autoSpaceDE w:val="0"/>
              <w:autoSpaceDN w:val="0"/>
              <w:adjustRightInd w:val="0"/>
              <w:snapToGrid w:val="0"/>
              <w:spacing w:line="240" w:lineRule="exact"/>
              <w:jc w:val="center"/>
              <w:rPr>
                <w:rFonts w:hint="default" w:ascii="Times New Roman" w:hAnsi="Times New Roman" w:cs="Times New Roman"/>
                <w:szCs w:val="21"/>
              </w:rPr>
            </w:pPr>
          </w:p>
        </w:tc>
        <w:tc>
          <w:tcPr>
            <w:tcW w:w="1075" w:type="dxa"/>
            <w:vAlign w:val="center"/>
          </w:tcPr>
          <w:p w14:paraId="2ABF3A90">
            <w:pPr>
              <w:widowControl/>
              <w:overflowPunct w:val="0"/>
              <w:autoSpaceDE w:val="0"/>
              <w:autoSpaceDN w:val="0"/>
              <w:adjustRightInd w:val="0"/>
              <w:snapToGrid w:val="0"/>
              <w:spacing w:line="240" w:lineRule="exact"/>
              <w:jc w:val="center"/>
              <w:rPr>
                <w:rFonts w:hint="default" w:ascii="Times New Roman" w:hAnsi="Times New Roman" w:cs="Times New Roman"/>
                <w:szCs w:val="21"/>
              </w:rPr>
            </w:pPr>
            <w:r>
              <w:rPr>
                <w:rFonts w:hint="default" w:ascii="Times New Roman" w:hAnsi="Times New Roman" w:cs="Times New Roman"/>
                <w:szCs w:val="21"/>
              </w:rPr>
              <w:t>满意度指标</w:t>
            </w:r>
          </w:p>
        </w:tc>
        <w:tc>
          <w:tcPr>
            <w:tcW w:w="1552" w:type="dxa"/>
            <w:gridSpan w:val="2"/>
            <w:vAlign w:val="center"/>
          </w:tcPr>
          <w:p w14:paraId="710FA21A">
            <w:pPr>
              <w:widowControl/>
              <w:overflowPunct w:val="0"/>
              <w:autoSpaceDE w:val="0"/>
              <w:autoSpaceDN w:val="0"/>
              <w:adjustRightInd w:val="0"/>
              <w:snapToGrid w:val="0"/>
              <w:spacing w:line="240" w:lineRule="exact"/>
              <w:jc w:val="center"/>
              <w:rPr>
                <w:rFonts w:hint="default" w:ascii="Times New Roman" w:hAnsi="Times New Roman" w:cs="Times New Roman"/>
                <w:szCs w:val="21"/>
              </w:rPr>
            </w:pPr>
            <w:r>
              <w:rPr>
                <w:rFonts w:hint="default" w:ascii="Times New Roman" w:hAnsi="Times New Roman" w:cs="Times New Roman"/>
                <w:szCs w:val="21"/>
              </w:rPr>
              <w:t>服务对象满意度指标</w:t>
            </w:r>
          </w:p>
        </w:tc>
        <w:tc>
          <w:tcPr>
            <w:tcW w:w="1956" w:type="dxa"/>
            <w:gridSpan w:val="2"/>
            <w:vAlign w:val="center"/>
          </w:tcPr>
          <w:p w14:paraId="10AADEC5">
            <w:pPr>
              <w:widowControl/>
              <w:overflowPunct w:val="0"/>
              <w:autoSpaceDE w:val="0"/>
              <w:autoSpaceDN w:val="0"/>
              <w:adjustRightInd w:val="0"/>
              <w:snapToGrid w:val="0"/>
              <w:spacing w:line="240" w:lineRule="exact"/>
              <w:jc w:val="center"/>
              <w:textAlignment w:val="center"/>
              <w:rPr>
                <w:rFonts w:hint="default" w:ascii="Times New Roman" w:hAnsi="Times New Roman" w:cs="Times New Roman"/>
                <w:szCs w:val="21"/>
              </w:rPr>
            </w:pPr>
            <w:r>
              <w:rPr>
                <w:rFonts w:hint="default" w:ascii="Times New Roman" w:hAnsi="Times New Roman" w:cs="Times New Roman"/>
                <w:szCs w:val="21"/>
              </w:rPr>
              <w:t>全区农户确权登记参与调查满意度度</w:t>
            </w:r>
          </w:p>
        </w:tc>
        <w:tc>
          <w:tcPr>
            <w:tcW w:w="1545" w:type="dxa"/>
            <w:gridSpan w:val="2"/>
            <w:vAlign w:val="center"/>
          </w:tcPr>
          <w:p w14:paraId="0165722C">
            <w:pPr>
              <w:widowControl/>
              <w:overflowPunct w:val="0"/>
              <w:autoSpaceDE w:val="0"/>
              <w:autoSpaceDN w:val="0"/>
              <w:adjustRightInd w:val="0"/>
              <w:snapToGrid w:val="0"/>
              <w:spacing w:line="240" w:lineRule="exact"/>
              <w:jc w:val="center"/>
              <w:textAlignment w:val="center"/>
              <w:rPr>
                <w:rFonts w:hint="default" w:ascii="Times New Roman" w:hAnsi="Times New Roman" w:cs="Times New Roman"/>
                <w:szCs w:val="21"/>
              </w:rPr>
            </w:pPr>
            <w:r>
              <w:rPr>
                <w:rFonts w:hint="default" w:ascii="Times New Roman" w:hAnsi="Times New Roman" w:cs="Times New Roman"/>
                <w:szCs w:val="21"/>
              </w:rPr>
              <w:t>≥90%</w:t>
            </w:r>
          </w:p>
        </w:tc>
        <w:tc>
          <w:tcPr>
            <w:tcW w:w="1240" w:type="dxa"/>
            <w:vAlign w:val="center"/>
          </w:tcPr>
          <w:p w14:paraId="2B483586">
            <w:pPr>
              <w:widowControl/>
              <w:overflowPunct w:val="0"/>
              <w:autoSpaceDE w:val="0"/>
              <w:autoSpaceDN w:val="0"/>
              <w:adjustRightInd w:val="0"/>
              <w:snapToGrid w:val="0"/>
              <w:spacing w:line="240" w:lineRule="exact"/>
              <w:jc w:val="center"/>
              <w:textAlignment w:val="center"/>
              <w:rPr>
                <w:rFonts w:hint="default" w:ascii="Times New Roman" w:hAnsi="Times New Roman" w:cs="Times New Roman"/>
                <w:szCs w:val="21"/>
              </w:rPr>
            </w:pPr>
            <w:r>
              <w:rPr>
                <w:rFonts w:hint="default" w:ascii="Times New Roman" w:hAnsi="Times New Roman" w:cs="Times New Roman"/>
                <w:szCs w:val="21"/>
              </w:rPr>
              <w:t>≥90%</w:t>
            </w:r>
          </w:p>
        </w:tc>
        <w:tc>
          <w:tcPr>
            <w:tcW w:w="1791" w:type="dxa"/>
            <w:gridSpan w:val="2"/>
            <w:vAlign w:val="center"/>
          </w:tcPr>
          <w:p w14:paraId="4C687438">
            <w:pPr>
              <w:widowControl/>
              <w:overflowPunct w:val="0"/>
              <w:autoSpaceDE w:val="0"/>
              <w:autoSpaceDN w:val="0"/>
              <w:adjustRightInd w:val="0"/>
              <w:snapToGrid w:val="0"/>
              <w:spacing w:line="240" w:lineRule="exact"/>
              <w:jc w:val="center"/>
              <w:textAlignment w:val="center"/>
              <w:rPr>
                <w:rFonts w:hint="default" w:ascii="Times New Roman" w:hAnsi="Times New Roman" w:cs="Times New Roman"/>
                <w:szCs w:val="21"/>
              </w:rPr>
            </w:pPr>
          </w:p>
        </w:tc>
      </w:tr>
    </w:tbl>
    <w:p w14:paraId="09FCABDA">
      <w:pPr>
        <w:overflowPunct w:val="0"/>
        <w:spacing w:line="576" w:lineRule="exact"/>
        <w:ind w:firstLine="640" w:firstLineChars="200"/>
        <w:rPr>
          <w:rFonts w:hint="default" w:ascii="Times New Roman" w:hAnsi="Times New Roman" w:eastAsia="仿宋_GB2312" w:cs="Times New Roman"/>
          <w:sz w:val="32"/>
          <w:szCs w:val="32"/>
        </w:rPr>
      </w:pPr>
    </w:p>
    <w:p w14:paraId="4189B871">
      <w:pPr>
        <w:spacing w:line="576"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zh-CN"/>
        </w:rPr>
        <w:t>附件</w:t>
      </w:r>
      <w:r>
        <w:rPr>
          <w:rFonts w:hint="default" w:ascii="Times New Roman" w:hAnsi="Times New Roman" w:eastAsia="黑体" w:cs="Times New Roman"/>
          <w:sz w:val="32"/>
          <w:szCs w:val="32"/>
        </w:rPr>
        <w:t>2</w:t>
      </w:r>
    </w:p>
    <w:p w14:paraId="25BB6908">
      <w:pPr>
        <w:pStyle w:val="7"/>
        <w:spacing w:before="93" w:line="240" w:lineRule="exact"/>
        <w:rPr>
          <w:rFonts w:hint="default" w:ascii="Times New Roman" w:hAnsi="Times New Roman" w:cs="Times New Roman"/>
        </w:rPr>
      </w:pPr>
    </w:p>
    <w:p w14:paraId="07F58930">
      <w:pPr>
        <w:widowControl/>
        <w:spacing w:line="600" w:lineRule="exact"/>
        <w:jc w:val="center"/>
        <w:outlineLvl w:val="0"/>
        <w:rPr>
          <w:rFonts w:hint="default" w:ascii="Times New Roman" w:hAnsi="Times New Roman" w:eastAsia="方正小标宋简体" w:cs="Times New Roman"/>
          <w:color w:val="000000"/>
          <w:kern w:val="0"/>
          <w:sz w:val="44"/>
          <w:szCs w:val="44"/>
          <w:shd w:val="clear" w:color="auto" w:fill="FFFFFF"/>
        </w:rPr>
      </w:pPr>
      <w:r>
        <w:rPr>
          <w:rFonts w:hint="default" w:ascii="Times New Roman" w:hAnsi="Times New Roman" w:eastAsia="方正小标宋简体" w:cs="Times New Roman"/>
          <w:color w:val="000000"/>
          <w:kern w:val="0"/>
          <w:sz w:val="44"/>
          <w:szCs w:val="44"/>
          <w:shd w:val="clear" w:color="auto" w:fill="FFFFFF"/>
        </w:rPr>
        <w:t>2022年度地质灾害防治专项资金</w:t>
      </w:r>
    </w:p>
    <w:p w14:paraId="4456904F">
      <w:pPr>
        <w:widowControl/>
        <w:spacing w:line="600" w:lineRule="exact"/>
        <w:jc w:val="center"/>
        <w:outlineLvl w:val="0"/>
        <w:rPr>
          <w:rFonts w:hint="default" w:ascii="Times New Roman" w:hAnsi="Times New Roman" w:eastAsia="方正小标宋简体" w:cs="Times New Roman"/>
          <w:color w:val="000000"/>
          <w:kern w:val="0"/>
          <w:sz w:val="44"/>
          <w:szCs w:val="44"/>
          <w:shd w:val="clear" w:color="auto" w:fill="FFFFFF"/>
        </w:rPr>
      </w:pPr>
      <w:r>
        <w:rPr>
          <w:rFonts w:hint="default" w:ascii="Times New Roman" w:hAnsi="Times New Roman" w:eastAsia="方正小标宋简体" w:cs="Times New Roman"/>
          <w:color w:val="000000"/>
          <w:kern w:val="0"/>
          <w:sz w:val="44"/>
          <w:szCs w:val="44"/>
          <w:shd w:val="clear" w:color="auto" w:fill="FFFFFF"/>
        </w:rPr>
        <w:t>绩效自评情况的报告</w:t>
      </w:r>
    </w:p>
    <w:p w14:paraId="3DAEF8D7">
      <w:pPr>
        <w:pStyle w:val="37"/>
        <w:spacing w:line="240" w:lineRule="exact"/>
        <w:ind w:firstLine="640" w:firstLineChars="200"/>
        <w:rPr>
          <w:rFonts w:hint="default" w:ascii="Times New Roman" w:hAnsi="Times New Roman" w:eastAsia="仿宋_GB2312" w:cs="Times New Roman"/>
          <w:color w:val="auto"/>
          <w:kern w:val="2"/>
          <w:sz w:val="32"/>
          <w:szCs w:val="32"/>
        </w:rPr>
      </w:pPr>
    </w:p>
    <w:p w14:paraId="73D08086">
      <w:pPr>
        <w:keepNext w:val="0"/>
        <w:keepLines w:val="0"/>
        <w:pageBreakBefore w:val="0"/>
        <w:widowControl/>
        <w:kinsoku/>
        <w:wordWrap/>
        <w:overflowPunct/>
        <w:topLinePunct w:val="0"/>
        <w:bidi w:val="0"/>
        <w:adjustRightInd w:val="0"/>
        <w:snapToGrid w:val="0"/>
        <w:spacing w:line="576" w:lineRule="exact"/>
        <w:ind w:firstLine="640" w:firstLineChars="200"/>
        <w:contextualSpacing/>
        <w:jc w:val="both"/>
        <w:textAlignment w:val="auto"/>
        <w:rPr>
          <w:rFonts w:hint="default" w:ascii="Times New Roman" w:hAnsi="Times New Roman" w:eastAsia="黑体" w:cs="Times New Roman"/>
          <w:kern w:val="0"/>
          <w:sz w:val="32"/>
          <w:szCs w:val="32"/>
          <w:shd w:val="clear" w:color="auto" w:fill="FFFFFF"/>
          <w:lang w:val="zh-CN"/>
        </w:rPr>
      </w:pPr>
      <w:r>
        <w:rPr>
          <w:rFonts w:hint="default" w:ascii="Times New Roman" w:hAnsi="Times New Roman" w:eastAsia="黑体" w:cs="Times New Roman"/>
          <w:kern w:val="0"/>
          <w:sz w:val="32"/>
          <w:szCs w:val="32"/>
          <w:shd w:val="clear" w:color="auto" w:fill="FFFFFF"/>
          <w:lang w:val="zh-CN"/>
        </w:rPr>
        <w:t>一、项目概况</w:t>
      </w:r>
    </w:p>
    <w:p w14:paraId="3ABFB0A7">
      <w:pPr>
        <w:keepNext w:val="0"/>
        <w:keepLines w:val="0"/>
        <w:pageBreakBefore w:val="0"/>
        <w:kinsoku/>
        <w:wordWrap/>
        <w:overflowPunct/>
        <w:topLinePunct w:val="0"/>
        <w:bidi w:val="0"/>
        <w:adjustRightInd w:val="0"/>
        <w:snapToGrid w:val="0"/>
        <w:spacing w:line="576" w:lineRule="exact"/>
        <w:ind w:firstLine="640" w:firstLineChars="200"/>
        <w:jc w:val="both"/>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楷体_GB2312" w:cs="Times New Roman"/>
          <w:b w:val="0"/>
          <w:bCs/>
          <w:sz w:val="32"/>
          <w:szCs w:val="32"/>
          <w:lang w:val="zh-CN"/>
        </w:rPr>
        <w:t>（一）项目基本情况。</w:t>
      </w:r>
      <w:r>
        <w:rPr>
          <w:rFonts w:hint="default" w:ascii="Times New Roman" w:hAnsi="Times New Roman" w:eastAsia="仿宋_GB2312" w:cs="Times New Roman"/>
          <w:sz w:val="32"/>
          <w:szCs w:val="32"/>
          <w:shd w:val="clear" w:color="auto" w:fill="FFFFFF"/>
        </w:rPr>
        <w:t>我局作为全区地质灾害防治工作的组织、协调、指导和监督部门，负责地质灾害项目的实施监管。严格按上级文件下达项目做好项目立项、实施、验收等工作，制定了昭化区地质灾害项目变更管理办法。</w:t>
      </w:r>
    </w:p>
    <w:p w14:paraId="24D9E64B">
      <w:pPr>
        <w:keepNext w:val="0"/>
        <w:keepLines w:val="0"/>
        <w:pageBreakBefore w:val="0"/>
        <w:kinsoku/>
        <w:wordWrap/>
        <w:overflowPunct/>
        <w:topLinePunct w:val="0"/>
        <w:bidi w:val="0"/>
        <w:adjustRightInd w:val="0"/>
        <w:snapToGrid w:val="0"/>
        <w:spacing w:line="576" w:lineRule="exact"/>
        <w:ind w:firstLine="640" w:firstLineChars="200"/>
        <w:jc w:val="both"/>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楷体_GB2312" w:cs="Times New Roman"/>
          <w:b w:val="0"/>
          <w:bCs/>
          <w:sz w:val="32"/>
          <w:szCs w:val="32"/>
          <w:lang w:val="zh-CN"/>
        </w:rPr>
        <w:t>（二）项目绩效目标。</w:t>
      </w:r>
      <w:r>
        <w:rPr>
          <w:rFonts w:hint="default" w:ascii="Times New Roman" w:hAnsi="Times New Roman" w:eastAsia="仿宋_GB2312" w:cs="Times New Roman"/>
          <w:sz w:val="32"/>
          <w:szCs w:val="32"/>
          <w:shd w:val="clear" w:color="auto" w:fill="FFFFFF"/>
        </w:rPr>
        <w:t>2022年省、市下达任务中，</w:t>
      </w:r>
      <w:r>
        <w:rPr>
          <w:rFonts w:hint="default" w:ascii="Times New Roman" w:hAnsi="Times New Roman" w:eastAsia="仿宋_GB2312" w:cs="Times New Roman"/>
          <w:sz w:val="32"/>
          <w:szCs w:val="32"/>
          <w:lang w:val="zh-CN"/>
        </w:rPr>
        <w:t>斜坡地质灾害隐患风险详查试点项目、重点乡镇1:10000地质灾害精细化调查项目</w:t>
      </w:r>
      <w:r>
        <w:rPr>
          <w:rFonts w:hint="default" w:ascii="Times New Roman" w:hAnsi="Times New Roman" w:eastAsia="仿宋_GB2312" w:cs="Times New Roman"/>
          <w:sz w:val="32"/>
          <w:szCs w:val="32"/>
        </w:rPr>
        <w:t>、切坡建房地质灾害防范试点项目正在开展外，其他项目已全部完成</w:t>
      </w:r>
      <w:r>
        <w:rPr>
          <w:rFonts w:hint="default" w:ascii="Times New Roman" w:hAnsi="Times New Roman" w:eastAsia="仿宋_GB2312" w:cs="Times New Roman"/>
          <w:sz w:val="32"/>
          <w:szCs w:val="32"/>
          <w:shd w:val="clear" w:color="auto" w:fill="FFFFFF"/>
        </w:rPr>
        <w:t>。全区所有地质灾害隐患点培训演练覆盖率100%，按时编制并启动了2022年度实施方案，规划任务在四川省地质环境管理信息系统填报率100%，通过工程治理和排危除险等核销地灾隐患点，地灾预警预报能力、隐患识别能力、应急排危除险及时性较过去有了较大提高，监测预警地灾防范能力进一步提升，工程治理区群众生命财产安全得到更好的保障，实施区域群众防灾减灾参与度≥95%，上级主管部门满意度≥95%，人民群众满意度≥95%，截止2022年，全区实现连续14年地质灾害隐患点无人员伤亡。</w:t>
      </w:r>
    </w:p>
    <w:p w14:paraId="58ED257E">
      <w:pPr>
        <w:keepNext w:val="0"/>
        <w:keepLines w:val="0"/>
        <w:pageBreakBefore w:val="0"/>
        <w:kinsoku/>
        <w:wordWrap/>
        <w:overflowPunct/>
        <w:topLinePunct w:val="0"/>
        <w:bidi w:val="0"/>
        <w:adjustRightInd w:val="0"/>
        <w:snapToGrid w:val="0"/>
        <w:spacing w:line="576" w:lineRule="exact"/>
        <w:ind w:firstLine="640" w:firstLineChars="200"/>
        <w:jc w:val="both"/>
        <w:textAlignment w:val="auto"/>
        <w:rPr>
          <w:rFonts w:hint="default" w:ascii="Times New Roman" w:hAnsi="Times New Roman" w:eastAsia="仿宋_GB2312" w:cs="Times New Roman"/>
          <w:color w:val="000000"/>
          <w:kern w:val="0"/>
          <w:sz w:val="32"/>
          <w:szCs w:val="32"/>
          <w:shd w:val="clear" w:color="auto" w:fill="FFFFFF"/>
        </w:rPr>
      </w:pPr>
      <w:r>
        <w:rPr>
          <w:rFonts w:hint="default" w:ascii="Times New Roman" w:hAnsi="Times New Roman" w:eastAsia="楷体_GB2312" w:cs="Times New Roman"/>
          <w:b w:val="0"/>
          <w:bCs/>
          <w:sz w:val="32"/>
          <w:szCs w:val="32"/>
          <w:lang w:val="zh-CN"/>
        </w:rPr>
        <w:t>（三）项目自评步骤及方法。</w:t>
      </w:r>
      <w:r>
        <w:rPr>
          <w:rFonts w:hint="default" w:ascii="Times New Roman" w:hAnsi="Times New Roman" w:eastAsia="仿宋_GB2312" w:cs="Times New Roman"/>
          <w:kern w:val="0"/>
          <w:sz w:val="32"/>
          <w:szCs w:val="32"/>
          <w:shd w:val="clear" w:color="auto" w:fill="FFFFFF"/>
        </w:rPr>
        <w:t>项目采取具体承担地质灾害防治项目业务组室和财务根据项目实际编制绩效，开展自评后报送行业主管部门区财政审批</w:t>
      </w:r>
      <w:r>
        <w:rPr>
          <w:rFonts w:hint="default" w:ascii="Times New Roman" w:hAnsi="Times New Roman" w:eastAsia="仿宋_GB2312" w:cs="Times New Roman"/>
          <w:kern w:val="0"/>
          <w:sz w:val="32"/>
          <w:szCs w:val="32"/>
          <w:shd w:val="clear" w:color="auto" w:fill="FFFFFF"/>
          <w:lang w:val="zh-CN"/>
        </w:rPr>
        <w:t>。</w:t>
      </w:r>
    </w:p>
    <w:p w14:paraId="40488BB9">
      <w:pPr>
        <w:keepNext w:val="0"/>
        <w:keepLines w:val="0"/>
        <w:pageBreakBefore w:val="0"/>
        <w:kinsoku/>
        <w:wordWrap/>
        <w:overflowPunct/>
        <w:topLinePunct w:val="0"/>
        <w:bidi w:val="0"/>
        <w:adjustRightInd w:val="0"/>
        <w:snapToGrid w:val="0"/>
        <w:spacing w:line="576"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二、项目资金申报及使用情况</w:t>
      </w:r>
    </w:p>
    <w:p w14:paraId="13521196">
      <w:pPr>
        <w:pStyle w:val="29"/>
        <w:keepNext w:val="0"/>
        <w:keepLines w:val="0"/>
        <w:pageBreakBefore w:val="0"/>
        <w:kinsoku/>
        <w:wordWrap/>
        <w:overflowPunct/>
        <w:topLinePunct w:val="0"/>
        <w:bidi w:val="0"/>
        <w:spacing w:line="576" w:lineRule="exact"/>
        <w:ind w:firstLine="640" w:firstLineChars="200"/>
        <w:jc w:val="both"/>
        <w:textAlignment w:val="auto"/>
        <w:rPr>
          <w:rFonts w:hint="default" w:ascii="Times New Roman" w:hAnsi="Times New Roman" w:eastAsia="仿宋_GB2312" w:cs="Times New Roman"/>
          <w:sz w:val="32"/>
          <w:szCs w:val="32"/>
          <w:shd w:val="clear" w:color="auto" w:fill="FFFFFF"/>
          <w:lang w:eastAsia="zh-CN"/>
        </w:rPr>
      </w:pPr>
      <w:r>
        <w:rPr>
          <w:rFonts w:hint="default" w:ascii="Times New Roman" w:hAnsi="Times New Roman" w:eastAsia="仿宋_GB2312" w:cs="Times New Roman"/>
          <w:sz w:val="32"/>
          <w:szCs w:val="32"/>
          <w:shd w:val="clear" w:color="auto" w:fill="FFFFFF"/>
        </w:rPr>
        <w:t>2022年度，市财政局下达我区地质灾害防治专项资金899.06万元，其中</w:t>
      </w:r>
      <w:r>
        <w:rPr>
          <w:rFonts w:hint="default" w:ascii="Times New Roman" w:hAnsi="Times New Roman" w:eastAsia="仿宋_GB2312" w:cs="Times New Roman"/>
          <w:sz w:val="32"/>
          <w:szCs w:val="32"/>
          <w:shd w:val="clear" w:color="auto" w:fill="FFFFFF"/>
          <w:lang w:eastAsia="zh-CN"/>
        </w:rPr>
        <w:t>：</w:t>
      </w:r>
    </w:p>
    <w:p w14:paraId="15477892">
      <w:pPr>
        <w:keepNext w:val="0"/>
        <w:keepLines w:val="0"/>
        <w:pageBreakBefore w:val="0"/>
        <w:kinsoku/>
        <w:wordWrap/>
        <w:overflowPunct/>
        <w:topLinePunct w:val="0"/>
        <w:bidi w:val="0"/>
        <w:spacing w:line="576" w:lineRule="exact"/>
        <w:ind w:firstLine="640" w:firstLineChars="200"/>
        <w:jc w:val="both"/>
        <w:textAlignment w:val="auto"/>
        <w:rPr>
          <w:rFonts w:hint="default" w:ascii="Times New Roman" w:hAnsi="Times New Roman" w:eastAsia="仿宋_GB2312" w:cs="Times New Roman"/>
          <w:color w:val="000000"/>
          <w:kern w:val="0"/>
          <w:sz w:val="32"/>
          <w:szCs w:val="32"/>
          <w:shd w:val="clear" w:color="auto" w:fill="FFFFFF"/>
        </w:rPr>
      </w:pPr>
      <w:r>
        <w:rPr>
          <w:rFonts w:hint="default" w:ascii="Times New Roman" w:hAnsi="Times New Roman" w:eastAsia="楷体_GB2312" w:cs="Times New Roman"/>
          <w:b w:val="0"/>
          <w:bCs/>
          <w:sz w:val="32"/>
          <w:szCs w:val="32"/>
          <w:lang w:val="zh-CN"/>
        </w:rPr>
        <w:t>（一）项目资金申报及批复情况。</w:t>
      </w:r>
      <w:r>
        <w:rPr>
          <w:rFonts w:hint="default" w:ascii="Times New Roman" w:hAnsi="Times New Roman" w:eastAsia="仿宋_GB2312" w:cs="Times New Roman"/>
          <w:color w:val="000000"/>
          <w:kern w:val="0"/>
          <w:sz w:val="32"/>
          <w:szCs w:val="32"/>
          <w:shd w:val="clear" w:color="auto" w:fill="FFFFFF"/>
          <w:lang w:val="zh-CN"/>
        </w:rPr>
        <w:t>全年共下达</w:t>
      </w:r>
      <w:r>
        <w:rPr>
          <w:rFonts w:hint="default" w:ascii="Times New Roman" w:hAnsi="Times New Roman" w:eastAsia="仿宋_GB2312" w:cs="Times New Roman"/>
          <w:color w:val="000000"/>
          <w:kern w:val="0"/>
          <w:sz w:val="32"/>
          <w:szCs w:val="32"/>
          <w:shd w:val="clear" w:color="auto" w:fill="FFFFFF"/>
        </w:rPr>
        <w:t>2个批次的资金。2022年2月广元市财政局、广元</w:t>
      </w:r>
      <w:r>
        <w:rPr>
          <w:rFonts w:hint="eastAsia" w:eastAsia="仿宋_GB2312" w:cs="Times New Roman"/>
          <w:color w:val="000000"/>
          <w:kern w:val="0"/>
          <w:sz w:val="32"/>
          <w:szCs w:val="32"/>
          <w:shd w:val="clear" w:color="auto" w:fill="FFFFFF"/>
          <w:lang w:eastAsia="zh-CN"/>
        </w:rPr>
        <w:t>市自然资源局</w:t>
      </w:r>
      <w:r>
        <w:rPr>
          <w:rFonts w:hint="default" w:ascii="Times New Roman" w:hAnsi="Times New Roman" w:eastAsia="仿宋_GB2312" w:cs="Times New Roman"/>
          <w:color w:val="000000"/>
          <w:kern w:val="0"/>
          <w:sz w:val="32"/>
          <w:szCs w:val="32"/>
          <w:shd w:val="clear" w:color="auto" w:fill="FFFFFF"/>
        </w:rPr>
        <w:t>《关于下达2022年第一批中央地质灾害补助资金预算的通知》（广财资环﹝2022﹞2号）文件，下达我区706万元，其中：</w:t>
      </w:r>
      <w:r>
        <w:rPr>
          <w:rFonts w:hint="default" w:ascii="Times New Roman" w:hAnsi="Times New Roman" w:eastAsia="仿宋_GB2312" w:cs="Times New Roman"/>
          <w:color w:val="000000"/>
          <w:kern w:val="0"/>
          <w:sz w:val="32"/>
          <w:szCs w:val="32"/>
          <w:lang w:val="zh-CN"/>
        </w:rPr>
        <w:t>群专结合监测预警项目补助资金</w:t>
      </w:r>
      <w:r>
        <w:rPr>
          <w:rFonts w:hint="default" w:ascii="Times New Roman" w:hAnsi="Times New Roman" w:eastAsia="仿宋_GB2312" w:cs="Times New Roman"/>
          <w:color w:val="000000"/>
          <w:kern w:val="0"/>
          <w:sz w:val="32"/>
          <w:szCs w:val="32"/>
        </w:rPr>
        <w:t>168</w:t>
      </w:r>
      <w:r>
        <w:rPr>
          <w:rFonts w:hint="default" w:ascii="Times New Roman" w:hAnsi="Times New Roman" w:eastAsia="仿宋_GB2312" w:cs="Times New Roman"/>
          <w:color w:val="000000"/>
          <w:kern w:val="0"/>
          <w:sz w:val="32"/>
          <w:szCs w:val="32"/>
          <w:lang w:val="zh-CN"/>
        </w:rPr>
        <w:t>万元、斜坡地质灾害隐患风险详查试点项目补助资金</w:t>
      </w:r>
      <w:r>
        <w:rPr>
          <w:rFonts w:hint="default" w:ascii="Times New Roman" w:hAnsi="Times New Roman" w:eastAsia="仿宋_GB2312" w:cs="Times New Roman"/>
          <w:color w:val="000000"/>
          <w:kern w:val="0"/>
          <w:sz w:val="32"/>
          <w:szCs w:val="32"/>
        </w:rPr>
        <w:t>124</w:t>
      </w:r>
      <w:r>
        <w:rPr>
          <w:rFonts w:hint="default" w:ascii="Times New Roman" w:hAnsi="Times New Roman" w:eastAsia="仿宋_GB2312" w:cs="Times New Roman"/>
          <w:color w:val="000000"/>
          <w:kern w:val="0"/>
          <w:sz w:val="32"/>
          <w:szCs w:val="32"/>
          <w:lang w:val="zh-CN"/>
        </w:rPr>
        <w:t>万元、重点乡镇1:10000 地质灾害精细化调查项目补助资金</w:t>
      </w:r>
      <w:r>
        <w:rPr>
          <w:rFonts w:hint="default" w:ascii="Times New Roman" w:hAnsi="Times New Roman" w:eastAsia="仿宋_GB2312" w:cs="Times New Roman"/>
          <w:color w:val="000000"/>
          <w:kern w:val="0"/>
          <w:sz w:val="32"/>
          <w:szCs w:val="32"/>
        </w:rPr>
        <w:t>135万元、昭化镇战胜村苟家湾治理工程项目</w:t>
      </w:r>
      <w:r>
        <w:rPr>
          <w:rFonts w:hint="default" w:ascii="Times New Roman" w:hAnsi="Times New Roman" w:eastAsia="仿宋_GB2312" w:cs="Times New Roman"/>
          <w:color w:val="000000"/>
          <w:kern w:val="0"/>
          <w:sz w:val="32"/>
          <w:szCs w:val="32"/>
          <w:lang w:val="zh-CN"/>
        </w:rPr>
        <w:t>补助资金</w:t>
      </w:r>
      <w:r>
        <w:rPr>
          <w:rFonts w:hint="default" w:ascii="Times New Roman" w:hAnsi="Times New Roman" w:eastAsia="仿宋_GB2312" w:cs="Times New Roman"/>
          <w:color w:val="000000"/>
          <w:kern w:val="0"/>
          <w:sz w:val="32"/>
          <w:szCs w:val="32"/>
        </w:rPr>
        <w:t>279万元</w:t>
      </w:r>
      <w:r>
        <w:rPr>
          <w:rFonts w:hint="default" w:ascii="Times New Roman" w:hAnsi="Times New Roman" w:eastAsia="仿宋_GB2312" w:cs="Times New Roman"/>
          <w:color w:val="000000"/>
          <w:kern w:val="0"/>
          <w:sz w:val="32"/>
          <w:szCs w:val="32"/>
          <w:shd w:val="clear" w:color="auto" w:fill="FFFFFF"/>
        </w:rPr>
        <w:t>。2022年7月广元市财政局、广元</w:t>
      </w:r>
      <w:r>
        <w:rPr>
          <w:rFonts w:hint="eastAsia" w:eastAsia="仿宋_GB2312" w:cs="Times New Roman"/>
          <w:color w:val="000000"/>
          <w:kern w:val="0"/>
          <w:sz w:val="32"/>
          <w:szCs w:val="32"/>
          <w:shd w:val="clear" w:color="auto" w:fill="FFFFFF"/>
          <w:lang w:eastAsia="zh-CN"/>
        </w:rPr>
        <w:t>市自然资源局</w:t>
      </w:r>
      <w:r>
        <w:rPr>
          <w:rFonts w:hint="default" w:ascii="Times New Roman" w:hAnsi="Times New Roman" w:eastAsia="仿宋_GB2312" w:cs="Times New Roman"/>
          <w:color w:val="000000"/>
          <w:kern w:val="0"/>
          <w:sz w:val="32"/>
          <w:szCs w:val="32"/>
          <w:shd w:val="clear" w:color="auto" w:fill="FFFFFF"/>
        </w:rPr>
        <w:t>《关于下达2022年第三批地质灾害防治补助资金(省级)预算的通知》（广财资环﹝2022﹞45号）文件，下达我区193.06万元，</w:t>
      </w:r>
      <w:r>
        <w:rPr>
          <w:rFonts w:hint="default" w:ascii="Times New Roman" w:hAnsi="Times New Roman" w:eastAsia="仿宋_GB2312" w:cs="Times New Roman"/>
          <w:sz w:val="32"/>
          <w:szCs w:val="32"/>
        </w:rPr>
        <w:t>专职监测费用25.56万元、避险搬迁25户87.5万元，切坡建房地质灾害防范试点项目补助资金80万元。</w:t>
      </w:r>
    </w:p>
    <w:p w14:paraId="77C6E7E6">
      <w:pPr>
        <w:pStyle w:val="29"/>
        <w:keepNext w:val="0"/>
        <w:keepLines w:val="0"/>
        <w:pageBreakBefore w:val="0"/>
        <w:kinsoku/>
        <w:wordWrap/>
        <w:overflowPunct/>
        <w:topLinePunct w:val="0"/>
        <w:bidi w:val="0"/>
        <w:spacing w:line="576" w:lineRule="exact"/>
        <w:ind w:firstLine="640" w:firstLineChars="200"/>
        <w:jc w:val="both"/>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楷体_GB2312" w:cs="Times New Roman"/>
          <w:b w:val="0"/>
          <w:bCs/>
          <w:color w:val="auto"/>
          <w:kern w:val="2"/>
          <w:sz w:val="32"/>
          <w:szCs w:val="32"/>
          <w:lang w:val="zh-CN" w:eastAsia="zh-CN" w:bidi="ar-SA"/>
        </w:rPr>
        <w:t>（二）项目资金申报相符性。</w:t>
      </w:r>
      <w:r>
        <w:rPr>
          <w:rFonts w:hint="default" w:ascii="Times New Roman" w:hAnsi="Times New Roman" w:eastAsia="仿宋_GB2312" w:cs="Times New Roman"/>
          <w:sz w:val="32"/>
          <w:szCs w:val="32"/>
          <w:shd w:val="clear" w:color="auto" w:fill="FFFFFF"/>
          <w:lang w:val="zh-CN"/>
        </w:rPr>
        <w:t>该</w:t>
      </w:r>
      <w:r>
        <w:rPr>
          <w:rFonts w:hint="default" w:ascii="Times New Roman" w:hAnsi="Times New Roman" w:eastAsia="仿宋_GB2312" w:cs="Times New Roman"/>
          <w:sz w:val="32"/>
          <w:szCs w:val="32"/>
          <w:shd w:val="clear" w:color="auto" w:fill="FFFFFF"/>
        </w:rPr>
        <w:t>批项目申报内容与具体实施内容基本相符、申报目标合理可行。</w:t>
      </w:r>
    </w:p>
    <w:p w14:paraId="70D22E9A">
      <w:pPr>
        <w:keepNext w:val="0"/>
        <w:keepLines w:val="0"/>
        <w:pageBreakBefore w:val="0"/>
        <w:kinsoku/>
        <w:wordWrap/>
        <w:overflowPunct/>
        <w:topLinePunct w:val="0"/>
        <w:bidi w:val="0"/>
        <w:adjustRightInd w:val="0"/>
        <w:snapToGrid w:val="0"/>
        <w:spacing w:line="576" w:lineRule="exact"/>
        <w:ind w:firstLine="640" w:firstLineChars="200"/>
        <w:jc w:val="both"/>
        <w:textAlignment w:val="auto"/>
        <w:rPr>
          <w:rFonts w:hint="default" w:ascii="Times New Roman" w:hAnsi="Times New Roman" w:eastAsia="仿宋_GB2312" w:cs="Times New Roman"/>
          <w:kern w:val="0"/>
          <w:sz w:val="32"/>
          <w:szCs w:val="32"/>
          <w:shd w:val="clear" w:color="auto" w:fill="FFFFFF"/>
          <w:lang w:val="zh-CN"/>
        </w:rPr>
      </w:pPr>
      <w:r>
        <w:rPr>
          <w:rFonts w:hint="default" w:ascii="Times New Roman" w:hAnsi="Times New Roman" w:eastAsia="楷体_GB2312" w:cs="Times New Roman"/>
          <w:b w:val="0"/>
          <w:bCs/>
          <w:sz w:val="32"/>
          <w:szCs w:val="32"/>
          <w:lang w:val="zh-CN"/>
        </w:rPr>
        <w:t>（三）项目财务管理情况。</w:t>
      </w:r>
      <w:r>
        <w:rPr>
          <w:rFonts w:hint="default" w:ascii="Times New Roman" w:hAnsi="Times New Roman" w:eastAsia="仿宋_GB2312" w:cs="Times New Roman"/>
          <w:kern w:val="0"/>
          <w:sz w:val="32"/>
          <w:szCs w:val="32"/>
          <w:shd w:val="clear" w:color="auto" w:fill="FFFFFF"/>
          <w:lang w:val="zh-CN"/>
        </w:rPr>
        <w:t>财务管理制度健全，严格执行财务管理制度，</w:t>
      </w:r>
      <w:r>
        <w:rPr>
          <w:rFonts w:hint="default" w:ascii="Times New Roman" w:hAnsi="Times New Roman" w:eastAsia="仿宋_GB2312" w:cs="Times New Roman"/>
          <w:kern w:val="0"/>
          <w:sz w:val="32"/>
          <w:szCs w:val="32"/>
          <w:shd w:val="clear" w:color="auto" w:fill="FFFFFF"/>
        </w:rPr>
        <w:t>严格按合同拨付执行，</w:t>
      </w:r>
      <w:r>
        <w:rPr>
          <w:rFonts w:hint="default" w:ascii="Times New Roman" w:hAnsi="Times New Roman" w:eastAsia="仿宋_GB2312" w:cs="Times New Roman"/>
          <w:kern w:val="0"/>
          <w:sz w:val="32"/>
          <w:szCs w:val="32"/>
          <w:shd w:val="clear" w:color="auto" w:fill="FFFFFF"/>
          <w:lang w:val="zh-CN"/>
        </w:rPr>
        <w:t>核算规范。</w:t>
      </w:r>
    </w:p>
    <w:p w14:paraId="0B2AF527">
      <w:pPr>
        <w:pStyle w:val="29"/>
        <w:keepNext w:val="0"/>
        <w:keepLines w:val="0"/>
        <w:pageBreakBefore w:val="0"/>
        <w:kinsoku/>
        <w:wordWrap/>
        <w:overflowPunct/>
        <w:topLinePunct w:val="0"/>
        <w:bidi w:val="0"/>
        <w:spacing w:line="576" w:lineRule="exact"/>
        <w:ind w:firstLine="640" w:firstLineChars="200"/>
        <w:jc w:val="both"/>
        <w:textAlignment w:val="auto"/>
        <w:rPr>
          <w:rFonts w:hint="default" w:ascii="Times New Roman" w:hAnsi="Times New Roman" w:cs="Times New Roman"/>
          <w:sz w:val="32"/>
          <w:szCs w:val="32"/>
        </w:rPr>
      </w:pPr>
      <w:r>
        <w:rPr>
          <w:rFonts w:hint="default" w:ascii="Times New Roman" w:hAnsi="Times New Roman" w:eastAsia="黑体" w:cs="Times New Roman"/>
          <w:sz w:val="32"/>
          <w:szCs w:val="32"/>
          <w:lang w:val="zh-CN"/>
        </w:rPr>
        <w:t>三、项目实施</w:t>
      </w:r>
      <w:r>
        <w:rPr>
          <w:rFonts w:hint="default" w:ascii="Times New Roman" w:hAnsi="Times New Roman" w:eastAsia="黑体" w:cs="Times New Roman"/>
          <w:sz w:val="32"/>
          <w:szCs w:val="32"/>
        </w:rPr>
        <w:t>及管理情况</w:t>
      </w:r>
    </w:p>
    <w:p w14:paraId="23810586">
      <w:pPr>
        <w:keepNext w:val="0"/>
        <w:keepLines w:val="0"/>
        <w:pageBreakBefore w:val="0"/>
        <w:widowControl w:val="0"/>
        <w:kinsoku/>
        <w:wordWrap/>
        <w:overflowPunct/>
        <w:topLinePunct w:val="0"/>
        <w:bidi w:val="0"/>
        <w:adjustRightInd w:val="0"/>
        <w:snapToGrid w:val="0"/>
        <w:spacing w:line="550" w:lineRule="exact"/>
        <w:ind w:firstLine="640" w:firstLineChars="200"/>
        <w:jc w:val="both"/>
        <w:textAlignment w:val="auto"/>
        <w:rPr>
          <w:rFonts w:hint="default" w:ascii="Times New Roman" w:hAnsi="Times New Roman" w:cs="Times New Roman"/>
        </w:rPr>
      </w:pPr>
      <w:r>
        <w:rPr>
          <w:rFonts w:hint="default" w:ascii="Times New Roman" w:hAnsi="Times New Roman" w:eastAsia="楷体_GB2312" w:cs="Times New Roman"/>
          <w:b w:val="0"/>
          <w:bCs/>
          <w:sz w:val="32"/>
          <w:szCs w:val="32"/>
          <w:lang w:val="zh-CN"/>
        </w:rPr>
        <w:t>（一）项目组织架构及实施流程。</w:t>
      </w:r>
      <w:r>
        <w:rPr>
          <w:rFonts w:hint="default" w:ascii="Times New Roman" w:hAnsi="Times New Roman" w:eastAsia="仿宋_GB2312" w:cs="Times New Roman"/>
          <w:kern w:val="0"/>
          <w:sz w:val="32"/>
          <w:szCs w:val="32"/>
          <w:shd w:val="clear" w:color="auto" w:fill="FFFFFF"/>
        </w:rPr>
        <w:t>各项目均落实了项目经理、项目技术负责人、资料员、安全员等，严格按照项目实施流程开展技术交底、开工、验收、审计等流程实施。</w:t>
      </w:r>
    </w:p>
    <w:p w14:paraId="075E1CFD">
      <w:pPr>
        <w:keepNext w:val="0"/>
        <w:keepLines w:val="0"/>
        <w:pageBreakBefore w:val="0"/>
        <w:widowControl w:val="0"/>
        <w:kinsoku/>
        <w:wordWrap/>
        <w:overflowPunct/>
        <w:topLinePunct w:val="0"/>
        <w:bidi w:val="0"/>
        <w:adjustRightInd w:val="0"/>
        <w:snapToGrid w:val="0"/>
        <w:spacing w:line="550" w:lineRule="exact"/>
        <w:ind w:firstLine="640" w:firstLineChars="200"/>
        <w:jc w:val="both"/>
        <w:textAlignment w:val="auto"/>
        <w:rPr>
          <w:rFonts w:hint="default" w:ascii="Times New Roman" w:hAnsi="Times New Roman" w:eastAsia="楷体_GB2312" w:cs="Times New Roman"/>
          <w:kern w:val="0"/>
          <w:sz w:val="32"/>
          <w:szCs w:val="32"/>
          <w:shd w:val="clear" w:color="auto" w:fill="FFFFFF"/>
        </w:rPr>
      </w:pPr>
      <w:r>
        <w:rPr>
          <w:rFonts w:hint="default" w:ascii="Times New Roman" w:hAnsi="Times New Roman" w:eastAsia="楷体_GB2312" w:cs="Times New Roman"/>
          <w:b w:val="0"/>
          <w:bCs/>
          <w:sz w:val="32"/>
          <w:szCs w:val="32"/>
          <w:lang w:val="zh-CN"/>
        </w:rPr>
        <w:t>（二）项目管理情况。</w:t>
      </w:r>
      <w:r>
        <w:rPr>
          <w:rFonts w:hint="default" w:ascii="Times New Roman" w:hAnsi="Times New Roman" w:eastAsia="仿宋_GB2312" w:cs="Times New Roman"/>
          <w:kern w:val="0"/>
          <w:sz w:val="32"/>
          <w:szCs w:val="32"/>
          <w:shd w:val="clear" w:color="auto" w:fill="FFFFFF"/>
        </w:rPr>
        <w:t>每个项目均落实了现场监管人员，严格按照各级项目管理制度开展项目管理工作，严把工程质量和进度，确保受威胁人员生命财产安全。</w:t>
      </w:r>
    </w:p>
    <w:p w14:paraId="6101B935">
      <w:pPr>
        <w:keepNext w:val="0"/>
        <w:keepLines w:val="0"/>
        <w:pageBreakBefore w:val="0"/>
        <w:widowControl w:val="0"/>
        <w:kinsoku/>
        <w:wordWrap/>
        <w:overflowPunct/>
        <w:topLinePunct w:val="0"/>
        <w:bidi w:val="0"/>
        <w:adjustRightInd w:val="0"/>
        <w:snapToGrid w:val="0"/>
        <w:spacing w:line="550" w:lineRule="exact"/>
        <w:ind w:firstLine="640" w:firstLineChars="200"/>
        <w:jc w:val="both"/>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b w:val="0"/>
          <w:bCs/>
          <w:sz w:val="32"/>
          <w:szCs w:val="32"/>
          <w:lang w:val="zh-CN"/>
        </w:rPr>
        <w:t>（三）项目监管情况。</w:t>
      </w:r>
      <w:r>
        <w:rPr>
          <w:rFonts w:hint="default" w:ascii="Times New Roman" w:hAnsi="Times New Roman" w:eastAsia="仿宋_GB2312" w:cs="Times New Roman"/>
          <w:sz w:val="32"/>
          <w:szCs w:val="32"/>
        </w:rPr>
        <w:t>昭化区自然资源分局制定了地质灾害治理项目的《资金管理制度》和《项目廉政建设制度》《项目监理制度》《项目法人制度》《项目实施管理办法》，项目各项规章制度完备。所有项目预算费用在限额上的施工（服务）单位通过政府采购方式确定，相关内容均在四川政府采购网公示；预算费用在限额下的施工单位由局自行组织竞争性磋商等方式确定，相关内容在市自然资源局官网公示；局党组会研究确定勘查设计、监理单位等确定方式。群测群防专职监测人和地质灾害避险搬迁户均会同各镇人民政府共同确定。在项目实施过中实行项目管理负责制，项目班子人员压证施工，监理对工程进行了旁站记录，确保了工程质量。</w:t>
      </w:r>
    </w:p>
    <w:p w14:paraId="4166A825">
      <w:pPr>
        <w:pStyle w:val="29"/>
        <w:keepNext w:val="0"/>
        <w:keepLines w:val="0"/>
        <w:pageBreakBefore w:val="0"/>
        <w:widowControl w:val="0"/>
        <w:kinsoku/>
        <w:wordWrap/>
        <w:overflowPunct/>
        <w:topLinePunct w:val="0"/>
        <w:bidi w:val="0"/>
        <w:adjustRightInd w:val="0"/>
        <w:spacing w:line="550" w:lineRule="exact"/>
        <w:ind w:firstLine="640" w:firstLineChars="200"/>
        <w:jc w:val="both"/>
        <w:textAlignment w:val="auto"/>
        <w:rPr>
          <w:rFonts w:hint="default" w:ascii="Times New Roman" w:hAnsi="Times New Roman" w:cs="Times New Roman"/>
          <w:sz w:val="32"/>
          <w:szCs w:val="32"/>
          <w:lang w:val="zh-CN"/>
        </w:rPr>
      </w:pPr>
      <w:r>
        <w:rPr>
          <w:rFonts w:hint="default" w:ascii="Times New Roman" w:hAnsi="Times New Roman" w:eastAsia="黑体" w:cs="Times New Roman"/>
          <w:sz w:val="32"/>
          <w:szCs w:val="32"/>
          <w:lang w:val="zh-CN"/>
        </w:rPr>
        <w:t>四、项目绩效情况</w:t>
      </w:r>
    </w:p>
    <w:p w14:paraId="7053EAA5">
      <w:pPr>
        <w:keepNext w:val="0"/>
        <w:keepLines w:val="0"/>
        <w:pageBreakBefore w:val="0"/>
        <w:widowControl w:val="0"/>
        <w:kinsoku/>
        <w:wordWrap/>
        <w:overflowPunct/>
        <w:topLinePunct w:val="0"/>
        <w:bidi w:val="0"/>
        <w:adjustRightInd w:val="0"/>
        <w:snapToGrid w:val="0"/>
        <w:spacing w:line="550" w:lineRule="exact"/>
        <w:ind w:firstLine="640" w:firstLineChars="200"/>
        <w:jc w:val="both"/>
        <w:textAlignment w:val="auto"/>
        <w:rPr>
          <w:rFonts w:hint="default" w:ascii="Times New Roman" w:hAnsi="Times New Roman" w:eastAsia="楷体_GB2312" w:cs="Times New Roman"/>
          <w:b w:val="0"/>
          <w:bCs/>
          <w:sz w:val="32"/>
          <w:szCs w:val="32"/>
          <w:lang w:val="zh-CN"/>
        </w:rPr>
      </w:pPr>
      <w:r>
        <w:rPr>
          <w:rFonts w:hint="default" w:ascii="Times New Roman" w:hAnsi="Times New Roman" w:eastAsia="楷体_GB2312" w:cs="Times New Roman"/>
          <w:b w:val="0"/>
          <w:bCs/>
          <w:sz w:val="32"/>
          <w:szCs w:val="32"/>
          <w:lang w:val="zh-CN"/>
        </w:rPr>
        <w:t>（一）项目完成情况。</w:t>
      </w:r>
    </w:p>
    <w:p w14:paraId="29CA3BFD">
      <w:pPr>
        <w:pStyle w:val="29"/>
        <w:keepNext w:val="0"/>
        <w:keepLines w:val="0"/>
        <w:pageBreakBefore w:val="0"/>
        <w:widowControl w:val="0"/>
        <w:kinsoku/>
        <w:wordWrap/>
        <w:overflowPunct/>
        <w:topLinePunct w:val="0"/>
        <w:bidi w:val="0"/>
        <w:adjustRightInd w:val="0"/>
        <w:spacing w:line="550" w:lineRule="exact"/>
        <w:ind w:firstLine="640" w:firstLineChars="200"/>
        <w:jc w:val="both"/>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1</w:t>
      </w:r>
      <w:r>
        <w:rPr>
          <w:rFonts w:hint="default" w:ascii="Times New Roman" w:hAnsi="Times New Roman" w:eastAsia="楷体_GB2312" w:cs="Times New Roman"/>
          <w:sz w:val="32"/>
          <w:szCs w:val="32"/>
          <w:lang w:val="zh-CN"/>
        </w:rPr>
        <w:t>．</w:t>
      </w:r>
      <w:r>
        <w:rPr>
          <w:rFonts w:hint="default" w:ascii="Times New Roman" w:hAnsi="Times New Roman" w:eastAsia="仿宋_GB2312" w:cs="Times New Roman"/>
          <w:sz w:val="32"/>
          <w:szCs w:val="32"/>
          <w:shd w:val="clear" w:color="auto" w:fill="FFFFFF"/>
          <w:lang w:val="zh-CN"/>
        </w:rPr>
        <w:t>下达任务</w:t>
      </w:r>
      <w:r>
        <w:rPr>
          <w:rFonts w:hint="default" w:ascii="Times New Roman" w:hAnsi="Times New Roman" w:eastAsia="仿宋_GB2312" w:cs="Times New Roman"/>
          <w:sz w:val="32"/>
          <w:szCs w:val="32"/>
          <w:shd w:val="clear" w:color="auto" w:fill="FFFFFF"/>
        </w:rPr>
        <w:t>实施地质灾害治理工程项目4个，已完成4处；</w:t>
      </w:r>
    </w:p>
    <w:p w14:paraId="535B07A1">
      <w:pPr>
        <w:pStyle w:val="29"/>
        <w:keepNext w:val="0"/>
        <w:keepLines w:val="0"/>
        <w:pageBreakBefore w:val="0"/>
        <w:widowControl w:val="0"/>
        <w:kinsoku/>
        <w:wordWrap/>
        <w:overflowPunct/>
        <w:topLinePunct w:val="0"/>
        <w:bidi w:val="0"/>
        <w:adjustRightInd w:val="0"/>
        <w:spacing w:line="550" w:lineRule="exact"/>
        <w:ind w:firstLine="640" w:firstLineChars="200"/>
        <w:jc w:val="both"/>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2</w:t>
      </w:r>
      <w:r>
        <w:rPr>
          <w:rFonts w:hint="default" w:ascii="Times New Roman" w:hAnsi="Times New Roman" w:eastAsia="仿宋_GB2312" w:cs="Times New Roman"/>
          <w:sz w:val="32"/>
          <w:szCs w:val="32"/>
          <w:shd w:val="clear" w:color="auto" w:fill="FFFFFF"/>
          <w:lang w:val="zh-CN"/>
        </w:rPr>
        <w:t>．下达任务</w:t>
      </w:r>
      <w:r>
        <w:rPr>
          <w:rFonts w:hint="default" w:ascii="Times New Roman" w:hAnsi="Times New Roman" w:eastAsia="仿宋_GB2312" w:cs="Times New Roman"/>
          <w:sz w:val="32"/>
          <w:szCs w:val="32"/>
          <w:shd w:val="clear" w:color="auto" w:fill="FFFFFF"/>
        </w:rPr>
        <w:t>实施</w:t>
      </w:r>
      <w:r>
        <w:rPr>
          <w:rFonts w:hint="default" w:ascii="Times New Roman" w:hAnsi="Times New Roman" w:eastAsia="仿宋_GB2312" w:cs="Times New Roman"/>
          <w:sz w:val="32"/>
          <w:szCs w:val="32"/>
          <w:lang w:val="zh-CN"/>
        </w:rPr>
        <w:t>斜坡地质灾害隐患风险详查试点项目、重点乡镇1:10000地质灾害精细化调查项</w:t>
      </w:r>
      <w:r>
        <w:rPr>
          <w:rFonts w:hint="default" w:ascii="Times New Roman" w:hAnsi="Times New Roman" w:eastAsia="仿宋_GB2312" w:cs="Times New Roman"/>
          <w:sz w:val="32"/>
          <w:szCs w:val="32"/>
        </w:rPr>
        <w:t>目目前已完成成果验收，切坡建房地质灾害防范试点项目正按省市要求稳步推进</w:t>
      </w:r>
      <w:r>
        <w:rPr>
          <w:rFonts w:hint="default" w:ascii="Times New Roman" w:hAnsi="Times New Roman" w:eastAsia="仿宋_GB2312" w:cs="Times New Roman"/>
          <w:sz w:val="32"/>
          <w:szCs w:val="32"/>
          <w:shd w:val="clear" w:color="auto" w:fill="FFFFFF"/>
        </w:rPr>
        <w:t>；</w:t>
      </w:r>
    </w:p>
    <w:p w14:paraId="28D76666">
      <w:pPr>
        <w:pStyle w:val="29"/>
        <w:keepNext w:val="0"/>
        <w:keepLines w:val="0"/>
        <w:pageBreakBefore w:val="0"/>
        <w:kinsoku/>
        <w:wordWrap/>
        <w:overflowPunct/>
        <w:topLinePunct w:val="0"/>
        <w:bidi w:val="0"/>
        <w:spacing w:line="576" w:lineRule="exact"/>
        <w:ind w:firstLine="640" w:firstLineChars="200"/>
        <w:jc w:val="both"/>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3</w:t>
      </w:r>
      <w:r>
        <w:rPr>
          <w:rFonts w:hint="default" w:ascii="Times New Roman" w:hAnsi="Times New Roman" w:eastAsia="楷体_GB2312" w:cs="Times New Roman"/>
          <w:sz w:val="32"/>
          <w:szCs w:val="32"/>
          <w:lang w:val="zh-CN"/>
        </w:rPr>
        <w:t>．</w:t>
      </w:r>
      <w:r>
        <w:rPr>
          <w:rFonts w:hint="default" w:ascii="Times New Roman" w:hAnsi="Times New Roman" w:eastAsia="仿宋_GB2312" w:cs="Times New Roman"/>
          <w:sz w:val="32"/>
          <w:szCs w:val="32"/>
          <w:shd w:val="clear" w:color="auto" w:fill="FFFFFF"/>
          <w:lang w:val="zh-CN"/>
        </w:rPr>
        <w:t>下达任务</w:t>
      </w:r>
      <w:r>
        <w:rPr>
          <w:rFonts w:hint="default" w:ascii="Times New Roman" w:hAnsi="Times New Roman" w:eastAsia="仿宋_GB2312" w:cs="Times New Roman"/>
          <w:sz w:val="32"/>
          <w:szCs w:val="32"/>
          <w:shd w:val="clear" w:color="auto" w:fill="FFFFFF"/>
        </w:rPr>
        <w:t>开展地质灾害隐患点群测群防71处，实际已完成群测群防108处；</w:t>
      </w:r>
    </w:p>
    <w:p w14:paraId="45298FB6">
      <w:pPr>
        <w:pStyle w:val="29"/>
        <w:keepNext w:val="0"/>
        <w:keepLines w:val="0"/>
        <w:pageBreakBefore w:val="0"/>
        <w:kinsoku/>
        <w:wordWrap/>
        <w:overflowPunct/>
        <w:topLinePunct w:val="0"/>
        <w:bidi w:val="0"/>
        <w:spacing w:line="576" w:lineRule="exact"/>
        <w:ind w:firstLine="640" w:firstLineChars="200"/>
        <w:jc w:val="both"/>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4</w:t>
      </w:r>
      <w:r>
        <w:rPr>
          <w:rFonts w:hint="default" w:ascii="Times New Roman" w:hAnsi="Times New Roman" w:eastAsia="楷体_GB2312" w:cs="Times New Roman"/>
          <w:sz w:val="32"/>
          <w:szCs w:val="32"/>
          <w:lang w:val="zh-CN"/>
        </w:rPr>
        <w:t>．</w:t>
      </w:r>
      <w:r>
        <w:rPr>
          <w:rFonts w:hint="default" w:ascii="Times New Roman" w:hAnsi="Times New Roman" w:eastAsia="仿宋_GB2312" w:cs="Times New Roman"/>
          <w:sz w:val="32"/>
          <w:szCs w:val="32"/>
          <w:shd w:val="clear" w:color="auto" w:fill="FFFFFF"/>
          <w:lang w:val="zh-CN"/>
        </w:rPr>
        <w:t>下达任务</w:t>
      </w:r>
      <w:r>
        <w:rPr>
          <w:rFonts w:hint="default" w:ascii="Times New Roman" w:hAnsi="Times New Roman" w:eastAsia="仿宋_GB2312" w:cs="Times New Roman"/>
          <w:sz w:val="32"/>
          <w:szCs w:val="32"/>
          <w:shd w:val="clear" w:color="auto" w:fill="FFFFFF"/>
        </w:rPr>
        <w:t>开展地质灾害避险搬迁25户，已实施26户。</w:t>
      </w:r>
    </w:p>
    <w:p w14:paraId="1E9DF135">
      <w:pPr>
        <w:keepNext w:val="0"/>
        <w:keepLines w:val="0"/>
        <w:pageBreakBefore w:val="0"/>
        <w:kinsoku/>
        <w:wordWrap/>
        <w:overflowPunct/>
        <w:topLinePunct w:val="0"/>
        <w:bidi w:val="0"/>
        <w:adjustRightInd w:val="0"/>
        <w:snapToGrid w:val="0"/>
        <w:spacing w:line="576" w:lineRule="exact"/>
        <w:ind w:firstLine="640" w:firstLineChars="200"/>
        <w:jc w:val="both"/>
        <w:textAlignment w:val="auto"/>
        <w:rPr>
          <w:rFonts w:hint="default" w:ascii="Times New Roman" w:hAnsi="Times New Roman" w:eastAsia="仿宋_GB2312" w:cs="Times New Roman"/>
          <w:sz w:val="32"/>
          <w:szCs w:val="32"/>
          <w:shd w:val="clear" w:color="auto" w:fill="FFFFFF"/>
          <w:lang w:val="zh-CN"/>
        </w:rPr>
      </w:pPr>
      <w:r>
        <w:rPr>
          <w:rFonts w:hint="default" w:ascii="Times New Roman" w:hAnsi="Times New Roman" w:eastAsia="楷体_GB2312" w:cs="Times New Roman"/>
          <w:b w:val="0"/>
          <w:bCs/>
          <w:sz w:val="32"/>
          <w:szCs w:val="32"/>
          <w:lang w:val="zh-CN"/>
        </w:rPr>
        <w:t>（二）项目效益情况。</w:t>
      </w:r>
      <w:r>
        <w:rPr>
          <w:rFonts w:hint="default" w:ascii="Times New Roman" w:hAnsi="Times New Roman" w:eastAsia="仿宋_GB2312" w:cs="Times New Roman"/>
          <w:sz w:val="32"/>
          <w:szCs w:val="32"/>
          <w:shd w:val="clear" w:color="auto" w:fill="FFFFFF"/>
          <w:lang w:val="zh-CN"/>
        </w:rPr>
        <w:t>通过该批项目的实施，有效的保护了人民群众的生命财产安全，改善了当地群众的生活环境和生产发展环境，维护了当地的生态环境整体稳定性，产生较大的社会效益和生态效益，推动了地方社会的和谐稳定和经济发展。</w:t>
      </w:r>
    </w:p>
    <w:p w14:paraId="25F2B648">
      <w:pPr>
        <w:pStyle w:val="29"/>
        <w:keepNext w:val="0"/>
        <w:keepLines w:val="0"/>
        <w:pageBreakBefore w:val="0"/>
        <w:kinsoku/>
        <w:wordWrap/>
        <w:overflowPunct/>
        <w:topLinePunct w:val="0"/>
        <w:bidi w:val="0"/>
        <w:spacing w:line="576" w:lineRule="exact"/>
        <w:ind w:firstLine="640" w:firstLineChars="200"/>
        <w:jc w:val="both"/>
        <w:textAlignment w:val="auto"/>
        <w:rPr>
          <w:rFonts w:hint="default" w:ascii="Times New Roman" w:hAnsi="Times New Roman" w:cs="Times New Roman"/>
          <w:sz w:val="32"/>
          <w:szCs w:val="32"/>
          <w:lang w:val="zh-CN"/>
        </w:rPr>
      </w:pPr>
      <w:r>
        <w:rPr>
          <w:rFonts w:hint="default" w:ascii="Times New Roman" w:hAnsi="Times New Roman" w:eastAsia="黑体" w:cs="Times New Roman"/>
          <w:sz w:val="32"/>
          <w:szCs w:val="32"/>
          <w:lang w:val="zh-CN"/>
        </w:rPr>
        <w:t>五、问题及建议</w:t>
      </w:r>
    </w:p>
    <w:p w14:paraId="11AC19FA">
      <w:pPr>
        <w:pStyle w:val="29"/>
        <w:keepNext w:val="0"/>
        <w:keepLines w:val="0"/>
        <w:pageBreakBefore w:val="0"/>
        <w:kinsoku/>
        <w:wordWrap/>
        <w:overflowPunct/>
        <w:topLinePunct w:val="0"/>
        <w:bidi w:val="0"/>
        <w:spacing w:line="576" w:lineRule="exact"/>
        <w:ind w:firstLine="640" w:firstLineChars="200"/>
        <w:jc w:val="both"/>
        <w:textAlignment w:val="auto"/>
        <w:rPr>
          <w:rFonts w:hint="default" w:ascii="Times New Roman" w:hAnsi="Times New Roman" w:eastAsia="楷体_GB2312" w:cs="Times New Roman"/>
          <w:sz w:val="32"/>
          <w:szCs w:val="32"/>
          <w:lang w:val="zh-CN"/>
        </w:rPr>
      </w:pPr>
      <w:r>
        <w:rPr>
          <w:rFonts w:hint="default" w:ascii="Times New Roman" w:hAnsi="Times New Roman" w:eastAsia="楷体_GB2312" w:cs="Times New Roman"/>
          <w:b w:val="0"/>
          <w:bCs/>
          <w:color w:val="auto"/>
          <w:kern w:val="2"/>
          <w:sz w:val="32"/>
          <w:szCs w:val="32"/>
          <w:lang w:val="zh-CN" w:eastAsia="zh-CN" w:bidi="ar-SA"/>
        </w:rPr>
        <w:t>（一）存在的问题。</w:t>
      </w:r>
      <w:r>
        <w:rPr>
          <w:rFonts w:hint="default" w:ascii="Times New Roman" w:hAnsi="Times New Roman" w:eastAsia="仿宋_GB2312" w:cs="Times New Roman"/>
          <w:sz w:val="32"/>
          <w:szCs w:val="32"/>
        </w:rPr>
        <w:t>整体来看，全区地质灾害防治形势依然严峻，本级财政困难，部分急需处置地灾隐患通过EPC模式由国有建设平台公司垫资实施，资金差口较大。</w:t>
      </w:r>
    </w:p>
    <w:p w14:paraId="728319F1">
      <w:pPr>
        <w:pStyle w:val="29"/>
        <w:keepNext w:val="0"/>
        <w:keepLines w:val="0"/>
        <w:pageBreakBefore w:val="0"/>
        <w:kinsoku/>
        <w:wordWrap/>
        <w:overflowPunct/>
        <w:topLinePunct w:val="0"/>
        <w:bidi w:val="0"/>
        <w:spacing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val="0"/>
          <w:bCs/>
          <w:color w:val="auto"/>
          <w:kern w:val="2"/>
          <w:sz w:val="32"/>
          <w:szCs w:val="32"/>
          <w:lang w:val="zh-CN" w:eastAsia="zh-CN" w:bidi="ar-SA"/>
        </w:rPr>
        <w:t>（二）相关建议。</w:t>
      </w:r>
      <w:r>
        <w:rPr>
          <w:rFonts w:hint="default" w:ascii="Times New Roman" w:hAnsi="Times New Roman" w:eastAsia="仿宋_GB2312" w:cs="Times New Roman"/>
          <w:sz w:val="32"/>
          <w:szCs w:val="32"/>
        </w:rPr>
        <w:t>加大地质灾害治理工程或排危除险项目资金投入，对确需处置的隐患点及时采取工程措施处置，确保安全。</w:t>
      </w:r>
    </w:p>
    <w:p w14:paraId="7DA183A0">
      <w:pPr>
        <w:widowControl/>
        <w:jc w:val="left"/>
        <w:rPr>
          <w:rStyle w:val="31"/>
          <w:rFonts w:hint="default" w:ascii="Times New Roman" w:hAnsi="Times New Roman" w:eastAsia="黑体" w:cs="Times New Roman"/>
          <w:b w:val="0"/>
        </w:rPr>
      </w:pPr>
      <w:r>
        <w:rPr>
          <w:rStyle w:val="31"/>
          <w:rFonts w:hint="default" w:ascii="Times New Roman" w:hAnsi="Times New Roman" w:eastAsia="黑体" w:cs="Times New Roman"/>
          <w:b w:val="0"/>
        </w:rPr>
        <w:br w:type="page"/>
      </w:r>
    </w:p>
    <w:p w14:paraId="6619B300">
      <w:pPr>
        <w:spacing w:line="600" w:lineRule="exact"/>
        <w:jc w:val="center"/>
        <w:outlineLvl w:val="0"/>
        <w:rPr>
          <w:rFonts w:hint="default" w:ascii="Times New Roman" w:hAnsi="Times New Roman" w:eastAsia="方正小标宋简体" w:cs="Times New Roman"/>
          <w:bCs/>
          <w:kern w:val="44"/>
          <w:sz w:val="44"/>
          <w:szCs w:val="44"/>
        </w:rPr>
      </w:pPr>
      <w:bookmarkStart w:id="88" w:name="_Toc15396618"/>
      <w:bookmarkStart w:id="89" w:name="_Toc28418"/>
      <w:r>
        <w:rPr>
          <w:rFonts w:hint="default" w:ascii="Times New Roman" w:hAnsi="Times New Roman" w:eastAsia="方正小标宋简体" w:cs="Times New Roman"/>
          <w:bCs/>
          <w:kern w:val="44"/>
          <w:sz w:val="44"/>
          <w:szCs w:val="44"/>
        </w:rPr>
        <w:t>第五部分  附表</w:t>
      </w:r>
      <w:bookmarkEnd w:id="78"/>
      <w:bookmarkEnd w:id="88"/>
      <w:bookmarkEnd w:id="89"/>
      <w:bookmarkStart w:id="90" w:name="_Toc15396619"/>
    </w:p>
    <w:p w14:paraId="477AA916">
      <w:pPr>
        <w:pStyle w:val="7"/>
        <w:spacing w:beforeLines="0" w:line="576" w:lineRule="exact"/>
        <w:ind w:firstLine="640" w:firstLineChars="200"/>
        <w:rPr>
          <w:rFonts w:hint="default" w:ascii="Times New Roman" w:hAnsi="Times New Roman" w:cs="Times New Roman"/>
          <w:sz w:val="32"/>
          <w:szCs w:val="32"/>
        </w:rPr>
      </w:pPr>
    </w:p>
    <w:p w14:paraId="561E90D7">
      <w:pPr>
        <w:pStyle w:val="4"/>
        <w:spacing w:before="0" w:after="0" w:line="576" w:lineRule="exact"/>
        <w:ind w:firstLine="640" w:firstLineChars="200"/>
        <w:rPr>
          <w:rFonts w:hint="default" w:ascii="Times New Roman" w:hAnsi="Times New Roman" w:eastAsia="黑体" w:cs="Times New Roman"/>
        </w:rPr>
      </w:pPr>
      <w:bookmarkStart w:id="91" w:name="_Toc2567"/>
      <w:r>
        <w:rPr>
          <w:rFonts w:hint="default" w:ascii="Times New Roman" w:hAnsi="Times New Roman" w:eastAsia="黑体" w:cs="Times New Roman"/>
          <w:b w:val="0"/>
        </w:rPr>
        <w:t>一、收</w:t>
      </w:r>
      <w:r>
        <w:rPr>
          <w:rStyle w:val="32"/>
          <w:rFonts w:hint="default" w:ascii="Times New Roman" w:hAnsi="Times New Roman" w:eastAsia="黑体" w:cs="Times New Roman"/>
          <w:b w:val="0"/>
          <w:bCs w:val="0"/>
        </w:rPr>
        <w:t>入支出决算总表</w:t>
      </w:r>
      <w:bookmarkEnd w:id="90"/>
      <w:bookmarkEnd w:id="91"/>
    </w:p>
    <w:p w14:paraId="131EFC37">
      <w:pPr>
        <w:pStyle w:val="4"/>
        <w:spacing w:before="0" w:after="0" w:line="576" w:lineRule="exact"/>
        <w:ind w:firstLine="640" w:firstLineChars="200"/>
        <w:rPr>
          <w:rFonts w:hint="default" w:ascii="Times New Roman" w:hAnsi="Times New Roman" w:eastAsia="黑体" w:cs="Times New Roman"/>
        </w:rPr>
      </w:pPr>
      <w:bookmarkStart w:id="92" w:name="_Toc15396620"/>
      <w:bookmarkStart w:id="93" w:name="_Toc12462"/>
      <w:r>
        <w:rPr>
          <w:rFonts w:hint="default" w:ascii="Times New Roman" w:hAnsi="Times New Roman" w:eastAsia="黑体" w:cs="Times New Roman"/>
          <w:b w:val="0"/>
        </w:rPr>
        <w:t>二、收</w:t>
      </w:r>
      <w:r>
        <w:rPr>
          <w:rStyle w:val="32"/>
          <w:rFonts w:hint="default" w:ascii="Times New Roman" w:hAnsi="Times New Roman" w:eastAsia="黑体" w:cs="Times New Roman"/>
          <w:b w:val="0"/>
          <w:bCs w:val="0"/>
        </w:rPr>
        <w:t>入决算表</w:t>
      </w:r>
      <w:bookmarkEnd w:id="92"/>
      <w:bookmarkEnd w:id="93"/>
    </w:p>
    <w:p w14:paraId="2B35F91C">
      <w:pPr>
        <w:pStyle w:val="4"/>
        <w:spacing w:before="0" w:after="0" w:line="576" w:lineRule="exact"/>
        <w:ind w:firstLine="640" w:firstLineChars="200"/>
        <w:rPr>
          <w:rFonts w:hint="default" w:ascii="Times New Roman" w:hAnsi="Times New Roman" w:eastAsia="黑体" w:cs="Times New Roman"/>
        </w:rPr>
      </w:pPr>
      <w:bookmarkStart w:id="94" w:name="_Toc27717"/>
      <w:bookmarkStart w:id="95" w:name="_Toc15396621"/>
      <w:r>
        <w:rPr>
          <w:rStyle w:val="32"/>
          <w:rFonts w:hint="default" w:ascii="Times New Roman" w:hAnsi="Times New Roman" w:eastAsia="黑体" w:cs="Times New Roman"/>
          <w:b w:val="0"/>
          <w:bCs w:val="0"/>
        </w:rPr>
        <w:t>三、</w:t>
      </w:r>
      <w:r>
        <w:rPr>
          <w:rFonts w:hint="default" w:ascii="Times New Roman" w:hAnsi="Times New Roman" w:eastAsia="黑体" w:cs="Times New Roman"/>
          <w:b w:val="0"/>
        </w:rPr>
        <w:t>支</w:t>
      </w:r>
      <w:r>
        <w:rPr>
          <w:rStyle w:val="32"/>
          <w:rFonts w:hint="default" w:ascii="Times New Roman" w:hAnsi="Times New Roman" w:eastAsia="黑体" w:cs="Times New Roman"/>
          <w:b w:val="0"/>
          <w:bCs w:val="0"/>
        </w:rPr>
        <w:t>出决算表</w:t>
      </w:r>
      <w:bookmarkEnd w:id="94"/>
      <w:bookmarkEnd w:id="95"/>
    </w:p>
    <w:p w14:paraId="03626320">
      <w:pPr>
        <w:pStyle w:val="4"/>
        <w:spacing w:before="0" w:after="0" w:line="576" w:lineRule="exact"/>
        <w:ind w:firstLine="640" w:firstLineChars="200"/>
        <w:rPr>
          <w:rFonts w:hint="default" w:ascii="Times New Roman" w:hAnsi="Times New Roman" w:eastAsia="黑体" w:cs="Times New Roman"/>
          <w:b w:val="0"/>
        </w:rPr>
      </w:pPr>
      <w:bookmarkStart w:id="96" w:name="_Toc9925"/>
      <w:bookmarkStart w:id="97" w:name="_Toc15396622"/>
      <w:r>
        <w:rPr>
          <w:rStyle w:val="32"/>
          <w:rFonts w:hint="default" w:ascii="Times New Roman" w:hAnsi="Times New Roman" w:eastAsia="黑体" w:cs="Times New Roman"/>
          <w:b w:val="0"/>
          <w:bCs w:val="0"/>
        </w:rPr>
        <w:t>四、</w:t>
      </w:r>
      <w:r>
        <w:rPr>
          <w:rFonts w:hint="default" w:ascii="Times New Roman" w:hAnsi="Times New Roman" w:eastAsia="黑体" w:cs="Times New Roman"/>
          <w:b w:val="0"/>
        </w:rPr>
        <w:t>财</w:t>
      </w:r>
      <w:r>
        <w:rPr>
          <w:rStyle w:val="32"/>
          <w:rFonts w:hint="default" w:ascii="Times New Roman" w:hAnsi="Times New Roman" w:eastAsia="黑体" w:cs="Times New Roman"/>
          <w:b w:val="0"/>
          <w:bCs w:val="0"/>
        </w:rPr>
        <w:t>政拨款收入支出决算总表</w:t>
      </w:r>
      <w:bookmarkEnd w:id="96"/>
      <w:bookmarkEnd w:id="97"/>
    </w:p>
    <w:p w14:paraId="21B305A5">
      <w:pPr>
        <w:pStyle w:val="4"/>
        <w:spacing w:before="0" w:after="0" w:line="576" w:lineRule="exact"/>
        <w:ind w:firstLine="640" w:firstLineChars="200"/>
        <w:rPr>
          <w:rStyle w:val="32"/>
          <w:rFonts w:hint="default" w:ascii="Times New Roman" w:hAnsi="Times New Roman" w:eastAsia="黑体" w:cs="Times New Roman"/>
          <w:b w:val="0"/>
          <w:bCs w:val="0"/>
        </w:rPr>
      </w:pPr>
      <w:bookmarkStart w:id="98" w:name="_Toc31654"/>
      <w:bookmarkStart w:id="99" w:name="_Toc15396623"/>
      <w:r>
        <w:rPr>
          <w:rStyle w:val="32"/>
          <w:rFonts w:hint="default" w:ascii="Times New Roman" w:hAnsi="Times New Roman" w:eastAsia="黑体" w:cs="Times New Roman"/>
          <w:b w:val="0"/>
          <w:bCs w:val="0"/>
        </w:rPr>
        <w:t>五、</w:t>
      </w:r>
      <w:r>
        <w:rPr>
          <w:rFonts w:hint="default" w:ascii="Times New Roman" w:hAnsi="Times New Roman" w:eastAsia="黑体" w:cs="Times New Roman"/>
          <w:b w:val="0"/>
        </w:rPr>
        <w:t>财</w:t>
      </w:r>
      <w:r>
        <w:rPr>
          <w:rStyle w:val="32"/>
          <w:rFonts w:hint="default" w:ascii="Times New Roman" w:hAnsi="Times New Roman" w:eastAsia="黑体" w:cs="Times New Roman"/>
          <w:b w:val="0"/>
          <w:bCs w:val="0"/>
        </w:rPr>
        <w:t>政拨款支出决算明细表</w:t>
      </w:r>
      <w:bookmarkEnd w:id="98"/>
      <w:bookmarkEnd w:id="99"/>
      <w:bookmarkStart w:id="100" w:name="_Toc15396624"/>
    </w:p>
    <w:p w14:paraId="1900A615">
      <w:pPr>
        <w:pStyle w:val="4"/>
        <w:spacing w:before="0" w:after="0" w:line="576" w:lineRule="exact"/>
        <w:ind w:firstLine="640" w:firstLineChars="200"/>
        <w:rPr>
          <w:rFonts w:hint="default" w:ascii="Times New Roman" w:hAnsi="Times New Roman" w:eastAsia="黑体" w:cs="Times New Roman"/>
        </w:rPr>
      </w:pPr>
      <w:bookmarkStart w:id="101" w:name="_Toc19285"/>
      <w:r>
        <w:rPr>
          <w:rStyle w:val="32"/>
          <w:rFonts w:hint="default" w:ascii="Times New Roman" w:hAnsi="Times New Roman" w:eastAsia="黑体" w:cs="Times New Roman"/>
          <w:b w:val="0"/>
          <w:bCs w:val="0"/>
        </w:rPr>
        <w:t>六、</w:t>
      </w:r>
      <w:r>
        <w:rPr>
          <w:rFonts w:hint="default" w:ascii="Times New Roman" w:hAnsi="Times New Roman" w:eastAsia="黑体" w:cs="Times New Roman"/>
          <w:b w:val="0"/>
        </w:rPr>
        <w:t>一</w:t>
      </w:r>
      <w:r>
        <w:rPr>
          <w:rStyle w:val="32"/>
          <w:rFonts w:hint="default" w:ascii="Times New Roman" w:hAnsi="Times New Roman" w:eastAsia="黑体" w:cs="Times New Roman"/>
          <w:b w:val="0"/>
          <w:bCs w:val="0"/>
        </w:rPr>
        <w:t>般公共预算财政拨款支出决算表</w:t>
      </w:r>
      <w:bookmarkEnd w:id="100"/>
      <w:bookmarkEnd w:id="101"/>
    </w:p>
    <w:p w14:paraId="52F1FC91">
      <w:pPr>
        <w:pStyle w:val="4"/>
        <w:spacing w:before="0" w:after="0" w:line="576" w:lineRule="exact"/>
        <w:ind w:firstLine="640" w:firstLineChars="200"/>
        <w:rPr>
          <w:rFonts w:hint="default" w:ascii="Times New Roman" w:hAnsi="Times New Roman" w:eastAsia="黑体" w:cs="Times New Roman"/>
        </w:rPr>
      </w:pPr>
      <w:bookmarkStart w:id="102" w:name="_Toc7944"/>
      <w:bookmarkStart w:id="103" w:name="_Toc15396625"/>
      <w:r>
        <w:rPr>
          <w:rStyle w:val="32"/>
          <w:rFonts w:hint="default" w:ascii="Times New Roman" w:hAnsi="Times New Roman" w:eastAsia="黑体" w:cs="Times New Roman"/>
          <w:b w:val="0"/>
          <w:bCs w:val="0"/>
        </w:rPr>
        <w:t>七、</w:t>
      </w:r>
      <w:r>
        <w:rPr>
          <w:rFonts w:hint="default" w:ascii="Times New Roman" w:hAnsi="Times New Roman" w:eastAsia="黑体" w:cs="Times New Roman"/>
          <w:b w:val="0"/>
        </w:rPr>
        <w:t>一</w:t>
      </w:r>
      <w:r>
        <w:rPr>
          <w:rStyle w:val="32"/>
          <w:rFonts w:hint="default" w:ascii="Times New Roman" w:hAnsi="Times New Roman" w:eastAsia="黑体" w:cs="Times New Roman"/>
          <w:b w:val="0"/>
          <w:bCs w:val="0"/>
        </w:rPr>
        <w:t>般公共预算财政拨款支出决算明细表</w:t>
      </w:r>
      <w:bookmarkEnd w:id="102"/>
      <w:bookmarkEnd w:id="103"/>
    </w:p>
    <w:p w14:paraId="1590F915">
      <w:pPr>
        <w:pStyle w:val="4"/>
        <w:spacing w:before="0" w:after="0" w:line="576" w:lineRule="exact"/>
        <w:ind w:firstLine="640" w:firstLineChars="200"/>
        <w:rPr>
          <w:rFonts w:hint="default" w:ascii="Times New Roman" w:hAnsi="Times New Roman" w:eastAsia="黑体" w:cs="Times New Roman"/>
        </w:rPr>
      </w:pPr>
      <w:bookmarkStart w:id="104" w:name="_Toc15396626"/>
      <w:bookmarkStart w:id="105" w:name="_Toc4764"/>
      <w:r>
        <w:rPr>
          <w:rStyle w:val="32"/>
          <w:rFonts w:hint="default" w:ascii="Times New Roman" w:hAnsi="Times New Roman" w:eastAsia="黑体" w:cs="Times New Roman"/>
          <w:b w:val="0"/>
          <w:bCs w:val="0"/>
        </w:rPr>
        <w:t>八、</w:t>
      </w:r>
      <w:r>
        <w:rPr>
          <w:rFonts w:hint="default" w:ascii="Times New Roman" w:hAnsi="Times New Roman" w:eastAsia="黑体" w:cs="Times New Roman"/>
          <w:b w:val="0"/>
        </w:rPr>
        <w:t>一</w:t>
      </w:r>
      <w:r>
        <w:rPr>
          <w:rStyle w:val="32"/>
          <w:rFonts w:hint="default" w:ascii="Times New Roman" w:hAnsi="Times New Roman" w:eastAsia="黑体" w:cs="Times New Roman"/>
          <w:b w:val="0"/>
          <w:bCs w:val="0"/>
        </w:rPr>
        <w:t>般公共预算财政拨款基本支出决算表</w:t>
      </w:r>
      <w:bookmarkEnd w:id="104"/>
      <w:bookmarkEnd w:id="105"/>
    </w:p>
    <w:p w14:paraId="3E89EA7D">
      <w:pPr>
        <w:pStyle w:val="4"/>
        <w:spacing w:before="0" w:after="0" w:line="576" w:lineRule="exact"/>
        <w:ind w:firstLine="640" w:firstLineChars="200"/>
        <w:rPr>
          <w:rFonts w:hint="default" w:ascii="Times New Roman" w:hAnsi="Times New Roman" w:eastAsia="黑体" w:cs="Times New Roman"/>
        </w:rPr>
      </w:pPr>
      <w:bookmarkStart w:id="106" w:name="_Toc1799"/>
      <w:bookmarkStart w:id="107" w:name="_Toc15396627"/>
      <w:r>
        <w:rPr>
          <w:rStyle w:val="32"/>
          <w:rFonts w:hint="default" w:ascii="Times New Roman" w:hAnsi="Times New Roman" w:eastAsia="黑体" w:cs="Times New Roman"/>
          <w:b w:val="0"/>
          <w:bCs w:val="0"/>
        </w:rPr>
        <w:t>九、</w:t>
      </w:r>
      <w:r>
        <w:rPr>
          <w:rFonts w:hint="default" w:ascii="Times New Roman" w:hAnsi="Times New Roman" w:eastAsia="黑体" w:cs="Times New Roman"/>
          <w:b w:val="0"/>
        </w:rPr>
        <w:t>一</w:t>
      </w:r>
      <w:r>
        <w:rPr>
          <w:rStyle w:val="32"/>
          <w:rFonts w:hint="default" w:ascii="Times New Roman" w:hAnsi="Times New Roman" w:eastAsia="黑体" w:cs="Times New Roman"/>
          <w:b w:val="0"/>
          <w:bCs w:val="0"/>
        </w:rPr>
        <w:t>般公共预算财政拨款项目支出决算表</w:t>
      </w:r>
      <w:bookmarkEnd w:id="106"/>
      <w:bookmarkEnd w:id="107"/>
    </w:p>
    <w:p w14:paraId="5966D9CF">
      <w:pPr>
        <w:pStyle w:val="4"/>
        <w:spacing w:before="0" w:after="0" w:line="576" w:lineRule="exact"/>
        <w:ind w:firstLine="640" w:firstLineChars="200"/>
        <w:rPr>
          <w:rFonts w:hint="default" w:ascii="Times New Roman" w:hAnsi="Times New Roman" w:eastAsia="黑体" w:cs="Times New Roman"/>
        </w:rPr>
      </w:pPr>
      <w:bookmarkStart w:id="108" w:name="_Toc15396628"/>
      <w:bookmarkStart w:id="109" w:name="_Toc10940"/>
      <w:r>
        <w:rPr>
          <w:rStyle w:val="32"/>
          <w:rFonts w:hint="default" w:ascii="Times New Roman" w:hAnsi="Times New Roman" w:eastAsia="黑体" w:cs="Times New Roman"/>
          <w:b w:val="0"/>
          <w:bCs w:val="0"/>
        </w:rPr>
        <w:t>十、</w:t>
      </w:r>
      <w:bookmarkEnd w:id="108"/>
      <w:r>
        <w:rPr>
          <w:rFonts w:hint="default" w:ascii="Times New Roman" w:hAnsi="Times New Roman" w:eastAsia="黑体" w:cs="Times New Roman"/>
          <w:b w:val="0"/>
        </w:rPr>
        <w:t>政</w:t>
      </w:r>
      <w:r>
        <w:rPr>
          <w:rStyle w:val="32"/>
          <w:rFonts w:hint="default" w:ascii="Times New Roman" w:hAnsi="Times New Roman" w:eastAsia="黑体" w:cs="Times New Roman"/>
          <w:b w:val="0"/>
          <w:bCs w:val="0"/>
        </w:rPr>
        <w:t>府性基金预算财政拨款收入支出决算表</w:t>
      </w:r>
      <w:bookmarkEnd w:id="109"/>
    </w:p>
    <w:p w14:paraId="51FD090C">
      <w:pPr>
        <w:pStyle w:val="4"/>
        <w:spacing w:before="0" w:after="0" w:line="576" w:lineRule="exact"/>
        <w:ind w:firstLine="640" w:firstLineChars="200"/>
        <w:rPr>
          <w:rFonts w:hint="default" w:ascii="Times New Roman" w:hAnsi="Times New Roman" w:eastAsia="黑体" w:cs="Times New Roman"/>
        </w:rPr>
      </w:pPr>
      <w:bookmarkStart w:id="110" w:name="_Toc15396629"/>
      <w:bookmarkStart w:id="111" w:name="_Toc12654"/>
      <w:r>
        <w:rPr>
          <w:rStyle w:val="32"/>
          <w:rFonts w:hint="default" w:ascii="Times New Roman" w:hAnsi="Times New Roman" w:eastAsia="黑体" w:cs="Times New Roman"/>
          <w:b w:val="0"/>
          <w:bCs w:val="0"/>
        </w:rPr>
        <w:t>十一、</w:t>
      </w:r>
      <w:bookmarkEnd w:id="110"/>
      <w:r>
        <w:rPr>
          <w:rFonts w:hint="default" w:ascii="Times New Roman" w:hAnsi="Times New Roman" w:eastAsia="黑体" w:cs="Times New Roman"/>
          <w:b w:val="0"/>
        </w:rPr>
        <w:t>国</w:t>
      </w:r>
      <w:r>
        <w:rPr>
          <w:rStyle w:val="32"/>
          <w:rFonts w:hint="default" w:ascii="Times New Roman" w:hAnsi="Times New Roman" w:eastAsia="黑体" w:cs="Times New Roman"/>
          <w:b w:val="0"/>
          <w:bCs w:val="0"/>
        </w:rPr>
        <w:t>有资本经营预算财政拨款收入支出决算表</w:t>
      </w:r>
      <w:bookmarkEnd w:id="111"/>
    </w:p>
    <w:p w14:paraId="69F64C8D">
      <w:pPr>
        <w:pStyle w:val="4"/>
        <w:spacing w:before="0" w:after="0" w:line="576" w:lineRule="exact"/>
        <w:ind w:firstLine="640" w:firstLineChars="200"/>
        <w:rPr>
          <w:rFonts w:hint="default" w:ascii="Times New Roman" w:hAnsi="Times New Roman" w:eastAsia="黑体" w:cs="Times New Roman"/>
        </w:rPr>
      </w:pPr>
      <w:bookmarkStart w:id="112" w:name="_Toc15396630"/>
      <w:bookmarkStart w:id="113" w:name="_Toc10711"/>
      <w:r>
        <w:rPr>
          <w:rStyle w:val="32"/>
          <w:rFonts w:hint="default" w:ascii="Times New Roman" w:hAnsi="Times New Roman" w:eastAsia="黑体" w:cs="Times New Roman"/>
          <w:b w:val="0"/>
          <w:bCs w:val="0"/>
        </w:rPr>
        <w:t>十二、</w:t>
      </w:r>
      <w:bookmarkEnd w:id="112"/>
      <w:r>
        <w:rPr>
          <w:rStyle w:val="32"/>
          <w:rFonts w:hint="default" w:ascii="Times New Roman" w:hAnsi="Times New Roman" w:eastAsia="黑体" w:cs="Times New Roman"/>
          <w:b w:val="0"/>
          <w:bCs w:val="0"/>
        </w:rPr>
        <w:t>国有资本经营预算财政拨款支出决算表</w:t>
      </w:r>
      <w:bookmarkEnd w:id="113"/>
    </w:p>
    <w:p w14:paraId="07724EDE">
      <w:pPr>
        <w:pStyle w:val="4"/>
        <w:spacing w:before="0" w:after="0" w:line="576" w:lineRule="exact"/>
        <w:ind w:firstLine="640" w:firstLineChars="200"/>
        <w:rPr>
          <w:rFonts w:hint="default" w:ascii="Times New Roman" w:hAnsi="Times New Roman" w:eastAsia="黑体" w:cs="Times New Roman"/>
        </w:rPr>
      </w:pPr>
      <w:bookmarkStart w:id="114" w:name="_Toc15396631"/>
      <w:bookmarkStart w:id="115" w:name="_Toc13643"/>
      <w:r>
        <w:rPr>
          <w:rStyle w:val="32"/>
          <w:rFonts w:hint="default" w:ascii="Times New Roman" w:hAnsi="Times New Roman" w:eastAsia="黑体" w:cs="Times New Roman"/>
          <w:b w:val="0"/>
          <w:bCs w:val="0"/>
        </w:rPr>
        <w:t>十三、</w:t>
      </w:r>
      <w:bookmarkEnd w:id="114"/>
      <w:r>
        <w:rPr>
          <w:rStyle w:val="32"/>
          <w:rFonts w:hint="default" w:ascii="Times New Roman" w:hAnsi="Times New Roman" w:eastAsia="黑体" w:cs="Times New Roman"/>
          <w:b w:val="0"/>
          <w:bCs w:val="0"/>
        </w:rPr>
        <w:t>财政拨款“三公”经费支出决算表</w:t>
      </w:r>
      <w:bookmarkEnd w:id="115"/>
    </w:p>
    <w:sectPr>
      <w:footerReference r:id="rId8" w:type="default"/>
      <w:pgSz w:w="11906" w:h="16838"/>
      <w:pgMar w:top="2098" w:right="1474" w:bottom="1984" w:left="1587" w:header="851" w:footer="1502" w:gutter="0"/>
      <w:pgNumType w:fmt="decimal"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2000000000000000000"/>
    <w:charset w:val="86"/>
    <w:family w:val="auto"/>
    <w:pitch w:val="default"/>
    <w:sig w:usb0="00000001" w:usb1="08000000" w:usb2="00000000" w:usb3="00000000" w:csb0="00040000" w:csb1="00000000"/>
  </w:font>
  <w:font w:name="方正行楷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98D7F">
    <w:pPr>
      <w:pStyle w:val="11"/>
      <w:jc w:val="center"/>
    </w:pPr>
  </w:p>
  <w:p w14:paraId="77265E2A">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876B3">
    <w:pPr>
      <w:pStyle w:val="11"/>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A87E4B9">
                          <w:pPr>
                            <w:pStyle w:val="11"/>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w5y/Y4AgAAbw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r6hRDOFhp9+fD/9&#10;fDj9+kYmUZ7W+hmi7i3iQvfOdBia4d7jMrLuKqfiL/gQ+CHu8SKu6ALh8dF0Mp3mcHH4hgPws8fn&#10;1vnwXhhFolFQh+4lUdlh40MfOoTEbNqsGylTB6UmbUGvXr/N04OLB+BSx1iRZuEMEyn1pUcrdNvu&#10;zHNryiNoOtPPibd83aCUDfPhjjkMBsrH6oRbfCppkNKcLUpq477+6z7Go1/wUtJi0AqqsVeUyA8a&#10;fQRgGAw3GNvB0Ht1YzC5Y6yk5cnEAxfkYFbOqC/Yp2XMARfTHJkKGgbzJvTDjn3kYrlMQXvrml3d&#10;P8AUWhY2+t7ymCZK5e1yHyBtUjwK1KuCTsUD5jD17LwzcdD/PKeox/+J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LDnL9jgCAABvBAAADgAAAAAAAAABACAAAAAfAQAAZHJzL2Uyb0RvYy54&#10;bWxQSwUGAAAAAAYABgBZAQAAyQUAAAAA&#10;">
              <v:fill on="f" focussize="0,0"/>
              <v:stroke on="f" weight="0.5pt"/>
              <v:imagedata o:title=""/>
              <o:lock v:ext="edit" aspectratio="f"/>
              <v:textbox inset="0mm,0mm,0mm,0mm" style="mso-fit-shape-to-text:t;">
                <w:txbxContent>
                  <w:p w14:paraId="6A87E4B9">
                    <w:pPr>
                      <w:pStyle w:val="11"/>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6DCD7">
    <w:pPr>
      <w:pStyle w:val="11"/>
      <w:jc w:val="center"/>
    </w:pPr>
  </w:p>
  <w:p w14:paraId="0313EC9C">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D12B49">
    <w:pPr>
      <w:pStyle w:val="11"/>
      <w:jc w:val="center"/>
    </w:pPr>
  </w:p>
  <w:p w14:paraId="69B24D6E">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1F5DC">
    <w:pPr>
      <w:pStyle w:val="11"/>
      <w:jc w:val="cente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A081E78">
                          <w:pPr>
                            <w:pStyle w:val="11"/>
                            <w:rPr>
                              <w:rFonts w:hint="default" w:ascii="Times New Roman" w:hAnsi="Times New Roman" w:cs="Times New Roman" w:eastAsiaTheme="majorEastAsia"/>
                              <w:sz w:val="28"/>
                              <w:szCs w:val="28"/>
                              <w:lang w:eastAsia="zh-CN"/>
                            </w:rPr>
                          </w:pPr>
                          <w:r>
                            <w:rPr>
                              <w:rFonts w:hint="default" w:ascii="Times New Roman" w:hAnsi="Times New Roman" w:cs="Times New Roman" w:eastAsiaTheme="majorEastAsia"/>
                              <w:sz w:val="28"/>
                              <w:szCs w:val="28"/>
                              <w:lang w:eastAsia="zh-CN"/>
                            </w:rPr>
                            <w:t xml:space="preserve">— </w:t>
                          </w:r>
                          <w:r>
                            <w:rPr>
                              <w:rFonts w:hint="default" w:ascii="Times New Roman" w:hAnsi="Times New Roman" w:cs="Times New Roman" w:eastAsiaTheme="majorEastAsia"/>
                              <w:sz w:val="28"/>
                              <w:szCs w:val="28"/>
                              <w:lang w:eastAsia="zh-CN"/>
                            </w:rPr>
                            <w:fldChar w:fldCharType="begin"/>
                          </w:r>
                          <w:r>
                            <w:rPr>
                              <w:rFonts w:hint="default" w:ascii="Times New Roman" w:hAnsi="Times New Roman" w:cs="Times New Roman" w:eastAsiaTheme="majorEastAsia"/>
                              <w:sz w:val="28"/>
                              <w:szCs w:val="28"/>
                              <w:lang w:eastAsia="zh-CN"/>
                            </w:rPr>
                            <w:instrText xml:space="preserve"> PAGE  \* MERGEFORMAT </w:instrText>
                          </w:r>
                          <w:r>
                            <w:rPr>
                              <w:rFonts w:hint="default" w:ascii="Times New Roman" w:hAnsi="Times New Roman" w:cs="Times New Roman" w:eastAsiaTheme="majorEastAsia"/>
                              <w:sz w:val="28"/>
                              <w:szCs w:val="28"/>
                              <w:lang w:eastAsia="zh-CN"/>
                            </w:rPr>
                            <w:fldChar w:fldCharType="separate"/>
                          </w:r>
                          <w:r>
                            <w:rPr>
                              <w:rFonts w:hint="default" w:ascii="Times New Roman" w:hAnsi="Times New Roman" w:cs="Times New Roman" w:eastAsiaTheme="majorEastAsia"/>
                              <w:sz w:val="28"/>
                              <w:szCs w:val="28"/>
                              <w:lang w:eastAsia="zh-CN"/>
                            </w:rPr>
                            <w:t>1</w:t>
                          </w:r>
                          <w:r>
                            <w:rPr>
                              <w:rFonts w:hint="default" w:ascii="Times New Roman" w:hAnsi="Times New Roman" w:cs="Times New Roman" w:eastAsiaTheme="majorEastAsia"/>
                              <w:sz w:val="28"/>
                              <w:szCs w:val="28"/>
                              <w:lang w:eastAsia="zh-CN"/>
                            </w:rPr>
                            <w:fldChar w:fldCharType="end"/>
                          </w:r>
                          <w:r>
                            <w:rPr>
                              <w:rFonts w:hint="default" w:ascii="Times New Roman" w:hAnsi="Times New Roman" w:cs="Times New Roman" w:eastAsiaTheme="majorEastAsia"/>
                              <w:sz w:val="28"/>
                              <w:szCs w:val="28"/>
                              <w:lang w:eastAsia="zh-CN"/>
                            </w:rPr>
                            <w:t xml:space="preserve"> —</w:t>
                          </w:r>
                        </w:p>
                      </w:txbxContent>
                    </wps:txbx>
                    <wps:bodyPr vert="horz" wrap="none" lIns="0" tIns="0" rIns="0" bIns="0" anchor="t" anchorCtr="0" upright="1">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UTDhXmAQAAyAMAAA4AAABkcnMvZTJvRG9jLnhtbK1TzY7TMBC+I/EO&#10;lu80aVesqqrpCqgWISFAWngA13EaS/7TeNqkPAC8AScu3HmuPgdjJ+mi3cse9pKMPeNvvu/zeH3T&#10;W8OOCqL2ruLzWcmZctLX2u0r/u3r7aslZxGFq4XxTlX8pCK/2bx8se7CSi18602tgBGIi6suVLxF&#10;DKuiiLJVVsSZD8pRsvFgBdIS9kUNoiN0a4pFWV4XnYc6gJcqRtrdDkk+IsJTAH3TaKm2Xh6scjig&#10;gjICSVJsdYh8k9k2jZL4uWmiQmYqTkoxf6kJxbv0LTZrsdqDCK2WIwXxFAoPNFmhHTW9QG0FCnYA&#10;/QjKagk++gZn0ttiEJIdIRXz8oE3d60IKmshq2O4mB6fD1Z+On4BpmuaBLLECUs3fv718/z77/nP&#10;D3aV/OlCXFHZXaBC7N/6nmqn/UibSXbfgE1/EsQoT1Cni7uqRybToeViuSwpJSk3LQi/uD8eIOJ7&#10;5S1LQcWBri+7Ko4fIw6lU0nq5vytNiZfoXGsq/j11esyH7hkCNw46pFEDGRThP2uH5XtfH0iYfQg&#10;qGHr4TtnHY1DxR1NP2fmgyO3iTROAUzBbgqEk3Sw4sjZEL7DYcIOAfS+Jdx5JhXDmwMS5awk0Rh6&#10;j+zogrMX4zCmCfp/navuH+Dm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NJWO7QAAAABQEAAA8A&#10;AAAAAAAAAQAgAAAAIgAAAGRycy9kb3ducmV2LnhtbFBLAQIUABQAAAAIAIdO4kDFEw4V5gEAAMgD&#10;AAAOAAAAAAAAAAEAIAAAAB8BAABkcnMvZTJvRG9jLnhtbFBLBQYAAAAABgAGAFkBAAB3BQAAAAA=&#10;">
              <v:fill on="f" focussize="0,0"/>
              <v:stroke on="f" weight="0.5pt"/>
              <v:imagedata o:title=""/>
              <o:lock v:ext="edit" aspectratio="f"/>
              <v:textbox inset="0mm,0mm,0mm,0mm" style="mso-fit-shape-to-text:t;">
                <w:txbxContent>
                  <w:p w14:paraId="5A081E78">
                    <w:pPr>
                      <w:pStyle w:val="11"/>
                      <w:rPr>
                        <w:rFonts w:hint="default" w:ascii="Times New Roman" w:hAnsi="Times New Roman" w:cs="Times New Roman" w:eastAsiaTheme="majorEastAsia"/>
                        <w:sz w:val="28"/>
                        <w:szCs w:val="28"/>
                        <w:lang w:eastAsia="zh-CN"/>
                      </w:rPr>
                    </w:pPr>
                    <w:r>
                      <w:rPr>
                        <w:rFonts w:hint="default" w:ascii="Times New Roman" w:hAnsi="Times New Roman" w:cs="Times New Roman" w:eastAsiaTheme="majorEastAsia"/>
                        <w:sz w:val="28"/>
                        <w:szCs w:val="28"/>
                        <w:lang w:eastAsia="zh-CN"/>
                      </w:rPr>
                      <w:t xml:space="preserve">— </w:t>
                    </w:r>
                    <w:r>
                      <w:rPr>
                        <w:rFonts w:hint="default" w:ascii="Times New Roman" w:hAnsi="Times New Roman" w:cs="Times New Roman" w:eastAsiaTheme="majorEastAsia"/>
                        <w:sz w:val="28"/>
                        <w:szCs w:val="28"/>
                        <w:lang w:eastAsia="zh-CN"/>
                      </w:rPr>
                      <w:fldChar w:fldCharType="begin"/>
                    </w:r>
                    <w:r>
                      <w:rPr>
                        <w:rFonts w:hint="default" w:ascii="Times New Roman" w:hAnsi="Times New Roman" w:cs="Times New Roman" w:eastAsiaTheme="majorEastAsia"/>
                        <w:sz w:val="28"/>
                        <w:szCs w:val="28"/>
                        <w:lang w:eastAsia="zh-CN"/>
                      </w:rPr>
                      <w:instrText xml:space="preserve"> PAGE  \* MERGEFORMAT </w:instrText>
                    </w:r>
                    <w:r>
                      <w:rPr>
                        <w:rFonts w:hint="default" w:ascii="Times New Roman" w:hAnsi="Times New Roman" w:cs="Times New Roman" w:eastAsiaTheme="majorEastAsia"/>
                        <w:sz w:val="28"/>
                        <w:szCs w:val="28"/>
                        <w:lang w:eastAsia="zh-CN"/>
                      </w:rPr>
                      <w:fldChar w:fldCharType="separate"/>
                    </w:r>
                    <w:r>
                      <w:rPr>
                        <w:rFonts w:hint="default" w:ascii="Times New Roman" w:hAnsi="Times New Roman" w:cs="Times New Roman" w:eastAsiaTheme="majorEastAsia"/>
                        <w:sz w:val="28"/>
                        <w:szCs w:val="28"/>
                        <w:lang w:eastAsia="zh-CN"/>
                      </w:rPr>
                      <w:t>1</w:t>
                    </w:r>
                    <w:r>
                      <w:rPr>
                        <w:rFonts w:hint="default" w:ascii="Times New Roman" w:hAnsi="Times New Roman" w:cs="Times New Roman" w:eastAsiaTheme="majorEastAsia"/>
                        <w:sz w:val="28"/>
                        <w:szCs w:val="28"/>
                        <w:lang w:eastAsia="zh-CN"/>
                      </w:rPr>
                      <w:fldChar w:fldCharType="end"/>
                    </w:r>
                    <w:r>
                      <w:rPr>
                        <w:rFonts w:hint="default" w:ascii="Times New Roman" w:hAnsi="Times New Roman" w:cs="Times New Roman" w:eastAsiaTheme="majorEastAsia"/>
                        <w:sz w:val="28"/>
                        <w:szCs w:val="28"/>
                        <w:lang w:eastAsia="zh-CN"/>
                      </w:rPr>
                      <w:t xml:space="preserve"> —</w:t>
                    </w:r>
                  </w:p>
                </w:txbxContent>
              </v:textbox>
            </v:shape>
          </w:pict>
        </mc:Fallback>
      </mc:AlternateContent>
    </w:r>
  </w:p>
  <w:p w14:paraId="27BA4C6A">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5C6ED">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hYTg4NGNkZWJkODFjNzcyZDRjM2M4Y2UzNjI5ZmUifQ=="/>
  </w:docVars>
  <w:rsids>
    <w:rsidRoot w:val="00F1361C"/>
    <w:rsid w:val="00016231"/>
    <w:rsid w:val="0001664A"/>
    <w:rsid w:val="000222C6"/>
    <w:rsid w:val="0002549F"/>
    <w:rsid w:val="0002553C"/>
    <w:rsid w:val="000468DB"/>
    <w:rsid w:val="0006487A"/>
    <w:rsid w:val="00065F8F"/>
    <w:rsid w:val="00070A43"/>
    <w:rsid w:val="000768F2"/>
    <w:rsid w:val="0009184B"/>
    <w:rsid w:val="00094236"/>
    <w:rsid w:val="0009593C"/>
    <w:rsid w:val="00097322"/>
    <w:rsid w:val="000A6A92"/>
    <w:rsid w:val="000B047F"/>
    <w:rsid w:val="000B059D"/>
    <w:rsid w:val="000B5923"/>
    <w:rsid w:val="000B5A48"/>
    <w:rsid w:val="000B6FF3"/>
    <w:rsid w:val="000C3467"/>
    <w:rsid w:val="000C3CA6"/>
    <w:rsid w:val="000D1267"/>
    <w:rsid w:val="000D1D50"/>
    <w:rsid w:val="000D5782"/>
    <w:rsid w:val="000D5F23"/>
    <w:rsid w:val="000E4213"/>
    <w:rsid w:val="000E6613"/>
    <w:rsid w:val="000E7119"/>
    <w:rsid w:val="00114E9B"/>
    <w:rsid w:val="00142216"/>
    <w:rsid w:val="00144D6A"/>
    <w:rsid w:val="0014729F"/>
    <w:rsid w:val="00147A7E"/>
    <w:rsid w:val="00150477"/>
    <w:rsid w:val="00157BAB"/>
    <w:rsid w:val="001654D1"/>
    <w:rsid w:val="00174518"/>
    <w:rsid w:val="0018106D"/>
    <w:rsid w:val="001877A7"/>
    <w:rsid w:val="00191536"/>
    <w:rsid w:val="00196687"/>
    <w:rsid w:val="001C0962"/>
    <w:rsid w:val="001D7531"/>
    <w:rsid w:val="001E737D"/>
    <w:rsid w:val="001F0592"/>
    <w:rsid w:val="001F7506"/>
    <w:rsid w:val="002006CD"/>
    <w:rsid w:val="00202AF7"/>
    <w:rsid w:val="00202B36"/>
    <w:rsid w:val="00204B7A"/>
    <w:rsid w:val="00204CDE"/>
    <w:rsid w:val="0021101A"/>
    <w:rsid w:val="00220536"/>
    <w:rsid w:val="002244E7"/>
    <w:rsid w:val="00235629"/>
    <w:rsid w:val="00260C38"/>
    <w:rsid w:val="002616C0"/>
    <w:rsid w:val="00265372"/>
    <w:rsid w:val="002662AA"/>
    <w:rsid w:val="002716D2"/>
    <w:rsid w:val="002801A2"/>
    <w:rsid w:val="00280496"/>
    <w:rsid w:val="00294DC9"/>
    <w:rsid w:val="00295495"/>
    <w:rsid w:val="002A31DE"/>
    <w:rsid w:val="002B2613"/>
    <w:rsid w:val="002D6D05"/>
    <w:rsid w:val="002F1818"/>
    <w:rsid w:val="002F567B"/>
    <w:rsid w:val="003216A9"/>
    <w:rsid w:val="00335A74"/>
    <w:rsid w:val="0036561B"/>
    <w:rsid w:val="0037013F"/>
    <w:rsid w:val="00380C92"/>
    <w:rsid w:val="00385D99"/>
    <w:rsid w:val="003A484F"/>
    <w:rsid w:val="003A4883"/>
    <w:rsid w:val="003B0BE0"/>
    <w:rsid w:val="003B0C1B"/>
    <w:rsid w:val="003B688C"/>
    <w:rsid w:val="003C0291"/>
    <w:rsid w:val="003C39AE"/>
    <w:rsid w:val="003C610A"/>
    <w:rsid w:val="003C7B60"/>
    <w:rsid w:val="003D0C0F"/>
    <w:rsid w:val="003D1FB2"/>
    <w:rsid w:val="003D66DA"/>
    <w:rsid w:val="003E1310"/>
    <w:rsid w:val="003E4752"/>
    <w:rsid w:val="003E6F55"/>
    <w:rsid w:val="00406254"/>
    <w:rsid w:val="004223DE"/>
    <w:rsid w:val="00434489"/>
    <w:rsid w:val="00437085"/>
    <w:rsid w:val="00443880"/>
    <w:rsid w:val="004464F4"/>
    <w:rsid w:val="004651C0"/>
    <w:rsid w:val="00471401"/>
    <w:rsid w:val="00473F31"/>
    <w:rsid w:val="0048263A"/>
    <w:rsid w:val="00487E5D"/>
    <w:rsid w:val="004A1009"/>
    <w:rsid w:val="004A4D06"/>
    <w:rsid w:val="004A711F"/>
    <w:rsid w:val="004B199D"/>
    <w:rsid w:val="004B3C46"/>
    <w:rsid w:val="004B4690"/>
    <w:rsid w:val="004D17E0"/>
    <w:rsid w:val="004E0A2D"/>
    <w:rsid w:val="004E206B"/>
    <w:rsid w:val="004E6DF7"/>
    <w:rsid w:val="004F0FBD"/>
    <w:rsid w:val="004F1EE9"/>
    <w:rsid w:val="00505A47"/>
    <w:rsid w:val="00510DAF"/>
    <w:rsid w:val="00512FDA"/>
    <w:rsid w:val="00520DA0"/>
    <w:rsid w:val="00523605"/>
    <w:rsid w:val="00532973"/>
    <w:rsid w:val="005664BB"/>
    <w:rsid w:val="00566FFA"/>
    <w:rsid w:val="0057481D"/>
    <w:rsid w:val="005834D8"/>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25112"/>
    <w:rsid w:val="00630AEF"/>
    <w:rsid w:val="006325F8"/>
    <w:rsid w:val="00633463"/>
    <w:rsid w:val="00634C9A"/>
    <w:rsid w:val="006440E4"/>
    <w:rsid w:val="0066343B"/>
    <w:rsid w:val="00664777"/>
    <w:rsid w:val="00667144"/>
    <w:rsid w:val="006748A4"/>
    <w:rsid w:val="00681A31"/>
    <w:rsid w:val="00683E73"/>
    <w:rsid w:val="0068417B"/>
    <w:rsid w:val="006A3141"/>
    <w:rsid w:val="006A5E34"/>
    <w:rsid w:val="006B2422"/>
    <w:rsid w:val="006B2B9A"/>
    <w:rsid w:val="006C1937"/>
    <w:rsid w:val="006D6A5E"/>
    <w:rsid w:val="006F020C"/>
    <w:rsid w:val="007127B7"/>
    <w:rsid w:val="0071798E"/>
    <w:rsid w:val="0072290D"/>
    <w:rsid w:val="007416B6"/>
    <w:rsid w:val="00746F48"/>
    <w:rsid w:val="00747F32"/>
    <w:rsid w:val="0075404D"/>
    <w:rsid w:val="0076182A"/>
    <w:rsid w:val="00767B7E"/>
    <w:rsid w:val="007770C3"/>
    <w:rsid w:val="00784D24"/>
    <w:rsid w:val="00785FBA"/>
    <w:rsid w:val="00786E4A"/>
    <w:rsid w:val="007875EB"/>
    <w:rsid w:val="0079426B"/>
    <w:rsid w:val="007C6837"/>
    <w:rsid w:val="007D1682"/>
    <w:rsid w:val="007D2C67"/>
    <w:rsid w:val="007D312A"/>
    <w:rsid w:val="007D3F19"/>
    <w:rsid w:val="007D483F"/>
    <w:rsid w:val="007D7CAA"/>
    <w:rsid w:val="007E23B0"/>
    <w:rsid w:val="007E23E5"/>
    <w:rsid w:val="007F11B1"/>
    <w:rsid w:val="007F1991"/>
    <w:rsid w:val="007F2C2F"/>
    <w:rsid w:val="007F55FC"/>
    <w:rsid w:val="007F5665"/>
    <w:rsid w:val="007F699B"/>
    <w:rsid w:val="00800112"/>
    <w:rsid w:val="00813348"/>
    <w:rsid w:val="00821179"/>
    <w:rsid w:val="008253BB"/>
    <w:rsid w:val="0083706E"/>
    <w:rsid w:val="008408F6"/>
    <w:rsid w:val="008423A5"/>
    <w:rsid w:val="00850625"/>
    <w:rsid w:val="00853718"/>
    <w:rsid w:val="00855221"/>
    <w:rsid w:val="00860645"/>
    <w:rsid w:val="00871F71"/>
    <w:rsid w:val="00872FD8"/>
    <w:rsid w:val="008844DB"/>
    <w:rsid w:val="00885AF4"/>
    <w:rsid w:val="008939CD"/>
    <w:rsid w:val="008A74B2"/>
    <w:rsid w:val="008B768C"/>
    <w:rsid w:val="008C4DB1"/>
    <w:rsid w:val="008C4EAF"/>
    <w:rsid w:val="008C5176"/>
    <w:rsid w:val="008C7E8A"/>
    <w:rsid w:val="008C7FD0"/>
    <w:rsid w:val="008E1DE7"/>
    <w:rsid w:val="008E5605"/>
    <w:rsid w:val="008E5ABC"/>
    <w:rsid w:val="008E707C"/>
    <w:rsid w:val="00900B08"/>
    <w:rsid w:val="00902155"/>
    <w:rsid w:val="00902FA3"/>
    <w:rsid w:val="00923564"/>
    <w:rsid w:val="0092392E"/>
    <w:rsid w:val="00926E22"/>
    <w:rsid w:val="009315F9"/>
    <w:rsid w:val="00933499"/>
    <w:rsid w:val="00935C98"/>
    <w:rsid w:val="00941210"/>
    <w:rsid w:val="00946945"/>
    <w:rsid w:val="00951248"/>
    <w:rsid w:val="0095152F"/>
    <w:rsid w:val="00954C49"/>
    <w:rsid w:val="00955E37"/>
    <w:rsid w:val="0097099F"/>
    <w:rsid w:val="00971997"/>
    <w:rsid w:val="00971FFC"/>
    <w:rsid w:val="0098660A"/>
    <w:rsid w:val="0098714A"/>
    <w:rsid w:val="009931C3"/>
    <w:rsid w:val="0099411F"/>
    <w:rsid w:val="009B19CD"/>
    <w:rsid w:val="009B2C43"/>
    <w:rsid w:val="009B4EAE"/>
    <w:rsid w:val="009B7573"/>
    <w:rsid w:val="009C22F4"/>
    <w:rsid w:val="009C2A4B"/>
    <w:rsid w:val="009C2E98"/>
    <w:rsid w:val="009C3483"/>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82EC7"/>
    <w:rsid w:val="00A86B1F"/>
    <w:rsid w:val="00A91760"/>
    <w:rsid w:val="00A93B00"/>
    <w:rsid w:val="00A93C21"/>
    <w:rsid w:val="00AB64C9"/>
    <w:rsid w:val="00AC3C6A"/>
    <w:rsid w:val="00AD5620"/>
    <w:rsid w:val="00AD656B"/>
    <w:rsid w:val="00AD73BC"/>
    <w:rsid w:val="00AD7C1B"/>
    <w:rsid w:val="00AE16BA"/>
    <w:rsid w:val="00AE1EBE"/>
    <w:rsid w:val="00AE6262"/>
    <w:rsid w:val="00AF5A97"/>
    <w:rsid w:val="00B03C9D"/>
    <w:rsid w:val="00B060AE"/>
    <w:rsid w:val="00B10517"/>
    <w:rsid w:val="00B14E76"/>
    <w:rsid w:val="00B161B8"/>
    <w:rsid w:val="00B2048C"/>
    <w:rsid w:val="00B310B9"/>
    <w:rsid w:val="00B35631"/>
    <w:rsid w:val="00B35F3F"/>
    <w:rsid w:val="00B36CBB"/>
    <w:rsid w:val="00B425E0"/>
    <w:rsid w:val="00B43221"/>
    <w:rsid w:val="00B440AA"/>
    <w:rsid w:val="00B44B70"/>
    <w:rsid w:val="00B53816"/>
    <w:rsid w:val="00B53C56"/>
    <w:rsid w:val="00B57DAF"/>
    <w:rsid w:val="00B77EA6"/>
    <w:rsid w:val="00B81598"/>
    <w:rsid w:val="00B836BD"/>
    <w:rsid w:val="00B841F1"/>
    <w:rsid w:val="00B944D6"/>
    <w:rsid w:val="00BB4DF0"/>
    <w:rsid w:val="00BC289F"/>
    <w:rsid w:val="00BC2D50"/>
    <w:rsid w:val="00BC5361"/>
    <w:rsid w:val="00BC5460"/>
    <w:rsid w:val="00BC6B50"/>
    <w:rsid w:val="00BD0E25"/>
    <w:rsid w:val="00BF5BD6"/>
    <w:rsid w:val="00C03E31"/>
    <w:rsid w:val="00C06D30"/>
    <w:rsid w:val="00C33E72"/>
    <w:rsid w:val="00C354B2"/>
    <w:rsid w:val="00C35554"/>
    <w:rsid w:val="00C42709"/>
    <w:rsid w:val="00C533CC"/>
    <w:rsid w:val="00C5751C"/>
    <w:rsid w:val="00C60AB1"/>
    <w:rsid w:val="00C61BFC"/>
    <w:rsid w:val="00C62B85"/>
    <w:rsid w:val="00C65438"/>
    <w:rsid w:val="00C87FD8"/>
    <w:rsid w:val="00C91381"/>
    <w:rsid w:val="00C91CBB"/>
    <w:rsid w:val="00CB1335"/>
    <w:rsid w:val="00CB4E70"/>
    <w:rsid w:val="00CC09B6"/>
    <w:rsid w:val="00CC666F"/>
    <w:rsid w:val="00CD1E3F"/>
    <w:rsid w:val="00CE3B2A"/>
    <w:rsid w:val="00CE44F6"/>
    <w:rsid w:val="00CE49DA"/>
    <w:rsid w:val="00CE7B61"/>
    <w:rsid w:val="00D00095"/>
    <w:rsid w:val="00D114F0"/>
    <w:rsid w:val="00D20620"/>
    <w:rsid w:val="00D254F7"/>
    <w:rsid w:val="00D26091"/>
    <w:rsid w:val="00D2685C"/>
    <w:rsid w:val="00D34E7C"/>
    <w:rsid w:val="00D35489"/>
    <w:rsid w:val="00D36AFE"/>
    <w:rsid w:val="00D40C37"/>
    <w:rsid w:val="00D51276"/>
    <w:rsid w:val="00D7035F"/>
    <w:rsid w:val="00D74BA0"/>
    <w:rsid w:val="00D83CEB"/>
    <w:rsid w:val="00D851FD"/>
    <w:rsid w:val="00DA3257"/>
    <w:rsid w:val="00DA634F"/>
    <w:rsid w:val="00DA65AC"/>
    <w:rsid w:val="00DB1913"/>
    <w:rsid w:val="00DC410D"/>
    <w:rsid w:val="00DC5A81"/>
    <w:rsid w:val="00DC68CA"/>
    <w:rsid w:val="00DC7CBA"/>
    <w:rsid w:val="00DD73B7"/>
    <w:rsid w:val="00DF28BC"/>
    <w:rsid w:val="00DF34B9"/>
    <w:rsid w:val="00E01053"/>
    <w:rsid w:val="00E07ACF"/>
    <w:rsid w:val="00E14D31"/>
    <w:rsid w:val="00E228A4"/>
    <w:rsid w:val="00E331A1"/>
    <w:rsid w:val="00E33202"/>
    <w:rsid w:val="00E336A9"/>
    <w:rsid w:val="00E41F7C"/>
    <w:rsid w:val="00E472B1"/>
    <w:rsid w:val="00E50624"/>
    <w:rsid w:val="00E568DF"/>
    <w:rsid w:val="00E64269"/>
    <w:rsid w:val="00E7023A"/>
    <w:rsid w:val="00E82267"/>
    <w:rsid w:val="00E853CE"/>
    <w:rsid w:val="00E867B6"/>
    <w:rsid w:val="00E964C4"/>
    <w:rsid w:val="00EA010F"/>
    <w:rsid w:val="00EB23D2"/>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579CE"/>
    <w:rsid w:val="00F602DF"/>
    <w:rsid w:val="00F754A1"/>
    <w:rsid w:val="00F81FD9"/>
    <w:rsid w:val="00F841AA"/>
    <w:rsid w:val="00F84A94"/>
    <w:rsid w:val="00F87E96"/>
    <w:rsid w:val="00FA23E8"/>
    <w:rsid w:val="00FD15C6"/>
    <w:rsid w:val="00FD3CC1"/>
    <w:rsid w:val="00FF1E02"/>
    <w:rsid w:val="00FF30B4"/>
    <w:rsid w:val="015975B8"/>
    <w:rsid w:val="0183453D"/>
    <w:rsid w:val="02143E91"/>
    <w:rsid w:val="03B26374"/>
    <w:rsid w:val="048E3D51"/>
    <w:rsid w:val="066E0107"/>
    <w:rsid w:val="07245E7A"/>
    <w:rsid w:val="07996F6E"/>
    <w:rsid w:val="0A2032A3"/>
    <w:rsid w:val="0DB55A7E"/>
    <w:rsid w:val="0EA31D7A"/>
    <w:rsid w:val="0F98263C"/>
    <w:rsid w:val="101860EC"/>
    <w:rsid w:val="10C055FF"/>
    <w:rsid w:val="118107EC"/>
    <w:rsid w:val="13D50BC4"/>
    <w:rsid w:val="16BB723D"/>
    <w:rsid w:val="1AD92EA8"/>
    <w:rsid w:val="1BE8440E"/>
    <w:rsid w:val="1D155CEE"/>
    <w:rsid w:val="1FF35744"/>
    <w:rsid w:val="23860B96"/>
    <w:rsid w:val="240371BF"/>
    <w:rsid w:val="27DC7A6E"/>
    <w:rsid w:val="288C74E1"/>
    <w:rsid w:val="29FD04D3"/>
    <w:rsid w:val="2A792F1E"/>
    <w:rsid w:val="2C83526D"/>
    <w:rsid w:val="2C8A61B5"/>
    <w:rsid w:val="2DF04E50"/>
    <w:rsid w:val="2E975000"/>
    <w:rsid w:val="2F040D46"/>
    <w:rsid w:val="31472DFD"/>
    <w:rsid w:val="319F7F4E"/>
    <w:rsid w:val="3304709D"/>
    <w:rsid w:val="367B5207"/>
    <w:rsid w:val="36AA5135"/>
    <w:rsid w:val="371D62BE"/>
    <w:rsid w:val="376D39B2"/>
    <w:rsid w:val="37E16F03"/>
    <w:rsid w:val="38D469F0"/>
    <w:rsid w:val="39202096"/>
    <w:rsid w:val="3AFF7DEA"/>
    <w:rsid w:val="3BCB453B"/>
    <w:rsid w:val="3D5D11C3"/>
    <w:rsid w:val="3D98207C"/>
    <w:rsid w:val="3E78745D"/>
    <w:rsid w:val="416E49DE"/>
    <w:rsid w:val="41A73354"/>
    <w:rsid w:val="43AD2778"/>
    <w:rsid w:val="44E268DA"/>
    <w:rsid w:val="4A627F82"/>
    <w:rsid w:val="4B0E749A"/>
    <w:rsid w:val="4B4F25DA"/>
    <w:rsid w:val="4BE068DB"/>
    <w:rsid w:val="4CB96DAA"/>
    <w:rsid w:val="4D577224"/>
    <w:rsid w:val="4DB04BB4"/>
    <w:rsid w:val="4EAB630A"/>
    <w:rsid w:val="4ECE2238"/>
    <w:rsid w:val="537E6D0A"/>
    <w:rsid w:val="54772B26"/>
    <w:rsid w:val="555E1DCE"/>
    <w:rsid w:val="568F4F11"/>
    <w:rsid w:val="592D39AB"/>
    <w:rsid w:val="5AF92295"/>
    <w:rsid w:val="5CD71FC4"/>
    <w:rsid w:val="64CD6827"/>
    <w:rsid w:val="64ED484B"/>
    <w:rsid w:val="662B7800"/>
    <w:rsid w:val="68D979E8"/>
    <w:rsid w:val="6C4A05C8"/>
    <w:rsid w:val="6D910891"/>
    <w:rsid w:val="6E7E3605"/>
    <w:rsid w:val="6E95507D"/>
    <w:rsid w:val="6FF5CC65"/>
    <w:rsid w:val="715C0E4B"/>
    <w:rsid w:val="722C0F0A"/>
    <w:rsid w:val="72734D90"/>
    <w:rsid w:val="73AD73D5"/>
    <w:rsid w:val="73B6EB34"/>
    <w:rsid w:val="744731E5"/>
    <w:rsid w:val="76E3355F"/>
    <w:rsid w:val="778769C8"/>
    <w:rsid w:val="79EE5BA4"/>
    <w:rsid w:val="7A894339"/>
    <w:rsid w:val="7D220268"/>
    <w:rsid w:val="7EEF11D3"/>
    <w:rsid w:val="7FA30C79"/>
    <w:rsid w:val="7FB7269E"/>
    <w:rsid w:val="7FC96657"/>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5"/>
    <w:unhideWhenUsed/>
    <w:qFormat/>
    <w:uiPriority w:val="9"/>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customStyle="1" w:styleId="2">
    <w:name w:val="ToCaption"/>
    <w:basedOn w:val="1"/>
    <w:next w:val="1"/>
    <w:qFormat/>
    <w:uiPriority w:val="99"/>
    <w:pPr>
      <w:ind w:left="200" w:leftChars="200" w:hanging="200" w:hangingChars="200"/>
    </w:pPr>
  </w:style>
  <w:style w:type="paragraph" w:styleId="6">
    <w:name w:val="annotation text"/>
    <w:basedOn w:val="1"/>
    <w:link w:val="40"/>
    <w:autoRedefine/>
    <w:unhideWhenUsed/>
    <w:qFormat/>
    <w:uiPriority w:val="99"/>
    <w:pPr>
      <w:widowControl/>
      <w:kinsoku w:val="0"/>
      <w:autoSpaceDE w:val="0"/>
      <w:autoSpaceDN w:val="0"/>
      <w:adjustRightInd w:val="0"/>
      <w:snapToGrid w:val="0"/>
      <w:jc w:val="left"/>
      <w:textAlignment w:val="baseline"/>
    </w:pPr>
    <w:rPr>
      <w:rFonts w:ascii="Arial" w:hAnsi="Arial" w:cs="Arial"/>
      <w:snapToGrid w:val="0"/>
      <w:color w:val="000000"/>
      <w:kern w:val="0"/>
      <w:szCs w:val="21"/>
    </w:rPr>
  </w:style>
  <w:style w:type="paragraph" w:styleId="7">
    <w:name w:val="Body Text"/>
    <w:basedOn w:val="1"/>
    <w:link w:val="28"/>
    <w:qFormat/>
    <w:uiPriority w:val="99"/>
    <w:pPr>
      <w:spacing w:beforeLines="30"/>
    </w:pPr>
    <w:rPr>
      <w:rFonts w:ascii="仿宋_GB2312" w:eastAsia="仿宋_GB2312"/>
      <w:kern w:val="0"/>
      <w:sz w:val="30"/>
    </w:rPr>
  </w:style>
  <w:style w:type="paragraph" w:styleId="8">
    <w:name w:val="Body Text Indent"/>
    <w:basedOn w:val="1"/>
    <w:qFormat/>
    <w:uiPriority w:val="0"/>
    <w:pPr>
      <w:spacing w:after="120"/>
      <w:ind w:left="200" w:leftChars="200"/>
    </w:pPr>
    <w:rPr>
      <w:rFonts w:ascii="仿宋_GB2312"/>
      <w:szCs w:val="32"/>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4"/>
    <w:autoRedefine/>
    <w:semiHidden/>
    <w:unhideWhenUsed/>
    <w:qFormat/>
    <w:uiPriority w:val="99"/>
    <w:rPr>
      <w:sz w:val="18"/>
      <w:szCs w:val="18"/>
    </w:rPr>
  </w:style>
  <w:style w:type="paragraph" w:styleId="11">
    <w:name w:val="footer"/>
    <w:basedOn w:val="1"/>
    <w:link w:val="26"/>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4"/>
    <w:autoRedefine/>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autoRedefine/>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paragraph" w:styleId="15">
    <w:name w:val="Normal (Web)"/>
    <w:basedOn w:val="1"/>
    <w:autoRedefine/>
    <w:qFormat/>
    <w:uiPriority w:val="0"/>
    <w:pPr>
      <w:jc w:val="left"/>
    </w:pPr>
    <w:rPr>
      <w:kern w:val="0"/>
      <w:sz w:val="24"/>
    </w:rPr>
  </w:style>
  <w:style w:type="paragraph" w:styleId="16">
    <w:name w:val="Body Text First Indent 2"/>
    <w:basedOn w:val="8"/>
    <w:autoRedefine/>
    <w:unhideWhenUsed/>
    <w:qFormat/>
    <w:uiPriority w:val="99"/>
    <w:pPr>
      <w:ind w:firstLine="420" w:firstLineChars="200"/>
    </w:pPr>
  </w:style>
  <w:style w:type="table" w:styleId="18">
    <w:name w:val="Table Grid"/>
    <w:basedOn w:val="1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99"/>
    <w:rPr>
      <w:b/>
    </w:rPr>
  </w:style>
  <w:style w:type="character" w:styleId="21">
    <w:name w:val="Hyperlink"/>
    <w:basedOn w:val="19"/>
    <w:autoRedefine/>
    <w:unhideWhenUsed/>
    <w:qFormat/>
    <w:uiPriority w:val="99"/>
    <w:rPr>
      <w:color w:val="0000FF" w:themeColor="hyperlink"/>
      <w:u w:val="single"/>
      <w14:textFill>
        <w14:solidFill>
          <w14:schemeClr w14:val="hlink"/>
        </w14:solidFill>
      </w14:textFill>
    </w:rPr>
  </w:style>
  <w:style w:type="paragraph" w:customStyle="1" w:styleId="22">
    <w:name w:val="标题 5（有编号）（绿盟科技）"/>
    <w:next w:val="1"/>
    <w:autoRedefine/>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3">
    <w:name w:val="Header Char"/>
    <w:basedOn w:val="19"/>
    <w:semiHidden/>
    <w:qFormat/>
    <w:uiPriority w:val="99"/>
    <w:rPr>
      <w:rFonts w:ascii="Times New Roman" w:hAnsi="Times New Roman"/>
      <w:sz w:val="18"/>
      <w:szCs w:val="18"/>
    </w:rPr>
  </w:style>
  <w:style w:type="character" w:customStyle="1" w:styleId="24">
    <w:name w:val="页眉 Char"/>
    <w:link w:val="12"/>
    <w:semiHidden/>
    <w:qFormat/>
    <w:locked/>
    <w:uiPriority w:val="99"/>
    <w:rPr>
      <w:sz w:val="18"/>
    </w:rPr>
  </w:style>
  <w:style w:type="character" w:customStyle="1" w:styleId="25">
    <w:name w:val="Footer Char"/>
    <w:basedOn w:val="19"/>
    <w:autoRedefine/>
    <w:semiHidden/>
    <w:qFormat/>
    <w:uiPriority w:val="99"/>
    <w:rPr>
      <w:rFonts w:ascii="Times New Roman" w:hAnsi="Times New Roman"/>
      <w:sz w:val="18"/>
      <w:szCs w:val="18"/>
    </w:rPr>
  </w:style>
  <w:style w:type="character" w:customStyle="1" w:styleId="26">
    <w:name w:val="页脚 Char"/>
    <w:link w:val="11"/>
    <w:qFormat/>
    <w:locked/>
    <w:uiPriority w:val="99"/>
    <w:rPr>
      <w:sz w:val="18"/>
    </w:rPr>
  </w:style>
  <w:style w:type="character" w:customStyle="1" w:styleId="27">
    <w:name w:val="Body Text Char"/>
    <w:basedOn w:val="19"/>
    <w:autoRedefine/>
    <w:semiHidden/>
    <w:qFormat/>
    <w:uiPriority w:val="99"/>
    <w:rPr>
      <w:rFonts w:ascii="Times New Roman" w:hAnsi="Times New Roman"/>
      <w:szCs w:val="24"/>
    </w:rPr>
  </w:style>
  <w:style w:type="character" w:customStyle="1" w:styleId="28">
    <w:name w:val="正文文本 Char"/>
    <w:link w:val="7"/>
    <w:qFormat/>
    <w:locked/>
    <w:uiPriority w:val="99"/>
    <w:rPr>
      <w:rFonts w:ascii="仿宋_GB2312" w:hAnsi="Times New Roman" w:eastAsia="仿宋_GB2312"/>
      <w:sz w:val="24"/>
    </w:rPr>
  </w:style>
  <w:style w:type="paragraph" w:customStyle="1" w:styleId="29">
    <w:name w:val="Default"/>
    <w:autoRedefine/>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0">
    <w:name w:val="List Paragraph"/>
    <w:basedOn w:val="1"/>
    <w:qFormat/>
    <w:uiPriority w:val="34"/>
    <w:pPr>
      <w:ind w:firstLine="420" w:firstLineChars="200"/>
    </w:pPr>
  </w:style>
  <w:style w:type="character" w:customStyle="1" w:styleId="31">
    <w:name w:val="标题 1 Char"/>
    <w:basedOn w:val="19"/>
    <w:link w:val="3"/>
    <w:autoRedefine/>
    <w:qFormat/>
    <w:uiPriority w:val="9"/>
    <w:rPr>
      <w:rFonts w:ascii="Times New Roman" w:hAnsi="Times New Roman"/>
      <w:b/>
      <w:bCs/>
      <w:kern w:val="44"/>
      <w:sz w:val="44"/>
      <w:szCs w:val="44"/>
    </w:rPr>
  </w:style>
  <w:style w:type="character" w:customStyle="1" w:styleId="32">
    <w:name w:val="标题 2 Char"/>
    <w:basedOn w:val="19"/>
    <w:link w:val="4"/>
    <w:qFormat/>
    <w:uiPriority w:val="9"/>
    <w:rPr>
      <w:rFonts w:asciiTheme="majorHAnsi" w:hAnsiTheme="majorHAnsi" w:eastAsiaTheme="majorEastAsia" w:cstheme="majorBidi"/>
      <w:b/>
      <w:bCs/>
      <w:kern w:val="2"/>
      <w:sz w:val="32"/>
      <w:szCs w:val="32"/>
    </w:rPr>
  </w:style>
  <w:style w:type="paragraph" w:customStyle="1" w:styleId="33">
    <w:name w:val="TOC 标题1"/>
    <w:basedOn w:val="3"/>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Char"/>
    <w:basedOn w:val="19"/>
    <w:link w:val="10"/>
    <w:semiHidden/>
    <w:qFormat/>
    <w:uiPriority w:val="99"/>
    <w:rPr>
      <w:rFonts w:ascii="Times New Roman" w:hAnsi="Times New Roman"/>
      <w:kern w:val="2"/>
      <w:sz w:val="18"/>
      <w:szCs w:val="18"/>
    </w:rPr>
  </w:style>
  <w:style w:type="character" w:customStyle="1" w:styleId="35">
    <w:name w:val="标题 3 Char"/>
    <w:basedOn w:val="19"/>
    <w:link w:val="5"/>
    <w:qFormat/>
    <w:uiPriority w:val="9"/>
    <w:rPr>
      <w:rFonts w:ascii="Times New Roman" w:hAnsi="Times New Roman"/>
      <w:b/>
      <w:bCs/>
      <w:kern w:val="2"/>
      <w:sz w:val="32"/>
      <w:szCs w:val="32"/>
    </w:rPr>
  </w:style>
  <w:style w:type="paragraph" w:customStyle="1" w:styleId="36">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7">
    <w:name w:val="四号正文"/>
    <w:basedOn w:val="1"/>
    <w:qFormat/>
    <w:uiPriority w:val="0"/>
    <w:pPr>
      <w:spacing w:line="360" w:lineRule="auto"/>
    </w:pPr>
    <w:rPr>
      <w:rFonts w:ascii="??" w:hAnsi="??"/>
      <w:color w:val="000000"/>
      <w:kern w:val="0"/>
      <w:sz w:val="28"/>
      <w:szCs w:val="21"/>
      <w:lang w:val="zh-CN"/>
    </w:rPr>
  </w:style>
  <w:style w:type="paragraph" w:customStyle="1" w:styleId="38">
    <w:name w:val="WPSOffice手动目录 1"/>
    <w:autoRedefine/>
    <w:qFormat/>
    <w:uiPriority w:val="0"/>
    <w:rPr>
      <w:rFonts w:asciiTheme="minorHAnsi" w:hAnsiTheme="minorHAnsi" w:eastAsiaTheme="minorEastAsia" w:cstheme="minorBidi"/>
      <w:lang w:val="en-US" w:eastAsia="zh-CN" w:bidi="ar-SA"/>
    </w:rPr>
  </w:style>
  <w:style w:type="paragraph" w:customStyle="1" w:styleId="39">
    <w:name w:val="WPSOffice手动目录 2"/>
    <w:autoRedefine/>
    <w:qFormat/>
    <w:uiPriority w:val="0"/>
    <w:pPr>
      <w:ind w:left="200" w:leftChars="200"/>
    </w:pPr>
    <w:rPr>
      <w:rFonts w:asciiTheme="minorHAnsi" w:hAnsiTheme="minorHAnsi" w:eastAsiaTheme="minorEastAsia" w:cstheme="minorBidi"/>
      <w:lang w:val="en-US" w:eastAsia="zh-CN" w:bidi="ar-SA"/>
    </w:rPr>
  </w:style>
  <w:style w:type="character" w:customStyle="1" w:styleId="40">
    <w:name w:val="批注文字 Char"/>
    <w:basedOn w:val="19"/>
    <w:link w:val="6"/>
    <w:autoRedefine/>
    <w:qFormat/>
    <w:uiPriority w:val="99"/>
    <w:rPr>
      <w:rFonts w:ascii="Arial" w:hAnsi="Arial" w:eastAsia="宋体" w:cs="Arial"/>
      <w:snapToGrid w:val="0"/>
      <w:color w:val="000000"/>
      <w:sz w:val="21"/>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image" Target="media/image7.png"/><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56</Pages>
  <Words>15178</Words>
  <Characters>16324</Characters>
  <Lines>229</Lines>
  <Paragraphs>64</Paragraphs>
  <TotalTime>2</TotalTime>
  <ScaleCrop>false</ScaleCrop>
  <LinksUpToDate>false</LinksUpToDate>
  <CharactersWithSpaces>16440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2023-09-26T03:23:00Z</dcterms:created>
  <dc:creator>曹颖</dc:creator>
  <cp:lastModifiedBy>昭化融媒体</cp:lastModifiedBy>
  <cp:lastPrinted>2023-07-31T02:35:00Z</cp:lastPrinted>
  <dcterms:modified xsi:type="dcterms:W3CDTF">2025-06-24T03:22:13Z</dcterms:modified>
  <dc:title>四川省***</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6E7CDE06AD2344BDA645514D21EC6A93_13</vt:lpwstr>
  </property>
  <property fmtid="{D5CDD505-2E9C-101B-9397-08002B2CF9AE}" pid="4" name="KSOTemplateDocerSaveRecord">
    <vt:lpwstr>eyJoZGlkIjoiMGVhYTg4NGNkZWJkODFjNzcyZDRjM2M4Y2UzNjI5ZmUiLCJ1c2VySWQiOiI2MTE2MzEwMDYifQ==</vt:lpwstr>
  </property>
</Properties>
</file>