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广元市昭化区历史遗留矿山地质环境恢复治理保证金退还公告台账</w:t>
      </w:r>
    </w:p>
    <w:bookmarkEnd w:id="0"/>
    <w:tbl>
      <w:tblPr>
        <w:tblStyle w:val="3"/>
        <w:tblW w:w="1421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210"/>
        <w:gridCol w:w="1750"/>
        <w:gridCol w:w="1098"/>
        <w:gridCol w:w="1174"/>
        <w:gridCol w:w="1939"/>
        <w:gridCol w:w="937"/>
        <w:gridCol w:w="4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jc w:val="righ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序号</w:t>
            </w:r>
          </w:p>
        </w:tc>
        <w:tc>
          <w:tcPr>
            <w:tcW w:w="2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矿山企业名称</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采矿许可证号</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已缴金额（万元）</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退还金额（万元）</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法定义务履情况</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退还</w:t>
            </w:r>
          </w:p>
          <w:p>
            <w:pPr>
              <w:keepNext w:val="0"/>
              <w:keepLines w:val="0"/>
              <w:widowControl/>
              <w:suppressLineNumbers w:val="0"/>
              <w:jc w:val="center"/>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条件</w:t>
            </w:r>
          </w:p>
        </w:tc>
        <w:tc>
          <w:tcPr>
            <w:tcW w:w="4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政策依据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广元市元坝区鸿运页岩砖厂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C5108112009087130032625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sz w:val="24"/>
                <w:szCs w:val="24"/>
                <w:u w:val="none"/>
                <w:lang w:val="en-US" w:eastAsia="zh-CN"/>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协议由关帝庙村履行（再利用）</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根据《</w:t>
            </w:r>
            <w:r>
              <w:rPr>
                <w:rFonts w:hint="default" w:ascii="Times New Roman" w:hAnsi="Times New Roman" w:eastAsia="宋体" w:cs="Times New Roman"/>
                <w:i w:val="0"/>
                <w:iCs w:val="0"/>
                <w:color w:val="000000"/>
                <w:kern w:val="0"/>
                <w:sz w:val="21"/>
                <w:szCs w:val="21"/>
                <w:u w:val="none"/>
                <w:lang w:val="en-US" w:eastAsia="zh-CN" w:bidi="ar"/>
              </w:rPr>
              <w:t>自然资源部办公厅关于政策性关闭矿山采矿许可证注销有关工作的函</w:t>
            </w:r>
            <w:r>
              <w:rPr>
                <w:rFonts w:hint="eastAsia" w:ascii="Times New Roman" w:hAnsi="Times New Roman" w:eastAsia="宋体" w:cs="Times New Roman"/>
                <w:i w:val="0"/>
                <w:iCs w:val="0"/>
                <w:color w:val="000000"/>
                <w:kern w:val="0"/>
                <w:sz w:val="21"/>
                <w:szCs w:val="21"/>
                <w:u w:val="none"/>
                <w:lang w:val="en-US" w:eastAsia="zh-CN" w:bidi="ar"/>
              </w:rPr>
              <w:t>》（自然资办函</w:t>
            </w:r>
            <w:r>
              <w:rPr>
                <w:rFonts w:hint="default" w:ascii="Times New Roman" w:hAnsi="Times New Roman" w:eastAsia="宋体" w:cs="Times New Roman"/>
                <w:i w:val="0"/>
                <w:iCs w:val="0"/>
                <w:color w:val="000000"/>
                <w:kern w:val="0"/>
                <w:sz w:val="21"/>
                <w:szCs w:val="21"/>
                <w:u w:val="none"/>
                <w:lang w:val="en-US" w:eastAsia="zh-CN" w:bidi="ar"/>
              </w:rPr>
              <w:t>〔201</w:t>
            </w:r>
            <w:r>
              <w:rPr>
                <w:rFonts w:hint="eastAsia" w:ascii="Times New Roman" w:hAnsi="Times New Roman" w:eastAsia="宋体" w:cs="Times New Roman"/>
                <w:i w:val="0"/>
                <w:iCs w:val="0"/>
                <w:color w:val="000000"/>
                <w:kern w:val="0"/>
                <w:sz w:val="21"/>
                <w:szCs w:val="21"/>
                <w:u w:val="none"/>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1574号）第一条“县级以上人民政府对矿山作出关闭决定，应明确矿山关闭后相关生态修复法定义务履行责任主体；责任主体未明确的，遗留的矿山生态修复等问题由地方人民政府负责”、《矿山地质环境保护规定》（中华人民共和国国土资源部44号）第十八条“采矿权人应当按照矿山地质环境保护与土地复垦方案的要求履行矿山地质环境恢复治理义务”和《</w:t>
            </w:r>
            <w:r>
              <w:rPr>
                <w:rFonts w:hint="default" w:ascii="Times New Roman" w:hAnsi="Times New Roman" w:eastAsia="宋体" w:cs="Times New Roman"/>
                <w:i w:val="0"/>
                <w:iCs w:val="0"/>
                <w:color w:val="000000"/>
                <w:kern w:val="0"/>
                <w:sz w:val="21"/>
                <w:szCs w:val="21"/>
                <w:u w:val="none"/>
                <w:lang w:val="en-US" w:eastAsia="zh-CN" w:bidi="ar"/>
              </w:rPr>
              <w:t>广元市国土资源局</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广元市财政局关于矿山地质环境恢复治理保证金退还和基金建立事项的通知</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（广国土资发〔2018〕134号）</w:t>
            </w:r>
            <w:r>
              <w:rPr>
                <w:rFonts w:hint="eastAsia" w:ascii="Times New Roman" w:hAnsi="Times New Roman" w:eastAsia="宋体" w:cs="Times New Roman"/>
                <w:i w:val="0"/>
                <w:iCs w:val="0"/>
                <w:color w:val="000000"/>
                <w:kern w:val="0"/>
                <w:sz w:val="21"/>
                <w:szCs w:val="21"/>
                <w:u w:val="none"/>
                <w:lang w:val="en-US" w:eastAsia="zh-CN" w:bidi="ar"/>
              </w:rPr>
              <w:t>第一条第二款“如矿山企业逾期不履行治理恢复义务或治理恢复仍到不到要求的，县区国土资源主管部门使用该矿权人缴存的地质环境恢复治理保证金组织治理，治理资金不足部分由矿权人承担，保证金剩余部分在治理验收合格后予以退还”的规定， 上述矿业权人均未履行矿山地质环境恢复治理法定义务，其保证金不予退还，已上缴区财政局专户，专项用于矿山地质环境恢复治理工作。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2</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广元市民威建材厂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C5108112009087130031822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3</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广元市元坝区晋贤合力砖厂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C5108112009057130015756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4</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广元市元坝区石井页岩机砖厂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C5108112010127120096619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卫子镇政府代履行法定义务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5</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广元市新荣砖厂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C5108112009057130020293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卫子镇政府代履行法定义务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6</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广元市元坝区城关页岩机砖厂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C5108112010107120078591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未履行法定</w:t>
            </w:r>
          </w:p>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7</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广元市元坝区明安页岩砖厂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C5108112010047130064236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8</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广元市元坝区三公砖厂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C5108112009057130020291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9</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广元市元坝区柳桥机砖厂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C5108112010107120078586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10</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广元市三元建材有限责任公司</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C5108112010117120085090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1"/>
                <w:szCs w:val="21"/>
                <w:u w:val="none"/>
                <w:lang w:val="en-US" w:eastAsia="zh-CN" w:bidi="ar"/>
              </w:rPr>
              <w:t>根据《</w:t>
            </w:r>
            <w:r>
              <w:rPr>
                <w:rFonts w:hint="default" w:ascii="Times New Roman" w:hAnsi="Times New Roman" w:eastAsia="宋体" w:cs="Times New Roman"/>
                <w:i w:val="0"/>
                <w:iCs w:val="0"/>
                <w:color w:val="000000"/>
                <w:kern w:val="0"/>
                <w:sz w:val="21"/>
                <w:szCs w:val="21"/>
                <w:u w:val="none"/>
                <w:lang w:val="en-US" w:eastAsia="zh-CN" w:bidi="ar"/>
              </w:rPr>
              <w:t>自然资源部办公厅关于政策性关闭矿山采矿许可证注销有关工作的函</w:t>
            </w:r>
            <w:r>
              <w:rPr>
                <w:rFonts w:hint="eastAsia" w:ascii="Times New Roman" w:hAnsi="Times New Roman" w:eastAsia="宋体" w:cs="Times New Roman"/>
                <w:i w:val="0"/>
                <w:iCs w:val="0"/>
                <w:color w:val="000000"/>
                <w:kern w:val="0"/>
                <w:sz w:val="21"/>
                <w:szCs w:val="21"/>
                <w:u w:val="none"/>
                <w:lang w:val="en-US" w:eastAsia="zh-CN" w:bidi="ar"/>
              </w:rPr>
              <w:t>》（自然资办函</w:t>
            </w:r>
            <w:r>
              <w:rPr>
                <w:rFonts w:hint="default" w:ascii="Times New Roman" w:hAnsi="Times New Roman" w:eastAsia="宋体" w:cs="Times New Roman"/>
                <w:i w:val="0"/>
                <w:iCs w:val="0"/>
                <w:color w:val="000000"/>
                <w:kern w:val="0"/>
                <w:sz w:val="21"/>
                <w:szCs w:val="21"/>
                <w:u w:val="none"/>
                <w:lang w:val="en-US" w:eastAsia="zh-CN" w:bidi="ar"/>
              </w:rPr>
              <w:t>〔201</w:t>
            </w:r>
            <w:r>
              <w:rPr>
                <w:rFonts w:hint="eastAsia" w:ascii="Times New Roman" w:hAnsi="Times New Roman" w:eastAsia="宋体" w:cs="Times New Roman"/>
                <w:i w:val="0"/>
                <w:iCs w:val="0"/>
                <w:color w:val="000000"/>
                <w:kern w:val="0"/>
                <w:sz w:val="21"/>
                <w:szCs w:val="21"/>
                <w:u w:val="none"/>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1574号）第一条“县级以上人民政府对矿山作出关闭决定，应明确矿山关闭后相关生态修复法定义务履行责任主体；责任主体未明确的，遗留的矿山生态修复等问题由地方人民政府负责”、《矿山地质环境保护规定》（中华人民共和国国土资源部44号）第十八条“采矿权人应当按照矿山地质环境保护与土地复垦方案的要求履行矿山地质环境恢复治理义务”和《</w:t>
            </w:r>
            <w:r>
              <w:rPr>
                <w:rFonts w:hint="default" w:ascii="Times New Roman" w:hAnsi="Times New Roman" w:eastAsia="宋体" w:cs="Times New Roman"/>
                <w:i w:val="0"/>
                <w:iCs w:val="0"/>
                <w:color w:val="000000"/>
                <w:kern w:val="0"/>
                <w:sz w:val="21"/>
                <w:szCs w:val="21"/>
                <w:u w:val="none"/>
                <w:lang w:val="en-US" w:eastAsia="zh-CN" w:bidi="ar"/>
              </w:rPr>
              <w:t>广元市国土资源局</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广元市财政局关于矿山地质环境恢复治理保证金退还和基金建立事项的通知</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（广国土资发〔2018〕134号）</w:t>
            </w:r>
            <w:r>
              <w:rPr>
                <w:rFonts w:hint="eastAsia" w:ascii="Times New Roman" w:hAnsi="Times New Roman" w:eastAsia="宋体" w:cs="Times New Roman"/>
                <w:i w:val="0"/>
                <w:iCs w:val="0"/>
                <w:color w:val="000000"/>
                <w:kern w:val="0"/>
                <w:sz w:val="21"/>
                <w:szCs w:val="21"/>
                <w:u w:val="none"/>
                <w:lang w:val="en-US" w:eastAsia="zh-CN" w:bidi="ar"/>
              </w:rPr>
              <w:t>第一条第二款“如矿山企业逾期不履行治理恢复义务或治理恢复仍到不到要求的，县区国土资源主管部门使用该矿权人缴存的地质环境恢复治理保证金组织治理，治理资金不足部分由矿权人承担，保证金剩余部分在治理验收合格后予以退还”的规定， 上述矿业权人均未履行矿山地质环境恢复治理法定义务，其保证金不予退还，已上缴区财政局专户，专项用于矿山地质环境恢复治理工作。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广元市元坝区元坝镇杏树砖厂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C5108112010127120097008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由圣迪乐公司代履行法定义务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12</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广元市坤通建材有限公司</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C5108002009127130051399</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13</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广元市元坝区鸭浮砖厂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C5108112009067130025649</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14</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广元市元坝区虎跳页岩砖厂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C5108112010127120098094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15</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广元市东山煤业有限公司东山煤矿</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C510000201006112007759</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16</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广元市银丰煤业有限公司银丰煤矿</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C5100002010101120077576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1.2</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17</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广元市四平矿业有限责任公司</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C5100002010124120091274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24"/>
                <w:szCs w:val="2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未履行法定义务（自然恢复）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18</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广元融华建筑材料有限公司</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C5108112008127130013806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7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FF"/>
                <w:kern w:val="2"/>
                <w:sz w:val="84"/>
                <w:szCs w:val="84"/>
                <w:u w:val="none"/>
                <w:lang w:val="en-US" w:eastAsia="zh-CN" w:bidi="ar-SA"/>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区人民政府代履行法定义务</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不符合</w:t>
            </w:r>
          </w:p>
        </w:tc>
        <w:tc>
          <w:tcPr>
            <w:tcW w:w="4460" w:type="dxa"/>
            <w:vMerge w:val="continue"/>
            <w:tcBorders>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right"/>
        </w:trPr>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合  计</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32.3</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0</w:t>
            </w:r>
          </w:p>
        </w:tc>
        <w:tc>
          <w:tcPr>
            <w:tcW w:w="193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93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仿宋" w:cs="Times New Roman"/>
          <w:sz w:val="32"/>
          <w:szCs w:val="32"/>
          <w:lang w:val="en-US" w:eastAsia="zh-CN"/>
        </w:rPr>
      </w:pPr>
    </w:p>
    <w:p/>
    <w:sectPr>
      <w:pgSz w:w="16838" w:h="11906" w:orient="landscape"/>
      <w:pgMar w:top="1984" w:right="1417" w:bottom="1417" w:left="1417" w:header="851" w:footer="992" w:gutter="0"/>
      <w:pgBorders>
        <w:top w:val="none" w:sz="0" w:space="0"/>
        <w:left w:val="none" w:sz="0" w:space="0"/>
        <w:bottom w:val="none" w:sz="0" w:space="0"/>
        <w:right w:val="none" w:sz="0" w:space="0"/>
      </w:pgBorders>
      <w:pgNumType w:fmt="decimalFullWidt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OTYzZWY5MDQ4NWMwMzE4MmFhMWEzODA4YTFjOTUifQ=="/>
  </w:docVars>
  <w:rsids>
    <w:rsidRoot w:val="3CB6105B"/>
    <w:rsid w:val="3CB6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2023-03-24T03:20:00Z</dcterms:created>
  <dc:creator>Allez</dc:creator>
  <cp:lastModifiedBy>Allez</cp:lastModifiedBy>
  <dcterms:modified xsi:type="dcterms:W3CDTF">2023-03-24T03:20:30Z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D56E0CD86B814658AF3369D7651A8B63</vt:lpwstr>
  </property>
</Properties>
</file>