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39E4">
      <w:pPr>
        <w:adjustRightInd w:val="0"/>
        <w:snapToGrid w:val="0"/>
        <w:spacing w:line="440" w:lineRule="exact"/>
        <w:jc w:val="center"/>
        <w:rPr>
          <w:rFonts w:hint="eastAsia" w:ascii="Times New Roman" w:hAnsi="Times New Roman" w:eastAsia="方正小标宋简体" w:cs="Times New Roman"/>
          <w:color w:val="000000"/>
          <w:sz w:val="32"/>
          <w:szCs w:val="32"/>
          <w:lang w:val="en-US"/>
        </w:rPr>
      </w:pPr>
      <w:r>
        <w:rPr>
          <w:rFonts w:hint="eastAsia" w:ascii="Times New Roman" w:hAnsi="Times New Roman" w:eastAsia="方正小标宋简体" w:cs="Times New Roman"/>
          <w:color w:val="000000"/>
          <w:sz w:val="32"/>
          <w:szCs w:val="32"/>
          <w:lang w:val="en-US" w:eastAsia="zh-CN"/>
        </w:rPr>
        <w:t>广元市昭化区</w:t>
      </w:r>
      <w:r>
        <w:rPr>
          <w:rFonts w:hint="eastAsia" w:ascii="Times New Roman" w:hAnsi="Times New Roman" w:eastAsia="方正小标宋简体" w:cs="Times New Roman"/>
          <w:color w:val="000000"/>
          <w:sz w:val="32"/>
          <w:szCs w:val="32"/>
          <w:lang w:val="en-US"/>
        </w:rPr>
        <w:t>室内加热器产品质量监督抽查实施细则</w:t>
      </w:r>
    </w:p>
    <w:p w14:paraId="40FF8A6A">
      <w:pPr>
        <w:adjustRightInd w:val="0"/>
        <w:snapToGrid w:val="0"/>
        <w:spacing w:line="440" w:lineRule="exact"/>
        <w:jc w:val="center"/>
        <w:rPr>
          <w:rFonts w:hint="eastAsia" w:ascii="Times New Roman" w:hAnsi="Times New Roman" w:eastAsia="方正小标宋简体" w:cs="Times New Roman"/>
          <w:color w:val="000000"/>
          <w:sz w:val="32"/>
          <w:szCs w:val="32"/>
          <w:lang w:val="en-US" w:eastAsia="zh-CN"/>
        </w:rPr>
      </w:pPr>
      <w:r>
        <w:rPr>
          <w:rFonts w:hint="eastAsia" w:ascii="Times New Roman" w:hAnsi="Times New Roman" w:eastAsia="方正小标宋简体" w:cs="Times New Roman"/>
          <w:color w:val="000000"/>
          <w:sz w:val="32"/>
          <w:szCs w:val="32"/>
          <w:lang w:val="en-US" w:eastAsia="zh-CN"/>
        </w:rPr>
        <w:t>（2025年版）</w:t>
      </w:r>
    </w:p>
    <w:p w14:paraId="1A393572">
      <w:pPr>
        <w:snapToGrid w:val="0"/>
        <w:spacing w:line="440" w:lineRule="exact"/>
        <w:rPr>
          <w:rFonts w:hint="eastAsia" w:ascii="Times New Roman" w:hAnsi="Times New Roman" w:eastAsia="黑体" w:cs="Times New Roman"/>
          <w:color w:val="000000"/>
          <w:szCs w:val="21"/>
        </w:rPr>
      </w:pPr>
      <w:r>
        <w:rPr>
          <w:rFonts w:hint="eastAsia" w:ascii="Times New Roman" w:hAnsi="Times New Roman" w:eastAsia="黑体" w:cs="Times New Roman"/>
          <w:color w:val="000000"/>
          <w:szCs w:val="21"/>
        </w:rPr>
        <w:t>1 抽样方法</w:t>
      </w:r>
    </w:p>
    <w:p w14:paraId="76A3E0F8">
      <w:pPr>
        <w:adjustRightInd w:val="0"/>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以随机抽样的方式在被抽样销售者的待销产品中抽取。</w:t>
      </w:r>
      <w:bookmarkStart w:id="0" w:name="_GoBack"/>
      <w:bookmarkEnd w:id="0"/>
    </w:p>
    <w:p w14:paraId="7E2710E7">
      <w:pPr>
        <w:adjustRightInd w:val="0"/>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随机数一般可使用随机数表、骰子或扑克牌等方法产生。</w:t>
      </w:r>
    </w:p>
    <w:p w14:paraId="7EA8E011">
      <w:pPr>
        <w:adjustRightInd w:val="0"/>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室内加热器抽样数量：每批次产品抽取样品2台，其中1台作为检验样品，1台作为备用样品。</w:t>
      </w:r>
    </w:p>
    <w:p w14:paraId="051F2EC8">
      <w:pPr>
        <w:snapToGrid w:val="0"/>
        <w:spacing w:line="440" w:lineRule="exact"/>
        <w:rPr>
          <w:rFonts w:hint="eastAsia" w:ascii="Times New Roman" w:hAnsi="Times New Roman" w:eastAsia="黑体" w:cs="Times New Roman"/>
          <w:color w:val="000000"/>
          <w:szCs w:val="21"/>
        </w:rPr>
      </w:pPr>
      <w:r>
        <w:rPr>
          <w:rFonts w:hint="eastAsia" w:ascii="Times New Roman" w:hAnsi="Times New Roman" w:eastAsia="黑体" w:cs="Times New Roman"/>
          <w:color w:val="000000"/>
          <w:szCs w:val="21"/>
        </w:rPr>
        <w:t>2  检验依据</w:t>
      </w:r>
    </w:p>
    <w:tbl>
      <w:tblPr>
        <w:tblStyle w:val="2"/>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4245"/>
        <w:gridCol w:w="2685"/>
      </w:tblGrid>
      <w:tr w14:paraId="6AF1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90" w:type="dxa"/>
            <w:vAlign w:val="center"/>
          </w:tcPr>
          <w:p w14:paraId="6687B165">
            <w:pPr>
              <w:snapToGrid w:val="0"/>
              <w:spacing w:line="2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245" w:type="dxa"/>
            <w:vAlign w:val="center"/>
          </w:tcPr>
          <w:p w14:paraId="085D27C4">
            <w:pPr>
              <w:snapToGrid w:val="0"/>
              <w:spacing w:line="2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检验项目</w:t>
            </w:r>
          </w:p>
        </w:tc>
        <w:tc>
          <w:tcPr>
            <w:tcW w:w="2685" w:type="dxa"/>
            <w:vAlign w:val="center"/>
          </w:tcPr>
          <w:p w14:paraId="610E7EA0">
            <w:pPr>
              <w:snapToGrid w:val="0"/>
              <w:spacing w:line="220" w:lineRule="exact"/>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检验</w:t>
            </w:r>
            <w:r>
              <w:rPr>
                <w:rFonts w:hint="default" w:ascii="Times New Roman" w:hAnsi="Times New Roman" w:eastAsia="宋体" w:cs="Times New Roman"/>
                <w:sz w:val="21"/>
                <w:szCs w:val="21"/>
              </w:rPr>
              <w:t>方法</w:t>
            </w:r>
          </w:p>
        </w:tc>
      </w:tr>
      <w:tr w14:paraId="0202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Align w:val="center"/>
          </w:tcPr>
          <w:p w14:paraId="307469E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245" w:type="dxa"/>
            <w:vAlign w:val="center"/>
          </w:tcPr>
          <w:p w14:paraId="3CDAE28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对触及带电部件的防护</w:t>
            </w:r>
          </w:p>
        </w:tc>
        <w:tc>
          <w:tcPr>
            <w:tcW w:w="2685" w:type="dxa"/>
            <w:vAlign w:val="center"/>
          </w:tcPr>
          <w:p w14:paraId="77E2883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4706.1-2005</w:t>
            </w:r>
          </w:p>
          <w:p w14:paraId="54B6A8C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4706.23-2007</w:t>
            </w:r>
          </w:p>
        </w:tc>
      </w:tr>
      <w:tr w14:paraId="5552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Align w:val="center"/>
          </w:tcPr>
          <w:p w14:paraId="7E86A51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245" w:type="dxa"/>
            <w:vAlign w:val="center"/>
          </w:tcPr>
          <w:p w14:paraId="0270E48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输入功率和电流</w:t>
            </w:r>
          </w:p>
        </w:tc>
        <w:tc>
          <w:tcPr>
            <w:tcW w:w="2685" w:type="dxa"/>
            <w:vAlign w:val="center"/>
          </w:tcPr>
          <w:p w14:paraId="0A9D587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4706.1-2005</w:t>
            </w:r>
          </w:p>
          <w:p w14:paraId="7C9D89D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4706.23-2007</w:t>
            </w:r>
          </w:p>
        </w:tc>
      </w:tr>
      <w:tr w14:paraId="14F5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Align w:val="center"/>
          </w:tcPr>
          <w:p w14:paraId="0338611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245" w:type="dxa"/>
            <w:vAlign w:val="center"/>
          </w:tcPr>
          <w:p w14:paraId="7F0DBA1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工作温度下的泄漏电流和电气强度</w:t>
            </w:r>
          </w:p>
        </w:tc>
        <w:tc>
          <w:tcPr>
            <w:tcW w:w="2685" w:type="dxa"/>
            <w:vAlign w:val="center"/>
          </w:tcPr>
          <w:p w14:paraId="59F24A9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4706.1-2005</w:t>
            </w:r>
          </w:p>
          <w:p w14:paraId="797F98B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4706.23-2007</w:t>
            </w:r>
          </w:p>
        </w:tc>
      </w:tr>
      <w:tr w14:paraId="0BE4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Align w:val="center"/>
          </w:tcPr>
          <w:p w14:paraId="2385EC0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4245" w:type="dxa"/>
            <w:shd w:val="clear" w:color="auto" w:fill="auto"/>
            <w:vAlign w:val="center"/>
          </w:tcPr>
          <w:p w14:paraId="71404C2F">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内部布线（不含23.3条款）</w:t>
            </w:r>
          </w:p>
        </w:tc>
        <w:tc>
          <w:tcPr>
            <w:tcW w:w="2685" w:type="dxa"/>
            <w:shd w:val="clear" w:color="auto" w:fill="auto"/>
            <w:vAlign w:val="center"/>
          </w:tcPr>
          <w:p w14:paraId="0226C8D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4706.1-2005</w:t>
            </w:r>
          </w:p>
          <w:p w14:paraId="7D70BCAE">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GB 4706.23-2007</w:t>
            </w:r>
          </w:p>
        </w:tc>
      </w:tr>
      <w:tr w14:paraId="7FEB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Align w:val="center"/>
          </w:tcPr>
          <w:p w14:paraId="06135D1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245" w:type="dxa"/>
            <w:shd w:val="clear" w:color="auto" w:fill="auto"/>
            <w:vAlign w:val="center"/>
          </w:tcPr>
          <w:p w14:paraId="7888230F">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接地措施</w:t>
            </w:r>
          </w:p>
        </w:tc>
        <w:tc>
          <w:tcPr>
            <w:tcW w:w="2685" w:type="dxa"/>
            <w:shd w:val="clear" w:color="auto" w:fill="auto"/>
            <w:vAlign w:val="center"/>
          </w:tcPr>
          <w:p w14:paraId="0EF1FB6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4706.1-2005</w:t>
            </w:r>
          </w:p>
          <w:p w14:paraId="4E4B1CEB">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GB 4706.23-2007</w:t>
            </w:r>
          </w:p>
        </w:tc>
      </w:tr>
      <w:tr w14:paraId="2DA6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Align w:val="center"/>
          </w:tcPr>
          <w:p w14:paraId="6FC1E17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245" w:type="dxa"/>
            <w:shd w:val="clear" w:color="auto" w:fill="auto"/>
            <w:vAlign w:val="center"/>
          </w:tcPr>
          <w:p w14:paraId="1E9C1AC9">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电源连接和外部软线</w:t>
            </w:r>
          </w:p>
        </w:tc>
        <w:tc>
          <w:tcPr>
            <w:tcW w:w="2685" w:type="dxa"/>
            <w:shd w:val="clear" w:color="auto" w:fill="auto"/>
            <w:vAlign w:val="center"/>
          </w:tcPr>
          <w:p w14:paraId="17CC744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4706.1-2005</w:t>
            </w:r>
          </w:p>
          <w:p w14:paraId="49F78B45">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GB 4706.23-2007</w:t>
            </w:r>
          </w:p>
        </w:tc>
      </w:tr>
    </w:tbl>
    <w:p w14:paraId="1DFB9119">
      <w:pPr>
        <w:snapToGrid w:val="0"/>
        <w:spacing w:line="440" w:lineRule="exact"/>
        <w:ind w:firstLine="420" w:firstLineChars="200"/>
        <w:rPr>
          <w:szCs w:val="21"/>
        </w:rPr>
      </w:pPr>
      <w:r>
        <w:rPr>
          <w:szCs w:val="21"/>
        </w:rPr>
        <w:t>执行企业标准、团体标准、地方标准的产品，检验项目参照上述内容执行。</w:t>
      </w:r>
    </w:p>
    <w:p w14:paraId="5802E1FA">
      <w:pPr>
        <w:snapToGrid w:val="0"/>
        <w:spacing w:line="440" w:lineRule="exact"/>
        <w:ind w:firstLine="420" w:firstLineChars="200"/>
        <w:rPr>
          <w:szCs w:val="21"/>
          <w:highlight w:val="yellow"/>
        </w:rPr>
      </w:pPr>
      <w:r>
        <w:rPr>
          <w:szCs w:val="21"/>
        </w:rPr>
        <w:t>凡是注日期的文件，其随后所有的修改单（不包括勘误的内容）或修订版不适用于本细则。凡是不注日期的文件，其最新版本适用于本细则。</w:t>
      </w:r>
    </w:p>
    <w:p w14:paraId="3A40CB85">
      <w:pPr>
        <w:snapToGrid w:val="0"/>
        <w:spacing w:line="440" w:lineRule="exact"/>
        <w:rPr>
          <w:rFonts w:hint="eastAsia" w:ascii="Times New Roman" w:hAnsi="Times New Roman" w:eastAsia="黑体" w:cs="Times New Roman"/>
          <w:color w:val="000000"/>
          <w:szCs w:val="21"/>
        </w:rPr>
      </w:pPr>
      <w:r>
        <w:rPr>
          <w:rFonts w:hint="eastAsia" w:ascii="Times New Roman" w:hAnsi="Times New Roman" w:eastAsia="黑体" w:cs="Times New Roman"/>
          <w:color w:val="000000"/>
          <w:szCs w:val="21"/>
        </w:rPr>
        <w:t>3  判定规则</w:t>
      </w:r>
    </w:p>
    <w:p w14:paraId="2B06075D">
      <w:pPr>
        <w:snapToGrid w:val="0"/>
        <w:spacing w:line="440" w:lineRule="exact"/>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3.1</w:t>
      </w:r>
      <w:r>
        <w:rPr>
          <w:rFonts w:hint="eastAsia" w:ascii="Times New Roman" w:hAnsi="Times New Roman" w:eastAsia="宋体" w:cs="Times New Roman"/>
          <w:b w:val="0"/>
          <w:bCs w:val="0"/>
          <w:szCs w:val="21"/>
        </w:rPr>
        <w:t xml:space="preserve">  </w:t>
      </w:r>
      <w:r>
        <w:rPr>
          <w:rFonts w:hint="default" w:ascii="Times New Roman" w:hAnsi="Times New Roman" w:eastAsia="宋体" w:cs="Times New Roman"/>
          <w:b w:val="0"/>
          <w:bCs w:val="0"/>
          <w:szCs w:val="21"/>
        </w:rPr>
        <w:t>依据标准</w:t>
      </w:r>
    </w:p>
    <w:p w14:paraId="6A81217F">
      <w:pPr>
        <w:snapToGrid w:val="0"/>
        <w:spacing w:line="440" w:lineRule="exact"/>
        <w:ind w:firstLine="420" w:firstLineChars="200"/>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GB 4706.1-2005</w:t>
      </w:r>
      <w:r>
        <w:rPr>
          <w:rFonts w:hint="eastAsia" w:ascii="Times New Roman" w:hAnsi="Times New Roman" w:cs="Times New Roman"/>
          <w:b w:val="0"/>
          <w:bCs w:val="0"/>
          <w:szCs w:val="21"/>
          <w:lang w:val="en-US" w:eastAsia="zh-CN"/>
        </w:rPr>
        <w:t xml:space="preserve"> </w:t>
      </w:r>
      <w:r>
        <w:rPr>
          <w:rFonts w:hint="eastAsia" w:ascii="Times New Roman" w:hAnsi="Times New Roman" w:eastAsia="宋体" w:cs="Times New Roman"/>
          <w:b w:val="0"/>
          <w:bCs w:val="0"/>
          <w:szCs w:val="21"/>
        </w:rPr>
        <w:t>家用和类似用途电器的安全 第1部分 通用要求</w:t>
      </w:r>
    </w:p>
    <w:p w14:paraId="4FB20B1D">
      <w:pPr>
        <w:snapToGrid w:val="0"/>
        <w:spacing w:line="440" w:lineRule="exact"/>
        <w:ind w:firstLine="420" w:firstLineChars="200"/>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GB 4706.23-2007 家用和类似用途电器的安全 第2部分：室内加热器的特殊要求</w:t>
      </w:r>
    </w:p>
    <w:p w14:paraId="1775CF5B">
      <w:pPr>
        <w:snapToGrid w:val="0"/>
        <w:spacing w:line="440" w:lineRule="exact"/>
        <w:ind w:firstLine="420" w:firstLineChars="200"/>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现行有效的企业标准、团体标准、地方标准及产品明示质量要求</w:t>
      </w:r>
    </w:p>
    <w:p w14:paraId="772D7876">
      <w:pPr>
        <w:snapToGrid w:val="0"/>
        <w:spacing w:line="440" w:lineRule="exact"/>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3.2</w:t>
      </w:r>
      <w:r>
        <w:rPr>
          <w:rFonts w:hint="eastAsia" w:ascii="Times New Roman" w:hAnsi="Times New Roman" w:eastAsia="宋体" w:cs="Times New Roman"/>
          <w:b w:val="0"/>
          <w:bCs w:val="0"/>
          <w:szCs w:val="21"/>
        </w:rPr>
        <w:t xml:space="preserve">  </w:t>
      </w:r>
      <w:r>
        <w:rPr>
          <w:rFonts w:hint="default" w:ascii="Times New Roman" w:hAnsi="Times New Roman" w:eastAsia="宋体" w:cs="Times New Roman"/>
          <w:b w:val="0"/>
          <w:bCs w:val="0"/>
          <w:szCs w:val="21"/>
        </w:rPr>
        <w:t>判定原则</w:t>
      </w:r>
    </w:p>
    <w:p w14:paraId="2E2343E9">
      <w:pPr>
        <w:snapToGrid w:val="0"/>
        <w:spacing w:line="440" w:lineRule="exact"/>
        <w:ind w:firstLine="420" w:firstLineChars="200"/>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经检验，检验项目全部合格，判定为被抽查产品所检项目未发现不合格；检验项目中任一项或一项以上不合格，判定为被抽查产品不合格。</w:t>
      </w:r>
    </w:p>
    <w:p w14:paraId="031CAAA2">
      <w:pPr>
        <w:snapToGrid w:val="0"/>
        <w:spacing w:line="440" w:lineRule="exact"/>
        <w:ind w:firstLine="420" w:firstLineChars="200"/>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若被检产品明示的质量要求高于本细则中检验项目依据的标准要求时，应按被检产品明示的质量要求判定。</w:t>
      </w:r>
    </w:p>
    <w:p w14:paraId="69CF3A86">
      <w:pPr>
        <w:snapToGrid w:val="0"/>
        <w:spacing w:line="440" w:lineRule="exact"/>
        <w:ind w:firstLine="420" w:firstLineChars="200"/>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若被检产品明示的质量要求低于本细则中检验项目依据的强制性标准要求时，应按照强制性标准要求判定。</w:t>
      </w:r>
    </w:p>
    <w:p w14:paraId="411E2872">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b w:val="0"/>
          <w:bCs w:val="0"/>
          <w:szCs w:val="21"/>
        </w:rPr>
        <w:t>若被检产品明示的质量要求低于或</w:t>
      </w:r>
      <w:r>
        <w:rPr>
          <w:rFonts w:hint="eastAsia" w:ascii="Times New Roman" w:hAnsi="Times New Roman" w:eastAsia="宋体" w:cs="Times New Roman"/>
          <w:color w:val="000000"/>
          <w:szCs w:val="21"/>
        </w:rPr>
        <w:t>包含本细则中检验项目依据的推荐性标准要求时，应以被检产品明示的质量要求判定。</w:t>
      </w:r>
    </w:p>
    <w:p w14:paraId="412AD450">
      <w:pPr>
        <w:adjustRightInd w:val="0"/>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若被检产品明示的质量要求缺少本细则中检验项目依据的强制性标准要求时，应按照强制性标准要求判定。</w:t>
      </w:r>
    </w:p>
    <w:p w14:paraId="7036C958">
      <w:pPr>
        <w:adjustRightInd w:val="0"/>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若被检产品明示的质量要求缺少本细则中检验项目依据的推荐性标准要求时，该项目不参与判定。</w:t>
      </w:r>
    </w:p>
    <w:p w14:paraId="7BE517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WU1ZjA0OTUxNmI4MGE2YmNkNWNmMTIyOTYzNzMifQ=="/>
    <w:docVar w:name="KSO_WPS_MARK_KEY" w:val="e83344a0-5fb2-4599-9a77-5cb468fdb9ca"/>
  </w:docVars>
  <w:rsids>
    <w:rsidRoot w:val="228F6759"/>
    <w:rsid w:val="1F35363F"/>
    <w:rsid w:val="228F6759"/>
    <w:rsid w:val="29A26808"/>
    <w:rsid w:val="5F9B0B30"/>
    <w:rsid w:val="64EE743B"/>
    <w:rsid w:val="7825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880</Characters>
  <Lines>0</Lines>
  <Paragraphs>0</Paragraphs>
  <TotalTime>3</TotalTime>
  <ScaleCrop>false</ScaleCrop>
  <LinksUpToDate>false</LinksUpToDate>
  <CharactersWithSpaces>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2024-05-11T08:52:00Z</dcterms:created>
  <dc:creator>乔</dc:creator>
  <cp:lastModifiedBy>BP.Bai</cp:lastModifiedBy>
  <dcterms:modified xsi:type="dcterms:W3CDTF">2025-12-08T03:33:01Z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43CE8F1D66C54695B04DDF364E436B6F_11</vt:lpwstr>
  </property>
  <property fmtid="{D5CDD505-2E9C-101B-9397-08002B2CF9AE}" pid="4" name="KSOTemplateDocerSaveRecord">
    <vt:lpwstr>eyJoZGlkIjoiOGFkYmUwMDY0OWI1YjJmZDU2OWVmNzU3MzM3MTk1MjQiLCJ1c2VySWQiOiIxMzQ1MDcwMjQ5In0=</vt:lpwstr>
  </property>
</Properties>
</file>