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71395">
      <w:pPr>
        <w:pageBreakBefore w:val="0"/>
        <w:widowControl w:val="0"/>
        <w:kinsoku/>
        <w:wordWrap/>
        <w:overflowPunct/>
        <w:topLinePunct w:val="0"/>
        <w:autoSpaceDE/>
        <w:autoSpaceDN/>
        <w:bidi w:val="0"/>
        <w:adjustRightInd/>
        <w:snapToGrid/>
        <w:spacing w:line="576" w:lineRule="exact"/>
        <w:ind w:left="0" w:firstLine="880" w:firstLineChars="200"/>
        <w:jc w:val="center"/>
        <w:textAlignment w:val="auto"/>
        <w:rPr>
          <w:rFonts w:hint="eastAsia" w:ascii="方正小标宋简体" w:hAnsi="方正小标宋简体" w:eastAsia="方正小标宋简体" w:cs="方正小标宋简体"/>
          <w:color w:val="000000"/>
          <w:sz w:val="44"/>
          <w:szCs w:val="44"/>
          <w:lang w:val="en-US"/>
        </w:rPr>
      </w:pPr>
      <w:bookmarkStart w:id="0" w:name="_Toc27889"/>
      <w:bookmarkStart w:id="1" w:name="_Toc12193"/>
      <w:r>
        <w:rPr>
          <w:rFonts w:hint="eastAsia" w:ascii="方正小标宋简体" w:hAnsi="方正小标宋简体" w:eastAsia="方正小标宋简体" w:cs="方正小标宋简体"/>
          <w:color w:val="000000"/>
          <w:sz w:val="44"/>
          <w:szCs w:val="44"/>
          <w:lang w:val="en-US" w:eastAsia="zh-CN"/>
        </w:rPr>
        <w:t>广元市昭化区市场监督管理局</w:t>
      </w:r>
      <w:bookmarkEnd w:id="0"/>
      <w:bookmarkEnd w:id="1"/>
    </w:p>
    <w:p w14:paraId="279596E9">
      <w:pPr>
        <w:pageBreakBefore w:val="0"/>
        <w:widowControl w:val="0"/>
        <w:kinsoku/>
        <w:wordWrap/>
        <w:overflowPunct/>
        <w:topLinePunct w:val="0"/>
        <w:autoSpaceDE/>
        <w:autoSpaceDN/>
        <w:bidi w:val="0"/>
        <w:adjustRightInd/>
        <w:snapToGrid/>
        <w:spacing w:line="576" w:lineRule="exact"/>
        <w:ind w:left="0" w:firstLine="880" w:firstLineChars="20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2025年部门预算编制说明</w:t>
      </w:r>
    </w:p>
    <w:p w14:paraId="4143CAC8">
      <w:pPr>
        <w:jc w:val="both"/>
        <w:rPr>
          <w:rFonts w:hint="default" w:ascii="Times New Roman" w:hAnsi="Times New Roman" w:eastAsia="仿宋_GB2312" w:cs="Times New Roman"/>
          <w:i w:val="0"/>
          <w:caps w:val="0"/>
          <w:color w:val="000000" w:themeColor="text1"/>
          <w:spacing w:val="0"/>
          <w:sz w:val="32"/>
          <w:szCs w:val="32"/>
          <w:highlight w:val="none"/>
          <w14:textFill>
            <w14:solidFill>
              <w14:schemeClr w14:val="tx1"/>
            </w14:solidFill>
          </w14:textFill>
        </w:rPr>
      </w:pPr>
    </w:p>
    <w:sdt>
      <w:sdtPr>
        <w:rPr>
          <w:rFonts w:hint="default" w:ascii="Times New Roman" w:hAnsi="Times New Roman" w:eastAsia="方正小标宋简体" w:cs="Times New Roman"/>
          <w:color w:val="auto"/>
          <w:kern w:val="2"/>
          <w:sz w:val="44"/>
          <w:szCs w:val="44"/>
          <w:lang w:val="en-US" w:eastAsia="zh-CN" w:bidi="ar-SA"/>
        </w:rPr>
        <w:id w:val="147456100"/>
        <w15:color w:val="DBDBDB"/>
        <w:docPartObj>
          <w:docPartGallery w:val="Table of Contents"/>
          <w:docPartUnique/>
        </w:docPartObj>
      </w:sdtPr>
      <w:sdtEndPr>
        <w:rPr>
          <w:rFonts w:hint="default" w:ascii="Times New Roman" w:hAnsi="Times New Roman" w:eastAsia="黑体" w:cs="Times New Roman"/>
          <w:b/>
          <w:color w:val="auto"/>
          <w:kern w:val="2"/>
          <w:sz w:val="21"/>
          <w:szCs w:val="32"/>
          <w:lang w:val="en-US" w:eastAsia="zh-CN" w:bidi="ar-SA"/>
        </w:rPr>
      </w:sdtEndPr>
      <w:sdtContent>
        <w:p w14:paraId="3318F912">
          <w:pPr>
            <w:spacing w:before="0" w:beforeLines="0" w:after="0" w:afterLines="0" w:line="240" w:lineRule="auto"/>
            <w:ind w:left="0" w:leftChars="0" w:right="0" w:righ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14:paraId="4C85DD2B">
          <w:pPr>
            <w:pStyle w:val="10"/>
            <w:tabs>
              <w:tab w:val="right" w:leader="dot" w:pos="8845"/>
            </w:tabs>
            <w:rPr>
              <w:rFonts w:hint="default" w:ascii="Times New Roman" w:hAnsi="Times New Roman" w:cs="Times New Roman"/>
              <w:sz w:val="32"/>
              <w:szCs w:val="32"/>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TOC \o "1-2" \h \u</w:instrText>
          </w:r>
          <w:r>
            <w:rPr>
              <w:rFonts w:hint="default" w:ascii="Times New Roman" w:hAnsi="Times New Roman" w:eastAsia="黑体" w:cs="Times New Roman"/>
              <w:sz w:val="32"/>
              <w:szCs w:val="32"/>
              <w:lang w:val="en-US" w:eastAsia="zh-CN"/>
            </w:rPr>
            <w:fldChar w:fldCharType="separate"/>
          </w:r>
          <w:r>
            <w:fldChar w:fldCharType="begin"/>
          </w:r>
          <w:r>
            <w:instrText xml:space="preserve"> HYPERLINK \l "_Toc2979" </w:instrText>
          </w:r>
          <w:r>
            <w:fldChar w:fldCharType="separate"/>
          </w:r>
          <w:r>
            <w:rPr>
              <w:rFonts w:hint="default" w:ascii="Times New Roman" w:hAnsi="Times New Roman" w:eastAsia="黑体" w:cs="Times New Roman"/>
              <w:sz w:val="32"/>
              <w:szCs w:val="32"/>
              <w:lang w:val="en-US" w:eastAsia="zh-CN"/>
            </w:rPr>
            <w:t>一、基本职能及主要工作</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_Toc2979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17813751">
          <w:pPr>
            <w:pStyle w:val="12"/>
            <w:tabs>
              <w:tab w:val="right" w:leader="dot" w:pos="8845"/>
            </w:tabs>
            <w:rPr>
              <w:rFonts w:hint="default" w:ascii="Times New Roman" w:hAnsi="Times New Roman" w:eastAsia="楷体_GB2312" w:cs="Times New Roman"/>
              <w:sz w:val="32"/>
              <w:szCs w:val="32"/>
            </w:rPr>
          </w:pPr>
          <w:r>
            <w:fldChar w:fldCharType="begin"/>
          </w:r>
          <w:r>
            <w:instrText xml:space="preserve"> HYPERLINK \l "_Toc10939" </w:instrText>
          </w:r>
          <w:r>
            <w:fldChar w:fldCharType="separate"/>
          </w:r>
          <w:r>
            <w:rPr>
              <w:rFonts w:hint="default" w:ascii="Times New Roman" w:hAnsi="Times New Roman" w:eastAsia="楷体_GB2312" w:cs="Times New Roman"/>
              <w:bCs/>
              <w:sz w:val="32"/>
              <w:szCs w:val="32"/>
            </w:rPr>
            <w:t>（一）昭化区市场监督管理局职能简介</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_Toc10939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14:paraId="3D4D58D7">
          <w:pPr>
            <w:pStyle w:val="12"/>
            <w:tabs>
              <w:tab w:val="right" w:leader="dot" w:pos="8845"/>
            </w:tabs>
            <w:rPr>
              <w:rFonts w:hint="default" w:ascii="Times New Roman" w:hAnsi="Times New Roman" w:eastAsia="楷体_GB2312" w:cs="Times New Roman"/>
              <w:sz w:val="32"/>
              <w:szCs w:val="32"/>
            </w:rPr>
          </w:pPr>
          <w:r>
            <w:fldChar w:fldCharType="begin"/>
          </w:r>
          <w:r>
            <w:instrText xml:space="preserve"> HYPERLINK \l "_Toc11801" </w:instrText>
          </w:r>
          <w:r>
            <w:fldChar w:fldCharType="separate"/>
          </w:r>
          <w:r>
            <w:rPr>
              <w:rFonts w:hint="default" w:ascii="Times New Roman" w:hAnsi="Times New Roman" w:eastAsia="楷体_GB2312" w:cs="Times New Roman"/>
              <w:bCs/>
              <w:sz w:val="32"/>
              <w:szCs w:val="32"/>
            </w:rPr>
            <w:t>（二）昭化区市场监督管理局202</w:t>
          </w:r>
          <w:r>
            <w:rPr>
              <w:rFonts w:hint="default" w:ascii="Times New Roman" w:hAnsi="Times New Roman" w:eastAsia="楷体_GB2312" w:cs="Times New Roman"/>
              <w:bCs/>
              <w:sz w:val="32"/>
              <w:szCs w:val="32"/>
              <w:lang w:val="en-US" w:eastAsia="zh-CN"/>
            </w:rPr>
            <w:t>5</w:t>
          </w:r>
          <w:r>
            <w:rPr>
              <w:rFonts w:hint="default" w:ascii="Times New Roman" w:hAnsi="Times New Roman" w:eastAsia="楷体_GB2312" w:cs="Times New Roman"/>
              <w:bCs/>
              <w:sz w:val="32"/>
              <w:szCs w:val="32"/>
            </w:rPr>
            <w:t>年重点工作</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_Toc11801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14:paraId="454873FB">
          <w:pPr>
            <w:pStyle w:val="10"/>
            <w:tabs>
              <w:tab w:val="right" w:leader="dot" w:pos="8845"/>
            </w:tabs>
            <w:rPr>
              <w:rFonts w:hint="default" w:ascii="Times New Roman" w:hAnsi="Times New Roman" w:cs="Times New Roman"/>
              <w:sz w:val="32"/>
              <w:szCs w:val="32"/>
            </w:rPr>
          </w:pPr>
          <w:r>
            <w:fldChar w:fldCharType="begin"/>
          </w:r>
          <w:r>
            <w:instrText xml:space="preserve"> HYPERLINK \l "_Toc19332" </w:instrText>
          </w:r>
          <w:r>
            <w:fldChar w:fldCharType="separate"/>
          </w:r>
          <w:r>
            <w:rPr>
              <w:rFonts w:hint="default" w:ascii="Times New Roman" w:hAnsi="Times New Roman" w:eastAsia="黑体" w:cs="Times New Roman"/>
              <w:sz w:val="32"/>
              <w:szCs w:val="32"/>
              <w:lang w:val="en-US" w:eastAsia="zh-CN"/>
            </w:rPr>
            <w:t>二、部门预算单位构成</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_Toc19332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777F291F">
          <w:pPr>
            <w:pStyle w:val="10"/>
            <w:tabs>
              <w:tab w:val="right" w:leader="dot" w:pos="8845"/>
            </w:tabs>
            <w:rPr>
              <w:rFonts w:hint="default" w:ascii="Times New Roman" w:hAnsi="Times New Roman" w:cs="Times New Roman"/>
              <w:sz w:val="32"/>
              <w:szCs w:val="32"/>
            </w:rPr>
          </w:pPr>
          <w:r>
            <w:fldChar w:fldCharType="begin"/>
          </w:r>
          <w:r>
            <w:instrText xml:space="preserve"> HYPERLINK \l "_Toc24674" </w:instrText>
          </w:r>
          <w:r>
            <w:fldChar w:fldCharType="separate"/>
          </w:r>
          <w:r>
            <w:rPr>
              <w:rFonts w:hint="default" w:ascii="Times New Roman" w:hAnsi="Times New Roman" w:eastAsia="黑体" w:cs="Times New Roman"/>
              <w:sz w:val="32"/>
              <w:szCs w:val="32"/>
              <w:lang w:val="en-US" w:eastAsia="zh-CN"/>
            </w:rPr>
            <w:t>三、收支预算情况说明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_Toc24674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24032A72">
          <w:pPr>
            <w:pStyle w:val="12"/>
            <w:tabs>
              <w:tab w:val="right" w:leader="dot" w:pos="8845"/>
            </w:tabs>
            <w:rPr>
              <w:rFonts w:hint="default" w:ascii="Times New Roman" w:hAnsi="Times New Roman" w:cs="Times New Roman"/>
              <w:sz w:val="32"/>
              <w:szCs w:val="32"/>
            </w:rPr>
          </w:pPr>
          <w:r>
            <w:fldChar w:fldCharType="begin"/>
          </w:r>
          <w:r>
            <w:instrText xml:space="preserve"> HYPERLINK \l "_Toc28502" </w:instrText>
          </w:r>
          <w:r>
            <w:fldChar w:fldCharType="separate"/>
          </w:r>
          <w:r>
            <w:rPr>
              <w:rFonts w:hint="default" w:ascii="Times New Roman" w:hAnsi="Times New Roman" w:eastAsia="楷体_GB2312" w:cs="Times New Roman"/>
              <w:sz w:val="32"/>
              <w:szCs w:val="32"/>
              <w:lang w:val="en-US" w:eastAsia="zh-CN"/>
            </w:rPr>
            <w:t>（一）收入预算情况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_Toc28502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53F665E0">
          <w:pPr>
            <w:pStyle w:val="12"/>
            <w:tabs>
              <w:tab w:val="right" w:leader="dot" w:pos="8845"/>
            </w:tabs>
            <w:rPr>
              <w:rFonts w:hint="default" w:ascii="Times New Roman" w:hAnsi="Times New Roman" w:cs="Times New Roman"/>
              <w:sz w:val="32"/>
              <w:szCs w:val="32"/>
            </w:rPr>
          </w:pPr>
          <w:r>
            <w:fldChar w:fldCharType="begin"/>
          </w:r>
          <w:r>
            <w:instrText xml:space="preserve"> HYPERLINK \l "_Toc23294" </w:instrText>
          </w:r>
          <w:r>
            <w:fldChar w:fldCharType="separate"/>
          </w:r>
          <w:r>
            <w:rPr>
              <w:rFonts w:hint="default" w:ascii="Times New Roman" w:hAnsi="Times New Roman" w:eastAsia="楷体_GB2312" w:cs="Times New Roman"/>
              <w:sz w:val="32"/>
              <w:szCs w:val="32"/>
              <w:lang w:val="en-US" w:eastAsia="zh-CN"/>
            </w:rPr>
            <w:t>（二）支出预算情况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_Toc23294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38E2EF1F">
          <w:pPr>
            <w:pStyle w:val="10"/>
            <w:tabs>
              <w:tab w:val="right" w:leader="dot" w:pos="8845"/>
            </w:tabs>
            <w:rPr>
              <w:rFonts w:hint="default" w:ascii="Times New Roman" w:hAnsi="Times New Roman" w:cs="Times New Roman"/>
              <w:sz w:val="32"/>
              <w:szCs w:val="32"/>
            </w:rPr>
          </w:pPr>
          <w:r>
            <w:fldChar w:fldCharType="begin"/>
          </w:r>
          <w:r>
            <w:instrText xml:space="preserve"> HYPERLINK \l "_Toc2794" </w:instrText>
          </w:r>
          <w:r>
            <w:fldChar w:fldCharType="separate"/>
          </w:r>
          <w:r>
            <w:rPr>
              <w:rFonts w:hint="default" w:ascii="Times New Roman" w:hAnsi="Times New Roman" w:eastAsia="黑体" w:cs="Times New Roman"/>
              <w:sz w:val="32"/>
              <w:szCs w:val="32"/>
              <w:lang w:val="en-US" w:eastAsia="zh-CN"/>
            </w:rPr>
            <w:t>四、财政拨款收支预算情况说明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_Toc2794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4968BFA7">
          <w:pPr>
            <w:pStyle w:val="10"/>
            <w:tabs>
              <w:tab w:val="right" w:leader="dot" w:pos="8845"/>
            </w:tabs>
            <w:rPr>
              <w:rFonts w:hint="default" w:ascii="Times New Roman" w:hAnsi="Times New Roman" w:cs="Times New Roman"/>
              <w:sz w:val="32"/>
              <w:szCs w:val="32"/>
            </w:rPr>
          </w:pPr>
          <w:r>
            <w:fldChar w:fldCharType="begin"/>
          </w:r>
          <w:r>
            <w:instrText xml:space="preserve"> HYPERLINK \l "_Toc11565" </w:instrText>
          </w:r>
          <w:r>
            <w:fldChar w:fldCharType="separate"/>
          </w:r>
          <w:r>
            <w:rPr>
              <w:rFonts w:hint="default" w:ascii="Times New Roman" w:hAnsi="Times New Roman" w:eastAsia="黑体" w:cs="Times New Roman"/>
              <w:sz w:val="32"/>
              <w:szCs w:val="32"/>
              <w:lang w:val="en-US" w:eastAsia="zh-CN"/>
            </w:rPr>
            <w:t>五、一般公共预算当年拨款情况说明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_Toc11565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0FDECB24">
          <w:pPr>
            <w:pStyle w:val="12"/>
            <w:tabs>
              <w:tab w:val="right" w:leader="dot" w:pos="8845"/>
            </w:tabs>
            <w:rPr>
              <w:rFonts w:hint="default" w:ascii="Times New Roman" w:hAnsi="Times New Roman" w:cs="Times New Roman"/>
              <w:sz w:val="32"/>
              <w:szCs w:val="32"/>
            </w:rPr>
          </w:pPr>
          <w:r>
            <w:fldChar w:fldCharType="begin"/>
          </w:r>
          <w:r>
            <w:instrText xml:space="preserve"> HYPERLINK \l "_Toc20542" </w:instrText>
          </w:r>
          <w:r>
            <w:fldChar w:fldCharType="separate"/>
          </w:r>
          <w:r>
            <w:rPr>
              <w:rFonts w:hint="default" w:ascii="Times New Roman" w:hAnsi="Times New Roman" w:eastAsia="楷体_GB2312" w:cs="Times New Roman"/>
              <w:sz w:val="32"/>
              <w:szCs w:val="32"/>
              <w:lang w:val="en-US" w:eastAsia="zh-CN"/>
            </w:rPr>
            <w:t>（一）一般公共预算当年拨款规模变化情况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_Toc20542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3E030989">
          <w:pPr>
            <w:pStyle w:val="12"/>
            <w:tabs>
              <w:tab w:val="right" w:leader="dot" w:pos="8845"/>
            </w:tabs>
            <w:rPr>
              <w:rFonts w:hint="default" w:ascii="Times New Roman" w:hAnsi="Times New Roman" w:cs="Times New Roman"/>
              <w:sz w:val="32"/>
              <w:szCs w:val="32"/>
            </w:rPr>
          </w:pPr>
          <w:r>
            <w:fldChar w:fldCharType="begin"/>
          </w:r>
          <w:r>
            <w:instrText xml:space="preserve"> HYPERLINK \l "_Toc10669" </w:instrText>
          </w:r>
          <w:r>
            <w:fldChar w:fldCharType="separate"/>
          </w:r>
          <w:r>
            <w:rPr>
              <w:rFonts w:hint="default" w:ascii="Times New Roman" w:hAnsi="Times New Roman" w:eastAsia="楷体_GB2312" w:cs="Times New Roman"/>
              <w:sz w:val="32"/>
              <w:szCs w:val="32"/>
              <w:lang w:val="en-US" w:eastAsia="zh-CN"/>
            </w:rPr>
            <w:t>（二）一般公共预算当年拨款结构情况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_Toc10669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75152AA2">
          <w:pPr>
            <w:pStyle w:val="12"/>
            <w:tabs>
              <w:tab w:val="right" w:leader="dot" w:pos="8845"/>
            </w:tabs>
            <w:rPr>
              <w:rFonts w:hint="default" w:ascii="Times New Roman" w:hAnsi="Times New Roman" w:cs="Times New Roman"/>
              <w:sz w:val="32"/>
              <w:szCs w:val="32"/>
            </w:rPr>
          </w:pPr>
          <w:r>
            <w:fldChar w:fldCharType="begin"/>
          </w:r>
          <w:r>
            <w:instrText xml:space="preserve"> HYPERLINK \l "_Toc29932" </w:instrText>
          </w:r>
          <w:r>
            <w:fldChar w:fldCharType="separate"/>
          </w:r>
          <w:r>
            <w:rPr>
              <w:rFonts w:hint="default" w:ascii="Times New Roman" w:hAnsi="Times New Roman" w:eastAsia="楷体_GB2312" w:cs="Times New Roman"/>
              <w:sz w:val="32"/>
              <w:szCs w:val="32"/>
              <w:lang w:val="en-US" w:eastAsia="zh-CN"/>
            </w:rPr>
            <w:t>（三）一般公共预算当年拨款具体使用情况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_Toc29932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27F64C80">
          <w:pPr>
            <w:pStyle w:val="10"/>
            <w:tabs>
              <w:tab w:val="right" w:leader="dot" w:pos="8845"/>
            </w:tabs>
            <w:rPr>
              <w:rFonts w:hint="default" w:ascii="Times New Roman" w:hAnsi="Times New Roman" w:cs="Times New Roman"/>
              <w:sz w:val="32"/>
              <w:szCs w:val="32"/>
            </w:rPr>
          </w:pPr>
          <w:r>
            <w:fldChar w:fldCharType="begin"/>
          </w:r>
          <w:r>
            <w:instrText xml:space="preserve"> HYPERLINK \l "_Toc28217" </w:instrText>
          </w:r>
          <w:r>
            <w:fldChar w:fldCharType="separate"/>
          </w:r>
          <w:r>
            <w:rPr>
              <w:rFonts w:hint="default" w:ascii="Times New Roman" w:hAnsi="Times New Roman" w:eastAsia="黑体" w:cs="Times New Roman"/>
              <w:sz w:val="32"/>
              <w:szCs w:val="32"/>
              <w:lang w:val="en-US" w:eastAsia="zh-CN"/>
            </w:rPr>
            <w:t>六、一般公共预算基本支出情况说明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_Toc28217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5A178FC8">
          <w:pPr>
            <w:pStyle w:val="10"/>
            <w:tabs>
              <w:tab w:val="right" w:leader="dot" w:pos="8845"/>
            </w:tabs>
            <w:rPr>
              <w:rFonts w:hint="default" w:ascii="Times New Roman" w:hAnsi="Times New Roman" w:cs="Times New Roman"/>
              <w:sz w:val="32"/>
              <w:szCs w:val="32"/>
            </w:rPr>
          </w:pPr>
          <w:r>
            <w:fldChar w:fldCharType="begin"/>
          </w:r>
          <w:r>
            <w:instrText xml:space="preserve"> HYPERLINK \l "_Toc3107" </w:instrText>
          </w:r>
          <w:r>
            <w:fldChar w:fldCharType="separate"/>
          </w:r>
          <w:r>
            <w:rPr>
              <w:rFonts w:hint="default" w:ascii="Times New Roman" w:hAnsi="Times New Roman" w:eastAsia="黑体" w:cs="Times New Roman"/>
              <w:sz w:val="32"/>
              <w:szCs w:val="32"/>
              <w:lang w:val="en-US" w:eastAsia="zh-CN"/>
            </w:rPr>
            <w:t>七、“三公”经费财政拨款预算安排情况说明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_Toc3107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25377A8E">
          <w:pPr>
            <w:pStyle w:val="12"/>
            <w:tabs>
              <w:tab w:val="right" w:leader="dot" w:pos="8845"/>
            </w:tabs>
            <w:rPr>
              <w:rFonts w:hint="default" w:ascii="Times New Roman" w:hAnsi="Times New Roman" w:cs="Times New Roman"/>
              <w:sz w:val="32"/>
              <w:szCs w:val="32"/>
            </w:rPr>
          </w:pPr>
          <w:r>
            <w:fldChar w:fldCharType="begin"/>
          </w:r>
          <w:r>
            <w:instrText xml:space="preserve"> HYPERLINK \l "_Toc1055" </w:instrText>
          </w:r>
          <w:r>
            <w:fldChar w:fldCharType="separate"/>
          </w:r>
          <w:r>
            <w:rPr>
              <w:rFonts w:hint="default" w:ascii="Times New Roman" w:hAnsi="Times New Roman" w:eastAsia="楷体_GB2312" w:cs="Times New Roman"/>
              <w:sz w:val="32"/>
              <w:szCs w:val="32"/>
              <w:lang w:val="en-US" w:eastAsia="zh-CN"/>
            </w:rPr>
            <w:t>（一）公务接待费</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_Toc1055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5DACBF94">
          <w:pPr>
            <w:pStyle w:val="12"/>
            <w:tabs>
              <w:tab w:val="right" w:leader="dot" w:pos="8845"/>
            </w:tabs>
            <w:rPr>
              <w:rFonts w:hint="default" w:ascii="Times New Roman" w:hAnsi="Times New Roman" w:cs="Times New Roman"/>
              <w:sz w:val="32"/>
              <w:szCs w:val="32"/>
            </w:rPr>
          </w:pPr>
          <w:r>
            <w:fldChar w:fldCharType="begin"/>
          </w:r>
          <w:r>
            <w:instrText xml:space="preserve"> HYPERLINK \l "_Toc6510" </w:instrText>
          </w:r>
          <w:r>
            <w:fldChar w:fldCharType="separate"/>
          </w:r>
          <w:r>
            <w:rPr>
              <w:rFonts w:hint="default" w:ascii="Times New Roman" w:hAnsi="Times New Roman" w:eastAsia="楷体_GB2312" w:cs="Times New Roman"/>
              <w:sz w:val="32"/>
              <w:szCs w:val="32"/>
              <w:lang w:val="en-US" w:eastAsia="zh-CN"/>
            </w:rPr>
            <w:t>（二） 公务用车购置及运行维护费</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_Toc6510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311DFAD6">
          <w:pPr>
            <w:pStyle w:val="12"/>
            <w:tabs>
              <w:tab w:val="right" w:leader="dot" w:pos="8845"/>
            </w:tabs>
            <w:rPr>
              <w:rFonts w:hint="default" w:ascii="Times New Roman" w:hAnsi="Times New Roman" w:cs="Times New Roman"/>
              <w:sz w:val="32"/>
              <w:szCs w:val="32"/>
            </w:rPr>
          </w:pPr>
          <w:r>
            <w:fldChar w:fldCharType="begin"/>
          </w:r>
          <w:r>
            <w:instrText xml:space="preserve"> HYPERLINK \l "_Toc19049" </w:instrText>
          </w:r>
          <w:r>
            <w:fldChar w:fldCharType="separate"/>
          </w:r>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sz w:val="32"/>
              <w:szCs w:val="32"/>
              <w:lang w:val="en-US" w:eastAsia="zh-CN"/>
            </w:rPr>
            <w:t>三）因公出国（境）经费</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_Toc19049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051F54EA">
          <w:pPr>
            <w:pStyle w:val="10"/>
            <w:tabs>
              <w:tab w:val="right" w:leader="dot" w:pos="8845"/>
            </w:tabs>
            <w:rPr>
              <w:rFonts w:hint="default" w:ascii="Times New Roman" w:hAnsi="Times New Roman" w:cs="Times New Roman"/>
              <w:sz w:val="32"/>
              <w:szCs w:val="32"/>
            </w:rPr>
          </w:pPr>
          <w:r>
            <w:fldChar w:fldCharType="begin"/>
          </w:r>
          <w:r>
            <w:instrText xml:space="preserve"> HYPERLINK \l "_Toc27310" </w:instrText>
          </w:r>
          <w:r>
            <w:fldChar w:fldCharType="separate"/>
          </w:r>
          <w:r>
            <w:rPr>
              <w:rFonts w:hint="default" w:ascii="Times New Roman" w:hAnsi="Times New Roman" w:eastAsia="黑体" w:cs="Times New Roman"/>
              <w:sz w:val="32"/>
              <w:szCs w:val="32"/>
              <w:lang w:val="en-US" w:eastAsia="zh-CN"/>
            </w:rPr>
            <w:t>八、政府性基金预算支出情况说明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_Toc27310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20D101E5">
          <w:pPr>
            <w:pStyle w:val="10"/>
            <w:tabs>
              <w:tab w:val="right" w:leader="dot" w:pos="8845"/>
            </w:tabs>
            <w:rPr>
              <w:rFonts w:hint="default" w:ascii="Times New Roman" w:hAnsi="Times New Roman" w:cs="Times New Roman"/>
              <w:sz w:val="32"/>
              <w:szCs w:val="32"/>
            </w:rPr>
          </w:pPr>
          <w:r>
            <w:fldChar w:fldCharType="begin"/>
          </w:r>
          <w:r>
            <w:instrText xml:space="preserve"> HYPERLINK \l "_Toc7789" </w:instrText>
          </w:r>
          <w:r>
            <w:fldChar w:fldCharType="separate"/>
          </w:r>
          <w:r>
            <w:rPr>
              <w:rFonts w:hint="default" w:ascii="Times New Roman" w:hAnsi="Times New Roman" w:eastAsia="黑体" w:cs="Times New Roman"/>
              <w:sz w:val="32"/>
              <w:szCs w:val="32"/>
              <w:lang w:val="en-US" w:eastAsia="zh-CN"/>
            </w:rPr>
            <w:t>九、国有资本经营预算支出情况说明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_Toc7789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13BD7D1E">
          <w:pPr>
            <w:pStyle w:val="10"/>
            <w:tabs>
              <w:tab w:val="right" w:leader="dot" w:pos="8845"/>
            </w:tabs>
            <w:rPr>
              <w:rFonts w:hint="default" w:ascii="Times New Roman" w:hAnsi="Times New Roman" w:cs="Times New Roman"/>
              <w:sz w:val="32"/>
              <w:szCs w:val="32"/>
            </w:rPr>
          </w:pPr>
          <w:r>
            <w:fldChar w:fldCharType="begin"/>
          </w:r>
          <w:r>
            <w:instrText xml:space="preserve"> HYPERLINK \l "_Toc31477" </w:instrText>
          </w:r>
          <w:r>
            <w:fldChar w:fldCharType="separate"/>
          </w:r>
          <w:r>
            <w:rPr>
              <w:rFonts w:hint="default" w:ascii="Times New Roman" w:hAnsi="Times New Roman" w:eastAsia="黑体" w:cs="Times New Roman"/>
              <w:sz w:val="32"/>
              <w:szCs w:val="32"/>
              <w:lang w:val="en-US" w:eastAsia="zh-CN"/>
            </w:rPr>
            <w:t>十、其他重要事项的情况说明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_Toc31477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13A36DEE">
          <w:pPr>
            <w:pStyle w:val="12"/>
            <w:tabs>
              <w:tab w:val="right" w:leader="dot" w:pos="8845"/>
            </w:tabs>
            <w:rPr>
              <w:rFonts w:hint="default" w:ascii="Times New Roman" w:hAnsi="Times New Roman" w:cs="Times New Roman"/>
              <w:sz w:val="32"/>
              <w:szCs w:val="32"/>
            </w:rPr>
          </w:pPr>
          <w:r>
            <w:fldChar w:fldCharType="begin"/>
          </w:r>
          <w:r>
            <w:instrText xml:space="preserve"> HYPERLINK \l "_Toc7618" </w:instrText>
          </w:r>
          <w:r>
            <w:fldChar w:fldCharType="separate"/>
          </w:r>
          <w:r>
            <w:rPr>
              <w:rFonts w:hint="default" w:ascii="Times New Roman" w:hAnsi="Times New Roman" w:eastAsia="楷体_GB2312" w:cs="Times New Roman"/>
              <w:sz w:val="32"/>
              <w:szCs w:val="32"/>
              <w:lang w:val="en-US" w:eastAsia="zh-CN"/>
            </w:rPr>
            <w:t>（一）机关运行经费</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_Toc7618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1DAC5B4D">
          <w:pPr>
            <w:pStyle w:val="12"/>
            <w:tabs>
              <w:tab w:val="right" w:leader="dot" w:pos="8845"/>
            </w:tabs>
            <w:rPr>
              <w:rFonts w:hint="default" w:ascii="Times New Roman" w:hAnsi="Times New Roman" w:cs="Times New Roman"/>
              <w:sz w:val="32"/>
              <w:szCs w:val="32"/>
            </w:rPr>
          </w:pPr>
          <w:r>
            <w:fldChar w:fldCharType="begin"/>
          </w:r>
          <w:r>
            <w:instrText xml:space="preserve"> HYPERLINK \l "_Toc27936" </w:instrText>
          </w:r>
          <w:r>
            <w:fldChar w:fldCharType="separate"/>
          </w:r>
          <w:r>
            <w:rPr>
              <w:rFonts w:hint="default" w:ascii="Times New Roman" w:hAnsi="Times New Roman" w:eastAsia="楷体_GB2312" w:cs="Times New Roman"/>
              <w:sz w:val="32"/>
              <w:szCs w:val="32"/>
              <w:lang w:val="en-US" w:eastAsia="zh-CN"/>
            </w:rPr>
            <w:t>（二）政府采购情况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_Toc27936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3622BF0D">
          <w:pPr>
            <w:pStyle w:val="12"/>
            <w:tabs>
              <w:tab w:val="right" w:leader="dot" w:pos="8845"/>
            </w:tabs>
            <w:rPr>
              <w:rFonts w:hint="default" w:ascii="Times New Roman" w:hAnsi="Times New Roman" w:cs="Times New Roman"/>
              <w:sz w:val="32"/>
              <w:szCs w:val="32"/>
            </w:rPr>
          </w:pPr>
          <w:r>
            <w:fldChar w:fldCharType="begin"/>
          </w:r>
          <w:r>
            <w:instrText xml:space="preserve"> HYPERLINK \l "_Toc29926" </w:instrText>
          </w:r>
          <w:r>
            <w:fldChar w:fldCharType="separate"/>
          </w:r>
          <w:r>
            <w:rPr>
              <w:rFonts w:hint="default" w:ascii="Times New Roman" w:hAnsi="Times New Roman" w:eastAsia="楷体_GB2312" w:cs="Times New Roman"/>
              <w:sz w:val="32"/>
              <w:szCs w:val="32"/>
              <w:lang w:val="en-US" w:eastAsia="zh-CN"/>
            </w:rPr>
            <w:t>（三）国有资产占有使用情况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_Toc29926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700C065B">
          <w:pPr>
            <w:pStyle w:val="12"/>
            <w:tabs>
              <w:tab w:val="right" w:leader="dot" w:pos="8845"/>
            </w:tabs>
            <w:rPr>
              <w:rFonts w:hint="default" w:ascii="Times New Roman" w:hAnsi="Times New Roman" w:cs="Times New Roman"/>
              <w:sz w:val="32"/>
              <w:szCs w:val="32"/>
            </w:rPr>
          </w:pPr>
          <w:r>
            <w:fldChar w:fldCharType="begin"/>
          </w:r>
          <w:r>
            <w:instrText xml:space="preserve"> HYPERLINK \l "_Toc25702" </w:instrText>
          </w:r>
          <w:r>
            <w:fldChar w:fldCharType="separate"/>
          </w:r>
          <w:r>
            <w:rPr>
              <w:rFonts w:hint="default" w:ascii="Times New Roman" w:hAnsi="Times New Roman" w:eastAsia="楷体_GB2312" w:cs="Times New Roman"/>
              <w:sz w:val="32"/>
              <w:szCs w:val="32"/>
              <w:lang w:val="en-US" w:eastAsia="zh-CN"/>
            </w:rPr>
            <w:t>（四）绩效目标设置情况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_Toc25702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14B169D4">
          <w:pPr>
            <w:pStyle w:val="10"/>
            <w:tabs>
              <w:tab w:val="right" w:leader="dot" w:pos="8845"/>
            </w:tabs>
            <w:rPr>
              <w:rFonts w:hint="default" w:ascii="Times New Roman" w:hAnsi="Times New Roman" w:cs="Times New Roman"/>
              <w:sz w:val="32"/>
              <w:szCs w:val="32"/>
            </w:rPr>
          </w:pPr>
          <w:r>
            <w:fldChar w:fldCharType="begin"/>
          </w:r>
          <w:r>
            <w:instrText xml:space="preserve"> HYPERLINK \l "_Toc2079" </w:instrText>
          </w:r>
          <w:r>
            <w:fldChar w:fldCharType="separate"/>
          </w:r>
          <w:r>
            <w:rPr>
              <w:rFonts w:hint="default" w:ascii="Times New Roman" w:hAnsi="Times New Roman" w:eastAsia="黑体" w:cs="Times New Roman"/>
              <w:sz w:val="32"/>
              <w:szCs w:val="32"/>
              <w:lang w:val="en-US" w:eastAsia="zh-CN"/>
            </w:rPr>
            <w:t>十一、名词解释</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_Toc2079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325B0178">
          <w:pPr>
            <w:pStyle w:val="12"/>
            <w:tabs>
              <w:tab w:val="right" w:leader="dot" w:pos="8845"/>
            </w:tabs>
            <w:rPr>
              <w:rFonts w:hint="default" w:ascii="Times New Roman" w:hAnsi="Times New Roman" w:cs="Times New Roman"/>
              <w:sz w:val="32"/>
              <w:szCs w:val="32"/>
            </w:rPr>
          </w:pPr>
        </w:p>
        <w:p w14:paraId="181A3502">
          <w:pPr>
            <w:pStyle w:val="12"/>
            <w:tabs>
              <w:tab w:val="right" w:leader="dot" w:pos="8845"/>
            </w:tabs>
            <w:rPr>
              <w:rFonts w:hint="default" w:ascii="Times New Roman" w:hAnsi="Times New Roman" w:cs="Times New Roman"/>
            </w:rPr>
          </w:pPr>
        </w:p>
        <w:p w14:paraId="372E9F97">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Cs w:val="32"/>
              <w:lang w:val="en-US" w:eastAsia="zh-CN"/>
            </w:rPr>
            <w:fldChar w:fldCharType="end"/>
          </w:r>
        </w:p>
      </w:sdtContent>
    </w:sdt>
    <w:p w14:paraId="588DA2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sz w:val="32"/>
          <w:szCs w:val="32"/>
          <w:lang w:val="en-US" w:eastAsia="zh-CN"/>
        </w:rPr>
        <w:sectPr>
          <w:footerReference r:id="rId3" w:type="default"/>
          <w:pgSz w:w="11906" w:h="16838"/>
          <w:pgMar w:top="2098" w:right="1474" w:bottom="1984" w:left="1587" w:header="720" w:footer="1559" w:gutter="0"/>
          <w:pgNumType w:fmt="decimal"/>
          <w:cols w:space="720" w:num="1"/>
          <w:docGrid w:type="lines" w:linePitch="312" w:charSpace="0"/>
        </w:sectPr>
      </w:pPr>
      <w:bookmarkStart w:id="2" w:name="_Toc19055"/>
    </w:p>
    <w:p w14:paraId="0CB2D78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rPr>
      </w:pPr>
      <w:bookmarkStart w:id="3" w:name="_Toc2979"/>
      <w:r>
        <w:rPr>
          <w:rFonts w:hint="default" w:ascii="Times New Roman" w:hAnsi="Times New Roman" w:eastAsia="黑体" w:cs="Times New Roman"/>
          <w:sz w:val="32"/>
          <w:szCs w:val="32"/>
          <w:lang w:val="en-US" w:eastAsia="zh-CN"/>
        </w:rPr>
        <w:t>一、基本职能及主要工作</w:t>
      </w:r>
      <w:bookmarkEnd w:id="2"/>
      <w:bookmarkEnd w:id="3"/>
    </w:p>
    <w:p w14:paraId="46091CE9">
      <w:pPr>
        <w:pStyle w:val="3"/>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cs="Times New Roman"/>
          <w:b/>
          <w:bCs/>
          <w:color w:val="000000"/>
          <w:sz w:val="32"/>
          <w:szCs w:val="32"/>
        </w:rPr>
      </w:pPr>
      <w:bookmarkStart w:id="4" w:name="_Toc9621"/>
      <w:bookmarkStart w:id="5" w:name="_Toc10939"/>
      <w:bookmarkStart w:id="6" w:name="_Toc16944"/>
      <w:r>
        <w:rPr>
          <w:rFonts w:hint="default" w:ascii="Times New Roman" w:hAnsi="Times New Roman" w:cs="Times New Roman"/>
          <w:b/>
          <w:bCs/>
          <w:color w:val="000000"/>
          <w:sz w:val="32"/>
          <w:szCs w:val="32"/>
        </w:rPr>
        <w:t>（一）昭化区市场监督管理局职能简介</w:t>
      </w:r>
      <w:bookmarkEnd w:id="4"/>
      <w:bookmarkEnd w:id="5"/>
      <w:bookmarkEnd w:id="6"/>
    </w:p>
    <w:p w14:paraId="791A7AA4">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昭化区市场监督管理局贯彻落实党中央关于市场监督管理工作的方针政策和省委、市委、区委的决策部署，在履行职责过程中加强党对市场监督管理工作的集中统一领导。其主要职能有：</w:t>
      </w:r>
    </w:p>
    <w:p w14:paraId="5B1DA121">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1.负责全区市场综合监督管理工作；</w:t>
      </w:r>
    </w:p>
    <w:p w14:paraId="5C1EC979">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2.负责全区市场主体统一登记注册；</w:t>
      </w:r>
    </w:p>
    <w:p w14:paraId="45ED704D">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3.负责组织和指导全区市场监管综合执法工作；</w:t>
      </w:r>
    </w:p>
    <w:p w14:paraId="570927C8">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4.负责全区反垄断统一执法；</w:t>
      </w:r>
    </w:p>
    <w:p w14:paraId="3F271A38">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5.负责监督管理全区市场秩序；</w:t>
      </w:r>
    </w:p>
    <w:p w14:paraId="0D7627E9">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6.负责全区宏观质量管理；</w:t>
      </w:r>
    </w:p>
    <w:p w14:paraId="587A02B2">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7.负责全区产品质量安全监督管理；</w:t>
      </w:r>
    </w:p>
    <w:p w14:paraId="1685FE7F">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8.负责全区特种设备安全监督管理；</w:t>
      </w:r>
    </w:p>
    <w:p w14:paraId="41F9DD16">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9.负责全区食品安全监督管理综合协调；</w:t>
      </w:r>
    </w:p>
    <w:p w14:paraId="4457A0E1">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10.负责全区食品安全监督管理；</w:t>
      </w:r>
    </w:p>
    <w:p w14:paraId="3B83D767">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11.负责统一管理全区计量工作；</w:t>
      </w:r>
    </w:p>
    <w:p w14:paraId="31258BC7">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12.负责统一管理全区标准化工作；</w:t>
      </w:r>
    </w:p>
    <w:p w14:paraId="2B94ABEB">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13.负责统一管理全区检验检测工作；</w:t>
      </w:r>
    </w:p>
    <w:p w14:paraId="75328DE2">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14.负责统一管理全区认证认可工作；</w:t>
      </w:r>
    </w:p>
    <w:p w14:paraId="2E858011">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15.负责市场监督管理科技和信息化建设；</w:t>
      </w:r>
    </w:p>
    <w:p w14:paraId="324F8E5A">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16.负责全区药品、医疗器械和化妆品安全监督管理；</w:t>
      </w:r>
    </w:p>
    <w:p w14:paraId="340109B3">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17.负责全区知识产权战略和规划的制定，负责知识产权的保护，负责组织指导商标、专利执法工作；</w:t>
      </w:r>
    </w:p>
    <w:p w14:paraId="4EC30477">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18.贯彻落实中央、省委、市委和区委关于加强民营经济党组织建设有关要求；</w:t>
      </w:r>
    </w:p>
    <w:p w14:paraId="7AA3C58E">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19.负责职责范围内的安全生产和职业健康、生态环境保护、审批服务便民等工作；</w:t>
      </w:r>
    </w:p>
    <w:p w14:paraId="0A714C9E">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20.完成区委区政府交办的其他任务。</w:t>
      </w:r>
      <w:bookmarkStart w:id="7" w:name="_Toc31552"/>
      <w:bookmarkEnd w:id="7"/>
    </w:p>
    <w:p w14:paraId="5453D360">
      <w:pPr>
        <w:pStyle w:val="5"/>
        <w:pageBreakBefore w:val="0"/>
        <w:widowControl w:val="0"/>
        <w:kinsoku/>
        <w:wordWrap/>
        <w:overflowPunct/>
        <w:topLinePunct w:val="0"/>
        <w:autoSpaceDE/>
        <w:autoSpaceDN/>
        <w:bidi w:val="0"/>
        <w:adjustRightInd/>
        <w:snapToGrid/>
        <w:spacing w:after="0" w:line="576" w:lineRule="exact"/>
        <w:ind w:left="0" w:firstLine="643" w:firstLineChars="200"/>
        <w:jc w:val="both"/>
        <w:textAlignment w:val="auto"/>
        <w:outlineLvl w:val="1"/>
        <w:rPr>
          <w:rFonts w:hint="default" w:ascii="Times New Roman" w:hAnsi="Times New Roman" w:eastAsia="楷体_GB2312" w:cs="Times New Roman"/>
          <w:b/>
          <w:bCs/>
          <w:color w:val="000000"/>
          <w:sz w:val="32"/>
          <w:szCs w:val="32"/>
        </w:rPr>
      </w:pPr>
      <w:bookmarkStart w:id="8" w:name="_Toc30893"/>
      <w:bookmarkStart w:id="9" w:name="_Toc11801"/>
      <w:r>
        <w:rPr>
          <w:rFonts w:hint="default" w:ascii="Times New Roman" w:hAnsi="Times New Roman" w:eastAsia="楷体_GB2312" w:cs="Times New Roman"/>
          <w:b/>
          <w:bCs/>
          <w:color w:val="000000"/>
          <w:sz w:val="32"/>
          <w:szCs w:val="32"/>
        </w:rPr>
        <w:t>（二）昭化区市场监督管理局202</w:t>
      </w:r>
      <w:r>
        <w:rPr>
          <w:rFonts w:hint="default" w:ascii="Times New Roman" w:hAnsi="Times New Roman" w:eastAsia="楷体_GB2312" w:cs="Times New Roman"/>
          <w:b/>
          <w:bCs/>
          <w:color w:val="000000"/>
          <w:sz w:val="32"/>
          <w:szCs w:val="32"/>
          <w:lang w:val="en-US" w:eastAsia="zh-CN"/>
        </w:rPr>
        <w:t>5</w:t>
      </w:r>
      <w:r>
        <w:rPr>
          <w:rFonts w:hint="default" w:ascii="Times New Roman" w:hAnsi="Times New Roman" w:eastAsia="楷体_GB2312" w:cs="Times New Roman"/>
          <w:b/>
          <w:bCs/>
          <w:color w:val="000000"/>
          <w:sz w:val="32"/>
          <w:szCs w:val="32"/>
        </w:rPr>
        <w:t>年重点工作</w:t>
      </w:r>
      <w:bookmarkEnd w:id="8"/>
      <w:bookmarkEnd w:id="9"/>
    </w:p>
    <w:p w14:paraId="0E1BC3D1">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一是聚焦党的建设。坚持把学习贯彻习近平新时代中国特色社会主义思想和习近平总书记</w:t>
      </w:r>
      <w:r>
        <w:rPr>
          <w:rFonts w:hint="eastAsia" w:ascii="Times New Roman" w:hAnsi="Times New Roman" w:eastAsia="仿宋_GB2312" w:cs="Times New Roman"/>
          <w:sz w:val="32"/>
          <w:szCs w:val="32"/>
          <w:lang w:val="en-US" w:eastAsia="zh-CN"/>
        </w:rPr>
        <w:t>来川视察重要</w:t>
      </w:r>
      <w:r>
        <w:rPr>
          <w:rFonts w:hint="default" w:ascii="Times New Roman" w:hAnsi="Times New Roman" w:eastAsia="仿宋_GB2312" w:cs="Times New Roman"/>
          <w:sz w:val="32"/>
          <w:szCs w:val="32"/>
          <w:lang w:eastAsia="zh-CN"/>
        </w:rPr>
        <w:t>指示精神，以及贯彻党的二十大</w:t>
      </w:r>
      <w:r>
        <w:rPr>
          <w:rFonts w:hint="eastAsia" w:ascii="Times New Roman" w:hAnsi="Times New Roman" w:eastAsia="仿宋_GB2312" w:cs="Times New Roman"/>
          <w:sz w:val="32"/>
          <w:szCs w:val="32"/>
          <w:lang w:val="en-US" w:eastAsia="zh-CN"/>
        </w:rPr>
        <w:t>和二十届三中全会精神</w:t>
      </w:r>
      <w:r>
        <w:rPr>
          <w:rFonts w:hint="default" w:ascii="Times New Roman" w:hAnsi="Times New Roman" w:eastAsia="仿宋_GB2312" w:cs="Times New Roman"/>
          <w:sz w:val="32"/>
          <w:szCs w:val="32"/>
          <w:lang w:eastAsia="zh-CN"/>
        </w:rPr>
        <w:t>作为首要政治任务，坚持全面从严治党，坚定拥护“两个确立”、坚决做到“两个维护”，坚定不移将昭化市场监管系统打造成一支</w:t>
      </w:r>
      <w:r>
        <w:rPr>
          <w:rFonts w:hint="default" w:ascii="Times New Roman" w:hAnsi="Times New Roman" w:eastAsia="仿宋_GB2312" w:cs="Times New Roman"/>
          <w:sz w:val="32"/>
          <w:szCs w:val="32"/>
          <w:lang w:val="en-US" w:eastAsia="zh-CN"/>
        </w:rPr>
        <w:t>让</w:t>
      </w:r>
      <w:r>
        <w:rPr>
          <w:rFonts w:hint="default" w:ascii="Times New Roman" w:hAnsi="Times New Roman" w:eastAsia="仿宋_GB2312" w:cs="Times New Roman"/>
          <w:sz w:val="32"/>
          <w:szCs w:val="32"/>
          <w:lang w:eastAsia="zh-CN"/>
        </w:rPr>
        <w:t>党委政府放心，人民群众满意的综合执法队伍。</w:t>
      </w:r>
      <w:bookmarkStart w:id="78" w:name="_GoBack"/>
      <w:bookmarkEnd w:id="78"/>
    </w:p>
    <w:p w14:paraId="634FB1C6">
      <w:pPr>
        <w:pStyle w:val="5"/>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二是聚焦守牢安全底线。进一步强化“三品一特”安全监管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深入开展食品安全、药品安全、产品质量安全和特种设备安全的风险隐患排查治理，守住市场监管领域安全底线。</w:t>
      </w:r>
    </w:p>
    <w:p w14:paraId="557CE2D2">
      <w:pPr>
        <w:pStyle w:val="5"/>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是聚焦高质量发展。充分发挥质量支撑和标准引领作用，推动“茯苓种植”省级农业标准化示范项目建设。进一步推进质量和知识产权强国建设，继续培育企业争创“市长质量奖”及“天府质量奖”等品牌荣誉，持续开展以技术、标准、管理、品牌、服务为核心的各类帮扶。</w:t>
      </w:r>
    </w:p>
    <w:p w14:paraId="7364CAF0">
      <w:pPr>
        <w:pStyle w:val="5"/>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四是聚焦高效办成一件事改革。紧紧围绕优化营商环境目标，持续优化企业开办流程，压缩开办时间，为个体</w:t>
      </w:r>
      <w:r>
        <w:rPr>
          <w:rFonts w:hint="eastAsia" w:ascii="Times New Roman" w:hAnsi="Times New Roman" w:eastAsia="仿宋_GB2312" w:cs="Times New Roman"/>
          <w:sz w:val="32"/>
          <w:szCs w:val="32"/>
          <w:lang w:val="en-US" w:eastAsia="zh-CN"/>
        </w:rPr>
        <w:t>工商</w:t>
      </w:r>
      <w:r>
        <w:rPr>
          <w:rFonts w:hint="default" w:ascii="Times New Roman" w:hAnsi="Times New Roman" w:eastAsia="仿宋_GB2312" w:cs="Times New Roman"/>
          <w:sz w:val="32"/>
          <w:szCs w:val="32"/>
          <w:lang w:eastAsia="zh-CN"/>
        </w:rPr>
        <w:t>户转型升级为企业提供更多便利。</w:t>
      </w:r>
    </w:p>
    <w:p w14:paraId="1504C448">
      <w:pPr>
        <w:pStyle w:val="5"/>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五是聚焦全面实施公平竞争审查。认真贯彻执行《公平竞争审查条例》和即将出台的四川省公平竞争审查办法，营造更加公平公正的市场竞争秩序。</w:t>
      </w:r>
    </w:p>
    <w:p w14:paraId="2B95CB01">
      <w:pPr>
        <w:pStyle w:val="5"/>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六是聚焦党风廉政建设。扎实开展行风建设三年攻坚2025年行动，持续开展群众身边不正之风和腐败问题集中整治，有效防范执法违纪违法风险。</w:t>
      </w:r>
    </w:p>
    <w:p w14:paraId="7DF114C0">
      <w:pPr>
        <w:pStyle w:val="5"/>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七是聚焦案件查办。继续擦亮昭化“春雷行动”和“铁拳”行动品牌，</w:t>
      </w:r>
      <w:r>
        <w:rPr>
          <w:rFonts w:hint="default" w:ascii="Times New Roman" w:hAnsi="Times New Roman" w:eastAsia="仿宋_GB2312" w:cs="Times New Roman"/>
          <w:sz w:val="32"/>
          <w:szCs w:val="32"/>
          <w:lang w:val="en-US" w:eastAsia="zh-CN"/>
        </w:rPr>
        <w:t>严厉查处</w:t>
      </w:r>
      <w:r>
        <w:rPr>
          <w:rFonts w:hint="default" w:ascii="Times New Roman" w:hAnsi="Times New Roman" w:eastAsia="仿宋_GB2312" w:cs="Times New Roman"/>
          <w:sz w:val="32"/>
          <w:szCs w:val="32"/>
          <w:lang w:eastAsia="zh-CN"/>
        </w:rPr>
        <w:t>一批群众反映强烈、社会危害大、违法行为性质影响恶劣的案件。</w:t>
      </w:r>
    </w:p>
    <w:p w14:paraId="2072D239">
      <w:pPr>
        <w:pStyle w:val="5"/>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八是聚焦维护市场秩序。严查不正当竞争行为，强化网络交易、广告监管、价格监管，净化市场环境，坚决保护消费者合法权益。</w:t>
      </w:r>
    </w:p>
    <w:p w14:paraId="32B51DDF">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10" w:name="_Toc4969"/>
      <w:bookmarkStart w:id="11" w:name="_Toc19332"/>
      <w:r>
        <w:rPr>
          <w:rFonts w:hint="default" w:ascii="Times New Roman" w:hAnsi="Times New Roman" w:eastAsia="黑体" w:cs="Times New Roman"/>
          <w:sz w:val="32"/>
          <w:szCs w:val="32"/>
          <w:lang w:val="en-US" w:eastAsia="zh-CN"/>
        </w:rPr>
        <w:t>二、部门预算单位构成</w:t>
      </w:r>
      <w:bookmarkEnd w:id="10"/>
      <w:bookmarkEnd w:id="11"/>
    </w:p>
    <w:p w14:paraId="6E160A6C">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昭化区市场监督管理局属一级预算单位，与区市场监管综合行政执法大队实行“局队合一”，同时挂广元市昭化区食品安全委员会办公室牌子。其下属事业单位</w:t>
      </w:r>
      <w:r>
        <w:rPr>
          <w:rFonts w:hint="eastAsia" w:ascii="Times New Roman" w:hAnsi="Times New Roman" w:eastAsia="仿宋_GB2312" w:cs="Times New Roman"/>
          <w:color w:val="000000"/>
          <w:sz w:val="32"/>
          <w:szCs w:val="32"/>
          <w:lang w:val="en-US" w:eastAsia="zh-CN"/>
        </w:rPr>
        <w:t>3个，主要包括</w:t>
      </w:r>
      <w:r>
        <w:rPr>
          <w:rFonts w:hint="default" w:ascii="Times New Roman" w:hAnsi="Times New Roman" w:eastAsia="仿宋_GB2312" w:cs="Times New Roman"/>
          <w:color w:val="000000"/>
          <w:sz w:val="32"/>
          <w:szCs w:val="32"/>
        </w:rPr>
        <w:t>：广元市昭化区市场监督事务中心、广元市昭化区消费者权益服务中心、广元市昭化区市场监督信息中心，无下属二级预算单位。</w:t>
      </w:r>
    </w:p>
    <w:p w14:paraId="6CBAAE9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rPr>
      </w:pPr>
      <w:bookmarkStart w:id="12" w:name="_Toc24674"/>
      <w:bookmarkStart w:id="13" w:name="_Toc588"/>
      <w:r>
        <w:rPr>
          <w:rFonts w:hint="default" w:ascii="Times New Roman" w:hAnsi="Times New Roman" w:eastAsia="黑体" w:cs="Times New Roman"/>
          <w:sz w:val="32"/>
          <w:szCs w:val="32"/>
          <w:lang w:val="en-US" w:eastAsia="zh-CN"/>
        </w:rPr>
        <w:t>三、收支预算情况说明</w:t>
      </w:r>
      <w:bookmarkEnd w:id="12"/>
      <w:bookmarkEnd w:id="13"/>
    </w:p>
    <w:p w14:paraId="483997DE">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按照综合预算的原则，昭化区市场监督管理局所有收入和支出均纳入部门预算管理。收入包括：一般公共预算拨款收入；支出包括：一般公共服务支出、社会保障和就业支出、卫生健康支出、住房保障支出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sz w:val="32"/>
          <w:szCs w:val="32"/>
          <w:lang w:val="en-US" w:eastAsia="zh-CN"/>
        </w:rPr>
        <w:t>2025年收支预算总数1225.19万元,比2024年收支预算总数减少36.97万元，</w:t>
      </w:r>
      <w:r>
        <w:rPr>
          <w:rFonts w:hint="default" w:ascii="Times New Roman" w:hAnsi="Times New Roman" w:eastAsia="仿宋_GB2312" w:cs="Times New Roman"/>
          <w:color w:val="000000"/>
          <w:sz w:val="32"/>
          <w:szCs w:val="32"/>
        </w:rPr>
        <w:t>主要原因是202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年在职人员减少，人员经费</w:t>
      </w:r>
      <w:r>
        <w:rPr>
          <w:rFonts w:hint="default" w:ascii="Times New Roman" w:hAnsi="Times New Roman" w:eastAsia="仿宋_GB2312" w:cs="Times New Roman"/>
          <w:color w:val="000000"/>
          <w:sz w:val="32"/>
          <w:szCs w:val="32"/>
          <w:lang w:eastAsia="zh-CN"/>
        </w:rPr>
        <w:t>及公用经费</w:t>
      </w:r>
      <w:r>
        <w:rPr>
          <w:rFonts w:hint="default" w:ascii="Times New Roman" w:hAnsi="Times New Roman" w:eastAsia="仿宋_GB2312" w:cs="Times New Roman"/>
          <w:color w:val="000000"/>
          <w:sz w:val="32"/>
          <w:szCs w:val="32"/>
        </w:rPr>
        <w:t>减少。</w:t>
      </w:r>
    </w:p>
    <w:p w14:paraId="65B8AD9F">
      <w:pPr>
        <w:pStyle w:val="5"/>
        <w:pageBreakBefore w:val="0"/>
        <w:widowControl w:val="0"/>
        <w:kinsoku/>
        <w:wordWrap/>
        <w:overflowPunct/>
        <w:topLinePunct w:val="0"/>
        <w:autoSpaceDE/>
        <w:autoSpaceDN/>
        <w:bidi w:val="0"/>
        <w:adjustRightInd/>
        <w:snapToGrid/>
        <w:spacing w:after="0" w:line="576" w:lineRule="exact"/>
        <w:ind w:left="0" w:firstLine="643" w:firstLineChars="200"/>
        <w:jc w:val="both"/>
        <w:textAlignment w:val="auto"/>
        <w:outlineLvl w:val="1"/>
        <w:rPr>
          <w:rFonts w:hint="default" w:ascii="Times New Roman" w:hAnsi="Times New Roman" w:eastAsia="楷体_GB2312" w:cs="Times New Roman"/>
          <w:b/>
          <w:bCs/>
          <w:color w:val="000000"/>
          <w:sz w:val="32"/>
          <w:szCs w:val="32"/>
          <w:lang w:val="en-US" w:eastAsia="zh-CN"/>
        </w:rPr>
      </w:pPr>
      <w:bookmarkStart w:id="14" w:name="_Toc28502"/>
      <w:bookmarkStart w:id="15" w:name="_Toc19277"/>
      <w:r>
        <w:rPr>
          <w:rFonts w:hint="default" w:ascii="Times New Roman" w:hAnsi="Times New Roman" w:eastAsia="楷体_GB2312" w:cs="Times New Roman"/>
          <w:b/>
          <w:bCs/>
          <w:color w:val="000000"/>
          <w:sz w:val="32"/>
          <w:szCs w:val="32"/>
          <w:lang w:val="en-US" w:eastAsia="zh-CN"/>
        </w:rPr>
        <w:t>（一）收入预算情况</w:t>
      </w:r>
      <w:bookmarkEnd w:id="14"/>
      <w:bookmarkEnd w:id="15"/>
    </w:p>
    <w:p w14:paraId="14234BA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sz w:val="32"/>
          <w:szCs w:val="32"/>
          <w:lang w:val="en-US" w:eastAsia="zh-CN"/>
        </w:rPr>
        <w:t>2025年收入预算1225.19万元，其中：上年结转0万元，占0%；一般公共预算拨款收入1225.19万元，占100%；政府性基金预算拨款收入0万元，占0%；事业收入0万元，占0%；其他收入0万元，占0%。</w:t>
      </w:r>
    </w:p>
    <w:p w14:paraId="2FB32E64">
      <w:pPr>
        <w:pStyle w:val="5"/>
        <w:pageBreakBefore w:val="0"/>
        <w:widowControl w:val="0"/>
        <w:kinsoku/>
        <w:wordWrap/>
        <w:overflowPunct/>
        <w:topLinePunct w:val="0"/>
        <w:autoSpaceDE/>
        <w:autoSpaceDN/>
        <w:bidi w:val="0"/>
        <w:adjustRightInd/>
        <w:snapToGrid/>
        <w:spacing w:after="0" w:line="576" w:lineRule="exact"/>
        <w:ind w:left="0" w:firstLine="643" w:firstLineChars="200"/>
        <w:jc w:val="both"/>
        <w:textAlignment w:val="auto"/>
        <w:outlineLvl w:val="1"/>
        <w:rPr>
          <w:rFonts w:hint="default" w:ascii="Times New Roman" w:hAnsi="Times New Roman" w:eastAsia="楷体_GB2312" w:cs="Times New Roman"/>
          <w:b/>
          <w:bCs/>
          <w:color w:val="000000"/>
          <w:sz w:val="32"/>
          <w:szCs w:val="32"/>
          <w:lang w:val="en-US" w:eastAsia="zh-CN"/>
        </w:rPr>
      </w:pPr>
      <w:bookmarkStart w:id="16" w:name="_Toc23294"/>
      <w:bookmarkStart w:id="17" w:name="_Toc30337"/>
      <w:r>
        <w:rPr>
          <w:rFonts w:hint="default" w:ascii="Times New Roman" w:hAnsi="Times New Roman" w:eastAsia="楷体_GB2312" w:cs="Times New Roman"/>
          <w:b/>
          <w:bCs/>
          <w:color w:val="000000"/>
          <w:sz w:val="32"/>
          <w:szCs w:val="32"/>
          <w:lang w:val="en-US" w:eastAsia="zh-CN"/>
        </w:rPr>
        <w:t>（二）支出预算情况</w:t>
      </w:r>
      <w:bookmarkEnd w:id="16"/>
      <w:bookmarkEnd w:id="17"/>
    </w:p>
    <w:p w14:paraId="64F7177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sz w:val="32"/>
          <w:szCs w:val="32"/>
          <w:lang w:val="en-US" w:eastAsia="zh-CN"/>
        </w:rPr>
        <w:t>2025年支出预算1225.19万元，其中：基本支出1036.24万元，占84.58%；项目支出188.95万元，占15.42%</w:t>
      </w:r>
      <w:r>
        <w:rPr>
          <w:rFonts w:hint="default" w:ascii="Times New Roman" w:hAnsi="Times New Roman" w:eastAsia="仿宋_GB2312" w:cs="Times New Roman"/>
          <w:b w:val="0"/>
          <w:bCs w:val="0"/>
          <w:sz w:val="32"/>
          <w:szCs w:val="32"/>
          <w:lang w:val="en-US" w:eastAsia="zh-CN"/>
        </w:rPr>
        <w:t>。</w:t>
      </w:r>
    </w:p>
    <w:p w14:paraId="3B08D3CE">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rPr>
      </w:pPr>
      <w:bookmarkStart w:id="18" w:name="_Toc2794"/>
      <w:bookmarkStart w:id="19" w:name="_Toc19628"/>
      <w:r>
        <w:rPr>
          <w:rFonts w:hint="default" w:ascii="Times New Roman" w:hAnsi="Times New Roman" w:eastAsia="黑体" w:cs="Times New Roman"/>
          <w:sz w:val="32"/>
          <w:szCs w:val="32"/>
          <w:lang w:val="en-US" w:eastAsia="zh-CN"/>
        </w:rPr>
        <w:t>四、财政拨款收支预算情况说明</w:t>
      </w:r>
      <w:bookmarkEnd w:id="18"/>
      <w:bookmarkEnd w:id="19"/>
    </w:p>
    <w:p w14:paraId="7AF041B6">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sz w:val="32"/>
          <w:szCs w:val="32"/>
          <w:lang w:val="en-US" w:eastAsia="zh-CN"/>
        </w:rPr>
        <w:t>2025年财政拨款收支预算总数1225.19万元,比2024年财政拨款收支预算总数增减少36.97万元，</w:t>
      </w:r>
      <w:r>
        <w:rPr>
          <w:rFonts w:hint="default" w:ascii="Times New Roman" w:hAnsi="Times New Roman" w:eastAsia="仿宋_GB2312" w:cs="Times New Roman"/>
          <w:color w:val="000000"/>
          <w:sz w:val="32"/>
          <w:szCs w:val="32"/>
        </w:rPr>
        <w:t>主要原因是202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年在职人员减少，人员经费</w:t>
      </w:r>
      <w:r>
        <w:rPr>
          <w:rFonts w:hint="default" w:ascii="Times New Roman" w:hAnsi="Times New Roman" w:eastAsia="仿宋_GB2312" w:cs="Times New Roman"/>
          <w:color w:val="000000"/>
          <w:sz w:val="32"/>
          <w:szCs w:val="32"/>
          <w:lang w:eastAsia="zh-CN"/>
        </w:rPr>
        <w:t>及公用经费</w:t>
      </w:r>
      <w:r>
        <w:rPr>
          <w:rFonts w:hint="default" w:ascii="Times New Roman" w:hAnsi="Times New Roman" w:eastAsia="仿宋_GB2312" w:cs="Times New Roman"/>
          <w:color w:val="000000"/>
          <w:sz w:val="32"/>
          <w:szCs w:val="32"/>
        </w:rPr>
        <w:t>减少。</w:t>
      </w:r>
    </w:p>
    <w:p w14:paraId="3AECB8F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收入包括：本年一般公共预算拨款收入1225.19万元、政府性基金预算拨款收入0万元；支出包括：一般公共服务支出945.16万元、社会保障和就业支出168.36万元、卫生健康支出36.19万元、住房保障支出75.48万元。</w:t>
      </w:r>
    </w:p>
    <w:p w14:paraId="457E20DD">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20" w:name="_Toc11565"/>
      <w:bookmarkStart w:id="21" w:name="_Toc17283"/>
      <w:r>
        <w:rPr>
          <w:rFonts w:hint="default" w:ascii="Times New Roman" w:hAnsi="Times New Roman" w:eastAsia="黑体" w:cs="Times New Roman"/>
          <w:sz w:val="32"/>
          <w:szCs w:val="32"/>
          <w:lang w:val="en-US" w:eastAsia="zh-CN"/>
        </w:rPr>
        <w:t>五、一般公共预算当年拨款情况说明</w:t>
      </w:r>
      <w:bookmarkEnd w:id="20"/>
      <w:bookmarkEnd w:id="21"/>
    </w:p>
    <w:p w14:paraId="4A9F1731">
      <w:pPr>
        <w:pStyle w:val="5"/>
        <w:pageBreakBefore w:val="0"/>
        <w:widowControl w:val="0"/>
        <w:kinsoku/>
        <w:wordWrap/>
        <w:overflowPunct/>
        <w:topLinePunct w:val="0"/>
        <w:autoSpaceDE/>
        <w:autoSpaceDN/>
        <w:bidi w:val="0"/>
        <w:adjustRightInd/>
        <w:snapToGrid/>
        <w:spacing w:after="0" w:line="576" w:lineRule="exact"/>
        <w:ind w:left="0" w:firstLine="643" w:firstLineChars="200"/>
        <w:jc w:val="both"/>
        <w:textAlignment w:val="auto"/>
        <w:outlineLvl w:val="1"/>
        <w:rPr>
          <w:rFonts w:hint="default" w:ascii="Times New Roman" w:hAnsi="Times New Roman" w:eastAsia="楷体_GB2312" w:cs="Times New Roman"/>
          <w:b/>
          <w:bCs/>
          <w:color w:val="000000"/>
          <w:sz w:val="32"/>
          <w:szCs w:val="32"/>
          <w:lang w:val="en-US" w:eastAsia="zh-CN"/>
        </w:rPr>
      </w:pPr>
      <w:bookmarkStart w:id="22" w:name="_Toc20542"/>
      <w:bookmarkStart w:id="23" w:name="_Toc12522"/>
      <w:r>
        <w:rPr>
          <w:rFonts w:hint="default" w:ascii="Times New Roman" w:hAnsi="Times New Roman" w:eastAsia="楷体_GB2312" w:cs="Times New Roman"/>
          <w:b/>
          <w:bCs/>
          <w:color w:val="000000"/>
          <w:sz w:val="32"/>
          <w:szCs w:val="32"/>
          <w:lang w:val="en-US" w:eastAsia="zh-CN"/>
        </w:rPr>
        <w:t>（一）一般公共预算当年拨款规模变化情况</w:t>
      </w:r>
      <w:bookmarkEnd w:id="22"/>
      <w:bookmarkEnd w:id="23"/>
    </w:p>
    <w:p w14:paraId="6D2B9FB1">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sz w:val="32"/>
          <w:szCs w:val="32"/>
          <w:lang w:val="en-US" w:eastAsia="zh-CN"/>
        </w:rPr>
        <w:t>2025年一般公共预算当年拨款1225.19万元，比2024年预算数减少36.97万元，</w:t>
      </w:r>
      <w:r>
        <w:rPr>
          <w:rFonts w:hint="default" w:ascii="Times New Roman" w:hAnsi="Times New Roman" w:eastAsia="仿宋_GB2312" w:cs="Times New Roman"/>
          <w:color w:val="000000"/>
          <w:sz w:val="32"/>
          <w:szCs w:val="32"/>
        </w:rPr>
        <w:t>主要原因是202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年在职人员减少，人员经费</w:t>
      </w:r>
      <w:r>
        <w:rPr>
          <w:rFonts w:hint="default" w:ascii="Times New Roman" w:hAnsi="Times New Roman" w:eastAsia="仿宋_GB2312" w:cs="Times New Roman"/>
          <w:color w:val="000000"/>
          <w:sz w:val="32"/>
          <w:szCs w:val="32"/>
          <w:lang w:eastAsia="zh-CN"/>
        </w:rPr>
        <w:t>及公用经费</w:t>
      </w:r>
      <w:r>
        <w:rPr>
          <w:rFonts w:hint="default" w:ascii="Times New Roman" w:hAnsi="Times New Roman" w:eastAsia="仿宋_GB2312" w:cs="Times New Roman"/>
          <w:color w:val="000000"/>
          <w:sz w:val="32"/>
          <w:szCs w:val="32"/>
        </w:rPr>
        <w:t>减少。</w:t>
      </w:r>
    </w:p>
    <w:p w14:paraId="5C143591">
      <w:pPr>
        <w:pStyle w:val="5"/>
        <w:pageBreakBefore w:val="0"/>
        <w:widowControl w:val="0"/>
        <w:kinsoku/>
        <w:wordWrap/>
        <w:overflowPunct/>
        <w:topLinePunct w:val="0"/>
        <w:autoSpaceDE/>
        <w:autoSpaceDN/>
        <w:bidi w:val="0"/>
        <w:adjustRightInd/>
        <w:snapToGrid/>
        <w:spacing w:after="0" w:line="576" w:lineRule="exact"/>
        <w:ind w:left="0" w:firstLine="643" w:firstLineChars="200"/>
        <w:jc w:val="both"/>
        <w:textAlignment w:val="auto"/>
        <w:outlineLvl w:val="1"/>
        <w:rPr>
          <w:rFonts w:hint="default" w:ascii="Times New Roman" w:hAnsi="Times New Roman" w:eastAsia="楷体_GB2312" w:cs="Times New Roman"/>
          <w:b/>
          <w:bCs/>
          <w:color w:val="000000"/>
          <w:sz w:val="32"/>
          <w:szCs w:val="32"/>
          <w:lang w:val="en-US" w:eastAsia="zh-CN"/>
        </w:rPr>
      </w:pPr>
      <w:bookmarkStart w:id="24" w:name="_Toc10669"/>
      <w:bookmarkStart w:id="25" w:name="_Toc31010"/>
      <w:r>
        <w:rPr>
          <w:rFonts w:hint="default" w:ascii="Times New Roman" w:hAnsi="Times New Roman" w:eastAsia="楷体_GB2312" w:cs="Times New Roman"/>
          <w:b/>
          <w:bCs/>
          <w:color w:val="000000"/>
          <w:sz w:val="32"/>
          <w:szCs w:val="32"/>
          <w:lang w:val="en-US" w:eastAsia="zh-CN"/>
        </w:rPr>
        <w:t>（二）一般公共预算当年拨款结构情况</w:t>
      </w:r>
      <w:bookmarkEnd w:id="24"/>
      <w:bookmarkEnd w:id="25"/>
    </w:p>
    <w:p w14:paraId="4BB02B72">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一般公共服务支出945.16万元，占77.14%；社会保障和就业支出168.36万元，占13.74%；卫生健康支出36.19万元，占2.95%；住房保障支出75.48万元，占6.17%。</w:t>
      </w:r>
    </w:p>
    <w:p w14:paraId="43BF2BC5">
      <w:pPr>
        <w:pStyle w:val="5"/>
        <w:pageBreakBefore w:val="0"/>
        <w:widowControl w:val="0"/>
        <w:kinsoku/>
        <w:wordWrap/>
        <w:overflowPunct/>
        <w:topLinePunct w:val="0"/>
        <w:autoSpaceDE/>
        <w:autoSpaceDN/>
        <w:bidi w:val="0"/>
        <w:adjustRightInd/>
        <w:snapToGrid/>
        <w:spacing w:after="0" w:line="576" w:lineRule="exact"/>
        <w:ind w:left="0" w:firstLine="643" w:firstLineChars="200"/>
        <w:jc w:val="both"/>
        <w:textAlignment w:val="auto"/>
        <w:outlineLvl w:val="1"/>
        <w:rPr>
          <w:rFonts w:hint="default" w:ascii="Times New Roman" w:hAnsi="Times New Roman" w:eastAsia="楷体_GB2312" w:cs="Times New Roman"/>
          <w:b/>
          <w:bCs/>
          <w:color w:val="000000"/>
          <w:sz w:val="32"/>
          <w:szCs w:val="32"/>
          <w:lang w:val="en-US" w:eastAsia="zh-CN"/>
        </w:rPr>
      </w:pPr>
      <w:bookmarkStart w:id="26" w:name="_Toc7330"/>
      <w:bookmarkStart w:id="27" w:name="_Toc29932"/>
      <w:r>
        <w:rPr>
          <w:rFonts w:hint="default" w:ascii="Times New Roman" w:hAnsi="Times New Roman" w:eastAsia="楷体_GB2312" w:cs="Times New Roman"/>
          <w:b/>
          <w:bCs/>
          <w:color w:val="000000"/>
          <w:sz w:val="32"/>
          <w:szCs w:val="32"/>
          <w:lang w:val="en-US" w:eastAsia="zh-CN"/>
        </w:rPr>
        <w:t>（三）一般公共预算当年拨款具体使用情况</w:t>
      </w:r>
      <w:bookmarkEnd w:id="26"/>
      <w:bookmarkEnd w:id="27"/>
    </w:p>
    <w:p w14:paraId="4B387BD2">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000000"/>
          <w:sz w:val="32"/>
          <w:szCs w:val="32"/>
        </w:rPr>
        <w:t>一般公共服务支出（类）市场监督管理事务（款）行政运行（项）202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lang w:val="en-US" w:eastAsia="zh-CN"/>
        </w:rPr>
        <w:t>574.96</w:t>
      </w:r>
      <w:r>
        <w:rPr>
          <w:rFonts w:hint="default" w:ascii="Times New Roman" w:hAnsi="Times New Roman" w:eastAsia="仿宋_GB2312" w:cs="Times New Roman"/>
          <w:color w:val="000000"/>
          <w:sz w:val="32"/>
          <w:szCs w:val="32"/>
        </w:rPr>
        <w:t>万元，主要用于：局机关事业单位正常运转的基本支出，包括基本工资、津贴补贴等人员经费以及办公费、印刷费、水电费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基层人员乡镇补贴等日常公用经费,保障部门正常运转。</w:t>
      </w:r>
    </w:p>
    <w:p w14:paraId="27712131">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rPr>
        <w:t>一般公共服务（类）市场监督管理事务（款）市场主体管理（项）202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万元，主要用于：营商环境提升；企业信用信息核查、营业执照印制等经费。</w:t>
      </w:r>
    </w:p>
    <w:p w14:paraId="1FC45130">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000000"/>
          <w:sz w:val="32"/>
          <w:szCs w:val="32"/>
        </w:rPr>
        <w:t>一般公共服务（类）市场监督管理事务（款）质量基础（项）202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年预算数为1</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万元，主要用于产品的监督抽检、计量器具的检定、监督及农业标准化示范区创建工作等经费。</w:t>
      </w:r>
    </w:p>
    <w:p w14:paraId="484F613F">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.一般公共服务（类）市场监督管理事务（款）质量安全监管（项）202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年预算数为20万元，主要用于构建特种设备智慧监管模式等质量安全监管经费</w:t>
      </w:r>
      <w:r>
        <w:rPr>
          <w:rFonts w:hint="default" w:ascii="Times New Roman" w:hAnsi="Times New Roman" w:eastAsia="仿宋_GB2312" w:cs="Times New Roman"/>
          <w:color w:val="000000"/>
          <w:sz w:val="32"/>
          <w:szCs w:val="32"/>
          <w:lang w:val="en-US" w:eastAsia="zh-CN"/>
        </w:rPr>
        <w:t>.</w:t>
      </w:r>
    </w:p>
    <w:p w14:paraId="14EF9416">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.一般公共服务（类）市场监督管理事务（款）食品安全监管理事务（项）202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年预算数为57万元，主要用于：食品及食用农产品安全抽检；食品、药品安全投诉举报奖励；食品安全快检车辆运行，食品药品医疗器械及化妆品监管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网络维护等经费。</w:t>
      </w:r>
    </w:p>
    <w:p w14:paraId="2E49E49D">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color w:val="000000"/>
          <w:sz w:val="32"/>
          <w:szCs w:val="32"/>
        </w:rPr>
        <w:t>一般公共服务支出（类）市场监督管理事务（款）</w:t>
      </w:r>
      <w:r>
        <w:rPr>
          <w:rFonts w:hint="default" w:ascii="Times New Roman" w:hAnsi="Times New Roman" w:eastAsia="仿宋_GB2312" w:cs="Times New Roman"/>
          <w:color w:val="000000"/>
          <w:sz w:val="32"/>
          <w:szCs w:val="32"/>
          <w:lang w:eastAsia="zh-CN"/>
        </w:rPr>
        <w:t>事业</w:t>
      </w:r>
      <w:r>
        <w:rPr>
          <w:rFonts w:hint="default" w:ascii="Times New Roman" w:hAnsi="Times New Roman" w:eastAsia="仿宋_GB2312" w:cs="Times New Roman"/>
          <w:color w:val="000000"/>
          <w:sz w:val="32"/>
          <w:szCs w:val="32"/>
        </w:rPr>
        <w:t>运行（项）202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lang w:val="en-US" w:eastAsia="zh-CN"/>
        </w:rPr>
        <w:t>187.2</w:t>
      </w:r>
      <w:r>
        <w:rPr>
          <w:rFonts w:hint="default" w:ascii="Times New Roman" w:hAnsi="Times New Roman" w:eastAsia="仿宋_GB2312" w:cs="Times New Roman"/>
          <w:color w:val="000000"/>
          <w:sz w:val="32"/>
          <w:szCs w:val="32"/>
        </w:rPr>
        <w:t>万元，主要用于：局机关事业单位正常运转的基本支出，包括</w:t>
      </w:r>
      <w:r>
        <w:rPr>
          <w:rFonts w:hint="default" w:ascii="Times New Roman" w:hAnsi="Times New Roman" w:eastAsia="仿宋_GB2312" w:cs="Times New Roman"/>
          <w:color w:val="000000"/>
          <w:sz w:val="32"/>
          <w:szCs w:val="32"/>
          <w:lang w:eastAsia="zh-CN"/>
        </w:rPr>
        <w:t>事业人员</w:t>
      </w:r>
      <w:r>
        <w:rPr>
          <w:rFonts w:hint="default" w:ascii="Times New Roman" w:hAnsi="Times New Roman" w:eastAsia="仿宋_GB2312" w:cs="Times New Roman"/>
          <w:color w:val="000000"/>
          <w:sz w:val="32"/>
          <w:szCs w:val="32"/>
        </w:rPr>
        <w:t>基本工资、津贴补贴等经费以及办公费、印刷费、水电费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等日常公用经费,保障部门正常运转。</w:t>
      </w:r>
    </w:p>
    <w:p w14:paraId="71C76C29">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7.一般公共服务（类）市场监督管理事务（款）其他市场监督管理事务（项）202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lang w:val="en-US" w:eastAsia="zh-CN"/>
        </w:rPr>
        <w:t>51</w:t>
      </w:r>
      <w:r>
        <w:rPr>
          <w:rFonts w:hint="default" w:ascii="Times New Roman" w:hAnsi="Times New Roman" w:eastAsia="仿宋_GB2312" w:cs="Times New Roman"/>
          <w:color w:val="000000"/>
          <w:sz w:val="32"/>
          <w:szCs w:val="32"/>
        </w:rPr>
        <w:t>万元，主要用于：机关单位向上争取资金、临聘人员工资</w:t>
      </w:r>
      <w:r>
        <w:rPr>
          <w:rFonts w:hint="default" w:ascii="Times New Roman" w:hAnsi="Times New Roman" w:eastAsia="仿宋_GB2312" w:cs="Times New Roman"/>
          <w:color w:val="000000"/>
          <w:sz w:val="32"/>
          <w:szCs w:val="32"/>
          <w:lang w:eastAsia="zh-CN"/>
        </w:rPr>
        <w:t>、知识产权保护工作、消委会及个私协会</w:t>
      </w:r>
      <w:r>
        <w:rPr>
          <w:rFonts w:hint="default" w:ascii="Times New Roman" w:hAnsi="Times New Roman" w:eastAsia="仿宋_GB2312" w:cs="Times New Roman"/>
          <w:color w:val="000000"/>
          <w:sz w:val="32"/>
          <w:szCs w:val="32"/>
        </w:rPr>
        <w:t>等项目资金。</w:t>
      </w:r>
    </w:p>
    <w:p w14:paraId="2C240773">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8.社会保障和就业（类）行政事业单位养老支出（款）行政单位离退休（项）202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年预算数为6</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万元，主要用于：机关及参公管理事业单位离退休人员经费支出。</w:t>
      </w:r>
    </w:p>
    <w:p w14:paraId="53CF37B5">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9.社会保障和就业（类）行政事业单位养老支出（款）机关事业单位基本养老保险缴费支出（项）202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lang w:val="en-US" w:eastAsia="zh-CN"/>
        </w:rPr>
        <w:t>100.64</w:t>
      </w:r>
      <w:r>
        <w:rPr>
          <w:rFonts w:hint="default" w:ascii="Times New Roman" w:hAnsi="Times New Roman" w:eastAsia="仿宋_GB2312" w:cs="Times New Roman"/>
          <w:color w:val="000000"/>
          <w:sz w:val="32"/>
          <w:szCs w:val="32"/>
        </w:rPr>
        <w:t>万元，主要用于：实施养老保险制度由单位缴纳的基本养老保险支出。</w:t>
      </w:r>
    </w:p>
    <w:p w14:paraId="75FF183B">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.一般公共服务（类）市场监督管理支出（款）其他社会保障和就业支出（项）202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lang w:val="en-US" w:eastAsia="zh-CN"/>
        </w:rPr>
        <w:t>1.72</w:t>
      </w:r>
      <w:r>
        <w:rPr>
          <w:rFonts w:hint="default" w:ascii="Times New Roman" w:hAnsi="Times New Roman" w:eastAsia="仿宋_GB2312" w:cs="Times New Roman"/>
          <w:color w:val="000000"/>
          <w:sz w:val="32"/>
          <w:szCs w:val="32"/>
        </w:rPr>
        <w:t>万元，主要用于：实施行政人员及事业人员工伤、失业保险支出。</w:t>
      </w:r>
    </w:p>
    <w:p w14:paraId="2A0E17EA">
      <w:pPr>
        <w:pStyle w:val="2"/>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.卫生健康（类）行政事业单位医疗（款）行政单位医疗（项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lang w:val="en-US" w:eastAsia="zh-CN"/>
        </w:rPr>
        <w:t>26.43</w:t>
      </w:r>
      <w:r>
        <w:rPr>
          <w:rFonts w:hint="default" w:ascii="Times New Roman" w:hAnsi="Times New Roman" w:eastAsia="仿宋_GB2312" w:cs="Times New Roman"/>
          <w:color w:val="000000"/>
          <w:sz w:val="32"/>
          <w:szCs w:val="32"/>
        </w:rPr>
        <w:t>万元，主要用于：机关及参公管理事业单位按规定由单位缴纳的基本医疗保险支出</w:t>
      </w:r>
    </w:p>
    <w:p w14:paraId="5D58AF32">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.卫生健康（类）行政事业单位医疗（款）事业单位医疗（项）202</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lang w:val="en-US" w:eastAsia="zh-CN"/>
        </w:rPr>
        <w:t>9.76</w:t>
      </w:r>
      <w:r>
        <w:rPr>
          <w:rFonts w:hint="default" w:ascii="Times New Roman" w:hAnsi="Times New Roman" w:eastAsia="仿宋_GB2312" w:cs="Times New Roman"/>
          <w:color w:val="000000"/>
          <w:sz w:val="32"/>
          <w:szCs w:val="32"/>
        </w:rPr>
        <w:t>万元，主要用于：部门下属事业单位按规定由单位缴纳的基本医疗保险支出。</w:t>
      </w:r>
    </w:p>
    <w:p w14:paraId="6826C24D">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rPr>
        <w:t>住房保障（类）住房改革支出（款）住房公积金（项）202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lang w:val="en-US" w:eastAsia="zh-CN"/>
        </w:rPr>
        <w:t>75.48</w:t>
      </w:r>
      <w:r>
        <w:rPr>
          <w:rFonts w:hint="default" w:ascii="Times New Roman" w:hAnsi="Times New Roman" w:eastAsia="仿宋_GB2312" w:cs="Times New Roman"/>
          <w:color w:val="000000"/>
          <w:sz w:val="32"/>
          <w:szCs w:val="32"/>
        </w:rPr>
        <w:t>万元，主要用于：部门按规定为职工缴纳的住房公积金支出。</w:t>
      </w:r>
    </w:p>
    <w:p w14:paraId="597EBC5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rPr>
      </w:pPr>
      <w:bookmarkStart w:id="28" w:name="_Toc30036"/>
      <w:bookmarkStart w:id="29" w:name="_Toc28217"/>
      <w:r>
        <w:rPr>
          <w:rFonts w:hint="default" w:ascii="Times New Roman" w:hAnsi="Times New Roman" w:eastAsia="黑体" w:cs="Times New Roman"/>
          <w:sz w:val="32"/>
          <w:szCs w:val="32"/>
          <w:lang w:val="en-US" w:eastAsia="zh-CN"/>
        </w:rPr>
        <w:t>六、一般公共预算基本支出情况说明</w:t>
      </w:r>
      <w:bookmarkEnd w:id="28"/>
      <w:bookmarkEnd w:id="29"/>
    </w:p>
    <w:p w14:paraId="1DC9DB9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sz w:val="32"/>
          <w:szCs w:val="32"/>
          <w:lang w:val="en-US" w:eastAsia="zh-CN"/>
        </w:rPr>
        <w:t>2025年一般公共预算基本支出1036.24万元，其中：</w:t>
      </w:r>
    </w:p>
    <w:p w14:paraId="796C75F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人员经费914.74万元，主要包括：基本工资、津贴补贴、奖金、社会保险缴费、住房公积金、等支出。</w:t>
      </w:r>
    </w:p>
    <w:p w14:paraId="275804C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公用经费121.5万元，主要包括：办公费、印刷费、水费、电费、邮电费、物业管理费、差旅费、维修（护）费、会议费、培训费、公务接待费、劳务费、工会经费、公务用车运行维护费、其他交通费用等支出。</w:t>
      </w:r>
    </w:p>
    <w:p w14:paraId="38B102F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rPr>
      </w:pPr>
      <w:bookmarkStart w:id="30" w:name="_Toc15001"/>
      <w:bookmarkStart w:id="31" w:name="_Toc3107"/>
      <w:r>
        <w:rPr>
          <w:rFonts w:hint="default" w:ascii="Times New Roman" w:hAnsi="Times New Roman" w:eastAsia="黑体" w:cs="Times New Roman"/>
          <w:sz w:val="32"/>
          <w:szCs w:val="32"/>
          <w:lang w:val="en-US" w:eastAsia="zh-CN"/>
        </w:rPr>
        <w:t>七、“三公”经费财政拨款预算安排情况说明</w:t>
      </w:r>
      <w:bookmarkEnd w:id="30"/>
      <w:bookmarkEnd w:id="31"/>
    </w:p>
    <w:p w14:paraId="562B851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sz w:val="32"/>
          <w:szCs w:val="32"/>
          <w:lang w:val="en-US" w:eastAsia="zh-CN"/>
        </w:rPr>
        <w:t>2025年“三公”经费财政拨款预算数16.1万元，其中：公务接待费3.15万元，公务用车购置及运行维护费12.95万元，</w:t>
      </w:r>
      <w:r>
        <w:rPr>
          <w:rFonts w:hint="default" w:ascii="Times New Roman" w:hAnsi="Times New Roman" w:eastAsia="仿宋_GB2312" w:cs="Times New Roman"/>
          <w:color w:val="000000"/>
          <w:sz w:val="32"/>
          <w:szCs w:val="32"/>
        </w:rPr>
        <w:t>因公出国（境）经费0万元。</w:t>
      </w:r>
    </w:p>
    <w:p w14:paraId="3E06DF42">
      <w:pPr>
        <w:pStyle w:val="5"/>
        <w:pageBreakBefore w:val="0"/>
        <w:widowControl w:val="0"/>
        <w:kinsoku/>
        <w:wordWrap/>
        <w:overflowPunct/>
        <w:topLinePunct w:val="0"/>
        <w:autoSpaceDE/>
        <w:autoSpaceDN/>
        <w:bidi w:val="0"/>
        <w:adjustRightInd/>
        <w:snapToGrid/>
        <w:spacing w:after="0" w:line="576" w:lineRule="exact"/>
        <w:ind w:left="0" w:firstLine="643" w:firstLineChars="200"/>
        <w:jc w:val="both"/>
        <w:textAlignment w:val="auto"/>
        <w:outlineLvl w:val="1"/>
        <w:rPr>
          <w:rFonts w:hint="default" w:ascii="Times New Roman" w:hAnsi="Times New Roman" w:eastAsia="楷体_GB2312" w:cs="Times New Roman"/>
          <w:b/>
          <w:bCs/>
          <w:color w:val="000000"/>
          <w:sz w:val="32"/>
          <w:szCs w:val="32"/>
          <w:lang w:val="en-US" w:eastAsia="zh-CN"/>
        </w:rPr>
      </w:pPr>
      <w:bookmarkStart w:id="32" w:name="_Toc1055"/>
      <w:bookmarkStart w:id="33" w:name="_Toc29160"/>
      <w:r>
        <w:rPr>
          <w:rFonts w:hint="default" w:ascii="Times New Roman" w:hAnsi="Times New Roman" w:eastAsia="楷体_GB2312" w:cs="Times New Roman"/>
          <w:b/>
          <w:bCs/>
          <w:color w:val="000000"/>
          <w:sz w:val="32"/>
          <w:szCs w:val="32"/>
          <w:lang w:val="en-US" w:eastAsia="zh-CN"/>
        </w:rPr>
        <w:t>（一）公务接待费</w:t>
      </w:r>
      <w:bookmarkEnd w:id="32"/>
      <w:bookmarkEnd w:id="33"/>
    </w:p>
    <w:p w14:paraId="12A7D41B">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公务接待费与202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年预算相比下降0.</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%。主要原因是按照党中央、国务院关于过“紧日子”和坚持厉行节约反对浪费的要求，进一步减少公务接待费支出</w:t>
      </w:r>
      <w:r>
        <w:rPr>
          <w:rFonts w:hint="default" w:ascii="Times New Roman" w:hAnsi="Times New Roman" w:eastAsia="仿宋_GB2312" w:cs="Times New Roman"/>
          <w:color w:val="000000"/>
          <w:sz w:val="32"/>
          <w:szCs w:val="32"/>
          <w:lang w:val="en-US" w:eastAsia="zh-CN"/>
        </w:rPr>
        <w:t>.</w:t>
      </w:r>
    </w:p>
    <w:p w14:paraId="12EDDA4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2025年公务接待费计划用于执行接待考察调研、检查指导等公务活动开支的交通费、住宿费、用餐费等。</w:t>
      </w:r>
    </w:p>
    <w:p w14:paraId="5D5C942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楷体_GB2312" w:cs="Times New Roman"/>
          <w:b/>
          <w:bCs/>
          <w:sz w:val="32"/>
          <w:szCs w:val="32"/>
          <w:lang w:val="en-US" w:eastAsia="zh-CN"/>
        </w:rPr>
      </w:pPr>
      <w:bookmarkStart w:id="34" w:name="_Toc6510"/>
      <w:bookmarkStart w:id="35" w:name="_Toc5909"/>
      <w:r>
        <w:rPr>
          <w:rFonts w:hint="default" w:ascii="Times New Roman" w:hAnsi="Times New Roman" w:eastAsia="楷体_GB2312" w:cs="Times New Roman"/>
          <w:b/>
          <w:bCs/>
          <w:sz w:val="32"/>
          <w:szCs w:val="32"/>
          <w:lang w:val="en-US" w:eastAsia="zh-CN"/>
        </w:rPr>
        <w:t>公务用车购置及运行维护费</w:t>
      </w:r>
      <w:bookmarkEnd w:id="34"/>
      <w:bookmarkEnd w:id="35"/>
    </w:p>
    <w:p w14:paraId="5CA2D1D8">
      <w:pP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公务用车购置及运行维护费与2024年预算相比下降</w:t>
      </w:r>
      <w:r>
        <w:rPr>
          <w:rFonts w:hint="default" w:ascii="Times New Roman" w:hAnsi="Times New Roman" w:eastAsia="仿宋_GB2312" w:cs="Times New Roman"/>
          <w:color w:val="000000"/>
          <w:sz w:val="32"/>
          <w:szCs w:val="32"/>
          <w:lang w:val="en-US" w:eastAsia="zh-CN"/>
        </w:rPr>
        <w:t>0.03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，主要原因是</w:t>
      </w:r>
      <w:r>
        <w:rPr>
          <w:rFonts w:hint="default" w:ascii="Times New Roman" w:hAnsi="Times New Roman" w:eastAsia="仿宋_GB2312" w:cs="Times New Roman"/>
          <w:color w:val="000000"/>
          <w:sz w:val="32"/>
          <w:szCs w:val="32"/>
        </w:rPr>
        <w:t>按照党中央、国务院关于过“紧日子”</w:t>
      </w:r>
      <w:r>
        <w:rPr>
          <w:rFonts w:hint="default" w:ascii="Times New Roman" w:hAnsi="Times New Roman" w:eastAsia="仿宋_GB2312" w:cs="Times New Roman"/>
          <w:color w:val="000000"/>
          <w:sz w:val="32"/>
          <w:szCs w:val="32"/>
          <w:lang w:eastAsia="zh-CN"/>
        </w:rPr>
        <w:t>的要求，全局统筹各业务股室工作，加强对公务用车管理，厉行节约。</w:t>
      </w:r>
    </w:p>
    <w:p w14:paraId="4A855C43">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昭化区</w:t>
      </w:r>
      <w:r>
        <w:rPr>
          <w:rFonts w:hint="eastAsia" w:ascii="Times New Roman" w:hAnsi="Times New Roman" w:eastAsia="仿宋_GB2312" w:cs="Times New Roman"/>
          <w:color w:val="000000"/>
          <w:sz w:val="32"/>
          <w:szCs w:val="32"/>
          <w:lang w:eastAsia="zh-CN"/>
        </w:rPr>
        <w:t>市场监管局</w:t>
      </w:r>
      <w:r>
        <w:rPr>
          <w:rFonts w:hint="default" w:ascii="Times New Roman" w:hAnsi="Times New Roman" w:eastAsia="仿宋_GB2312" w:cs="Times New Roman"/>
          <w:color w:val="000000"/>
          <w:sz w:val="32"/>
          <w:szCs w:val="32"/>
        </w:rPr>
        <w:t>现有公务用车5辆，其中：轿车</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辆，越野车</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辆，特种车1辆（食品安全快速抽检车）</w:t>
      </w:r>
    </w:p>
    <w:p w14:paraId="56E3E32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2025年未安排公务用车购置费。</w:t>
      </w:r>
    </w:p>
    <w:p w14:paraId="32B4B2BA">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2025年安排公务用车运行维护费12.95万元，</w:t>
      </w:r>
      <w:r>
        <w:rPr>
          <w:rFonts w:hint="default" w:ascii="Times New Roman" w:hAnsi="Times New Roman" w:eastAsia="仿宋_GB2312" w:cs="Times New Roman"/>
          <w:color w:val="000000"/>
          <w:sz w:val="32"/>
          <w:szCs w:val="32"/>
        </w:rPr>
        <w:t>用于4辆</w:t>
      </w:r>
      <w:r>
        <w:rPr>
          <w:rFonts w:hint="default" w:ascii="Times New Roman" w:hAnsi="Times New Roman" w:eastAsia="仿宋_GB2312" w:cs="Times New Roman"/>
          <w:color w:val="000000"/>
          <w:sz w:val="32"/>
          <w:szCs w:val="32"/>
          <w:lang w:eastAsia="zh-CN"/>
        </w:rPr>
        <w:t>执法</w:t>
      </w:r>
      <w:r>
        <w:rPr>
          <w:rFonts w:hint="default" w:ascii="Times New Roman" w:hAnsi="Times New Roman" w:eastAsia="仿宋_GB2312" w:cs="Times New Roman"/>
          <w:color w:val="000000"/>
          <w:sz w:val="32"/>
          <w:szCs w:val="32"/>
        </w:rPr>
        <w:t>用车及1辆食品安全快速抽检车燃油、过路（桥）、维修、保险等方面支出，主要保障开展食品安全、药品安全、特种设备安全保障及质量安全监管等工作。</w:t>
      </w:r>
    </w:p>
    <w:p w14:paraId="3CD135CD">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b/>
          <w:bCs/>
          <w:sz w:val="32"/>
          <w:szCs w:val="32"/>
          <w:lang w:val="en-US" w:eastAsia="zh-CN"/>
        </w:rPr>
      </w:pPr>
      <w:bookmarkStart w:id="36" w:name="_Toc19049"/>
      <w:bookmarkStart w:id="37" w:name="_Toc25845"/>
      <w:r>
        <w:rPr>
          <w:rFonts w:hint="default" w:ascii="Times New Roman" w:hAnsi="Times New Roman" w:eastAsia="仿宋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三）因公出国（境）经费</w:t>
      </w:r>
      <w:bookmarkEnd w:id="36"/>
      <w:bookmarkEnd w:id="37"/>
    </w:p>
    <w:p w14:paraId="6A62182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因公出国经费与202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年预算相比持平，无因公出差经费</w:t>
      </w:r>
    </w:p>
    <w:p w14:paraId="08A5273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38" w:name="_Toc27310"/>
      <w:bookmarkStart w:id="39" w:name="_Toc9996"/>
      <w:r>
        <w:rPr>
          <w:rFonts w:hint="default" w:ascii="Times New Roman" w:hAnsi="Times New Roman" w:eastAsia="黑体" w:cs="Times New Roman"/>
          <w:sz w:val="32"/>
          <w:szCs w:val="32"/>
          <w:lang w:val="en-US" w:eastAsia="zh-CN"/>
        </w:rPr>
        <w:t>八、政府性基金预算支出情况说明</w:t>
      </w:r>
      <w:bookmarkEnd w:id="38"/>
      <w:bookmarkEnd w:id="39"/>
    </w:p>
    <w:p w14:paraId="66EE67B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昭化区</w:t>
      </w:r>
      <w:r>
        <w:rPr>
          <w:rFonts w:hint="eastAsia" w:ascii="Times New Roman" w:hAnsi="Times New Roman" w:eastAsia="仿宋_GB2312" w:cs="Times New Roman"/>
          <w:color w:val="000000"/>
          <w:sz w:val="32"/>
          <w:szCs w:val="32"/>
          <w:lang w:eastAsia="zh-CN"/>
        </w:rPr>
        <w:t>市场监管局</w:t>
      </w:r>
      <w:r>
        <w:rPr>
          <w:rFonts w:hint="default" w:ascii="Times New Roman" w:hAnsi="Times New Roman" w:eastAsia="仿宋_GB2312" w:cs="Times New Roman"/>
          <w:sz w:val="32"/>
          <w:szCs w:val="32"/>
          <w:lang w:val="en-US" w:eastAsia="zh-CN"/>
        </w:rPr>
        <w:t>2025年无政府性基金预算拨款安排的支出。</w:t>
      </w:r>
    </w:p>
    <w:p w14:paraId="5645C2A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40" w:name="_Toc7789"/>
      <w:bookmarkStart w:id="41" w:name="_Toc29137"/>
      <w:r>
        <w:rPr>
          <w:rFonts w:hint="default" w:ascii="Times New Roman" w:hAnsi="Times New Roman" w:eastAsia="黑体" w:cs="Times New Roman"/>
          <w:sz w:val="32"/>
          <w:szCs w:val="32"/>
          <w:lang w:val="en-US" w:eastAsia="zh-CN"/>
        </w:rPr>
        <w:t>九、国有资本经营预算支出情况说明</w:t>
      </w:r>
      <w:bookmarkEnd w:id="40"/>
      <w:bookmarkEnd w:id="41"/>
    </w:p>
    <w:p w14:paraId="23A76650">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昭化区市场监</w:t>
      </w:r>
      <w:r>
        <w:rPr>
          <w:rFonts w:hint="eastAsia" w:ascii="Times New Roman" w:hAnsi="Times New Roman" w:eastAsia="仿宋_GB2312" w:cs="Times New Roman"/>
          <w:color w:val="000000"/>
          <w:sz w:val="32"/>
          <w:szCs w:val="32"/>
          <w:lang w:eastAsia="zh-CN"/>
        </w:rPr>
        <w:t>管</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sz w:val="32"/>
          <w:szCs w:val="32"/>
          <w:lang w:val="en-US" w:eastAsia="zh-CN"/>
        </w:rPr>
        <w:t>2025年无国有资本经营预算拨款安排的支出。</w:t>
      </w:r>
    </w:p>
    <w:p w14:paraId="1B2FCD0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rPr>
      </w:pPr>
      <w:bookmarkStart w:id="42" w:name="_Toc31477"/>
      <w:bookmarkStart w:id="43" w:name="_Toc25044"/>
      <w:r>
        <w:rPr>
          <w:rFonts w:hint="default" w:ascii="Times New Roman" w:hAnsi="Times New Roman" w:eastAsia="黑体" w:cs="Times New Roman"/>
          <w:sz w:val="32"/>
          <w:szCs w:val="32"/>
          <w:lang w:val="en-US" w:eastAsia="zh-CN"/>
        </w:rPr>
        <w:t>十、其他重要事项的情况说明</w:t>
      </w:r>
      <w:bookmarkEnd w:id="42"/>
      <w:bookmarkEnd w:id="43"/>
    </w:p>
    <w:p w14:paraId="474F5D05">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楷体_GB2312" w:cs="Times New Roman"/>
          <w:b/>
          <w:bCs/>
          <w:i w:val="0"/>
          <w:iCs w:val="0"/>
          <w:sz w:val="32"/>
          <w:szCs w:val="32"/>
          <w:u w:val="none"/>
          <w:lang w:val="en-US" w:eastAsia="zh-CN"/>
        </w:rPr>
      </w:pPr>
      <w:bookmarkStart w:id="44" w:name="_Toc22149"/>
      <w:bookmarkStart w:id="45" w:name="_Toc7618"/>
      <w:r>
        <w:rPr>
          <w:rFonts w:hint="default" w:ascii="Times New Roman" w:hAnsi="Times New Roman" w:eastAsia="楷体_GB2312" w:cs="Times New Roman"/>
          <w:b/>
          <w:bCs/>
          <w:i w:val="0"/>
          <w:iCs w:val="0"/>
          <w:sz w:val="32"/>
          <w:szCs w:val="32"/>
          <w:u w:val="none"/>
          <w:lang w:val="en-US" w:eastAsia="zh-CN"/>
        </w:rPr>
        <w:t>（一）机关运行经费</w:t>
      </w:r>
      <w:bookmarkEnd w:id="44"/>
      <w:bookmarkEnd w:id="45"/>
    </w:p>
    <w:p w14:paraId="471D0B3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color w:val="000000"/>
          <w:sz w:val="32"/>
          <w:szCs w:val="32"/>
        </w:rPr>
        <w:t>昭化区市场监督管理</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机关及其3家下属事业单位的运行经费财政拨款预算为</w:t>
      </w:r>
      <w:r>
        <w:rPr>
          <w:rFonts w:hint="default" w:ascii="Times New Roman" w:hAnsi="Times New Roman" w:eastAsia="仿宋_GB2312" w:cs="Times New Roman"/>
          <w:color w:val="000000"/>
          <w:sz w:val="32"/>
          <w:szCs w:val="32"/>
          <w:lang w:val="en-US" w:eastAsia="zh-CN"/>
        </w:rPr>
        <w:t>121.5</w:t>
      </w:r>
      <w:r>
        <w:rPr>
          <w:rFonts w:hint="default" w:ascii="Times New Roman" w:hAnsi="Times New Roman" w:eastAsia="仿宋_GB2312" w:cs="Times New Roman"/>
          <w:color w:val="000000"/>
          <w:sz w:val="32"/>
          <w:szCs w:val="32"/>
        </w:rPr>
        <w:t>万元，比202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年预算减少</w:t>
      </w:r>
      <w:r>
        <w:rPr>
          <w:rFonts w:hint="default" w:ascii="Times New Roman" w:hAnsi="Times New Roman" w:eastAsia="仿宋_GB2312" w:cs="Times New Roman"/>
          <w:color w:val="000000"/>
          <w:sz w:val="32"/>
          <w:szCs w:val="32"/>
          <w:lang w:val="en-US" w:eastAsia="zh-CN"/>
        </w:rPr>
        <w:t>4.23</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lang w:val="en-US" w:eastAsia="zh-CN"/>
        </w:rPr>
        <w:t>3.48</w:t>
      </w:r>
      <w:r>
        <w:rPr>
          <w:rFonts w:hint="default" w:ascii="Times New Roman" w:hAnsi="Times New Roman" w:eastAsia="仿宋_GB2312" w:cs="Times New Roman"/>
          <w:color w:val="000000"/>
          <w:sz w:val="32"/>
          <w:szCs w:val="32"/>
        </w:rPr>
        <w:t>%。主要原因是202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年单位人员减少。</w:t>
      </w:r>
    </w:p>
    <w:p w14:paraId="3052FAC6">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楷体_GB2312" w:cs="Times New Roman"/>
          <w:b/>
          <w:bCs/>
          <w:i w:val="0"/>
          <w:iCs w:val="0"/>
          <w:sz w:val="32"/>
          <w:szCs w:val="32"/>
          <w:u w:val="none"/>
          <w:lang w:val="en-US" w:eastAsia="zh-CN"/>
        </w:rPr>
      </w:pPr>
      <w:bookmarkStart w:id="46" w:name="_Toc18739"/>
      <w:bookmarkStart w:id="47" w:name="_Toc27936"/>
      <w:r>
        <w:rPr>
          <w:rFonts w:hint="default" w:ascii="Times New Roman" w:hAnsi="Times New Roman" w:eastAsia="楷体_GB2312" w:cs="Times New Roman"/>
          <w:b/>
          <w:bCs/>
          <w:i w:val="0"/>
          <w:iCs w:val="0"/>
          <w:sz w:val="32"/>
          <w:szCs w:val="32"/>
          <w:u w:val="none"/>
          <w:lang w:val="en-US" w:eastAsia="zh-CN"/>
        </w:rPr>
        <w:t>（二）政府采购情况</w:t>
      </w:r>
      <w:bookmarkEnd w:id="46"/>
      <w:bookmarkEnd w:id="47"/>
    </w:p>
    <w:p w14:paraId="2C53F608">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color w:val="000000"/>
          <w:sz w:val="32"/>
          <w:szCs w:val="32"/>
        </w:rPr>
        <w:t>本单位本年度无政府采购预算。</w:t>
      </w:r>
    </w:p>
    <w:p w14:paraId="2972B060">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楷体_GB2312" w:cs="Times New Roman"/>
          <w:b/>
          <w:bCs/>
          <w:i w:val="0"/>
          <w:iCs w:val="0"/>
          <w:sz w:val="32"/>
          <w:szCs w:val="32"/>
          <w:u w:val="none"/>
          <w:lang w:val="en-US" w:eastAsia="zh-CN"/>
        </w:rPr>
      </w:pPr>
      <w:bookmarkStart w:id="48" w:name="_Toc29926"/>
      <w:bookmarkStart w:id="49" w:name="_Toc25114"/>
      <w:r>
        <w:rPr>
          <w:rFonts w:hint="default" w:ascii="Times New Roman" w:hAnsi="Times New Roman" w:eastAsia="楷体_GB2312" w:cs="Times New Roman"/>
          <w:b/>
          <w:bCs/>
          <w:i w:val="0"/>
          <w:iCs w:val="0"/>
          <w:sz w:val="32"/>
          <w:szCs w:val="32"/>
          <w:u w:val="none"/>
          <w:lang w:val="en-US" w:eastAsia="zh-CN"/>
        </w:rPr>
        <w:t>（三）国有资产占有使用情况</w:t>
      </w:r>
      <w:bookmarkEnd w:id="48"/>
      <w:bookmarkEnd w:id="49"/>
    </w:p>
    <w:p w14:paraId="5E87CDF0">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截至2024年底，</w:t>
      </w:r>
      <w:r>
        <w:rPr>
          <w:rFonts w:hint="default" w:ascii="Times New Roman" w:hAnsi="Times New Roman" w:eastAsia="仿宋_GB2312" w:cs="Times New Roman"/>
          <w:color w:val="000000"/>
          <w:sz w:val="32"/>
          <w:szCs w:val="32"/>
        </w:rPr>
        <w:t>昭化区市场监督管理</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sz w:val="32"/>
          <w:szCs w:val="32"/>
          <w:lang w:val="en-US" w:eastAsia="zh-CN"/>
        </w:rPr>
        <w:t>共有车辆5辆，其中，领导干部用车0辆、定向保障用车0辆、执法执勤用车4辆，</w:t>
      </w:r>
      <w:r>
        <w:rPr>
          <w:rFonts w:hint="default" w:ascii="Times New Roman" w:hAnsi="Times New Roman" w:eastAsia="仿宋_GB2312" w:cs="Times New Roman"/>
          <w:color w:val="000000"/>
          <w:sz w:val="32"/>
          <w:szCs w:val="32"/>
        </w:rPr>
        <w:t>特种车1辆。单位价值200万元以上大型设备0台（套）</w:t>
      </w:r>
      <w:r>
        <w:rPr>
          <w:rFonts w:hint="default" w:ascii="Times New Roman" w:hAnsi="Times New Roman" w:eastAsia="仿宋_GB2312" w:cs="Times New Roman"/>
          <w:sz w:val="32"/>
          <w:szCs w:val="32"/>
          <w:lang w:val="en-US" w:eastAsia="zh-CN"/>
        </w:rPr>
        <w:t>。</w:t>
      </w:r>
    </w:p>
    <w:p w14:paraId="395E59E7">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color w:val="000000"/>
          <w:sz w:val="32"/>
          <w:szCs w:val="32"/>
        </w:rPr>
        <w:t>部门预算安排车辆购置经费及大型设备购置经费0万元。</w:t>
      </w:r>
    </w:p>
    <w:p w14:paraId="1BA04B57">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楷体_GB2312" w:cs="Times New Roman"/>
          <w:b/>
          <w:bCs/>
          <w:i w:val="0"/>
          <w:iCs w:val="0"/>
          <w:sz w:val="32"/>
          <w:szCs w:val="32"/>
          <w:u w:val="none"/>
          <w:lang w:val="en-US" w:eastAsia="zh-CN"/>
        </w:rPr>
      </w:pPr>
      <w:bookmarkStart w:id="50" w:name="_Toc25702"/>
      <w:bookmarkStart w:id="51" w:name="_Toc23292"/>
      <w:r>
        <w:rPr>
          <w:rFonts w:hint="default" w:ascii="Times New Roman" w:hAnsi="Times New Roman" w:eastAsia="楷体_GB2312" w:cs="Times New Roman"/>
          <w:b/>
          <w:bCs/>
          <w:i w:val="0"/>
          <w:iCs w:val="0"/>
          <w:sz w:val="32"/>
          <w:szCs w:val="32"/>
          <w:u w:val="none"/>
          <w:lang w:val="en-US" w:eastAsia="zh-CN"/>
        </w:rPr>
        <w:t>（四）绩效目标设置情况</w:t>
      </w:r>
      <w:bookmarkEnd w:id="50"/>
      <w:bookmarkEnd w:id="51"/>
    </w:p>
    <w:p w14:paraId="5B8DE6DD">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color w:val="000000"/>
          <w:sz w:val="32"/>
          <w:szCs w:val="32"/>
        </w:rPr>
        <w:t>昭化区市场监督管理</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sz w:val="32"/>
          <w:szCs w:val="32"/>
          <w:lang w:val="en-US" w:eastAsia="zh-CN"/>
        </w:rPr>
        <w:t>开展绩效目标管理的项目</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个，涉及预算</w:t>
      </w:r>
      <w:r>
        <w:rPr>
          <w:rFonts w:hint="eastAsia" w:ascii="Times New Roman" w:hAnsi="Times New Roman" w:eastAsia="仿宋_GB2312" w:cs="Times New Roman"/>
          <w:sz w:val="32"/>
          <w:szCs w:val="32"/>
          <w:lang w:val="en-US" w:eastAsia="zh-CN"/>
        </w:rPr>
        <w:t>310.45</w:t>
      </w:r>
      <w:r>
        <w:rPr>
          <w:rFonts w:hint="default" w:ascii="Times New Roman" w:hAnsi="Times New Roman" w:eastAsia="仿宋_GB2312" w:cs="Times New Roman"/>
          <w:sz w:val="32"/>
          <w:szCs w:val="32"/>
          <w:lang w:val="en-US" w:eastAsia="zh-CN"/>
        </w:rPr>
        <w:t>万元。其中：人员类项目（定额公用经费、公务交通补贴）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 xml:space="preserve">个，涉及预算 </w:t>
      </w:r>
      <w:r>
        <w:rPr>
          <w:rFonts w:hint="eastAsia" w:ascii="Times New Roman" w:hAnsi="Times New Roman" w:eastAsia="仿宋_GB2312" w:cs="Times New Roman"/>
          <w:sz w:val="32"/>
          <w:szCs w:val="32"/>
          <w:lang w:val="en-US" w:eastAsia="zh-CN"/>
        </w:rPr>
        <w:t>121.5</w:t>
      </w:r>
      <w:r>
        <w:rPr>
          <w:rFonts w:hint="default" w:ascii="Times New Roman" w:hAnsi="Times New Roman" w:eastAsia="仿宋_GB2312" w:cs="Times New Roman"/>
          <w:sz w:val="32"/>
          <w:szCs w:val="32"/>
          <w:lang w:val="en-US" w:eastAsia="zh-CN"/>
        </w:rPr>
        <w:t>万元；运转类项目</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个，涉及预算</w:t>
      </w:r>
      <w:r>
        <w:rPr>
          <w:rFonts w:hint="eastAsia" w:ascii="Times New Roman" w:hAnsi="Times New Roman" w:eastAsia="仿宋_GB2312" w:cs="Times New Roman"/>
          <w:sz w:val="32"/>
          <w:szCs w:val="32"/>
          <w:lang w:val="en-US" w:eastAsia="zh-CN"/>
        </w:rPr>
        <w:t>183.95</w:t>
      </w:r>
      <w:r>
        <w:rPr>
          <w:rFonts w:hint="default" w:ascii="Times New Roman" w:hAnsi="Times New Roman" w:eastAsia="仿宋_GB2312" w:cs="Times New Roman"/>
          <w:sz w:val="32"/>
          <w:szCs w:val="32"/>
          <w:lang w:val="en-US" w:eastAsia="zh-CN"/>
        </w:rPr>
        <w:t>万元；特定目标类项目1个，涉及预算5万元。</w:t>
      </w:r>
    </w:p>
    <w:p w14:paraId="2C34BD3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rPr>
      </w:pPr>
      <w:bookmarkStart w:id="52" w:name="_Toc8769"/>
      <w:bookmarkStart w:id="53" w:name="_Toc2079"/>
      <w:r>
        <w:rPr>
          <w:rFonts w:hint="default" w:ascii="Times New Roman" w:hAnsi="Times New Roman" w:eastAsia="黑体" w:cs="Times New Roman"/>
          <w:sz w:val="32"/>
          <w:szCs w:val="32"/>
          <w:lang w:val="en-US" w:eastAsia="zh-CN"/>
        </w:rPr>
        <w:t>十一、名词解释</w:t>
      </w:r>
      <w:bookmarkEnd w:id="52"/>
      <w:bookmarkEnd w:id="53"/>
    </w:p>
    <w:p w14:paraId="6E480196">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Times New Roman" w:cs="Times New Roman"/>
          <w:color w:val="000000"/>
          <w:sz w:val="32"/>
          <w:szCs w:val="32"/>
        </w:rPr>
      </w:pPr>
      <w:bookmarkStart w:id="54" w:name="_Toc165"/>
      <w:bookmarkStart w:id="55" w:name="_Toc29238"/>
      <w:r>
        <w:rPr>
          <w:rFonts w:hint="default" w:ascii="Times New Roman" w:hAnsi="Times New Roman" w:eastAsia="楷体_GB2312" w:cs="Times New Roman"/>
          <w:b/>
          <w:bCs/>
          <w:color w:val="000000"/>
          <w:sz w:val="32"/>
          <w:szCs w:val="32"/>
        </w:rPr>
        <w:t>（一）一般公共预算拨款收入：</w:t>
      </w:r>
      <w:r>
        <w:rPr>
          <w:rFonts w:hint="default" w:ascii="Times New Roman" w:hAnsi="Times New Roman" w:eastAsia="仿宋_GB2312" w:cs="Times New Roman"/>
          <w:color w:val="000000"/>
          <w:sz w:val="32"/>
          <w:szCs w:val="32"/>
        </w:rPr>
        <w:t>指区级财政当年拨付的资金。</w:t>
      </w:r>
      <w:bookmarkEnd w:id="54"/>
      <w:bookmarkEnd w:id="55"/>
      <w:r>
        <w:rPr>
          <w:rFonts w:hint="default" w:ascii="Times New Roman" w:hAnsi="Times New Roman" w:eastAsia="仿宋_GB2312" w:cs="Times New Roman"/>
          <w:color w:val="000000"/>
          <w:sz w:val="32"/>
          <w:szCs w:val="32"/>
        </w:rPr>
        <w:t xml:space="preserve"> </w:t>
      </w:r>
      <w:r>
        <w:rPr>
          <w:rFonts w:hint="default" w:ascii="Times New Roman" w:hAnsi="Times New Roman" w:cs="Times New Roman"/>
          <w:color w:val="000000"/>
          <w:sz w:val="32"/>
          <w:szCs w:val="32"/>
        </w:rPr>
        <w:t>　</w:t>
      </w:r>
    </w:p>
    <w:p w14:paraId="09AD0D20">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Times New Roman" w:cs="Times New Roman"/>
          <w:color w:val="000000"/>
          <w:sz w:val="32"/>
          <w:szCs w:val="32"/>
        </w:rPr>
      </w:pPr>
      <w:bookmarkStart w:id="56" w:name="_Toc28766"/>
      <w:r>
        <w:rPr>
          <w:rFonts w:hint="default" w:ascii="Times New Roman" w:hAnsi="Times New Roman" w:eastAsia="楷体_GB2312" w:cs="Times New Roman"/>
          <w:b/>
          <w:bCs/>
          <w:color w:val="000000"/>
          <w:sz w:val="32"/>
          <w:szCs w:val="32"/>
        </w:rPr>
        <w:t>（二）一般公共服务（类）市场监督管理（款）行政运行（项）：</w:t>
      </w:r>
      <w:r>
        <w:rPr>
          <w:rFonts w:hint="default" w:ascii="Times New Roman" w:hAnsi="Times New Roman" w:eastAsia="仿宋_GB2312" w:cs="Times New Roman"/>
          <w:color w:val="000000"/>
          <w:sz w:val="32"/>
          <w:szCs w:val="32"/>
        </w:rPr>
        <w:t>指</w:t>
      </w:r>
      <w:r>
        <w:rPr>
          <w:rFonts w:hint="eastAsia" w:ascii="Times New Roman" w:hAnsi="Times New Roman" w:eastAsia="仿宋_GB2312" w:cs="Times New Roman"/>
          <w:color w:val="000000"/>
          <w:sz w:val="32"/>
          <w:szCs w:val="32"/>
          <w:lang w:eastAsia="zh-CN"/>
        </w:rPr>
        <w:t>市场监督管理</w:t>
      </w:r>
      <w:r>
        <w:rPr>
          <w:rFonts w:hint="eastAsia" w:ascii="Times New Roman" w:hAnsi="Times New Roman" w:eastAsia="仿宋_GB2312" w:cs="Times New Roman"/>
          <w:color w:val="000000"/>
          <w:sz w:val="32"/>
          <w:szCs w:val="32"/>
          <w:lang w:val="en-US" w:eastAsia="zh-CN"/>
        </w:rPr>
        <w:t>局</w:t>
      </w:r>
      <w:r>
        <w:rPr>
          <w:rFonts w:hint="default" w:ascii="Times New Roman" w:hAnsi="Times New Roman" w:eastAsia="仿宋_GB2312" w:cs="Times New Roman"/>
          <w:color w:val="000000"/>
          <w:sz w:val="32"/>
          <w:szCs w:val="32"/>
        </w:rPr>
        <w:t>机关单位用于保障机构正常运行、开展日常工作的基本支出。</w:t>
      </w:r>
      <w:bookmarkEnd w:id="56"/>
    </w:p>
    <w:p w14:paraId="457F82E5">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57" w:name="_Toc19473"/>
      <w:r>
        <w:rPr>
          <w:rFonts w:hint="default" w:ascii="Times New Roman" w:hAnsi="Times New Roman" w:eastAsia="楷体_GB2312" w:cs="Times New Roman"/>
          <w:b/>
          <w:bCs/>
          <w:color w:val="000000"/>
          <w:sz w:val="32"/>
          <w:szCs w:val="32"/>
        </w:rPr>
        <w:t>（三）一般公共服务（类）市场监督管理（款）市场主体管理（项）：</w:t>
      </w:r>
      <w:r>
        <w:rPr>
          <w:rFonts w:hint="default" w:ascii="Times New Roman" w:hAnsi="Times New Roman" w:eastAsia="仿宋_GB2312" w:cs="Times New Roman"/>
          <w:color w:val="000000"/>
          <w:sz w:val="32"/>
          <w:szCs w:val="32"/>
        </w:rPr>
        <w:t>指市场准入、行政许可、信用监管等市场主体管理专项工作支出。</w:t>
      </w:r>
      <w:bookmarkEnd w:id="57"/>
    </w:p>
    <w:p w14:paraId="6F99A20A">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Times New Roman" w:cs="Times New Roman"/>
          <w:color w:val="000000"/>
          <w:sz w:val="32"/>
          <w:szCs w:val="32"/>
        </w:rPr>
      </w:pPr>
      <w:bookmarkStart w:id="58" w:name="_Toc21542"/>
      <w:r>
        <w:rPr>
          <w:rFonts w:hint="default" w:ascii="Times New Roman" w:hAnsi="Times New Roman" w:eastAsia="楷体_GB2312" w:cs="Times New Roman"/>
          <w:b/>
          <w:bCs/>
          <w:color w:val="000000"/>
          <w:sz w:val="32"/>
          <w:szCs w:val="32"/>
        </w:rPr>
        <w:t>（四）一般公共服务（类）市场监督管理（款）药品事务（项）：</w:t>
      </w:r>
      <w:r>
        <w:rPr>
          <w:rFonts w:hint="default" w:ascii="Times New Roman" w:hAnsi="Times New Roman" w:eastAsia="仿宋_GB2312" w:cs="Times New Roman"/>
          <w:color w:val="000000"/>
          <w:sz w:val="32"/>
          <w:szCs w:val="32"/>
        </w:rPr>
        <w:t>指药品（含中药、民族药）监督管理方面的支出。</w:t>
      </w:r>
      <w:bookmarkEnd w:id="58"/>
    </w:p>
    <w:p w14:paraId="26B06DA7">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59" w:name="_Toc20815"/>
      <w:r>
        <w:rPr>
          <w:rFonts w:hint="default" w:ascii="Times New Roman" w:hAnsi="Times New Roman" w:eastAsia="楷体_GB2312" w:cs="Times New Roman"/>
          <w:b/>
          <w:bCs/>
          <w:color w:val="000000"/>
          <w:sz w:val="32"/>
          <w:szCs w:val="32"/>
        </w:rPr>
        <w:t>（五）一般公共服务（类）市场监督管理（款）食品安全监管（项）：</w:t>
      </w:r>
      <w:r>
        <w:rPr>
          <w:rFonts w:hint="default" w:ascii="Times New Roman" w:hAnsi="Times New Roman" w:eastAsia="仿宋_GB2312" w:cs="Times New Roman"/>
          <w:color w:val="000000"/>
          <w:sz w:val="32"/>
          <w:szCs w:val="32"/>
        </w:rPr>
        <w:t>指食品安全监管等专项工作支出。</w:t>
      </w:r>
      <w:bookmarkEnd w:id="59"/>
    </w:p>
    <w:p w14:paraId="3FBE9CB1">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60" w:name="_Toc9416"/>
      <w:r>
        <w:rPr>
          <w:rFonts w:hint="default" w:ascii="Times New Roman" w:hAnsi="Times New Roman" w:eastAsia="楷体_GB2312" w:cs="Times New Roman"/>
          <w:b/>
          <w:bCs/>
          <w:color w:val="000000"/>
          <w:sz w:val="32"/>
          <w:szCs w:val="32"/>
        </w:rPr>
        <w:t>（六）一般公共服务（类）市场监督管理（款）质量基础（项）：</w:t>
      </w:r>
      <w:r>
        <w:rPr>
          <w:rFonts w:hint="default" w:ascii="Times New Roman" w:hAnsi="Times New Roman" w:eastAsia="仿宋_GB2312" w:cs="Times New Roman"/>
          <w:color w:val="000000"/>
          <w:sz w:val="32"/>
          <w:szCs w:val="32"/>
        </w:rPr>
        <w:t>指计量、标准、认证认可、检验监测等质量基础专项工作支出。</w:t>
      </w:r>
      <w:bookmarkEnd w:id="60"/>
    </w:p>
    <w:p w14:paraId="32DB2482">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61" w:name="_Toc26605"/>
      <w:r>
        <w:rPr>
          <w:rFonts w:hint="default" w:ascii="Times New Roman" w:hAnsi="Times New Roman" w:eastAsia="楷体_GB2312" w:cs="Times New Roman"/>
          <w:b/>
          <w:bCs/>
          <w:color w:val="000000"/>
          <w:sz w:val="32"/>
          <w:szCs w:val="32"/>
        </w:rPr>
        <w:t>（七）一般公共服务（类）市场监督管理（款）质量安全监管（项）：</w:t>
      </w:r>
      <w:r>
        <w:rPr>
          <w:rFonts w:hint="default" w:ascii="Times New Roman" w:hAnsi="Times New Roman" w:eastAsia="仿宋_GB2312" w:cs="Times New Roman"/>
          <w:color w:val="000000"/>
          <w:sz w:val="32"/>
          <w:szCs w:val="32"/>
        </w:rPr>
        <w:t>指产品质量安全监管、特种设备安全监管等质量监管专项工作支出。</w:t>
      </w:r>
      <w:bookmarkEnd w:id="61"/>
    </w:p>
    <w:p w14:paraId="5E4F6B05">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62" w:name="_Toc19066"/>
      <w:r>
        <w:rPr>
          <w:rFonts w:hint="default" w:ascii="Times New Roman" w:hAnsi="Times New Roman" w:eastAsia="楷体_GB2312" w:cs="Times New Roman"/>
          <w:b/>
          <w:bCs/>
          <w:color w:val="000000"/>
          <w:sz w:val="32"/>
          <w:szCs w:val="32"/>
        </w:rPr>
        <w:t>（八）一般公共服务（类）市场监督管理（款）事业运行（项）：</w:t>
      </w:r>
      <w:r>
        <w:rPr>
          <w:rFonts w:hint="default" w:ascii="Times New Roman" w:hAnsi="Times New Roman" w:eastAsia="仿宋_GB2312" w:cs="Times New Roman"/>
          <w:color w:val="000000"/>
          <w:sz w:val="32"/>
          <w:szCs w:val="32"/>
        </w:rPr>
        <w:t>广元市昭化区市场监督事务中心、广元市昭化区消费者权益服务中心、广元市昭化区市场监督信息中心用于保障机构正常运行、开展日常工作的基本支出。</w:t>
      </w:r>
      <w:bookmarkEnd w:id="62"/>
    </w:p>
    <w:p w14:paraId="70AD488A">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63" w:name="_Toc12496"/>
      <w:r>
        <w:rPr>
          <w:rFonts w:hint="default" w:ascii="Times New Roman" w:hAnsi="Times New Roman" w:eastAsia="楷体_GB2312" w:cs="Times New Roman"/>
          <w:b/>
          <w:bCs/>
          <w:color w:val="000000"/>
          <w:sz w:val="32"/>
          <w:szCs w:val="32"/>
        </w:rPr>
        <w:t>（九）一般公共服务（类）市场监督管理（款）其他市场监督管理（项）：</w:t>
      </w:r>
      <w:r>
        <w:rPr>
          <w:rFonts w:hint="default" w:ascii="Times New Roman" w:hAnsi="Times New Roman" w:eastAsia="仿宋_GB2312" w:cs="Times New Roman"/>
          <w:color w:val="000000"/>
          <w:sz w:val="32"/>
          <w:szCs w:val="32"/>
        </w:rPr>
        <w:t>指市场监督管理除上述项目外，开展其他市场监</w:t>
      </w:r>
      <w:r>
        <w:rPr>
          <w:rFonts w:hint="eastAsia" w:ascii="Times New Roman" w:hAnsi="Times New Roman" w:eastAsia="仿宋_GB2312" w:cs="Times New Roman"/>
          <w:color w:val="000000"/>
          <w:sz w:val="32"/>
          <w:szCs w:val="32"/>
          <w:lang w:eastAsia="zh-CN"/>
        </w:rPr>
        <w:t>管</w:t>
      </w:r>
      <w:r>
        <w:rPr>
          <w:rFonts w:hint="default" w:ascii="Times New Roman" w:hAnsi="Times New Roman" w:eastAsia="仿宋_GB2312" w:cs="Times New Roman"/>
          <w:color w:val="000000"/>
          <w:sz w:val="32"/>
          <w:szCs w:val="32"/>
        </w:rPr>
        <w:t>面专门性工作任务的项目支出，如争取资金、招商引资等的相关支出。</w:t>
      </w:r>
      <w:bookmarkEnd w:id="63"/>
    </w:p>
    <w:p w14:paraId="1D04010C">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64" w:name="_Toc24072"/>
      <w:r>
        <w:rPr>
          <w:rFonts w:hint="default" w:ascii="Times New Roman" w:hAnsi="Times New Roman" w:eastAsia="楷体_GB2312" w:cs="Times New Roman"/>
          <w:b/>
          <w:bCs/>
          <w:color w:val="000000"/>
          <w:sz w:val="32"/>
          <w:szCs w:val="32"/>
        </w:rPr>
        <w:t>（十）社会保障和就业（类）行政事业单位养老支出（款）事业单位离退休（项）：</w:t>
      </w:r>
      <w:r>
        <w:rPr>
          <w:rFonts w:hint="default" w:ascii="Times New Roman" w:hAnsi="Times New Roman" w:eastAsia="仿宋_GB2312" w:cs="Times New Roman"/>
          <w:color w:val="000000"/>
          <w:sz w:val="32"/>
          <w:szCs w:val="32"/>
        </w:rPr>
        <w:t>指事业单位离退休人员的支出。</w:t>
      </w:r>
      <w:bookmarkEnd w:id="64"/>
    </w:p>
    <w:p w14:paraId="44461542">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65" w:name="_Toc22309"/>
      <w:r>
        <w:rPr>
          <w:rFonts w:hint="default" w:ascii="Times New Roman" w:hAnsi="Times New Roman" w:eastAsia="楷体_GB2312" w:cs="Times New Roman"/>
          <w:b/>
          <w:bCs/>
          <w:color w:val="000000"/>
          <w:sz w:val="32"/>
          <w:szCs w:val="32"/>
        </w:rPr>
        <w:t>（十一）社会保障和就业（类）行政事业单位养老支出（款）行政单位离退休（项）：</w:t>
      </w:r>
      <w:r>
        <w:rPr>
          <w:rFonts w:hint="default" w:ascii="Times New Roman" w:hAnsi="Times New Roman" w:eastAsia="仿宋_GB2312" w:cs="Times New Roman"/>
          <w:color w:val="000000"/>
          <w:sz w:val="32"/>
          <w:szCs w:val="32"/>
        </w:rPr>
        <w:t>指行政及参公管理事业单位离退休人员的支出。</w:t>
      </w:r>
      <w:bookmarkEnd w:id="65"/>
    </w:p>
    <w:p w14:paraId="3F97413C">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66" w:name="_Toc17714"/>
      <w:r>
        <w:rPr>
          <w:rFonts w:hint="default" w:ascii="Times New Roman" w:hAnsi="Times New Roman" w:eastAsia="楷体_GB2312" w:cs="Times New Roman"/>
          <w:b/>
          <w:bCs/>
          <w:color w:val="000000"/>
          <w:sz w:val="32"/>
          <w:szCs w:val="32"/>
        </w:rPr>
        <w:t>（十二）社会保障和就业（类）行政事业单位养老支出（款）机关事业单位基本养老保险缴费支出（项）：</w:t>
      </w:r>
      <w:r>
        <w:rPr>
          <w:rFonts w:hint="default" w:ascii="Times New Roman" w:hAnsi="Times New Roman" w:eastAsia="仿宋_GB2312" w:cs="Times New Roman"/>
          <w:color w:val="000000"/>
          <w:sz w:val="32"/>
          <w:szCs w:val="32"/>
        </w:rPr>
        <w:t>指部门实施养老保险制度由单位缴纳的养老保险的支出。</w:t>
      </w:r>
      <w:bookmarkEnd w:id="66"/>
    </w:p>
    <w:p w14:paraId="763C9E67">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67" w:name="_Toc7112"/>
      <w:r>
        <w:rPr>
          <w:rFonts w:hint="default" w:ascii="Times New Roman" w:hAnsi="Times New Roman" w:eastAsia="楷体_GB2312" w:cs="Times New Roman"/>
          <w:b/>
          <w:bCs/>
          <w:color w:val="000000"/>
          <w:sz w:val="32"/>
          <w:szCs w:val="32"/>
        </w:rPr>
        <w:t>（十三）社会保障和就业（类）行政事业单位养老支出（款）机关事业单位职业年金缴费支出（项）：</w:t>
      </w:r>
      <w:r>
        <w:rPr>
          <w:rFonts w:hint="default" w:ascii="Times New Roman" w:hAnsi="Times New Roman" w:eastAsia="仿宋_GB2312" w:cs="Times New Roman"/>
          <w:color w:val="000000"/>
          <w:sz w:val="32"/>
          <w:szCs w:val="32"/>
        </w:rPr>
        <w:t>指部门实施养老保险制度由单位缴纳的职业年金的支出。</w:t>
      </w:r>
      <w:bookmarkEnd w:id="67"/>
    </w:p>
    <w:p w14:paraId="4220D3A9">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68" w:name="_Toc28418"/>
      <w:r>
        <w:rPr>
          <w:rFonts w:hint="default" w:ascii="Times New Roman" w:hAnsi="Times New Roman" w:eastAsia="楷体_GB2312" w:cs="Times New Roman"/>
          <w:b/>
          <w:bCs/>
          <w:color w:val="000000"/>
          <w:sz w:val="32"/>
          <w:szCs w:val="32"/>
        </w:rPr>
        <w:t>（十四）卫生健康（类）行政事业单位医疗（款）行政单位医疗（项）：</w:t>
      </w:r>
      <w:r>
        <w:rPr>
          <w:rFonts w:hint="default" w:ascii="Times New Roman" w:hAnsi="Times New Roman" w:eastAsia="仿宋_GB2312" w:cs="Times New Roman"/>
          <w:color w:val="000000"/>
          <w:sz w:val="32"/>
          <w:szCs w:val="32"/>
        </w:rPr>
        <w:t>指机关及参公管理事业单位用于单位应缴纳基本医疗保险支出。</w:t>
      </w:r>
      <w:bookmarkEnd w:id="68"/>
    </w:p>
    <w:p w14:paraId="6A48AA08">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69" w:name="_Toc1236"/>
      <w:r>
        <w:rPr>
          <w:rFonts w:hint="default" w:ascii="Times New Roman" w:hAnsi="Times New Roman" w:eastAsia="楷体_GB2312" w:cs="Times New Roman"/>
          <w:b/>
          <w:bCs/>
          <w:color w:val="000000"/>
          <w:sz w:val="32"/>
          <w:szCs w:val="32"/>
        </w:rPr>
        <w:t>（十五）卫生健康（类）行政事业单位医疗（款）事业单位医疗（项）：</w:t>
      </w:r>
      <w:r>
        <w:rPr>
          <w:rFonts w:hint="default" w:ascii="Times New Roman" w:hAnsi="Times New Roman" w:eastAsia="仿宋_GB2312" w:cs="Times New Roman"/>
          <w:color w:val="000000"/>
          <w:sz w:val="32"/>
          <w:szCs w:val="32"/>
        </w:rPr>
        <w:t>指事业单位用于单位应缴纳基本医疗保险支出。</w:t>
      </w:r>
      <w:bookmarkEnd w:id="69"/>
    </w:p>
    <w:p w14:paraId="359E0D43">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Times New Roman" w:cs="Times New Roman"/>
          <w:color w:val="000000"/>
          <w:sz w:val="32"/>
          <w:szCs w:val="32"/>
        </w:rPr>
      </w:pPr>
      <w:bookmarkStart w:id="70" w:name="_Toc6027"/>
      <w:r>
        <w:rPr>
          <w:rFonts w:hint="default" w:ascii="Times New Roman" w:hAnsi="Times New Roman" w:eastAsia="楷体_GB2312" w:cs="Times New Roman"/>
          <w:b/>
          <w:bCs/>
          <w:color w:val="000000"/>
          <w:sz w:val="32"/>
          <w:szCs w:val="32"/>
        </w:rPr>
        <w:t>（十六）住房保障（类）住房改革支出（款）住房公积金（项）：</w:t>
      </w:r>
      <w:r>
        <w:rPr>
          <w:rFonts w:hint="default" w:ascii="Times New Roman" w:hAnsi="Times New Roman" w:eastAsia="仿宋_GB2312" w:cs="Times New Roman"/>
          <w:color w:val="000000"/>
          <w:sz w:val="32"/>
          <w:szCs w:val="32"/>
        </w:rPr>
        <w:t>指按照《住房公积金管理条例》的规定，由单位及其在职职工缴存的长期住房储金。</w:t>
      </w:r>
      <w:bookmarkEnd w:id="70"/>
    </w:p>
    <w:p w14:paraId="1144F076">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71" w:name="_Toc6864"/>
      <w:r>
        <w:rPr>
          <w:rFonts w:hint="default" w:ascii="Times New Roman" w:hAnsi="Times New Roman" w:eastAsia="楷体_GB2312" w:cs="Times New Roman"/>
          <w:b/>
          <w:bCs/>
          <w:color w:val="000000"/>
          <w:sz w:val="32"/>
          <w:szCs w:val="32"/>
        </w:rPr>
        <w:t>（十七）基本支出：</w:t>
      </w:r>
      <w:r>
        <w:rPr>
          <w:rFonts w:hint="default" w:ascii="Times New Roman" w:hAnsi="Times New Roman" w:eastAsia="仿宋_GB2312" w:cs="Times New Roman"/>
          <w:color w:val="000000"/>
          <w:sz w:val="32"/>
          <w:szCs w:val="32"/>
        </w:rPr>
        <w:t>指为保证机构正常运转，完成日常工作任务而发生的人员支出和公用支出。</w:t>
      </w:r>
      <w:bookmarkEnd w:id="71"/>
    </w:p>
    <w:p w14:paraId="165BC44B">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72" w:name="_Toc30455"/>
      <w:r>
        <w:rPr>
          <w:rFonts w:hint="default" w:ascii="Times New Roman" w:hAnsi="Times New Roman" w:eastAsia="楷体_GB2312" w:cs="Times New Roman"/>
          <w:b/>
          <w:bCs/>
          <w:color w:val="000000"/>
          <w:sz w:val="32"/>
          <w:szCs w:val="32"/>
        </w:rPr>
        <w:t>（十八）项目支出：</w:t>
      </w:r>
      <w:r>
        <w:rPr>
          <w:rFonts w:hint="default" w:ascii="Times New Roman" w:hAnsi="Times New Roman" w:eastAsia="仿宋_GB2312" w:cs="Times New Roman"/>
          <w:color w:val="000000"/>
          <w:sz w:val="32"/>
          <w:szCs w:val="32"/>
        </w:rPr>
        <w:t>指在基本支出之外为完成特定行政任务和事业发展目标所发生的支出。</w:t>
      </w:r>
      <w:bookmarkEnd w:id="72"/>
    </w:p>
    <w:p w14:paraId="6B4D4D67">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73" w:name="_Toc10253"/>
      <w:r>
        <w:rPr>
          <w:rFonts w:hint="default" w:ascii="Times New Roman" w:hAnsi="Times New Roman" w:eastAsia="楷体_GB2312" w:cs="Times New Roman"/>
          <w:b/>
          <w:bCs/>
          <w:color w:val="000000"/>
          <w:sz w:val="32"/>
          <w:szCs w:val="32"/>
        </w:rPr>
        <w:t>（十九）“三公”经费：</w:t>
      </w:r>
      <w:r>
        <w:rPr>
          <w:rFonts w:hint="default" w:ascii="Times New Roman" w:hAnsi="Times New Roman" w:eastAsia="仿宋_GB2312" w:cs="Times New Roman"/>
          <w:color w:val="000000"/>
          <w:sz w:val="32"/>
          <w:szCs w:val="32"/>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73"/>
    </w:p>
    <w:p w14:paraId="4D33B268">
      <w:pPr>
        <w:pageBreakBefore w:val="0"/>
        <w:widowControl w:val="0"/>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仿宋_GB2312" w:cs="Times New Roman"/>
          <w:color w:val="000000"/>
          <w:sz w:val="32"/>
          <w:szCs w:val="32"/>
        </w:rPr>
      </w:pPr>
      <w:bookmarkStart w:id="74" w:name="_Toc7641"/>
      <w:r>
        <w:rPr>
          <w:rFonts w:hint="default" w:ascii="Times New Roman" w:hAnsi="Times New Roman" w:eastAsia="楷体_GB2312" w:cs="Times New Roman"/>
          <w:b/>
          <w:bCs/>
          <w:color w:val="000000"/>
          <w:sz w:val="32"/>
          <w:szCs w:val="32"/>
        </w:rPr>
        <w:t>（二十）机关运行经费：</w:t>
      </w:r>
      <w:r>
        <w:rPr>
          <w:rFonts w:hint="default" w:ascii="Times New Roman" w:hAnsi="Times New Roman" w:eastAsia="仿宋_GB2312" w:cs="Times New Roman"/>
          <w:color w:val="000000"/>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bookmarkEnd w:id="74"/>
    </w:p>
    <w:p w14:paraId="42F7B0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bookmarkStart w:id="75" w:name="_Toc4857"/>
    </w:p>
    <w:p w14:paraId="59A2284D">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p>
    <w:p w14:paraId="7F5DDAE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附件：1.部门预算公开表</w:t>
      </w:r>
      <w:bookmarkEnd w:id="75"/>
    </w:p>
    <w:p w14:paraId="1DA7CE6C">
      <w:pPr>
        <w:pageBreakBefore w:val="0"/>
        <w:widowControl w:val="0"/>
        <w:kinsoku/>
        <w:wordWrap/>
        <w:overflowPunct/>
        <w:topLinePunct w:val="0"/>
        <w:autoSpaceDE/>
        <w:autoSpaceDN/>
        <w:bidi w:val="0"/>
        <w:adjustRightInd/>
        <w:snapToGrid/>
        <w:spacing w:line="576" w:lineRule="exact"/>
        <w:ind w:firstLine="1600" w:firstLineChars="500"/>
        <w:textAlignment w:val="auto"/>
        <w:rPr>
          <w:rFonts w:hint="default" w:ascii="Times New Roman" w:hAnsi="Times New Roman" w:eastAsia="仿宋_GB2312" w:cs="Times New Roman"/>
          <w:color w:val="000000"/>
          <w:sz w:val="32"/>
          <w:szCs w:val="32"/>
        </w:rPr>
      </w:pPr>
      <w:bookmarkStart w:id="76" w:name="_Toc27655"/>
      <w:r>
        <w:rPr>
          <w:rFonts w:hint="default" w:ascii="Times New Roman" w:hAnsi="Times New Roman" w:eastAsia="仿宋_GB2312" w:cs="Times New Roman"/>
          <w:color w:val="000000"/>
          <w:sz w:val="32"/>
          <w:szCs w:val="32"/>
        </w:rPr>
        <w:t>2.项目支出绩效目标表</w:t>
      </w:r>
      <w:bookmarkEnd w:id="76"/>
    </w:p>
    <w:p w14:paraId="265C82FB">
      <w:pPr>
        <w:pageBreakBefore w:val="0"/>
        <w:widowControl w:val="0"/>
        <w:kinsoku/>
        <w:wordWrap/>
        <w:overflowPunct/>
        <w:topLinePunct w:val="0"/>
        <w:autoSpaceDE/>
        <w:autoSpaceDN/>
        <w:bidi w:val="0"/>
        <w:adjustRightInd/>
        <w:snapToGrid/>
        <w:spacing w:line="576" w:lineRule="exact"/>
        <w:ind w:firstLine="1600" w:firstLineChars="500"/>
        <w:textAlignment w:val="auto"/>
        <w:rPr>
          <w:rFonts w:hint="default" w:ascii="Times New Roman" w:hAnsi="Times New Roman" w:eastAsia="仿宋_GB2312" w:cs="Times New Roman"/>
          <w:color w:val="000000"/>
          <w:sz w:val="32"/>
          <w:szCs w:val="32"/>
        </w:rPr>
      </w:pPr>
      <w:bookmarkStart w:id="77" w:name="_Toc3225"/>
      <w:r>
        <w:rPr>
          <w:rFonts w:hint="default" w:ascii="Times New Roman" w:hAnsi="Times New Roman" w:eastAsia="仿宋_GB2312" w:cs="Times New Roman"/>
          <w:color w:val="000000"/>
          <w:sz w:val="32"/>
          <w:szCs w:val="32"/>
        </w:rPr>
        <w:t>3.部门整体支出绩效目标表</w:t>
      </w:r>
      <w:bookmarkEnd w:id="77"/>
    </w:p>
    <w:p w14:paraId="38A42A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Times New Roman" w:cs="Times New Roman"/>
          <w:b/>
          <w:bCs/>
          <w:color w:val="000000"/>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3E9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70955B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FikngL9AQAA/wMAAA4AAAAAAAAAAQAgAAAAHwEAAGRycy9lMm9Eb2MueG1s&#10;UEsFBgAAAAAGAAYAWQEAAI4FAAAAAA==&#10;">
              <v:fill on="f" focussize="0,0"/>
              <v:stroke on="f"/>
              <v:imagedata o:title=""/>
              <o:lock v:ext="edit" aspectratio="f"/>
              <v:textbox inset="0mm,0mm,0mm,0mm" style="mso-fit-shape-to-text:t;">
                <w:txbxContent>
                  <w:p w14:paraId="670955B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B0F3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2CEBC5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k6ftsfwBAAD/AwAADgAAAAAAAAABACAAAAAfAQAAZHJzL2Uyb0RvYy54bWxQ&#10;SwUGAAAAAAYABgBZAQAAjQUAAAAA&#10;">
              <v:fill on="f" focussize="0,0"/>
              <v:stroke on="f"/>
              <v:imagedata o:title=""/>
              <o:lock v:ext="edit" aspectratio="f"/>
              <v:textbox inset="0mm,0mm,0mm,0mm" style="mso-fit-shape-to-text:t;">
                <w:txbxContent>
                  <w:p w14:paraId="22CEBC5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3FEF4"/>
    <w:multiLevelType w:val="singleLevel"/>
    <w:tmpl w:val="7213FE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MTA1ZTAyZGI3MjQ3ZTVjOTZkNzMyMzEzZGQxOTcifQ=="/>
  </w:docVars>
  <w:rsids>
    <w:rsidRoot w:val="00000000"/>
    <w:rsid w:val="0BBB4A5E"/>
    <w:rsid w:val="12E837D0"/>
    <w:rsid w:val="1AE20AA7"/>
    <w:rsid w:val="1E697BE8"/>
    <w:rsid w:val="3D106C2D"/>
    <w:rsid w:val="5D3242BD"/>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9"/>
    <w:pPr>
      <w:keepNext/>
      <w:keepLines/>
      <w:spacing w:line="576" w:lineRule="exact"/>
      <w:outlineLvl w:val="1"/>
    </w:pPr>
    <w:rPr>
      <w:rFonts w:ascii="Arial" w:hAnsi="Arial" w:eastAsia="楷体_GB231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Body Text Indent"/>
    <w:basedOn w:val="1"/>
    <w:next w:val="7"/>
    <w:qFormat/>
    <w:uiPriority w:val="0"/>
    <w:pPr>
      <w:ind w:left="420" w:leftChars="200"/>
    </w:pPr>
  </w:style>
  <w:style w:type="paragraph" w:styleId="7">
    <w:name w:val="Body Text First Indent 2"/>
    <w:basedOn w:val="6"/>
    <w:next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List"/>
    <w:basedOn w:val="5"/>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table" w:styleId="1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默认段落字体1"/>
    <w:qFormat/>
    <w:uiPriority w:val="0"/>
  </w:style>
  <w:style w:type="paragraph" w:customStyle="1" w:styleId="18">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9">
    <w:name w:val="Index"/>
    <w:basedOn w:val="1"/>
    <w:qFormat/>
    <w:uiPriority w:val="0"/>
    <w:pPr>
      <w:widowControl w:val="0"/>
      <w:suppressLineNumbers/>
      <w:suppressAutoHyphens/>
    </w:p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5996</Words>
  <Characters>6417</Characters>
  <TotalTime>175</TotalTime>
  <ScaleCrop>false</ScaleCrop>
  <LinksUpToDate>false</LinksUpToDate>
  <CharactersWithSpaces>6501</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cp:lastPrinted>2025-02-13T03:31:00Z</cp:lastPrinted>
  <dcterms:modified xsi:type="dcterms:W3CDTF">2025-06-24T02:58:03Z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092DC543224F4EC19104D0D3F909CA3A_13</vt:lpwstr>
  </property>
  <property fmtid="{D5CDD505-2E9C-101B-9397-08002B2CF9AE}" pid="4" name="KSOTemplateDocerSaveRecord">
    <vt:lpwstr>eyJoZGlkIjoiMGVhYTg4NGNkZWJkODFjNzcyZDRjM2M4Y2UzNjI5ZmUiLCJ1c2VySWQiOiI2MTE2MzEwMDYifQ==</vt:lpwstr>
  </property>
</Properties>
</file>