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B57A08E">
      <w:pPr>
        <w:kinsoku/>
        <w:wordWrap/>
        <w:autoSpaceDE w:val="0"/>
        <w:autoSpaceDN w:val="0"/>
        <w:bidi w:val="0"/>
        <w:adjustRightInd w:val="0"/>
        <w:spacing w:beforeLines="0" w:afterLines="0" w:line="576" w:lineRule="exact"/>
        <w:textAlignment w:val="auto"/>
        <w:rPr>
          <w:rFonts w:hint="eastAsia" w:ascii="方正小标宋简体" w:hAnsi="方正小标宋简体" w:eastAsia="方正小标宋简体"/>
          <w:color w:val="FF0000"/>
          <w:kern w:val="2"/>
          <w:sz w:val="30"/>
          <w:szCs w:val="24"/>
          <w:lang w:val="zh-CN"/>
        </w:rPr>
      </w:pPr>
    </w:p>
    <w:p w14:paraId="0E566627">
      <w:pPr>
        <w:kinsoku/>
        <w:wordWrap/>
        <w:autoSpaceDE w:val="0"/>
        <w:autoSpaceDN w:val="0"/>
        <w:bidi w:val="0"/>
        <w:adjustRightInd w:val="0"/>
        <w:spacing w:beforeLines="0" w:afterLines="0" w:line="576" w:lineRule="exact"/>
        <w:jc w:val="center"/>
        <w:textAlignment w:val="auto"/>
        <w:rPr>
          <w:rFonts w:hint="eastAsia" w:ascii="方正小标宋简体" w:hAnsi="方正小标宋简体" w:eastAsia="方正小标宋简体"/>
          <w:color w:val="000000"/>
          <w:kern w:val="2"/>
          <w:sz w:val="72"/>
          <w:szCs w:val="24"/>
          <w:lang w:val="zh-CN"/>
        </w:rPr>
      </w:pPr>
    </w:p>
    <w:p w14:paraId="0D93BC9F">
      <w:pPr>
        <w:kinsoku/>
        <w:wordWrap/>
        <w:autoSpaceDE w:val="0"/>
        <w:autoSpaceDN w:val="0"/>
        <w:bidi w:val="0"/>
        <w:adjustRightInd w:val="0"/>
        <w:spacing w:beforeLines="0" w:afterLines="0" w:line="576" w:lineRule="exact"/>
        <w:jc w:val="center"/>
        <w:textAlignment w:val="auto"/>
        <w:rPr>
          <w:rFonts w:hint="eastAsia" w:ascii="方正小标宋简体" w:hAnsi="方正小标宋简体" w:eastAsia="方正小标宋简体"/>
          <w:color w:val="000000"/>
          <w:kern w:val="2"/>
          <w:sz w:val="72"/>
          <w:szCs w:val="24"/>
          <w:lang w:val="zh-CN"/>
        </w:rPr>
      </w:pPr>
    </w:p>
    <w:p w14:paraId="4014D9E8">
      <w:pPr>
        <w:kinsoku/>
        <w:wordWrap/>
        <w:autoSpaceDE w:val="0"/>
        <w:autoSpaceDN w:val="0"/>
        <w:bidi w:val="0"/>
        <w:adjustRightInd w:val="0"/>
        <w:spacing w:beforeLines="0" w:afterLines="0" w:line="576" w:lineRule="exact"/>
        <w:jc w:val="center"/>
        <w:textAlignment w:val="auto"/>
        <w:rPr>
          <w:rFonts w:hint="eastAsia" w:ascii="方正小标宋简体" w:hAnsi="方正小标宋简体" w:eastAsia="方正小标宋简体"/>
          <w:color w:val="000000"/>
          <w:kern w:val="2"/>
          <w:sz w:val="72"/>
          <w:szCs w:val="24"/>
          <w:lang w:val="zh-CN"/>
        </w:rPr>
      </w:pPr>
    </w:p>
    <w:p w14:paraId="3033659E">
      <w:pPr>
        <w:spacing w:beforeLines="0" w:afterLines="0" w:line="1400" w:lineRule="exact"/>
        <w:jc w:val="center"/>
        <w:rPr>
          <w:rFonts w:hint="eastAsia" w:ascii="方正小标宋简体" w:hAnsi="黑体" w:eastAsia="方正小标宋简体"/>
          <w:color w:val="000000"/>
          <w:kern w:val="2"/>
          <w:sz w:val="60"/>
          <w:szCs w:val="22"/>
          <w:lang w:val="zh-CN"/>
        </w:rPr>
      </w:pPr>
      <w:r>
        <w:rPr>
          <w:rFonts w:hint="eastAsia" w:ascii="方正小标宋简体" w:hAnsi="黑体" w:eastAsia="方正小标宋简体"/>
          <w:color w:val="000000"/>
          <w:kern w:val="2"/>
          <w:sz w:val="60"/>
          <w:szCs w:val="22"/>
          <w:lang w:val="zh-CN"/>
        </w:rPr>
        <w:t>2023年度</w:t>
      </w:r>
    </w:p>
    <w:p w14:paraId="34342F32">
      <w:pPr>
        <w:spacing w:beforeLines="0" w:afterLines="0" w:line="1400" w:lineRule="exact"/>
        <w:jc w:val="center"/>
        <w:rPr>
          <w:rFonts w:hint="eastAsia" w:ascii="方正小标宋简体" w:hAnsi="黑体" w:eastAsia="方正小标宋简体"/>
          <w:color w:val="000000"/>
          <w:kern w:val="2"/>
          <w:sz w:val="60"/>
          <w:szCs w:val="22"/>
          <w:lang w:eastAsia="zh-CN"/>
        </w:rPr>
      </w:pPr>
      <w:r>
        <w:rPr>
          <w:rFonts w:hint="eastAsia" w:ascii="方正小标宋简体" w:hAnsi="黑体" w:eastAsia="方正小标宋简体"/>
          <w:color w:val="000000"/>
          <w:kern w:val="2"/>
          <w:sz w:val="60"/>
          <w:szCs w:val="22"/>
          <w:lang w:eastAsia="zh-CN"/>
        </w:rPr>
        <w:t>广元市昭化区市场监督管理局</w:t>
      </w:r>
    </w:p>
    <w:p w14:paraId="06F98E31">
      <w:pPr>
        <w:spacing w:beforeLines="0" w:afterLines="0"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60"/>
          <w:szCs w:val="22"/>
          <w:lang w:val="zh-CN"/>
        </w:rPr>
        <w:t>部门决算</w:t>
      </w:r>
    </w:p>
    <w:p w14:paraId="715670B7">
      <w:pPr>
        <w:kinsoku/>
        <w:wordWrap/>
        <w:autoSpaceDE w:val="0"/>
        <w:autoSpaceDN w:val="0"/>
        <w:bidi w:val="0"/>
        <w:adjustRightInd w:val="0"/>
        <w:spacing w:beforeLines="0" w:afterLines="0" w:line="576" w:lineRule="exact"/>
        <w:jc w:val="center"/>
        <w:textAlignment w:val="auto"/>
        <w:rPr>
          <w:rFonts w:hint="eastAsia" w:ascii="黑体" w:hAnsi="黑体" w:eastAsia="黑体"/>
          <w:color w:val="000000"/>
          <w:kern w:val="2"/>
          <w:sz w:val="72"/>
          <w:szCs w:val="24"/>
          <w:lang w:val="zh-CN"/>
        </w:rPr>
      </w:pPr>
    </w:p>
    <w:p w14:paraId="1A5DB1DC">
      <w:pPr>
        <w:keepNext w:val="0"/>
        <w:keepLines w:val="0"/>
        <w:pageBreakBefore w:val="0"/>
        <w:widowControl w:val="0"/>
        <w:kinsoku/>
        <w:wordWrap/>
        <w:overflowPunct/>
        <w:topLinePunct w:val="0"/>
        <w:autoSpaceDE w:val="0"/>
        <w:autoSpaceDN w:val="0"/>
        <w:bidi w:val="0"/>
        <w:adjustRightInd w:val="0"/>
        <w:snapToGrid w:val="0"/>
        <w:spacing w:beforeLines="0" w:afterLines="0" w:line="576" w:lineRule="exact"/>
        <w:jc w:val="center"/>
        <w:textAlignment w:val="auto"/>
        <w:outlineLvl w:val="9"/>
        <w:rPr>
          <w:rFonts w:hint="eastAsia" w:ascii="方正小标宋简体" w:hAnsi="宋体" w:eastAsia="方正小标宋简体"/>
          <w:sz w:val="52"/>
          <w:szCs w:val="24"/>
        </w:rPr>
      </w:pPr>
    </w:p>
    <w:p w14:paraId="71BC61C4">
      <w:pPr>
        <w:pStyle w:val="2"/>
        <w:kinsoku/>
        <w:wordWrap/>
        <w:autoSpaceDE w:val="0"/>
        <w:autoSpaceDN w:val="0"/>
        <w:bidi w:val="0"/>
        <w:adjustRightInd w:val="0"/>
        <w:spacing w:before="72" w:afterLines="0" w:line="576" w:lineRule="exact"/>
        <w:textAlignment w:val="auto"/>
        <w:rPr>
          <w:rFonts w:hint="eastAsia"/>
          <w:sz w:val="30"/>
          <w:szCs w:val="24"/>
          <w:lang w:val="zh-CN"/>
        </w:rPr>
      </w:pPr>
    </w:p>
    <w:p w14:paraId="25A05247">
      <w:pPr>
        <w:keepNext/>
        <w:keepLines/>
        <w:pageBreakBefore/>
        <w:kinsoku/>
        <w:wordWrap/>
        <w:autoSpaceDE w:val="0"/>
        <w:autoSpaceDN w:val="0"/>
        <w:bidi w:val="0"/>
        <w:adjustRightInd w:val="0"/>
        <w:spacing w:beforeLines="0" w:afterLines="0" w:line="576" w:lineRule="exact"/>
        <w:jc w:val="center"/>
        <w:textAlignment w:val="auto"/>
        <w:rPr>
          <w:rFonts w:hint="eastAsia" w:ascii="黑体" w:hAnsi="黑体" w:eastAsia="黑体"/>
          <w:kern w:val="2"/>
          <w:sz w:val="48"/>
          <w:szCs w:val="24"/>
          <w:lang w:val="zh-CN"/>
        </w:rPr>
      </w:pPr>
      <w:r>
        <w:rPr>
          <w:rFonts w:hint="eastAsia" w:ascii="黑体" w:hAnsi="黑体" w:eastAsia="黑体"/>
          <w:kern w:val="2"/>
          <w:sz w:val="48"/>
          <w:szCs w:val="24"/>
          <w:lang w:val="zh-CN"/>
        </w:rPr>
        <w:t>目   录</w:t>
      </w:r>
    </w:p>
    <w:sdt>
      <w:sdtPr>
        <w:rPr>
          <w:rFonts w:hint="eastAsia" w:ascii="宋体" w:hAnsi="宋体" w:eastAsia="宋体" w:cs="Times New Roman"/>
          <w:sz w:val="21"/>
          <w:szCs w:val="24"/>
          <w:lang w:val="en-US" w:eastAsia="zh-CN" w:bidi="ar-SA"/>
        </w:rPr>
        <w:id w:val="147476567"/>
        <w15:color w:val="DBDBDB"/>
        <w:docPartObj>
          <w:docPartGallery w:val="Table of Contents"/>
          <w:docPartUnique/>
        </w:docPartObj>
      </w:sdtPr>
      <w:sdtEndPr>
        <w:rPr>
          <w:rFonts w:hint="default" w:ascii="Times New Roman" w:hAnsi="Times New Roman" w:eastAsia="宋体" w:cs="Times New Roman"/>
          <w:sz w:val="24"/>
          <w:szCs w:val="24"/>
          <w:lang w:val="en-US" w:eastAsia="zh-CN" w:bidi="ar-SA"/>
        </w:rPr>
      </w:sdtEndPr>
      <w:sdtContent>
        <w:p w14:paraId="066E1011">
          <w:pPr>
            <w:spacing w:before="0" w:beforeLines="0" w:after="0" w:afterLines="0" w:line="240" w:lineRule="auto"/>
            <w:ind w:left="0" w:leftChars="0" w:right="0" w:rightChars="0" w:firstLine="0" w:firstLineChars="0"/>
            <w:jc w:val="center"/>
          </w:pPr>
        </w:p>
        <w:p w14:paraId="65041A5A">
          <w:pPr>
            <w:pStyle w:val="10"/>
            <w:tabs>
              <w:tab w:val="right" w:leader="dot" w:pos="9179"/>
            </w:tabs>
          </w:pPr>
          <w:r>
            <w:rPr>
              <w:rFonts w:hint="default"/>
              <w:sz w:val="24"/>
              <w:szCs w:val="24"/>
            </w:rPr>
            <w:fldChar w:fldCharType="begin"/>
          </w:r>
          <w:r>
            <w:rPr>
              <w:rFonts w:hint="default"/>
              <w:sz w:val="24"/>
              <w:szCs w:val="24"/>
            </w:rPr>
            <w:instrText xml:space="preserve">TOC \o "1-3" \h \u </w:instrText>
          </w:r>
          <w:r>
            <w:rPr>
              <w:rFonts w:hint="default"/>
              <w:sz w:val="24"/>
              <w:szCs w:val="24"/>
            </w:rPr>
            <w:fldChar w:fldCharType="separate"/>
          </w:r>
          <w:r>
            <w:rPr>
              <w:rFonts w:hint="default"/>
              <w:szCs w:val="24"/>
            </w:rPr>
            <w:fldChar w:fldCharType="begin"/>
          </w:r>
          <w:r>
            <w:rPr>
              <w:rFonts w:hint="default"/>
              <w:szCs w:val="24"/>
            </w:rPr>
            <w:instrText xml:space="preserve"> HYPERLINK \l _Toc15149 </w:instrText>
          </w:r>
          <w:r>
            <w:rPr>
              <w:rFonts w:hint="default"/>
              <w:szCs w:val="24"/>
            </w:rPr>
            <w:fldChar w:fldCharType="separate"/>
          </w:r>
          <w:r>
            <w:rPr>
              <w:rFonts w:hint="eastAsia" w:ascii="黑体" w:hAnsi="黑体" w:eastAsia="黑体"/>
              <w:kern w:val="44"/>
              <w:szCs w:val="24"/>
            </w:rPr>
            <w:t>第一部分 部门概况</w:t>
          </w:r>
          <w:r>
            <w:tab/>
          </w:r>
          <w:r>
            <w:fldChar w:fldCharType="begin"/>
          </w:r>
          <w:r>
            <w:instrText xml:space="preserve"> PAGEREF _Toc15149 \h </w:instrText>
          </w:r>
          <w:r>
            <w:fldChar w:fldCharType="separate"/>
          </w:r>
          <w:r>
            <w:t>1</w:t>
          </w:r>
          <w:r>
            <w:fldChar w:fldCharType="end"/>
          </w:r>
          <w:r>
            <w:rPr>
              <w:rFonts w:hint="default"/>
              <w:szCs w:val="24"/>
            </w:rPr>
            <w:fldChar w:fldCharType="end"/>
          </w:r>
        </w:p>
        <w:p w14:paraId="42720D38">
          <w:pPr>
            <w:pStyle w:val="11"/>
            <w:tabs>
              <w:tab w:val="right" w:leader="dot" w:pos="9179"/>
            </w:tabs>
          </w:pPr>
          <w:r>
            <w:rPr>
              <w:rFonts w:hint="default"/>
              <w:szCs w:val="24"/>
            </w:rPr>
            <w:fldChar w:fldCharType="begin"/>
          </w:r>
          <w:r>
            <w:rPr>
              <w:rFonts w:hint="default"/>
              <w:szCs w:val="24"/>
            </w:rPr>
            <w:instrText xml:space="preserve"> HYPERLINK \l _Toc17549 </w:instrText>
          </w:r>
          <w:r>
            <w:rPr>
              <w:rFonts w:hint="default"/>
              <w:szCs w:val="24"/>
            </w:rPr>
            <w:fldChar w:fldCharType="separate"/>
          </w:r>
          <w:r>
            <w:rPr>
              <w:rFonts w:hint="eastAsia" w:ascii="黑体" w:hAnsi="黑体" w:eastAsia="黑体"/>
              <w:kern w:val="2"/>
              <w:szCs w:val="24"/>
            </w:rPr>
            <w:t>一、部门职责</w:t>
          </w:r>
          <w:r>
            <w:tab/>
          </w:r>
          <w:r>
            <w:fldChar w:fldCharType="begin"/>
          </w:r>
          <w:r>
            <w:instrText xml:space="preserve"> PAGEREF _Toc17549 \h </w:instrText>
          </w:r>
          <w:r>
            <w:fldChar w:fldCharType="separate"/>
          </w:r>
          <w:r>
            <w:t>1</w:t>
          </w:r>
          <w:r>
            <w:fldChar w:fldCharType="end"/>
          </w:r>
          <w:r>
            <w:rPr>
              <w:rFonts w:hint="default"/>
              <w:szCs w:val="24"/>
            </w:rPr>
            <w:fldChar w:fldCharType="end"/>
          </w:r>
        </w:p>
        <w:p w14:paraId="47A2AF39">
          <w:pPr>
            <w:pStyle w:val="11"/>
            <w:tabs>
              <w:tab w:val="right" w:leader="dot" w:pos="9179"/>
            </w:tabs>
          </w:pPr>
          <w:r>
            <w:rPr>
              <w:rFonts w:hint="default"/>
              <w:szCs w:val="24"/>
            </w:rPr>
            <w:fldChar w:fldCharType="begin"/>
          </w:r>
          <w:r>
            <w:rPr>
              <w:rFonts w:hint="default"/>
              <w:szCs w:val="24"/>
            </w:rPr>
            <w:instrText xml:space="preserve"> HYPERLINK \l _Toc14053 </w:instrText>
          </w:r>
          <w:r>
            <w:rPr>
              <w:rFonts w:hint="default"/>
              <w:szCs w:val="24"/>
            </w:rPr>
            <w:fldChar w:fldCharType="separate"/>
          </w:r>
          <w:r>
            <w:rPr>
              <w:rFonts w:hint="eastAsia" w:ascii="黑体" w:hAnsi="黑体" w:eastAsia="黑体"/>
              <w:kern w:val="2"/>
              <w:szCs w:val="24"/>
            </w:rPr>
            <w:t>二、机构设置</w:t>
          </w:r>
          <w:r>
            <w:tab/>
          </w:r>
          <w:r>
            <w:fldChar w:fldCharType="begin"/>
          </w:r>
          <w:r>
            <w:instrText xml:space="preserve"> PAGEREF _Toc14053 \h </w:instrText>
          </w:r>
          <w:r>
            <w:fldChar w:fldCharType="separate"/>
          </w:r>
          <w:r>
            <w:t>12</w:t>
          </w:r>
          <w:r>
            <w:fldChar w:fldCharType="end"/>
          </w:r>
          <w:r>
            <w:rPr>
              <w:rFonts w:hint="default"/>
              <w:szCs w:val="24"/>
            </w:rPr>
            <w:fldChar w:fldCharType="end"/>
          </w:r>
        </w:p>
        <w:p w14:paraId="68BC44F6">
          <w:pPr>
            <w:pStyle w:val="10"/>
            <w:tabs>
              <w:tab w:val="right" w:leader="dot" w:pos="9179"/>
            </w:tabs>
          </w:pPr>
          <w:r>
            <w:rPr>
              <w:rFonts w:hint="default"/>
              <w:szCs w:val="24"/>
            </w:rPr>
            <w:fldChar w:fldCharType="begin"/>
          </w:r>
          <w:r>
            <w:rPr>
              <w:rFonts w:hint="default"/>
              <w:szCs w:val="24"/>
            </w:rPr>
            <w:instrText xml:space="preserve"> HYPERLINK \l _Toc32674 </w:instrText>
          </w:r>
          <w:r>
            <w:rPr>
              <w:rFonts w:hint="default"/>
              <w:szCs w:val="24"/>
            </w:rPr>
            <w:fldChar w:fldCharType="separate"/>
          </w:r>
          <w:r>
            <w:rPr>
              <w:rFonts w:hint="eastAsia" w:ascii="黑体" w:hAnsi="黑体" w:eastAsia="黑体"/>
              <w:kern w:val="44"/>
              <w:szCs w:val="24"/>
            </w:rPr>
            <w:t>第二部分  2023年度部门决算情况说明</w:t>
          </w:r>
          <w:r>
            <w:tab/>
          </w:r>
          <w:r>
            <w:fldChar w:fldCharType="begin"/>
          </w:r>
          <w:r>
            <w:instrText xml:space="preserve"> PAGEREF _Toc32674 \h </w:instrText>
          </w:r>
          <w:r>
            <w:fldChar w:fldCharType="separate"/>
          </w:r>
          <w:r>
            <w:t>13</w:t>
          </w:r>
          <w:r>
            <w:fldChar w:fldCharType="end"/>
          </w:r>
          <w:r>
            <w:rPr>
              <w:rFonts w:hint="default"/>
              <w:szCs w:val="24"/>
            </w:rPr>
            <w:fldChar w:fldCharType="end"/>
          </w:r>
        </w:p>
        <w:p w14:paraId="6399B669">
          <w:pPr>
            <w:pStyle w:val="11"/>
            <w:tabs>
              <w:tab w:val="right" w:leader="dot" w:pos="9179"/>
            </w:tabs>
          </w:pPr>
          <w:r>
            <w:rPr>
              <w:rFonts w:hint="default"/>
              <w:szCs w:val="24"/>
            </w:rPr>
            <w:fldChar w:fldCharType="begin"/>
          </w:r>
          <w:r>
            <w:rPr>
              <w:rFonts w:hint="default"/>
              <w:szCs w:val="24"/>
            </w:rPr>
            <w:instrText xml:space="preserve"> HYPERLINK \l _Toc9357 </w:instrText>
          </w:r>
          <w:r>
            <w:rPr>
              <w:rFonts w:hint="default"/>
              <w:szCs w:val="24"/>
            </w:rPr>
            <w:fldChar w:fldCharType="separate"/>
          </w:r>
          <w:r>
            <w:rPr>
              <w:rFonts w:hint="eastAsia" w:ascii="黑体" w:hAnsi="黑体" w:eastAsia="黑体"/>
              <w:kern w:val="2"/>
              <w:szCs w:val="24"/>
            </w:rPr>
            <w:t>一、收入支出决算总体情况说明</w:t>
          </w:r>
          <w:r>
            <w:tab/>
          </w:r>
          <w:r>
            <w:fldChar w:fldCharType="begin"/>
          </w:r>
          <w:r>
            <w:instrText xml:space="preserve"> PAGEREF _Toc9357 \h </w:instrText>
          </w:r>
          <w:r>
            <w:fldChar w:fldCharType="separate"/>
          </w:r>
          <w:r>
            <w:t>13</w:t>
          </w:r>
          <w:r>
            <w:fldChar w:fldCharType="end"/>
          </w:r>
          <w:r>
            <w:rPr>
              <w:rFonts w:hint="default"/>
              <w:szCs w:val="24"/>
            </w:rPr>
            <w:fldChar w:fldCharType="end"/>
          </w:r>
        </w:p>
        <w:p w14:paraId="31E7236D">
          <w:pPr>
            <w:pStyle w:val="11"/>
            <w:tabs>
              <w:tab w:val="right" w:leader="dot" w:pos="9179"/>
            </w:tabs>
          </w:pPr>
          <w:r>
            <w:rPr>
              <w:rFonts w:hint="default"/>
              <w:szCs w:val="24"/>
            </w:rPr>
            <w:fldChar w:fldCharType="begin"/>
          </w:r>
          <w:r>
            <w:rPr>
              <w:rFonts w:hint="default"/>
              <w:szCs w:val="24"/>
            </w:rPr>
            <w:instrText xml:space="preserve"> HYPERLINK \l _Toc23831 </w:instrText>
          </w:r>
          <w:r>
            <w:rPr>
              <w:rFonts w:hint="default"/>
              <w:szCs w:val="24"/>
            </w:rPr>
            <w:fldChar w:fldCharType="separate"/>
          </w:r>
          <w:r>
            <w:rPr>
              <w:rFonts w:hint="eastAsia" w:ascii="黑体" w:hAnsi="黑体" w:eastAsia="黑体"/>
              <w:kern w:val="2"/>
              <w:szCs w:val="24"/>
            </w:rPr>
            <w:t>二、收入决算情况说明</w:t>
          </w:r>
          <w:r>
            <w:tab/>
          </w:r>
          <w:r>
            <w:fldChar w:fldCharType="begin"/>
          </w:r>
          <w:r>
            <w:instrText xml:space="preserve"> PAGEREF _Toc23831 \h </w:instrText>
          </w:r>
          <w:r>
            <w:fldChar w:fldCharType="separate"/>
          </w:r>
          <w:r>
            <w:t>13</w:t>
          </w:r>
          <w:r>
            <w:fldChar w:fldCharType="end"/>
          </w:r>
          <w:r>
            <w:rPr>
              <w:rFonts w:hint="default"/>
              <w:szCs w:val="24"/>
            </w:rPr>
            <w:fldChar w:fldCharType="end"/>
          </w:r>
        </w:p>
        <w:p w14:paraId="678F9E5C">
          <w:pPr>
            <w:pStyle w:val="11"/>
            <w:tabs>
              <w:tab w:val="right" w:leader="dot" w:pos="9179"/>
            </w:tabs>
          </w:pPr>
          <w:r>
            <w:rPr>
              <w:rFonts w:hint="default"/>
              <w:szCs w:val="24"/>
            </w:rPr>
            <w:fldChar w:fldCharType="begin"/>
          </w:r>
          <w:r>
            <w:rPr>
              <w:rFonts w:hint="default"/>
              <w:szCs w:val="24"/>
            </w:rPr>
            <w:instrText xml:space="preserve"> HYPERLINK \l _Toc3976 </w:instrText>
          </w:r>
          <w:r>
            <w:rPr>
              <w:rFonts w:hint="default"/>
              <w:szCs w:val="24"/>
            </w:rPr>
            <w:fldChar w:fldCharType="separate"/>
          </w:r>
          <w:r>
            <w:rPr>
              <w:rFonts w:hint="eastAsia" w:ascii="黑体" w:hAnsi="黑体" w:eastAsia="黑体"/>
              <w:kern w:val="2"/>
              <w:szCs w:val="24"/>
            </w:rPr>
            <w:t>三、支出决算情况说明</w:t>
          </w:r>
          <w:r>
            <w:tab/>
          </w:r>
          <w:r>
            <w:fldChar w:fldCharType="begin"/>
          </w:r>
          <w:r>
            <w:instrText xml:space="preserve"> PAGEREF _Toc3976 \h </w:instrText>
          </w:r>
          <w:r>
            <w:fldChar w:fldCharType="separate"/>
          </w:r>
          <w:r>
            <w:t>14</w:t>
          </w:r>
          <w:r>
            <w:fldChar w:fldCharType="end"/>
          </w:r>
          <w:r>
            <w:rPr>
              <w:rFonts w:hint="default"/>
              <w:szCs w:val="24"/>
            </w:rPr>
            <w:fldChar w:fldCharType="end"/>
          </w:r>
        </w:p>
        <w:p w14:paraId="24303E55">
          <w:pPr>
            <w:pStyle w:val="11"/>
            <w:tabs>
              <w:tab w:val="right" w:leader="dot" w:pos="9179"/>
            </w:tabs>
          </w:pPr>
          <w:r>
            <w:rPr>
              <w:rFonts w:hint="default"/>
              <w:szCs w:val="24"/>
            </w:rPr>
            <w:fldChar w:fldCharType="begin"/>
          </w:r>
          <w:r>
            <w:rPr>
              <w:rFonts w:hint="default"/>
              <w:szCs w:val="24"/>
            </w:rPr>
            <w:instrText xml:space="preserve"> HYPERLINK \l _Toc11837 </w:instrText>
          </w:r>
          <w:r>
            <w:rPr>
              <w:rFonts w:hint="default"/>
              <w:szCs w:val="24"/>
            </w:rPr>
            <w:fldChar w:fldCharType="separate"/>
          </w:r>
          <w:r>
            <w:rPr>
              <w:rFonts w:hint="eastAsia" w:ascii="黑体" w:hAnsi="黑体" w:eastAsia="黑体"/>
              <w:kern w:val="2"/>
              <w:szCs w:val="24"/>
            </w:rPr>
            <w:t>四、财政拨款收入支出决算总体情况说明</w:t>
          </w:r>
          <w:r>
            <w:tab/>
          </w:r>
          <w:r>
            <w:fldChar w:fldCharType="begin"/>
          </w:r>
          <w:r>
            <w:instrText xml:space="preserve"> PAGEREF _Toc11837 \h </w:instrText>
          </w:r>
          <w:r>
            <w:fldChar w:fldCharType="separate"/>
          </w:r>
          <w:r>
            <w:t>15</w:t>
          </w:r>
          <w:r>
            <w:fldChar w:fldCharType="end"/>
          </w:r>
          <w:r>
            <w:rPr>
              <w:rFonts w:hint="default"/>
              <w:szCs w:val="24"/>
            </w:rPr>
            <w:fldChar w:fldCharType="end"/>
          </w:r>
        </w:p>
        <w:p w14:paraId="2901550E">
          <w:pPr>
            <w:pStyle w:val="11"/>
            <w:tabs>
              <w:tab w:val="right" w:leader="dot" w:pos="9179"/>
            </w:tabs>
          </w:pPr>
          <w:r>
            <w:rPr>
              <w:rFonts w:hint="default"/>
              <w:szCs w:val="24"/>
            </w:rPr>
            <w:fldChar w:fldCharType="begin"/>
          </w:r>
          <w:r>
            <w:rPr>
              <w:rFonts w:hint="default"/>
              <w:szCs w:val="24"/>
            </w:rPr>
            <w:instrText xml:space="preserve"> HYPERLINK \l _Toc4464 </w:instrText>
          </w:r>
          <w:r>
            <w:rPr>
              <w:rFonts w:hint="default"/>
              <w:szCs w:val="24"/>
            </w:rPr>
            <w:fldChar w:fldCharType="separate"/>
          </w:r>
          <w:r>
            <w:rPr>
              <w:rFonts w:hint="eastAsia" w:ascii="黑体" w:hAnsi="黑体" w:eastAsia="黑体"/>
              <w:kern w:val="2"/>
              <w:szCs w:val="24"/>
            </w:rPr>
            <w:t>五、一般公共预算财政拨款支出决算情况说明</w:t>
          </w:r>
          <w:r>
            <w:tab/>
          </w:r>
          <w:r>
            <w:fldChar w:fldCharType="begin"/>
          </w:r>
          <w:r>
            <w:instrText xml:space="preserve"> PAGEREF _Toc4464 \h </w:instrText>
          </w:r>
          <w:r>
            <w:fldChar w:fldCharType="separate"/>
          </w:r>
          <w:r>
            <w:t>15</w:t>
          </w:r>
          <w:r>
            <w:fldChar w:fldCharType="end"/>
          </w:r>
          <w:r>
            <w:rPr>
              <w:rFonts w:hint="default"/>
              <w:szCs w:val="24"/>
            </w:rPr>
            <w:fldChar w:fldCharType="end"/>
          </w:r>
        </w:p>
        <w:p w14:paraId="41BF2E89">
          <w:pPr>
            <w:pStyle w:val="7"/>
            <w:tabs>
              <w:tab w:val="right" w:leader="dot" w:pos="9179"/>
            </w:tabs>
          </w:pPr>
          <w:r>
            <w:rPr>
              <w:rFonts w:hint="default"/>
              <w:szCs w:val="24"/>
            </w:rPr>
            <w:fldChar w:fldCharType="begin"/>
          </w:r>
          <w:r>
            <w:rPr>
              <w:rFonts w:hint="default"/>
              <w:szCs w:val="24"/>
            </w:rPr>
            <w:instrText xml:space="preserve"> HYPERLINK \l _Toc17807 </w:instrText>
          </w:r>
          <w:r>
            <w:rPr>
              <w:rFonts w:hint="default"/>
              <w:szCs w:val="24"/>
            </w:rPr>
            <w:fldChar w:fldCharType="separate"/>
          </w:r>
          <w:r>
            <w:rPr>
              <w:rFonts w:hint="eastAsia" w:ascii="仿宋_GB2312" w:hAnsi="仿宋_GB2312" w:eastAsia="仿宋_GB2312"/>
              <w:kern w:val="2"/>
              <w:szCs w:val="24"/>
            </w:rPr>
            <w:t>（一）一般公共预算财政拨款支出决算总体情况</w:t>
          </w:r>
          <w:r>
            <w:tab/>
          </w:r>
          <w:r>
            <w:fldChar w:fldCharType="begin"/>
          </w:r>
          <w:r>
            <w:instrText xml:space="preserve"> PAGEREF _Toc17807 \h </w:instrText>
          </w:r>
          <w:r>
            <w:fldChar w:fldCharType="separate"/>
          </w:r>
          <w:r>
            <w:t>15</w:t>
          </w:r>
          <w:r>
            <w:fldChar w:fldCharType="end"/>
          </w:r>
          <w:r>
            <w:rPr>
              <w:rFonts w:hint="default"/>
              <w:szCs w:val="24"/>
            </w:rPr>
            <w:fldChar w:fldCharType="end"/>
          </w:r>
        </w:p>
        <w:p w14:paraId="2CC1C83F">
          <w:pPr>
            <w:pStyle w:val="7"/>
            <w:tabs>
              <w:tab w:val="right" w:leader="dot" w:pos="9179"/>
            </w:tabs>
          </w:pPr>
          <w:r>
            <w:rPr>
              <w:rFonts w:hint="default"/>
              <w:szCs w:val="24"/>
            </w:rPr>
            <w:fldChar w:fldCharType="begin"/>
          </w:r>
          <w:r>
            <w:rPr>
              <w:rFonts w:hint="default"/>
              <w:szCs w:val="24"/>
            </w:rPr>
            <w:instrText xml:space="preserve"> HYPERLINK \l _Toc31999 </w:instrText>
          </w:r>
          <w:r>
            <w:rPr>
              <w:rFonts w:hint="default"/>
              <w:szCs w:val="24"/>
            </w:rPr>
            <w:fldChar w:fldCharType="separate"/>
          </w:r>
          <w:r>
            <w:rPr>
              <w:rFonts w:hint="eastAsia" w:ascii="仿宋_GB2312" w:hAnsi="仿宋_GB2312" w:eastAsia="仿宋_GB2312"/>
              <w:kern w:val="2"/>
              <w:szCs w:val="24"/>
            </w:rPr>
            <w:t>（二）一般公共预算财政拨款支出决算结构情况</w:t>
          </w:r>
          <w:r>
            <w:tab/>
          </w:r>
          <w:r>
            <w:fldChar w:fldCharType="begin"/>
          </w:r>
          <w:r>
            <w:instrText xml:space="preserve"> PAGEREF _Toc31999 \h </w:instrText>
          </w:r>
          <w:r>
            <w:fldChar w:fldCharType="separate"/>
          </w:r>
          <w:r>
            <w:t>16</w:t>
          </w:r>
          <w:r>
            <w:fldChar w:fldCharType="end"/>
          </w:r>
          <w:r>
            <w:rPr>
              <w:rFonts w:hint="default"/>
              <w:szCs w:val="24"/>
            </w:rPr>
            <w:fldChar w:fldCharType="end"/>
          </w:r>
        </w:p>
        <w:p w14:paraId="306C4C2F">
          <w:pPr>
            <w:pStyle w:val="7"/>
            <w:tabs>
              <w:tab w:val="right" w:leader="dot" w:pos="9179"/>
            </w:tabs>
          </w:pPr>
          <w:r>
            <w:rPr>
              <w:rFonts w:hint="default"/>
              <w:szCs w:val="24"/>
            </w:rPr>
            <w:fldChar w:fldCharType="begin"/>
          </w:r>
          <w:r>
            <w:rPr>
              <w:rFonts w:hint="default"/>
              <w:szCs w:val="24"/>
            </w:rPr>
            <w:instrText xml:space="preserve"> HYPERLINK \l _Toc21623 </w:instrText>
          </w:r>
          <w:r>
            <w:rPr>
              <w:rFonts w:hint="default"/>
              <w:szCs w:val="24"/>
            </w:rPr>
            <w:fldChar w:fldCharType="separate"/>
          </w:r>
          <w:r>
            <w:rPr>
              <w:rFonts w:hint="eastAsia" w:ascii="仿宋_GB2312" w:hAnsi="仿宋_GB2312" w:eastAsia="仿宋_GB2312"/>
              <w:kern w:val="2"/>
              <w:szCs w:val="24"/>
            </w:rPr>
            <w:t>（三）一般公共预算财政拨款支出决算具体情况</w:t>
          </w:r>
          <w:r>
            <w:tab/>
          </w:r>
          <w:r>
            <w:fldChar w:fldCharType="begin"/>
          </w:r>
          <w:r>
            <w:instrText xml:space="preserve"> PAGEREF _Toc21623 \h </w:instrText>
          </w:r>
          <w:r>
            <w:fldChar w:fldCharType="separate"/>
          </w:r>
          <w:r>
            <w:t>16</w:t>
          </w:r>
          <w:r>
            <w:fldChar w:fldCharType="end"/>
          </w:r>
          <w:r>
            <w:rPr>
              <w:rFonts w:hint="default"/>
              <w:szCs w:val="24"/>
            </w:rPr>
            <w:fldChar w:fldCharType="end"/>
          </w:r>
        </w:p>
        <w:p w14:paraId="1E38F906">
          <w:pPr>
            <w:pStyle w:val="11"/>
            <w:tabs>
              <w:tab w:val="right" w:leader="dot" w:pos="9179"/>
            </w:tabs>
          </w:pPr>
          <w:r>
            <w:rPr>
              <w:rFonts w:hint="default"/>
              <w:szCs w:val="24"/>
            </w:rPr>
            <w:fldChar w:fldCharType="begin"/>
          </w:r>
          <w:r>
            <w:rPr>
              <w:rFonts w:hint="default"/>
              <w:szCs w:val="24"/>
            </w:rPr>
            <w:instrText xml:space="preserve"> HYPERLINK \l _Toc10529 </w:instrText>
          </w:r>
          <w:r>
            <w:rPr>
              <w:rFonts w:hint="default"/>
              <w:szCs w:val="24"/>
            </w:rPr>
            <w:fldChar w:fldCharType="separate"/>
          </w:r>
          <w:r>
            <w:rPr>
              <w:rFonts w:hint="eastAsia" w:ascii="黑体" w:hAnsi="黑体" w:eastAsia="黑体"/>
              <w:kern w:val="2"/>
              <w:szCs w:val="24"/>
            </w:rPr>
            <w:t>六、一般公共预算财政拨款基本支出决算情况说明</w:t>
          </w:r>
          <w:r>
            <w:tab/>
          </w:r>
          <w:r>
            <w:fldChar w:fldCharType="begin"/>
          </w:r>
          <w:r>
            <w:instrText xml:space="preserve"> PAGEREF _Toc10529 \h </w:instrText>
          </w:r>
          <w:r>
            <w:fldChar w:fldCharType="separate"/>
          </w:r>
          <w:r>
            <w:t>19</w:t>
          </w:r>
          <w:r>
            <w:fldChar w:fldCharType="end"/>
          </w:r>
          <w:r>
            <w:rPr>
              <w:rFonts w:hint="default"/>
              <w:szCs w:val="24"/>
            </w:rPr>
            <w:fldChar w:fldCharType="end"/>
          </w:r>
        </w:p>
        <w:p w14:paraId="55E86E37">
          <w:pPr>
            <w:pStyle w:val="11"/>
            <w:tabs>
              <w:tab w:val="right" w:leader="dot" w:pos="9179"/>
            </w:tabs>
          </w:pPr>
          <w:r>
            <w:rPr>
              <w:rFonts w:hint="default"/>
              <w:szCs w:val="24"/>
            </w:rPr>
            <w:fldChar w:fldCharType="begin"/>
          </w:r>
          <w:r>
            <w:rPr>
              <w:rFonts w:hint="default"/>
              <w:szCs w:val="24"/>
            </w:rPr>
            <w:instrText xml:space="preserve"> HYPERLINK \l _Toc23714 </w:instrText>
          </w:r>
          <w:r>
            <w:rPr>
              <w:rFonts w:hint="default"/>
              <w:szCs w:val="24"/>
            </w:rPr>
            <w:fldChar w:fldCharType="separate"/>
          </w:r>
          <w:r>
            <w:rPr>
              <w:rFonts w:hint="eastAsia" w:ascii="黑体" w:hAnsi="黑体" w:eastAsia="黑体"/>
              <w:kern w:val="2"/>
              <w:szCs w:val="24"/>
            </w:rPr>
            <w:t>七、财政拨款“三公”经费支出决算情况说明</w:t>
          </w:r>
          <w:r>
            <w:tab/>
          </w:r>
          <w:r>
            <w:fldChar w:fldCharType="begin"/>
          </w:r>
          <w:r>
            <w:instrText xml:space="preserve"> PAGEREF _Toc23714 \h </w:instrText>
          </w:r>
          <w:r>
            <w:fldChar w:fldCharType="separate"/>
          </w:r>
          <w:r>
            <w:t>20</w:t>
          </w:r>
          <w:r>
            <w:fldChar w:fldCharType="end"/>
          </w:r>
          <w:r>
            <w:rPr>
              <w:rFonts w:hint="default"/>
              <w:szCs w:val="24"/>
            </w:rPr>
            <w:fldChar w:fldCharType="end"/>
          </w:r>
        </w:p>
        <w:p w14:paraId="23A57094">
          <w:pPr>
            <w:pStyle w:val="7"/>
            <w:tabs>
              <w:tab w:val="right" w:leader="dot" w:pos="9179"/>
            </w:tabs>
          </w:pPr>
          <w:r>
            <w:rPr>
              <w:rFonts w:hint="default"/>
              <w:szCs w:val="24"/>
            </w:rPr>
            <w:fldChar w:fldCharType="begin"/>
          </w:r>
          <w:r>
            <w:rPr>
              <w:rFonts w:hint="default"/>
              <w:szCs w:val="24"/>
            </w:rPr>
            <w:instrText xml:space="preserve"> HYPERLINK \l _Toc9623 </w:instrText>
          </w:r>
          <w:r>
            <w:rPr>
              <w:rFonts w:hint="default"/>
              <w:szCs w:val="24"/>
            </w:rPr>
            <w:fldChar w:fldCharType="separate"/>
          </w:r>
          <w:r>
            <w:rPr>
              <w:rFonts w:hint="eastAsia" w:ascii="仿宋_GB2312" w:hAnsi="仿宋_GB2312" w:eastAsia="仿宋_GB2312"/>
              <w:kern w:val="2"/>
              <w:szCs w:val="24"/>
            </w:rPr>
            <w:t>（一）“三公”经费财政拨款支出决算总体情况说明</w:t>
          </w:r>
          <w:r>
            <w:tab/>
          </w:r>
          <w:r>
            <w:fldChar w:fldCharType="begin"/>
          </w:r>
          <w:r>
            <w:instrText xml:space="preserve"> PAGEREF _Toc9623 \h </w:instrText>
          </w:r>
          <w:r>
            <w:fldChar w:fldCharType="separate"/>
          </w:r>
          <w:r>
            <w:t>20</w:t>
          </w:r>
          <w:r>
            <w:fldChar w:fldCharType="end"/>
          </w:r>
          <w:r>
            <w:rPr>
              <w:rFonts w:hint="default"/>
              <w:szCs w:val="24"/>
            </w:rPr>
            <w:fldChar w:fldCharType="end"/>
          </w:r>
        </w:p>
        <w:p w14:paraId="08C78854">
          <w:pPr>
            <w:pStyle w:val="7"/>
            <w:tabs>
              <w:tab w:val="right" w:leader="dot" w:pos="9179"/>
            </w:tabs>
          </w:pPr>
          <w:r>
            <w:rPr>
              <w:rFonts w:hint="default"/>
              <w:szCs w:val="24"/>
            </w:rPr>
            <w:fldChar w:fldCharType="begin"/>
          </w:r>
          <w:r>
            <w:rPr>
              <w:rFonts w:hint="default"/>
              <w:szCs w:val="24"/>
            </w:rPr>
            <w:instrText xml:space="preserve"> HYPERLINK \l _Toc30846 </w:instrText>
          </w:r>
          <w:r>
            <w:rPr>
              <w:rFonts w:hint="default"/>
              <w:szCs w:val="24"/>
            </w:rPr>
            <w:fldChar w:fldCharType="separate"/>
          </w:r>
          <w:r>
            <w:rPr>
              <w:rFonts w:hint="eastAsia" w:ascii="仿宋_GB2312" w:hAnsi="仿宋_GB2312" w:eastAsia="仿宋_GB2312"/>
              <w:kern w:val="2"/>
              <w:szCs w:val="24"/>
            </w:rPr>
            <w:t>（二）“三公”经费财政拨款支出决算具体情况说明</w:t>
          </w:r>
          <w:r>
            <w:tab/>
          </w:r>
          <w:r>
            <w:fldChar w:fldCharType="begin"/>
          </w:r>
          <w:r>
            <w:instrText xml:space="preserve"> PAGEREF _Toc30846 \h </w:instrText>
          </w:r>
          <w:r>
            <w:fldChar w:fldCharType="separate"/>
          </w:r>
          <w:r>
            <w:t>20</w:t>
          </w:r>
          <w:r>
            <w:fldChar w:fldCharType="end"/>
          </w:r>
          <w:r>
            <w:rPr>
              <w:rFonts w:hint="default"/>
              <w:szCs w:val="24"/>
            </w:rPr>
            <w:fldChar w:fldCharType="end"/>
          </w:r>
        </w:p>
        <w:p w14:paraId="5F0D0236">
          <w:pPr>
            <w:pStyle w:val="11"/>
            <w:tabs>
              <w:tab w:val="right" w:leader="dot" w:pos="9179"/>
            </w:tabs>
          </w:pPr>
          <w:r>
            <w:rPr>
              <w:rFonts w:hint="default"/>
              <w:szCs w:val="24"/>
            </w:rPr>
            <w:fldChar w:fldCharType="begin"/>
          </w:r>
          <w:r>
            <w:rPr>
              <w:rFonts w:hint="default"/>
              <w:szCs w:val="24"/>
            </w:rPr>
            <w:instrText xml:space="preserve"> HYPERLINK \l _Toc11746 </w:instrText>
          </w:r>
          <w:r>
            <w:rPr>
              <w:rFonts w:hint="default"/>
              <w:szCs w:val="24"/>
            </w:rPr>
            <w:fldChar w:fldCharType="separate"/>
          </w:r>
          <w:r>
            <w:rPr>
              <w:rFonts w:hint="eastAsia" w:ascii="黑体" w:hAnsi="黑体" w:eastAsia="黑体"/>
              <w:kern w:val="2"/>
              <w:szCs w:val="24"/>
            </w:rPr>
            <w:t>八、政府性基金预算支出决算情况说明</w:t>
          </w:r>
          <w:r>
            <w:tab/>
          </w:r>
          <w:r>
            <w:fldChar w:fldCharType="begin"/>
          </w:r>
          <w:r>
            <w:instrText xml:space="preserve"> PAGEREF _Toc11746 \h </w:instrText>
          </w:r>
          <w:r>
            <w:fldChar w:fldCharType="separate"/>
          </w:r>
          <w:r>
            <w:t>22</w:t>
          </w:r>
          <w:r>
            <w:fldChar w:fldCharType="end"/>
          </w:r>
          <w:r>
            <w:rPr>
              <w:rFonts w:hint="default"/>
              <w:szCs w:val="24"/>
            </w:rPr>
            <w:fldChar w:fldCharType="end"/>
          </w:r>
        </w:p>
        <w:p w14:paraId="12127B31">
          <w:pPr>
            <w:pStyle w:val="11"/>
            <w:tabs>
              <w:tab w:val="right" w:leader="dot" w:pos="9179"/>
            </w:tabs>
          </w:pPr>
          <w:r>
            <w:rPr>
              <w:rFonts w:hint="default"/>
              <w:szCs w:val="24"/>
            </w:rPr>
            <w:fldChar w:fldCharType="begin"/>
          </w:r>
          <w:r>
            <w:rPr>
              <w:rFonts w:hint="default"/>
              <w:szCs w:val="24"/>
            </w:rPr>
            <w:instrText xml:space="preserve"> HYPERLINK \l _Toc7446 </w:instrText>
          </w:r>
          <w:r>
            <w:rPr>
              <w:rFonts w:hint="default"/>
              <w:szCs w:val="24"/>
            </w:rPr>
            <w:fldChar w:fldCharType="separate"/>
          </w:r>
          <w:r>
            <w:rPr>
              <w:rFonts w:hint="eastAsia" w:ascii="黑体" w:hAnsi="黑体" w:eastAsia="黑体"/>
              <w:kern w:val="2"/>
              <w:szCs w:val="24"/>
            </w:rPr>
            <w:t>九、国有资本经营预算支出决算情况说明</w:t>
          </w:r>
          <w:r>
            <w:tab/>
          </w:r>
          <w:r>
            <w:fldChar w:fldCharType="begin"/>
          </w:r>
          <w:r>
            <w:instrText xml:space="preserve"> PAGEREF _Toc7446 \h </w:instrText>
          </w:r>
          <w:r>
            <w:fldChar w:fldCharType="separate"/>
          </w:r>
          <w:r>
            <w:t>22</w:t>
          </w:r>
          <w:r>
            <w:fldChar w:fldCharType="end"/>
          </w:r>
          <w:r>
            <w:rPr>
              <w:rFonts w:hint="default"/>
              <w:szCs w:val="24"/>
            </w:rPr>
            <w:fldChar w:fldCharType="end"/>
          </w:r>
        </w:p>
        <w:p w14:paraId="021D5C48">
          <w:pPr>
            <w:pStyle w:val="11"/>
            <w:tabs>
              <w:tab w:val="right" w:leader="dot" w:pos="9179"/>
            </w:tabs>
          </w:pPr>
          <w:r>
            <w:rPr>
              <w:rFonts w:hint="default"/>
              <w:szCs w:val="24"/>
            </w:rPr>
            <w:fldChar w:fldCharType="begin"/>
          </w:r>
          <w:r>
            <w:rPr>
              <w:rFonts w:hint="default"/>
              <w:szCs w:val="24"/>
            </w:rPr>
            <w:instrText xml:space="preserve"> HYPERLINK \l _Toc5195 </w:instrText>
          </w:r>
          <w:r>
            <w:rPr>
              <w:rFonts w:hint="default"/>
              <w:szCs w:val="24"/>
            </w:rPr>
            <w:fldChar w:fldCharType="separate"/>
          </w:r>
          <w:r>
            <w:rPr>
              <w:rFonts w:hint="eastAsia" w:ascii="黑体" w:hAnsi="黑体" w:eastAsia="黑体"/>
              <w:kern w:val="2"/>
              <w:szCs w:val="24"/>
            </w:rPr>
            <w:t>十、其他重要事项的情况说明</w:t>
          </w:r>
          <w:r>
            <w:tab/>
          </w:r>
          <w:r>
            <w:fldChar w:fldCharType="begin"/>
          </w:r>
          <w:r>
            <w:instrText xml:space="preserve"> PAGEREF _Toc5195 \h </w:instrText>
          </w:r>
          <w:r>
            <w:fldChar w:fldCharType="separate"/>
          </w:r>
          <w:r>
            <w:t>23</w:t>
          </w:r>
          <w:r>
            <w:fldChar w:fldCharType="end"/>
          </w:r>
          <w:r>
            <w:rPr>
              <w:rFonts w:hint="default"/>
              <w:szCs w:val="24"/>
            </w:rPr>
            <w:fldChar w:fldCharType="end"/>
          </w:r>
        </w:p>
        <w:p w14:paraId="5523A02E">
          <w:pPr>
            <w:pStyle w:val="7"/>
            <w:tabs>
              <w:tab w:val="right" w:leader="dot" w:pos="9179"/>
            </w:tabs>
          </w:pPr>
          <w:r>
            <w:rPr>
              <w:rFonts w:hint="default"/>
              <w:szCs w:val="24"/>
            </w:rPr>
            <w:fldChar w:fldCharType="begin"/>
          </w:r>
          <w:r>
            <w:rPr>
              <w:rFonts w:hint="default"/>
              <w:szCs w:val="24"/>
            </w:rPr>
            <w:instrText xml:space="preserve"> HYPERLINK \l _Toc18286 </w:instrText>
          </w:r>
          <w:r>
            <w:rPr>
              <w:rFonts w:hint="default"/>
              <w:szCs w:val="24"/>
            </w:rPr>
            <w:fldChar w:fldCharType="separate"/>
          </w:r>
          <w:r>
            <w:rPr>
              <w:rFonts w:hint="eastAsia" w:ascii="仿宋_GB2312" w:hAnsi="仿宋_GB2312" w:eastAsia="仿宋_GB2312"/>
              <w:kern w:val="2"/>
              <w:szCs w:val="24"/>
            </w:rPr>
            <w:t>（一）机关运行经费支出情况</w:t>
          </w:r>
          <w:r>
            <w:tab/>
          </w:r>
          <w:r>
            <w:fldChar w:fldCharType="begin"/>
          </w:r>
          <w:r>
            <w:instrText xml:space="preserve"> PAGEREF _Toc18286 \h </w:instrText>
          </w:r>
          <w:r>
            <w:fldChar w:fldCharType="separate"/>
          </w:r>
          <w:r>
            <w:t>23</w:t>
          </w:r>
          <w:r>
            <w:fldChar w:fldCharType="end"/>
          </w:r>
          <w:r>
            <w:rPr>
              <w:rFonts w:hint="default"/>
              <w:szCs w:val="24"/>
            </w:rPr>
            <w:fldChar w:fldCharType="end"/>
          </w:r>
        </w:p>
        <w:p w14:paraId="2CACD57D">
          <w:pPr>
            <w:pStyle w:val="7"/>
            <w:tabs>
              <w:tab w:val="right" w:leader="dot" w:pos="9179"/>
            </w:tabs>
          </w:pPr>
          <w:r>
            <w:rPr>
              <w:rFonts w:hint="default"/>
              <w:szCs w:val="24"/>
            </w:rPr>
            <w:fldChar w:fldCharType="begin"/>
          </w:r>
          <w:r>
            <w:rPr>
              <w:rFonts w:hint="default"/>
              <w:szCs w:val="24"/>
            </w:rPr>
            <w:instrText xml:space="preserve"> HYPERLINK \l _Toc28212 </w:instrText>
          </w:r>
          <w:r>
            <w:rPr>
              <w:rFonts w:hint="default"/>
              <w:szCs w:val="24"/>
            </w:rPr>
            <w:fldChar w:fldCharType="separate"/>
          </w:r>
          <w:r>
            <w:rPr>
              <w:rFonts w:hint="eastAsia" w:ascii="仿宋_GB2312" w:hAnsi="仿宋_GB2312" w:eastAsia="仿宋_GB2312"/>
              <w:kern w:val="2"/>
              <w:szCs w:val="24"/>
            </w:rPr>
            <w:t>（二）政府采购支出情况</w:t>
          </w:r>
          <w:r>
            <w:tab/>
          </w:r>
          <w:r>
            <w:fldChar w:fldCharType="begin"/>
          </w:r>
          <w:r>
            <w:instrText xml:space="preserve"> PAGEREF _Toc28212 \h </w:instrText>
          </w:r>
          <w:r>
            <w:fldChar w:fldCharType="separate"/>
          </w:r>
          <w:r>
            <w:t>23</w:t>
          </w:r>
          <w:r>
            <w:fldChar w:fldCharType="end"/>
          </w:r>
          <w:r>
            <w:rPr>
              <w:rFonts w:hint="default"/>
              <w:szCs w:val="24"/>
            </w:rPr>
            <w:fldChar w:fldCharType="end"/>
          </w:r>
        </w:p>
        <w:p w14:paraId="3595F5CC">
          <w:pPr>
            <w:pStyle w:val="7"/>
            <w:tabs>
              <w:tab w:val="right" w:leader="dot" w:pos="9179"/>
            </w:tabs>
          </w:pPr>
          <w:r>
            <w:rPr>
              <w:rFonts w:hint="default"/>
              <w:szCs w:val="24"/>
            </w:rPr>
            <w:fldChar w:fldCharType="begin"/>
          </w:r>
          <w:r>
            <w:rPr>
              <w:rFonts w:hint="default"/>
              <w:szCs w:val="24"/>
            </w:rPr>
            <w:instrText xml:space="preserve"> HYPERLINK \l _Toc23042 </w:instrText>
          </w:r>
          <w:r>
            <w:rPr>
              <w:rFonts w:hint="default"/>
              <w:szCs w:val="24"/>
            </w:rPr>
            <w:fldChar w:fldCharType="separate"/>
          </w:r>
          <w:r>
            <w:rPr>
              <w:rFonts w:hint="eastAsia" w:ascii="仿宋_GB2312" w:hAnsi="仿宋_GB2312" w:eastAsia="仿宋_GB2312"/>
              <w:kern w:val="2"/>
              <w:szCs w:val="24"/>
            </w:rPr>
            <w:t>（三）国有资产占有使用情况</w:t>
          </w:r>
          <w:r>
            <w:tab/>
          </w:r>
          <w:r>
            <w:fldChar w:fldCharType="begin"/>
          </w:r>
          <w:r>
            <w:instrText xml:space="preserve"> PAGEREF _Toc23042 \h </w:instrText>
          </w:r>
          <w:r>
            <w:fldChar w:fldCharType="separate"/>
          </w:r>
          <w:r>
            <w:t>23</w:t>
          </w:r>
          <w:r>
            <w:fldChar w:fldCharType="end"/>
          </w:r>
          <w:r>
            <w:rPr>
              <w:rFonts w:hint="default"/>
              <w:szCs w:val="24"/>
            </w:rPr>
            <w:fldChar w:fldCharType="end"/>
          </w:r>
        </w:p>
        <w:p w14:paraId="34AF72FA">
          <w:pPr>
            <w:pStyle w:val="7"/>
            <w:tabs>
              <w:tab w:val="right" w:leader="dot" w:pos="9179"/>
            </w:tabs>
          </w:pPr>
          <w:r>
            <w:rPr>
              <w:rFonts w:hint="default"/>
              <w:szCs w:val="24"/>
            </w:rPr>
            <w:fldChar w:fldCharType="begin"/>
          </w:r>
          <w:r>
            <w:rPr>
              <w:rFonts w:hint="default"/>
              <w:szCs w:val="24"/>
            </w:rPr>
            <w:instrText xml:space="preserve"> HYPERLINK \l _Toc21548 </w:instrText>
          </w:r>
          <w:r>
            <w:rPr>
              <w:rFonts w:hint="default"/>
              <w:szCs w:val="24"/>
            </w:rPr>
            <w:fldChar w:fldCharType="separate"/>
          </w:r>
          <w:r>
            <w:rPr>
              <w:rFonts w:hint="eastAsia" w:ascii="仿宋_GB2312" w:hAnsi="仿宋_GB2312" w:eastAsia="仿宋_GB2312"/>
              <w:kern w:val="2"/>
              <w:szCs w:val="24"/>
            </w:rPr>
            <w:t>（四）预算绩效管理情况。</w:t>
          </w:r>
          <w:r>
            <w:tab/>
          </w:r>
          <w:r>
            <w:fldChar w:fldCharType="begin"/>
          </w:r>
          <w:r>
            <w:instrText xml:space="preserve"> PAGEREF _Toc21548 \h </w:instrText>
          </w:r>
          <w:r>
            <w:fldChar w:fldCharType="separate"/>
          </w:r>
          <w:r>
            <w:t>23</w:t>
          </w:r>
          <w:r>
            <w:fldChar w:fldCharType="end"/>
          </w:r>
          <w:r>
            <w:rPr>
              <w:rFonts w:hint="default"/>
              <w:szCs w:val="24"/>
            </w:rPr>
            <w:fldChar w:fldCharType="end"/>
          </w:r>
        </w:p>
        <w:p w14:paraId="7B2EAE32">
          <w:pPr>
            <w:pStyle w:val="10"/>
            <w:tabs>
              <w:tab w:val="right" w:leader="dot" w:pos="9179"/>
            </w:tabs>
          </w:pPr>
          <w:r>
            <w:rPr>
              <w:rFonts w:hint="default"/>
              <w:szCs w:val="24"/>
            </w:rPr>
            <w:fldChar w:fldCharType="begin"/>
          </w:r>
          <w:r>
            <w:rPr>
              <w:rFonts w:hint="default"/>
              <w:szCs w:val="24"/>
            </w:rPr>
            <w:instrText xml:space="preserve"> HYPERLINK \l _Toc21282 </w:instrText>
          </w:r>
          <w:r>
            <w:rPr>
              <w:rFonts w:hint="default"/>
              <w:szCs w:val="24"/>
            </w:rPr>
            <w:fldChar w:fldCharType="separate"/>
          </w:r>
          <w:r>
            <w:rPr>
              <w:rFonts w:hint="eastAsia" w:ascii="黑体" w:hAnsi="黑体" w:eastAsia="黑体"/>
              <w:kern w:val="2"/>
              <w:szCs w:val="24"/>
            </w:rPr>
            <w:t>第三部分  名</w:t>
          </w:r>
          <w:r>
            <w:rPr>
              <w:rFonts w:hint="eastAsia" w:ascii="黑体" w:hAnsi="黑体" w:eastAsia="黑体"/>
              <w:kern w:val="44"/>
              <w:szCs w:val="24"/>
            </w:rPr>
            <w:t>词解释</w:t>
          </w:r>
          <w:r>
            <w:tab/>
          </w:r>
          <w:r>
            <w:fldChar w:fldCharType="begin"/>
          </w:r>
          <w:r>
            <w:instrText xml:space="preserve"> PAGEREF _Toc21282 \h </w:instrText>
          </w:r>
          <w:r>
            <w:fldChar w:fldCharType="separate"/>
          </w:r>
          <w:r>
            <w:t>27</w:t>
          </w:r>
          <w:r>
            <w:fldChar w:fldCharType="end"/>
          </w:r>
          <w:r>
            <w:rPr>
              <w:rFonts w:hint="default"/>
              <w:szCs w:val="24"/>
            </w:rPr>
            <w:fldChar w:fldCharType="end"/>
          </w:r>
        </w:p>
        <w:p w14:paraId="7B85AF8D">
          <w:pPr>
            <w:pStyle w:val="10"/>
            <w:tabs>
              <w:tab w:val="right" w:leader="dot" w:pos="9179"/>
            </w:tabs>
          </w:pPr>
          <w:r>
            <w:rPr>
              <w:rFonts w:hint="default"/>
              <w:szCs w:val="24"/>
            </w:rPr>
            <w:fldChar w:fldCharType="begin"/>
          </w:r>
          <w:r>
            <w:rPr>
              <w:rFonts w:hint="default"/>
              <w:szCs w:val="24"/>
            </w:rPr>
            <w:instrText xml:space="preserve"> HYPERLINK \l _Toc23378 </w:instrText>
          </w:r>
          <w:r>
            <w:rPr>
              <w:rFonts w:hint="default"/>
              <w:szCs w:val="24"/>
            </w:rPr>
            <w:fldChar w:fldCharType="separate"/>
          </w:r>
          <w:r>
            <w:rPr>
              <w:rFonts w:hint="eastAsia" w:ascii="黑体" w:hAnsi="黑体" w:eastAsia="黑体"/>
              <w:kern w:val="2"/>
              <w:szCs w:val="24"/>
            </w:rPr>
            <w:t>第</w:t>
          </w:r>
          <w:r>
            <w:rPr>
              <w:rFonts w:hint="eastAsia" w:ascii="黑体" w:hAnsi="黑体" w:eastAsia="黑体"/>
              <w:kern w:val="44"/>
              <w:szCs w:val="24"/>
            </w:rPr>
            <w:t>四部分  附件</w:t>
          </w:r>
          <w:r>
            <w:tab/>
          </w:r>
          <w:r>
            <w:fldChar w:fldCharType="begin"/>
          </w:r>
          <w:r>
            <w:instrText xml:space="preserve"> PAGEREF _Toc23378 \h </w:instrText>
          </w:r>
          <w:r>
            <w:fldChar w:fldCharType="separate"/>
          </w:r>
          <w:r>
            <w:t>31</w:t>
          </w:r>
          <w:r>
            <w:fldChar w:fldCharType="end"/>
          </w:r>
          <w:r>
            <w:rPr>
              <w:rFonts w:hint="default"/>
              <w:szCs w:val="24"/>
            </w:rPr>
            <w:fldChar w:fldCharType="end"/>
          </w:r>
        </w:p>
        <w:p w14:paraId="4CA9435F">
          <w:pPr>
            <w:pStyle w:val="7"/>
            <w:tabs>
              <w:tab w:val="right" w:leader="dot" w:pos="9179"/>
            </w:tabs>
          </w:pPr>
          <w:r>
            <w:rPr>
              <w:rFonts w:hint="default"/>
              <w:szCs w:val="24"/>
            </w:rPr>
            <w:fldChar w:fldCharType="begin"/>
          </w:r>
          <w:r>
            <w:rPr>
              <w:rFonts w:hint="default"/>
              <w:szCs w:val="24"/>
            </w:rPr>
            <w:instrText xml:space="preserve"> HYPERLINK \l _Toc2874 </w:instrText>
          </w:r>
          <w:r>
            <w:rPr>
              <w:rFonts w:hint="default"/>
              <w:szCs w:val="24"/>
            </w:rPr>
            <w:fldChar w:fldCharType="separate"/>
          </w:r>
          <w:r>
            <w:rPr>
              <w:rFonts w:hint="eastAsia" w:ascii="黑体" w:hAnsi="黑体" w:eastAsia="黑体"/>
              <w:kern w:val="2"/>
              <w:szCs w:val="24"/>
            </w:rPr>
            <w:t>附件1</w:t>
          </w:r>
          <w:r>
            <w:tab/>
          </w:r>
          <w:r>
            <w:fldChar w:fldCharType="begin"/>
          </w:r>
          <w:r>
            <w:instrText xml:space="preserve"> PAGEREF _Toc2874 \h </w:instrText>
          </w:r>
          <w:r>
            <w:fldChar w:fldCharType="separate"/>
          </w:r>
          <w:r>
            <w:t>31</w:t>
          </w:r>
          <w:r>
            <w:fldChar w:fldCharType="end"/>
          </w:r>
          <w:r>
            <w:rPr>
              <w:rFonts w:hint="default"/>
              <w:szCs w:val="24"/>
            </w:rPr>
            <w:fldChar w:fldCharType="end"/>
          </w:r>
        </w:p>
        <w:p w14:paraId="5A114307">
          <w:pPr>
            <w:pStyle w:val="7"/>
            <w:tabs>
              <w:tab w:val="right" w:leader="dot" w:pos="9179"/>
            </w:tabs>
          </w:pPr>
          <w:r>
            <w:rPr>
              <w:rFonts w:hint="default"/>
              <w:szCs w:val="24"/>
            </w:rPr>
            <w:fldChar w:fldCharType="begin"/>
          </w:r>
          <w:r>
            <w:rPr>
              <w:rFonts w:hint="default"/>
              <w:szCs w:val="24"/>
            </w:rPr>
            <w:instrText xml:space="preserve"> HYPERLINK \l _Toc23302 </w:instrText>
          </w:r>
          <w:r>
            <w:rPr>
              <w:rFonts w:hint="default"/>
              <w:szCs w:val="24"/>
            </w:rPr>
            <w:fldChar w:fldCharType="separate"/>
          </w:r>
          <w:r>
            <w:rPr>
              <w:rFonts w:hint="eastAsia" w:ascii="黑体" w:hAnsi="黑体" w:eastAsia="黑体"/>
              <w:kern w:val="2"/>
              <w:szCs w:val="24"/>
            </w:rPr>
            <w:t>附件2</w:t>
          </w:r>
          <w:r>
            <w:tab/>
          </w:r>
          <w:r>
            <w:fldChar w:fldCharType="begin"/>
          </w:r>
          <w:r>
            <w:instrText xml:space="preserve"> PAGEREF _Toc23302 \h </w:instrText>
          </w:r>
          <w:r>
            <w:fldChar w:fldCharType="separate"/>
          </w:r>
          <w:r>
            <w:t>78</w:t>
          </w:r>
          <w:r>
            <w:fldChar w:fldCharType="end"/>
          </w:r>
          <w:r>
            <w:rPr>
              <w:rFonts w:hint="default"/>
              <w:szCs w:val="24"/>
            </w:rPr>
            <w:fldChar w:fldCharType="end"/>
          </w:r>
        </w:p>
        <w:p w14:paraId="0D5228AA">
          <w:pPr>
            <w:pStyle w:val="10"/>
            <w:tabs>
              <w:tab w:val="right" w:leader="dot" w:pos="9179"/>
            </w:tabs>
          </w:pPr>
          <w:r>
            <w:rPr>
              <w:rFonts w:hint="default"/>
              <w:szCs w:val="24"/>
            </w:rPr>
            <w:fldChar w:fldCharType="begin"/>
          </w:r>
          <w:r>
            <w:rPr>
              <w:rFonts w:hint="default"/>
              <w:szCs w:val="24"/>
            </w:rPr>
            <w:instrText xml:space="preserve"> HYPERLINK \l _Toc25161 </w:instrText>
          </w:r>
          <w:r>
            <w:rPr>
              <w:rFonts w:hint="default"/>
              <w:szCs w:val="24"/>
            </w:rPr>
            <w:fldChar w:fldCharType="separate"/>
          </w:r>
          <w:r>
            <w:rPr>
              <w:rFonts w:hint="eastAsia" w:ascii="黑体" w:hAnsi="黑体" w:eastAsia="黑体"/>
              <w:kern w:val="2"/>
              <w:szCs w:val="24"/>
            </w:rPr>
            <w:t>第</w:t>
          </w:r>
          <w:r>
            <w:rPr>
              <w:rFonts w:hint="eastAsia" w:ascii="黑体" w:hAnsi="黑体" w:eastAsia="黑体"/>
              <w:kern w:val="44"/>
              <w:szCs w:val="24"/>
            </w:rPr>
            <w:t>五部分  附表</w:t>
          </w:r>
          <w:r>
            <w:tab/>
          </w:r>
          <w:r>
            <w:fldChar w:fldCharType="begin"/>
          </w:r>
          <w:r>
            <w:instrText xml:space="preserve"> PAGEREF _Toc25161 \h </w:instrText>
          </w:r>
          <w:r>
            <w:fldChar w:fldCharType="separate"/>
          </w:r>
          <w:r>
            <w:t>115</w:t>
          </w:r>
          <w:r>
            <w:fldChar w:fldCharType="end"/>
          </w:r>
          <w:r>
            <w:rPr>
              <w:rFonts w:hint="default"/>
              <w:szCs w:val="24"/>
            </w:rPr>
            <w:fldChar w:fldCharType="end"/>
          </w:r>
        </w:p>
        <w:p w14:paraId="42DFCDB6">
          <w:pPr>
            <w:pStyle w:val="11"/>
            <w:tabs>
              <w:tab w:val="right" w:leader="dot" w:pos="9179"/>
            </w:tabs>
          </w:pPr>
          <w:r>
            <w:rPr>
              <w:rFonts w:hint="default"/>
              <w:szCs w:val="24"/>
            </w:rPr>
            <w:fldChar w:fldCharType="begin"/>
          </w:r>
          <w:r>
            <w:rPr>
              <w:rFonts w:hint="default"/>
              <w:szCs w:val="24"/>
            </w:rPr>
            <w:instrText xml:space="preserve"> HYPERLINK \l _Toc26879 </w:instrText>
          </w:r>
          <w:r>
            <w:rPr>
              <w:rFonts w:hint="default"/>
              <w:szCs w:val="24"/>
            </w:rPr>
            <w:fldChar w:fldCharType="separate"/>
          </w:r>
          <w:r>
            <w:rPr>
              <w:rFonts w:hint="eastAsia" w:ascii="仿宋_GB2312" w:hAnsi="仿宋_GB2312" w:eastAsia="仿宋_GB2312"/>
              <w:kern w:val="2"/>
              <w:szCs w:val="24"/>
            </w:rPr>
            <w:t>一、收入支出决算总表</w:t>
          </w:r>
          <w:r>
            <w:tab/>
          </w:r>
          <w:r>
            <w:fldChar w:fldCharType="begin"/>
          </w:r>
          <w:r>
            <w:instrText xml:space="preserve"> PAGEREF _Toc26879 \h </w:instrText>
          </w:r>
          <w:r>
            <w:fldChar w:fldCharType="separate"/>
          </w:r>
          <w:r>
            <w:t>115</w:t>
          </w:r>
          <w:r>
            <w:fldChar w:fldCharType="end"/>
          </w:r>
          <w:r>
            <w:rPr>
              <w:rFonts w:hint="default"/>
              <w:szCs w:val="24"/>
            </w:rPr>
            <w:fldChar w:fldCharType="end"/>
          </w:r>
        </w:p>
        <w:p w14:paraId="0A8DC35F">
          <w:pPr>
            <w:pStyle w:val="11"/>
            <w:tabs>
              <w:tab w:val="right" w:leader="dot" w:pos="9179"/>
            </w:tabs>
          </w:pPr>
          <w:r>
            <w:rPr>
              <w:rFonts w:hint="default"/>
              <w:szCs w:val="24"/>
            </w:rPr>
            <w:fldChar w:fldCharType="begin"/>
          </w:r>
          <w:r>
            <w:rPr>
              <w:rFonts w:hint="default"/>
              <w:szCs w:val="24"/>
            </w:rPr>
            <w:instrText xml:space="preserve"> HYPERLINK \l _Toc15886 </w:instrText>
          </w:r>
          <w:r>
            <w:rPr>
              <w:rFonts w:hint="default"/>
              <w:szCs w:val="24"/>
            </w:rPr>
            <w:fldChar w:fldCharType="separate"/>
          </w:r>
          <w:r>
            <w:rPr>
              <w:rFonts w:hint="eastAsia" w:ascii="仿宋_GB2312" w:hAnsi="仿宋_GB2312" w:eastAsia="仿宋_GB2312"/>
              <w:kern w:val="2"/>
              <w:szCs w:val="24"/>
            </w:rPr>
            <w:t>二、收入决算表</w:t>
          </w:r>
          <w:r>
            <w:tab/>
          </w:r>
          <w:r>
            <w:fldChar w:fldCharType="begin"/>
          </w:r>
          <w:r>
            <w:instrText xml:space="preserve"> PAGEREF _Toc15886 \h </w:instrText>
          </w:r>
          <w:r>
            <w:fldChar w:fldCharType="separate"/>
          </w:r>
          <w:r>
            <w:t>115</w:t>
          </w:r>
          <w:r>
            <w:fldChar w:fldCharType="end"/>
          </w:r>
          <w:r>
            <w:rPr>
              <w:rFonts w:hint="default"/>
              <w:szCs w:val="24"/>
            </w:rPr>
            <w:fldChar w:fldCharType="end"/>
          </w:r>
        </w:p>
        <w:p w14:paraId="646D27CB">
          <w:pPr>
            <w:pStyle w:val="11"/>
            <w:tabs>
              <w:tab w:val="right" w:leader="dot" w:pos="9179"/>
            </w:tabs>
          </w:pPr>
          <w:r>
            <w:rPr>
              <w:rFonts w:hint="default"/>
              <w:szCs w:val="24"/>
            </w:rPr>
            <w:fldChar w:fldCharType="begin"/>
          </w:r>
          <w:r>
            <w:rPr>
              <w:rFonts w:hint="default"/>
              <w:szCs w:val="24"/>
            </w:rPr>
            <w:instrText xml:space="preserve"> HYPERLINK \l _Toc1856 </w:instrText>
          </w:r>
          <w:r>
            <w:rPr>
              <w:rFonts w:hint="default"/>
              <w:szCs w:val="24"/>
            </w:rPr>
            <w:fldChar w:fldCharType="separate"/>
          </w:r>
          <w:r>
            <w:rPr>
              <w:rFonts w:hint="eastAsia" w:ascii="仿宋_GB2312" w:hAnsi="仿宋_GB2312" w:eastAsia="仿宋_GB2312"/>
              <w:kern w:val="2"/>
              <w:szCs w:val="24"/>
            </w:rPr>
            <w:t>三、支出决算表</w:t>
          </w:r>
          <w:r>
            <w:tab/>
          </w:r>
          <w:r>
            <w:fldChar w:fldCharType="begin"/>
          </w:r>
          <w:r>
            <w:instrText xml:space="preserve"> PAGEREF _Toc1856 \h </w:instrText>
          </w:r>
          <w:r>
            <w:fldChar w:fldCharType="separate"/>
          </w:r>
          <w:r>
            <w:t>115</w:t>
          </w:r>
          <w:r>
            <w:fldChar w:fldCharType="end"/>
          </w:r>
          <w:r>
            <w:rPr>
              <w:rFonts w:hint="default"/>
              <w:szCs w:val="24"/>
            </w:rPr>
            <w:fldChar w:fldCharType="end"/>
          </w:r>
        </w:p>
        <w:p w14:paraId="7C052B60">
          <w:pPr>
            <w:pStyle w:val="11"/>
            <w:tabs>
              <w:tab w:val="right" w:leader="dot" w:pos="9179"/>
            </w:tabs>
          </w:pPr>
          <w:r>
            <w:rPr>
              <w:rFonts w:hint="default"/>
              <w:szCs w:val="24"/>
            </w:rPr>
            <w:fldChar w:fldCharType="begin"/>
          </w:r>
          <w:r>
            <w:rPr>
              <w:rFonts w:hint="default"/>
              <w:szCs w:val="24"/>
            </w:rPr>
            <w:instrText xml:space="preserve"> HYPERLINK \l _Toc1724 </w:instrText>
          </w:r>
          <w:r>
            <w:rPr>
              <w:rFonts w:hint="default"/>
              <w:szCs w:val="24"/>
            </w:rPr>
            <w:fldChar w:fldCharType="separate"/>
          </w:r>
          <w:r>
            <w:rPr>
              <w:rFonts w:hint="eastAsia" w:ascii="仿宋_GB2312" w:hAnsi="仿宋_GB2312" w:eastAsia="仿宋_GB2312"/>
              <w:kern w:val="2"/>
              <w:szCs w:val="24"/>
            </w:rPr>
            <w:t>四、财政拨款收入支出决算总表</w:t>
          </w:r>
          <w:r>
            <w:tab/>
          </w:r>
          <w:r>
            <w:fldChar w:fldCharType="begin"/>
          </w:r>
          <w:r>
            <w:instrText xml:space="preserve"> PAGEREF _Toc1724 \h </w:instrText>
          </w:r>
          <w:r>
            <w:fldChar w:fldCharType="separate"/>
          </w:r>
          <w:r>
            <w:t>115</w:t>
          </w:r>
          <w:r>
            <w:fldChar w:fldCharType="end"/>
          </w:r>
          <w:r>
            <w:rPr>
              <w:rFonts w:hint="default"/>
              <w:szCs w:val="24"/>
            </w:rPr>
            <w:fldChar w:fldCharType="end"/>
          </w:r>
        </w:p>
        <w:p w14:paraId="2D6AEBB0">
          <w:pPr>
            <w:pStyle w:val="11"/>
            <w:tabs>
              <w:tab w:val="right" w:leader="dot" w:pos="9179"/>
            </w:tabs>
          </w:pPr>
          <w:r>
            <w:rPr>
              <w:rFonts w:hint="default"/>
              <w:szCs w:val="24"/>
            </w:rPr>
            <w:fldChar w:fldCharType="begin"/>
          </w:r>
          <w:r>
            <w:rPr>
              <w:rFonts w:hint="default"/>
              <w:szCs w:val="24"/>
            </w:rPr>
            <w:instrText xml:space="preserve"> HYPERLINK \l _Toc6785 </w:instrText>
          </w:r>
          <w:r>
            <w:rPr>
              <w:rFonts w:hint="default"/>
              <w:szCs w:val="24"/>
            </w:rPr>
            <w:fldChar w:fldCharType="separate"/>
          </w:r>
          <w:r>
            <w:rPr>
              <w:rFonts w:hint="eastAsia" w:ascii="仿宋_GB2312" w:hAnsi="仿宋_GB2312" w:eastAsia="仿宋_GB2312"/>
              <w:kern w:val="2"/>
              <w:szCs w:val="24"/>
            </w:rPr>
            <w:t>五、财政拨款支出决算明细表</w:t>
          </w:r>
          <w:r>
            <w:tab/>
          </w:r>
          <w:r>
            <w:fldChar w:fldCharType="begin"/>
          </w:r>
          <w:r>
            <w:instrText xml:space="preserve"> PAGEREF _Toc6785 \h </w:instrText>
          </w:r>
          <w:r>
            <w:fldChar w:fldCharType="separate"/>
          </w:r>
          <w:r>
            <w:t>115</w:t>
          </w:r>
          <w:r>
            <w:fldChar w:fldCharType="end"/>
          </w:r>
          <w:r>
            <w:rPr>
              <w:rFonts w:hint="default"/>
              <w:szCs w:val="24"/>
            </w:rPr>
            <w:fldChar w:fldCharType="end"/>
          </w:r>
        </w:p>
        <w:p w14:paraId="77BB6B17">
          <w:pPr>
            <w:pStyle w:val="11"/>
            <w:tabs>
              <w:tab w:val="right" w:leader="dot" w:pos="9179"/>
            </w:tabs>
          </w:pPr>
          <w:r>
            <w:rPr>
              <w:rFonts w:hint="default"/>
              <w:szCs w:val="24"/>
            </w:rPr>
            <w:fldChar w:fldCharType="begin"/>
          </w:r>
          <w:r>
            <w:rPr>
              <w:rFonts w:hint="default"/>
              <w:szCs w:val="24"/>
            </w:rPr>
            <w:instrText xml:space="preserve"> HYPERLINK \l _Toc32308 </w:instrText>
          </w:r>
          <w:r>
            <w:rPr>
              <w:rFonts w:hint="default"/>
              <w:szCs w:val="24"/>
            </w:rPr>
            <w:fldChar w:fldCharType="separate"/>
          </w:r>
          <w:r>
            <w:rPr>
              <w:rFonts w:hint="eastAsia" w:ascii="仿宋_GB2312" w:hAnsi="仿宋_GB2312" w:eastAsia="仿宋_GB2312"/>
              <w:kern w:val="2"/>
              <w:szCs w:val="24"/>
            </w:rPr>
            <w:t>六、一般公共预算财政拨款支出决算表</w:t>
          </w:r>
          <w:r>
            <w:tab/>
          </w:r>
          <w:r>
            <w:fldChar w:fldCharType="begin"/>
          </w:r>
          <w:r>
            <w:instrText xml:space="preserve"> PAGEREF _Toc32308 \h </w:instrText>
          </w:r>
          <w:r>
            <w:fldChar w:fldCharType="separate"/>
          </w:r>
          <w:r>
            <w:t>115</w:t>
          </w:r>
          <w:r>
            <w:fldChar w:fldCharType="end"/>
          </w:r>
          <w:r>
            <w:rPr>
              <w:rFonts w:hint="default"/>
              <w:szCs w:val="24"/>
            </w:rPr>
            <w:fldChar w:fldCharType="end"/>
          </w:r>
        </w:p>
        <w:p w14:paraId="55B35342">
          <w:pPr>
            <w:pStyle w:val="11"/>
            <w:tabs>
              <w:tab w:val="right" w:leader="dot" w:pos="9179"/>
            </w:tabs>
          </w:pPr>
          <w:r>
            <w:rPr>
              <w:rFonts w:hint="default"/>
              <w:szCs w:val="24"/>
            </w:rPr>
            <w:fldChar w:fldCharType="begin"/>
          </w:r>
          <w:r>
            <w:rPr>
              <w:rFonts w:hint="default"/>
              <w:szCs w:val="24"/>
            </w:rPr>
            <w:instrText xml:space="preserve"> HYPERLINK \l _Toc13572 </w:instrText>
          </w:r>
          <w:r>
            <w:rPr>
              <w:rFonts w:hint="default"/>
              <w:szCs w:val="24"/>
            </w:rPr>
            <w:fldChar w:fldCharType="separate"/>
          </w:r>
          <w:r>
            <w:rPr>
              <w:rFonts w:hint="eastAsia" w:ascii="仿宋_GB2312" w:hAnsi="仿宋_GB2312" w:eastAsia="仿宋_GB2312"/>
              <w:kern w:val="2"/>
              <w:szCs w:val="24"/>
            </w:rPr>
            <w:t>七、一般公共预算财政拨款支出决算明细表</w:t>
          </w:r>
          <w:r>
            <w:tab/>
          </w:r>
          <w:r>
            <w:fldChar w:fldCharType="begin"/>
          </w:r>
          <w:r>
            <w:instrText xml:space="preserve"> PAGEREF _Toc13572 \h </w:instrText>
          </w:r>
          <w:r>
            <w:fldChar w:fldCharType="separate"/>
          </w:r>
          <w:r>
            <w:t>115</w:t>
          </w:r>
          <w:r>
            <w:fldChar w:fldCharType="end"/>
          </w:r>
          <w:r>
            <w:rPr>
              <w:rFonts w:hint="default"/>
              <w:szCs w:val="24"/>
            </w:rPr>
            <w:fldChar w:fldCharType="end"/>
          </w:r>
        </w:p>
        <w:p w14:paraId="6F7CAB56">
          <w:pPr>
            <w:pStyle w:val="11"/>
            <w:tabs>
              <w:tab w:val="right" w:leader="dot" w:pos="9179"/>
            </w:tabs>
          </w:pPr>
          <w:r>
            <w:rPr>
              <w:rFonts w:hint="default"/>
              <w:szCs w:val="24"/>
            </w:rPr>
            <w:fldChar w:fldCharType="begin"/>
          </w:r>
          <w:r>
            <w:rPr>
              <w:rFonts w:hint="default"/>
              <w:szCs w:val="24"/>
            </w:rPr>
            <w:instrText xml:space="preserve"> HYPERLINK \l _Toc28175 </w:instrText>
          </w:r>
          <w:r>
            <w:rPr>
              <w:rFonts w:hint="default"/>
              <w:szCs w:val="24"/>
            </w:rPr>
            <w:fldChar w:fldCharType="separate"/>
          </w:r>
          <w:r>
            <w:rPr>
              <w:rFonts w:hint="eastAsia" w:ascii="仿宋_GB2312" w:hAnsi="仿宋_GB2312" w:eastAsia="仿宋_GB2312"/>
              <w:kern w:val="2"/>
              <w:szCs w:val="24"/>
            </w:rPr>
            <w:t>八、一般公共预算财政拨款基本支出决算表</w:t>
          </w:r>
          <w:r>
            <w:tab/>
          </w:r>
          <w:r>
            <w:fldChar w:fldCharType="begin"/>
          </w:r>
          <w:r>
            <w:instrText xml:space="preserve"> PAGEREF _Toc28175 \h </w:instrText>
          </w:r>
          <w:r>
            <w:fldChar w:fldCharType="separate"/>
          </w:r>
          <w:r>
            <w:t>115</w:t>
          </w:r>
          <w:r>
            <w:fldChar w:fldCharType="end"/>
          </w:r>
          <w:r>
            <w:rPr>
              <w:rFonts w:hint="default"/>
              <w:szCs w:val="24"/>
            </w:rPr>
            <w:fldChar w:fldCharType="end"/>
          </w:r>
        </w:p>
        <w:p w14:paraId="13119619">
          <w:pPr>
            <w:pStyle w:val="11"/>
            <w:tabs>
              <w:tab w:val="right" w:leader="dot" w:pos="9179"/>
            </w:tabs>
          </w:pPr>
          <w:r>
            <w:rPr>
              <w:rFonts w:hint="default"/>
              <w:szCs w:val="24"/>
            </w:rPr>
            <w:fldChar w:fldCharType="begin"/>
          </w:r>
          <w:r>
            <w:rPr>
              <w:rFonts w:hint="default"/>
              <w:szCs w:val="24"/>
            </w:rPr>
            <w:instrText xml:space="preserve"> HYPERLINK \l _Toc24814 </w:instrText>
          </w:r>
          <w:r>
            <w:rPr>
              <w:rFonts w:hint="default"/>
              <w:szCs w:val="24"/>
            </w:rPr>
            <w:fldChar w:fldCharType="separate"/>
          </w:r>
          <w:r>
            <w:rPr>
              <w:rFonts w:hint="eastAsia" w:ascii="仿宋_GB2312" w:hAnsi="仿宋_GB2312" w:eastAsia="仿宋_GB2312"/>
              <w:kern w:val="2"/>
              <w:szCs w:val="24"/>
            </w:rPr>
            <w:t>九、一般公共预算财政拨款项目支出决算表</w:t>
          </w:r>
          <w:r>
            <w:tab/>
          </w:r>
          <w:r>
            <w:fldChar w:fldCharType="begin"/>
          </w:r>
          <w:r>
            <w:instrText xml:space="preserve"> PAGEREF _Toc24814 \h </w:instrText>
          </w:r>
          <w:r>
            <w:fldChar w:fldCharType="separate"/>
          </w:r>
          <w:r>
            <w:t>115</w:t>
          </w:r>
          <w:r>
            <w:fldChar w:fldCharType="end"/>
          </w:r>
          <w:r>
            <w:rPr>
              <w:rFonts w:hint="default"/>
              <w:szCs w:val="24"/>
            </w:rPr>
            <w:fldChar w:fldCharType="end"/>
          </w:r>
        </w:p>
        <w:p w14:paraId="00CB808E">
          <w:pPr>
            <w:pStyle w:val="11"/>
            <w:tabs>
              <w:tab w:val="right" w:leader="dot" w:pos="9179"/>
            </w:tabs>
          </w:pPr>
          <w:r>
            <w:rPr>
              <w:rFonts w:hint="default"/>
              <w:szCs w:val="24"/>
            </w:rPr>
            <w:fldChar w:fldCharType="begin"/>
          </w:r>
          <w:r>
            <w:rPr>
              <w:rFonts w:hint="default"/>
              <w:szCs w:val="24"/>
            </w:rPr>
            <w:instrText xml:space="preserve"> HYPERLINK \l _Toc19202 </w:instrText>
          </w:r>
          <w:r>
            <w:rPr>
              <w:rFonts w:hint="default"/>
              <w:szCs w:val="24"/>
            </w:rPr>
            <w:fldChar w:fldCharType="separate"/>
          </w:r>
          <w:r>
            <w:rPr>
              <w:rFonts w:hint="eastAsia" w:ascii="仿宋_GB2312" w:hAnsi="仿宋_GB2312" w:eastAsia="仿宋_GB2312"/>
              <w:kern w:val="2"/>
              <w:szCs w:val="24"/>
            </w:rPr>
            <w:t>十、政府性基金预算财政拨款收入支出决算表</w:t>
          </w:r>
          <w:r>
            <w:tab/>
          </w:r>
          <w:r>
            <w:fldChar w:fldCharType="begin"/>
          </w:r>
          <w:r>
            <w:instrText xml:space="preserve"> PAGEREF _Toc19202 \h </w:instrText>
          </w:r>
          <w:r>
            <w:fldChar w:fldCharType="separate"/>
          </w:r>
          <w:r>
            <w:t>115</w:t>
          </w:r>
          <w:r>
            <w:fldChar w:fldCharType="end"/>
          </w:r>
          <w:r>
            <w:rPr>
              <w:rFonts w:hint="default"/>
              <w:szCs w:val="24"/>
            </w:rPr>
            <w:fldChar w:fldCharType="end"/>
          </w:r>
        </w:p>
        <w:p w14:paraId="620297E5">
          <w:pPr>
            <w:pStyle w:val="11"/>
            <w:tabs>
              <w:tab w:val="right" w:leader="dot" w:pos="9179"/>
            </w:tabs>
          </w:pPr>
          <w:r>
            <w:rPr>
              <w:rFonts w:hint="default"/>
              <w:szCs w:val="24"/>
            </w:rPr>
            <w:fldChar w:fldCharType="begin"/>
          </w:r>
          <w:r>
            <w:rPr>
              <w:rFonts w:hint="default"/>
              <w:szCs w:val="24"/>
            </w:rPr>
            <w:instrText xml:space="preserve"> HYPERLINK \l _Toc11936 </w:instrText>
          </w:r>
          <w:r>
            <w:rPr>
              <w:rFonts w:hint="default"/>
              <w:szCs w:val="24"/>
            </w:rPr>
            <w:fldChar w:fldCharType="separate"/>
          </w:r>
          <w:r>
            <w:rPr>
              <w:rFonts w:hint="eastAsia" w:ascii="仿宋_GB2312" w:hAnsi="仿宋_GB2312" w:eastAsia="仿宋_GB2312"/>
              <w:kern w:val="2"/>
              <w:szCs w:val="24"/>
            </w:rPr>
            <w:t>十一、国有资本经营预算财政拨款收入支出决算表</w:t>
          </w:r>
          <w:r>
            <w:tab/>
          </w:r>
          <w:r>
            <w:fldChar w:fldCharType="begin"/>
          </w:r>
          <w:r>
            <w:instrText xml:space="preserve"> PAGEREF _Toc11936 \h </w:instrText>
          </w:r>
          <w:r>
            <w:fldChar w:fldCharType="separate"/>
          </w:r>
          <w:r>
            <w:t>115</w:t>
          </w:r>
          <w:r>
            <w:fldChar w:fldCharType="end"/>
          </w:r>
          <w:r>
            <w:rPr>
              <w:rFonts w:hint="default"/>
              <w:szCs w:val="24"/>
            </w:rPr>
            <w:fldChar w:fldCharType="end"/>
          </w:r>
        </w:p>
        <w:p w14:paraId="502633E8">
          <w:pPr>
            <w:pStyle w:val="11"/>
            <w:tabs>
              <w:tab w:val="right" w:leader="dot" w:pos="9179"/>
            </w:tabs>
          </w:pPr>
          <w:r>
            <w:rPr>
              <w:rFonts w:hint="default"/>
              <w:szCs w:val="24"/>
            </w:rPr>
            <w:fldChar w:fldCharType="begin"/>
          </w:r>
          <w:r>
            <w:rPr>
              <w:rFonts w:hint="default"/>
              <w:szCs w:val="24"/>
            </w:rPr>
            <w:instrText xml:space="preserve"> HYPERLINK \l _Toc8293 </w:instrText>
          </w:r>
          <w:r>
            <w:rPr>
              <w:rFonts w:hint="default"/>
              <w:szCs w:val="24"/>
            </w:rPr>
            <w:fldChar w:fldCharType="separate"/>
          </w:r>
          <w:r>
            <w:rPr>
              <w:rFonts w:hint="eastAsia" w:ascii="仿宋_GB2312" w:hAnsi="仿宋_GB2312" w:eastAsia="仿宋_GB2312"/>
              <w:kern w:val="2"/>
              <w:szCs w:val="24"/>
            </w:rPr>
            <w:t>十二、国有资本经营预算财政拨款支出决算表</w:t>
          </w:r>
          <w:r>
            <w:tab/>
          </w:r>
          <w:r>
            <w:fldChar w:fldCharType="begin"/>
          </w:r>
          <w:r>
            <w:instrText xml:space="preserve"> PAGEREF _Toc8293 \h </w:instrText>
          </w:r>
          <w:r>
            <w:fldChar w:fldCharType="separate"/>
          </w:r>
          <w:r>
            <w:t>115</w:t>
          </w:r>
          <w:r>
            <w:fldChar w:fldCharType="end"/>
          </w:r>
          <w:r>
            <w:rPr>
              <w:rFonts w:hint="default"/>
              <w:szCs w:val="24"/>
            </w:rPr>
            <w:fldChar w:fldCharType="end"/>
          </w:r>
        </w:p>
        <w:p w14:paraId="618D3568">
          <w:pPr>
            <w:pStyle w:val="11"/>
            <w:tabs>
              <w:tab w:val="right" w:leader="dot" w:pos="9179"/>
            </w:tabs>
          </w:pPr>
          <w:r>
            <w:rPr>
              <w:rFonts w:hint="default"/>
              <w:szCs w:val="24"/>
            </w:rPr>
            <w:fldChar w:fldCharType="begin"/>
          </w:r>
          <w:r>
            <w:rPr>
              <w:rFonts w:hint="default"/>
              <w:szCs w:val="24"/>
            </w:rPr>
            <w:instrText xml:space="preserve"> HYPERLINK \l _Toc11942 </w:instrText>
          </w:r>
          <w:r>
            <w:rPr>
              <w:rFonts w:hint="default"/>
              <w:szCs w:val="24"/>
            </w:rPr>
            <w:fldChar w:fldCharType="separate"/>
          </w:r>
          <w:r>
            <w:rPr>
              <w:rFonts w:hint="eastAsia" w:ascii="仿宋_GB2312" w:hAnsi="仿宋_GB2312" w:eastAsia="仿宋_GB2312"/>
              <w:kern w:val="2"/>
              <w:szCs w:val="24"/>
            </w:rPr>
            <w:t>十三、财政拨款“三公”经费支出决算表</w:t>
          </w:r>
          <w:r>
            <w:tab/>
          </w:r>
          <w:r>
            <w:fldChar w:fldCharType="begin"/>
          </w:r>
          <w:r>
            <w:instrText xml:space="preserve"> PAGEREF _Toc11942 \h </w:instrText>
          </w:r>
          <w:r>
            <w:fldChar w:fldCharType="separate"/>
          </w:r>
          <w:r>
            <w:t>115</w:t>
          </w:r>
          <w:r>
            <w:fldChar w:fldCharType="end"/>
          </w:r>
          <w:r>
            <w:rPr>
              <w:rFonts w:hint="default"/>
              <w:szCs w:val="24"/>
            </w:rPr>
            <w:fldChar w:fldCharType="end"/>
          </w:r>
        </w:p>
        <w:p w14:paraId="21DBD3EE">
          <w:pPr>
            <w:widowControl/>
            <w:kinsoku/>
            <w:wordWrap/>
            <w:autoSpaceDE w:val="0"/>
            <w:autoSpaceDN w:val="0"/>
            <w:bidi w:val="0"/>
            <w:adjustRightInd w:val="0"/>
            <w:snapToGrid w:val="0"/>
            <w:spacing w:beforeLines="0" w:afterLines="0" w:line="576" w:lineRule="exact"/>
            <w:textAlignment w:val="auto"/>
            <w:rPr>
              <w:rFonts w:hint="default" w:ascii="Times New Roman" w:hAnsi="Times New Roman" w:eastAsia="宋体" w:cs="Times New Roman"/>
              <w:sz w:val="24"/>
              <w:szCs w:val="24"/>
              <w:lang w:val="en-US" w:eastAsia="zh-CN" w:bidi="ar-SA"/>
            </w:rPr>
          </w:pPr>
          <w:r>
            <w:rPr>
              <w:rFonts w:hint="default"/>
              <w:szCs w:val="24"/>
            </w:rPr>
            <w:fldChar w:fldCharType="end"/>
          </w:r>
        </w:p>
      </w:sdtContent>
    </w:sdt>
    <w:p w14:paraId="7D9BE8DC">
      <w:pPr>
        <w:pStyle w:val="2"/>
        <w:rPr>
          <w:rFonts w:hint="default"/>
        </w:rPr>
      </w:pPr>
    </w:p>
    <w:p w14:paraId="35B1BBA7">
      <w:pPr>
        <w:kinsoku/>
        <w:wordWrap/>
        <w:autoSpaceDE w:val="0"/>
        <w:autoSpaceDN w:val="0"/>
        <w:bidi w:val="0"/>
        <w:adjustRightInd w:val="0"/>
        <w:spacing w:beforeLines="0" w:afterLines="0" w:line="576" w:lineRule="exact"/>
        <w:textAlignment w:val="auto"/>
        <w:rPr>
          <w:rFonts w:hint="default"/>
          <w:sz w:val="24"/>
          <w:szCs w:val="24"/>
        </w:rPr>
      </w:pPr>
    </w:p>
    <w:p w14:paraId="37F3BA2D">
      <w:pPr>
        <w:pStyle w:val="2"/>
        <w:kinsoku/>
        <w:wordWrap/>
        <w:autoSpaceDE w:val="0"/>
        <w:autoSpaceDN w:val="0"/>
        <w:bidi w:val="0"/>
        <w:adjustRightInd w:val="0"/>
        <w:spacing w:before="72" w:afterLines="0" w:line="576" w:lineRule="exact"/>
        <w:textAlignment w:val="auto"/>
        <w:rPr>
          <w:rFonts w:hint="eastAsia"/>
          <w:sz w:val="30"/>
          <w:szCs w:val="24"/>
        </w:rPr>
        <w:sectPr>
          <w:pgSz w:w="12240" w:h="15840"/>
          <w:pgMar w:top="2098" w:right="1474" w:bottom="1984" w:left="1587" w:header="720" w:footer="720" w:gutter="0"/>
          <w:pgBorders>
            <w:top w:val="none" w:sz="0" w:space="0"/>
            <w:left w:val="none" w:sz="0" w:space="0"/>
            <w:bottom w:val="none" w:sz="0" w:space="0"/>
            <w:right w:val="none" w:sz="0" w:space="0"/>
          </w:pgBorders>
          <w:lnNumType w:countBy="0" w:distance="360"/>
          <w:cols w:space="0" w:num="1"/>
          <w:rtlGutter w:val="0"/>
          <w:docGrid w:linePitch="0" w:charSpace="0"/>
        </w:sectPr>
      </w:pPr>
    </w:p>
    <w:p w14:paraId="41ACF301">
      <w:pPr>
        <w:pStyle w:val="3"/>
        <w:keepNext/>
        <w:keepLines/>
        <w:pageBreakBefore/>
        <w:kinsoku/>
        <w:wordWrap/>
        <w:autoSpaceDE w:val="0"/>
        <w:autoSpaceDN w:val="0"/>
        <w:bidi w:val="0"/>
        <w:adjustRightInd w:val="0"/>
        <w:spacing w:beforeLines="0" w:after="313" w:afterLines="0" w:line="576" w:lineRule="exact"/>
        <w:jc w:val="center"/>
        <w:textAlignment w:val="auto"/>
        <w:rPr>
          <w:rFonts w:hint="eastAsia" w:ascii="黑体" w:hAnsi="黑体" w:eastAsia="黑体"/>
          <w:b/>
          <w:kern w:val="44"/>
          <w:sz w:val="44"/>
          <w:szCs w:val="24"/>
        </w:rPr>
      </w:pPr>
      <w:bookmarkStart w:id="0" w:name="_Toc15149"/>
      <w:r>
        <w:rPr>
          <w:rFonts w:hint="eastAsia" w:ascii="黑体" w:hAnsi="黑体" w:eastAsia="黑体"/>
          <w:kern w:val="44"/>
          <w:sz w:val="44"/>
          <w:szCs w:val="24"/>
        </w:rPr>
        <w:t>第一部分 部门概况</w:t>
      </w:r>
      <w:bookmarkEnd w:id="0"/>
    </w:p>
    <w:p w14:paraId="5B71582A">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黑体" w:hAnsi="黑体" w:eastAsia="黑体"/>
          <w:kern w:val="2"/>
          <w:sz w:val="32"/>
          <w:szCs w:val="24"/>
        </w:rPr>
      </w:pPr>
      <w:bookmarkStart w:id="1" w:name="_Toc17549"/>
      <w:r>
        <w:rPr>
          <w:rFonts w:hint="eastAsia" w:ascii="黑体" w:hAnsi="黑体" w:eastAsia="黑体"/>
          <w:color w:val="000000"/>
          <w:kern w:val="2"/>
          <w:sz w:val="32"/>
          <w:szCs w:val="24"/>
        </w:rPr>
        <w:t>一、部门职责</w:t>
      </w:r>
      <w:bookmarkEnd w:id="1"/>
    </w:p>
    <w:p w14:paraId="6F8D250D">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r>
        <w:rPr>
          <w:rFonts w:hint="eastAsia" w:ascii="仿宋_GB2312" w:hAnsi="仿宋_GB2312" w:eastAsia="仿宋_GB2312"/>
          <w:kern w:val="2"/>
          <w:sz w:val="32"/>
          <w:szCs w:val="24"/>
        </w:rPr>
        <w:t>（一）主要职能。</w:t>
      </w:r>
    </w:p>
    <w:p w14:paraId="78B45A0A">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负责全区市场综合监督管理工作</w:t>
      </w:r>
      <w:r>
        <w:rPr>
          <w:rFonts w:hint="eastAsia" w:ascii="仿宋_GB2312" w:hAnsi="仿宋_GB2312" w:eastAsia="仿宋_GB2312"/>
          <w:color w:val="000000"/>
          <w:sz w:val="32"/>
          <w:szCs w:val="24"/>
          <w:highlight w:val="none"/>
          <w:lang w:eastAsia="zh-CN"/>
        </w:rPr>
        <w:t>。</w:t>
      </w:r>
    </w:p>
    <w:p w14:paraId="3494E759">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2</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负责全区市场主体统一登记注册</w:t>
      </w:r>
      <w:r>
        <w:rPr>
          <w:rFonts w:hint="eastAsia" w:ascii="仿宋_GB2312" w:hAnsi="仿宋_GB2312" w:eastAsia="仿宋_GB2312"/>
          <w:color w:val="000000"/>
          <w:sz w:val="32"/>
          <w:szCs w:val="24"/>
          <w:highlight w:val="none"/>
          <w:lang w:eastAsia="zh-CN"/>
        </w:rPr>
        <w:t>。</w:t>
      </w:r>
    </w:p>
    <w:p w14:paraId="363BC0C5">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3</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负责组织和指导全区市场监管综合执法工作</w:t>
      </w:r>
      <w:r>
        <w:rPr>
          <w:rFonts w:hint="eastAsia" w:ascii="仿宋_GB2312" w:hAnsi="仿宋_GB2312" w:eastAsia="仿宋_GB2312"/>
          <w:color w:val="000000"/>
          <w:sz w:val="32"/>
          <w:szCs w:val="24"/>
          <w:highlight w:val="none"/>
          <w:lang w:eastAsia="zh-CN"/>
        </w:rPr>
        <w:t>。</w:t>
      </w:r>
    </w:p>
    <w:p w14:paraId="13C9B2B7">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4</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负责全区反垄断统一执法</w:t>
      </w:r>
      <w:r>
        <w:rPr>
          <w:rFonts w:hint="eastAsia" w:ascii="仿宋_GB2312" w:hAnsi="仿宋_GB2312" w:eastAsia="仿宋_GB2312"/>
          <w:color w:val="000000"/>
          <w:sz w:val="32"/>
          <w:szCs w:val="24"/>
          <w:highlight w:val="none"/>
          <w:lang w:eastAsia="zh-CN"/>
        </w:rPr>
        <w:t>。</w:t>
      </w:r>
    </w:p>
    <w:p w14:paraId="7CB72D14">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5</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负责监督管理全区市场秩序</w:t>
      </w:r>
      <w:r>
        <w:rPr>
          <w:rFonts w:hint="eastAsia" w:ascii="仿宋_GB2312" w:hAnsi="仿宋_GB2312" w:eastAsia="仿宋_GB2312"/>
          <w:color w:val="000000"/>
          <w:sz w:val="32"/>
          <w:szCs w:val="24"/>
          <w:highlight w:val="none"/>
          <w:lang w:eastAsia="zh-CN"/>
        </w:rPr>
        <w:t>。</w:t>
      </w:r>
    </w:p>
    <w:p w14:paraId="52FDCC1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6</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负责全区宏观质量管理</w:t>
      </w:r>
      <w:r>
        <w:rPr>
          <w:rFonts w:hint="eastAsia" w:ascii="仿宋_GB2312" w:hAnsi="仿宋_GB2312" w:eastAsia="仿宋_GB2312"/>
          <w:color w:val="000000"/>
          <w:sz w:val="32"/>
          <w:szCs w:val="24"/>
          <w:highlight w:val="none"/>
          <w:lang w:eastAsia="zh-CN"/>
        </w:rPr>
        <w:t>。</w:t>
      </w:r>
    </w:p>
    <w:p w14:paraId="2DD0098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7</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负责全区产品质量安全监督管理</w:t>
      </w:r>
      <w:r>
        <w:rPr>
          <w:rFonts w:hint="eastAsia" w:ascii="仿宋_GB2312" w:hAnsi="仿宋_GB2312" w:eastAsia="仿宋_GB2312"/>
          <w:color w:val="000000"/>
          <w:sz w:val="32"/>
          <w:szCs w:val="24"/>
          <w:highlight w:val="none"/>
          <w:lang w:eastAsia="zh-CN"/>
        </w:rPr>
        <w:t>。</w:t>
      </w:r>
    </w:p>
    <w:p w14:paraId="2E3C63A5">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8</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负责全区特种设备安全监督管理</w:t>
      </w:r>
      <w:r>
        <w:rPr>
          <w:rFonts w:hint="eastAsia" w:ascii="仿宋_GB2312" w:hAnsi="仿宋_GB2312" w:eastAsia="仿宋_GB2312"/>
          <w:color w:val="000000"/>
          <w:sz w:val="32"/>
          <w:szCs w:val="24"/>
          <w:highlight w:val="none"/>
          <w:lang w:eastAsia="zh-CN"/>
        </w:rPr>
        <w:t>。</w:t>
      </w:r>
    </w:p>
    <w:p w14:paraId="1DBBC00D">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9</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负责全区食品安全监督管理综合协调</w:t>
      </w:r>
      <w:r>
        <w:rPr>
          <w:rFonts w:hint="eastAsia" w:ascii="仿宋_GB2312" w:hAnsi="仿宋_GB2312" w:eastAsia="仿宋_GB2312"/>
          <w:color w:val="000000"/>
          <w:sz w:val="32"/>
          <w:szCs w:val="24"/>
          <w:highlight w:val="none"/>
          <w:lang w:eastAsia="zh-CN"/>
        </w:rPr>
        <w:t>。</w:t>
      </w:r>
    </w:p>
    <w:p w14:paraId="4B4F419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10</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负责全区食品安全监督管理</w:t>
      </w:r>
      <w:r>
        <w:rPr>
          <w:rFonts w:hint="eastAsia" w:ascii="仿宋_GB2312" w:hAnsi="仿宋_GB2312" w:eastAsia="仿宋_GB2312"/>
          <w:color w:val="000000"/>
          <w:sz w:val="32"/>
          <w:szCs w:val="24"/>
          <w:highlight w:val="none"/>
          <w:lang w:eastAsia="zh-CN"/>
        </w:rPr>
        <w:t>。</w:t>
      </w:r>
    </w:p>
    <w:p w14:paraId="49728E86">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11</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负责统一管理全区计量工作</w:t>
      </w:r>
      <w:r>
        <w:rPr>
          <w:rFonts w:hint="eastAsia" w:ascii="仿宋_GB2312" w:hAnsi="仿宋_GB2312" w:eastAsia="仿宋_GB2312"/>
          <w:color w:val="000000"/>
          <w:sz w:val="32"/>
          <w:szCs w:val="24"/>
          <w:highlight w:val="none"/>
          <w:lang w:eastAsia="zh-CN"/>
        </w:rPr>
        <w:t>。</w:t>
      </w:r>
    </w:p>
    <w:p w14:paraId="28C987B4">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12</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负责统一管理全区标准化工作</w:t>
      </w:r>
      <w:r>
        <w:rPr>
          <w:rFonts w:hint="eastAsia" w:ascii="仿宋_GB2312" w:hAnsi="仿宋_GB2312" w:eastAsia="仿宋_GB2312"/>
          <w:color w:val="000000"/>
          <w:sz w:val="32"/>
          <w:szCs w:val="24"/>
          <w:highlight w:val="none"/>
          <w:lang w:eastAsia="zh-CN"/>
        </w:rPr>
        <w:t>。</w:t>
      </w:r>
    </w:p>
    <w:p w14:paraId="68AE10B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13</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负责统一管理全区检验检测工作</w:t>
      </w:r>
      <w:r>
        <w:rPr>
          <w:rFonts w:hint="eastAsia" w:ascii="仿宋_GB2312" w:hAnsi="仿宋_GB2312" w:eastAsia="仿宋_GB2312"/>
          <w:color w:val="000000"/>
          <w:sz w:val="32"/>
          <w:szCs w:val="24"/>
          <w:highlight w:val="none"/>
          <w:lang w:eastAsia="zh-CN"/>
        </w:rPr>
        <w:t>。</w:t>
      </w:r>
    </w:p>
    <w:p w14:paraId="67E5DAA8">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14</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负责统一管理全区认证认可工作</w:t>
      </w:r>
      <w:r>
        <w:rPr>
          <w:rFonts w:hint="eastAsia" w:ascii="仿宋_GB2312" w:hAnsi="仿宋_GB2312" w:eastAsia="仿宋_GB2312"/>
          <w:color w:val="000000"/>
          <w:sz w:val="32"/>
          <w:szCs w:val="24"/>
          <w:highlight w:val="none"/>
          <w:lang w:eastAsia="zh-CN"/>
        </w:rPr>
        <w:t>。</w:t>
      </w:r>
    </w:p>
    <w:p w14:paraId="721C2717">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15</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负责市场监督管理科技和信息化建设</w:t>
      </w:r>
      <w:r>
        <w:rPr>
          <w:rFonts w:hint="eastAsia" w:ascii="仿宋_GB2312" w:hAnsi="仿宋_GB2312" w:eastAsia="仿宋_GB2312"/>
          <w:color w:val="000000"/>
          <w:sz w:val="32"/>
          <w:szCs w:val="24"/>
          <w:highlight w:val="none"/>
          <w:lang w:eastAsia="zh-CN"/>
        </w:rPr>
        <w:t>。</w:t>
      </w:r>
    </w:p>
    <w:p w14:paraId="7AB42278">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16</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负责全区药品、医疗器械和化妆品安全监督管理</w:t>
      </w:r>
      <w:r>
        <w:rPr>
          <w:rFonts w:hint="eastAsia" w:ascii="仿宋_GB2312" w:hAnsi="仿宋_GB2312" w:eastAsia="仿宋_GB2312"/>
          <w:color w:val="000000"/>
          <w:sz w:val="32"/>
          <w:szCs w:val="24"/>
          <w:highlight w:val="none"/>
          <w:lang w:eastAsia="zh-CN"/>
        </w:rPr>
        <w:t>。</w:t>
      </w:r>
    </w:p>
    <w:p w14:paraId="6DAB16F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17</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负责全区知识产权战略和规划的制定，负责知识产权的保护，负责组织指导商标、专利执法工作</w:t>
      </w:r>
      <w:r>
        <w:rPr>
          <w:rFonts w:hint="eastAsia" w:ascii="仿宋_GB2312" w:hAnsi="仿宋_GB2312" w:eastAsia="仿宋_GB2312"/>
          <w:color w:val="000000"/>
          <w:sz w:val="32"/>
          <w:szCs w:val="24"/>
          <w:highlight w:val="none"/>
          <w:lang w:eastAsia="zh-CN"/>
        </w:rPr>
        <w:t>。</w:t>
      </w:r>
    </w:p>
    <w:p w14:paraId="5C340DB3">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lang w:eastAsia="zh-CN"/>
        </w:rPr>
      </w:pPr>
      <w:r>
        <w:rPr>
          <w:rFonts w:hint="eastAsia" w:ascii="仿宋_GB2312" w:hAnsi="仿宋_GB2312" w:eastAsia="仿宋_GB2312"/>
          <w:color w:val="000000"/>
          <w:sz w:val="32"/>
          <w:szCs w:val="24"/>
          <w:highlight w:val="none"/>
        </w:rPr>
        <w:t>18</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贯彻落实中央、省委、市委和区委关于加强民营经济党组织建设有关要求</w:t>
      </w:r>
      <w:r>
        <w:rPr>
          <w:rFonts w:hint="eastAsia" w:ascii="仿宋_GB2312" w:hAnsi="仿宋_GB2312" w:eastAsia="仿宋_GB2312"/>
          <w:color w:val="000000"/>
          <w:sz w:val="32"/>
          <w:szCs w:val="24"/>
          <w:highlight w:val="none"/>
          <w:lang w:eastAsia="zh-CN"/>
        </w:rPr>
        <w:t>。</w:t>
      </w:r>
    </w:p>
    <w:p w14:paraId="0BF5383B">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highlight w:val="none"/>
        </w:rPr>
      </w:pPr>
      <w:r>
        <w:rPr>
          <w:rFonts w:hint="eastAsia" w:ascii="仿宋_GB2312" w:hAnsi="仿宋_GB2312" w:eastAsia="仿宋_GB2312"/>
          <w:color w:val="000000"/>
          <w:sz w:val="32"/>
          <w:szCs w:val="24"/>
          <w:highlight w:val="none"/>
        </w:rPr>
        <w:t>19</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负责职责范围内的安全生产和职业健康、生态环境保护、审批服务便民等工作。</w:t>
      </w:r>
    </w:p>
    <w:p w14:paraId="0696B5A8">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00"/>
          <w:kern w:val="2"/>
          <w:sz w:val="32"/>
          <w:szCs w:val="24"/>
          <w:highlight w:val="yellow"/>
        </w:rPr>
      </w:pPr>
      <w:r>
        <w:rPr>
          <w:rFonts w:hint="eastAsia" w:ascii="仿宋_GB2312" w:hAnsi="仿宋_GB2312" w:eastAsia="仿宋_GB2312"/>
          <w:color w:val="000000"/>
          <w:sz w:val="32"/>
          <w:szCs w:val="24"/>
          <w:highlight w:val="none"/>
        </w:rPr>
        <w:t>20</w:t>
      </w:r>
      <w:r>
        <w:rPr>
          <w:rFonts w:hint="eastAsia" w:ascii="仿宋_GB2312" w:hAnsi="仿宋_GB2312" w:eastAsia="仿宋_GB2312"/>
          <w:color w:val="000000"/>
          <w:sz w:val="32"/>
          <w:szCs w:val="24"/>
          <w:highlight w:val="none"/>
          <w:lang w:eastAsia="zh-CN"/>
        </w:rPr>
        <w:t>．</w:t>
      </w:r>
      <w:r>
        <w:rPr>
          <w:rFonts w:hint="eastAsia" w:ascii="仿宋_GB2312" w:hAnsi="仿宋_GB2312" w:eastAsia="仿宋_GB2312"/>
          <w:color w:val="000000"/>
          <w:sz w:val="32"/>
          <w:szCs w:val="24"/>
          <w:highlight w:val="none"/>
        </w:rPr>
        <w:t>完成区委区政府交办的其他任务。</w:t>
      </w:r>
    </w:p>
    <w:p w14:paraId="558690E5">
      <w:pPr>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FF"/>
          <w:sz w:val="32"/>
          <w:szCs w:val="24"/>
        </w:rPr>
      </w:pPr>
      <w:r>
        <w:rPr>
          <w:rFonts w:hint="eastAsia" w:ascii="仿宋_GB2312" w:hAnsi="仿宋_GB2312" w:eastAsia="仿宋_GB2312"/>
          <w:color w:val="000000"/>
          <w:sz w:val="32"/>
          <w:szCs w:val="24"/>
        </w:rPr>
        <w:t>（二）2023年重点工作完成情况。</w:t>
      </w:r>
    </w:p>
    <w:p w14:paraId="06E32BF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防范监管风险，守牢安全底线</w:t>
      </w:r>
    </w:p>
    <w:p w14:paraId="73B8B559">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1</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压实食品安全两个责任。一是统筹协调强组织。将食品安全专题列入区委常委会、区政府常务会4次，召开食品安全工作部署会、推进会4次，修订了《广元市昭化区食品安全委员会工作规则》《广元市昭化区食品安全突发事件应急预案（2023版）》，印发了《广元市昭化区食品安全包保管理办法（试行）》。二是责任担当重落实。组织开展落实食品安全“两个责任”线上线下培训，每季度向各镇和各部门发出食品安全重点工作提示函，鼓励支持企业积极购买食品生产安全责任保险，开展HACCP质量管理体系认证，督促指导食品生产企业建立健全食品安全责任制。三是法进人心重宣传。结合《四川省食品安全条例》宣贯，深入开展食品安全志愿服务、食品安全主题科普宣传教育、传播特殊食品好声音网络科普竞赛等活动。参加全省“弘扬法治精神，争当食安卫士”主题演讲比赛，在全省第二片区初赛中分别获得二等奖和三等奖荣誉。11月13日承办了广元市“尚德崇俭尽责  同心共护食品安全”暨国家食品安全示范城市创建宣传周启动仪式。四是创先争优追一流。以国家食品安全示范城市创建、省级食品安全示范县复审、天府旅游名县创建等工作为契机，开展食品安全示范达标升级，打造特色餐饮12家，餐饮服务单位示范点位11个，培育形象店5家，全面提升精细化管理水平。五是安全底线严管控。聚焦植物油、蔬菜制品、大米、肉类食品等食品生产经营突出问题，对全区食品生产经营主体开展全覆盖检查，全年共组织抽检食品及食用农产品305批次，快速检测样品55批次，不合格4批次，合格率98.7%。联合区教育局等部门召开学校食品安全暨两个责任落实培训会1次，开展食品安全法律法规进校园宣传教育活动3次，筑牢学校食品安全防线。开展女儿节、菜花节等重大活动食品安全保障30余次。六是社会共治再推进。深入开展厉行节约制止餐饮浪费工作，向辖区餐饮服务单位开展厉行节约制止餐饮浪费知识宣传。结合“守查保”专项行动，下发《关于认真做好防范食用野生菌中毒工作的通知》，防范食用野生菌中毒事件发生。对农村集体聚餐加强重点指导，构筑农村集体聚餐安全屏障，加强对各镇各部门食品安全工作督导。</w:t>
      </w:r>
    </w:p>
    <w:p w14:paraId="45A93B6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2</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夯实“两品一械”安全基础。一是压实任务明责任。制定全区药械化安全年度监管工作计划，发布政策解读，成立药品安全应急处置专家咨询委员会和药品安全巩固提升行动领导小组，建立健全药品安全应急处置体系。二是学习培训提素质。邀请市局专家对执法人员、监管对象分模块、分重点开展监管及执法培训10余次。强化假药系列案件后续监管，有效形成风险防范闭环。参加、开展风险研判11次，切实提高风险把控及问题处置能力。三是规范建设动真格。持续推进零售药店“一个公示栏”“一本隐患帐”“一台计算机”“三个档案盒”“三个查询册”的“三个一、两个三”规范化建设，与卫健局联合制订《关于进一步加强全区医疗机构药械质量管理的通知》，推动药房规范化建设。组织开展医疗器械流通领域安全风险隐患排查化解，收到医疗器械经营单位风险隐患自查报告63份。全年共完成药品抽检15批次，医疗器械2批次，化妆品2批次，均合格。上报药品不良反应177例，医疗器械不良反应55例，化妆品不良反应22例，查办药品医疗器械类案件61件。</w:t>
      </w:r>
    </w:p>
    <w:p w14:paraId="007784AC">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3</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守住特种设备安全底线。一是联动配合建机制。联合区应急局、交通局、住建局、经信局等部门针对建设工程、城镇燃气、工贸行业等领域13家企业开展联合检查，发现安全隐患6起，推进联合监管工作长效实施。召开“特种设备企业主体责任推进年”部署动员暨2023年特种设备安全工作会议、联席会议2次，强化特种设备使用单位和行业主管部门特种设备安全主体责任意识。组织使用单位开展特种设备事故应急演练，强化对特种设备事故的应急处置能力。二是重点监管去风险。围绕重点时段，针对重点领域重点设备落实安全监管职责，共检查特种设备使用单位100余家，特种设备300余台（套），发现安全隐患40起，已整改完成37起。三是建设平台促提升。狠抓特种设备智慧监管平台运用，按照特种设备“两个规定”要求，全面完成全区72家使用单位主要负责人、安全总监、安全员、特种设备信息在特种设备智慧监管平台上信息公示，公示率100%。完成特种设备现场检查APP录入现场检查情况100%。督促液化气充装站按要求将气瓶信息和气瓶充装信息及时录入气瓶质量追溯系统平台，录入气瓶信息8000余只。</w:t>
      </w:r>
    </w:p>
    <w:p w14:paraId="0F743D33">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4</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筑牢产品质量监管防线。一是质量强区凝共识。深入学习贯彻落实《质量强国发展纲要》，联合10余个成员单位在全区开展2023年“质量月”主题宣传活动，发布消费提示4篇。二是计量便民善作为。结合“世界计量日”活动，积极开展“计量服务中小企业行”活动，实施现场检定电子秤约800台（件）。全面加强“川质通”四川省质量基础设施“一站式”服务平台推广、注册与运用，累计新增注册用户24家，通过平台预约强制检定订单超900笔。联合相关企业积极创建“茯苓种植”第十四届省级农业标准化示范项目并顺利通过省局中期检查，分别接受了国家药监局、省药监局调研，受到领导、专家的一致好评。《地理标志产品 王家贡米》等4项市级地方标准顺利发布，《稻田草鱼生态养殖技术规范》省级地方标准通过终审审查。累计取得强制性产品认证证书3张、各项管理体系认证证书39张、服务认证证书1张、自愿性工业产品认证证书2张、食品农产品认证证书40张。累计开展省级及区本级有机产品认证有效性监督抽查14批次，合格12批次。三是品牌创建求突破。积极配合区政府在成都召开地理标志保护产品“王家贡米”品牌发布会，发布新标准新产品。指导辖区企业积极参加第五届中国质量奖培育申报工作。助力中粮油脂(广元)有限公司荣获四川省乡村振兴重点企业。引导龙头企业中粮油脂（广元）有限公司开展“数字化管理运用推广”“揭榜挂帅”项目申报。培育首席质量官18名，向省局推荐企业首席质量官推动质量变革创新典型案例1篇。向广元市质量基础设施“一站式”服务专家库推荐专家2名。四是真心帮扶优服务。邀请四川省及重庆市市场监管局专家开展重点产业质量巡诊，深入欢欢食品、雨润食品等4家企业开展现场帮扶。积极对接第三方认证服务机构专家技术团队，对绿泰农业、浩翔农业2家企业进行现场“把脉问诊”。成功指导四川振川包装材料有限公司通过了质量管理体系认证。五是强化监管履职责。切实开展消防产品、燃气用品、塑料污染、儿童用品、农村消费品等10余项专项检查行动，有力保障区域流通环节重点工业产品质量安全。累计抽检PET瓶、涂料、燃气灶具等工业产品62批次，合格56批次，不合格6批次已按规定开展后处理；联合区乡村振兴局、农业农村局制定《开展农村改厕“提质年”产品质量监督抽检工作方案》，按计划抽检厕改相关产品22批次。立案查处产品质量领域案件11件。</w:t>
      </w:r>
    </w:p>
    <w:p w14:paraId="4118012E">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2</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坚持问题导向，优化营商环境</w:t>
      </w:r>
    </w:p>
    <w:p w14:paraId="431B463E">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1</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服务主体强举措。持续优化企业开办服务。整合办理营业执照、发票领取、社保和住房公积金登记、刻制印章、银行开户多个环节，做到线上一表填报、一次实名验证，线下一个窗口领取全部材料；持续落实企业开办4小时、零成本办结，并将“零成本”开办范围扩大至农专社。推行开办企业全程网办、“跨省通办”，网上可办率100%。实施市场主体登记环节“全域通办”改革，个体登记实现跨所办理。截</w:t>
      </w:r>
      <w:r>
        <w:rPr>
          <w:rFonts w:hint="eastAsia" w:ascii="仿宋_GB2312" w:hAnsi="仿宋_GB2312" w:eastAsia="仿宋_GB2312"/>
          <w:color w:val="000000"/>
          <w:sz w:val="32"/>
          <w:szCs w:val="24"/>
          <w:lang w:val="en-US" w:eastAsia="zh-CN"/>
        </w:rPr>
        <w:t>至</w:t>
      </w:r>
      <w:r>
        <w:rPr>
          <w:rFonts w:hint="eastAsia" w:ascii="仿宋_GB2312" w:hAnsi="仿宋_GB2312" w:eastAsia="仿宋_GB2312"/>
          <w:color w:val="000000"/>
          <w:sz w:val="32"/>
          <w:szCs w:val="24"/>
        </w:rPr>
        <w:t>目前，本年度共核准设立登记各类企业380户，其中通过“全程电子化”核准各类登记266户；共为376户市场主体免费发放印章1354枚，为市</w:t>
      </w:r>
      <w:bookmarkStart w:id="42" w:name="_GoBack"/>
      <w:bookmarkEnd w:id="42"/>
      <w:r>
        <w:rPr>
          <w:rFonts w:hint="eastAsia" w:ascii="仿宋_GB2312" w:hAnsi="仿宋_GB2312" w:eastAsia="仿宋_GB2312"/>
          <w:color w:val="000000"/>
          <w:sz w:val="32"/>
          <w:szCs w:val="24"/>
        </w:rPr>
        <w:t>场主体节省费用约13.2万元。大力推行“一件事一次办”，围绕企业设立等46项重点事项，梳理办事流程，制作办事指南，优化办事流程，并在四川政务服务网进行公示。全面落实“简易注销登记”，实行市场监管领域套餐式注销，支持个体在线办理注销，服务能力持续优化。截至目前，共准予注销登记各类企业（含农专）190户。将所有68项高频事项纳入“村能办”平台。积极参与“企能办”平台搭建，基本实现园区内完成企业开办全流程办理。深化“政银合作”，在邮政银行设置便民服务点，将免费印章刻制服务扩展至个体工商户。按照上级业务主管部门相关工作要求，积极完善市场监管一体化工作平台相关配置，完成“食品备案一体化”模块、信用修复全程网办模块、歇业备案模块等更新事项10项。及时更新电子证照系统，确保签章数据无遗漏，实现电子签章率100%。开展合同帮农260户。指导广元市昭化区个体私营企业协会成功召开第七届会员代表大会暨换届会议，配齐新的领导机构和班子，掀开个私协会工作历史新篇章。</w:t>
      </w:r>
    </w:p>
    <w:p w14:paraId="2073C65B">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2</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市场监管提质效。印发《广元市昭化区2023年度市场监管领域“双随机、一公开”监管工作计划》，在政府网站予以公示。严格按照《广元市市场监管领域部门联合抽查事项清单（第三版）》及省、市局相关工作要求，结合我区实际，制定我局2023年单部门“双随机、一公开”监管计划，实现市场监管领域（除特殊领域）抽查比例100%与企业风险分级分类结果相结合，提高问题发现率，提升监管精准性。强化区政府分管领导牵头的联动推进机制，召开全区“双随机、一公开”监管工作推进会和联席会议5次，区委区政府分管领导亲自到会点评督导。切实履行牵头部门责任，强化落实“双告知”、联席会议联络员等工作制度，强化工作全过程监管，通过季度提示、工作提醒、督查通报等方式，有效推动各成员单位监管计划落地生效。将信用风险等级与联合抽查相结合，提升监管靶向性。强化督促指导，指导各成员单位进一步完善“一单两库一细则”的动态调整，加强与“互联网+监管”平台对接，印发工作督查通报1期，点对点工作提示函18期。截至目前，全区共开展市场监管领域部门联合“双随机、一公开”抽查检查54次，抽查事项54项，抽取市场主体334家，抽取执法人员超180人，录入公示100%，涉及区级部门26个。强化信用风险分级分类成果运用，在原有的以市场监管、人社和税务三部门联合开展“多报合一”抽查工作的基础上，新增医保部门共同开展联合抽查。持续落实信用风险分级分类成果运用，实现企业风险分类结果多部门共享共用，推动部门联合监管机制更加智慧化、精准化、规范化。</w:t>
      </w:r>
    </w:p>
    <w:p w14:paraId="2BB67788">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3</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保护产权促发展。强化知识产权保护，积极开展假冒专利和商标侵权行为专项整治，组织人员加大巡查力度，加强辖区内有效发明专利、驰名商标、地理标志产品的监管保护力度，共出动执法人员112人次，检查市场主体156家次，立案查处知识产权案4件。全区累计专利授权172件，其中发明专利12件（包括2件高价值发明专利），实用新型专利139件，外观设计专利21件；地理标志9件（地理标志商标7件，地理标志保护产品2件）；有效注册商标1241件。围绕昭化区文旅“三创”工作，携手企业深度挖掘、打造具有昭化特色的商标5个，“费公府”商标已成功注册。召开地理标志保护运用工作推进会，联合区农业农村局、区林业局积极对接“王家贡米”、“昭化韭黄”、“昭化茯苓”、“紫云猕猴桃”等地理标志相关企业，解读地理标志产品品牌价值，引导企业主动申请用标。目前，“晋贤香菇”、“昭化茯苓”、“昭化山桐子”已通过国家知识产权局许可备案。</w:t>
      </w:r>
    </w:p>
    <w:p w14:paraId="37FB044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3</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提高执法效率，维护公平秩序</w:t>
      </w:r>
    </w:p>
    <w:p w14:paraId="4A30725A">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1</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执法办案争先锋。“春雷行动2023”工作被省市场监管局、省药监局表扬为成绩突出单位，同时得了到区委区政府主要领导肯定性批示。制定了《2023民生领域案件查办“铁拳”行动实施方案》，上报典型案件19个，“铁拳行动”工作被省市场监管局表扬2022民生领域案件查办“铁拳”行动优秀集体（全市唯一殊荣）。“春雷行动2023”期间共查办各类案件113件，结案113件，其中“行刑衔接”与公安机关双向移送案件50多件，向其他市场监管部门移送案件或线索20多件，涉案金额近30万元，罚没款近60万元，没收并依法无害化处理不合格食品、药械和其他工业产品约1000公斤。</w:t>
      </w:r>
    </w:p>
    <w:p w14:paraId="2CEE5AC7">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2</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民生监管动真格。纵深推进价格与反不正当竞争监管，抓好元旦、春节、五一、国庆等重大节日，积极启动价格监测预警机制，加强价格监管。开展转供电、燃气安装收费等专项检查，走访辖区内转供电主体4家、燃气公司3家，与转供电主体签订了《价格诚信承诺书》和《严格执行转供电环节电价政策提醒告诫书》。联合区教育局、区发改局检查校外培训（托管）机构9家次，粮食收购企业15家次。制定出台《昭化区公平竞争审查制度实施方案》和四项机制，组织22个成员单位业务人员开展专项培训，集中学习《公平竞争审查实施细则》。召开2023年全区公平竞争审查联席会议，清理增量政策措施98件，其中涉及市场主体经济活动文件39件。制发《民生领域反垄断执法专项行动领导小组工作方案》《关于做好集中整治医药领域和医疗服务中不正之风市场监管工作的通知》，针对民生领域相关、群众反映强烈、具有天然垄断性等行业和领域，开展专项检查。严格格式条款合同监管，对辖区商超、汽车4S店、美容美发、保健养身、洗车、药店等领域市场主体在经营行为中的格式条款进行检查和指导，现场整改3户。强化网络市场监管，对辖区昭化外卖及入网经营者召开了行政指导会，对互联网销售危险化学品进行了专项整治。12315投诉举报中心全年受理消费者咨询、投诉、举报共计442件（全国12315平台144件，广元市12345政务服务热线196件，咨询102件，不受理55件），其中咨询102件、投诉211件、举报71件。已办结434件，未办结8件，办结率98%，挽回经济损失58.7万元。</w:t>
      </w:r>
    </w:p>
    <w:p w14:paraId="4AB56D3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lang w:val="en-US" w:eastAsia="zh-CN"/>
        </w:rPr>
        <w:t>3</w:t>
      </w:r>
      <w:r>
        <w:rPr>
          <w:rFonts w:hint="eastAsia" w:ascii="仿宋_GB2312" w:hAnsi="仿宋_GB2312" w:eastAsia="仿宋_GB2312"/>
          <w:color w:val="000000"/>
          <w:sz w:val="32"/>
          <w:szCs w:val="24"/>
          <w:lang w:eastAsia="zh-CN"/>
        </w:rPr>
        <w:t>）</w:t>
      </w:r>
      <w:r>
        <w:rPr>
          <w:rFonts w:hint="eastAsia" w:ascii="仿宋_GB2312" w:hAnsi="仿宋_GB2312" w:eastAsia="仿宋_GB2312"/>
          <w:color w:val="000000"/>
          <w:sz w:val="32"/>
          <w:szCs w:val="24"/>
        </w:rPr>
        <w:t>违法侵权重打击。持续深入开展“长江禁捕 打非断链”专项行动，加强日常监管和资料收集，顺利通过上级长江禁捕三年工作相关考核验收。牵头开展好茶叶过度包装专项治理行动，成立了工作专班，制定了《茶叶过度包装专项治理行动实施方案》。打击侵犯知识产权和制售假冒伪劣商品、“扫黄打非”专项整治、扫黑除恶市场流通领域整治、未成年人保护、防范电信网络诈骗宣传、禁毒、打传规直等工作达到预期目标。狠抓药品、医疗、保健食品、房地产、教育培训等民生领域广告监管执法，共出动执法人员205人（次），检查线上线下广告经营户260个，监测广告350条次，现场整改80条次，立案查办广告违法案件3件。</w:t>
      </w:r>
    </w:p>
    <w:p w14:paraId="3642095F">
      <w:pPr>
        <w:pStyle w:val="4"/>
        <w:keepNext/>
        <w:keepLines/>
        <w:kinsoku/>
        <w:wordWrap/>
        <w:autoSpaceDE w:val="0"/>
        <w:autoSpaceDN w:val="0"/>
        <w:bidi w:val="0"/>
        <w:adjustRightInd w:val="0"/>
        <w:spacing w:beforeLines="0" w:afterLines="0" w:line="576" w:lineRule="exact"/>
        <w:ind w:firstLine="640"/>
        <w:jc w:val="both"/>
        <w:textAlignment w:val="auto"/>
        <w:rPr>
          <w:rFonts w:hint="default" w:ascii="Cambria" w:cs="Cambria"/>
          <w:kern w:val="2"/>
          <w:sz w:val="32"/>
          <w:szCs w:val="24"/>
        </w:rPr>
      </w:pPr>
      <w:bookmarkStart w:id="2" w:name="_Toc14053"/>
      <w:r>
        <w:rPr>
          <w:rFonts w:hint="eastAsia" w:ascii="黑体" w:hAnsi="黑体" w:eastAsia="黑体"/>
          <w:color w:val="000000"/>
          <w:kern w:val="2"/>
          <w:sz w:val="32"/>
          <w:szCs w:val="24"/>
        </w:rPr>
        <w:t>二、机</w:t>
      </w:r>
      <w:r>
        <w:rPr>
          <w:rFonts w:hint="eastAsia" w:ascii="黑体" w:hAnsi="黑体" w:eastAsia="黑体"/>
          <w:kern w:val="2"/>
          <w:sz w:val="32"/>
          <w:szCs w:val="24"/>
        </w:rPr>
        <w:t>构设置</w:t>
      </w:r>
      <w:bookmarkEnd w:id="2"/>
    </w:p>
    <w:p w14:paraId="3FBBB33E">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r>
        <w:rPr>
          <w:rFonts w:hint="eastAsia" w:ascii="仿宋_GB2312" w:hAnsi="仿宋_GB2312" w:eastAsia="仿宋_GB2312"/>
          <w:kern w:val="2"/>
          <w:sz w:val="32"/>
          <w:szCs w:val="24"/>
          <w:lang w:eastAsia="zh-CN"/>
        </w:rPr>
        <w:t>广元市昭化区市场监督管理局</w:t>
      </w:r>
      <w:r>
        <w:rPr>
          <w:rFonts w:hint="eastAsia" w:ascii="仿宋_GB2312" w:hAnsi="仿宋_GB2312" w:eastAsia="仿宋_GB2312"/>
          <w:kern w:val="2"/>
          <w:sz w:val="32"/>
          <w:szCs w:val="24"/>
        </w:rPr>
        <w:t>部门属于一级预算单位，</w:t>
      </w:r>
      <w:r>
        <w:rPr>
          <w:rFonts w:hint="eastAsia" w:ascii="仿宋_GB2312" w:hAnsi="仿宋_GB2312" w:eastAsia="仿宋_GB2312"/>
          <w:kern w:val="2"/>
          <w:sz w:val="32"/>
          <w:szCs w:val="24"/>
          <w:lang w:eastAsia="zh-CN"/>
        </w:rPr>
        <w:t>无</w:t>
      </w:r>
      <w:r>
        <w:rPr>
          <w:rFonts w:hint="eastAsia" w:ascii="仿宋_GB2312" w:hAnsi="仿宋_GB2312" w:eastAsia="仿宋_GB2312"/>
          <w:kern w:val="2"/>
          <w:sz w:val="32"/>
          <w:szCs w:val="24"/>
        </w:rPr>
        <w:t>二级预算单位，其中行政单位</w:t>
      </w:r>
      <w:r>
        <w:rPr>
          <w:rFonts w:hint="eastAsia" w:ascii="仿宋_GB2312" w:hAnsi="仿宋_GB2312" w:eastAsia="仿宋_GB2312"/>
          <w:kern w:val="2"/>
          <w:sz w:val="32"/>
          <w:szCs w:val="24"/>
          <w:lang w:val="en-US" w:eastAsia="zh-CN"/>
        </w:rPr>
        <w:t>1</w:t>
      </w:r>
      <w:r>
        <w:rPr>
          <w:rFonts w:hint="eastAsia" w:ascii="仿宋_GB2312" w:hAnsi="仿宋_GB2312" w:eastAsia="仿宋_GB2312"/>
          <w:kern w:val="2"/>
          <w:sz w:val="32"/>
          <w:szCs w:val="24"/>
        </w:rPr>
        <w:t>个，参照公务员法管理的事业单位</w:t>
      </w:r>
      <w:r>
        <w:rPr>
          <w:rFonts w:hint="eastAsia" w:ascii="仿宋_GB2312" w:hAnsi="仿宋_GB2312" w:eastAsia="仿宋_GB2312"/>
          <w:kern w:val="2"/>
          <w:sz w:val="32"/>
          <w:szCs w:val="24"/>
          <w:lang w:val="en-US" w:eastAsia="zh-CN"/>
        </w:rPr>
        <w:t>0</w:t>
      </w:r>
      <w:r>
        <w:rPr>
          <w:rFonts w:hint="eastAsia" w:ascii="仿宋_GB2312" w:hAnsi="仿宋_GB2312" w:eastAsia="仿宋_GB2312"/>
          <w:kern w:val="2"/>
          <w:sz w:val="32"/>
          <w:szCs w:val="24"/>
        </w:rPr>
        <w:t>个，其他事业单位</w:t>
      </w:r>
      <w:r>
        <w:rPr>
          <w:rFonts w:hint="eastAsia" w:ascii="仿宋_GB2312" w:hAnsi="仿宋_GB2312" w:eastAsia="仿宋_GB2312"/>
          <w:kern w:val="2"/>
          <w:sz w:val="32"/>
          <w:szCs w:val="24"/>
          <w:lang w:val="en-US" w:eastAsia="zh-CN"/>
        </w:rPr>
        <w:t>0</w:t>
      </w:r>
      <w:r>
        <w:rPr>
          <w:rFonts w:hint="eastAsia" w:ascii="仿宋_GB2312" w:hAnsi="仿宋_GB2312" w:eastAsia="仿宋_GB2312"/>
          <w:kern w:val="2"/>
          <w:sz w:val="32"/>
          <w:szCs w:val="24"/>
        </w:rPr>
        <w:t>个。</w:t>
      </w:r>
    </w:p>
    <w:p w14:paraId="337EAD5E">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00"/>
          <w:sz w:val="32"/>
          <w:szCs w:val="24"/>
          <w:lang w:val="en-US" w:eastAsia="zh-CN"/>
        </w:rPr>
      </w:pPr>
      <w:r>
        <w:rPr>
          <w:rFonts w:hint="eastAsia" w:ascii="仿宋_GB2312" w:hAnsi="仿宋_GB2312" w:eastAsia="仿宋_GB2312"/>
          <w:color w:val="000000"/>
          <w:sz w:val="32"/>
          <w:szCs w:val="24"/>
        </w:rPr>
        <w:t>纳入2023年度部门决算编制范围的二级预算单位：</w:t>
      </w:r>
      <w:r>
        <w:rPr>
          <w:rFonts w:hint="eastAsia" w:ascii="仿宋_GB2312" w:hAnsi="仿宋_GB2312" w:eastAsia="仿宋_GB2312"/>
          <w:color w:val="000000"/>
          <w:sz w:val="32"/>
          <w:szCs w:val="24"/>
          <w:lang w:eastAsia="zh-CN"/>
        </w:rPr>
        <w:t>无。</w:t>
      </w:r>
    </w:p>
    <w:p w14:paraId="5C0C3DFB">
      <w:pPr>
        <w:keepNext/>
        <w:keepLines/>
        <w:pageBreakBefore/>
        <w:widowControl w:val="0"/>
        <w:kinsoku/>
        <w:wordWrap/>
        <w:overflowPunct/>
        <w:topLinePunct w:val="0"/>
        <w:autoSpaceDE w:val="0"/>
        <w:autoSpaceDN w:val="0"/>
        <w:bidi w:val="0"/>
        <w:adjustRightInd w:val="0"/>
        <w:snapToGrid/>
        <w:spacing w:beforeLines="0" w:after="313" w:afterLines="0" w:line="576" w:lineRule="exact"/>
        <w:jc w:val="center"/>
        <w:textAlignment w:val="auto"/>
        <w:outlineLvl w:val="0"/>
        <w:rPr>
          <w:rFonts w:hint="default" w:eastAsia="Times New Roman"/>
          <w:kern w:val="2"/>
          <w:sz w:val="21"/>
          <w:szCs w:val="24"/>
        </w:rPr>
      </w:pPr>
      <w:bookmarkStart w:id="3" w:name="_Toc32674"/>
      <w:r>
        <w:rPr>
          <w:rFonts w:hint="eastAsia" w:ascii="黑体" w:hAnsi="黑体" w:eastAsia="黑体"/>
          <w:b/>
          <w:kern w:val="44"/>
          <w:sz w:val="44"/>
          <w:szCs w:val="24"/>
        </w:rPr>
        <w:t>第二部分  2023年度部门决算情况说明</w:t>
      </w:r>
      <w:bookmarkEnd w:id="3"/>
    </w:p>
    <w:p w14:paraId="44DB331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4" w:name="_Toc9357"/>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bookmarkEnd w:id="4"/>
    </w:p>
    <w:p w14:paraId="56BDC38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2023年度收、支总计均为1443.09万元。与2022年度相比，收、支总计各增加</w:t>
      </w:r>
      <w:r>
        <w:rPr>
          <w:rFonts w:hint="eastAsia" w:ascii="仿宋_GB2312" w:hAnsi="仿宋_GB2312" w:eastAsia="仿宋_GB2312"/>
          <w:color w:val="000000"/>
          <w:kern w:val="2"/>
          <w:sz w:val="32"/>
          <w:szCs w:val="24"/>
          <w:lang w:val="en-US" w:eastAsia="zh-CN"/>
        </w:rPr>
        <w:t>43.47</w:t>
      </w:r>
      <w:r>
        <w:rPr>
          <w:rFonts w:hint="eastAsia" w:ascii="仿宋_GB2312" w:hAnsi="仿宋_GB2312" w:eastAsia="仿宋_GB2312"/>
          <w:color w:val="000000"/>
          <w:kern w:val="2"/>
          <w:sz w:val="32"/>
          <w:szCs w:val="24"/>
        </w:rPr>
        <w:t>万元，增长</w:t>
      </w:r>
      <w:r>
        <w:rPr>
          <w:rFonts w:hint="eastAsia" w:ascii="仿宋_GB2312" w:hAnsi="仿宋_GB2312" w:eastAsia="仿宋_GB2312"/>
          <w:color w:val="000000"/>
          <w:kern w:val="2"/>
          <w:sz w:val="32"/>
          <w:szCs w:val="24"/>
          <w:lang w:val="en-US" w:eastAsia="zh-CN"/>
        </w:rPr>
        <w:t>3.1</w:t>
      </w:r>
      <w:r>
        <w:rPr>
          <w:rFonts w:hint="eastAsia" w:ascii="仿宋_GB2312" w:hAnsi="仿宋_GB2312" w:eastAsia="仿宋_GB2312"/>
          <w:color w:val="000000"/>
          <w:kern w:val="2"/>
          <w:sz w:val="32"/>
          <w:szCs w:val="24"/>
        </w:rPr>
        <w:t>%。主要变动原因是</w:t>
      </w:r>
      <w:r>
        <w:rPr>
          <w:rFonts w:hint="eastAsia" w:ascii="仿宋_GB2312" w:hAnsi="仿宋_GB2312" w:eastAsia="仿宋_GB2312"/>
          <w:color w:val="000000"/>
          <w:kern w:val="2"/>
          <w:sz w:val="32"/>
          <w:szCs w:val="24"/>
          <w:lang w:val="en-US" w:eastAsia="zh-CN"/>
        </w:rPr>
        <w:t>2023年我单位项目经费增加</w:t>
      </w:r>
      <w:r>
        <w:rPr>
          <w:rFonts w:hint="eastAsia" w:ascii="仿宋_GB2312" w:hAnsi="仿宋_GB2312" w:eastAsia="仿宋_GB2312"/>
          <w:color w:val="000000"/>
          <w:kern w:val="2"/>
          <w:sz w:val="32"/>
          <w:szCs w:val="24"/>
        </w:rPr>
        <w:t>。</w:t>
      </w:r>
    </w:p>
    <w:p w14:paraId="5954A4B5">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692650" cy="2438400"/>
            <wp:effectExtent l="0" t="0" r="6350" b="0"/>
            <wp:docPr id="4" name="图片 4" descr="C:/Users/Administrator/Documents/1111/2024-09-20_20-38-56.gif2024-09-20_20-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1111/2024-09-20_20-38-56.gif2024-09-20_20-38-56"/>
                    <pic:cNvPicPr>
                      <a:picLocks noChangeAspect="1"/>
                    </pic:cNvPicPr>
                  </pic:nvPicPr>
                  <pic:blipFill>
                    <a:blip r:embed="rId8"/>
                    <a:srcRect l="430" r="430"/>
                    <a:stretch>
                      <a:fillRect/>
                    </a:stretch>
                  </pic:blipFill>
                  <pic:spPr>
                    <a:xfrm>
                      <a:off x="0" y="0"/>
                      <a:ext cx="4692650" cy="2438400"/>
                    </a:xfrm>
                    <a:prstGeom prst="rect">
                      <a:avLst/>
                    </a:prstGeom>
                  </pic:spPr>
                </pic:pic>
              </a:graphicData>
            </a:graphic>
          </wp:inline>
        </w:drawing>
      </w:r>
    </w:p>
    <w:p w14:paraId="71AC7A7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5" w:name="_Toc23831"/>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bookmarkEnd w:id="5"/>
    </w:p>
    <w:p w14:paraId="24EFCF1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2023年本年收入合计1443.09万元，其中：一般公共预算财政拨款收入1443.09万元，占</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2C5F8323">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2364740" cy="2533650"/>
            <wp:effectExtent l="0" t="0" r="10160" b="6350"/>
            <wp:docPr id="1" name="图片 1" descr="微信截图_2024091816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918160642"/>
                    <pic:cNvPicPr>
                      <a:picLocks noChangeAspect="1"/>
                    </pic:cNvPicPr>
                  </pic:nvPicPr>
                  <pic:blipFill>
                    <a:blip r:embed="rId9"/>
                    <a:stretch>
                      <a:fillRect/>
                    </a:stretch>
                  </pic:blipFill>
                  <pic:spPr>
                    <a:xfrm>
                      <a:off x="0" y="0"/>
                      <a:ext cx="2364740" cy="2533650"/>
                    </a:xfrm>
                    <a:prstGeom prst="rect">
                      <a:avLst/>
                    </a:prstGeom>
                  </pic:spPr>
                </pic:pic>
              </a:graphicData>
            </a:graphic>
          </wp:inline>
        </w:drawing>
      </w:r>
    </w:p>
    <w:p w14:paraId="7646F3E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6" w:name="_Toc3976"/>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bookmarkEnd w:id="6"/>
    </w:p>
    <w:p w14:paraId="17669BB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2023年本年支出合计1443.09万元，其中：基本支出1225.59万元，占</w:t>
      </w:r>
      <w:r>
        <w:rPr>
          <w:rFonts w:hint="eastAsia" w:ascii="仿宋_GB2312" w:hAnsi="仿宋_GB2312" w:eastAsia="仿宋_GB2312"/>
          <w:color w:val="000000"/>
          <w:kern w:val="2"/>
          <w:sz w:val="32"/>
          <w:szCs w:val="24"/>
          <w:lang w:val="en-US" w:eastAsia="zh-CN"/>
        </w:rPr>
        <w:t>84.9</w:t>
      </w:r>
      <w:r>
        <w:rPr>
          <w:rFonts w:hint="eastAsia" w:ascii="仿宋_GB2312" w:hAnsi="仿宋_GB2312" w:eastAsia="仿宋_GB2312"/>
          <w:color w:val="000000"/>
          <w:kern w:val="2"/>
          <w:sz w:val="32"/>
          <w:szCs w:val="24"/>
        </w:rPr>
        <w:t>%；项目支出217.5万元，占15.</w:t>
      </w:r>
      <w:r>
        <w:rPr>
          <w:rFonts w:hint="eastAsia" w:ascii="仿宋_GB2312" w:hAnsi="仿宋_GB2312" w:eastAsia="仿宋_GB2312"/>
          <w:color w:val="000000"/>
          <w:kern w:val="2"/>
          <w:sz w:val="32"/>
          <w:szCs w:val="24"/>
          <w:lang w:val="en-US" w:eastAsia="zh-CN"/>
        </w:rPr>
        <w:t>1</w:t>
      </w:r>
      <w:r>
        <w:rPr>
          <w:rFonts w:hint="eastAsia" w:ascii="仿宋_GB2312" w:hAnsi="仿宋_GB2312" w:eastAsia="仿宋_GB2312"/>
          <w:color w:val="000000"/>
          <w:kern w:val="2"/>
          <w:sz w:val="32"/>
          <w:szCs w:val="24"/>
        </w:rPr>
        <w:t>%。</w:t>
      </w:r>
    </w:p>
    <w:p w14:paraId="68BD9C35">
      <w:pPr>
        <w:pStyle w:val="2"/>
        <w:jc w:val="center"/>
        <w:rPr>
          <w:rFonts w:hint="eastAsia" w:eastAsia="仿宋_GB2312"/>
          <w:lang w:eastAsia="zh-CN"/>
        </w:rPr>
      </w:pPr>
      <w:r>
        <w:rPr>
          <w:rFonts w:hint="eastAsia" w:eastAsia="仿宋_GB2312"/>
          <w:lang w:eastAsia="zh-CN"/>
        </w:rPr>
        <w:drawing>
          <wp:inline distT="0" distB="0" distL="114300" distR="114300">
            <wp:extent cx="2711450" cy="2520950"/>
            <wp:effectExtent l="0" t="0" r="6350" b="6350"/>
            <wp:docPr id="5" name="图片 5" descr="C:/Users/Administrator/Documents/1111/2024-09-20_20-40-28.gif2024-09-20_20-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1111/2024-09-20_20-40-28.gif2024-09-20_20-40-28"/>
                    <pic:cNvPicPr>
                      <a:picLocks noChangeAspect="1"/>
                    </pic:cNvPicPr>
                  </pic:nvPicPr>
                  <pic:blipFill>
                    <a:blip r:embed="rId10"/>
                    <a:srcRect l="3161" r="3161"/>
                    <a:stretch>
                      <a:fillRect/>
                    </a:stretch>
                  </pic:blipFill>
                  <pic:spPr>
                    <a:xfrm>
                      <a:off x="0" y="0"/>
                      <a:ext cx="2711450" cy="2520950"/>
                    </a:xfrm>
                    <a:prstGeom prst="rect">
                      <a:avLst/>
                    </a:prstGeom>
                  </pic:spPr>
                </pic:pic>
              </a:graphicData>
            </a:graphic>
          </wp:inline>
        </w:drawing>
      </w:r>
    </w:p>
    <w:p w14:paraId="336D3745">
      <w:pPr>
        <w:rPr>
          <w:rFonts w:hint="eastAsia" w:ascii="黑体" w:hAnsi="黑体" w:eastAsia="黑体"/>
          <w:color w:val="000000"/>
          <w:kern w:val="2"/>
          <w:sz w:val="32"/>
          <w:szCs w:val="24"/>
        </w:rPr>
      </w:pPr>
      <w:r>
        <w:rPr>
          <w:rFonts w:hint="eastAsia" w:ascii="黑体" w:hAnsi="黑体" w:eastAsia="黑体"/>
          <w:color w:val="000000"/>
          <w:kern w:val="2"/>
          <w:sz w:val="32"/>
          <w:szCs w:val="24"/>
        </w:rPr>
        <w:br w:type="page"/>
      </w:r>
    </w:p>
    <w:p w14:paraId="59EE867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7" w:name="_Toc11837"/>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bookmarkEnd w:id="7"/>
    </w:p>
    <w:p w14:paraId="5E8E98F0">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2023年度财政拨款收、支总计均为1443.09万元。与2022年度相比，财政拨款收、支总计各增加</w:t>
      </w:r>
      <w:r>
        <w:rPr>
          <w:rFonts w:hint="eastAsia" w:ascii="仿宋_GB2312" w:hAnsi="仿宋_GB2312" w:eastAsia="仿宋_GB2312"/>
          <w:color w:val="000000"/>
          <w:kern w:val="2"/>
          <w:sz w:val="32"/>
          <w:szCs w:val="24"/>
          <w:lang w:val="en-US" w:eastAsia="zh-CN"/>
        </w:rPr>
        <w:t>43.47</w:t>
      </w:r>
      <w:r>
        <w:rPr>
          <w:rFonts w:hint="eastAsia" w:ascii="仿宋_GB2312" w:hAnsi="仿宋_GB2312" w:eastAsia="仿宋_GB2312"/>
          <w:color w:val="000000"/>
          <w:kern w:val="2"/>
          <w:sz w:val="32"/>
          <w:szCs w:val="24"/>
        </w:rPr>
        <w:t>万元，增长</w:t>
      </w:r>
      <w:r>
        <w:rPr>
          <w:rFonts w:hint="eastAsia" w:ascii="仿宋_GB2312" w:hAnsi="仿宋_GB2312" w:eastAsia="仿宋_GB2312"/>
          <w:color w:val="000000"/>
          <w:kern w:val="2"/>
          <w:sz w:val="32"/>
          <w:szCs w:val="24"/>
          <w:lang w:val="en-US" w:eastAsia="zh-CN"/>
        </w:rPr>
        <w:t>3.1</w:t>
      </w:r>
      <w:r>
        <w:rPr>
          <w:rFonts w:hint="eastAsia" w:ascii="仿宋_GB2312" w:hAnsi="仿宋_GB2312" w:eastAsia="仿宋_GB2312"/>
          <w:color w:val="000000"/>
          <w:kern w:val="2"/>
          <w:sz w:val="32"/>
          <w:szCs w:val="24"/>
        </w:rPr>
        <w:t>%。主要变动原因是</w:t>
      </w:r>
      <w:r>
        <w:rPr>
          <w:rFonts w:hint="eastAsia" w:ascii="仿宋_GB2312" w:hAnsi="仿宋_GB2312" w:eastAsia="仿宋_GB2312"/>
          <w:color w:val="000000"/>
          <w:kern w:val="2"/>
          <w:sz w:val="32"/>
          <w:szCs w:val="24"/>
          <w:lang w:val="en-US" w:eastAsia="zh-CN"/>
        </w:rPr>
        <w:t>2023年我单位项目经费增加</w:t>
      </w:r>
      <w:r>
        <w:rPr>
          <w:rFonts w:hint="eastAsia" w:ascii="仿宋_GB2312" w:hAnsi="仿宋_GB2312" w:eastAsia="仿宋_GB2312"/>
          <w:color w:val="000000"/>
          <w:kern w:val="2"/>
          <w:sz w:val="32"/>
          <w:szCs w:val="24"/>
        </w:rPr>
        <w:t>。</w:t>
      </w:r>
    </w:p>
    <w:p w14:paraId="69C4582B">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673600" cy="2616200"/>
            <wp:effectExtent l="0" t="0" r="0" b="0"/>
            <wp:docPr id="6" name="图片 6" descr="C:/Users/Administrator/Documents/1111/2024-09-20_20-38-56.gif2024-09-20_20-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1111/2024-09-20_20-38-56.gif2024-09-20_20-38-56"/>
                    <pic:cNvPicPr>
                      <a:picLocks noChangeAspect="1"/>
                    </pic:cNvPicPr>
                  </pic:nvPicPr>
                  <pic:blipFill>
                    <a:blip r:embed="rId8"/>
                    <a:srcRect l="3981" r="3981"/>
                    <a:stretch>
                      <a:fillRect/>
                    </a:stretch>
                  </pic:blipFill>
                  <pic:spPr>
                    <a:xfrm>
                      <a:off x="0" y="0"/>
                      <a:ext cx="4673600" cy="2616200"/>
                    </a:xfrm>
                    <a:prstGeom prst="rect">
                      <a:avLst/>
                    </a:prstGeom>
                  </pic:spPr>
                </pic:pic>
              </a:graphicData>
            </a:graphic>
          </wp:inline>
        </w:drawing>
      </w:r>
    </w:p>
    <w:p w14:paraId="7BD368D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8" w:name="_Toc4464"/>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bookmarkEnd w:id="8"/>
    </w:p>
    <w:p w14:paraId="1372C39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9" w:name="_Toc17807"/>
      <w:r>
        <w:rPr>
          <w:rFonts w:hint="eastAsia" w:ascii="仿宋_GB2312" w:hAnsi="仿宋_GB2312" w:eastAsia="仿宋_GB2312"/>
          <w:b/>
          <w:color w:val="000000"/>
          <w:kern w:val="2"/>
          <w:sz w:val="32"/>
          <w:szCs w:val="24"/>
        </w:rPr>
        <w:t>（一）一般公共预算财政拨款支出决算总体情况</w:t>
      </w:r>
      <w:bookmarkEnd w:id="9"/>
    </w:p>
    <w:p w14:paraId="578BE21F">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2023年度一般公共预算财政拨款支出1443.09万元，占本年支出合计的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%。与2022年度相比，一般公共预算财政拨款支出增加</w:t>
      </w:r>
      <w:r>
        <w:rPr>
          <w:rFonts w:hint="eastAsia" w:ascii="仿宋_GB2312" w:hAnsi="仿宋_GB2312" w:eastAsia="仿宋_GB2312"/>
          <w:color w:val="000000"/>
          <w:kern w:val="2"/>
          <w:sz w:val="32"/>
          <w:szCs w:val="24"/>
          <w:lang w:val="en-US" w:eastAsia="zh-CN"/>
        </w:rPr>
        <w:t>43.47</w:t>
      </w:r>
      <w:r>
        <w:rPr>
          <w:rFonts w:hint="eastAsia" w:ascii="仿宋_GB2312" w:hAnsi="仿宋_GB2312" w:eastAsia="仿宋_GB2312"/>
          <w:color w:val="000000"/>
          <w:kern w:val="2"/>
          <w:sz w:val="32"/>
          <w:szCs w:val="24"/>
        </w:rPr>
        <w:t>万元，增长</w:t>
      </w:r>
      <w:r>
        <w:rPr>
          <w:rFonts w:hint="eastAsia" w:ascii="仿宋_GB2312" w:hAnsi="仿宋_GB2312" w:eastAsia="仿宋_GB2312"/>
          <w:color w:val="000000"/>
          <w:kern w:val="2"/>
          <w:sz w:val="32"/>
          <w:szCs w:val="24"/>
          <w:lang w:val="en-US" w:eastAsia="zh-CN"/>
        </w:rPr>
        <w:t>3.1</w:t>
      </w:r>
      <w:r>
        <w:rPr>
          <w:rFonts w:hint="eastAsia" w:ascii="仿宋_GB2312" w:hAnsi="仿宋_GB2312" w:eastAsia="仿宋_GB2312"/>
          <w:color w:val="000000"/>
          <w:kern w:val="2"/>
          <w:sz w:val="32"/>
          <w:szCs w:val="24"/>
        </w:rPr>
        <w:t>%。主要变动原因是</w:t>
      </w:r>
      <w:r>
        <w:rPr>
          <w:rFonts w:hint="eastAsia" w:ascii="仿宋_GB2312" w:hAnsi="仿宋_GB2312" w:eastAsia="仿宋_GB2312"/>
          <w:color w:val="000000"/>
          <w:kern w:val="2"/>
          <w:sz w:val="32"/>
          <w:szCs w:val="24"/>
          <w:lang w:val="en-US" w:eastAsia="zh-CN"/>
        </w:rPr>
        <w:t>2023年我单位项目经费增加</w:t>
      </w:r>
      <w:r>
        <w:rPr>
          <w:rFonts w:hint="eastAsia" w:ascii="仿宋_GB2312" w:hAnsi="仿宋_GB2312" w:eastAsia="仿宋_GB2312"/>
          <w:color w:val="000000"/>
          <w:kern w:val="2"/>
          <w:sz w:val="32"/>
          <w:szCs w:val="24"/>
        </w:rPr>
        <w:t>。</w:t>
      </w:r>
    </w:p>
    <w:p w14:paraId="60CFA533">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140200" cy="2193290"/>
            <wp:effectExtent l="0" t="0" r="0" b="3810"/>
            <wp:docPr id="7" name="图片 7" descr="C:/Users/Administrator/Documents/1111/2024-09-20_20-38-56.gif2024-09-20_20-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1111/2024-09-20_20-38-56.gif2024-09-20_20-38-56"/>
                    <pic:cNvPicPr>
                      <a:picLocks noChangeAspect="1"/>
                    </pic:cNvPicPr>
                  </pic:nvPicPr>
                  <pic:blipFill>
                    <a:blip r:embed="rId8"/>
                    <a:srcRect l="1375" r="1375"/>
                    <a:stretch>
                      <a:fillRect/>
                    </a:stretch>
                  </pic:blipFill>
                  <pic:spPr>
                    <a:xfrm>
                      <a:off x="0" y="0"/>
                      <a:ext cx="4140200" cy="2193290"/>
                    </a:xfrm>
                    <a:prstGeom prst="rect">
                      <a:avLst/>
                    </a:prstGeom>
                  </pic:spPr>
                </pic:pic>
              </a:graphicData>
            </a:graphic>
          </wp:inline>
        </w:drawing>
      </w:r>
    </w:p>
    <w:p w14:paraId="1B172398">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0" w:name="_Toc31999"/>
      <w:r>
        <w:rPr>
          <w:rFonts w:hint="eastAsia" w:ascii="仿宋_GB2312" w:hAnsi="仿宋_GB2312" w:eastAsia="仿宋_GB2312"/>
          <w:b/>
          <w:color w:val="000000"/>
          <w:kern w:val="2"/>
          <w:sz w:val="32"/>
          <w:szCs w:val="24"/>
        </w:rPr>
        <w:t>（二）一般公共预算财政拨款支出决算结构情况</w:t>
      </w:r>
      <w:bookmarkEnd w:id="10"/>
    </w:p>
    <w:p w14:paraId="625B2C29">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2023年度一般公共预算财政拨款支出1443.09万元，主要用于以下方面: 一般公共服务支出</w:t>
      </w:r>
      <w:r>
        <w:rPr>
          <w:rFonts w:hint="eastAsia" w:ascii="仿宋_GB2312" w:hAnsi="仿宋_GB2312" w:eastAsia="仿宋_GB2312"/>
          <w:color w:val="000000"/>
          <w:kern w:val="2"/>
          <w:sz w:val="32"/>
          <w:szCs w:val="24"/>
          <w:lang w:val="en-US" w:eastAsia="zh-CN"/>
        </w:rPr>
        <w:t>1124.24</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77.9</w:t>
      </w:r>
      <w:r>
        <w:rPr>
          <w:rFonts w:hint="eastAsia" w:ascii="仿宋_GB2312" w:hAnsi="仿宋_GB2312" w:eastAsia="仿宋_GB2312"/>
          <w:color w:val="000000"/>
          <w:kern w:val="2"/>
          <w:sz w:val="32"/>
          <w:szCs w:val="24"/>
        </w:rPr>
        <w:t>%；社会保障和就业支出</w:t>
      </w:r>
      <w:r>
        <w:rPr>
          <w:rFonts w:hint="eastAsia" w:ascii="仿宋_GB2312" w:hAnsi="仿宋_GB2312" w:eastAsia="仿宋_GB2312"/>
          <w:color w:val="000000"/>
          <w:kern w:val="2"/>
          <w:sz w:val="32"/>
          <w:szCs w:val="24"/>
          <w:lang w:val="en-US" w:eastAsia="zh-CN"/>
        </w:rPr>
        <w:t>195.82</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13.6</w:t>
      </w:r>
      <w:r>
        <w:rPr>
          <w:rFonts w:hint="eastAsia" w:ascii="仿宋_GB2312" w:hAnsi="仿宋_GB2312" w:eastAsia="仿宋_GB2312"/>
          <w:color w:val="000000"/>
          <w:kern w:val="2"/>
          <w:sz w:val="32"/>
          <w:szCs w:val="24"/>
        </w:rPr>
        <w:t>%；卫生健康支出</w:t>
      </w:r>
      <w:r>
        <w:rPr>
          <w:rFonts w:hint="eastAsia" w:ascii="仿宋_GB2312" w:hAnsi="仿宋_GB2312" w:eastAsia="仿宋_GB2312"/>
          <w:color w:val="000000"/>
          <w:kern w:val="2"/>
          <w:sz w:val="32"/>
          <w:szCs w:val="24"/>
          <w:lang w:val="en-US" w:eastAsia="zh-CN"/>
        </w:rPr>
        <w:t>41.47</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2.9</w:t>
      </w:r>
      <w:r>
        <w:rPr>
          <w:rFonts w:hint="eastAsia" w:ascii="仿宋_GB2312" w:hAnsi="仿宋_GB2312" w:eastAsia="仿宋_GB2312"/>
          <w:color w:val="000000"/>
          <w:kern w:val="2"/>
          <w:sz w:val="32"/>
          <w:szCs w:val="24"/>
        </w:rPr>
        <w:t>%；住房保障支出</w:t>
      </w:r>
      <w:r>
        <w:rPr>
          <w:rFonts w:hint="eastAsia" w:ascii="仿宋_GB2312" w:hAnsi="仿宋_GB2312" w:eastAsia="仿宋_GB2312"/>
          <w:color w:val="000000"/>
          <w:kern w:val="2"/>
          <w:sz w:val="32"/>
          <w:szCs w:val="24"/>
          <w:lang w:val="en-US" w:eastAsia="zh-CN"/>
        </w:rPr>
        <w:t>81.56</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5.6</w:t>
      </w:r>
      <w:r>
        <w:rPr>
          <w:rFonts w:hint="eastAsia" w:ascii="仿宋_GB2312" w:hAnsi="仿宋_GB2312" w:eastAsia="仿宋_GB2312"/>
          <w:color w:val="000000"/>
          <w:kern w:val="2"/>
          <w:sz w:val="32"/>
          <w:szCs w:val="24"/>
        </w:rPr>
        <w:t>%。</w:t>
      </w:r>
    </w:p>
    <w:p w14:paraId="0F059B7F">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ascii="仿宋_GB2312" w:hAnsi="仿宋_GB2312" w:eastAsia="仿宋_GB2312"/>
          <w:color w:val="000000"/>
          <w:kern w:val="2"/>
          <w:sz w:val="32"/>
          <w:szCs w:val="24"/>
          <w:lang w:eastAsia="zh-CN"/>
        </w:rPr>
        <w:drawing>
          <wp:inline distT="0" distB="0" distL="114300" distR="114300">
            <wp:extent cx="4355465" cy="2581910"/>
            <wp:effectExtent l="0" t="0" r="635" b="8890"/>
            <wp:docPr id="8" name="图片 8" descr="2024-09-20_20-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09-20_20-43-13"/>
                    <pic:cNvPicPr>
                      <a:picLocks noChangeAspect="1"/>
                    </pic:cNvPicPr>
                  </pic:nvPicPr>
                  <pic:blipFill>
                    <a:blip r:embed="rId11"/>
                    <a:stretch>
                      <a:fillRect/>
                    </a:stretch>
                  </pic:blipFill>
                  <pic:spPr>
                    <a:xfrm>
                      <a:off x="0" y="0"/>
                      <a:ext cx="4355465" cy="2581910"/>
                    </a:xfrm>
                    <a:prstGeom prst="rect">
                      <a:avLst/>
                    </a:prstGeom>
                  </pic:spPr>
                </pic:pic>
              </a:graphicData>
            </a:graphic>
          </wp:inline>
        </w:drawing>
      </w:r>
    </w:p>
    <w:p w14:paraId="0FE756F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1" w:name="_Toc21623"/>
      <w:r>
        <w:rPr>
          <w:rFonts w:hint="eastAsia" w:ascii="仿宋_GB2312" w:hAnsi="仿宋_GB2312" w:eastAsia="仿宋_GB2312"/>
          <w:b/>
          <w:color w:val="000000"/>
          <w:kern w:val="2"/>
          <w:sz w:val="32"/>
          <w:szCs w:val="24"/>
        </w:rPr>
        <w:t>（三）一般公共预算财政拨款支出决算具体情况</w:t>
      </w:r>
      <w:bookmarkEnd w:id="11"/>
    </w:p>
    <w:p w14:paraId="18C5D77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i/>
          <w:color w:val="000000"/>
          <w:kern w:val="2"/>
          <w:sz w:val="32"/>
          <w:szCs w:val="24"/>
        </w:rPr>
      </w:pPr>
      <w:r>
        <w:rPr>
          <w:rFonts w:hint="eastAsia" w:ascii="仿宋_GB2312" w:hAnsi="仿宋_GB2312" w:eastAsia="仿宋_GB2312"/>
          <w:b/>
          <w:color w:val="000000"/>
          <w:kern w:val="2"/>
          <w:sz w:val="32"/>
          <w:szCs w:val="24"/>
        </w:rPr>
        <w:t>2023年度一般公共预算支出全年预算数为1443.09万元，支出决算数为1443.09万元，完成全年预算数的</w:t>
      </w:r>
      <w:r>
        <w:rPr>
          <w:rFonts w:hint="eastAsia" w:ascii="仿宋_GB2312" w:hAnsi="仿宋_GB2312" w:eastAsia="仿宋_GB2312"/>
          <w:b/>
          <w:color w:val="000000"/>
          <w:kern w:val="2"/>
          <w:sz w:val="32"/>
          <w:szCs w:val="24"/>
          <w:lang w:val="en-US" w:eastAsia="zh-CN"/>
        </w:rPr>
        <w:t>100</w:t>
      </w:r>
      <w:r>
        <w:rPr>
          <w:rFonts w:hint="eastAsia" w:ascii="仿宋_GB2312" w:hAnsi="仿宋_GB2312" w:eastAsia="仿宋_GB2312"/>
          <w:b/>
          <w:color w:val="000000"/>
          <w:kern w:val="2"/>
          <w:sz w:val="32"/>
          <w:szCs w:val="24"/>
        </w:rPr>
        <w:t>%。其中：</w:t>
      </w:r>
    </w:p>
    <w:p w14:paraId="30D5026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1.一般公共服务支出（类）知识产权事务（款）其他知识产权事务支出（项）:</w:t>
      </w:r>
      <w:r>
        <w:rPr>
          <w:rFonts w:hint="eastAsia" w:ascii="仿宋_GB2312" w:hAnsi="仿宋_GB2312" w:eastAsia="仿宋_GB2312"/>
          <w:color w:val="000000"/>
          <w:kern w:val="2"/>
          <w:sz w:val="32"/>
          <w:szCs w:val="24"/>
        </w:rPr>
        <w:t>全年预算为5万元，支出决算为5万元，完成全年预算的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5AA938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2.一般公共服务支出（类）市场监督管理事务（款）行政运行（项）:</w:t>
      </w:r>
      <w:r>
        <w:rPr>
          <w:rFonts w:hint="eastAsia" w:ascii="仿宋_GB2312" w:hAnsi="仿宋_GB2312" w:eastAsia="仿宋_GB2312"/>
          <w:color w:val="000000"/>
          <w:kern w:val="2"/>
          <w:sz w:val="32"/>
          <w:szCs w:val="24"/>
        </w:rPr>
        <w:t>全年预算为641.61万元，支出决算为641.61万元，完成全年预算的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4B6A48EF">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3</w:t>
      </w:r>
      <w:r>
        <w:rPr>
          <w:rFonts w:hint="eastAsia" w:ascii="仿宋_GB2312" w:hAnsi="仿宋_GB2312" w:eastAsia="仿宋_GB2312"/>
          <w:b/>
          <w:color w:val="000000"/>
          <w:kern w:val="2"/>
          <w:sz w:val="32"/>
          <w:szCs w:val="24"/>
        </w:rPr>
        <w:t>.一般公共服务支出（类）市场监督管理事务（款）一般行政管理事务（项）:</w:t>
      </w:r>
      <w:r>
        <w:rPr>
          <w:rFonts w:hint="eastAsia" w:ascii="仿宋_GB2312" w:hAnsi="仿宋_GB2312" w:eastAsia="仿宋_GB2312"/>
          <w:color w:val="000000"/>
          <w:kern w:val="2"/>
          <w:sz w:val="32"/>
          <w:szCs w:val="24"/>
        </w:rPr>
        <w:t>全年预算为</w:t>
      </w:r>
      <w:r>
        <w:rPr>
          <w:rFonts w:hint="eastAsia" w:ascii="仿宋_GB2312" w:hAnsi="仿宋_GB2312" w:eastAsia="仿宋_GB2312"/>
          <w:color w:val="000000"/>
          <w:kern w:val="2"/>
          <w:sz w:val="32"/>
          <w:szCs w:val="24"/>
          <w:lang w:val="en-US" w:eastAsia="zh-CN"/>
        </w:rPr>
        <w:t>7</w:t>
      </w:r>
      <w:r>
        <w:rPr>
          <w:rFonts w:hint="eastAsia" w:ascii="仿宋_GB2312" w:hAnsi="仿宋_GB2312" w:eastAsia="仿宋_GB2312"/>
          <w:color w:val="000000"/>
          <w:kern w:val="2"/>
          <w:sz w:val="32"/>
          <w:szCs w:val="24"/>
        </w:rPr>
        <w:t>万元，支出决算为</w:t>
      </w:r>
      <w:r>
        <w:rPr>
          <w:rFonts w:hint="eastAsia" w:ascii="仿宋_GB2312" w:hAnsi="仿宋_GB2312" w:eastAsia="仿宋_GB2312"/>
          <w:color w:val="000000"/>
          <w:kern w:val="2"/>
          <w:sz w:val="32"/>
          <w:szCs w:val="24"/>
          <w:lang w:val="en-US" w:eastAsia="zh-CN"/>
        </w:rPr>
        <w:t>7</w:t>
      </w:r>
      <w:r>
        <w:rPr>
          <w:rFonts w:hint="eastAsia" w:ascii="仿宋_GB2312" w:hAnsi="仿宋_GB2312" w:eastAsia="仿宋_GB2312"/>
          <w:color w:val="000000"/>
          <w:kern w:val="2"/>
          <w:sz w:val="32"/>
          <w:szCs w:val="24"/>
        </w:rPr>
        <w:t>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21086F7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4</w:t>
      </w:r>
      <w:r>
        <w:rPr>
          <w:rFonts w:hint="eastAsia" w:ascii="仿宋_GB2312" w:hAnsi="仿宋_GB2312" w:eastAsia="仿宋_GB2312"/>
          <w:b/>
          <w:color w:val="000000"/>
          <w:kern w:val="2"/>
          <w:sz w:val="32"/>
          <w:szCs w:val="24"/>
        </w:rPr>
        <w:t>.一般公共服务支出（类）市场监督管理事务（款）市场主体管理（项）:</w:t>
      </w:r>
      <w:r>
        <w:rPr>
          <w:rFonts w:hint="eastAsia" w:ascii="仿宋_GB2312" w:hAnsi="仿宋_GB2312" w:eastAsia="仿宋_GB2312"/>
          <w:color w:val="000000"/>
          <w:kern w:val="2"/>
          <w:sz w:val="32"/>
          <w:szCs w:val="24"/>
        </w:rPr>
        <w:t>全年预算为36万元，支出决算为36万元，完成全年预算的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6C85B319">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5</w:t>
      </w:r>
      <w:r>
        <w:rPr>
          <w:rFonts w:hint="eastAsia" w:ascii="仿宋_GB2312" w:hAnsi="仿宋_GB2312" w:eastAsia="仿宋_GB2312"/>
          <w:b/>
          <w:color w:val="000000"/>
          <w:kern w:val="2"/>
          <w:sz w:val="32"/>
          <w:szCs w:val="24"/>
        </w:rPr>
        <w:t>.一般公共服务支出（类）市场监督管理事务（款）质量基础（项）:</w:t>
      </w:r>
      <w:r>
        <w:rPr>
          <w:rFonts w:hint="eastAsia" w:ascii="仿宋_GB2312" w:hAnsi="仿宋_GB2312" w:eastAsia="仿宋_GB2312"/>
          <w:color w:val="000000"/>
          <w:kern w:val="2"/>
          <w:sz w:val="32"/>
          <w:szCs w:val="24"/>
        </w:rPr>
        <w:t>全年预算为</w:t>
      </w:r>
      <w:r>
        <w:rPr>
          <w:rFonts w:hint="eastAsia" w:ascii="仿宋_GB2312" w:hAnsi="仿宋_GB2312" w:eastAsia="仿宋_GB2312"/>
          <w:color w:val="000000"/>
          <w:kern w:val="2"/>
          <w:sz w:val="32"/>
          <w:szCs w:val="24"/>
          <w:lang w:val="en-US" w:eastAsia="zh-CN"/>
        </w:rPr>
        <w:t>10</w:t>
      </w:r>
      <w:r>
        <w:rPr>
          <w:rFonts w:hint="eastAsia" w:ascii="仿宋_GB2312" w:hAnsi="仿宋_GB2312" w:eastAsia="仿宋_GB2312"/>
          <w:color w:val="000000"/>
          <w:kern w:val="2"/>
          <w:sz w:val="32"/>
          <w:szCs w:val="24"/>
        </w:rPr>
        <w:t>万元，支出决算为</w:t>
      </w:r>
      <w:r>
        <w:rPr>
          <w:rFonts w:hint="eastAsia" w:ascii="仿宋_GB2312" w:hAnsi="仿宋_GB2312" w:eastAsia="仿宋_GB2312"/>
          <w:color w:val="000000"/>
          <w:kern w:val="2"/>
          <w:sz w:val="32"/>
          <w:szCs w:val="24"/>
          <w:lang w:val="en-US" w:eastAsia="zh-CN"/>
        </w:rPr>
        <w:t>10</w:t>
      </w:r>
      <w:r>
        <w:rPr>
          <w:rFonts w:hint="eastAsia" w:ascii="仿宋_GB2312" w:hAnsi="仿宋_GB2312" w:eastAsia="仿宋_GB2312"/>
          <w:color w:val="000000"/>
          <w:kern w:val="2"/>
          <w:sz w:val="32"/>
          <w:szCs w:val="24"/>
        </w:rPr>
        <w:t>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1756092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6</w:t>
      </w:r>
      <w:r>
        <w:rPr>
          <w:rFonts w:hint="eastAsia" w:ascii="仿宋_GB2312" w:hAnsi="仿宋_GB2312" w:eastAsia="仿宋_GB2312"/>
          <w:b/>
          <w:color w:val="000000"/>
          <w:kern w:val="2"/>
          <w:sz w:val="32"/>
          <w:szCs w:val="24"/>
        </w:rPr>
        <w:t>.一般公共服务支出（类）市场监督管理事务（款）药品事务（项）:</w:t>
      </w:r>
      <w:r>
        <w:rPr>
          <w:rFonts w:hint="eastAsia" w:ascii="仿宋_GB2312" w:hAnsi="仿宋_GB2312" w:eastAsia="仿宋_GB2312"/>
          <w:color w:val="000000"/>
          <w:kern w:val="2"/>
          <w:sz w:val="32"/>
          <w:szCs w:val="24"/>
        </w:rPr>
        <w:t>全年预算为40.5万元，支出决算为40.5万元，完成全年预算的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69DD35F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7</w:t>
      </w:r>
      <w:r>
        <w:rPr>
          <w:rFonts w:hint="eastAsia" w:ascii="仿宋_GB2312" w:hAnsi="仿宋_GB2312" w:eastAsia="仿宋_GB2312"/>
          <w:b/>
          <w:color w:val="000000"/>
          <w:kern w:val="2"/>
          <w:sz w:val="32"/>
          <w:szCs w:val="24"/>
        </w:rPr>
        <w:t>.一般公共服务支出（类）市场监督管理事务（款）质量安全监管（项）:</w:t>
      </w:r>
      <w:r>
        <w:rPr>
          <w:rFonts w:hint="eastAsia" w:ascii="仿宋_GB2312" w:hAnsi="仿宋_GB2312" w:eastAsia="仿宋_GB2312"/>
          <w:color w:val="000000"/>
          <w:kern w:val="2"/>
          <w:sz w:val="32"/>
          <w:szCs w:val="24"/>
        </w:rPr>
        <w:t>全年预算为</w:t>
      </w:r>
      <w:r>
        <w:rPr>
          <w:rFonts w:hint="eastAsia" w:ascii="仿宋_GB2312" w:hAnsi="仿宋_GB2312" w:eastAsia="仿宋_GB2312"/>
          <w:color w:val="000000"/>
          <w:kern w:val="2"/>
          <w:sz w:val="32"/>
          <w:szCs w:val="24"/>
          <w:lang w:val="en-US" w:eastAsia="zh-CN"/>
        </w:rPr>
        <w:t>20</w:t>
      </w:r>
      <w:r>
        <w:rPr>
          <w:rFonts w:hint="eastAsia" w:ascii="仿宋_GB2312" w:hAnsi="仿宋_GB2312" w:eastAsia="仿宋_GB2312"/>
          <w:color w:val="000000"/>
          <w:kern w:val="2"/>
          <w:sz w:val="32"/>
          <w:szCs w:val="24"/>
        </w:rPr>
        <w:t>万元，支出决算为</w:t>
      </w:r>
      <w:r>
        <w:rPr>
          <w:rFonts w:hint="eastAsia" w:ascii="仿宋_GB2312" w:hAnsi="仿宋_GB2312" w:eastAsia="仿宋_GB2312"/>
          <w:color w:val="000000"/>
          <w:kern w:val="2"/>
          <w:sz w:val="32"/>
          <w:szCs w:val="24"/>
          <w:lang w:val="en-US" w:eastAsia="zh-CN"/>
        </w:rPr>
        <w:t>20</w:t>
      </w:r>
      <w:r>
        <w:rPr>
          <w:rFonts w:hint="eastAsia" w:ascii="仿宋_GB2312" w:hAnsi="仿宋_GB2312" w:eastAsia="仿宋_GB2312"/>
          <w:color w:val="000000"/>
          <w:kern w:val="2"/>
          <w:sz w:val="32"/>
          <w:szCs w:val="24"/>
        </w:rPr>
        <w:t>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1AECA94F">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8</w:t>
      </w:r>
      <w:r>
        <w:rPr>
          <w:rFonts w:hint="eastAsia" w:ascii="仿宋_GB2312" w:hAnsi="仿宋_GB2312" w:eastAsia="仿宋_GB2312"/>
          <w:b/>
          <w:color w:val="000000"/>
          <w:kern w:val="2"/>
          <w:sz w:val="32"/>
          <w:szCs w:val="24"/>
        </w:rPr>
        <w:t>.一般公共服务支出（类）市场监督管理事务（款）食品安全监管（项）:</w:t>
      </w:r>
      <w:r>
        <w:rPr>
          <w:rFonts w:hint="eastAsia" w:ascii="仿宋_GB2312" w:hAnsi="仿宋_GB2312" w:eastAsia="仿宋_GB2312"/>
          <w:color w:val="000000"/>
          <w:kern w:val="2"/>
          <w:sz w:val="32"/>
          <w:szCs w:val="24"/>
        </w:rPr>
        <w:t>全年预算为</w:t>
      </w:r>
      <w:r>
        <w:rPr>
          <w:rFonts w:hint="eastAsia" w:ascii="仿宋_GB2312" w:hAnsi="仿宋_GB2312" w:eastAsia="仿宋_GB2312"/>
          <w:color w:val="000000"/>
          <w:kern w:val="2"/>
          <w:sz w:val="32"/>
          <w:szCs w:val="24"/>
          <w:lang w:val="en-US" w:eastAsia="zh-CN"/>
        </w:rPr>
        <w:t>57</w:t>
      </w:r>
      <w:r>
        <w:rPr>
          <w:rFonts w:hint="eastAsia" w:ascii="仿宋_GB2312" w:hAnsi="仿宋_GB2312" w:eastAsia="仿宋_GB2312"/>
          <w:color w:val="000000"/>
          <w:kern w:val="2"/>
          <w:sz w:val="32"/>
          <w:szCs w:val="24"/>
        </w:rPr>
        <w:t>万元，支出决算为</w:t>
      </w:r>
      <w:r>
        <w:rPr>
          <w:rFonts w:hint="eastAsia" w:ascii="仿宋_GB2312" w:hAnsi="仿宋_GB2312" w:eastAsia="仿宋_GB2312"/>
          <w:color w:val="000000"/>
          <w:kern w:val="2"/>
          <w:sz w:val="32"/>
          <w:szCs w:val="24"/>
          <w:lang w:val="en-US" w:eastAsia="zh-CN"/>
        </w:rPr>
        <w:t>57</w:t>
      </w:r>
      <w:r>
        <w:rPr>
          <w:rFonts w:hint="eastAsia" w:ascii="仿宋_GB2312" w:hAnsi="仿宋_GB2312" w:eastAsia="仿宋_GB2312"/>
          <w:color w:val="000000"/>
          <w:kern w:val="2"/>
          <w:sz w:val="32"/>
          <w:szCs w:val="24"/>
        </w:rPr>
        <w:t>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04E1EC2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9</w:t>
      </w:r>
      <w:r>
        <w:rPr>
          <w:rFonts w:hint="eastAsia" w:ascii="仿宋_GB2312" w:hAnsi="仿宋_GB2312" w:eastAsia="仿宋_GB2312"/>
          <w:b/>
          <w:color w:val="000000"/>
          <w:kern w:val="2"/>
          <w:sz w:val="32"/>
          <w:szCs w:val="24"/>
        </w:rPr>
        <w:t>.一般公共服务支出（类）市场监督管理事务（款）事业运行（项）:</w:t>
      </w:r>
      <w:r>
        <w:rPr>
          <w:rFonts w:hint="eastAsia" w:ascii="仿宋_GB2312" w:hAnsi="仿宋_GB2312" w:eastAsia="仿宋_GB2312"/>
          <w:color w:val="000000"/>
          <w:kern w:val="2"/>
          <w:sz w:val="32"/>
          <w:szCs w:val="24"/>
        </w:rPr>
        <w:t>全年预算为265.12万元，支出决算为265.12万元，完成全年预算的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150DCB7F">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10</w:t>
      </w:r>
      <w:r>
        <w:rPr>
          <w:rFonts w:hint="eastAsia" w:ascii="仿宋_GB2312" w:hAnsi="仿宋_GB2312" w:eastAsia="仿宋_GB2312"/>
          <w:b/>
          <w:color w:val="000000"/>
          <w:kern w:val="2"/>
          <w:sz w:val="32"/>
          <w:szCs w:val="24"/>
        </w:rPr>
        <w:t>.一般公共服务支出（类）市场监督管理事务（款）其他市场监督管理事务（项）:</w:t>
      </w:r>
      <w:r>
        <w:rPr>
          <w:rFonts w:hint="eastAsia" w:ascii="仿宋_GB2312" w:hAnsi="仿宋_GB2312" w:eastAsia="仿宋_GB2312"/>
          <w:color w:val="000000"/>
          <w:kern w:val="2"/>
          <w:sz w:val="32"/>
          <w:szCs w:val="24"/>
        </w:rPr>
        <w:t>全年预算为</w:t>
      </w:r>
      <w:r>
        <w:rPr>
          <w:rFonts w:hint="eastAsia" w:ascii="仿宋_GB2312" w:hAnsi="仿宋_GB2312" w:eastAsia="仿宋_GB2312"/>
          <w:color w:val="000000"/>
          <w:kern w:val="2"/>
          <w:sz w:val="32"/>
          <w:szCs w:val="24"/>
          <w:lang w:val="en-US" w:eastAsia="zh-CN"/>
        </w:rPr>
        <w:t>42</w:t>
      </w:r>
      <w:r>
        <w:rPr>
          <w:rFonts w:hint="eastAsia" w:ascii="仿宋_GB2312" w:hAnsi="仿宋_GB2312" w:eastAsia="仿宋_GB2312"/>
          <w:color w:val="000000"/>
          <w:kern w:val="2"/>
          <w:sz w:val="32"/>
          <w:szCs w:val="24"/>
        </w:rPr>
        <w:t>万元，支出决算为</w:t>
      </w:r>
      <w:r>
        <w:rPr>
          <w:rFonts w:hint="eastAsia" w:ascii="仿宋_GB2312" w:hAnsi="仿宋_GB2312" w:eastAsia="仿宋_GB2312"/>
          <w:color w:val="000000"/>
          <w:kern w:val="2"/>
          <w:sz w:val="32"/>
          <w:szCs w:val="24"/>
          <w:lang w:val="en-US" w:eastAsia="zh-CN"/>
        </w:rPr>
        <w:t>42</w:t>
      </w:r>
      <w:r>
        <w:rPr>
          <w:rFonts w:hint="eastAsia" w:ascii="仿宋_GB2312" w:hAnsi="仿宋_GB2312" w:eastAsia="仿宋_GB2312"/>
          <w:color w:val="000000"/>
          <w:kern w:val="2"/>
          <w:sz w:val="32"/>
          <w:szCs w:val="24"/>
        </w:rPr>
        <w:t>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393A8C11">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11</w:t>
      </w:r>
      <w:r>
        <w:rPr>
          <w:rFonts w:hint="eastAsia" w:ascii="仿宋_GB2312" w:hAnsi="仿宋_GB2312" w:eastAsia="仿宋_GB2312"/>
          <w:b/>
          <w:color w:val="000000"/>
          <w:kern w:val="2"/>
          <w:sz w:val="32"/>
          <w:szCs w:val="24"/>
        </w:rPr>
        <w:t>.社会保障和就业支出（类）行政事业单位养老支出（款）行政单位离退休（项）:</w:t>
      </w:r>
      <w:r>
        <w:rPr>
          <w:rFonts w:hint="eastAsia" w:ascii="仿宋_GB2312" w:hAnsi="仿宋_GB2312" w:eastAsia="仿宋_GB2312"/>
          <w:color w:val="000000"/>
          <w:kern w:val="2"/>
          <w:sz w:val="32"/>
          <w:szCs w:val="24"/>
        </w:rPr>
        <w:t>全年预算为56万元，支出决算为56万元，完成全年预算的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21C56706">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12</w:t>
      </w:r>
      <w:r>
        <w:rPr>
          <w:rFonts w:hint="eastAsia" w:ascii="仿宋_GB2312" w:hAnsi="仿宋_GB2312" w:eastAsia="仿宋_GB2312"/>
          <w:b/>
          <w:color w:val="000000"/>
          <w:kern w:val="2"/>
          <w:sz w:val="32"/>
          <w:szCs w:val="24"/>
        </w:rPr>
        <w:t>.社会保障和就业支出（类）行政事业单位养老支出（款）机关事业单位基本养老保险缴费支出（项）:</w:t>
      </w:r>
      <w:r>
        <w:rPr>
          <w:rFonts w:hint="eastAsia" w:ascii="仿宋_GB2312" w:hAnsi="仿宋_GB2312" w:eastAsia="仿宋_GB2312"/>
          <w:color w:val="000000"/>
          <w:kern w:val="2"/>
          <w:sz w:val="32"/>
          <w:szCs w:val="24"/>
        </w:rPr>
        <w:t>全年预算为108.75万元，支出决算为108.75万元，完成全年预算的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F0E5D1F">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13</w:t>
      </w:r>
      <w:r>
        <w:rPr>
          <w:rFonts w:hint="eastAsia" w:ascii="仿宋_GB2312" w:hAnsi="仿宋_GB2312" w:eastAsia="仿宋_GB2312"/>
          <w:b/>
          <w:color w:val="000000"/>
          <w:kern w:val="2"/>
          <w:sz w:val="32"/>
          <w:szCs w:val="24"/>
        </w:rPr>
        <w:t>.社会保障和就业支出（类）行政事业单位养老支出（款）机关事业单位职业年金缴费支出（项）:</w:t>
      </w:r>
      <w:r>
        <w:rPr>
          <w:rFonts w:hint="eastAsia" w:ascii="仿宋_GB2312" w:hAnsi="仿宋_GB2312" w:eastAsia="仿宋_GB2312"/>
          <w:color w:val="000000"/>
          <w:kern w:val="2"/>
          <w:sz w:val="32"/>
          <w:szCs w:val="24"/>
        </w:rPr>
        <w:t>全年预算为8.1万元，支出决算为8.1万元，完成全年预算的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498D51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w:t>
      </w:r>
      <w:r>
        <w:rPr>
          <w:rFonts w:hint="eastAsia" w:ascii="仿宋_GB2312" w:hAnsi="仿宋_GB2312" w:eastAsia="仿宋_GB2312"/>
          <w:b/>
          <w:color w:val="000000"/>
          <w:kern w:val="2"/>
          <w:sz w:val="32"/>
          <w:szCs w:val="24"/>
        </w:rPr>
        <w:t>4.社会保障和就业支出（类）抚恤（款）死亡抚恤（项）:</w:t>
      </w:r>
      <w:r>
        <w:rPr>
          <w:rFonts w:hint="eastAsia" w:ascii="仿宋_GB2312" w:hAnsi="仿宋_GB2312" w:eastAsia="仿宋_GB2312"/>
          <w:color w:val="000000"/>
          <w:kern w:val="2"/>
          <w:sz w:val="32"/>
          <w:szCs w:val="24"/>
        </w:rPr>
        <w:t>全年预算为19.92万元，支出决算为19.92万元，完成全年预算的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0D72AC5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15</w:t>
      </w:r>
      <w:r>
        <w:rPr>
          <w:rFonts w:hint="eastAsia" w:ascii="仿宋_GB2312" w:hAnsi="仿宋_GB2312" w:eastAsia="仿宋_GB2312"/>
          <w:b/>
          <w:color w:val="000000"/>
          <w:kern w:val="2"/>
          <w:sz w:val="32"/>
          <w:szCs w:val="24"/>
        </w:rPr>
        <w:t>.社会保障和就业支出（类）其他社会保障和就业支出（款）其他社会保障和就业支出（项）:</w:t>
      </w:r>
      <w:r>
        <w:rPr>
          <w:rFonts w:hint="eastAsia" w:ascii="仿宋_GB2312" w:hAnsi="仿宋_GB2312" w:eastAsia="仿宋_GB2312"/>
          <w:color w:val="000000"/>
          <w:kern w:val="2"/>
          <w:sz w:val="32"/>
          <w:szCs w:val="24"/>
        </w:rPr>
        <w:t>全年预算为3.05万元，支出决算为3.05万元，完成全年预算的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31B22A7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16</w:t>
      </w:r>
      <w:r>
        <w:rPr>
          <w:rFonts w:hint="eastAsia" w:ascii="仿宋_GB2312" w:hAnsi="仿宋_GB2312" w:eastAsia="仿宋_GB2312"/>
          <w:b/>
          <w:color w:val="000000"/>
          <w:kern w:val="2"/>
          <w:sz w:val="32"/>
          <w:szCs w:val="24"/>
        </w:rPr>
        <w:t>.卫生健康支出（类）行政事业单位医疗（款）行政单位医疗（项）:</w:t>
      </w:r>
      <w:r>
        <w:rPr>
          <w:rFonts w:hint="eastAsia" w:ascii="仿宋_GB2312" w:hAnsi="仿宋_GB2312" w:eastAsia="仿宋_GB2312"/>
          <w:color w:val="000000"/>
          <w:kern w:val="2"/>
          <w:sz w:val="32"/>
          <w:szCs w:val="24"/>
        </w:rPr>
        <w:t>全年预算为30.33万元，支出决算为30.33万元，完成全年预算的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627263A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17</w:t>
      </w:r>
      <w:r>
        <w:rPr>
          <w:rFonts w:hint="eastAsia" w:ascii="仿宋_GB2312" w:hAnsi="仿宋_GB2312" w:eastAsia="仿宋_GB2312"/>
          <w:b/>
          <w:color w:val="000000"/>
          <w:kern w:val="2"/>
          <w:sz w:val="32"/>
          <w:szCs w:val="24"/>
        </w:rPr>
        <w:t>.卫生健康支出（类）行政事业单位医疗（款）事业单位医疗（项）:</w:t>
      </w:r>
      <w:r>
        <w:rPr>
          <w:rFonts w:hint="eastAsia" w:ascii="仿宋_GB2312" w:hAnsi="仿宋_GB2312" w:eastAsia="仿宋_GB2312"/>
          <w:color w:val="000000"/>
          <w:kern w:val="2"/>
          <w:sz w:val="32"/>
          <w:szCs w:val="24"/>
        </w:rPr>
        <w:t>全年预算为11.14万元，支出决算为11.14万元，完成全年预算的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5787F8AD">
      <w:pPr>
        <w:kinsoku/>
        <w:wordWrap/>
        <w:overflowPunct w:val="0"/>
        <w:topLinePunct/>
        <w:autoSpaceDE w:val="0"/>
        <w:autoSpaceDN w:val="0"/>
        <w:bidi w:val="0"/>
        <w:adjustRightInd w:val="0"/>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18</w:t>
      </w:r>
      <w:r>
        <w:rPr>
          <w:rFonts w:hint="eastAsia" w:ascii="仿宋_GB2312" w:hAnsi="仿宋_GB2312" w:eastAsia="仿宋_GB2312"/>
          <w:b/>
          <w:color w:val="000000"/>
          <w:kern w:val="2"/>
          <w:sz w:val="32"/>
          <w:szCs w:val="24"/>
        </w:rPr>
        <w:t>.住房保障支出（类）住房改革支出（款）住房公积金（项）:</w:t>
      </w:r>
      <w:r>
        <w:rPr>
          <w:rFonts w:hint="eastAsia" w:ascii="仿宋_GB2312" w:hAnsi="仿宋_GB2312" w:eastAsia="仿宋_GB2312"/>
          <w:color w:val="000000"/>
          <w:kern w:val="2"/>
          <w:sz w:val="32"/>
          <w:szCs w:val="24"/>
        </w:rPr>
        <w:t>全年预算为81.56万元，支出决算为81.56万元，完成全年预算的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r>
        <w:rPr>
          <w:rFonts w:hint="eastAsia" w:ascii="仿宋_GB2312" w:hAnsi="仿宋_GB2312" w:eastAsia="仿宋_GB2312" w:cs="Times New Roman"/>
          <w:color w:val="000000"/>
          <w:kern w:val="2"/>
          <w:sz w:val="32"/>
          <w:szCs w:val="24"/>
          <w:lang w:val="en-US" w:eastAsia="zh-CN" w:bidi="ar-SA"/>
        </w:rPr>
        <w:t>。</w:t>
      </w:r>
    </w:p>
    <w:p w14:paraId="5BD02AB0">
      <w:pPr>
        <w:keepNext w:val="0"/>
        <w:keepLines w:val="0"/>
        <w:pageBreakBefore w:val="0"/>
        <w:widowControl w:val="0"/>
        <w:tabs>
          <w:tab w:val="right" w:pos="8306"/>
        </w:tabs>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default" w:ascii="Cambria" w:cs="Cambria"/>
          <w:b/>
          <w:kern w:val="2"/>
          <w:sz w:val="32"/>
          <w:szCs w:val="24"/>
        </w:rPr>
      </w:pPr>
      <w:bookmarkStart w:id="12" w:name="_Toc10529"/>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bookmarkEnd w:id="12"/>
      <w:r>
        <w:rPr>
          <w:rFonts w:hint="eastAsia" w:ascii="黑体" w:hAnsi="黑体" w:eastAsia="黑体"/>
          <w:kern w:val="2"/>
          <w:sz w:val="32"/>
          <w:szCs w:val="24"/>
        </w:rPr>
        <w:tab/>
      </w:r>
    </w:p>
    <w:p w14:paraId="044D626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2023年度一般公共预算财政拨款基本支出1225.59万元，其中：</w:t>
      </w:r>
    </w:p>
    <w:p w14:paraId="5EB48ED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人员经费</w:t>
      </w:r>
      <w:r>
        <w:rPr>
          <w:rFonts w:hint="eastAsia" w:ascii="仿宋_GB2312" w:hAnsi="仿宋_GB2312" w:eastAsia="仿宋_GB2312"/>
          <w:color w:val="000000"/>
          <w:kern w:val="2"/>
          <w:sz w:val="32"/>
          <w:szCs w:val="24"/>
        </w:rPr>
        <w:t>1065.84万元，主要包括：基本工资273.69万元、津贴补贴131.63万元、奖金71.57万元、绩效工资252.62万元、机关事业单位基本养老保险缴费108.75万元、职业年金缴费8.1万元</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职工基本医疗保险缴费41.47万元、其他社会保障缴费3.05万元</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住房公积金81.56万元、抚恤金19.92万元、生活补助67.64万元、奖励金5.83万元。</w:t>
      </w:r>
    </w:p>
    <w:p w14:paraId="43F393D8">
      <w:pPr>
        <w:kinsoku/>
        <w:wordWrap/>
        <w:overflowPunct w:val="0"/>
        <w:topLinePunct/>
        <w:autoSpaceDE w:val="0"/>
        <w:autoSpaceDN w:val="0"/>
        <w:bidi w:val="0"/>
        <w:adjustRightInd w:val="0"/>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公用经费</w:t>
      </w:r>
      <w:r>
        <w:rPr>
          <w:rFonts w:hint="eastAsia" w:ascii="仿宋_GB2312" w:hAnsi="仿宋_GB2312" w:eastAsia="仿宋_GB2312"/>
          <w:color w:val="000000"/>
          <w:kern w:val="2"/>
          <w:sz w:val="32"/>
          <w:szCs w:val="24"/>
        </w:rPr>
        <w:t>159.75万元，主要包括：办公费8.9万元、印刷费3.5万元、手续费0.5万元</w:t>
      </w:r>
      <w:r>
        <w:rPr>
          <w:rFonts w:hint="eastAsia" w:ascii="仿宋_GB2312" w:hAnsi="仿宋_GB2312" w:eastAsia="仿宋_GB2312"/>
          <w:color w:val="000000"/>
          <w:kern w:val="2"/>
          <w:sz w:val="32"/>
          <w:szCs w:val="24"/>
          <w:lang w:eastAsia="zh-CN"/>
        </w:rPr>
        <w:t>、水费</w:t>
      </w:r>
      <w:r>
        <w:rPr>
          <w:rFonts w:hint="eastAsia" w:ascii="仿宋_GB2312" w:hAnsi="仿宋_GB2312" w:eastAsia="仿宋_GB2312"/>
          <w:color w:val="000000"/>
          <w:kern w:val="2"/>
          <w:sz w:val="32"/>
          <w:szCs w:val="24"/>
        </w:rPr>
        <w:t>0.5万元</w:t>
      </w:r>
      <w:r>
        <w:rPr>
          <w:rFonts w:hint="eastAsia" w:ascii="仿宋_GB2312" w:hAnsi="仿宋_GB2312" w:eastAsia="仿宋_GB2312"/>
          <w:color w:val="000000"/>
          <w:kern w:val="2"/>
          <w:sz w:val="32"/>
          <w:szCs w:val="24"/>
          <w:lang w:eastAsia="zh-CN"/>
        </w:rPr>
        <w:t>、电费4.5</w:t>
      </w:r>
      <w:r>
        <w:rPr>
          <w:rFonts w:hint="eastAsia" w:ascii="仿宋_GB2312" w:hAnsi="仿宋_GB2312" w:eastAsia="仿宋_GB2312"/>
          <w:color w:val="000000"/>
          <w:kern w:val="2"/>
          <w:sz w:val="32"/>
          <w:szCs w:val="24"/>
        </w:rPr>
        <w:t>万元</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邮电费1万元、物业管理费2万元</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差旅费25万元、维修（护）费</w:t>
      </w:r>
      <w:r>
        <w:rPr>
          <w:rFonts w:hint="eastAsia" w:ascii="仿宋_GB2312" w:hAnsi="仿宋_GB2312" w:eastAsia="仿宋_GB2312"/>
          <w:color w:val="000000"/>
          <w:kern w:val="2"/>
          <w:sz w:val="32"/>
          <w:szCs w:val="24"/>
          <w:lang w:val="en-US" w:eastAsia="zh-CN"/>
        </w:rPr>
        <w:t>2.5</w:t>
      </w:r>
      <w:r>
        <w:rPr>
          <w:rFonts w:hint="eastAsia" w:ascii="仿宋_GB2312" w:hAnsi="仿宋_GB2312" w:eastAsia="仿宋_GB2312"/>
          <w:color w:val="000000"/>
          <w:kern w:val="2"/>
          <w:sz w:val="32"/>
          <w:szCs w:val="24"/>
        </w:rPr>
        <w:t>万元、会议费</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rPr>
        <w:t>万元、培训费</w:t>
      </w:r>
      <w:r>
        <w:rPr>
          <w:rFonts w:hint="eastAsia" w:ascii="仿宋_GB2312" w:hAnsi="仿宋_GB2312" w:eastAsia="仿宋_GB2312"/>
          <w:color w:val="000000"/>
          <w:kern w:val="2"/>
          <w:sz w:val="32"/>
          <w:szCs w:val="24"/>
          <w:lang w:val="en-US" w:eastAsia="zh-CN"/>
        </w:rPr>
        <w:t>5</w:t>
      </w:r>
      <w:r>
        <w:rPr>
          <w:rFonts w:hint="eastAsia" w:ascii="仿宋_GB2312" w:hAnsi="仿宋_GB2312" w:eastAsia="仿宋_GB2312"/>
          <w:color w:val="000000"/>
          <w:kern w:val="2"/>
          <w:sz w:val="32"/>
          <w:szCs w:val="24"/>
        </w:rPr>
        <w:t>万元、公务接待费3.2万元、劳务费</w:t>
      </w:r>
      <w:r>
        <w:rPr>
          <w:rFonts w:hint="eastAsia" w:ascii="仿宋_GB2312" w:hAnsi="仿宋_GB2312" w:eastAsia="仿宋_GB2312"/>
          <w:color w:val="000000"/>
          <w:kern w:val="2"/>
          <w:sz w:val="32"/>
          <w:szCs w:val="24"/>
          <w:lang w:val="en-US" w:eastAsia="zh-CN"/>
        </w:rPr>
        <w:t>31</w:t>
      </w:r>
      <w:r>
        <w:rPr>
          <w:rFonts w:hint="eastAsia" w:ascii="仿宋_GB2312" w:hAnsi="仿宋_GB2312" w:eastAsia="仿宋_GB2312"/>
          <w:color w:val="000000"/>
          <w:kern w:val="2"/>
          <w:sz w:val="32"/>
          <w:szCs w:val="24"/>
        </w:rPr>
        <w:t>万元、工会经费</w:t>
      </w:r>
      <w:r>
        <w:rPr>
          <w:rFonts w:hint="eastAsia" w:ascii="仿宋_GB2312" w:hAnsi="仿宋_GB2312" w:eastAsia="仿宋_GB2312"/>
          <w:color w:val="000000"/>
          <w:kern w:val="2"/>
          <w:sz w:val="32"/>
          <w:szCs w:val="24"/>
          <w:lang w:val="en-US" w:eastAsia="zh-CN"/>
        </w:rPr>
        <w:t>21</w:t>
      </w:r>
      <w:r>
        <w:rPr>
          <w:rFonts w:hint="eastAsia" w:ascii="仿宋_GB2312" w:hAnsi="仿宋_GB2312" w:eastAsia="仿宋_GB2312"/>
          <w:color w:val="000000"/>
          <w:kern w:val="2"/>
          <w:sz w:val="32"/>
          <w:szCs w:val="24"/>
        </w:rPr>
        <w:t>万元、公务用车运行维护费</w:t>
      </w:r>
      <w:r>
        <w:rPr>
          <w:rFonts w:hint="eastAsia" w:ascii="仿宋_GB2312" w:hAnsi="仿宋_GB2312" w:eastAsia="仿宋_GB2312"/>
          <w:color w:val="000000"/>
          <w:kern w:val="2"/>
          <w:sz w:val="32"/>
          <w:szCs w:val="24"/>
          <w:lang w:val="en-US" w:eastAsia="zh-CN"/>
        </w:rPr>
        <w:t>8</w:t>
      </w:r>
      <w:r>
        <w:rPr>
          <w:rFonts w:hint="eastAsia" w:ascii="仿宋_GB2312" w:hAnsi="仿宋_GB2312" w:eastAsia="仿宋_GB2312"/>
          <w:color w:val="000000"/>
          <w:kern w:val="2"/>
          <w:sz w:val="32"/>
          <w:szCs w:val="24"/>
        </w:rPr>
        <w:t>万元、其他交通费35.15万元、其他商品和服务支出</w:t>
      </w:r>
      <w:r>
        <w:rPr>
          <w:rFonts w:hint="eastAsia" w:ascii="仿宋_GB2312" w:hAnsi="仿宋_GB2312" w:eastAsia="仿宋_GB2312"/>
          <w:color w:val="000000"/>
          <w:kern w:val="2"/>
          <w:sz w:val="32"/>
          <w:szCs w:val="24"/>
          <w:lang w:val="en-US" w:eastAsia="zh-CN"/>
        </w:rPr>
        <w:t>6</w:t>
      </w:r>
      <w:r>
        <w:rPr>
          <w:rFonts w:hint="eastAsia" w:ascii="仿宋_GB2312" w:hAnsi="仿宋_GB2312" w:eastAsia="仿宋_GB2312"/>
          <w:color w:val="000000"/>
          <w:kern w:val="2"/>
          <w:sz w:val="32"/>
          <w:szCs w:val="24"/>
        </w:rPr>
        <w:t>万元。</w:t>
      </w:r>
    </w:p>
    <w:p w14:paraId="7F895F01">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13" w:name="_Toc23714"/>
      <w:r>
        <w:rPr>
          <w:rFonts w:hint="eastAsia" w:ascii="黑体" w:hAnsi="黑体" w:eastAsia="黑体"/>
          <w:color w:val="000000"/>
          <w:kern w:val="2"/>
          <w:sz w:val="32"/>
          <w:szCs w:val="24"/>
        </w:rPr>
        <w:t>七、财政拨款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bookmarkEnd w:id="13"/>
    </w:p>
    <w:p w14:paraId="0F46332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4" w:name="_Toc9623"/>
      <w:r>
        <w:rPr>
          <w:rFonts w:hint="eastAsia" w:ascii="仿宋_GB2312" w:hAnsi="仿宋_GB2312" w:eastAsia="仿宋_GB2312"/>
          <w:b/>
          <w:color w:val="000000"/>
          <w:kern w:val="2"/>
          <w:sz w:val="32"/>
          <w:szCs w:val="24"/>
        </w:rPr>
        <w:t>（一）“三公”经费财政拨款支出决算总体情况说明</w:t>
      </w:r>
      <w:bookmarkEnd w:id="14"/>
    </w:p>
    <w:p w14:paraId="0E6FA12F">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2023年度“三公”经费财政拨款支出预算为16.2万元，支出决算为</w:t>
      </w:r>
      <w:r>
        <w:rPr>
          <w:rFonts w:hint="eastAsia" w:ascii="仿宋_GB2312" w:hAnsi="仿宋_GB2312" w:eastAsia="仿宋_GB2312"/>
          <w:color w:val="000000"/>
          <w:kern w:val="2"/>
          <w:sz w:val="32"/>
          <w:szCs w:val="24"/>
          <w:lang w:val="en-US" w:eastAsia="zh-CN"/>
        </w:rPr>
        <w:t>16.2</w:t>
      </w:r>
      <w:r>
        <w:rPr>
          <w:rFonts w:hint="eastAsia" w:ascii="仿宋_GB2312" w:hAnsi="仿宋_GB2312" w:eastAsia="仿宋_GB2312"/>
          <w:color w:val="000000"/>
          <w:kern w:val="2"/>
          <w:sz w:val="32"/>
          <w:szCs w:val="24"/>
        </w:rPr>
        <w:t>万元，完成预算的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en-US" w:eastAsia="zh-CN"/>
        </w:rPr>
        <w:t>决算数</w:t>
      </w:r>
      <w:r>
        <w:rPr>
          <w:rFonts w:hint="eastAsia" w:ascii="仿宋_GB2312" w:hAnsi="仿宋_GB2312" w:eastAsia="仿宋_GB2312"/>
          <w:color w:val="000000"/>
          <w:kern w:val="2"/>
          <w:sz w:val="32"/>
          <w:szCs w:val="24"/>
          <w:highlight w:val="none"/>
        </w:rPr>
        <w:t>与预算数持平</w:t>
      </w:r>
      <w:r>
        <w:rPr>
          <w:rFonts w:hint="eastAsia" w:ascii="仿宋_GB2312" w:hAnsi="仿宋_GB2312" w:eastAsia="仿宋_GB2312"/>
          <w:color w:val="000000"/>
          <w:kern w:val="2"/>
          <w:sz w:val="32"/>
          <w:szCs w:val="24"/>
        </w:rPr>
        <w:t>的主要原因是</w:t>
      </w:r>
      <w:r>
        <w:rPr>
          <w:rFonts w:hint="eastAsia" w:ascii="仿宋_GB2312" w:hAnsi="仿宋_GB2312" w:eastAsia="仿宋_GB2312"/>
          <w:color w:val="000000"/>
          <w:kern w:val="2"/>
          <w:sz w:val="32"/>
          <w:szCs w:val="24"/>
          <w:lang w:val="en-US" w:eastAsia="zh-CN"/>
        </w:rPr>
        <w:t>严格按照预算控制支出</w:t>
      </w:r>
      <w:r>
        <w:rPr>
          <w:rFonts w:hint="eastAsia" w:ascii="仿宋_GB2312" w:hAnsi="仿宋_GB2312" w:eastAsia="仿宋_GB2312"/>
          <w:color w:val="000000"/>
          <w:kern w:val="2"/>
          <w:sz w:val="32"/>
          <w:szCs w:val="24"/>
        </w:rPr>
        <w:t>。决算数较上年增加的主要原因是2023</w:t>
      </w:r>
      <w:r>
        <w:rPr>
          <w:rFonts w:hint="eastAsia" w:ascii="仿宋_GB2312" w:hAnsi="仿宋_GB2312" w:eastAsia="仿宋_GB2312"/>
          <w:color w:val="000000"/>
          <w:kern w:val="2"/>
          <w:sz w:val="32"/>
          <w:szCs w:val="24"/>
          <w:lang w:val="en-US" w:eastAsia="zh-CN"/>
        </w:rPr>
        <w:t>年度</w:t>
      </w:r>
      <w:r>
        <w:rPr>
          <w:rFonts w:hint="eastAsia" w:ascii="仿宋_GB2312" w:hAnsi="仿宋_GB2312" w:eastAsia="仿宋_GB2312"/>
          <w:color w:val="000000"/>
          <w:kern w:val="2"/>
          <w:sz w:val="32"/>
          <w:szCs w:val="24"/>
        </w:rPr>
        <w:t>接待批次和人数比上年有所增加，车辆使用年限长，发生维修费用增加。</w:t>
      </w:r>
    </w:p>
    <w:p w14:paraId="3A70243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5" w:name="_Toc30846"/>
      <w:r>
        <w:rPr>
          <w:rFonts w:hint="eastAsia" w:ascii="仿宋_GB2312" w:hAnsi="仿宋_GB2312" w:eastAsia="仿宋_GB2312"/>
          <w:b/>
          <w:color w:val="000000"/>
          <w:kern w:val="2"/>
          <w:sz w:val="32"/>
          <w:szCs w:val="24"/>
        </w:rPr>
        <w:t>（二）“三公”经费财政拨款支出决算具体情况说明</w:t>
      </w:r>
      <w:bookmarkEnd w:id="15"/>
    </w:p>
    <w:p w14:paraId="2859E83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2023年度“三公”经费财政拨款支出决算中，因公出国（境）费支出决算</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%；公务用车购置及运行维护费支出决算</w:t>
      </w:r>
      <w:r>
        <w:rPr>
          <w:rFonts w:hint="eastAsia" w:ascii="仿宋_GB2312" w:hAnsi="仿宋_GB2312" w:eastAsia="仿宋_GB2312"/>
          <w:color w:val="000000"/>
          <w:kern w:val="2"/>
          <w:sz w:val="32"/>
          <w:szCs w:val="24"/>
          <w:lang w:val="en-US" w:eastAsia="zh-CN"/>
        </w:rPr>
        <w:t>13</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80.2</w:t>
      </w:r>
      <w:r>
        <w:rPr>
          <w:rFonts w:hint="eastAsia" w:ascii="仿宋_GB2312" w:hAnsi="仿宋_GB2312" w:eastAsia="仿宋_GB2312"/>
          <w:color w:val="000000"/>
          <w:kern w:val="2"/>
          <w:sz w:val="32"/>
          <w:szCs w:val="24"/>
        </w:rPr>
        <w:t>%；公务接待费支出决算3.2万元，占19.</w:t>
      </w:r>
      <w:r>
        <w:rPr>
          <w:rFonts w:hint="eastAsia" w:ascii="仿宋_GB2312" w:hAnsi="仿宋_GB2312" w:eastAsia="仿宋_GB2312"/>
          <w:color w:val="000000"/>
          <w:kern w:val="2"/>
          <w:sz w:val="32"/>
          <w:szCs w:val="24"/>
          <w:lang w:val="en-US" w:eastAsia="zh-CN"/>
        </w:rPr>
        <w:t>8</w:t>
      </w:r>
      <w:r>
        <w:rPr>
          <w:rFonts w:hint="eastAsia" w:ascii="仿宋_GB2312" w:hAnsi="仿宋_GB2312" w:eastAsia="仿宋_GB2312"/>
          <w:color w:val="000000"/>
          <w:kern w:val="2"/>
          <w:sz w:val="32"/>
          <w:szCs w:val="24"/>
        </w:rPr>
        <w:t>%。具体情况如下：</w:t>
      </w:r>
    </w:p>
    <w:p w14:paraId="44854556">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292600" cy="2482850"/>
            <wp:effectExtent l="0" t="0" r="0" b="6350"/>
            <wp:docPr id="9" name="图片 9" descr="C:/Users/Administrator/Documents/1111/2024-09-20_20-45-05.gif2024-09-20_20-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1111/2024-09-20_20-45-05.gif2024-09-20_20-45-05"/>
                    <pic:cNvPicPr>
                      <a:picLocks noChangeAspect="1"/>
                    </pic:cNvPicPr>
                  </pic:nvPicPr>
                  <pic:blipFill>
                    <a:blip r:embed="rId12"/>
                    <a:srcRect t="2019" b="2019"/>
                    <a:stretch>
                      <a:fillRect/>
                    </a:stretch>
                  </pic:blipFill>
                  <pic:spPr>
                    <a:xfrm>
                      <a:off x="0" y="0"/>
                      <a:ext cx="4292600" cy="2482850"/>
                    </a:xfrm>
                    <a:prstGeom prst="rect">
                      <a:avLst/>
                    </a:prstGeom>
                  </pic:spPr>
                </pic:pic>
              </a:graphicData>
            </a:graphic>
          </wp:inline>
        </w:drawing>
      </w:r>
    </w:p>
    <w:p w14:paraId="2E0DC1D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1.因公出国（境）经费</w:t>
      </w:r>
      <w:r>
        <w:rPr>
          <w:rFonts w:hint="eastAsia" w:ascii="仿宋_GB2312" w:hAnsi="仿宋_GB2312" w:eastAsia="仿宋_GB2312"/>
          <w:color w:val="000000"/>
          <w:kern w:val="2"/>
          <w:sz w:val="32"/>
          <w:szCs w:val="24"/>
        </w:rPr>
        <w:t>预算为0万元，年初未安排预算。因公出国（境）支出决算较2022年度无变化。</w:t>
      </w:r>
    </w:p>
    <w:p w14:paraId="1B02997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2.公务用车购置及运行维护费</w:t>
      </w:r>
      <w:r>
        <w:rPr>
          <w:rFonts w:hint="eastAsia" w:ascii="仿宋_GB2312" w:hAnsi="仿宋_GB2312" w:eastAsia="仿宋_GB2312"/>
          <w:color w:val="000000"/>
          <w:kern w:val="2"/>
          <w:sz w:val="32"/>
          <w:szCs w:val="24"/>
        </w:rPr>
        <w:t>预算为13万元,支出决算为13万元，完成预算的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%。公务用车购置及运行维护费支出决算比2022年度增加0.2万元，增长1.</w:t>
      </w:r>
      <w:r>
        <w:rPr>
          <w:rFonts w:hint="eastAsia" w:ascii="仿宋_GB2312" w:hAnsi="仿宋_GB2312" w:eastAsia="仿宋_GB2312"/>
          <w:color w:val="000000"/>
          <w:kern w:val="2"/>
          <w:sz w:val="32"/>
          <w:szCs w:val="24"/>
          <w:lang w:val="en-US" w:eastAsia="zh-CN"/>
        </w:rPr>
        <w:t>6</w:t>
      </w:r>
      <w:r>
        <w:rPr>
          <w:rFonts w:hint="eastAsia" w:ascii="仿宋_GB2312" w:hAnsi="仿宋_GB2312" w:eastAsia="仿宋_GB2312"/>
          <w:color w:val="000000"/>
          <w:kern w:val="2"/>
          <w:sz w:val="32"/>
          <w:szCs w:val="24"/>
        </w:rPr>
        <w:t>%。主要原因是车辆使用年限长，发生维修费用增加。</w:t>
      </w:r>
    </w:p>
    <w:p w14:paraId="4E249B3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其中：</w:t>
      </w:r>
      <w:r>
        <w:rPr>
          <w:rFonts w:hint="eastAsia" w:ascii="仿宋_GB2312" w:hAnsi="仿宋_GB2312" w:eastAsia="仿宋_GB2312"/>
          <w:b/>
          <w:color w:val="000000"/>
          <w:kern w:val="2"/>
          <w:sz w:val="32"/>
          <w:szCs w:val="24"/>
        </w:rPr>
        <w:t>公务用车购置费</w:t>
      </w:r>
      <w:r>
        <w:rPr>
          <w:rFonts w:hint="eastAsia" w:ascii="仿宋_GB2312" w:hAnsi="仿宋_GB2312" w:eastAsia="仿宋_GB2312"/>
          <w:color w:val="000000"/>
          <w:kern w:val="2"/>
          <w:sz w:val="32"/>
          <w:szCs w:val="24"/>
        </w:rPr>
        <w:t>支出0万元。全年按规定更新购置公务用车0辆，其中：轿车0辆、金额0万元，越野车0辆、金额0万元，小型客车0辆、金额0万元，中型客车和大型客车0辆、金额0万元，其他车型0辆、金额0万元。截至2023年12月31日，本部门共有公务用车</w:t>
      </w:r>
      <w:r>
        <w:rPr>
          <w:rFonts w:hint="eastAsia" w:ascii="仿宋_GB2312" w:hAnsi="仿宋_GB2312" w:eastAsia="仿宋_GB2312"/>
          <w:color w:val="000000"/>
          <w:kern w:val="2"/>
          <w:sz w:val="32"/>
          <w:szCs w:val="24"/>
          <w:lang w:val="en-US" w:eastAsia="zh-CN"/>
        </w:rPr>
        <w:t>5</w:t>
      </w:r>
      <w:r>
        <w:rPr>
          <w:rFonts w:hint="eastAsia" w:ascii="仿宋_GB2312" w:hAnsi="仿宋_GB2312" w:eastAsia="仿宋_GB2312"/>
          <w:color w:val="000000"/>
          <w:kern w:val="2"/>
          <w:sz w:val="32"/>
          <w:szCs w:val="24"/>
        </w:rPr>
        <w:t>辆，其中：轿车</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rPr>
        <w:t>辆、越野车</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rPr>
        <w:t>辆、小型客车0辆、中型客车和大型客车0辆、其他车型</w:t>
      </w:r>
      <w:r>
        <w:rPr>
          <w:rFonts w:hint="eastAsia" w:ascii="仿宋_GB2312" w:hAnsi="仿宋_GB2312" w:eastAsia="仿宋_GB2312"/>
          <w:color w:val="000000"/>
          <w:kern w:val="2"/>
          <w:sz w:val="32"/>
          <w:szCs w:val="24"/>
          <w:lang w:val="en-US" w:eastAsia="zh-CN"/>
        </w:rPr>
        <w:t>1</w:t>
      </w:r>
      <w:r>
        <w:rPr>
          <w:rFonts w:hint="eastAsia" w:ascii="仿宋_GB2312" w:hAnsi="仿宋_GB2312" w:eastAsia="仿宋_GB2312"/>
          <w:color w:val="000000"/>
          <w:kern w:val="2"/>
          <w:sz w:val="32"/>
          <w:szCs w:val="24"/>
        </w:rPr>
        <w:t>辆。</w:t>
      </w:r>
    </w:p>
    <w:p w14:paraId="181768C6">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公务用车运行维护费</w:t>
      </w:r>
      <w:r>
        <w:rPr>
          <w:rFonts w:hint="eastAsia" w:ascii="仿宋_GB2312" w:hAnsi="仿宋_GB2312" w:eastAsia="仿宋_GB2312"/>
          <w:color w:val="000000"/>
          <w:kern w:val="2"/>
          <w:sz w:val="32"/>
          <w:szCs w:val="24"/>
        </w:rPr>
        <w:t>支出13万元。主要用于</w:t>
      </w:r>
      <w:r>
        <w:rPr>
          <w:rFonts w:hint="eastAsia" w:ascii="仿宋_GB2312" w:hAnsi="仿宋_GB2312" w:eastAsia="仿宋_GB2312"/>
          <w:color w:val="000000"/>
          <w:kern w:val="2"/>
          <w:sz w:val="32"/>
          <w:szCs w:val="24"/>
          <w:lang w:val="en-US" w:eastAsia="zh-CN"/>
        </w:rPr>
        <w:t>食品安全保障、药品安全保障、特种设备保障疫情防控、冷链等所需的公务用车燃料费、维修费、过路过桥费、保险费</w:t>
      </w:r>
      <w:r>
        <w:rPr>
          <w:rFonts w:hint="eastAsia" w:ascii="仿宋_GB2312" w:hAnsi="仿宋_GB2312" w:eastAsia="仿宋_GB2312"/>
          <w:color w:val="000000"/>
          <w:kern w:val="2"/>
          <w:sz w:val="32"/>
          <w:szCs w:val="24"/>
        </w:rPr>
        <w:t>等支出。</w:t>
      </w:r>
    </w:p>
    <w:p w14:paraId="2B2969C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3.公务接待费</w:t>
      </w:r>
      <w:r>
        <w:rPr>
          <w:rFonts w:hint="eastAsia" w:ascii="仿宋_GB2312" w:hAnsi="仿宋_GB2312" w:eastAsia="仿宋_GB2312"/>
          <w:color w:val="000000"/>
          <w:kern w:val="2"/>
          <w:sz w:val="32"/>
          <w:szCs w:val="24"/>
        </w:rPr>
        <w:t>预算为3.2万元，支出决算为3.2万元，完成预算的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%。公务接待费支出决算比2022年度增加0.4万元，增长14.</w:t>
      </w:r>
      <w:r>
        <w:rPr>
          <w:rFonts w:hint="eastAsia" w:ascii="仿宋_GB2312" w:hAnsi="仿宋_GB2312" w:eastAsia="仿宋_GB2312"/>
          <w:color w:val="000000"/>
          <w:kern w:val="2"/>
          <w:sz w:val="32"/>
          <w:szCs w:val="24"/>
          <w:lang w:val="en-US" w:eastAsia="zh-CN"/>
        </w:rPr>
        <w:t>3</w:t>
      </w:r>
      <w:r>
        <w:rPr>
          <w:rFonts w:hint="eastAsia" w:ascii="仿宋_GB2312" w:hAnsi="仿宋_GB2312" w:eastAsia="仿宋_GB2312"/>
          <w:color w:val="000000"/>
          <w:kern w:val="2"/>
          <w:sz w:val="32"/>
          <w:szCs w:val="24"/>
        </w:rPr>
        <w:t>%。主要原因是</w:t>
      </w:r>
      <w:r>
        <w:rPr>
          <w:rFonts w:hint="eastAsia" w:ascii="仿宋_GB2312" w:hAnsi="仿宋_GB2312" w:eastAsia="仿宋_GB2312"/>
          <w:color w:val="000000"/>
          <w:kern w:val="2"/>
          <w:sz w:val="32"/>
          <w:szCs w:val="24"/>
          <w:lang w:val="en-US" w:eastAsia="zh-CN"/>
        </w:rPr>
        <w:t>2023年度</w:t>
      </w:r>
      <w:r>
        <w:rPr>
          <w:rFonts w:hint="eastAsia" w:ascii="仿宋_GB2312" w:hAnsi="仿宋_GB2312" w:eastAsia="仿宋_GB2312"/>
          <w:color w:val="000000"/>
          <w:kern w:val="2"/>
          <w:sz w:val="32"/>
          <w:szCs w:val="24"/>
        </w:rPr>
        <w:t>接待批次和人数比上年有所增加。其中：</w:t>
      </w:r>
    </w:p>
    <w:p w14:paraId="6DF3013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支出3.2万元。主要用于</w:t>
      </w:r>
      <w:r>
        <w:rPr>
          <w:rFonts w:hint="eastAsia" w:ascii="仿宋_GB2312" w:hAnsi="仿宋_GB2312" w:eastAsia="仿宋_GB2312"/>
          <w:color w:val="000000"/>
          <w:kern w:val="2"/>
          <w:sz w:val="32"/>
          <w:szCs w:val="24"/>
          <w:highlight w:val="none"/>
        </w:rPr>
        <w:t>疫情防控、食品药品医疗器械及化妆品、特种设备等安全检查执行公务、开展业务活动开支的交通费、住宿费、用餐费等</w:t>
      </w:r>
      <w:r>
        <w:rPr>
          <w:rFonts w:hint="eastAsia" w:ascii="仿宋_GB2312" w:hAnsi="仿宋_GB2312" w:eastAsia="仿宋_GB2312"/>
          <w:color w:val="000000"/>
          <w:kern w:val="2"/>
          <w:sz w:val="32"/>
          <w:szCs w:val="24"/>
        </w:rPr>
        <w:t>。国内公务接待</w:t>
      </w:r>
      <w:r>
        <w:rPr>
          <w:rFonts w:hint="eastAsia" w:ascii="仿宋_GB2312" w:hAnsi="仿宋_GB2312" w:eastAsia="仿宋_GB2312"/>
          <w:color w:val="000000"/>
          <w:kern w:val="2"/>
          <w:sz w:val="32"/>
          <w:szCs w:val="24"/>
          <w:lang w:val="en-US" w:eastAsia="zh-CN"/>
        </w:rPr>
        <w:t>150</w:t>
      </w:r>
      <w:r>
        <w:rPr>
          <w:rFonts w:hint="eastAsia" w:ascii="仿宋_GB2312" w:hAnsi="仿宋_GB2312" w:eastAsia="仿宋_GB2312"/>
          <w:color w:val="000000"/>
          <w:kern w:val="2"/>
          <w:sz w:val="32"/>
          <w:szCs w:val="24"/>
        </w:rPr>
        <w:t>批次，</w:t>
      </w:r>
      <w:r>
        <w:rPr>
          <w:rFonts w:hint="eastAsia" w:ascii="仿宋_GB2312" w:hAnsi="仿宋_GB2312" w:eastAsia="仿宋_GB2312"/>
          <w:color w:val="000000"/>
          <w:kern w:val="2"/>
          <w:sz w:val="32"/>
          <w:szCs w:val="24"/>
          <w:lang w:val="en-US" w:eastAsia="zh-CN"/>
        </w:rPr>
        <w:t>400</w:t>
      </w:r>
      <w:r>
        <w:rPr>
          <w:rFonts w:hint="eastAsia" w:ascii="仿宋_GB2312" w:hAnsi="仿宋_GB2312" w:eastAsia="仿宋_GB2312"/>
          <w:color w:val="000000"/>
          <w:kern w:val="2"/>
          <w:sz w:val="32"/>
          <w:szCs w:val="24"/>
        </w:rPr>
        <w:t>人次，共计支出3.2万元，具体内容包括：</w:t>
      </w:r>
      <w:r>
        <w:rPr>
          <w:rFonts w:hint="eastAsia" w:ascii="仿宋_GB2312" w:hAnsi="仿宋_GB2312" w:eastAsia="仿宋_GB2312"/>
          <w:color w:val="000000"/>
          <w:kern w:val="2"/>
          <w:sz w:val="32"/>
          <w:szCs w:val="24"/>
          <w:lang w:val="en-US" w:eastAsia="zh-CN"/>
        </w:rPr>
        <w:t>疫情防控、食品药品医疗器械及化妆品、特种设备等安全检查等工作，共计支出</w:t>
      </w:r>
      <w:r>
        <w:rPr>
          <w:rFonts w:hint="eastAsia" w:ascii="仿宋_GB2312" w:hAnsi="仿宋_GB2312" w:eastAsia="仿宋_GB2312"/>
          <w:color w:val="000000"/>
          <w:kern w:val="2"/>
          <w:sz w:val="32"/>
          <w:szCs w:val="24"/>
        </w:rPr>
        <w:t>3.2万元。</w:t>
      </w:r>
    </w:p>
    <w:p w14:paraId="646815ED">
      <w:pPr>
        <w:pStyle w:val="2"/>
        <w:kinsoku/>
        <w:wordWrap/>
        <w:overflowPunct w:val="0"/>
        <w:topLinePunct/>
        <w:autoSpaceDE w:val="0"/>
        <w:autoSpaceDN w:val="0"/>
        <w:bidi w:val="0"/>
        <w:adjustRightInd w:val="0"/>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外事接待</w:t>
      </w:r>
      <w:r>
        <w:rPr>
          <w:rFonts w:hint="eastAsia" w:ascii="仿宋_GB2312" w:hAnsi="仿宋_GB2312" w:eastAsia="仿宋_GB2312"/>
          <w:color w:val="000000"/>
          <w:kern w:val="2"/>
          <w:sz w:val="32"/>
          <w:szCs w:val="24"/>
        </w:rPr>
        <w:t>支出0万元，外事接待0批次，0人，共计支出0万元。</w:t>
      </w:r>
    </w:p>
    <w:p w14:paraId="1757074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b/>
          <w:kern w:val="2"/>
          <w:sz w:val="32"/>
          <w:szCs w:val="24"/>
        </w:rPr>
      </w:pPr>
      <w:bookmarkStart w:id="16" w:name="_Toc11746"/>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bookmarkEnd w:id="16"/>
    </w:p>
    <w:p w14:paraId="1F2280B7">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黑体" w:hAnsi="黑体" w:eastAsia="黑体"/>
          <w:kern w:val="2"/>
          <w:sz w:val="32"/>
          <w:szCs w:val="24"/>
        </w:rPr>
      </w:pPr>
      <w:r>
        <w:rPr>
          <w:rFonts w:hint="eastAsia" w:ascii="仿宋_GB2312" w:hAnsi="仿宋_GB2312" w:eastAsia="仿宋_GB2312"/>
          <w:color w:val="000000"/>
          <w:kern w:val="2"/>
          <w:sz w:val="32"/>
          <w:szCs w:val="24"/>
        </w:rPr>
        <w:t>2023年度政府性基金预算拨款支出0万元。</w:t>
      </w:r>
    </w:p>
    <w:p w14:paraId="7DD17E9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17" w:name="_Toc7446"/>
      <w:r>
        <w:rPr>
          <w:rFonts w:hint="eastAsia" w:ascii="黑体" w:hAnsi="黑体" w:eastAsia="黑体"/>
          <w:kern w:val="2"/>
          <w:sz w:val="32"/>
          <w:szCs w:val="24"/>
        </w:rPr>
        <w:t>九、国有资本经营预算支出决算情况说明</w:t>
      </w:r>
      <w:bookmarkEnd w:id="17"/>
    </w:p>
    <w:p w14:paraId="2501A85B">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2023年度国有资本经营预算拨款支出0万元。</w:t>
      </w:r>
    </w:p>
    <w:p w14:paraId="14AC7E0E">
      <w:pPr>
        <w:rPr>
          <w:rFonts w:hint="eastAsia" w:ascii="黑体" w:hAnsi="黑体" w:eastAsia="黑体"/>
          <w:color w:val="000000"/>
          <w:kern w:val="2"/>
          <w:sz w:val="32"/>
          <w:szCs w:val="24"/>
        </w:rPr>
      </w:pPr>
      <w:r>
        <w:rPr>
          <w:rFonts w:hint="eastAsia" w:ascii="黑体" w:hAnsi="黑体" w:eastAsia="黑体"/>
          <w:color w:val="000000"/>
          <w:kern w:val="2"/>
          <w:sz w:val="32"/>
          <w:szCs w:val="24"/>
        </w:rPr>
        <w:br w:type="page"/>
      </w:r>
    </w:p>
    <w:p w14:paraId="4F68ADC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b/>
          <w:kern w:val="2"/>
          <w:sz w:val="32"/>
          <w:szCs w:val="24"/>
        </w:rPr>
      </w:pPr>
      <w:bookmarkStart w:id="18" w:name="_Toc5195"/>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bookmarkEnd w:id="18"/>
    </w:p>
    <w:p w14:paraId="6092642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color w:val="000000"/>
          <w:kern w:val="2"/>
          <w:sz w:val="32"/>
          <w:szCs w:val="24"/>
        </w:rPr>
      </w:pPr>
      <w:bookmarkStart w:id="19" w:name="_Toc18286"/>
      <w:r>
        <w:rPr>
          <w:rFonts w:hint="eastAsia" w:ascii="仿宋_GB2312" w:hAnsi="仿宋_GB2312" w:eastAsia="仿宋_GB2312"/>
          <w:b/>
          <w:color w:val="000000"/>
          <w:kern w:val="2"/>
          <w:sz w:val="32"/>
          <w:szCs w:val="24"/>
        </w:rPr>
        <w:t>（一）机关运行经费支出情况</w:t>
      </w:r>
      <w:bookmarkEnd w:id="19"/>
    </w:p>
    <w:p w14:paraId="0F76CD0D">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i/>
          <w:color w:val="000000"/>
          <w:kern w:val="2"/>
          <w:sz w:val="32"/>
          <w:szCs w:val="24"/>
        </w:rPr>
      </w:pPr>
      <w:r>
        <w:rPr>
          <w:rFonts w:hint="eastAsia" w:ascii="仿宋_GB2312" w:eastAsia="仿宋_GB2312"/>
          <w:color w:val="auto"/>
          <w:sz w:val="32"/>
          <w:szCs w:val="32"/>
        </w:rPr>
        <w:t>2023年度，</w:t>
      </w:r>
      <w:r>
        <w:rPr>
          <w:rFonts w:hint="eastAsia" w:ascii="仿宋_GB2312" w:eastAsia="仿宋_GB2312"/>
          <w:color w:val="auto"/>
          <w:sz w:val="32"/>
          <w:szCs w:val="32"/>
          <w:lang w:eastAsia="zh-CN"/>
        </w:rPr>
        <w:t>广元市昭化区市场监督管理局</w:t>
      </w:r>
      <w:r>
        <w:rPr>
          <w:rFonts w:hint="eastAsia" w:ascii="仿宋_GB2312" w:eastAsia="仿宋_GB2312"/>
          <w:color w:val="auto"/>
          <w:sz w:val="32"/>
          <w:szCs w:val="32"/>
        </w:rPr>
        <w:t>机关运行经费支出159.75万元，比2022年度减少27.05万元，下降14.</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%。主要原因是厉行节约，压缩机关运行经费</w:t>
      </w:r>
      <w:r>
        <w:rPr>
          <w:rFonts w:hint="eastAsia" w:ascii="仿宋_GB2312" w:hAnsi="仿宋_GB2312" w:eastAsia="仿宋_GB2312"/>
          <w:color w:val="000000"/>
          <w:kern w:val="2"/>
          <w:sz w:val="32"/>
          <w:szCs w:val="24"/>
        </w:rPr>
        <w:t>。</w:t>
      </w:r>
    </w:p>
    <w:p w14:paraId="1D4CF28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20" w:name="_Toc28212"/>
      <w:r>
        <w:rPr>
          <w:rFonts w:hint="eastAsia" w:ascii="仿宋_GB2312" w:hAnsi="仿宋_GB2312" w:eastAsia="仿宋_GB2312"/>
          <w:b/>
          <w:color w:val="000000"/>
          <w:kern w:val="2"/>
          <w:sz w:val="32"/>
          <w:szCs w:val="24"/>
        </w:rPr>
        <w:t>（二）政府采购支出情况</w:t>
      </w:r>
      <w:bookmarkEnd w:id="20"/>
    </w:p>
    <w:p w14:paraId="5DEE8D7C">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w:t>
      </w:r>
      <w:r>
        <w:rPr>
          <w:rFonts w:hint="eastAsia" w:ascii="仿宋_GB2312" w:hAnsi="仿宋_GB2312" w:eastAsia="仿宋_GB2312"/>
          <w:color w:val="000000"/>
          <w:kern w:val="2"/>
          <w:sz w:val="32"/>
          <w:szCs w:val="24"/>
          <w:lang w:eastAsia="zh-CN"/>
        </w:rPr>
        <w:t>广元市昭化区市场监督管理局</w:t>
      </w:r>
      <w:r>
        <w:rPr>
          <w:rFonts w:hint="eastAsia" w:ascii="仿宋_GB2312" w:hAnsi="仿宋_GB2312" w:eastAsia="仿宋_GB2312"/>
          <w:color w:val="000000"/>
          <w:kern w:val="2"/>
          <w:sz w:val="32"/>
          <w:szCs w:val="24"/>
        </w:rPr>
        <w:t>未发生政府采购支出</w:t>
      </w:r>
      <w:r>
        <w:rPr>
          <w:rFonts w:hint="eastAsia" w:ascii="仿宋_GB2312" w:hAnsi="仿宋_GB2312" w:eastAsia="仿宋_GB2312"/>
          <w:color w:val="000000"/>
          <w:kern w:val="2"/>
          <w:sz w:val="32"/>
          <w:szCs w:val="24"/>
          <w:lang w:eastAsia="zh-CN"/>
        </w:rPr>
        <w:t>。</w:t>
      </w:r>
    </w:p>
    <w:p w14:paraId="684F04C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21" w:name="_Toc23042"/>
      <w:r>
        <w:rPr>
          <w:rFonts w:hint="eastAsia" w:ascii="仿宋_GB2312" w:hAnsi="仿宋_GB2312" w:eastAsia="仿宋_GB2312"/>
          <w:b/>
          <w:color w:val="000000"/>
          <w:kern w:val="2"/>
          <w:sz w:val="32"/>
          <w:szCs w:val="24"/>
        </w:rPr>
        <w:t>（三）国有资产占有使用情况</w:t>
      </w:r>
      <w:bookmarkEnd w:id="21"/>
    </w:p>
    <w:p w14:paraId="478E3AED">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截至2023年12月31日，</w:t>
      </w:r>
      <w:r>
        <w:rPr>
          <w:rFonts w:hint="eastAsia" w:ascii="仿宋_GB2312" w:hAnsi="仿宋_GB2312" w:eastAsia="仿宋_GB2312"/>
          <w:color w:val="000000"/>
          <w:kern w:val="2"/>
          <w:sz w:val="32"/>
          <w:szCs w:val="24"/>
          <w:lang w:eastAsia="zh-CN"/>
        </w:rPr>
        <w:t>广元市昭化区市场监督管理局</w:t>
      </w:r>
      <w:r>
        <w:rPr>
          <w:rFonts w:hint="eastAsia" w:ascii="仿宋_GB2312" w:hAnsi="仿宋_GB2312" w:eastAsia="仿宋_GB2312"/>
          <w:color w:val="000000"/>
          <w:kern w:val="2"/>
          <w:sz w:val="32"/>
          <w:szCs w:val="24"/>
        </w:rPr>
        <w:t>共有车辆</w:t>
      </w:r>
      <w:r>
        <w:rPr>
          <w:rFonts w:hint="eastAsia" w:ascii="仿宋_GB2312" w:hAnsi="仿宋_GB2312" w:eastAsia="仿宋_GB2312"/>
          <w:color w:val="000000"/>
          <w:kern w:val="2"/>
          <w:sz w:val="32"/>
          <w:szCs w:val="24"/>
          <w:lang w:val="en-US" w:eastAsia="zh-CN"/>
        </w:rPr>
        <w:t>5</w:t>
      </w:r>
      <w:r>
        <w:rPr>
          <w:rFonts w:hint="eastAsia" w:ascii="仿宋_GB2312" w:hAnsi="仿宋_GB2312" w:eastAsia="仿宋_GB2312"/>
          <w:color w:val="000000"/>
          <w:kern w:val="2"/>
          <w:sz w:val="32"/>
          <w:szCs w:val="24"/>
        </w:rPr>
        <w:t>辆，其中：主要领导干部用车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辆、机要通信用车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辆、应急保障用车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辆、执法执勤用车</w:t>
      </w:r>
      <w:r>
        <w:rPr>
          <w:rFonts w:hint="eastAsia" w:ascii="仿宋_GB2312" w:hAnsi="仿宋_GB2312" w:eastAsia="仿宋_GB2312"/>
          <w:color w:val="000000"/>
          <w:kern w:val="2"/>
          <w:sz w:val="32"/>
          <w:szCs w:val="24"/>
          <w:lang w:val="en-US" w:eastAsia="zh-CN"/>
        </w:rPr>
        <w:t>4</w:t>
      </w:r>
      <w:r>
        <w:rPr>
          <w:rFonts w:hint="eastAsia" w:ascii="仿宋_GB2312" w:hAnsi="仿宋_GB2312" w:eastAsia="仿宋_GB2312"/>
          <w:color w:val="000000"/>
          <w:kern w:val="2"/>
          <w:sz w:val="32"/>
          <w:szCs w:val="24"/>
        </w:rPr>
        <w:t>辆</w:t>
      </w:r>
      <w:r>
        <w:rPr>
          <w:rFonts w:hint="eastAsia" w:ascii="仿宋_GB2312" w:hAnsi="仿宋_GB2312" w:eastAsia="仿宋_GB2312"/>
          <w:color w:val="000000"/>
          <w:kern w:val="2"/>
          <w:sz w:val="32"/>
          <w:szCs w:val="24"/>
          <w:lang w:eastAsia="zh-CN"/>
        </w:rPr>
        <w:t>、特种专业技术用车</w:t>
      </w:r>
      <w:r>
        <w:rPr>
          <w:rFonts w:hint="eastAsia" w:ascii="仿宋_GB2312" w:hAnsi="仿宋_GB2312" w:eastAsia="仿宋_GB2312"/>
          <w:color w:val="000000"/>
          <w:kern w:val="2"/>
          <w:sz w:val="32"/>
          <w:szCs w:val="24"/>
          <w:lang w:val="en-US" w:eastAsia="zh-CN"/>
        </w:rPr>
        <w:t>1</w:t>
      </w:r>
      <w:r>
        <w:rPr>
          <w:rFonts w:hint="eastAsia" w:ascii="仿宋_GB2312" w:hAnsi="仿宋_GB2312" w:eastAsia="仿宋_GB2312"/>
          <w:color w:val="000000"/>
          <w:kern w:val="2"/>
          <w:sz w:val="32"/>
          <w:szCs w:val="24"/>
        </w:rPr>
        <w:t>辆</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其他用车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辆。单价100万元以上设备（不含车辆）0台（套）。</w:t>
      </w:r>
    </w:p>
    <w:p w14:paraId="1FBA01D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22" w:name="_Toc21548"/>
      <w:r>
        <w:rPr>
          <w:rFonts w:hint="eastAsia" w:ascii="仿宋_GB2312" w:hAnsi="仿宋_GB2312" w:eastAsia="仿宋_GB2312"/>
          <w:b/>
          <w:color w:val="000000"/>
          <w:kern w:val="2"/>
          <w:sz w:val="32"/>
          <w:szCs w:val="24"/>
        </w:rPr>
        <w:t>（四）预算绩效管理情况。</w:t>
      </w:r>
      <w:bookmarkEnd w:id="22"/>
    </w:p>
    <w:p w14:paraId="7612DF4A">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kern w:val="2"/>
          <w:sz w:val="32"/>
          <w:szCs w:val="24"/>
        </w:rPr>
      </w:pPr>
      <w:r>
        <w:rPr>
          <w:rFonts w:hint="eastAsia" w:ascii="仿宋_GB2312" w:hAnsi="仿宋_GB2312" w:eastAsia="仿宋_GB2312"/>
          <w:kern w:val="2"/>
          <w:sz w:val="32"/>
          <w:szCs w:val="24"/>
        </w:rPr>
        <w:t>根据预算绩效管理要求，本部门在2023年度预算编制阶段，组织对</w:t>
      </w:r>
      <w:r>
        <w:rPr>
          <w:rFonts w:hint="eastAsia" w:ascii="仿宋_GB2312" w:hAnsi="仿宋_GB2312" w:eastAsia="仿宋_GB2312"/>
          <w:kern w:val="2"/>
          <w:sz w:val="32"/>
          <w:szCs w:val="24"/>
          <w:lang w:val="en-US" w:eastAsia="zh-CN"/>
        </w:rPr>
        <w:t>2023年省级药品监管专项资金（包括药品应急资金）、食品药品医疗器械及化妆品安全监管经费、中央药品监管补助资金、四川省市场监督管理专项资金、优化营商环境提升</w:t>
      </w:r>
      <w:r>
        <w:rPr>
          <w:rFonts w:hint="eastAsia" w:ascii="仿宋_GB2312" w:hAnsi="仿宋_GB2312" w:eastAsia="仿宋_GB2312"/>
          <w:kern w:val="2"/>
          <w:sz w:val="32"/>
          <w:szCs w:val="24"/>
        </w:rPr>
        <w:t>等</w:t>
      </w:r>
      <w:r>
        <w:rPr>
          <w:rFonts w:hint="eastAsia" w:ascii="仿宋_GB2312" w:hAnsi="仿宋_GB2312" w:eastAsia="仿宋_GB2312"/>
          <w:kern w:val="2"/>
          <w:sz w:val="32"/>
          <w:szCs w:val="24"/>
          <w:lang w:val="en-US" w:eastAsia="zh-CN"/>
        </w:rPr>
        <w:t>20</w:t>
      </w:r>
      <w:r>
        <w:rPr>
          <w:rFonts w:hint="eastAsia" w:ascii="仿宋_GB2312" w:hAnsi="仿宋_GB2312" w:eastAsia="仿宋_GB2312"/>
          <w:kern w:val="2"/>
          <w:sz w:val="32"/>
          <w:szCs w:val="24"/>
        </w:rPr>
        <w:t>个项目开展了预算事前绩效评估，对</w:t>
      </w:r>
      <w:r>
        <w:rPr>
          <w:rFonts w:hint="eastAsia" w:ascii="仿宋_GB2312" w:hAnsi="仿宋_GB2312" w:eastAsia="仿宋_GB2312"/>
          <w:kern w:val="2"/>
          <w:sz w:val="32"/>
          <w:szCs w:val="24"/>
          <w:lang w:val="en-US" w:eastAsia="zh-CN"/>
        </w:rPr>
        <w:t>20</w:t>
      </w:r>
      <w:r>
        <w:rPr>
          <w:rFonts w:hint="eastAsia" w:ascii="仿宋_GB2312" w:hAnsi="仿宋_GB2312" w:eastAsia="仿宋_GB2312"/>
          <w:kern w:val="2"/>
          <w:sz w:val="32"/>
          <w:szCs w:val="24"/>
        </w:rPr>
        <w:t>个项目编制了绩效目标，预算执行过程中，选取</w:t>
      </w:r>
      <w:r>
        <w:rPr>
          <w:rFonts w:hint="eastAsia" w:ascii="仿宋_GB2312" w:hAnsi="仿宋_GB2312" w:eastAsia="仿宋_GB2312"/>
          <w:kern w:val="2"/>
          <w:sz w:val="32"/>
          <w:szCs w:val="24"/>
          <w:lang w:val="en-US" w:eastAsia="zh-CN"/>
        </w:rPr>
        <w:t>20</w:t>
      </w:r>
      <w:r>
        <w:rPr>
          <w:rFonts w:hint="eastAsia" w:ascii="仿宋_GB2312" w:hAnsi="仿宋_GB2312" w:eastAsia="仿宋_GB2312"/>
          <w:kern w:val="2"/>
          <w:sz w:val="32"/>
          <w:szCs w:val="24"/>
        </w:rPr>
        <w:t>个项目开展绩效监控。</w:t>
      </w:r>
    </w:p>
    <w:p w14:paraId="23960557">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kern w:val="2"/>
          <w:sz w:val="32"/>
          <w:szCs w:val="24"/>
          <w:highlight w:val="none"/>
        </w:rPr>
      </w:pPr>
      <w:r>
        <w:rPr>
          <w:rFonts w:hint="eastAsia" w:ascii="仿宋_GB2312" w:hAnsi="仿宋_GB2312" w:eastAsia="仿宋_GB2312"/>
          <w:kern w:val="2"/>
          <w:sz w:val="32"/>
          <w:szCs w:val="24"/>
        </w:rPr>
        <w:t>2023年度组织</w:t>
      </w:r>
      <w:r>
        <w:rPr>
          <w:rFonts w:hint="eastAsia" w:ascii="仿宋_GB2312" w:hAnsi="仿宋_GB2312" w:eastAsia="仿宋_GB2312"/>
          <w:color w:val="auto"/>
          <w:kern w:val="2"/>
          <w:sz w:val="32"/>
          <w:szCs w:val="24"/>
        </w:rPr>
        <w:t>一般公共预算、政府性基金预算、国有资本经营预算以及资本资产、债券资金等全面开展绩效自评，</w:t>
      </w:r>
      <w:r>
        <w:rPr>
          <w:rFonts w:hint="eastAsia" w:ascii="仿宋_GB2312" w:hAnsi="仿宋_GB2312" w:eastAsia="仿宋_GB2312"/>
          <w:kern w:val="2"/>
          <w:sz w:val="32"/>
          <w:szCs w:val="24"/>
        </w:rPr>
        <w:t>形成202</w:t>
      </w:r>
      <w:r>
        <w:rPr>
          <w:rFonts w:hint="eastAsia" w:ascii="仿宋_GB2312" w:hAnsi="仿宋_GB2312" w:eastAsia="仿宋_GB2312"/>
          <w:kern w:val="2"/>
          <w:sz w:val="32"/>
          <w:szCs w:val="24"/>
          <w:lang w:val="en-US" w:eastAsia="zh-CN"/>
        </w:rPr>
        <w:t>3</w:t>
      </w:r>
      <w:r>
        <w:rPr>
          <w:rFonts w:hint="eastAsia" w:ascii="仿宋_GB2312" w:hAnsi="仿宋_GB2312" w:eastAsia="仿宋_GB2312"/>
          <w:kern w:val="2"/>
          <w:sz w:val="32"/>
          <w:szCs w:val="24"/>
        </w:rPr>
        <w:t>年</w:t>
      </w:r>
      <w:r>
        <w:rPr>
          <w:rFonts w:hint="eastAsia" w:ascii="仿宋_GB2312" w:hAnsi="仿宋_GB2312" w:eastAsia="仿宋_GB2312"/>
          <w:kern w:val="2"/>
          <w:sz w:val="32"/>
          <w:szCs w:val="24"/>
          <w:lang w:eastAsia="zh-CN"/>
        </w:rPr>
        <w:t>广元市昭化区市场监督管理局</w:t>
      </w:r>
      <w:r>
        <w:rPr>
          <w:rFonts w:hint="eastAsia" w:ascii="仿宋_GB2312" w:hAnsi="仿宋_GB2312" w:eastAsia="仿宋_GB2312"/>
          <w:kern w:val="2"/>
          <w:sz w:val="32"/>
          <w:szCs w:val="24"/>
        </w:rPr>
        <w:t>（部门）整体（含部门预算项目）绩效自评报告、</w:t>
      </w:r>
      <w:r>
        <w:rPr>
          <w:rFonts w:hint="eastAsia" w:ascii="仿宋_GB2312" w:hAnsi="仿宋_GB2312" w:eastAsia="仿宋_GB2312"/>
          <w:kern w:val="2"/>
          <w:sz w:val="32"/>
          <w:szCs w:val="24"/>
          <w:lang w:val="en-US" w:eastAsia="zh-CN"/>
        </w:rPr>
        <w:t>2023年省级药品监管专项资金（包括药品应急资金）、食品药品医疗器械及化妆品安全监管经费、中央药品监管补助资金、四川省市场监督管理专项资金、优化营商环境提升</w:t>
      </w:r>
      <w:r>
        <w:rPr>
          <w:rFonts w:hint="eastAsia" w:ascii="仿宋_GB2312" w:hAnsi="仿宋_GB2312" w:eastAsia="仿宋_GB2312"/>
          <w:kern w:val="2"/>
          <w:sz w:val="32"/>
          <w:szCs w:val="24"/>
        </w:rPr>
        <w:t>等专项预算项目绩效自评报告，</w:t>
      </w:r>
      <w:r>
        <w:rPr>
          <w:rFonts w:hint="eastAsia" w:ascii="仿宋_GB2312" w:hAnsi="仿宋_GB2312" w:eastAsia="仿宋_GB2312" w:cs="仿宋_GB2312"/>
          <w:color w:val="auto"/>
          <w:sz w:val="32"/>
          <w:szCs w:val="32"/>
        </w:rPr>
        <w:t>其中，</w:t>
      </w:r>
      <w:r>
        <w:rPr>
          <w:rFonts w:hint="eastAsia" w:ascii="仿宋_GB2312" w:hAnsi="仿宋_GB2312" w:eastAsia="仿宋_GB2312"/>
          <w:kern w:val="2"/>
          <w:sz w:val="32"/>
          <w:szCs w:val="24"/>
          <w:lang w:eastAsia="zh-CN"/>
        </w:rPr>
        <w:t>广元市昭化区市场监督管理局</w:t>
      </w:r>
      <w:r>
        <w:rPr>
          <w:rFonts w:hint="eastAsia" w:ascii="仿宋_GB2312" w:hAnsi="仿宋_GB2312" w:eastAsia="仿宋_GB2312" w:cs="仿宋_GB2312"/>
          <w:color w:val="auto"/>
          <w:sz w:val="32"/>
          <w:szCs w:val="32"/>
        </w:rPr>
        <w:t>部门整体（含部门预算项目）绩效自评得分为</w:t>
      </w:r>
      <w:r>
        <w:rPr>
          <w:rFonts w:hint="eastAsia" w:ascii="仿宋_GB2312" w:hAnsi="仿宋_GB2312" w:eastAsia="仿宋_GB2312"/>
          <w:kern w:val="2"/>
          <w:sz w:val="32"/>
          <w:szCs w:val="24"/>
          <w:lang w:val="en-US" w:eastAsia="zh-CN"/>
        </w:rPr>
        <w:t>94</w:t>
      </w:r>
      <w:r>
        <w:rPr>
          <w:rFonts w:hint="eastAsia" w:ascii="仿宋_GB2312" w:hAnsi="仿宋_GB2312" w:eastAsia="仿宋_GB2312" w:cs="仿宋_GB2312"/>
          <w:color w:val="auto"/>
          <w:sz w:val="32"/>
          <w:szCs w:val="32"/>
        </w:rPr>
        <w:t>分，绩效自评综述：</w:t>
      </w:r>
      <w:r>
        <w:rPr>
          <w:rFonts w:hint="eastAsia" w:ascii="仿宋_GB2312" w:hAnsi="仿宋_GB2312" w:eastAsia="仿宋_GB2312"/>
          <w:kern w:val="2"/>
          <w:sz w:val="32"/>
          <w:szCs w:val="24"/>
          <w:lang w:val="en-US" w:eastAsia="zh-CN"/>
        </w:rPr>
        <w:t>按照预算绩效管理要求，本部门对2023年整体支出的人员类、运转类、特定目标类项目开展绩效自评，自评结果94分</w:t>
      </w:r>
      <w:r>
        <w:rPr>
          <w:rFonts w:hint="eastAsia" w:ascii="仿宋_GB2312" w:hAnsi="仿宋_GB2312" w:eastAsia="仿宋_GB2312" w:cs="仿宋_GB2312"/>
          <w:color w:val="auto"/>
          <w:sz w:val="32"/>
          <w:szCs w:val="32"/>
        </w:rPr>
        <w:t>；</w:t>
      </w:r>
      <w:r>
        <w:rPr>
          <w:rFonts w:hint="eastAsia" w:ascii="仿宋_GB2312" w:hAnsi="仿宋_GB2312" w:eastAsia="仿宋_GB2312"/>
          <w:kern w:val="2"/>
          <w:sz w:val="32"/>
          <w:szCs w:val="24"/>
          <w:lang w:val="en-US" w:eastAsia="zh-CN"/>
        </w:rPr>
        <w:t>2023年省级药品监管专项资金（包括药品应急资金）</w:t>
      </w:r>
      <w:r>
        <w:rPr>
          <w:rFonts w:hint="eastAsia" w:ascii="仿宋_GB2312" w:hAnsi="仿宋_GB2312" w:eastAsia="仿宋_GB2312"/>
          <w:kern w:val="2"/>
          <w:sz w:val="32"/>
          <w:szCs w:val="24"/>
          <w:highlight w:val="none"/>
        </w:rPr>
        <w:t>项目专项预算项目绩效自评得分为</w:t>
      </w:r>
      <w:r>
        <w:rPr>
          <w:rFonts w:hint="eastAsia" w:ascii="仿宋_GB2312" w:hAnsi="仿宋_GB2312" w:eastAsia="仿宋_GB2312"/>
          <w:kern w:val="2"/>
          <w:sz w:val="32"/>
          <w:szCs w:val="24"/>
          <w:lang w:val="en-US" w:eastAsia="zh-CN"/>
        </w:rPr>
        <w:t>94</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lang w:val="en-US" w:eastAsia="zh-CN"/>
        </w:rPr>
        <w:t>我局高度重视，成立了以副局长张三元为组长，相关业务人员为成员的领导小组，将责任落实到人头，制定了切实可行的工作实施方案，为专项资金的使用提供了坚强的组织保障。项目资金的使用严格按照程序化、制度化、公开化、透明化实施。使药品专项资金绩效目标，达到了项目预期的各项指标和效果</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lang w:val="en-US" w:eastAsia="zh-CN"/>
        </w:rPr>
        <w:t>食品药品医疗器械及化妆品安全监管经费</w:t>
      </w:r>
      <w:r>
        <w:rPr>
          <w:rFonts w:hint="eastAsia" w:ascii="仿宋_GB2312" w:hAnsi="仿宋_GB2312" w:eastAsia="仿宋_GB2312"/>
          <w:kern w:val="2"/>
          <w:sz w:val="32"/>
          <w:szCs w:val="24"/>
          <w:highlight w:val="none"/>
          <w:lang w:val="en-US" w:eastAsia="zh-CN"/>
        </w:rPr>
        <w:t>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lang w:val="en-US" w:eastAsia="zh-CN"/>
        </w:rPr>
        <w:t>94</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lang w:val="en-US" w:eastAsia="zh-CN"/>
        </w:rPr>
        <w:t>2023年度，区市场监督管理局食品药品医疗器械及化妆品监管项目做到了资金与项目方案相符，严格按照方案要求进行实施，加强了资金管理，做到了专款专用，确保了资金的安全，提高了资金使用效率,各项目绩效目标全面完成。按照广元市昭化区2024年部门预算项目自评评分表中各项指标，结合该项目实施中的具体情况逐一开展了自评，自评得分94分</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lang w:val="en-US" w:eastAsia="zh-CN"/>
        </w:rPr>
        <w:t>中央药品监管补助资金</w:t>
      </w:r>
      <w:r>
        <w:rPr>
          <w:rFonts w:hint="eastAsia" w:ascii="仿宋_GB2312" w:hAnsi="仿宋_GB2312" w:eastAsia="仿宋_GB2312"/>
          <w:kern w:val="2"/>
          <w:sz w:val="32"/>
          <w:szCs w:val="24"/>
          <w:highlight w:val="none"/>
          <w:lang w:val="en-US" w:eastAsia="zh-CN"/>
        </w:rPr>
        <w:t>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lang w:val="en-US" w:eastAsia="zh-CN"/>
        </w:rPr>
        <w:t>93</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lang w:val="en-US" w:eastAsia="zh-CN"/>
        </w:rPr>
        <w:t>为强化专项资金管理，发挥资金的最大使用绩效，我局按照“统筹兼顾、突出重点、促进发展、专款专用、注重绩效”的原则，进一步强化监督管理，制定了专项资金使用实施方案、项目资金管理办法及内控管理制度等，规范了项目资金的核算及账务处理相关内容，并严格按照各项管理办法、制度执行，充分发挥了资金使用效益</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lang w:val="en-US" w:eastAsia="zh-CN"/>
        </w:rPr>
        <w:t>四川省市场监督管理专项资金</w:t>
      </w:r>
      <w:r>
        <w:rPr>
          <w:rFonts w:hint="eastAsia" w:ascii="仿宋_GB2312" w:hAnsi="仿宋_GB2312" w:eastAsia="仿宋_GB2312"/>
          <w:kern w:val="2"/>
          <w:sz w:val="32"/>
          <w:szCs w:val="24"/>
          <w:highlight w:val="none"/>
          <w:lang w:val="en-US" w:eastAsia="zh-CN"/>
        </w:rPr>
        <w:t>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lang w:val="en-US" w:eastAsia="zh-CN"/>
        </w:rPr>
        <w:t>94</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lang w:val="en-US" w:eastAsia="zh-CN"/>
        </w:rPr>
        <w:t>2023年度财政下达我局市场监专项经费，我局做到了资金与项目方案相符，严格按照方案要求进行实施。市场综合监管专项资金到位37万元，支出经费主要用市场综合日常监管；2023春雷行动级知识产权等工作方面的人员及车辆、宣传费、执法监管等</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lang w:val="en-US" w:eastAsia="zh-CN"/>
        </w:rPr>
        <w:t>优化营商环境提升</w:t>
      </w:r>
      <w:r>
        <w:rPr>
          <w:rFonts w:hint="eastAsia" w:ascii="仿宋_GB2312" w:hAnsi="仿宋_GB2312" w:eastAsia="仿宋_GB2312"/>
          <w:kern w:val="2"/>
          <w:sz w:val="32"/>
          <w:szCs w:val="24"/>
          <w:highlight w:val="none"/>
          <w:lang w:val="en-US" w:eastAsia="zh-CN"/>
        </w:rPr>
        <w:t>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lang w:val="en-US" w:eastAsia="zh-CN"/>
        </w:rPr>
        <w:t>95</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lang w:val="en-US" w:eastAsia="zh-CN"/>
        </w:rPr>
        <w:t>2023年度，区市场监督管理局优化营商环境提升项目做到了资金与项目方案相符，严格按照方案要求进行实施，加强了资金管理，做到了专款专用，确保了资金的安全，提高了资金使用效率,各项目绩效目标全面完成。按照广元市昭化区2024年部门预算项目自评评分表中各项指标，结合该项目实施中的具体情况逐一开展了自评，自评得分95分</w:t>
      </w:r>
      <w:r>
        <w:rPr>
          <w:rFonts w:hint="eastAsia" w:ascii="仿宋_GB2312" w:hAnsi="仿宋_GB2312" w:eastAsia="仿宋_GB2312"/>
          <w:kern w:val="2"/>
          <w:sz w:val="32"/>
          <w:szCs w:val="24"/>
          <w:highlight w:val="none"/>
        </w:rPr>
        <w:t>。绩效自评报告详见附件（第四部分）。</w:t>
      </w:r>
    </w:p>
    <w:p w14:paraId="447EF892">
      <w:pPr>
        <w:pStyle w:val="2"/>
        <w:kinsoku/>
        <w:wordWrap/>
        <w:autoSpaceDE w:val="0"/>
        <w:autoSpaceDN w:val="0"/>
        <w:bidi w:val="0"/>
        <w:adjustRightInd w:val="0"/>
        <w:spacing w:before="72" w:afterLines="0" w:line="576" w:lineRule="exact"/>
        <w:textAlignment w:val="auto"/>
        <w:rPr>
          <w:rFonts w:hint="eastAsia"/>
          <w:sz w:val="30"/>
          <w:szCs w:val="24"/>
          <w:highlight w:val="none"/>
        </w:rPr>
        <w:sectPr>
          <w:footerReference r:id="rId4" w:type="default"/>
          <w:pgSz w:w="12240" w:h="15840"/>
          <w:pgMar w:top="2098" w:right="1474" w:bottom="1984" w:left="1587" w:header="720" w:footer="720" w:gutter="0"/>
          <w:pgBorders>
            <w:top w:val="none" w:sz="0" w:space="0"/>
            <w:left w:val="none" w:sz="0" w:space="0"/>
            <w:bottom w:val="none" w:sz="0" w:space="0"/>
            <w:right w:val="none" w:sz="0" w:space="0"/>
          </w:pgBorders>
          <w:lnNumType w:countBy="0" w:distance="360"/>
          <w:pgNumType w:fmt="decimal" w:start="1"/>
          <w:cols w:space="0" w:num="1"/>
          <w:rtlGutter w:val="0"/>
          <w:docGrid w:linePitch="0" w:charSpace="0"/>
        </w:sectPr>
      </w:pPr>
    </w:p>
    <w:p w14:paraId="653B1527">
      <w:pPr>
        <w:keepNext/>
        <w:keepLines/>
        <w:pageBreakBefore/>
        <w:widowControl w:val="0"/>
        <w:kinsoku/>
        <w:wordWrap/>
        <w:overflowPunct/>
        <w:topLinePunct w:val="0"/>
        <w:autoSpaceDE w:val="0"/>
        <w:autoSpaceDN w:val="0"/>
        <w:bidi w:val="0"/>
        <w:adjustRightInd w:val="0"/>
        <w:snapToGrid/>
        <w:spacing w:beforeLines="0" w:after="313" w:afterLines="0" w:line="576" w:lineRule="exact"/>
        <w:jc w:val="center"/>
        <w:textAlignment w:val="auto"/>
        <w:outlineLvl w:val="0"/>
        <w:rPr>
          <w:rFonts w:hint="eastAsia" w:ascii="黑体" w:hAnsi="黑体" w:eastAsia="黑体"/>
          <w:kern w:val="44"/>
          <w:sz w:val="44"/>
          <w:szCs w:val="24"/>
        </w:rPr>
      </w:pPr>
      <w:bookmarkStart w:id="23" w:name="_Toc21282"/>
      <w:r>
        <w:rPr>
          <w:rFonts w:hint="eastAsia" w:ascii="黑体" w:hAnsi="黑体" w:eastAsia="黑体"/>
          <w:color w:val="000000"/>
          <w:kern w:val="2"/>
          <w:sz w:val="44"/>
          <w:szCs w:val="24"/>
        </w:rPr>
        <w:t>第三部分  名</w:t>
      </w:r>
      <w:r>
        <w:rPr>
          <w:rFonts w:hint="eastAsia" w:ascii="黑体" w:hAnsi="黑体" w:eastAsia="黑体"/>
          <w:kern w:val="44"/>
          <w:sz w:val="44"/>
          <w:szCs w:val="24"/>
        </w:rPr>
        <w:t>词解释</w:t>
      </w:r>
      <w:bookmarkEnd w:id="23"/>
    </w:p>
    <w:p w14:paraId="3414B709">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3F27749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 </w:t>
      </w:r>
      <w:r>
        <w:rPr>
          <w:rFonts w:hint="eastAsia" w:ascii="仿宋_GB2312" w:hAnsi="仿宋_GB2312" w:eastAsia="仿宋_GB2312"/>
          <w:color w:val="000000"/>
          <w:sz w:val="32"/>
          <w:szCs w:val="24"/>
          <w:lang w:eastAsia="zh-CN"/>
        </w:rPr>
        <w:t>二</w:t>
      </w:r>
      <w:r>
        <w:rPr>
          <w:rFonts w:hint="eastAsia" w:ascii="仿宋_GB2312" w:hAnsi="仿宋_GB2312" w:eastAsia="仿宋_GB2312"/>
          <w:color w:val="000000"/>
          <w:sz w:val="32"/>
          <w:szCs w:val="24"/>
        </w:rPr>
        <w:t xml:space="preserve">、年初结转和结余：指以前年度尚未完成、结转到本年按有关规定继续使用的资金。 </w:t>
      </w:r>
    </w:p>
    <w:p w14:paraId="7541D0F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eastAsia="zh-CN"/>
        </w:rPr>
        <w:t>三</w:t>
      </w:r>
      <w:r>
        <w:rPr>
          <w:rFonts w:hint="eastAsia" w:ascii="仿宋_GB2312" w:hAnsi="仿宋_GB2312" w:eastAsia="仿宋_GB2312"/>
          <w:color w:val="000000"/>
          <w:sz w:val="32"/>
          <w:szCs w:val="24"/>
        </w:rPr>
        <w:t>、年末结转和结余：指单位按有关规定结转到下年或以后年度继续使用的资金。</w:t>
      </w:r>
    </w:p>
    <w:p w14:paraId="6523282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eastAsia="zh-CN"/>
        </w:rPr>
        <w:t>四</w:t>
      </w:r>
      <w:r>
        <w:rPr>
          <w:rFonts w:hint="eastAsia" w:ascii="仿宋_GB2312" w:hAnsi="仿宋_GB2312" w:eastAsia="仿宋_GB2312"/>
          <w:color w:val="000000"/>
          <w:kern w:val="2"/>
          <w:sz w:val="32"/>
          <w:szCs w:val="24"/>
        </w:rPr>
        <w:t>、一般公共服务支出（类）知识产权事务（款）其他知识产权事务支出（项）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反映除上述项目以外其他用于知识产权事务方面的支出</w:t>
      </w:r>
      <w:r>
        <w:rPr>
          <w:rFonts w:hint="eastAsia" w:ascii="仿宋_GB2312" w:hAnsi="仿宋_GB2312" w:eastAsia="仿宋_GB2312"/>
          <w:color w:val="000000"/>
          <w:kern w:val="2"/>
          <w:sz w:val="32"/>
          <w:szCs w:val="24"/>
        </w:rPr>
        <w:t>。</w:t>
      </w:r>
    </w:p>
    <w:p w14:paraId="7C51F326">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eastAsia="zh-CN"/>
        </w:rPr>
        <w:t>五</w:t>
      </w:r>
      <w:r>
        <w:rPr>
          <w:rFonts w:hint="eastAsia" w:ascii="仿宋_GB2312" w:hAnsi="仿宋_GB2312" w:eastAsia="仿宋_GB2312"/>
          <w:color w:val="000000"/>
          <w:kern w:val="2"/>
          <w:sz w:val="32"/>
          <w:szCs w:val="24"/>
        </w:rPr>
        <w:t>、一般公共服务支出（类）市场监督管理事务（款）行政运行（项）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反映行政单位(包括实行公务员管理的事业单位)的基本支出</w:t>
      </w:r>
      <w:r>
        <w:rPr>
          <w:rFonts w:hint="eastAsia" w:ascii="仿宋_GB2312" w:hAnsi="仿宋_GB2312" w:eastAsia="仿宋_GB2312"/>
          <w:color w:val="000000"/>
          <w:kern w:val="2"/>
          <w:sz w:val="32"/>
          <w:szCs w:val="24"/>
        </w:rPr>
        <w:t>。</w:t>
      </w:r>
    </w:p>
    <w:p w14:paraId="03B4C8F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eastAsia="zh-CN"/>
        </w:rPr>
        <w:t>六</w:t>
      </w:r>
      <w:r>
        <w:rPr>
          <w:rFonts w:hint="eastAsia" w:ascii="仿宋_GB2312" w:hAnsi="仿宋_GB2312" w:eastAsia="仿宋_GB2312"/>
          <w:color w:val="000000"/>
          <w:kern w:val="2"/>
          <w:sz w:val="32"/>
          <w:szCs w:val="24"/>
        </w:rPr>
        <w:t>、一般公共服务支出（类）市场监督管理事务（款）一般行政管理事务（项）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反映行政单位(包括实行公务员管理的事业单位)未单独设置项级科目的其他项目支出</w:t>
      </w:r>
      <w:r>
        <w:rPr>
          <w:rFonts w:hint="eastAsia" w:ascii="仿宋_GB2312" w:hAnsi="仿宋_GB2312" w:eastAsia="仿宋_GB2312"/>
          <w:color w:val="000000"/>
          <w:kern w:val="2"/>
          <w:sz w:val="32"/>
          <w:szCs w:val="24"/>
        </w:rPr>
        <w:t>。</w:t>
      </w:r>
    </w:p>
    <w:p w14:paraId="40E7B70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七、</w:t>
      </w:r>
      <w:r>
        <w:rPr>
          <w:rFonts w:hint="eastAsia" w:ascii="仿宋_GB2312" w:hAnsi="仿宋_GB2312" w:eastAsia="仿宋_GB2312"/>
          <w:color w:val="000000"/>
          <w:kern w:val="2"/>
          <w:sz w:val="32"/>
          <w:szCs w:val="24"/>
        </w:rPr>
        <w:t>一般公共服务支出（类）市场监督管理事务（款）市场主体管理（项）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反映市场准入、许可审批、信用监管等市场主体管理专项工作支出</w:t>
      </w:r>
      <w:r>
        <w:rPr>
          <w:rFonts w:hint="eastAsia" w:ascii="仿宋_GB2312" w:hAnsi="仿宋_GB2312" w:eastAsia="仿宋_GB2312"/>
          <w:color w:val="000000"/>
          <w:kern w:val="2"/>
          <w:sz w:val="32"/>
          <w:szCs w:val="24"/>
        </w:rPr>
        <w:t>。</w:t>
      </w:r>
    </w:p>
    <w:p w14:paraId="7A7B49B0">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八、</w:t>
      </w:r>
      <w:r>
        <w:rPr>
          <w:rFonts w:hint="eastAsia" w:ascii="仿宋_GB2312" w:hAnsi="仿宋_GB2312" w:eastAsia="仿宋_GB2312"/>
          <w:color w:val="000000"/>
          <w:kern w:val="2"/>
          <w:sz w:val="32"/>
          <w:szCs w:val="24"/>
        </w:rPr>
        <w:t>一般公共服务支出（类）市场监督管理事务（款）质量基础（项）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反映计量、标准、认证认可、检验检测等质量基础专项工作支出</w:t>
      </w:r>
      <w:r>
        <w:rPr>
          <w:rFonts w:hint="eastAsia" w:ascii="仿宋_GB2312" w:hAnsi="仿宋_GB2312" w:eastAsia="仿宋_GB2312"/>
          <w:color w:val="000000"/>
          <w:kern w:val="2"/>
          <w:sz w:val="32"/>
          <w:szCs w:val="24"/>
        </w:rPr>
        <w:t>。</w:t>
      </w:r>
    </w:p>
    <w:p w14:paraId="707E69C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九、</w:t>
      </w:r>
      <w:r>
        <w:rPr>
          <w:rFonts w:hint="eastAsia" w:ascii="仿宋_GB2312" w:hAnsi="仿宋_GB2312" w:eastAsia="仿宋_GB2312"/>
          <w:color w:val="000000"/>
          <w:kern w:val="2"/>
          <w:sz w:val="32"/>
          <w:szCs w:val="24"/>
        </w:rPr>
        <w:t>一般公共服务支出（类）市场监督管理事务（款）药品事务（项）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反映用于药品(含中药、民族药)监督管理方面的支出</w:t>
      </w:r>
      <w:r>
        <w:rPr>
          <w:rFonts w:hint="eastAsia" w:ascii="仿宋_GB2312" w:hAnsi="仿宋_GB2312" w:eastAsia="仿宋_GB2312"/>
          <w:color w:val="000000"/>
          <w:kern w:val="2"/>
          <w:sz w:val="32"/>
          <w:szCs w:val="24"/>
        </w:rPr>
        <w:t>。</w:t>
      </w:r>
    </w:p>
    <w:p w14:paraId="7FE850E9">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w:t>
      </w:r>
      <w:r>
        <w:rPr>
          <w:rFonts w:hint="eastAsia" w:ascii="仿宋_GB2312" w:hAnsi="仿宋_GB2312" w:eastAsia="仿宋_GB2312"/>
          <w:color w:val="000000"/>
          <w:kern w:val="2"/>
          <w:sz w:val="32"/>
          <w:szCs w:val="24"/>
        </w:rPr>
        <w:t>一般公共服务支出（类）市场监督管理事务（款）质量安全监管（项）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反映产品质量安全监管、特种设备安全监管等质量监管专项工作支出</w:t>
      </w:r>
      <w:r>
        <w:rPr>
          <w:rFonts w:hint="eastAsia" w:ascii="仿宋_GB2312" w:hAnsi="仿宋_GB2312" w:eastAsia="仿宋_GB2312"/>
          <w:color w:val="000000"/>
          <w:kern w:val="2"/>
          <w:sz w:val="32"/>
          <w:szCs w:val="24"/>
        </w:rPr>
        <w:t>。</w:t>
      </w:r>
    </w:p>
    <w:p w14:paraId="36811B5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十一、</w:t>
      </w:r>
      <w:r>
        <w:rPr>
          <w:rFonts w:hint="eastAsia" w:ascii="仿宋_GB2312" w:hAnsi="仿宋_GB2312" w:eastAsia="仿宋_GB2312"/>
          <w:color w:val="000000"/>
          <w:kern w:val="2"/>
          <w:sz w:val="32"/>
          <w:szCs w:val="24"/>
        </w:rPr>
        <w:t>一般公共服务支出（类）市场监督管理事务（款）食品安全监管（项）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反映食品安全监管等专项工作支出</w:t>
      </w:r>
      <w:r>
        <w:rPr>
          <w:rFonts w:hint="eastAsia" w:ascii="仿宋_GB2312" w:hAnsi="仿宋_GB2312" w:eastAsia="仿宋_GB2312"/>
          <w:color w:val="000000"/>
          <w:kern w:val="2"/>
          <w:sz w:val="32"/>
          <w:szCs w:val="24"/>
        </w:rPr>
        <w:t>。</w:t>
      </w:r>
    </w:p>
    <w:p w14:paraId="31CE01D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十二、</w:t>
      </w:r>
      <w:r>
        <w:rPr>
          <w:rFonts w:hint="eastAsia" w:ascii="仿宋_GB2312" w:hAnsi="仿宋_GB2312" w:eastAsia="仿宋_GB2312"/>
          <w:color w:val="000000"/>
          <w:kern w:val="2"/>
          <w:sz w:val="32"/>
          <w:szCs w:val="24"/>
        </w:rPr>
        <w:t>一般公共服务支出（类）市场监督管理事务（款）事业运行（项）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反映事业单位的基本支出，不包括行政单位(包括实行公务员管理的事业单位)后勤服务中心、医务室等附属事业单位</w:t>
      </w:r>
      <w:r>
        <w:rPr>
          <w:rFonts w:hint="eastAsia" w:ascii="仿宋_GB2312" w:hAnsi="仿宋_GB2312" w:eastAsia="仿宋_GB2312"/>
          <w:color w:val="000000"/>
          <w:kern w:val="2"/>
          <w:sz w:val="32"/>
          <w:szCs w:val="24"/>
        </w:rPr>
        <w:t>。</w:t>
      </w:r>
    </w:p>
    <w:p w14:paraId="7AF3924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十三、</w:t>
      </w:r>
      <w:r>
        <w:rPr>
          <w:rFonts w:hint="eastAsia" w:ascii="仿宋_GB2312" w:hAnsi="仿宋_GB2312" w:eastAsia="仿宋_GB2312"/>
          <w:color w:val="000000"/>
          <w:kern w:val="2"/>
          <w:sz w:val="32"/>
          <w:szCs w:val="24"/>
        </w:rPr>
        <w:t>一般公共服务支出（类）市场监督管理事务（款）其他市场监督管理事务（项）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反映用于除上述项目以外其他市场监督管理事务方面的支出</w:t>
      </w:r>
      <w:r>
        <w:rPr>
          <w:rFonts w:hint="eastAsia" w:ascii="仿宋_GB2312" w:hAnsi="仿宋_GB2312" w:eastAsia="仿宋_GB2312"/>
          <w:color w:val="000000"/>
          <w:kern w:val="2"/>
          <w:sz w:val="32"/>
          <w:szCs w:val="24"/>
        </w:rPr>
        <w:t>。</w:t>
      </w:r>
    </w:p>
    <w:p w14:paraId="6355B1F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jc w:val="both"/>
        <w:textAlignment w:val="auto"/>
        <w:rPr>
          <w:rFonts w:hint="default" w:ascii="仿宋_GB2312" w:hAnsi="仿宋_GB2312" w:eastAsia="仿宋_GB2312"/>
          <w:color w:val="000000"/>
          <w:kern w:val="2"/>
          <w:sz w:val="32"/>
          <w:szCs w:val="24"/>
          <w:lang w:val="en-US" w:eastAsia="zh-CN"/>
        </w:rPr>
      </w:pPr>
      <w:r>
        <w:rPr>
          <w:rFonts w:hint="eastAsia" w:ascii="仿宋_GB2312" w:hAnsi="仿宋_GB2312" w:eastAsia="仿宋_GB2312"/>
          <w:color w:val="000000"/>
          <w:kern w:val="2"/>
          <w:sz w:val="32"/>
          <w:szCs w:val="24"/>
          <w:lang w:val="en-US" w:eastAsia="zh-CN"/>
        </w:rPr>
        <w:t xml:space="preserve">    十四、社会保障和就业支出（类）行政事业单位养老支出（款）行政单位离退休（项）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反映行政单位(包括实行公务员管理的事业单位)开支的离退休经费</w:t>
      </w:r>
      <w:r>
        <w:rPr>
          <w:rFonts w:hint="eastAsia" w:ascii="仿宋_GB2312" w:hAnsi="仿宋_GB2312" w:eastAsia="仿宋_GB2312"/>
          <w:color w:val="000000"/>
          <w:kern w:val="2"/>
          <w:sz w:val="32"/>
          <w:szCs w:val="24"/>
        </w:rPr>
        <w:t>。</w:t>
      </w:r>
    </w:p>
    <w:p w14:paraId="693D5512">
      <w:pPr>
        <w:keepNext w:val="0"/>
        <w:keepLines w:val="0"/>
        <w:pageBreakBefore w:val="0"/>
        <w:widowControl w:val="0"/>
        <w:numPr>
          <w:ilvl w:val="0"/>
          <w:numId w:val="0"/>
        </w:numPr>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十五、</w:t>
      </w:r>
      <w:r>
        <w:rPr>
          <w:rFonts w:hint="eastAsia" w:ascii="仿宋_GB2312" w:hAnsi="仿宋_GB2312" w:eastAsia="仿宋_GB2312"/>
          <w:color w:val="000000"/>
          <w:kern w:val="2"/>
          <w:sz w:val="32"/>
          <w:szCs w:val="24"/>
        </w:rPr>
        <w:t>社会保障和就业支出（类）行政事业单位养老支出（款）机关事业单位基本养老保险缴费支出（项）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机关事业单位实施养老保险制度由单位缴纳的基本养老保险费支出</w:t>
      </w:r>
      <w:r>
        <w:rPr>
          <w:rFonts w:hint="eastAsia" w:ascii="仿宋_GB2312" w:hAnsi="仿宋_GB2312" w:eastAsia="仿宋_GB2312"/>
          <w:color w:val="000000"/>
          <w:kern w:val="2"/>
          <w:sz w:val="32"/>
          <w:szCs w:val="24"/>
        </w:rPr>
        <w:t>。</w:t>
      </w:r>
    </w:p>
    <w:p w14:paraId="0B9C9D2B">
      <w:pPr>
        <w:keepNext w:val="0"/>
        <w:keepLines w:val="0"/>
        <w:pageBreakBefore w:val="0"/>
        <w:widowControl w:val="0"/>
        <w:numPr>
          <w:ilvl w:val="0"/>
          <w:numId w:val="0"/>
        </w:numPr>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十六、</w:t>
      </w:r>
      <w:r>
        <w:rPr>
          <w:rFonts w:hint="eastAsia" w:ascii="仿宋_GB2312" w:hAnsi="仿宋_GB2312" w:eastAsia="仿宋_GB2312"/>
          <w:color w:val="000000"/>
          <w:kern w:val="2"/>
          <w:sz w:val="32"/>
          <w:szCs w:val="24"/>
        </w:rPr>
        <w:t>社会保障和就业支出（类）行政事业单位养老支出（款）机关事业单位职业年金缴费支出（项）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反映机关事业单位实施养老保险制度由单位实际缴纳的职业年金支出</w:t>
      </w:r>
      <w:r>
        <w:rPr>
          <w:rFonts w:hint="eastAsia" w:ascii="仿宋_GB2312" w:hAnsi="仿宋_GB2312" w:eastAsia="仿宋_GB2312"/>
          <w:color w:val="000000"/>
          <w:kern w:val="2"/>
          <w:sz w:val="32"/>
          <w:szCs w:val="24"/>
        </w:rPr>
        <w:t>。</w:t>
      </w:r>
    </w:p>
    <w:p w14:paraId="122ABF7C">
      <w:pPr>
        <w:keepNext w:val="0"/>
        <w:keepLines w:val="0"/>
        <w:pageBreakBefore w:val="0"/>
        <w:widowControl w:val="0"/>
        <w:numPr>
          <w:ilvl w:val="0"/>
          <w:numId w:val="0"/>
        </w:numPr>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十七、</w:t>
      </w:r>
      <w:r>
        <w:rPr>
          <w:rFonts w:hint="eastAsia" w:ascii="仿宋_GB2312" w:hAnsi="仿宋_GB2312" w:eastAsia="仿宋_GB2312"/>
          <w:color w:val="000000"/>
          <w:kern w:val="2"/>
          <w:sz w:val="32"/>
          <w:szCs w:val="24"/>
        </w:rPr>
        <w:t>社会保障和就业支出（类）抚恤（款）死亡抚恤（项）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反映按规定用于烈士和牺牲、病故人员家属的一次性和定期抚恤金、丧葬补助费以及烈士褒扬金</w:t>
      </w:r>
      <w:r>
        <w:rPr>
          <w:rFonts w:hint="eastAsia" w:ascii="仿宋_GB2312" w:hAnsi="仿宋_GB2312" w:eastAsia="仿宋_GB2312"/>
          <w:color w:val="000000"/>
          <w:kern w:val="2"/>
          <w:sz w:val="32"/>
          <w:szCs w:val="24"/>
        </w:rPr>
        <w:t>。</w:t>
      </w:r>
    </w:p>
    <w:p w14:paraId="5FC7B58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十八、</w:t>
      </w:r>
      <w:r>
        <w:rPr>
          <w:rFonts w:hint="eastAsia" w:ascii="仿宋_GB2312" w:hAnsi="仿宋_GB2312" w:eastAsia="仿宋_GB2312"/>
          <w:color w:val="000000"/>
          <w:kern w:val="2"/>
          <w:sz w:val="32"/>
          <w:szCs w:val="24"/>
        </w:rPr>
        <w:t>卫生健康支出（类）行政事业单位医疗（款）行政单位医疗（项）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反映财政部门安排的行政单位(包括实行公务员管理的事业单位，下同)基本医疗保险缴费经费，未参加医疗保险的行政单位的公费医疗经费，按国家规定享受离休人员、红军老战士待遇人员的医疗经费</w:t>
      </w:r>
      <w:r>
        <w:rPr>
          <w:rFonts w:hint="eastAsia" w:ascii="仿宋_GB2312" w:hAnsi="仿宋_GB2312" w:eastAsia="仿宋_GB2312"/>
          <w:color w:val="000000"/>
          <w:kern w:val="2"/>
          <w:sz w:val="32"/>
          <w:szCs w:val="24"/>
        </w:rPr>
        <w:t>。</w:t>
      </w:r>
    </w:p>
    <w:p w14:paraId="53D329D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十九、</w:t>
      </w:r>
      <w:r>
        <w:rPr>
          <w:rFonts w:hint="eastAsia" w:ascii="仿宋_GB2312" w:hAnsi="仿宋_GB2312" w:eastAsia="仿宋_GB2312"/>
          <w:color w:val="000000"/>
          <w:kern w:val="2"/>
          <w:sz w:val="32"/>
          <w:szCs w:val="24"/>
        </w:rPr>
        <w:t>卫生健康支出（类）行政事业单位医疗（款）事业单位医疗（项）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反映财政部门安排的事业单位基本医疗保险缴费经费，未参加医疗保险的事业单位的公费医疗经费，按国家规定享受离休人员待遇的医疗经费</w:t>
      </w:r>
      <w:r>
        <w:rPr>
          <w:rFonts w:hint="eastAsia" w:ascii="仿宋_GB2312" w:hAnsi="仿宋_GB2312" w:eastAsia="仿宋_GB2312"/>
          <w:color w:val="000000"/>
          <w:kern w:val="2"/>
          <w:sz w:val="32"/>
          <w:szCs w:val="24"/>
        </w:rPr>
        <w:t>。</w:t>
      </w:r>
    </w:p>
    <w:p w14:paraId="5DB939A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lang w:eastAsia="zh-CN"/>
        </w:rPr>
        <w:t>二十</w:t>
      </w:r>
      <w:r>
        <w:rPr>
          <w:rFonts w:hint="eastAsia" w:ascii="仿宋_GB2312" w:hAnsi="仿宋_GB2312" w:eastAsia="仿宋_GB2312"/>
          <w:color w:val="000000"/>
          <w:kern w:val="2"/>
          <w:sz w:val="32"/>
          <w:szCs w:val="24"/>
        </w:rPr>
        <w:t>、住房保障支出（类）住房改革支出（款）住房公积金（项）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行政事业单位按照人力资源和社会保障部、财政部规定的基本工资和津贴补贴以及规定比例为职工缴纳的住房公积金</w:t>
      </w:r>
      <w:r>
        <w:rPr>
          <w:rFonts w:hint="eastAsia" w:ascii="仿宋_GB2312" w:hAnsi="仿宋_GB2312" w:eastAsia="仿宋_GB2312"/>
          <w:color w:val="000000"/>
          <w:kern w:val="2"/>
          <w:sz w:val="32"/>
          <w:szCs w:val="24"/>
        </w:rPr>
        <w:t>。</w:t>
      </w:r>
    </w:p>
    <w:p w14:paraId="2A345FD0">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二十一</w:t>
      </w:r>
      <w:r>
        <w:rPr>
          <w:rFonts w:hint="eastAsia" w:ascii="仿宋_GB2312" w:hAnsi="仿宋_GB2312" w:eastAsia="仿宋_GB2312"/>
          <w:color w:val="000000"/>
          <w:kern w:val="2"/>
          <w:sz w:val="32"/>
          <w:szCs w:val="24"/>
        </w:rPr>
        <w:t>、基本支出：指为保障机构正常运转、完成日常工作任务而发生的人员支出和公用支出。</w:t>
      </w:r>
    </w:p>
    <w:p w14:paraId="06F8D80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二</w:t>
      </w:r>
      <w:r>
        <w:rPr>
          <w:rFonts w:hint="eastAsia" w:ascii="仿宋_GB2312" w:hAnsi="仿宋_GB2312" w:eastAsia="仿宋_GB2312"/>
          <w:color w:val="000000"/>
          <w:kern w:val="2"/>
          <w:sz w:val="32"/>
          <w:szCs w:val="24"/>
        </w:rPr>
        <w:t>十</w:t>
      </w:r>
      <w:r>
        <w:rPr>
          <w:rFonts w:hint="eastAsia" w:ascii="仿宋_GB2312" w:hAnsi="仿宋_GB2312" w:eastAsia="仿宋_GB2312"/>
          <w:color w:val="000000"/>
          <w:kern w:val="2"/>
          <w:sz w:val="32"/>
          <w:szCs w:val="24"/>
          <w:lang w:eastAsia="zh-CN"/>
        </w:rPr>
        <w:t>二</w:t>
      </w:r>
      <w:r>
        <w:rPr>
          <w:rFonts w:hint="eastAsia" w:ascii="仿宋_GB2312" w:hAnsi="仿宋_GB2312" w:eastAsia="仿宋_GB2312"/>
          <w:color w:val="000000"/>
          <w:kern w:val="2"/>
          <w:sz w:val="32"/>
          <w:szCs w:val="24"/>
        </w:rPr>
        <w:t xml:space="preserve">、项目支出：指在基本支出之外为完成特定行政任务和事业发展目标所发生的支出。 </w:t>
      </w:r>
    </w:p>
    <w:p w14:paraId="286F989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kern w:val="2"/>
          <w:sz w:val="32"/>
          <w:szCs w:val="24"/>
          <w:lang w:val="en-US" w:eastAsia="zh-CN"/>
        </w:rPr>
        <w:t>二</w:t>
      </w:r>
      <w:r>
        <w:rPr>
          <w:rFonts w:hint="eastAsia" w:ascii="仿宋_GB2312" w:hAnsi="仿宋_GB2312" w:eastAsia="仿宋_GB2312"/>
          <w:color w:val="000000"/>
          <w:kern w:val="2"/>
          <w:sz w:val="32"/>
          <w:szCs w:val="24"/>
        </w:rPr>
        <w:t>十</w:t>
      </w:r>
      <w:r>
        <w:rPr>
          <w:rFonts w:hint="eastAsia" w:ascii="仿宋_GB2312" w:hAnsi="仿宋_GB2312" w:eastAsia="仿宋_GB2312"/>
          <w:color w:val="000000"/>
          <w:kern w:val="2"/>
          <w:sz w:val="32"/>
          <w:szCs w:val="24"/>
          <w:lang w:eastAsia="zh-CN"/>
        </w:rPr>
        <w:t>三</w:t>
      </w:r>
      <w:r>
        <w:rPr>
          <w:rFonts w:hint="eastAsia" w:ascii="仿宋_GB2312" w:hAnsi="仿宋_GB2312" w:eastAsia="仿宋_GB2312"/>
          <w:color w:val="000000"/>
          <w:kern w:val="2"/>
          <w:sz w:val="32"/>
          <w:szCs w:val="24"/>
        </w:rPr>
        <w:t>、</w:t>
      </w:r>
      <w:r>
        <w:rPr>
          <w:rFonts w:hint="eastAsia" w:ascii="仿宋_GB2312" w:hAnsi="仿宋_GB2312" w:eastAsia="仿宋_GB2312"/>
          <w:color w:val="000000"/>
          <w:sz w:val="32"/>
          <w:szCs w:val="24"/>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E517E03">
      <w:pPr>
        <w:kinsoku/>
        <w:wordWrap/>
        <w:autoSpaceDE w:val="0"/>
        <w:autoSpaceDN w:val="0"/>
        <w:bidi w:val="0"/>
        <w:adjustRightInd w:val="0"/>
        <w:spacing w:beforeLines="0" w:afterLines="0" w:line="576" w:lineRule="exact"/>
        <w:ind w:firstLine="640"/>
        <w:jc w:val="both"/>
        <w:textAlignment w:val="auto"/>
        <w:rPr>
          <w:rFonts w:hint="eastAsia" w:ascii="黑体" w:hAnsi="黑体" w:eastAsia="黑体"/>
          <w:color w:val="000000"/>
          <w:kern w:val="2"/>
          <w:sz w:val="44"/>
          <w:szCs w:val="24"/>
        </w:rPr>
      </w:pPr>
      <w:r>
        <w:rPr>
          <w:rFonts w:hint="eastAsia" w:ascii="仿宋_GB2312" w:hAnsi="仿宋_GB2312" w:eastAsia="仿宋_GB2312"/>
          <w:color w:val="000000"/>
          <w:sz w:val="32"/>
          <w:szCs w:val="24"/>
          <w:lang w:val="en-US" w:eastAsia="zh-CN"/>
        </w:rPr>
        <w:t>二十四</w:t>
      </w:r>
      <w:r>
        <w:rPr>
          <w:rFonts w:hint="eastAsia" w:ascii="仿宋_GB2312" w:hAnsi="仿宋_GB2312" w:eastAsia="仿宋_GB2312"/>
          <w:color w:val="000000"/>
          <w:sz w:val="32"/>
          <w:szCs w:val="24"/>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14:paraId="4A0A0979">
      <w:pPr>
        <w:keepNext/>
        <w:keepLines/>
        <w:kinsoku/>
        <w:wordWrap/>
        <w:autoSpaceDE w:val="0"/>
        <w:autoSpaceDN w:val="0"/>
        <w:bidi w:val="0"/>
        <w:adjustRightInd w:val="0"/>
        <w:spacing w:beforeLines="0" w:afterLines="0" w:line="576" w:lineRule="exact"/>
        <w:jc w:val="center"/>
        <w:textAlignment w:val="auto"/>
        <w:rPr>
          <w:rFonts w:hint="eastAsia" w:ascii="黑体" w:hAnsi="黑体" w:eastAsia="黑体"/>
          <w:color w:val="000000"/>
          <w:kern w:val="2"/>
          <w:sz w:val="44"/>
          <w:szCs w:val="24"/>
        </w:rPr>
        <w:sectPr>
          <w:pgSz w:w="12240" w:h="15840"/>
          <w:pgMar w:top="2098" w:right="1474" w:bottom="1984" w:left="1587" w:header="720" w:footer="720" w:gutter="0"/>
          <w:pgBorders>
            <w:top w:val="none" w:sz="0" w:space="0"/>
            <w:left w:val="none" w:sz="0" w:space="0"/>
            <w:bottom w:val="none" w:sz="0" w:space="0"/>
            <w:right w:val="none" w:sz="0" w:space="0"/>
          </w:pgBorders>
          <w:lnNumType w:countBy="0" w:distance="360"/>
          <w:pgNumType w:fmt="decimal"/>
          <w:cols w:space="0" w:num="1"/>
          <w:rtlGutter w:val="0"/>
          <w:docGrid w:linePitch="0" w:charSpace="0"/>
        </w:sectPr>
      </w:pPr>
    </w:p>
    <w:p w14:paraId="44C54955">
      <w:pPr>
        <w:keepNext/>
        <w:keepLines/>
        <w:pageBreakBefore/>
        <w:widowControl w:val="0"/>
        <w:kinsoku/>
        <w:wordWrap/>
        <w:overflowPunct/>
        <w:topLinePunct w:val="0"/>
        <w:autoSpaceDE w:val="0"/>
        <w:autoSpaceDN w:val="0"/>
        <w:bidi w:val="0"/>
        <w:adjustRightInd w:val="0"/>
        <w:snapToGrid/>
        <w:spacing w:beforeLines="0" w:afterLines="0" w:line="576" w:lineRule="exact"/>
        <w:jc w:val="center"/>
        <w:textAlignment w:val="auto"/>
        <w:outlineLvl w:val="0"/>
        <w:rPr>
          <w:rFonts w:hint="eastAsia" w:ascii="黑体" w:hAnsi="黑体" w:eastAsia="黑体"/>
          <w:kern w:val="44"/>
          <w:sz w:val="44"/>
          <w:szCs w:val="24"/>
        </w:rPr>
      </w:pPr>
      <w:bookmarkStart w:id="24" w:name="_Toc23378"/>
      <w:r>
        <w:rPr>
          <w:rFonts w:hint="eastAsia" w:ascii="黑体" w:hAnsi="黑体" w:eastAsia="黑体"/>
          <w:color w:val="000000"/>
          <w:kern w:val="2"/>
          <w:sz w:val="44"/>
          <w:szCs w:val="24"/>
        </w:rPr>
        <w:t>第</w:t>
      </w:r>
      <w:r>
        <w:rPr>
          <w:rFonts w:hint="eastAsia" w:ascii="黑体" w:hAnsi="黑体" w:eastAsia="黑体"/>
          <w:kern w:val="44"/>
          <w:sz w:val="44"/>
          <w:szCs w:val="24"/>
        </w:rPr>
        <w:t>四部分  附件</w:t>
      </w:r>
      <w:bookmarkEnd w:id="24"/>
    </w:p>
    <w:p w14:paraId="516B87B9">
      <w:pPr>
        <w:keepNext/>
        <w:keepLines/>
        <w:pageBreakBefore w:val="0"/>
        <w:widowControl w:val="0"/>
        <w:kinsoku/>
        <w:wordWrap/>
        <w:overflowPunct/>
        <w:topLinePunct w:val="0"/>
        <w:autoSpaceDE w:val="0"/>
        <w:autoSpaceDN w:val="0"/>
        <w:bidi w:val="0"/>
        <w:adjustRightInd w:val="0"/>
        <w:snapToGrid/>
        <w:spacing w:beforeLines="0" w:afterLines="0" w:line="576" w:lineRule="exact"/>
        <w:textAlignment w:val="auto"/>
        <w:outlineLvl w:val="2"/>
        <w:rPr>
          <w:rFonts w:hint="eastAsia" w:ascii="方正小标宋简体" w:hAnsi="方正小标宋简体" w:eastAsia="方正小标宋简体"/>
          <w:kern w:val="2"/>
          <w:sz w:val="44"/>
          <w:szCs w:val="24"/>
        </w:rPr>
      </w:pPr>
      <w:bookmarkStart w:id="25" w:name="_Toc2874"/>
      <w:r>
        <w:rPr>
          <w:rFonts w:hint="eastAsia" w:ascii="黑体" w:hAnsi="黑体" w:eastAsia="黑体"/>
          <w:kern w:val="2"/>
          <w:sz w:val="32"/>
          <w:szCs w:val="24"/>
        </w:rPr>
        <w:t>附件1</w:t>
      </w:r>
      <w:bookmarkEnd w:id="25"/>
    </w:p>
    <w:p w14:paraId="3D5479BB">
      <w:pPr>
        <w:keepNext w:val="0"/>
        <w:keepLines w:val="0"/>
        <w:widowControl w:val="0"/>
        <w:suppressLineNumbers w:val="0"/>
        <w:spacing w:before="0" w:beforeAutospacing="0" w:after="0" w:afterAutospacing="0" w:line="576" w:lineRule="exact"/>
        <w:ind w:left="0" w:leftChars="0" w:right="0"/>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lang w:val="en-US" w:eastAsia="zh-CN" w:bidi="ar"/>
        </w:rPr>
        <w:t>广元市昭化区市场监督管理局</w:t>
      </w:r>
    </w:p>
    <w:p w14:paraId="0F9B73BB">
      <w:pPr>
        <w:keepNext w:val="0"/>
        <w:keepLines w:val="0"/>
        <w:widowControl w:val="0"/>
        <w:suppressLineNumbers w:val="0"/>
        <w:spacing w:before="0" w:beforeAutospacing="0" w:after="0" w:afterAutospacing="0" w:line="576" w:lineRule="exact"/>
        <w:ind w:left="0" w:leftChars="0" w:right="0"/>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lang w:val="en-US" w:eastAsia="zh-CN" w:bidi="ar"/>
        </w:rPr>
        <w:t>2023年部门整体支出绩效自评报告</w:t>
      </w:r>
    </w:p>
    <w:p w14:paraId="67AFBFB0">
      <w:pPr>
        <w:keepNext w:val="0"/>
        <w:keepLines w:val="0"/>
        <w:widowControl w:val="0"/>
        <w:suppressLineNumbers w:val="0"/>
        <w:spacing w:before="0" w:beforeAutospacing="0" w:after="0" w:afterAutospacing="0" w:line="576" w:lineRule="exact"/>
        <w:ind w:left="0" w:leftChars="0" w:right="0"/>
        <w:jc w:val="center"/>
        <w:rPr>
          <w:rFonts w:hint="default" w:ascii="Times New Roman" w:hAnsi="Times New Roman" w:eastAsia="方正小标宋简体" w:cs="Times New Roman"/>
          <w:kern w:val="2"/>
          <w:sz w:val="36"/>
          <w:szCs w:val="36"/>
        </w:rPr>
      </w:pPr>
      <w:r>
        <w:rPr>
          <w:rFonts w:hint="default" w:ascii="Times New Roman" w:hAnsi="Times New Roman" w:eastAsia="方正小标宋简体" w:cs="Times New Roman"/>
          <w:kern w:val="2"/>
          <w:sz w:val="36"/>
          <w:szCs w:val="36"/>
          <w:lang w:val="en-US" w:eastAsia="zh-CN" w:bidi="ar"/>
        </w:rPr>
        <w:t xml:space="preserve"> </w:t>
      </w:r>
    </w:p>
    <w:p w14:paraId="5DE2185F">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区财政局：</w:t>
      </w:r>
    </w:p>
    <w:p w14:paraId="47259293">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为进一步推进预算绩效评价管理工作，提高财政资金使用效益，我单位按照《广元市昭化区财政支出事后绩效评价管理办法》(昭府办函[2022]37号)以及《广元市昭化区财政局关于开展2023年部门、政策和项目支出绩效评价工作有通知》（昭财发[2023]12号）文件要求，开展了部门整体支出绩效自评，现将具体情况报告如下：</w:t>
      </w:r>
    </w:p>
    <w:p w14:paraId="785CED79">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eastAsia" w:ascii="黑体" w:hAnsi="宋体" w:eastAsia="黑体" w:cs="黑体"/>
          <w:kern w:val="2"/>
          <w:sz w:val="32"/>
          <w:szCs w:val="32"/>
        </w:rPr>
      </w:pPr>
      <w:r>
        <w:rPr>
          <w:rFonts w:hint="eastAsia" w:ascii="黑体" w:hAnsi="宋体" w:eastAsia="黑体" w:cs="黑体"/>
          <w:kern w:val="2"/>
          <w:sz w:val="32"/>
          <w:szCs w:val="32"/>
          <w:lang w:val="en-US" w:eastAsia="zh-CN" w:bidi="ar"/>
        </w:rPr>
        <w:t>一、单位概况</w:t>
      </w:r>
    </w:p>
    <w:p w14:paraId="2F785944">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kern w:val="2"/>
          <w:sz w:val="32"/>
          <w:szCs w:val="32"/>
        </w:rPr>
      </w:pPr>
      <w:r>
        <w:rPr>
          <w:rFonts w:hint="eastAsia" w:ascii="楷体" w:hAnsi="楷体" w:eastAsia="楷体" w:cs="楷体"/>
          <w:b w:val="0"/>
          <w:bCs/>
          <w:kern w:val="2"/>
          <w:sz w:val="32"/>
          <w:szCs w:val="32"/>
          <w:lang w:val="en-US" w:eastAsia="zh-CN" w:bidi="ar"/>
        </w:rPr>
        <w:t>（一）机构职能机构职能</w:t>
      </w:r>
    </w:p>
    <w:p w14:paraId="689F16A4">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区市场监管局贯彻落实党中央关于市场监督管理工作的方针政策和省委、市委、区委的决策部署，在履行职责过程中加强对市场监督管理工作的集中统一领导 。</w:t>
      </w:r>
    </w:p>
    <w:p w14:paraId="7A6F9263">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b/>
          <w:bCs/>
          <w:kern w:val="0"/>
          <w:sz w:val="32"/>
          <w:szCs w:val="32"/>
        </w:rPr>
      </w:pPr>
      <w:r>
        <w:rPr>
          <w:rFonts w:hint="default" w:ascii="仿宋_GB2312" w:hAnsi="Times New Roman" w:eastAsia="仿宋_GB2312" w:cs="仿宋_GB2312"/>
          <w:b/>
          <w:bCs/>
          <w:kern w:val="2"/>
          <w:sz w:val="32"/>
          <w:szCs w:val="32"/>
          <w:lang w:val="en-US" w:eastAsia="zh-CN" w:bidi="ar"/>
        </w:rPr>
        <w:t>主要职能职责如下：</w:t>
      </w:r>
    </w:p>
    <w:p w14:paraId="14BA9512">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1.负责全区市场综合监督管理工作；</w:t>
      </w:r>
    </w:p>
    <w:p w14:paraId="7C8E4759">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2.</w:t>
      </w:r>
      <w:r>
        <w:rPr>
          <w:rFonts w:hint="default" w:ascii="仿宋_GB2312" w:hAnsi="Times New Roman" w:eastAsia="仿宋_GB2312" w:cs="仿宋_GB2312"/>
          <w:kern w:val="2"/>
          <w:sz w:val="32"/>
          <w:szCs w:val="32"/>
          <w:lang w:val="en-US" w:eastAsia="zh-CN" w:bidi="ar"/>
        </w:rPr>
        <w:t>负责全区市场主体统一登记注册；</w:t>
      </w:r>
    </w:p>
    <w:p w14:paraId="02E63A1A">
      <w:pPr>
        <w:keepNext w:val="0"/>
        <w:keepLines w:val="0"/>
        <w:pageBreakBefore w:val="0"/>
        <w:kinsoku/>
        <w:wordWrap/>
        <w:topLinePunct w:val="0"/>
        <w:bidi w:val="0"/>
        <w:spacing w:line="576" w:lineRule="exact"/>
        <w:textAlignment w:val="auto"/>
        <w:rPr>
          <w:rFonts w:hint="default" w:ascii="仿宋_GB2312" w:eastAsia="仿宋_GB2312" w:cs="仿宋_GB2312"/>
          <w:kern w:val="0"/>
          <w:sz w:val="32"/>
          <w:szCs w:val="32"/>
        </w:rPr>
        <w:sectPr>
          <w:pgSz w:w="11905" w:h="16838"/>
          <w:pgMar w:top="2098" w:right="1474" w:bottom="1984" w:left="1587" w:header="454" w:footer="1531" w:gutter="0"/>
          <w:pgBorders>
            <w:top w:val="none" w:sz="0" w:space="0"/>
            <w:left w:val="none" w:sz="0" w:space="0"/>
            <w:bottom w:val="none" w:sz="0" w:space="0"/>
            <w:right w:val="none" w:sz="0" w:space="0"/>
          </w:pgBorders>
          <w:lnNumType w:countBy="0" w:distance="360"/>
          <w:pgNumType w:fmt="decimal"/>
          <w:cols w:space="0" w:num="1"/>
          <w:rtlGutter w:val="0"/>
          <w:docGrid w:type="lines" w:linePitch="435" w:charSpace="0"/>
        </w:sectPr>
      </w:pPr>
    </w:p>
    <w:p w14:paraId="2C2DEE34">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3.</w:t>
      </w:r>
      <w:r>
        <w:rPr>
          <w:rFonts w:hint="default" w:ascii="仿宋_GB2312" w:hAnsi="Times New Roman" w:eastAsia="仿宋_GB2312" w:cs="仿宋_GB2312"/>
          <w:kern w:val="2"/>
          <w:sz w:val="32"/>
          <w:szCs w:val="32"/>
          <w:lang w:val="en-US" w:eastAsia="zh-CN" w:bidi="ar"/>
        </w:rPr>
        <w:t>负责组织和指导全区市场监管综合执法工作；</w:t>
      </w:r>
    </w:p>
    <w:p w14:paraId="63AA25E9">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4.</w:t>
      </w:r>
      <w:r>
        <w:rPr>
          <w:rFonts w:hint="default" w:ascii="仿宋_GB2312" w:hAnsi="Times New Roman" w:eastAsia="仿宋_GB2312" w:cs="仿宋_GB2312"/>
          <w:kern w:val="2"/>
          <w:sz w:val="32"/>
          <w:szCs w:val="32"/>
          <w:lang w:val="en-US" w:eastAsia="zh-CN" w:bidi="ar"/>
        </w:rPr>
        <w:t>负责全区反垄断统一执法，；</w:t>
      </w:r>
    </w:p>
    <w:p w14:paraId="6A3C7E24">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5.</w:t>
      </w:r>
      <w:r>
        <w:rPr>
          <w:rFonts w:hint="default" w:ascii="仿宋_GB2312" w:hAnsi="Times New Roman" w:eastAsia="仿宋_GB2312" w:cs="仿宋_GB2312"/>
          <w:kern w:val="2"/>
          <w:sz w:val="32"/>
          <w:szCs w:val="32"/>
          <w:lang w:val="en-US" w:eastAsia="zh-CN" w:bidi="ar"/>
        </w:rPr>
        <w:t>负责监督管理全区市场秩序；</w:t>
      </w:r>
    </w:p>
    <w:p w14:paraId="14C2A98F">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6.</w:t>
      </w:r>
      <w:r>
        <w:rPr>
          <w:rFonts w:hint="default" w:ascii="仿宋_GB2312" w:hAnsi="Times New Roman" w:eastAsia="仿宋_GB2312" w:cs="仿宋_GB2312"/>
          <w:kern w:val="2"/>
          <w:sz w:val="32"/>
          <w:szCs w:val="32"/>
          <w:lang w:val="en-US" w:eastAsia="zh-CN" w:bidi="ar"/>
        </w:rPr>
        <w:t>负责全区宏观质量管理；</w:t>
      </w:r>
    </w:p>
    <w:p w14:paraId="6C55AA87">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7.</w:t>
      </w:r>
      <w:r>
        <w:rPr>
          <w:rFonts w:hint="default" w:ascii="仿宋_GB2312" w:hAnsi="Times New Roman" w:eastAsia="仿宋_GB2312" w:cs="仿宋_GB2312"/>
          <w:kern w:val="2"/>
          <w:sz w:val="32"/>
          <w:szCs w:val="32"/>
          <w:lang w:val="en-US" w:eastAsia="zh-CN" w:bidi="ar"/>
        </w:rPr>
        <w:t>负责全区食品质量安全监督管理；</w:t>
      </w:r>
    </w:p>
    <w:p w14:paraId="55878333">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8.</w:t>
      </w:r>
      <w:r>
        <w:rPr>
          <w:rFonts w:hint="default" w:ascii="仿宋_GB2312" w:hAnsi="Times New Roman" w:eastAsia="仿宋_GB2312" w:cs="仿宋_GB2312"/>
          <w:kern w:val="2"/>
          <w:sz w:val="32"/>
          <w:szCs w:val="32"/>
          <w:lang w:val="en-US" w:eastAsia="zh-CN" w:bidi="ar"/>
        </w:rPr>
        <w:t>负责全区特种设备安全监督管理；</w:t>
      </w:r>
    </w:p>
    <w:p w14:paraId="212001D8">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9.</w:t>
      </w:r>
      <w:r>
        <w:rPr>
          <w:rFonts w:hint="default" w:ascii="仿宋_GB2312" w:hAnsi="Times New Roman" w:eastAsia="仿宋_GB2312" w:cs="仿宋_GB2312"/>
          <w:kern w:val="2"/>
          <w:sz w:val="32"/>
          <w:szCs w:val="32"/>
          <w:lang w:val="en-US" w:eastAsia="zh-CN" w:bidi="ar"/>
        </w:rPr>
        <w:t>负责全区食品安全监督管理综合协调；</w:t>
      </w:r>
    </w:p>
    <w:p w14:paraId="72631C17">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10.</w:t>
      </w:r>
      <w:r>
        <w:rPr>
          <w:rFonts w:hint="default" w:ascii="仿宋_GB2312" w:hAnsi="Times New Roman" w:eastAsia="仿宋_GB2312" w:cs="仿宋_GB2312"/>
          <w:kern w:val="2"/>
          <w:sz w:val="32"/>
          <w:szCs w:val="32"/>
          <w:lang w:val="en-US" w:eastAsia="zh-CN" w:bidi="ar"/>
        </w:rPr>
        <w:t>负责全区食品安全监督管理；</w:t>
      </w:r>
    </w:p>
    <w:p w14:paraId="3F8D57D6">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11.</w:t>
      </w:r>
      <w:r>
        <w:rPr>
          <w:rFonts w:hint="default" w:ascii="仿宋_GB2312" w:hAnsi="Times New Roman" w:eastAsia="仿宋_GB2312" w:cs="仿宋_GB2312"/>
          <w:kern w:val="2"/>
          <w:sz w:val="32"/>
          <w:szCs w:val="32"/>
          <w:lang w:val="en-US" w:eastAsia="zh-CN" w:bidi="ar"/>
        </w:rPr>
        <w:t>负责统一管理全区计量工作；</w:t>
      </w:r>
    </w:p>
    <w:p w14:paraId="5BA68B27">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12.</w:t>
      </w:r>
      <w:r>
        <w:rPr>
          <w:rFonts w:hint="default" w:ascii="仿宋_GB2312" w:hAnsi="Times New Roman" w:eastAsia="仿宋_GB2312" w:cs="仿宋_GB2312"/>
          <w:kern w:val="2"/>
          <w:sz w:val="32"/>
          <w:szCs w:val="32"/>
          <w:lang w:val="en-US" w:eastAsia="zh-CN" w:bidi="ar"/>
        </w:rPr>
        <w:t>负责统一管理全区标准化工作；</w:t>
      </w:r>
    </w:p>
    <w:p w14:paraId="0DE09837">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13.</w:t>
      </w:r>
      <w:r>
        <w:rPr>
          <w:rFonts w:hint="default" w:ascii="仿宋_GB2312" w:hAnsi="Times New Roman" w:eastAsia="仿宋_GB2312" w:cs="仿宋_GB2312"/>
          <w:kern w:val="2"/>
          <w:sz w:val="32"/>
          <w:szCs w:val="32"/>
          <w:lang w:val="en-US" w:eastAsia="zh-CN" w:bidi="ar"/>
        </w:rPr>
        <w:t>负责统一管理全区检验检测工作；</w:t>
      </w:r>
    </w:p>
    <w:p w14:paraId="5BBD2786">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14.</w:t>
      </w:r>
      <w:r>
        <w:rPr>
          <w:rFonts w:hint="default" w:ascii="仿宋_GB2312" w:hAnsi="Times New Roman" w:eastAsia="仿宋_GB2312" w:cs="仿宋_GB2312"/>
          <w:kern w:val="2"/>
          <w:sz w:val="32"/>
          <w:szCs w:val="32"/>
          <w:lang w:val="en-US" w:eastAsia="zh-CN" w:bidi="ar"/>
        </w:rPr>
        <w:t>负责统一管理全区认证认可工作；</w:t>
      </w:r>
    </w:p>
    <w:p w14:paraId="73139F7D">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15.</w:t>
      </w:r>
      <w:r>
        <w:rPr>
          <w:rFonts w:hint="default" w:ascii="仿宋_GB2312" w:hAnsi="Times New Roman" w:eastAsia="仿宋_GB2312" w:cs="仿宋_GB2312"/>
          <w:kern w:val="2"/>
          <w:sz w:val="32"/>
          <w:szCs w:val="32"/>
          <w:lang w:val="en-US" w:eastAsia="zh-CN" w:bidi="ar"/>
        </w:rPr>
        <w:t>负责市场监督管理科技和信息化建设；</w:t>
      </w:r>
    </w:p>
    <w:p w14:paraId="2BFF99D0">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16.</w:t>
      </w:r>
      <w:r>
        <w:rPr>
          <w:rFonts w:hint="default" w:ascii="仿宋_GB2312" w:hAnsi="Times New Roman" w:eastAsia="仿宋_GB2312" w:cs="仿宋_GB2312"/>
          <w:kern w:val="2"/>
          <w:sz w:val="32"/>
          <w:szCs w:val="32"/>
          <w:lang w:val="en-US" w:eastAsia="zh-CN" w:bidi="ar"/>
        </w:rPr>
        <w:t>负责全区药品、医疗器械和化妆品安全监督管理；</w:t>
      </w:r>
    </w:p>
    <w:p w14:paraId="245084E7">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17.</w:t>
      </w:r>
      <w:r>
        <w:rPr>
          <w:rFonts w:hint="default" w:ascii="仿宋_GB2312" w:hAnsi="Times New Roman" w:eastAsia="仿宋_GB2312" w:cs="仿宋_GB2312"/>
          <w:kern w:val="2"/>
          <w:sz w:val="32"/>
          <w:szCs w:val="32"/>
          <w:lang w:val="en-US" w:eastAsia="zh-CN" w:bidi="ar"/>
        </w:rPr>
        <w:t>负责全区知识产权战略和规划的制定，负责知识产权的保护，负责组织指导商标、专利执法工作；</w:t>
      </w:r>
    </w:p>
    <w:p w14:paraId="37708AEA">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18.</w:t>
      </w:r>
      <w:r>
        <w:rPr>
          <w:rFonts w:hint="default" w:ascii="仿宋_GB2312" w:hAnsi="Times New Roman" w:eastAsia="仿宋_GB2312" w:cs="仿宋_GB2312"/>
          <w:kern w:val="2"/>
          <w:sz w:val="32"/>
          <w:szCs w:val="32"/>
          <w:lang w:val="en-US" w:eastAsia="zh-CN" w:bidi="ar"/>
        </w:rPr>
        <w:t>贯彻落实中央、省委、市委和区委关于加强民营经济党组织建设有关要求；</w:t>
      </w:r>
    </w:p>
    <w:p w14:paraId="738FEBAA">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19.</w:t>
      </w:r>
      <w:r>
        <w:rPr>
          <w:rFonts w:hint="default" w:ascii="仿宋_GB2312" w:hAnsi="Times New Roman" w:eastAsia="仿宋_GB2312" w:cs="仿宋_GB2312"/>
          <w:kern w:val="2"/>
          <w:sz w:val="32"/>
          <w:szCs w:val="32"/>
          <w:lang w:val="en-US" w:eastAsia="zh-CN" w:bidi="ar"/>
        </w:rPr>
        <w:t>负责职责范围内的安全生产和职业健康、生态环境保护、审批服务便民等工作；</w:t>
      </w:r>
    </w:p>
    <w:p w14:paraId="4E100EB5">
      <w:pPr>
        <w:keepNext w:val="0"/>
        <w:keepLines w:val="0"/>
        <w:pageBreakBefore w:val="0"/>
        <w:widowControl w:val="0"/>
        <w:suppressLineNumbers w:val="0"/>
        <w:kinsoku/>
        <w:wordWrap/>
        <w:topLinePunct w:val="0"/>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kern w:val="2"/>
          <w:sz w:val="32"/>
          <w:szCs w:val="32"/>
        </w:rPr>
      </w:pPr>
      <w:r>
        <w:rPr>
          <w:rFonts w:hint="default" w:ascii="仿宋_GB2312" w:hAnsi="Times New Roman" w:eastAsia="仿宋_GB2312" w:cs="仿宋_GB2312"/>
          <w:kern w:val="0"/>
          <w:sz w:val="32"/>
          <w:szCs w:val="32"/>
          <w:lang w:val="en-US" w:eastAsia="zh-CN" w:bidi="ar"/>
        </w:rPr>
        <w:t>20.</w:t>
      </w:r>
      <w:r>
        <w:rPr>
          <w:rFonts w:hint="default" w:ascii="仿宋_GB2312" w:hAnsi="Times New Roman" w:eastAsia="仿宋_GB2312" w:cs="仿宋_GB2312"/>
          <w:kern w:val="2"/>
          <w:sz w:val="32"/>
          <w:szCs w:val="32"/>
          <w:lang w:val="en-US" w:eastAsia="zh-CN" w:bidi="ar"/>
        </w:rPr>
        <w:t>完成区委区政府交办的其他任务。</w:t>
      </w:r>
    </w:p>
    <w:p w14:paraId="0FB4B8A0">
      <w:pPr>
        <w:keepNext w:val="0"/>
        <w:keepLines w:val="0"/>
        <w:pageBreakBefore w:val="0"/>
        <w:widowControl w:val="0"/>
        <w:numPr>
          <w:ilvl w:val="0"/>
          <w:numId w:val="1"/>
        </w:numPr>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机构组成</w:t>
      </w:r>
    </w:p>
    <w:p w14:paraId="6FC6649B">
      <w:pPr>
        <w:pStyle w:val="12"/>
        <w:keepNext w:val="0"/>
        <w:keepLines w:val="0"/>
        <w:pageBreakBefore w:val="0"/>
        <w:widowControl w:val="0"/>
        <w:suppressLineNumbers w:val="0"/>
        <w:kinsoku/>
        <w:wordWrap/>
        <w:overflowPunct w:val="0"/>
        <w:topLinePunct w:val="0"/>
        <w:autoSpaceDE w:val="0"/>
        <w:autoSpaceDN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sz w:val="32"/>
          <w:szCs w:val="32"/>
          <w:lang w:val="en-US"/>
        </w:rPr>
      </w:pPr>
      <w:r>
        <w:rPr>
          <w:rFonts w:hint="default" w:ascii="仿宋_GB2312" w:hAnsi="Times New Roman" w:eastAsia="仿宋_GB2312" w:cs="仿宋_GB2312"/>
          <w:b w:val="0"/>
          <w:bCs w:val="0"/>
          <w:i w:val="0"/>
          <w:caps w:val="0"/>
          <w:color w:val="000000"/>
          <w:spacing w:val="0"/>
          <w:kern w:val="2"/>
          <w:sz w:val="32"/>
          <w:szCs w:val="32"/>
          <w:lang w:val="en-US" w:eastAsia="zh-CN" w:bidi="ar"/>
        </w:rPr>
        <w:t>市场监督管理局下属二级单位5个，其中行政单位1个，参照公务员法管理的事业单位1个，公益一类事业单位3个</w:t>
      </w:r>
      <w:r>
        <w:rPr>
          <w:rFonts w:hint="eastAsia" w:ascii="仿宋_GB2312" w:hAnsi="Times New Roman" w:eastAsia="仿宋_GB2312" w:cs="仿宋_GB2312"/>
          <w:b w:val="0"/>
          <w:bCs w:val="0"/>
          <w:i w:val="0"/>
          <w:caps w:val="0"/>
          <w:color w:val="000000"/>
          <w:spacing w:val="0"/>
          <w:kern w:val="2"/>
          <w:sz w:val="32"/>
          <w:szCs w:val="32"/>
          <w:lang w:val="en-US" w:eastAsia="zh-CN" w:bidi="ar"/>
        </w:rPr>
        <w:t>，包括：</w:t>
      </w:r>
      <w:r>
        <w:rPr>
          <w:rFonts w:hint="default" w:ascii="仿宋_GB2312" w:hAnsi="Times New Roman" w:eastAsia="仿宋_GB2312" w:cs="仿宋_GB2312"/>
          <w:b w:val="0"/>
          <w:bCs w:val="0"/>
          <w:i w:val="0"/>
          <w:caps w:val="0"/>
          <w:color w:val="000000"/>
          <w:spacing w:val="0"/>
          <w:kern w:val="2"/>
          <w:sz w:val="32"/>
          <w:szCs w:val="32"/>
          <w:lang w:val="en-US" w:eastAsia="zh-CN" w:bidi="ar"/>
        </w:rPr>
        <w:t>1、广元市昭化区市场监督管理局机关</w:t>
      </w:r>
      <w:r>
        <w:rPr>
          <w:rFonts w:hint="eastAsia" w:ascii="仿宋_GB2312" w:hAnsi="Times New Roman" w:eastAsia="仿宋_GB2312" w:cs="仿宋_GB2312"/>
          <w:b w:val="0"/>
          <w:bCs w:val="0"/>
          <w:i w:val="0"/>
          <w:caps w:val="0"/>
          <w:color w:val="000000"/>
          <w:spacing w:val="0"/>
          <w:kern w:val="2"/>
          <w:sz w:val="32"/>
          <w:szCs w:val="32"/>
          <w:lang w:val="en-US" w:eastAsia="zh-CN" w:bidi="ar"/>
        </w:rPr>
        <w:t>；</w:t>
      </w:r>
      <w:r>
        <w:rPr>
          <w:rFonts w:hint="default" w:ascii="仿宋_GB2312" w:hAnsi="Times New Roman" w:eastAsia="仿宋_GB2312" w:cs="仿宋_GB2312"/>
          <w:b w:val="0"/>
          <w:bCs w:val="0"/>
          <w:i w:val="0"/>
          <w:caps w:val="0"/>
          <w:color w:val="000000"/>
          <w:spacing w:val="0"/>
          <w:kern w:val="2"/>
          <w:sz w:val="32"/>
          <w:szCs w:val="32"/>
          <w:lang w:val="en-US" w:eastAsia="zh-CN" w:bidi="ar"/>
        </w:rPr>
        <w:t>2、广元市昭化区市场监督管理局综合行政执法大队</w:t>
      </w:r>
      <w:r>
        <w:rPr>
          <w:rFonts w:hint="eastAsia" w:ascii="仿宋_GB2312" w:hAnsi="Times New Roman" w:eastAsia="仿宋_GB2312" w:cs="仿宋_GB2312"/>
          <w:b w:val="0"/>
          <w:bCs w:val="0"/>
          <w:i w:val="0"/>
          <w:caps w:val="0"/>
          <w:color w:val="000000"/>
          <w:spacing w:val="0"/>
          <w:kern w:val="2"/>
          <w:sz w:val="32"/>
          <w:szCs w:val="32"/>
          <w:lang w:val="en-US" w:eastAsia="zh-CN" w:bidi="ar"/>
        </w:rPr>
        <w:t>；</w:t>
      </w:r>
      <w:r>
        <w:rPr>
          <w:rFonts w:hint="default" w:ascii="仿宋_GB2312" w:hAnsi="Times New Roman" w:eastAsia="仿宋_GB2312" w:cs="仿宋_GB2312"/>
          <w:b w:val="0"/>
          <w:bCs w:val="0"/>
          <w:i w:val="0"/>
          <w:caps w:val="0"/>
          <w:color w:val="000000"/>
          <w:spacing w:val="0"/>
          <w:kern w:val="2"/>
          <w:sz w:val="32"/>
          <w:szCs w:val="32"/>
          <w:lang w:val="en-US" w:eastAsia="zh-CN" w:bidi="ar"/>
        </w:rPr>
        <w:t>3、广元市昭化区市场监督事务中心</w:t>
      </w:r>
      <w:r>
        <w:rPr>
          <w:rFonts w:hint="eastAsia" w:ascii="仿宋_GB2312" w:hAnsi="Times New Roman" w:eastAsia="仿宋_GB2312" w:cs="仿宋_GB2312"/>
          <w:b w:val="0"/>
          <w:bCs w:val="0"/>
          <w:i w:val="0"/>
          <w:caps w:val="0"/>
          <w:color w:val="000000"/>
          <w:spacing w:val="0"/>
          <w:kern w:val="2"/>
          <w:sz w:val="32"/>
          <w:szCs w:val="32"/>
          <w:lang w:val="en-US" w:eastAsia="zh-CN" w:bidi="ar"/>
        </w:rPr>
        <w:t>；</w:t>
      </w:r>
      <w:r>
        <w:rPr>
          <w:rFonts w:hint="default" w:ascii="仿宋_GB2312" w:hAnsi="Times New Roman" w:eastAsia="仿宋_GB2312" w:cs="仿宋_GB2312"/>
          <w:b w:val="0"/>
          <w:bCs w:val="0"/>
          <w:i w:val="0"/>
          <w:caps w:val="0"/>
          <w:color w:val="000000"/>
          <w:spacing w:val="0"/>
          <w:kern w:val="2"/>
          <w:sz w:val="32"/>
          <w:szCs w:val="32"/>
          <w:lang w:val="en-US" w:eastAsia="zh-CN" w:bidi="ar"/>
        </w:rPr>
        <w:t>4、广元市昭化区消费者权益服务中心</w:t>
      </w:r>
      <w:r>
        <w:rPr>
          <w:rFonts w:hint="eastAsia" w:ascii="仿宋_GB2312" w:hAnsi="Times New Roman" w:eastAsia="仿宋_GB2312" w:cs="仿宋_GB2312"/>
          <w:b w:val="0"/>
          <w:bCs w:val="0"/>
          <w:i w:val="0"/>
          <w:caps w:val="0"/>
          <w:color w:val="000000"/>
          <w:spacing w:val="0"/>
          <w:kern w:val="2"/>
          <w:sz w:val="32"/>
          <w:szCs w:val="32"/>
          <w:lang w:val="en-US" w:eastAsia="zh-CN" w:bidi="ar"/>
        </w:rPr>
        <w:t>；</w:t>
      </w:r>
      <w:r>
        <w:rPr>
          <w:rFonts w:hint="default" w:ascii="仿宋_GB2312" w:hAnsi="Times New Roman" w:eastAsia="仿宋_GB2312" w:cs="仿宋_GB2312"/>
          <w:b w:val="0"/>
          <w:bCs w:val="0"/>
          <w:i w:val="0"/>
          <w:caps w:val="0"/>
          <w:color w:val="000000"/>
          <w:spacing w:val="0"/>
          <w:kern w:val="2"/>
          <w:sz w:val="32"/>
          <w:szCs w:val="32"/>
          <w:lang w:val="en-US" w:eastAsia="zh-CN" w:bidi="ar"/>
        </w:rPr>
        <w:t>5、广元市昭化区市场监督信息中心</w:t>
      </w:r>
      <w:r>
        <w:rPr>
          <w:rFonts w:hint="eastAsia" w:ascii="仿宋_GB2312" w:hAnsi="Times New Roman" w:eastAsia="仿宋_GB2312" w:cs="仿宋_GB2312"/>
          <w:b w:val="0"/>
          <w:bCs w:val="0"/>
          <w:i w:val="0"/>
          <w:caps w:val="0"/>
          <w:color w:val="000000"/>
          <w:spacing w:val="0"/>
          <w:kern w:val="2"/>
          <w:sz w:val="32"/>
          <w:szCs w:val="32"/>
          <w:lang w:val="en-US" w:eastAsia="zh-CN" w:bidi="ar"/>
        </w:rPr>
        <w:t>。</w:t>
      </w:r>
    </w:p>
    <w:p w14:paraId="6D37F2DA">
      <w:pPr>
        <w:pStyle w:val="12"/>
        <w:keepNext w:val="0"/>
        <w:keepLines w:val="0"/>
        <w:pageBreakBefore w:val="0"/>
        <w:widowControl w:val="0"/>
        <w:suppressLineNumbers w:val="0"/>
        <w:kinsoku/>
        <w:wordWrap/>
        <w:overflowPunct w:val="0"/>
        <w:topLinePunct w:val="0"/>
        <w:autoSpaceDE w:val="0"/>
        <w:autoSpaceDN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val="0"/>
          <w:i w:val="0"/>
          <w:caps w:val="0"/>
          <w:color w:val="000000"/>
          <w:spacing w:val="0"/>
          <w:kern w:val="2"/>
          <w:sz w:val="32"/>
          <w:szCs w:val="32"/>
        </w:rPr>
      </w:pPr>
    </w:p>
    <w:p w14:paraId="702751F5">
      <w:pPr>
        <w:pStyle w:val="12"/>
        <w:keepNext w:val="0"/>
        <w:keepLines w:val="0"/>
        <w:pageBreakBefore w:val="0"/>
        <w:widowControl w:val="0"/>
        <w:suppressLineNumbers w:val="0"/>
        <w:kinsoku/>
        <w:wordWrap/>
        <w:overflowPunct w:val="0"/>
        <w:topLinePunct w:val="0"/>
        <w:autoSpaceDE w:val="0"/>
        <w:autoSpaceDN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sz w:val="32"/>
          <w:szCs w:val="32"/>
          <w:lang w:val="en-US"/>
        </w:rPr>
      </w:pPr>
      <w:r>
        <w:rPr>
          <w:rFonts w:hint="default" w:ascii="仿宋_GB2312" w:hAnsi="Times New Roman" w:eastAsia="仿宋_GB2312" w:cs="仿宋_GB2312"/>
          <w:b w:val="0"/>
          <w:bCs w:val="0"/>
          <w:i w:val="0"/>
          <w:caps w:val="0"/>
          <w:color w:val="000000"/>
          <w:spacing w:val="0"/>
          <w:kern w:val="2"/>
          <w:sz w:val="32"/>
          <w:szCs w:val="32"/>
          <w:lang w:val="en-US" w:eastAsia="zh-CN" w:bidi="ar"/>
        </w:rPr>
        <w:t>纳入区市场监督管理局2022年度部门决算编制范围的二级预算单位</w:t>
      </w:r>
      <w:r>
        <w:rPr>
          <w:rFonts w:hint="eastAsia" w:ascii="仿宋_GB2312" w:hAnsi="Times New Roman" w:eastAsia="仿宋_GB2312" w:cs="仿宋_GB2312"/>
          <w:b w:val="0"/>
          <w:bCs w:val="0"/>
          <w:i w:val="0"/>
          <w:caps w:val="0"/>
          <w:color w:val="000000"/>
          <w:spacing w:val="0"/>
          <w:kern w:val="2"/>
          <w:sz w:val="32"/>
          <w:szCs w:val="32"/>
          <w:lang w:val="en-US" w:eastAsia="zh-CN" w:bidi="ar"/>
        </w:rPr>
        <w:t>无。</w:t>
      </w:r>
    </w:p>
    <w:p w14:paraId="45BB361D">
      <w:pPr>
        <w:keepNext w:val="0"/>
        <w:keepLines w:val="0"/>
        <w:pageBreakBefore w:val="0"/>
        <w:widowControl w:val="0"/>
        <w:numPr>
          <w:ilvl w:val="0"/>
          <w:numId w:val="1"/>
        </w:numPr>
        <w:suppressLineNumbers w:val="0"/>
        <w:kinsoku/>
        <w:wordWrap/>
        <w:topLinePunct w:val="0"/>
        <w:autoSpaceDE w:val="0"/>
        <w:autoSpaceDN/>
        <w:bidi w:val="0"/>
        <w:spacing w:before="0" w:beforeAutospacing="0" w:after="0" w:afterAutospacing="0" w:line="576" w:lineRule="exact"/>
        <w:ind w:left="0" w:leftChars="0" w:right="0" w:rightChars="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人员概况</w:t>
      </w:r>
    </w:p>
    <w:p w14:paraId="56C06350">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rightChars="0" w:firstLine="640" w:firstLineChars="200"/>
        <w:jc w:val="both"/>
        <w:textAlignment w:val="auto"/>
        <w:rPr>
          <w:rFonts w:hint="default" w:ascii="仿宋_GB2312" w:eastAsia="仿宋_GB2312" w:cs="仿宋_GB2312"/>
          <w:b w:val="0"/>
          <w:bCs/>
          <w:kern w:val="2"/>
          <w:sz w:val="32"/>
          <w:szCs w:val="32"/>
        </w:rPr>
      </w:pPr>
      <w:r>
        <w:rPr>
          <w:rFonts w:hint="default" w:ascii="仿宋_GB2312" w:hAnsi="Times New Roman" w:eastAsia="仿宋_GB2312" w:cs="仿宋_GB2312"/>
          <w:kern w:val="2"/>
          <w:sz w:val="32"/>
          <w:szCs w:val="32"/>
          <w:lang w:val="en-US" w:eastAsia="zh-CN" w:bidi="ar"/>
        </w:rPr>
        <w:t>区市场监督管理局属一级单位，无下属单位，</w:t>
      </w:r>
      <w:r>
        <w:rPr>
          <w:rFonts w:hint="default" w:ascii="仿宋_GB2312" w:hAnsi="Times New Roman" w:eastAsia="仿宋_GB2312" w:cs="仿宋_GB2312"/>
          <w:color w:val="000000"/>
          <w:kern w:val="0"/>
          <w:sz w:val="32"/>
          <w:szCs w:val="32"/>
          <w:lang w:val="en-US" w:eastAsia="zh-CN" w:bidi="ar"/>
        </w:rPr>
        <w:t>区</w:t>
      </w:r>
      <w:r>
        <w:rPr>
          <w:rFonts w:hint="default" w:ascii="仿宋_GB2312" w:hAnsi="Times New Roman" w:eastAsia="仿宋_GB2312" w:cs="仿宋_GB2312"/>
          <w:color w:val="000000"/>
          <w:kern w:val="2"/>
          <w:sz w:val="32"/>
          <w:szCs w:val="32"/>
          <w:lang w:val="en-US" w:eastAsia="zh-CN" w:bidi="ar"/>
        </w:rPr>
        <w:t>市场监督管理局局设10个内设机构。1个执法大队，核定</w:t>
      </w:r>
      <w:r>
        <w:rPr>
          <w:rFonts w:hint="default" w:ascii="仿宋_GB2312" w:hAnsi="Times New Roman" w:eastAsia="仿宋_GB2312" w:cs="仿宋_GB2312"/>
          <w:color w:val="000000"/>
          <w:kern w:val="0"/>
          <w:sz w:val="32"/>
          <w:szCs w:val="32"/>
          <w:lang w:val="en-US" w:eastAsia="zh-CN" w:bidi="ar"/>
        </w:rPr>
        <w:t>总编制56名，其中行政编制20 名，工勤编2名，其他事业编制16 名。参公编制18个，在职人员总数65人，其中行政人员38人，政法人员0人，参照公务员法管理的事业人员5人，其他事业人员17人；机关工勤5人，离休人员0人，退休人员30人。</w:t>
      </w:r>
    </w:p>
    <w:p w14:paraId="5E273B61">
      <w:pPr>
        <w:keepNext w:val="0"/>
        <w:keepLines w:val="0"/>
        <w:pageBreakBefore w:val="0"/>
        <w:widowControl w:val="0"/>
        <w:numPr>
          <w:ilvl w:val="0"/>
          <w:numId w:val="1"/>
        </w:numPr>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当年重点工作任务概述</w:t>
      </w:r>
    </w:p>
    <w:p w14:paraId="6C02C53E">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1.优化准入环境。</w:t>
      </w:r>
      <w:r>
        <w:rPr>
          <w:rFonts w:hint="default" w:ascii="仿宋_GB2312" w:hAnsi="Times New Roman" w:eastAsia="仿宋_GB2312" w:cs="仿宋_GB2312"/>
          <w:kern w:val="2"/>
          <w:sz w:val="32"/>
          <w:szCs w:val="32"/>
          <w:lang w:val="en-US" w:eastAsia="zh-CN" w:bidi="ar"/>
        </w:rPr>
        <w:t>贯彻落实《市场主体登记管理条例》，全面推进“一网通办”前提下的“最多跑一次”改革，加大“证照分离”改革力度，深化“住所（经营场所）改革试点”成果，落实“跨省通办”和“川渝通办”事项清单，持续提升企业开办服务能力，确保“企业开办4个工作小时办结”。</w:t>
      </w:r>
    </w:p>
    <w:p w14:paraId="3A69BE36">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2.放宽准营通道。</w:t>
      </w:r>
      <w:r>
        <w:rPr>
          <w:rFonts w:hint="default" w:ascii="仿宋_GB2312" w:hAnsi="Times New Roman" w:eastAsia="仿宋_GB2312" w:cs="仿宋_GB2312"/>
          <w:kern w:val="2"/>
          <w:sz w:val="32"/>
          <w:szCs w:val="32"/>
          <w:lang w:val="en-US" w:eastAsia="zh-CN" w:bidi="ar"/>
        </w:rPr>
        <w:t>实行营业执照与食品经营许可证、药品经营许可证的“一件事一次办”，积极探索公共场所卫生许可、交通运输许可、文化经营许可等跨部门的一件事一次办。</w:t>
      </w:r>
    </w:p>
    <w:p w14:paraId="279FE667">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3.健全市场主体退出机制。</w:t>
      </w:r>
      <w:r>
        <w:rPr>
          <w:rFonts w:hint="default" w:ascii="仿宋_GB2312" w:hAnsi="Times New Roman" w:eastAsia="仿宋_GB2312" w:cs="仿宋_GB2312"/>
          <w:kern w:val="2"/>
          <w:sz w:val="32"/>
          <w:szCs w:val="32"/>
          <w:lang w:val="en-US" w:eastAsia="zh-CN" w:bidi="ar"/>
        </w:rPr>
        <w:t>畅通市场主体退出渠道，全面实施简易注销改革，探索市场监管系统内注销营业执照与食品经营许可证、药品经营许可证“套餐式”同步注销。</w:t>
      </w:r>
    </w:p>
    <w:p w14:paraId="7F2E81B3">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4.创新事前事中事后监管方式。</w:t>
      </w:r>
      <w:r>
        <w:rPr>
          <w:rFonts w:hint="default" w:ascii="仿宋_GB2312" w:hAnsi="Times New Roman" w:eastAsia="仿宋_GB2312" w:cs="仿宋_GB2312"/>
          <w:kern w:val="2"/>
          <w:sz w:val="32"/>
          <w:szCs w:val="32"/>
          <w:lang w:val="en-US" w:eastAsia="zh-CN" w:bidi="ar"/>
        </w:rPr>
        <w:t>构建以“双随机</w:t>
      </w:r>
      <w:r>
        <w:rPr>
          <w:rFonts w:hint="eastAsia" w:ascii="仿宋_GB2312" w:eastAsia="仿宋_GB2312" w:cs="仿宋_GB2312"/>
          <w:kern w:val="2"/>
          <w:sz w:val="32"/>
          <w:szCs w:val="32"/>
          <w:lang w:val="en-US" w:eastAsia="zh-CN" w:bidi="ar"/>
        </w:rPr>
        <w:t>、</w:t>
      </w:r>
      <w:r>
        <w:rPr>
          <w:rFonts w:hint="default" w:ascii="仿宋_GB2312" w:hAnsi="Times New Roman" w:eastAsia="仿宋_GB2312" w:cs="仿宋_GB2312"/>
          <w:kern w:val="2"/>
          <w:sz w:val="32"/>
          <w:szCs w:val="32"/>
          <w:lang w:val="en-US" w:eastAsia="zh-CN" w:bidi="ar"/>
        </w:rPr>
        <w:t>一公开”监管为主要手段，重点监管为补充，信用监管为基础的新型监管方式，探索实行“触发式监管”和“牵头监管”模式，执法办案领域“认罚择轻”制度和重点区域和领域“沙盒监管”。</w:t>
      </w:r>
    </w:p>
    <w:p w14:paraId="4C8C9997">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5.加强知识产权保护。</w:t>
      </w:r>
      <w:r>
        <w:rPr>
          <w:rFonts w:hint="default" w:ascii="仿宋_GB2312" w:hAnsi="Times New Roman" w:eastAsia="仿宋_GB2312" w:cs="仿宋_GB2312"/>
          <w:kern w:val="2"/>
          <w:sz w:val="32"/>
          <w:szCs w:val="32"/>
          <w:lang w:val="en-US" w:eastAsia="zh-CN" w:bidi="ar"/>
        </w:rPr>
        <w:t>依法查处假冒专利违法行为，大力开展代理行为定向抽查。打击非正常专利申请和商标囤积、恶意注册等行为，严厉查处涉外、涉农、酒类等各类商标侵权案件。加大地理标志证明商标保护力度，强力推进“地标助力乡村振兴”，围绕“王家贡米”等重点品牌建立知识产权保护协调机制。</w:t>
      </w:r>
    </w:p>
    <w:p w14:paraId="06798DC0">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6.营造公平竞争环境。</w:t>
      </w:r>
      <w:r>
        <w:rPr>
          <w:rFonts w:hint="default" w:ascii="仿宋_GB2312" w:hAnsi="Times New Roman" w:eastAsia="仿宋_GB2312" w:cs="仿宋_GB2312"/>
          <w:kern w:val="2"/>
          <w:sz w:val="32"/>
          <w:szCs w:val="32"/>
          <w:lang w:val="en-US" w:eastAsia="zh-CN" w:bidi="ar"/>
        </w:rPr>
        <w:t>要加强反垄断与反不正当竞争工作，持续推动公平竞争审查工作，建立“双随机”实施公平竞争审查抽查制度，通过督查、抽查、会审、第三方评估等方式，强化制度刚性约束。强化行政垄断风险研判识别。探索建立预警提醒制度，完善公平竞争审查建议、行政指导、约谈等梯次工具。</w:t>
      </w:r>
    </w:p>
    <w:p w14:paraId="1412A96E">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7.维护市场价格秩序。</w:t>
      </w:r>
      <w:r>
        <w:rPr>
          <w:rFonts w:hint="default" w:ascii="仿宋_GB2312" w:hAnsi="Times New Roman" w:eastAsia="仿宋_GB2312" w:cs="仿宋_GB2312"/>
          <w:kern w:val="2"/>
          <w:sz w:val="32"/>
          <w:szCs w:val="32"/>
          <w:lang w:val="en-US" w:eastAsia="zh-CN" w:bidi="ar"/>
        </w:rPr>
        <w:t>加强重点民生商品价格监管，围绕公用企业供水、供电、供气，商业银行、通讯、中介机构、行业协会等行业和粮食、燃气等重点领域，开展保价保供专项治理，严厉打击哄台价格、串通涨价等行为。</w:t>
      </w:r>
    </w:p>
    <w:p w14:paraId="6199D872">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8.加强广告监管。</w:t>
      </w:r>
      <w:r>
        <w:rPr>
          <w:rFonts w:hint="default" w:ascii="仿宋_GB2312" w:hAnsi="Times New Roman" w:eastAsia="仿宋_GB2312" w:cs="仿宋_GB2312"/>
          <w:kern w:val="2"/>
          <w:sz w:val="32"/>
          <w:szCs w:val="32"/>
          <w:lang w:val="en-US" w:eastAsia="zh-CN" w:bidi="ar"/>
        </w:rPr>
        <w:t>坚持广告导向监管，围绕医疗、食品、药品、房地产、教育培训、金融投资理财等重点领域开展专项整治，严厉打击虚假违法广告，实现传统媒体广告监测违法率1%以内、互联网广告违法线索处置率达100%。</w:t>
      </w:r>
    </w:p>
    <w:p w14:paraId="05D0424A">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9.切实打造放心舒心消费环境。</w:t>
      </w:r>
      <w:r>
        <w:rPr>
          <w:rFonts w:hint="default" w:ascii="仿宋_GB2312" w:hAnsi="Times New Roman" w:eastAsia="仿宋_GB2312" w:cs="仿宋_GB2312"/>
          <w:kern w:val="2"/>
          <w:sz w:val="32"/>
          <w:szCs w:val="32"/>
          <w:lang w:val="en-US" w:eastAsia="zh-CN" w:bidi="ar"/>
        </w:rPr>
        <w:t>强化网络监管，推进网络市场监管基础数据库建设，开展2023“网剑行动”，探索协同监管方式，优化线上市场秩序。抓好合同规范管理，优化“守合同重信用”公示。组织修订《市场监督管理投诉举报办理流程》，建立完善企业在线纠纷调解机制和快速维权救助机制，针对消费投诉热点发布消费警示，深化放心舒心消费环境建设。</w:t>
      </w:r>
    </w:p>
    <w:p w14:paraId="5918A942">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10.加强非公经济组织党建工作。</w:t>
      </w:r>
      <w:r>
        <w:rPr>
          <w:rFonts w:hint="default" w:ascii="仿宋_GB2312" w:hAnsi="Times New Roman" w:eastAsia="仿宋_GB2312" w:cs="仿宋_GB2312"/>
          <w:kern w:val="2"/>
          <w:sz w:val="32"/>
          <w:szCs w:val="32"/>
          <w:lang w:val="en-US" w:eastAsia="zh-CN" w:bidi="ar"/>
        </w:rPr>
        <w:t>深入开展非公党建带群建工作，协调区委组织部（两新工委）及区团委、妇联、工会等群团组织，积极争取市局非公党建工作支持，联合开展昭化区非公党建带群建工作，共同打造昭化区非公党建带群建示范点和活动阵地，重点打造1-2个示范点位。</w:t>
      </w:r>
    </w:p>
    <w:p w14:paraId="4BB12843">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11.推进质量共治。</w:t>
      </w:r>
      <w:r>
        <w:rPr>
          <w:rFonts w:hint="default" w:ascii="仿宋_GB2312" w:hAnsi="Times New Roman" w:eastAsia="仿宋_GB2312" w:cs="仿宋_GB2312"/>
          <w:kern w:val="2"/>
          <w:sz w:val="32"/>
          <w:szCs w:val="32"/>
          <w:lang w:val="en-US" w:eastAsia="zh-CN" w:bidi="ar"/>
        </w:rPr>
        <w:t>创新质量发展、质量宣传机制，支持各镇开展质量强镇示范创建。持续推动重点行业、重点领域开展质量提升行动。严格质量工作考核，提升质量工作实效。落实企业主体责任，推广先进科学的质量管理方法，督促企业加强质量管理，落实产品质量安全强制报告、缺陷产品召回等制度，鼓励辖区企业申报市长质量奖和四川省天府质量奖。</w:t>
      </w:r>
    </w:p>
    <w:p w14:paraId="7138D41D">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12.优化质量供给。</w:t>
      </w:r>
      <w:r>
        <w:rPr>
          <w:rFonts w:hint="default" w:ascii="仿宋_GB2312" w:hAnsi="Times New Roman" w:eastAsia="仿宋_GB2312" w:cs="仿宋_GB2312"/>
          <w:kern w:val="2"/>
          <w:sz w:val="32"/>
          <w:szCs w:val="32"/>
          <w:lang w:val="en-US" w:eastAsia="zh-CN" w:bidi="ar"/>
        </w:rPr>
        <w:t>大力推动计量、标准、认证认可、检验检测等要素共建共享、协同服务、综合运用。全面提升强制检定保障能力，依法做好安全防护、环境监测、医疗卫生、贸易结算等领域强制检定。加强对加油机、民用“三表”等民生计量专项监督抽查和商品定量包装、过度包装产品检查。推进标准引领，在特色餐饮、绿色物流、生态产品、基本公共服务等方面开展标准体系建设和应用，鼓励企业按照产品先进指标体系组织生产，积极参与国家和省级标准制（修）订。推进昭化茯苓省级农业标准化示范区创建工作。完成王家贡米生产技术规范申报评审。推进有机昭化建设，进一步扩大认证数量和规模，开展认证有效性抽查工作。</w:t>
      </w:r>
    </w:p>
    <w:p w14:paraId="2C0A974E">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13.强化认证认可和检验检测监管。</w:t>
      </w:r>
      <w:r>
        <w:rPr>
          <w:rFonts w:hint="default" w:ascii="仿宋_GB2312" w:hAnsi="Times New Roman" w:eastAsia="仿宋_GB2312" w:cs="仿宋_GB2312"/>
          <w:kern w:val="2"/>
          <w:sz w:val="32"/>
          <w:szCs w:val="32"/>
          <w:lang w:val="en-US" w:eastAsia="zh-CN" w:bidi="ar"/>
        </w:rPr>
        <w:t>以建筑材料、车辆、农产品、环境检测机构和有机认证为重点，持续深化认证、检验行业乱象治理。加强3C认证产品监管，推进电动自行车和低速电动车专项整治。高质量完成食品药品、工业产品、特种设备检验检测等工作。</w:t>
      </w:r>
    </w:p>
    <w:p w14:paraId="68101C87">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14.守住食品安全底线。</w:t>
      </w:r>
      <w:r>
        <w:rPr>
          <w:rFonts w:hint="default" w:ascii="仿宋_GB2312" w:hAnsi="Times New Roman" w:eastAsia="仿宋_GB2312" w:cs="仿宋_GB2312"/>
          <w:kern w:val="2"/>
          <w:sz w:val="32"/>
          <w:szCs w:val="32"/>
          <w:lang w:val="en-US" w:eastAsia="zh-CN" w:bidi="ar"/>
        </w:rPr>
        <w:t>按照“四个最严”要求，压紧压实食品安全责任。深化“三提醒”机制，加大巡察督查力度，推动食品安全党政同责落实到位。持续推进各镇食品安全工作规范化、标准化建设，进一步提升基层食品安全治理能力和水平。牵头组织修订完善食品安全突发事件应急预案，组织对局内相关股室、各镇和部门开展应急能力提升培训。提高食品抽检的科学性和靶向性。扎实开展食品安全“守底线、查隐患、保安全”专项行动和“周三查餐厅、周四查市场”行动，加强对重点区域、重点环节、重点主体的食品安全治理，确保人民群众“舌尖上的安全”。聚焦粮食质量安全，加大对粮食收储、生产、经营、餐饮等环节监管力度，督促市场主体认真落实索证索票、进货查验、台账记录、质量检测等制度。</w:t>
      </w:r>
    </w:p>
    <w:p w14:paraId="38C02831">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15.守住药品安全底线。</w:t>
      </w:r>
      <w:r>
        <w:rPr>
          <w:rFonts w:hint="default" w:ascii="仿宋_GB2312" w:hAnsi="Times New Roman" w:eastAsia="仿宋_GB2312" w:cs="仿宋_GB2312"/>
          <w:kern w:val="2"/>
          <w:sz w:val="32"/>
          <w:szCs w:val="32"/>
          <w:lang w:val="en-US" w:eastAsia="zh-CN" w:bidi="ar"/>
        </w:rPr>
        <w:t>健全完善区级、企业二级培训体系，提升应急处置能力。扎实开展中药饮片、二类精神药品和血液制品等专项整治，重点加强生物制品监管，强化对新上市新冠肺炎疫苗和流感疫苗的监督检查，保障公众用药安全。开展好线上监管工作，加强定向监测，加大对利用互联网非法制售药品等违法行为的打击力度。全面完成市局下达的药械化抽检及不良反应（事件）工作任务。全力推进昭化茯苓全产业链管理规范及质量标准提升示范工程，助推广元医药产业的高质量发展。</w:t>
      </w:r>
    </w:p>
    <w:p w14:paraId="0D4498E5">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16.守住特种设备安全底线。</w:t>
      </w:r>
      <w:r>
        <w:rPr>
          <w:rFonts w:hint="default" w:ascii="仿宋_GB2312" w:hAnsi="Times New Roman" w:eastAsia="仿宋_GB2312" w:cs="仿宋_GB2312"/>
          <w:kern w:val="2"/>
          <w:sz w:val="32"/>
          <w:szCs w:val="32"/>
          <w:lang w:val="en-US" w:eastAsia="zh-CN" w:bidi="ar"/>
        </w:rPr>
        <w:t>全力打好特种设备安全专项整治三年行动收官战，深入排查治理安全隐患，建立风险清单、措施清单和责任清单，实行重点隐患整改销号机制。全面启用广元市特种设备综合管理平台，提高安全风险分析预警能力和产品追溯效率。推动电梯维护保养从固定周期、固定项目维保向按需维保转变，引导从业单位提升优质高效的维保服务。</w:t>
      </w:r>
    </w:p>
    <w:p w14:paraId="38A5A38C">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17.守好重要工业产品质量安全底线。</w:t>
      </w:r>
      <w:r>
        <w:rPr>
          <w:rFonts w:hint="default" w:ascii="仿宋_GB2312" w:hAnsi="Times New Roman" w:eastAsia="仿宋_GB2312" w:cs="仿宋_GB2312"/>
          <w:kern w:val="2"/>
          <w:sz w:val="32"/>
          <w:szCs w:val="32"/>
          <w:lang w:val="en-US" w:eastAsia="zh-CN" w:bidi="ar"/>
        </w:rPr>
        <w:t>聚焦民生热点，加强监督抽查，建立“红黑榜”制度，切实消除质量隐患。配合市局做好建材、成品油、烟花爆竹、危险化学品、儿童学生用品和重点消费品等质量监督抽查和风险监测，开展产品质量专项整治。</w:t>
      </w:r>
    </w:p>
    <w:p w14:paraId="445C262C">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3"/>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18.坚决惩治市场监管领域违法行为。</w:t>
      </w:r>
      <w:r>
        <w:rPr>
          <w:rFonts w:hint="default" w:ascii="仿宋_GB2312" w:hAnsi="Times New Roman" w:eastAsia="仿宋_GB2312" w:cs="仿宋_GB2312"/>
          <w:kern w:val="2"/>
          <w:sz w:val="32"/>
          <w:szCs w:val="32"/>
          <w:lang w:val="en-US" w:eastAsia="zh-CN" w:bidi="ar"/>
        </w:rPr>
        <w:t>深化法治昭化建设，采取“法律进企业”“法律进网络”等方式，加强市场主体守法经营教育，引导市场主体“惟用法律自绳己”。擦亮“春雷”“铁拳”品牌。依托“春雷行动2023”等一系列执法行动，聚焦疫情防控、扫黑除恶、侵权假冒、扫黄打非、长江禁捕等重点领域，依法查处一批民怨深，危害广、风险高、压力大的“铁案”，让市场监管长出牙齿。</w:t>
      </w:r>
    </w:p>
    <w:p w14:paraId="55898F86">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rightChars="0" w:firstLine="640" w:firstLineChars="200"/>
        <w:jc w:val="both"/>
        <w:textAlignment w:val="auto"/>
        <w:rPr>
          <w:rFonts w:hint="eastAsia" w:ascii="黑体" w:hAnsi="宋体" w:eastAsia="黑体" w:cs="黑体"/>
          <w:kern w:val="2"/>
          <w:sz w:val="32"/>
          <w:szCs w:val="32"/>
        </w:rPr>
      </w:pPr>
      <w:r>
        <w:rPr>
          <w:rFonts w:hint="eastAsia" w:ascii="黑体" w:hAnsi="宋体" w:eastAsia="黑体" w:cs="黑体"/>
          <w:kern w:val="2"/>
          <w:sz w:val="32"/>
          <w:szCs w:val="32"/>
          <w:lang w:val="en-US" w:eastAsia="zh-CN" w:bidi="ar"/>
        </w:rPr>
        <w:t>二、单位收支情况</w:t>
      </w:r>
    </w:p>
    <w:p w14:paraId="2A75BB4B">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color w:val="FF0000"/>
          <w:kern w:val="2"/>
          <w:sz w:val="32"/>
          <w:szCs w:val="32"/>
        </w:rPr>
      </w:pPr>
      <w:r>
        <w:rPr>
          <w:rFonts w:hint="eastAsia" w:ascii="楷体" w:hAnsi="楷体" w:eastAsia="楷体" w:cs="楷体"/>
          <w:b w:val="0"/>
          <w:bCs/>
          <w:kern w:val="2"/>
          <w:sz w:val="32"/>
          <w:szCs w:val="32"/>
          <w:lang w:val="en-US" w:eastAsia="zh-CN" w:bidi="ar"/>
        </w:rPr>
        <w:t>（一）收入情况：</w:t>
      </w:r>
      <w:r>
        <w:rPr>
          <w:rFonts w:hint="default" w:ascii="仿宋_GB2312" w:hAnsi="Times New Roman" w:eastAsia="仿宋_GB2312" w:cs="仿宋_GB2312"/>
          <w:b w:val="0"/>
          <w:bCs/>
          <w:kern w:val="2"/>
          <w:sz w:val="32"/>
          <w:szCs w:val="32"/>
          <w:lang w:val="en-US" w:eastAsia="zh-CN" w:bidi="ar"/>
        </w:rPr>
        <w:t>区市场监督管理局财政总收入1484.80万元；（1）财政</w:t>
      </w:r>
      <w:r>
        <w:rPr>
          <w:rFonts w:hint="default" w:ascii="仿宋_GB2312" w:hAnsi="Times New Roman" w:eastAsia="仿宋_GB2312" w:cs="仿宋_GB2312"/>
          <w:color w:val="000000"/>
          <w:kern w:val="2"/>
          <w:sz w:val="32"/>
          <w:szCs w:val="32"/>
          <w:lang w:val="en-US" w:eastAsia="zh-CN" w:bidi="ar"/>
        </w:rPr>
        <w:t>预算收入1443.09万元，（2）存量解决资金收入34.70万元；（3）2022年结转资金7.02万元，其中人员经费1100.99万元，占总收入的74.1%,公用经96.6万元，占总收入的6.51%,其他公用经费189.72万元，占总收入的12.77%。专项资金收入97.5万元，占总收入的6.56%。</w:t>
      </w:r>
    </w:p>
    <w:p w14:paraId="122706BE">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kern w:val="2"/>
          <w:sz w:val="32"/>
          <w:szCs w:val="32"/>
        </w:rPr>
      </w:pPr>
      <w:r>
        <w:rPr>
          <w:rFonts w:hint="eastAsia" w:ascii="楷体" w:hAnsi="楷体" w:eastAsia="楷体" w:cs="楷体"/>
          <w:b w:val="0"/>
          <w:bCs/>
          <w:kern w:val="2"/>
          <w:sz w:val="32"/>
          <w:szCs w:val="32"/>
          <w:lang w:val="en-US" w:eastAsia="zh-CN" w:bidi="ar"/>
        </w:rPr>
        <w:t>（二）支出情况。</w:t>
      </w:r>
    </w:p>
    <w:p w14:paraId="32355A4F">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color w:val="000000"/>
          <w:kern w:val="2"/>
          <w:sz w:val="32"/>
          <w:szCs w:val="32"/>
          <w:lang w:val="en-US" w:eastAsia="zh-CN" w:bidi="ar"/>
        </w:rPr>
        <w:t>区市场监督管理局</w:t>
      </w:r>
      <w:r>
        <w:rPr>
          <w:rFonts w:hint="default" w:ascii="仿宋_GB2312" w:hAnsi="Times New Roman" w:eastAsia="仿宋_GB2312" w:cs="仿宋_GB2312"/>
          <w:kern w:val="2"/>
          <w:sz w:val="32"/>
          <w:szCs w:val="32"/>
          <w:lang w:val="en-US" w:eastAsia="zh-CN" w:bidi="ar"/>
        </w:rPr>
        <w:t>2023年总支出1428.2万元，（1）</w:t>
      </w:r>
      <w:r>
        <w:rPr>
          <w:rFonts w:hint="default" w:ascii="仿宋_GB2312" w:hAnsi="Times New Roman" w:eastAsia="仿宋_GB2312" w:cs="仿宋_GB2312"/>
          <w:color w:val="000000"/>
          <w:kern w:val="2"/>
          <w:sz w:val="32"/>
          <w:szCs w:val="32"/>
          <w:lang w:val="en-US" w:eastAsia="zh-CN" w:bidi="ar"/>
        </w:rPr>
        <w:t>一般公共</w:t>
      </w:r>
      <w:r>
        <w:rPr>
          <w:rFonts w:hint="default" w:ascii="仿宋_GB2312" w:hAnsi="Times New Roman" w:eastAsia="仿宋_GB2312" w:cs="仿宋_GB2312"/>
          <w:kern w:val="2"/>
          <w:sz w:val="32"/>
          <w:szCs w:val="32"/>
          <w:lang w:val="en-US" w:eastAsia="zh-CN" w:bidi="ar"/>
        </w:rPr>
        <w:t>预算支出1392.48万元；（2）存量资金支出28.7万元；（3）上年结转结余资金支出7.02万元，其中人员经费支出1092.88万元，占支出的76.52%，基本公用经费支出96.6万元，占支出的6.76%，其他公用经费支出176.22万元，占支出的12.33%。专项资金支出62.5万元，占支出的4.38%。</w:t>
      </w:r>
    </w:p>
    <w:p w14:paraId="198EA848">
      <w:pPr>
        <w:keepNext w:val="0"/>
        <w:keepLines w:val="0"/>
        <w:pageBreakBefore w:val="0"/>
        <w:widowControl w:val="0"/>
        <w:numPr>
          <w:ilvl w:val="0"/>
          <w:numId w:val="2"/>
        </w:numPr>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结转和结余情况</w:t>
      </w:r>
    </w:p>
    <w:p w14:paraId="13D00E17">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320" w:firstLineChars="100"/>
        <w:jc w:val="both"/>
        <w:textAlignment w:val="auto"/>
        <w:rPr>
          <w:rFonts w:hint="default" w:ascii="仿宋_GB2312" w:eastAsia="仿宋_GB2312" w:cs="仿宋_GB2312"/>
          <w:b w:val="0"/>
          <w:bCs/>
          <w:kern w:val="2"/>
          <w:sz w:val="32"/>
          <w:szCs w:val="32"/>
        </w:rPr>
      </w:pPr>
      <w:r>
        <w:rPr>
          <w:rFonts w:hint="default" w:ascii="仿宋_GB2312" w:hAnsi="Times New Roman" w:eastAsia="仿宋_GB2312" w:cs="仿宋_GB2312"/>
          <w:kern w:val="2"/>
          <w:sz w:val="32"/>
          <w:szCs w:val="32"/>
          <w:lang w:val="en-US" w:eastAsia="zh-CN" w:bidi="ar"/>
        </w:rPr>
        <w:t>2023年末资金结转50.6万元。基中（1）基本运行退休人员职业年金8.1万元，（2）其他运转类印章克制经费4万元，特种设备监管3.5万元，（3）特定类药品应急资金30万元，知识产权专项5万元,(5)存量解决结转食品药品及化妆品监管经费6万元。</w:t>
      </w:r>
    </w:p>
    <w:p w14:paraId="4BECA0F3">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3" w:firstLineChars="200"/>
        <w:jc w:val="both"/>
        <w:textAlignment w:val="auto"/>
        <w:rPr>
          <w:rFonts w:hint="eastAsia" w:ascii="黑体" w:hAnsi="宋体" w:eastAsia="黑体" w:cs="黑体"/>
          <w:b w:val="0"/>
          <w:bCs w:val="0"/>
          <w:kern w:val="2"/>
          <w:sz w:val="32"/>
          <w:szCs w:val="32"/>
        </w:rPr>
      </w:pPr>
      <w:r>
        <w:rPr>
          <w:rFonts w:hint="eastAsia" w:ascii="黑体" w:hAnsi="宋体" w:eastAsia="黑体" w:cs="黑体"/>
          <w:b/>
          <w:bCs/>
          <w:kern w:val="2"/>
          <w:sz w:val="32"/>
          <w:szCs w:val="32"/>
          <w:lang w:val="en-US" w:eastAsia="zh-CN" w:bidi="ar"/>
        </w:rPr>
        <w:t>三</w:t>
      </w:r>
      <w:r>
        <w:rPr>
          <w:rFonts w:hint="eastAsia" w:ascii="黑体" w:hAnsi="宋体" w:eastAsia="黑体" w:cs="黑体"/>
          <w:kern w:val="2"/>
          <w:sz w:val="32"/>
          <w:szCs w:val="32"/>
          <w:lang w:val="en-US" w:eastAsia="zh-CN" w:bidi="ar"/>
        </w:rPr>
        <w:t>、部门整体预算绩效管理情况</w:t>
      </w:r>
    </w:p>
    <w:p w14:paraId="21B8243D">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val="0"/>
          <w:kern w:val="2"/>
          <w:sz w:val="32"/>
          <w:szCs w:val="32"/>
        </w:rPr>
      </w:pPr>
      <w:r>
        <w:rPr>
          <w:rFonts w:hint="eastAsia" w:ascii="楷体" w:hAnsi="楷体" w:eastAsia="楷体" w:cs="楷体"/>
          <w:b w:val="0"/>
          <w:bCs w:val="0"/>
          <w:kern w:val="2"/>
          <w:sz w:val="32"/>
          <w:szCs w:val="32"/>
          <w:lang w:val="en-US" w:eastAsia="zh-CN" w:bidi="ar"/>
        </w:rPr>
        <w:t>（一）部门预算总体绩效</w:t>
      </w:r>
    </w:p>
    <w:p w14:paraId="3B98BBF6">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0" w:right="0" w:firstLine="643" w:firstLineChars="200"/>
        <w:textAlignment w:val="auto"/>
        <w:rPr>
          <w:rFonts w:hint="default" w:ascii="仿宋_GB2312" w:eastAsia="仿宋_GB2312" w:cs="仿宋_GB2312"/>
          <w:b/>
          <w:bCs w:val="0"/>
          <w:kern w:val="2"/>
          <w:sz w:val="32"/>
          <w:szCs w:val="32"/>
        </w:rPr>
      </w:pPr>
      <w:r>
        <w:rPr>
          <w:rFonts w:hint="default" w:ascii="仿宋_GB2312" w:eastAsia="仿宋_GB2312" w:cs="仿宋_GB2312"/>
          <w:b/>
          <w:bCs w:val="0"/>
          <w:kern w:val="2"/>
          <w:sz w:val="32"/>
          <w:szCs w:val="32"/>
        </w:rPr>
        <w:t>1.目标管理。</w:t>
      </w:r>
    </w:p>
    <w:p w14:paraId="7ACF5F28">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0" w:right="0" w:firstLine="640" w:firstLineChars="200"/>
        <w:textAlignment w:val="auto"/>
        <w:rPr>
          <w:rFonts w:hint="default" w:ascii="仿宋_GB2312" w:eastAsia="仿宋_GB2312" w:cs="仿宋_GB2312"/>
          <w:kern w:val="0"/>
          <w:sz w:val="32"/>
          <w:szCs w:val="32"/>
        </w:rPr>
      </w:pPr>
      <w:r>
        <w:rPr>
          <w:rFonts w:hint="default" w:ascii="仿宋_GB2312" w:eastAsia="仿宋_GB2312" w:cs="仿宋_GB2312"/>
          <w:kern w:val="2"/>
          <w:sz w:val="32"/>
          <w:szCs w:val="32"/>
        </w:rPr>
        <w:t>一是目标制定情况。按照本单位绩效目标管理办法，结合2023年度工作重点，在年初预算时，从数量指示、质量指标、时效指标、成本指标、满意度指标等编制了整体绩效目标和13个其他运转类7个特定类绩效目标，与预算安排相匹配。经本单位局党组会讨论通过后随预算一同进行了报送。</w:t>
      </w:r>
      <w:r>
        <w:rPr>
          <w:rFonts w:hint="default" w:ascii="仿宋_GB2312" w:eastAsia="仿宋_GB2312" w:cs="仿宋_GB2312"/>
          <w:kern w:val="0"/>
          <w:sz w:val="32"/>
          <w:szCs w:val="32"/>
        </w:rPr>
        <w:t>本单位绩效目标编制要素完整，绩效指标细化量化准确。</w:t>
      </w:r>
    </w:p>
    <w:p w14:paraId="246BCE9A">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0" w:leftChars="0" w:right="0" w:firstLine="640" w:firstLineChars="200"/>
        <w:textAlignment w:val="auto"/>
        <w:rPr>
          <w:rFonts w:hint="default" w:ascii="仿宋_GB2312" w:eastAsia="仿宋_GB2312" w:cs="仿宋_GB2312"/>
          <w:kern w:val="2"/>
          <w:sz w:val="32"/>
          <w:szCs w:val="32"/>
        </w:rPr>
      </w:pPr>
      <w:r>
        <w:rPr>
          <w:rFonts w:hint="default" w:ascii="仿宋_GB2312" w:eastAsia="仿宋_GB2312" w:cs="仿宋_GB2312"/>
          <w:kern w:val="0"/>
          <w:sz w:val="32"/>
          <w:szCs w:val="32"/>
        </w:rPr>
        <w:t>二是目标实现情况。基本支出类绩效目标全面完成，保障了本单位65名干部职工工资及各类保险按时发放和缴纳，保障了单位机关的正常运转。其他公用经费特种设备监管经费、优化营商环境提升、食品药品医疗器械及保健化妆品监管经费、向上争取资金等12个项目全面完成了年初制定的各项数量指标，服务对象满意度达到了预期效果，成本指标完成了年初预算数。专项资金中共7个项目，在项目资金到位后，按照要求进行绩效目标编制，2023年底，各项目的数量指标全面完成，因资金到位比较晚，加之年底财政资金紧张，药品应急项目资金30万元未及时支付，成本指标完成率为0%。2023年省级知识产权专项资金5万元未支付，成本指标完成率为0%。优化营商环境提升4万元未支付，成本指标完成率为0%，特种设备监管3.5万元未支付，成本指标完成率为82.5%，退休人员职业年金做实8.1万元未支付，成本指标完成率为99.26%，从部门整体绩效目标的完成情况来看，其目标的实现程度达到了预期目标，除成本指本外，其他绩效目标无偏离情况。</w:t>
      </w:r>
    </w:p>
    <w:p w14:paraId="6A8D3590">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0" w:leftChars="0" w:right="0" w:firstLine="643" w:firstLineChars="200"/>
        <w:textAlignment w:val="auto"/>
        <w:rPr>
          <w:rFonts w:hint="default" w:ascii="仿宋_GB2312" w:eastAsia="仿宋_GB2312" w:cs="仿宋_GB2312"/>
          <w:b/>
          <w:bCs/>
          <w:kern w:val="0"/>
          <w:sz w:val="32"/>
          <w:szCs w:val="32"/>
        </w:rPr>
      </w:pPr>
      <w:r>
        <w:rPr>
          <w:rFonts w:hint="default" w:ascii="仿宋_GB2312" w:eastAsia="仿宋_GB2312" w:cs="仿宋_GB2312"/>
          <w:b/>
          <w:bCs/>
          <w:kern w:val="0"/>
          <w:sz w:val="32"/>
          <w:szCs w:val="32"/>
        </w:rPr>
        <w:t>2.过程管理。</w:t>
      </w:r>
    </w:p>
    <w:p w14:paraId="1DD3116C">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0" w:leftChars="0" w:right="0" w:firstLine="640" w:firstLineChars="200"/>
        <w:textAlignment w:val="auto"/>
        <w:rPr>
          <w:rFonts w:hint="default" w:ascii="仿宋_GB2312" w:eastAsia="仿宋_GB2312" w:cs="仿宋_GB2312"/>
          <w:kern w:val="0"/>
          <w:sz w:val="32"/>
          <w:szCs w:val="32"/>
        </w:rPr>
      </w:pPr>
      <w:r>
        <w:rPr>
          <w:rFonts w:hint="default" w:ascii="仿宋_GB2312" w:eastAsia="仿宋_GB2312" w:cs="仿宋_GB2312"/>
          <w:kern w:val="0"/>
          <w:sz w:val="32"/>
          <w:szCs w:val="32"/>
        </w:rPr>
        <w:t>日常公用经费方面：在支出控制方面，部门日常公用经费中办公费、印刷费、水费、电费、物业管理费”等科目年初预算数与决算数无偏差。预算执行进度在6、9、11月达到序时进度的80%、90%、90%，即实际支出进度分别达到40%、67.5%、82.5%。</w:t>
      </w:r>
    </w:p>
    <w:p w14:paraId="2B224FDA">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0" w:leftChars="0" w:right="0" w:firstLine="640" w:firstLineChars="200"/>
        <w:textAlignment w:val="auto"/>
        <w:rPr>
          <w:rFonts w:hint="default" w:ascii="仿宋_GB2312" w:eastAsia="仿宋_GB2312" w:cs="仿宋_GB2312"/>
          <w:kern w:val="0"/>
          <w:sz w:val="32"/>
          <w:szCs w:val="32"/>
        </w:rPr>
      </w:pPr>
      <w:r>
        <w:rPr>
          <w:rFonts w:hint="default" w:ascii="仿宋_GB2312" w:eastAsia="仿宋_GB2312" w:cs="仿宋_GB2312"/>
          <w:kern w:val="0"/>
          <w:sz w:val="32"/>
          <w:szCs w:val="32"/>
        </w:rPr>
        <w:t>项目公用经费方面：在支出控制方面，按照项目实施内容、项目实施进度等进行项目资金的拨付，预算数与决算数无偏差。预算执行进度在6、9、11月达到序时进度的80%、90%、90%，即实际支出进度分别达到40%、67.5%、82.5%。</w:t>
      </w:r>
    </w:p>
    <w:p w14:paraId="230E6F08">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480" w:leftChars="200" w:right="0"/>
        <w:textAlignment w:val="auto"/>
        <w:rPr>
          <w:rFonts w:hint="default" w:ascii="仿宋_GB2312" w:eastAsia="仿宋_GB2312" w:cs="仿宋_GB2312"/>
          <w:b/>
          <w:bCs/>
          <w:kern w:val="0"/>
          <w:sz w:val="32"/>
          <w:szCs w:val="32"/>
        </w:rPr>
      </w:pPr>
      <w:r>
        <w:rPr>
          <w:rFonts w:hint="default" w:ascii="仿宋_GB2312" w:eastAsia="仿宋_GB2312" w:cs="仿宋_GB2312"/>
          <w:b/>
          <w:bCs/>
          <w:kern w:val="0"/>
          <w:sz w:val="32"/>
          <w:szCs w:val="32"/>
        </w:rPr>
        <w:t>3.完成（效率）结果。</w:t>
      </w:r>
    </w:p>
    <w:p w14:paraId="7284DB4B">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0" w:line="576" w:lineRule="exact"/>
        <w:ind w:left="0" w:leftChars="0" w:right="0"/>
        <w:textAlignment w:val="auto"/>
        <w:rPr>
          <w:rFonts w:hint="default" w:ascii="仿宋_GB2312" w:eastAsia="仿宋_GB2312" w:cs="仿宋_GB2312"/>
          <w:kern w:val="0"/>
          <w:sz w:val="32"/>
          <w:szCs w:val="32"/>
        </w:rPr>
      </w:pPr>
      <w:r>
        <w:rPr>
          <w:rFonts w:hint="default" w:ascii="仿宋_GB2312" w:eastAsia="仿宋_GB2312" w:cs="仿宋_GB2312"/>
          <w:kern w:val="0"/>
          <w:sz w:val="32"/>
          <w:szCs w:val="32"/>
        </w:rPr>
        <w:t xml:space="preserve">    人员经费、日常公用经费预算执行率为99.26%，退休人员职业年金做实8.1万元未支付；其他运转类项目经费预算执行率为95.%，印章克制经费4万元未支付，预算执行率为0%，特种设备监管3.5万元未支付，预算执行率为82.5%，年底申请支付时，因财政资金紧张，暂停支付，导致执行率较低，无低效无效率资金，特定类专项资金项目药品应急资金30万元、知识产权专项5万元，因资金下达时间晚，资金未支付，导致执行率较低。药品应急项目资金30万元未及时支付，预算执行率为0%，2023年省级知识产权专项资金5万元未支付，预算执行率为0%，以上项目资金结转至下年支付，专项资金无低效无效率资金。</w:t>
      </w:r>
    </w:p>
    <w:p w14:paraId="7E8C91D1">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eastAsia" w:ascii="楷体" w:hAnsi="楷体" w:eastAsia="楷体" w:cs="楷体"/>
          <w:kern w:val="2"/>
          <w:sz w:val="32"/>
          <w:szCs w:val="32"/>
        </w:rPr>
      </w:pPr>
      <w:r>
        <w:rPr>
          <w:rFonts w:hint="eastAsia" w:ascii="楷体" w:hAnsi="楷体" w:eastAsia="楷体" w:cs="楷体"/>
          <w:kern w:val="2"/>
          <w:sz w:val="32"/>
          <w:szCs w:val="32"/>
          <w:lang w:val="en-US" w:eastAsia="zh-CN" w:bidi="ar"/>
        </w:rPr>
        <w:t>（二）项目预算绩效管理情况</w:t>
      </w:r>
    </w:p>
    <w:p w14:paraId="568AFF65">
      <w:pPr>
        <w:pStyle w:val="12"/>
        <w:keepNext w:val="0"/>
        <w:keepLines w:val="0"/>
        <w:pageBreakBefore w:val="0"/>
        <w:widowControl w:val="0"/>
        <w:suppressLineNumbers w:val="0"/>
        <w:kinsoku/>
        <w:wordWrap/>
        <w:topLinePunct w:val="0"/>
        <w:bidi w:val="0"/>
        <w:spacing w:before="0" w:beforeAutospacing="1" w:after="0" w:afterAutospacing="1" w:line="576" w:lineRule="exact"/>
        <w:ind w:left="0" w:leftChars="0" w:right="0" w:firstLine="643"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b/>
          <w:bCs/>
          <w:kern w:val="2"/>
          <w:sz w:val="32"/>
          <w:szCs w:val="32"/>
          <w:lang w:val="en-US" w:eastAsia="zh-CN" w:bidi="ar"/>
        </w:rPr>
        <w:t>1.部门预算项目绩效情况。</w:t>
      </w:r>
      <w:r>
        <w:rPr>
          <w:rFonts w:hint="default" w:ascii="仿宋_GB2312" w:hAnsi="Times New Roman" w:eastAsia="仿宋_GB2312" w:cs="仿宋_GB2312"/>
          <w:kern w:val="0"/>
          <w:sz w:val="32"/>
          <w:szCs w:val="32"/>
          <w:lang w:val="en-US" w:eastAsia="zh-CN" w:bidi="ar"/>
        </w:rPr>
        <w:t>本单位其他运转类项目13个，分别为优化环境提升经费、2023年特种设备监管工作经费、协管人员工资及保险、质量技术监管工作经费、2022年度招商引资表彰先进个人奖金、卫生文明城市创建工作经费、有机认证企业奖补资金、乡镇补贴、食品药品医疗器械及化妆品监管经费、快检车运行经费、食安委工作经费、特种设备监管经费、2022年结转特种设备经费。在年初预算时结合年度工作重点编制了绩效目标。</w:t>
      </w:r>
    </w:p>
    <w:p w14:paraId="03B32B21">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优化环境提升经费、年初预算数为32万，预算执行数为32万，预算执行率为100%。主要用于继续实行“三减一免”“零费用”办理。加大网上办理宣传力度，提升全程网办率。落实市场主体“歇业”制度。推行市场主体便利化注销，扩大简易注销范围。按规定做好登记档案扫描归档。</w:t>
      </w:r>
    </w:p>
    <w:p w14:paraId="4546D463">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全面推行市场监管领域“双随机、一公开”监管工作，推动部门联合监管等。</w:t>
      </w:r>
    </w:p>
    <w:p w14:paraId="408D6341">
      <w:pPr>
        <w:pStyle w:val="12"/>
        <w:keepNext w:val="0"/>
        <w:keepLines w:val="0"/>
        <w:pageBreakBefore w:val="0"/>
        <w:widowControl w:val="0"/>
        <w:suppressLineNumbers w:val="0"/>
        <w:kinsoku/>
        <w:wordWrap/>
        <w:topLinePunct w:val="0"/>
        <w:bidi w:val="0"/>
        <w:spacing w:before="0" w:beforeAutospacing="1" w:after="0" w:afterAutospacing="1"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（2）协管人员工资及保险、年初预算数为28万，预算执行数为28万，预算执行率为100%。主要用于8临聘人员工资、社会保障缴费等费用。</w:t>
      </w:r>
    </w:p>
    <w:p w14:paraId="68186446">
      <w:pPr>
        <w:pStyle w:val="12"/>
        <w:keepNext w:val="0"/>
        <w:keepLines w:val="0"/>
        <w:pageBreakBefore w:val="0"/>
        <w:widowControl w:val="0"/>
        <w:suppressLineNumbers w:val="0"/>
        <w:kinsoku/>
        <w:wordWrap/>
        <w:topLinePunct w:val="0"/>
        <w:bidi w:val="0"/>
        <w:spacing w:before="0" w:beforeAutospacing="1" w:after="0" w:afterAutospacing="1"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（3）质量技术监管工作经费、年初预算数为10万，预算执行数为10万，预算执行率为100%。主要用于质量技术培训、宣传抽检等费用</w:t>
      </w:r>
    </w:p>
    <w:p w14:paraId="7202A39E">
      <w:pPr>
        <w:pStyle w:val="12"/>
        <w:keepNext w:val="0"/>
        <w:keepLines w:val="0"/>
        <w:pageBreakBefore w:val="0"/>
        <w:widowControl w:val="0"/>
        <w:suppressLineNumbers w:val="0"/>
        <w:kinsoku/>
        <w:wordWrap/>
        <w:topLinePunct w:val="0"/>
        <w:bidi w:val="0"/>
        <w:spacing w:before="0" w:beforeAutospacing="1" w:after="0" w:afterAutospacing="1"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（4）2022年度招商引资表彰先进个人奖金、初预算数为1万，预算执行数为1万，预算执行率为100%。主要用于招商引资先进个人奖励。</w:t>
      </w:r>
    </w:p>
    <w:p w14:paraId="2949C5B5">
      <w:pPr>
        <w:pStyle w:val="12"/>
        <w:keepNext w:val="0"/>
        <w:keepLines w:val="0"/>
        <w:pageBreakBefore w:val="0"/>
        <w:widowControl w:val="0"/>
        <w:suppressLineNumbers w:val="0"/>
        <w:kinsoku/>
        <w:wordWrap/>
        <w:topLinePunct w:val="0"/>
        <w:bidi w:val="0"/>
        <w:spacing w:before="0" w:beforeAutospacing="1" w:after="0" w:afterAutospacing="1"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（5）卫生文明城市创建工作经费、年初预算数为15万，预算执行数为15万，预算执行率为100%。主要用于文明城市创建食品药品安全保障、农贸市场规范整治、共建包联、宣传培训、文明劝导、环境治理等工作。</w:t>
      </w:r>
    </w:p>
    <w:p w14:paraId="59BB7AF4">
      <w:pPr>
        <w:pStyle w:val="12"/>
        <w:keepNext w:val="0"/>
        <w:keepLines w:val="0"/>
        <w:pageBreakBefore w:val="0"/>
        <w:widowControl w:val="0"/>
        <w:suppressLineNumbers w:val="0"/>
        <w:kinsoku/>
        <w:wordWrap/>
        <w:topLinePunct w:val="0"/>
        <w:bidi w:val="0"/>
        <w:spacing w:before="0" w:beforeAutospacing="1" w:after="0" w:afterAutospacing="1"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（6）有机认证企业奖补资金、年初预算数为12.705万，预算执行数为12.705万，预算执行率为100%。主要用于有机产品认证企业的补足。</w:t>
      </w:r>
    </w:p>
    <w:p w14:paraId="43E39DB4">
      <w:pPr>
        <w:pStyle w:val="12"/>
        <w:keepNext w:val="0"/>
        <w:keepLines w:val="0"/>
        <w:pageBreakBefore w:val="0"/>
        <w:widowControl w:val="0"/>
        <w:suppressLineNumbers w:val="0"/>
        <w:kinsoku/>
        <w:wordWrap/>
        <w:topLinePunct w:val="0"/>
        <w:bidi w:val="0"/>
        <w:spacing w:before="0" w:beforeAutospacing="1" w:after="0" w:afterAutospacing="1"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（7）乡镇补贴、年初预算数为5.59万，预算执行数为5.59万，预算执行率为100%。主要用于在乡镇工作的基层人员补足。</w:t>
      </w:r>
    </w:p>
    <w:p w14:paraId="7FEF93D6">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（8）食品药品医疗器械及化妆品监管经费年初预算数为63万，预算执行数为57万，预算执行率为90.47%。主要用于食品药品医疗器械及化妆品监管方面宣传、检验检测、快检车运行，网络维护投诉举报等费用。</w:t>
      </w:r>
    </w:p>
    <w:p w14:paraId="7637AB7D">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（9）营商环境提升、年初预算数为4万，预算执行数为0万，预算执行率为0%。主要用于新办企业印章克制费用。</w:t>
      </w:r>
    </w:p>
    <w:p w14:paraId="13631844">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（10）特种设备监管经费、年初预算数为2万，预算执行数为2万，预算执行率为100%。主要用于特种设备监管方面的宣传、培训等费用。</w:t>
      </w:r>
    </w:p>
    <w:p w14:paraId="22D57083">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（11）快检车运行经费、年初预算数为1.52万，预算执行数为1.52万，预算执行率为100%。主要用于食品快速检测方面的费用。</w:t>
      </w:r>
    </w:p>
    <w:p w14:paraId="7363C653">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（12）食安委工作经费、初预算数为0.5万，预算执行数为0.5万，预算执行率为100%。主要用于餐饮店、学校食堂、超市、农村厨师等食品管理人员及从业人员的食品安全知识培训等费用。</w:t>
      </w:r>
    </w:p>
    <w:p w14:paraId="51ED346B">
      <w:pPr>
        <w:keepNext w:val="0"/>
        <w:keepLines w:val="0"/>
        <w:pageBreakBefore w:val="0"/>
        <w:widowControl w:val="0"/>
        <w:suppressLineNumbers w:val="0"/>
        <w:kinsoku/>
        <w:wordWrap/>
        <w:topLinePunct w:val="0"/>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（13）特种设备监管经费、年初预算数为20万，预算执行数为16.50万，预算执行率为82.5%。主要用于特种设备监管方面的宣传、培训等费用。</w:t>
      </w:r>
    </w:p>
    <w:p w14:paraId="11C43CA5">
      <w:pPr>
        <w:keepNext w:val="0"/>
        <w:keepLines w:val="0"/>
        <w:pageBreakBefore w:val="0"/>
        <w:widowControl w:val="0"/>
        <w:suppressLineNumbers w:val="0"/>
        <w:kinsoku/>
        <w:wordWrap/>
        <w:topLinePunct w:val="0"/>
        <w:bidi w:val="0"/>
        <w:spacing w:before="0" w:beforeAutospacing="0" w:after="0" w:afterAutospacing="0" w:line="576" w:lineRule="exact"/>
        <w:ind w:left="0" w:right="0" w:firstLine="643" w:firstLineChars="200"/>
        <w:jc w:val="both"/>
        <w:textAlignment w:val="auto"/>
        <w:rPr>
          <w:rFonts w:hint="default" w:ascii="仿宋_GB2312" w:eastAsia="仿宋_GB2312" w:cs="仿宋_GB2312"/>
          <w:kern w:val="0"/>
          <w:sz w:val="32"/>
          <w:szCs w:val="32"/>
        </w:rPr>
      </w:pPr>
      <w:r>
        <w:rPr>
          <w:rFonts w:hint="default" w:ascii="仿宋_GB2312" w:hAnsi="Times New Roman" w:eastAsia="仿宋_GB2312" w:cs="仿宋_GB2312"/>
          <w:b/>
          <w:bCs/>
          <w:kern w:val="2"/>
          <w:sz w:val="32"/>
          <w:szCs w:val="32"/>
          <w:lang w:val="en-US" w:eastAsia="zh-CN" w:bidi="ar"/>
        </w:rPr>
        <w:t>2.专项预算绩效情况。</w:t>
      </w:r>
      <w:r>
        <w:rPr>
          <w:rFonts w:hint="default" w:ascii="仿宋_GB2312" w:hAnsi="Times New Roman" w:eastAsia="仿宋_GB2312" w:cs="仿宋_GB2312"/>
          <w:kern w:val="0"/>
          <w:sz w:val="32"/>
          <w:szCs w:val="32"/>
          <w:lang w:val="en-US" w:eastAsia="zh-CN" w:bidi="ar"/>
        </w:rPr>
        <w:t>本年度专项预算项目7个，分别</w:t>
      </w:r>
      <w:r>
        <w:rPr>
          <w:rFonts w:hint="default" w:ascii="仿宋_GB2312" w:hAnsi="Times New Roman" w:eastAsia="仿宋_GB2312" w:cs="仿宋_GB2312"/>
          <w:kern w:val="2"/>
          <w:sz w:val="32"/>
          <w:szCs w:val="32"/>
          <w:lang w:val="en-US" w:eastAsia="zh-CN" w:bidi="ar"/>
        </w:rPr>
        <w:t>2023年省级药品监管专项资金（包括药品应急资金），2023年招商引资工作经费，争取资金工作经费（含地标产品省级示范区创建），市场综合监管专项资金，2023年省级知识产权专项资金，</w:t>
      </w:r>
      <w:r>
        <w:rPr>
          <w:rFonts w:hint="default" w:ascii="仿宋_GB2312" w:hAnsi="Times New Roman" w:eastAsia="仿宋_GB2312" w:cs="仿宋_GB2312"/>
          <w:kern w:val="0"/>
          <w:sz w:val="32"/>
          <w:szCs w:val="32"/>
          <w:lang w:val="en-US" w:eastAsia="zh-CN" w:bidi="ar"/>
        </w:rPr>
        <w:t>2022年</w:t>
      </w:r>
      <w:r>
        <w:rPr>
          <w:rFonts w:hint="default" w:ascii="仿宋_GB2312" w:hAnsi="Times New Roman" w:eastAsia="仿宋_GB2312" w:cs="仿宋_GB2312"/>
          <w:kern w:val="2"/>
          <w:sz w:val="32"/>
          <w:szCs w:val="32"/>
          <w:lang w:val="en-US" w:eastAsia="zh-CN" w:bidi="ar"/>
        </w:rPr>
        <w:t>省级知识产权专项资金，2023年中央药品监管专项资金</w:t>
      </w:r>
      <w:r>
        <w:rPr>
          <w:rFonts w:hint="default" w:ascii="仿宋_GB2312" w:hAnsi="Times New Roman" w:eastAsia="仿宋_GB2312" w:cs="仿宋_GB2312"/>
          <w:kern w:val="0"/>
          <w:sz w:val="32"/>
          <w:szCs w:val="32"/>
          <w:lang w:val="en-US" w:eastAsia="zh-CN" w:bidi="ar"/>
        </w:rPr>
        <w:t>。按照中央省、市区专项资金项目内容，及时的编制了绩效目标。</w:t>
      </w:r>
    </w:p>
    <w:p w14:paraId="222CA836">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（1）2023年省级药品监管专项资金（包括药品应急资金）</w:t>
      </w:r>
      <w:r>
        <w:rPr>
          <w:rFonts w:hint="default" w:ascii="仿宋_GB2312" w:hAnsi="Times New Roman" w:eastAsia="仿宋_GB2312" w:cs="仿宋_GB2312"/>
          <w:kern w:val="0"/>
          <w:sz w:val="32"/>
          <w:szCs w:val="32"/>
          <w:lang w:val="en-US" w:eastAsia="zh-CN" w:bidi="ar"/>
        </w:rPr>
        <w:t>预算数为33.5万元，预算执行数为3.5万，预算执行率为10.4%。主要用于：药品监管方面的资料宣传，设施设备采购等费用。</w:t>
      </w:r>
    </w:p>
    <w:p w14:paraId="501F4D9C">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（2）2023年招商引资工作经费</w:t>
      </w:r>
      <w:r>
        <w:rPr>
          <w:rFonts w:hint="default" w:ascii="仿宋_GB2312" w:hAnsi="Times New Roman" w:eastAsia="仿宋_GB2312" w:cs="仿宋_GB2312"/>
          <w:kern w:val="0"/>
          <w:sz w:val="32"/>
          <w:szCs w:val="32"/>
          <w:lang w:val="en-US" w:eastAsia="zh-CN" w:bidi="ar"/>
        </w:rPr>
        <w:t>，预算数为5万元，预算执行数为5万，预算执行率为100%。主要用于：引进外地企业方面的费用。</w:t>
      </w:r>
    </w:p>
    <w:p w14:paraId="40B73462">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598" w:firstLineChars="187"/>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（3）争取资金工作经费（含地标产品省级示范区创建）</w:t>
      </w:r>
      <w:r>
        <w:rPr>
          <w:rFonts w:hint="default" w:ascii="仿宋_GB2312" w:hAnsi="Times New Roman" w:eastAsia="仿宋_GB2312" w:cs="仿宋_GB2312"/>
          <w:kern w:val="0"/>
          <w:sz w:val="32"/>
          <w:szCs w:val="32"/>
          <w:lang w:val="en-US" w:eastAsia="zh-CN" w:bidi="ar"/>
        </w:rPr>
        <w:t>，预算数为12万元，预算执行数为12万，预算执行率为100%。主要用于：向省市争取市场监管方面的工作经费。</w:t>
      </w:r>
    </w:p>
    <w:p w14:paraId="199295C1">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598" w:firstLineChars="187"/>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（4）市场综合监管专项资金</w:t>
      </w:r>
      <w:r>
        <w:rPr>
          <w:rFonts w:hint="default" w:ascii="仿宋_GB2312" w:hAnsi="Times New Roman" w:eastAsia="仿宋_GB2312" w:cs="仿宋_GB2312"/>
          <w:kern w:val="0"/>
          <w:sz w:val="32"/>
          <w:szCs w:val="32"/>
          <w:lang w:val="en-US" w:eastAsia="zh-CN" w:bidi="ar"/>
        </w:rPr>
        <w:t>，预算数为32万元，预算执行数为32万，预算执行率为100%。主要用于：市场综合监管方面基层所打造、春雷执法行动、“双随机、一公开”等工作经费。</w:t>
      </w:r>
    </w:p>
    <w:p w14:paraId="6CC1E10C">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598" w:firstLineChars="187"/>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（5）2023年省级知识产权专项资金（广财建（2023）122号）</w:t>
      </w:r>
      <w:r>
        <w:rPr>
          <w:rFonts w:hint="default" w:ascii="仿宋_GB2312" w:hAnsi="Times New Roman" w:eastAsia="仿宋_GB2312" w:cs="仿宋_GB2312"/>
          <w:kern w:val="0"/>
          <w:sz w:val="32"/>
          <w:szCs w:val="32"/>
          <w:lang w:val="en-US" w:eastAsia="zh-CN" w:bidi="ar"/>
        </w:rPr>
        <w:t>，预算数为5万元，预算执行数为0万，预算执行率为0%。主要用于：知识产权保护、商标申报、培训等工作经费。</w:t>
      </w:r>
    </w:p>
    <w:p w14:paraId="33973476">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598" w:firstLineChars="187"/>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（6）</w:t>
      </w:r>
      <w:r>
        <w:rPr>
          <w:rFonts w:hint="default" w:ascii="仿宋_GB2312" w:hAnsi="Times New Roman" w:eastAsia="仿宋_GB2312" w:cs="仿宋_GB2312"/>
          <w:kern w:val="0"/>
          <w:sz w:val="32"/>
          <w:szCs w:val="32"/>
          <w:lang w:val="en-US" w:eastAsia="zh-CN" w:bidi="ar"/>
        </w:rPr>
        <w:t>2022年</w:t>
      </w:r>
      <w:r>
        <w:rPr>
          <w:rFonts w:hint="default" w:ascii="仿宋_GB2312" w:hAnsi="Times New Roman" w:eastAsia="仿宋_GB2312" w:cs="仿宋_GB2312"/>
          <w:kern w:val="2"/>
          <w:sz w:val="32"/>
          <w:szCs w:val="32"/>
          <w:lang w:val="en-US" w:eastAsia="zh-CN" w:bidi="ar"/>
        </w:rPr>
        <w:t>省级知识产权专项资金，</w:t>
      </w:r>
      <w:r>
        <w:rPr>
          <w:rFonts w:hint="default" w:ascii="仿宋_GB2312" w:hAnsi="Times New Roman" w:eastAsia="仿宋_GB2312" w:cs="仿宋_GB2312"/>
          <w:kern w:val="0"/>
          <w:sz w:val="32"/>
          <w:szCs w:val="32"/>
          <w:lang w:val="en-US" w:eastAsia="zh-CN" w:bidi="ar"/>
        </w:rPr>
        <w:t>预算数为3万元，预算执行数为3万，预算执行率为100%。主要用于：知识产权保护、商标申报、培训等工作经费。</w:t>
      </w:r>
    </w:p>
    <w:p w14:paraId="32BC67AF">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598" w:firstLineChars="187"/>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（7）2023年中央药品监管专项资金，</w:t>
      </w:r>
      <w:r>
        <w:rPr>
          <w:rFonts w:hint="default" w:ascii="仿宋_GB2312" w:hAnsi="Times New Roman" w:eastAsia="仿宋_GB2312" w:cs="仿宋_GB2312"/>
          <w:kern w:val="0"/>
          <w:sz w:val="32"/>
          <w:szCs w:val="32"/>
          <w:lang w:val="en-US" w:eastAsia="zh-CN" w:bidi="ar"/>
        </w:rPr>
        <w:t>预算数为7万元，预算执行数为7万，预算执行率为100%。主要用于：药品医疗器械及化妆品监管方面工作经费。</w:t>
      </w:r>
    </w:p>
    <w:p w14:paraId="745E7114">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eastAsia" w:ascii="楷体" w:hAnsi="楷体" w:eastAsia="楷体" w:cs="楷体"/>
          <w:kern w:val="2"/>
          <w:sz w:val="32"/>
          <w:szCs w:val="32"/>
        </w:rPr>
      </w:pPr>
      <w:r>
        <w:rPr>
          <w:rFonts w:hint="eastAsia" w:ascii="楷体" w:hAnsi="楷体" w:eastAsia="楷体" w:cs="楷体"/>
          <w:kern w:val="2"/>
          <w:sz w:val="32"/>
          <w:szCs w:val="32"/>
          <w:lang w:val="en-US" w:eastAsia="zh-CN" w:bidi="ar"/>
        </w:rPr>
        <w:t>（三）绩效结果应用</w:t>
      </w:r>
    </w:p>
    <w:p w14:paraId="2D15E06D">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960" w:firstLineChars="300"/>
        <w:jc w:val="both"/>
        <w:textAlignment w:val="auto"/>
        <w:rPr>
          <w:rFonts w:hint="default" w:ascii="仿宋_GB2312" w:eastAsia="仿宋_GB2312" w:cs="仿宋_GB2312"/>
          <w:color w:val="000000"/>
          <w:kern w:val="0"/>
          <w:sz w:val="32"/>
          <w:szCs w:val="32"/>
        </w:rPr>
      </w:pPr>
      <w:r>
        <w:rPr>
          <w:rFonts w:hint="default" w:ascii="仿宋_GB2312" w:hAnsi="Times New Roman" w:eastAsia="仿宋_GB2312" w:cs="仿宋_GB2312"/>
          <w:color w:val="000000"/>
          <w:kern w:val="0"/>
          <w:sz w:val="32"/>
          <w:szCs w:val="32"/>
          <w:lang w:val="en-US" w:eastAsia="zh-CN" w:bidi="ar"/>
        </w:rPr>
        <w:t>本单位严格执行预决算公开制度，年初预算和年终决算均按照法定要求，在昭化区门户网站上进行了公开，以接受广大人民群众的监督。在内部应用方面，将单位绩效自评纳入考核体系，建立单位预算与绩效挂钩机制。按要求将相关绩效信息随同决算公开。本部门针对绩效管理过程中（包括绩效目标核查、绩效监控核查、重点自评抽查和重点绩效评价）提出的问题进行整改问题、完善政策、改进管理。在应用反馈方面，本部门在规定时间内向财政部门反馈应用绩效结果报告。</w:t>
      </w:r>
    </w:p>
    <w:p w14:paraId="3B4A4DA2">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eastAsia" w:ascii="楷体" w:hAnsi="楷体" w:eastAsia="楷体" w:cs="楷体"/>
          <w:kern w:val="2"/>
          <w:sz w:val="32"/>
          <w:szCs w:val="32"/>
        </w:rPr>
      </w:pPr>
      <w:r>
        <w:rPr>
          <w:rFonts w:hint="eastAsia" w:ascii="楷体" w:hAnsi="楷体" w:eastAsia="楷体" w:cs="楷体"/>
          <w:kern w:val="2"/>
          <w:sz w:val="32"/>
          <w:szCs w:val="32"/>
          <w:lang w:val="en-US" w:eastAsia="zh-CN" w:bidi="ar"/>
        </w:rPr>
        <w:t>（四）自评质量</w:t>
      </w:r>
    </w:p>
    <w:p w14:paraId="66F83C25">
      <w:pPr>
        <w:pStyle w:val="13"/>
        <w:keepNext w:val="0"/>
        <w:keepLines w:val="0"/>
        <w:pageBreakBefore w:val="0"/>
        <w:widowControl w:val="0"/>
        <w:suppressLineNumbers w:val="0"/>
        <w:kinsoku/>
        <w:wordWrap/>
        <w:topLinePunct w:val="0"/>
        <w:autoSpaceDE w:val="0"/>
        <w:autoSpaceDN/>
        <w:bidi w:val="0"/>
        <w:spacing w:before="0" w:beforeLines="0" w:beforeAutospacing="0" w:after="0" w:afterAutospacing="1" w:line="576" w:lineRule="exact"/>
        <w:ind w:left="0" w:leftChars="0" w:right="0" w:firstLine="960" w:firstLineChars="300"/>
        <w:textAlignment w:val="auto"/>
        <w:rPr>
          <w:rFonts w:hint="default" w:ascii="仿宋_GB2312" w:eastAsia="仿宋_GB2312" w:cs="仿宋_GB2312"/>
          <w:color w:val="000000"/>
          <w:kern w:val="0"/>
          <w:sz w:val="32"/>
          <w:szCs w:val="32"/>
        </w:rPr>
      </w:pPr>
      <w:r>
        <w:rPr>
          <w:rFonts w:hint="default" w:ascii="仿宋_GB2312" w:eastAsia="仿宋_GB2312" w:cs="仿宋_GB2312"/>
          <w:color w:val="000000"/>
          <w:kern w:val="0"/>
          <w:sz w:val="32"/>
          <w:szCs w:val="32"/>
        </w:rPr>
        <w:t>本单位严格按照区财政局的要求，对2023年部门整体支出绩效中的目标制定、目标实现、支出控制、执行进度、预算完成等方面开展了自评，自评范围全面、客观、准确，整体支出绩效准确率达100%。</w:t>
      </w:r>
    </w:p>
    <w:p w14:paraId="339BFF81">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（五）根据审计监督、财会监督和决算审查结果反映部门上一年度预算管理符合相关财政财务管理规定，无违反规定。</w:t>
      </w:r>
    </w:p>
    <w:p w14:paraId="63216EC8">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right="0" w:firstLine="640" w:firstLineChars="200"/>
        <w:jc w:val="both"/>
        <w:textAlignment w:val="auto"/>
        <w:rPr>
          <w:rFonts w:hint="eastAsia" w:ascii="黑体" w:hAnsi="宋体" w:eastAsia="黑体" w:cs="黑体"/>
          <w:kern w:val="2"/>
          <w:sz w:val="32"/>
          <w:szCs w:val="32"/>
        </w:rPr>
      </w:pPr>
      <w:r>
        <w:rPr>
          <w:rFonts w:hint="eastAsia" w:ascii="黑体" w:hAnsi="宋体" w:eastAsia="黑体" w:cs="黑体"/>
          <w:b w:val="0"/>
          <w:bCs w:val="0"/>
          <w:kern w:val="2"/>
          <w:sz w:val="32"/>
          <w:szCs w:val="32"/>
          <w:lang w:val="en-US" w:eastAsia="zh-CN" w:bidi="ar"/>
        </w:rPr>
        <w:t>四、存在的问题及建议（措施）</w:t>
      </w:r>
    </w:p>
    <w:p w14:paraId="103D9CCF">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576" w:lineRule="exact"/>
        <w:ind w:left="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（一）自评结论</w:t>
      </w:r>
    </w:p>
    <w:p w14:paraId="5689198A">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color w:val="000000"/>
          <w:kern w:val="2"/>
          <w:sz w:val="32"/>
          <w:szCs w:val="32"/>
        </w:rPr>
      </w:pPr>
      <w:r>
        <w:rPr>
          <w:rFonts w:hint="default" w:ascii="仿宋_GB2312" w:hAnsi="Times New Roman" w:eastAsia="仿宋_GB2312" w:cs="仿宋_GB2312"/>
          <w:color w:val="000000"/>
          <w:kern w:val="2"/>
          <w:sz w:val="32"/>
          <w:szCs w:val="32"/>
          <w:lang w:val="en-US" w:eastAsia="zh-CN" w:bidi="ar"/>
        </w:rPr>
        <w:t>按照预算绩效管理要求，本部门对2023年整体支出的</w:t>
      </w:r>
      <w:r>
        <w:rPr>
          <w:rFonts w:hint="default" w:ascii="仿宋_GB2312" w:hAnsi="Times New Roman" w:eastAsia="仿宋_GB2312" w:cs="仿宋_GB2312"/>
          <w:kern w:val="2"/>
          <w:sz w:val="32"/>
          <w:szCs w:val="32"/>
          <w:lang w:val="en-US" w:eastAsia="zh-CN" w:bidi="ar"/>
        </w:rPr>
        <w:t>人员类、运转类、特定目标类项目</w:t>
      </w:r>
      <w:r>
        <w:rPr>
          <w:rFonts w:hint="default" w:ascii="仿宋_GB2312" w:hAnsi="Times New Roman" w:eastAsia="仿宋_GB2312" w:cs="仿宋_GB2312"/>
          <w:color w:val="000000"/>
          <w:kern w:val="2"/>
          <w:sz w:val="32"/>
          <w:szCs w:val="32"/>
          <w:lang w:val="en-US" w:eastAsia="zh-CN" w:bidi="ar"/>
        </w:rPr>
        <w:t>开展绩效自评，自评结果94分。</w:t>
      </w:r>
    </w:p>
    <w:p w14:paraId="1B5DEDC1">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576" w:lineRule="exact"/>
        <w:ind w:left="0" w:leftChars="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（二）存在问题</w:t>
      </w:r>
    </w:p>
    <w:p w14:paraId="43863539">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预算编制细化程度不够。</w:t>
      </w:r>
    </w:p>
    <w:p w14:paraId="7BA37108">
      <w:pPr>
        <w:keepNext w:val="0"/>
        <w:keepLines w:val="0"/>
        <w:pageBreakBefore w:val="0"/>
        <w:widowControl w:val="0"/>
        <w:suppressLineNumbers w:val="0"/>
        <w:kinsoku/>
        <w:wordWrap/>
        <w:topLinePunct w:val="0"/>
        <w:autoSpaceDE w:val="0"/>
        <w:autoSpaceDN/>
        <w:bidi w:val="0"/>
        <w:snapToGrid w:val="0"/>
        <w:spacing w:before="0" w:beforeAutospacing="0" w:after="0" w:afterAutospacing="0" w:line="576" w:lineRule="exact"/>
        <w:ind w:left="0" w:leftChars="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（三）改进建议</w:t>
      </w:r>
    </w:p>
    <w:p w14:paraId="046680E3">
      <w:pPr>
        <w:keepNext w:val="0"/>
        <w:keepLines w:val="0"/>
        <w:pageBreakBefore w:val="0"/>
        <w:widowControl w:val="0"/>
        <w:suppressLineNumbers w:val="0"/>
        <w:kinsoku/>
        <w:wordWrap/>
        <w:topLinePunct w:val="0"/>
        <w:autoSpaceDE w:val="0"/>
        <w:autoSpaceDN/>
        <w:bidi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不断完善部门预算编制工作，在规范制度、细化编制、严格执行等方面下功夫，切实提高预算管理全过程的科学化和精细化水平。</w:t>
      </w:r>
    </w:p>
    <w:p w14:paraId="6021B8B4">
      <w:pPr>
        <w:keepNext w:val="0"/>
        <w:keepLines w:val="0"/>
        <w:widowControl w:val="0"/>
        <w:suppressLineNumbers w:val="0"/>
        <w:autoSpaceDE w:val="0"/>
        <w:autoSpaceDN/>
        <w:spacing w:before="0" w:beforeAutospacing="0" w:after="0" w:afterAutospacing="0" w:line="576" w:lineRule="exact"/>
        <w:ind w:right="0"/>
        <w:jc w:val="both"/>
        <w:rPr>
          <w:rFonts w:hint="eastAsia" w:ascii="仿宋_GB2312" w:hAnsi="仿宋_GB2312" w:eastAsia="仿宋_GB2312"/>
          <w:kern w:val="2"/>
          <w:sz w:val="32"/>
          <w:szCs w:val="24"/>
        </w:rPr>
      </w:pPr>
    </w:p>
    <w:p w14:paraId="19BE4DA9">
      <w:pPr>
        <w:rPr>
          <w:rFonts w:hint="eastAsia" w:ascii="仿宋_GB2312" w:hAnsi="仿宋_GB2312" w:eastAsia="仿宋_GB2312"/>
          <w:kern w:val="2"/>
          <w:sz w:val="32"/>
          <w:szCs w:val="24"/>
        </w:rPr>
      </w:pPr>
      <w:r>
        <w:rPr>
          <w:rFonts w:hint="eastAsia" w:ascii="仿宋_GB2312" w:hAnsi="仿宋_GB2312" w:eastAsia="仿宋_GB2312"/>
          <w:kern w:val="2"/>
          <w:sz w:val="32"/>
          <w:szCs w:val="24"/>
        </w:rPr>
        <w:br w:type="page"/>
      </w:r>
    </w:p>
    <w:p w14:paraId="73F888C9">
      <w:pPr>
        <w:keepNext/>
        <w:keepLines/>
        <w:kinsoku/>
        <w:wordWrap/>
        <w:autoSpaceDE w:val="0"/>
        <w:autoSpaceDN w:val="0"/>
        <w:bidi w:val="0"/>
        <w:adjustRightInd w:val="0"/>
        <w:spacing w:beforeLines="0" w:afterLines="0" w:line="576" w:lineRule="exact"/>
        <w:jc w:val="both"/>
        <w:textAlignment w:val="auto"/>
        <w:rPr>
          <w:rFonts w:hint="eastAsia"/>
          <w:sz w:val="30"/>
          <w:szCs w:val="24"/>
        </w:rPr>
      </w:pPr>
      <w:r>
        <w:rPr>
          <w:rFonts w:hint="eastAsia" w:ascii="仿宋_GB2312" w:hAnsi="仿宋_GB2312" w:eastAsia="仿宋_GB2312"/>
          <w:kern w:val="2"/>
          <w:sz w:val="32"/>
          <w:szCs w:val="24"/>
        </w:rPr>
        <w:t>附表：部门预算项目支出绩效自评表（2023年度）</w:t>
      </w:r>
    </w:p>
    <w:p w14:paraId="5286B37F">
      <w:pPr>
        <w:pStyle w:val="2"/>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32"/>
          <w:szCs w:val="32"/>
          <w:lang w:val="en-US" w:eastAsia="zh-CN"/>
        </w:rPr>
        <w:t>广元市昭化区财政项目（政策）支出绩效自评表</w:t>
      </w:r>
    </w:p>
    <w:tbl>
      <w:tblPr>
        <w:tblStyle w:val="14"/>
        <w:tblW w:w="582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0"/>
        <w:gridCol w:w="847"/>
        <w:gridCol w:w="1042"/>
        <w:gridCol w:w="800"/>
        <w:gridCol w:w="2480"/>
        <w:gridCol w:w="1180"/>
        <w:gridCol w:w="1810"/>
        <w:gridCol w:w="1978"/>
      </w:tblGrid>
      <w:tr w14:paraId="3EF6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000" w:type="pct"/>
            <w:gridSpan w:val="8"/>
            <w:tcBorders>
              <w:top w:val="nil"/>
              <w:left w:val="nil"/>
              <w:bottom w:val="nil"/>
              <w:right w:val="nil"/>
            </w:tcBorders>
            <w:shd w:val="clear" w:color="auto" w:fill="auto"/>
            <w:vAlign w:val="top"/>
          </w:tcPr>
          <w:p w14:paraId="1A272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rPr>
            </w:pPr>
            <w:r>
              <w:rPr>
                <w:rFonts w:hint="eastAsia" w:ascii="楷体" w:hAnsi="楷体" w:eastAsia="楷体" w:cs="楷体"/>
                <w:b w:val="0"/>
                <w:bCs w:val="0"/>
                <w:i w:val="0"/>
                <w:iCs w:val="0"/>
                <w:color w:val="000000"/>
                <w:kern w:val="0"/>
                <w:sz w:val="28"/>
                <w:szCs w:val="28"/>
                <w:u w:val="none"/>
                <w:lang w:val="en-US" w:eastAsia="zh-CN" w:bidi="ar"/>
              </w:rPr>
              <w:t>（2023年度）</w:t>
            </w:r>
          </w:p>
        </w:tc>
      </w:tr>
      <w:tr w14:paraId="60A75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4A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24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A53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2023年省级药品监管专项资金（包括药品应急资金）</w:t>
            </w:r>
          </w:p>
        </w:tc>
      </w:tr>
      <w:tr w14:paraId="16AF6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05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197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6B0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3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7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04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r>
      <w:tr w14:paraId="171C7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6"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71B73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841" w:type="pct"/>
            <w:gridSpan w:val="2"/>
            <w:tcBorders>
              <w:top w:val="nil"/>
              <w:left w:val="single" w:color="000000" w:sz="4" w:space="0"/>
              <w:bottom w:val="single" w:color="000000" w:sz="4" w:space="0"/>
              <w:right w:val="single" w:color="000000" w:sz="4" w:space="0"/>
            </w:tcBorders>
            <w:shd w:val="clear" w:color="auto" w:fill="auto"/>
            <w:vAlign w:val="center"/>
          </w:tcPr>
          <w:p w14:paraId="4AEB1A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1132" w:type="pct"/>
            <w:tcBorders>
              <w:top w:val="nil"/>
              <w:left w:val="single" w:color="000000" w:sz="4" w:space="0"/>
              <w:bottom w:val="single" w:color="000000" w:sz="4" w:space="0"/>
              <w:right w:val="single" w:color="000000" w:sz="4" w:space="0"/>
            </w:tcBorders>
            <w:shd w:val="clear" w:color="auto" w:fill="auto"/>
            <w:vAlign w:val="center"/>
          </w:tcPr>
          <w:p w14:paraId="6365C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538" w:type="pct"/>
            <w:tcBorders>
              <w:top w:val="nil"/>
              <w:left w:val="single" w:color="000000" w:sz="4" w:space="0"/>
              <w:bottom w:val="single" w:color="000000" w:sz="4" w:space="0"/>
              <w:right w:val="single" w:color="000000" w:sz="4" w:space="0"/>
            </w:tcBorders>
            <w:shd w:val="clear" w:color="auto" w:fill="auto"/>
            <w:vAlign w:val="center"/>
          </w:tcPr>
          <w:p w14:paraId="0EC91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826" w:type="pct"/>
            <w:tcBorders>
              <w:top w:val="nil"/>
              <w:left w:val="single" w:color="000000" w:sz="4" w:space="0"/>
              <w:bottom w:val="single" w:color="000000" w:sz="4" w:space="0"/>
              <w:right w:val="single" w:color="000000" w:sz="4" w:space="0"/>
            </w:tcBorders>
            <w:shd w:val="clear" w:color="auto" w:fill="auto"/>
            <w:vAlign w:val="center"/>
          </w:tcPr>
          <w:p w14:paraId="62A36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903" w:type="pct"/>
            <w:tcBorders>
              <w:top w:val="nil"/>
              <w:left w:val="single" w:color="000000" w:sz="4" w:space="0"/>
              <w:bottom w:val="single" w:color="000000" w:sz="4" w:space="0"/>
              <w:right w:val="single" w:color="000000" w:sz="4" w:space="0"/>
            </w:tcBorders>
            <w:shd w:val="clear" w:color="auto" w:fill="auto"/>
            <w:vAlign w:val="center"/>
          </w:tcPr>
          <w:p w14:paraId="54C0E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20C6A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6C5E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9E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50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33.5万元</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3E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33.5万元</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3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13.5万元</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F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14:paraId="68BB1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4FE4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C7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62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33.5万元</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27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33.5万元</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13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13.5万元</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60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14:paraId="7098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3A64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87D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450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33.5万元</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7F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33.5万元</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A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13.5万元</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3D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14:paraId="2AB5B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8FDE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8A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FF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宋体" w:hAnsi="宋体" w:eastAsia="宋体" w:cs="宋体"/>
                <w:i w:val="0"/>
                <w:iCs w:val="0"/>
                <w:color w:val="000000"/>
                <w:sz w:val="18"/>
                <w:szCs w:val="18"/>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D2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DA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F3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43F6D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57C7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DE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4B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宋体" w:hAnsi="宋体" w:eastAsia="宋体" w:cs="宋体"/>
                <w:i w:val="0"/>
                <w:iCs w:val="0"/>
                <w:color w:val="000000"/>
                <w:sz w:val="18"/>
                <w:szCs w:val="18"/>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3B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D9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B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3081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E0FD2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3C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C8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宋体" w:hAnsi="宋体" w:eastAsia="宋体" w:cs="宋体"/>
                <w:i w:val="0"/>
                <w:iCs w:val="0"/>
                <w:color w:val="000000"/>
                <w:sz w:val="18"/>
                <w:szCs w:val="18"/>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A5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B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3A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4E8D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7B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36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DC0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26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1E1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0DDD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DC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236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2F8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1、开展药械化质量安全监督检查，预计对辖区74家药品、医疗器械经营企业及72家化妆品经营使用单位开展全面检查。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开展药械化监督抽检，预计2023年抽检药品1批次，化妆品1批次。3、根据上级专项资金实施方案，药品补助资金用于执法办案及执法装备购置相关支出，我局计划2024年采购执法车辆1台，开展药品领域专项整治等执法行动、推动我区药品安全应急救援体系建设，提升药品应急安全保障能力。</w:t>
            </w:r>
          </w:p>
        </w:tc>
        <w:tc>
          <w:tcPr>
            <w:tcW w:w="226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8ED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1、开展药械化质量安全监督检查，对辖区77家药品、医疗器械经营企业及72家化妆品经营使用单位开展全面检查。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开展药械化监督抽检，2023年抽检药品2批次，化妆品2批次。3、根据上级专项资金实施方案，药品补助资金用于执法办案及执法装备购置相关支出，我局计划2024年采购执法车辆1台，开展药品领域专项整治等执法行动、推动我区药品安全应急救援体系建设，提升药品应急安全保障能力。</w:t>
            </w:r>
          </w:p>
        </w:tc>
      </w:tr>
      <w:tr w14:paraId="01BF1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7C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39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5A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4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A9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4C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19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7D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偏差原因分析及</w:t>
            </w:r>
          </w:p>
          <w:p w14:paraId="62F2F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改进措施</w:t>
            </w:r>
          </w:p>
        </w:tc>
      </w:tr>
      <w:tr w14:paraId="3B965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84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7B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7C2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3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1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化妆品抽验批次</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93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≥1批次</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E5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1C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0F511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EE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36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55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E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E2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药品抽验品种/批次</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9E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≥1批次</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09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6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5670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EC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D44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DB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CF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A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药品监管企业数</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4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≥74家</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5B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67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78C73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1E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CF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25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5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指标4：</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6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化妆品监管企业数</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E88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≥72家</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05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0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6AF9E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3E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7E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41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50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指标5：</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9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医疗器械监管企业数</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6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≥74家</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72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D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67EF0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8D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27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06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E6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指标6：</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62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发放药品应急科普知识宣传资料</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65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≥1000份</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A9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1000份</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868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57BB0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A0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5C6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75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3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指标7：</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4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执法装备（购执法车辆）</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2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1辆</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E3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26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2024年实施</w:t>
            </w:r>
          </w:p>
        </w:tc>
      </w:tr>
      <w:tr w14:paraId="66C9D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66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57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nil"/>
              <w:right w:val="single" w:color="000000" w:sz="4" w:space="0"/>
            </w:tcBorders>
            <w:shd w:val="clear" w:color="auto" w:fill="auto"/>
            <w:vAlign w:val="center"/>
          </w:tcPr>
          <w:p w14:paraId="7BDDD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9D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指标8：</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4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药品执法培训费</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E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≥3场次</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3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≥3场次</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7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71E63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62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7D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0C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1E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6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化妆品抽检完成率</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4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4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C1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60A8E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B14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BF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D2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1E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1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医疗器械抽检完成率</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0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00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03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64B88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FD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1C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0D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59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7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药品案件查办率</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3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9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B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4208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5ED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06C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D8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E2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指标4：</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DE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执法车辆验收合格率</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5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A3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2C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4E468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4BA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AC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6A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2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指标5：</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2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药品抽检率</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B0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0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74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6FA9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7A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42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05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8C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BF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任务完成时间</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3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D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≤2024年12月份前</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35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36996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EA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94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restart"/>
            <w:tcBorders>
              <w:top w:val="single" w:color="000000" w:sz="4" w:space="0"/>
              <w:left w:val="single" w:color="000000" w:sz="4" w:space="0"/>
              <w:bottom w:val="nil"/>
              <w:right w:val="single" w:color="000000" w:sz="4" w:space="0"/>
            </w:tcBorders>
            <w:shd w:val="clear" w:color="auto" w:fill="auto"/>
            <w:vAlign w:val="center"/>
          </w:tcPr>
          <w:p w14:paraId="64DF2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90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64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监管车旅费、宣传资料等</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EC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15.5万元</w:t>
            </w:r>
          </w:p>
        </w:tc>
        <w:tc>
          <w:tcPr>
            <w:tcW w:w="8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A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13.5万元</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60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指标下达时间晚，预计2024年6月完成</w:t>
            </w:r>
          </w:p>
        </w:tc>
      </w:tr>
      <w:tr w14:paraId="0CBFF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D81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B5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nil"/>
              <w:right w:val="single" w:color="000000" w:sz="4" w:space="0"/>
            </w:tcBorders>
            <w:shd w:val="clear" w:color="auto" w:fill="auto"/>
            <w:vAlign w:val="center"/>
          </w:tcPr>
          <w:p w14:paraId="7A7A2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75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C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执法车辆采购成本</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C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18万元</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F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FC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2024年实施</w:t>
            </w:r>
          </w:p>
        </w:tc>
      </w:tr>
      <w:tr w14:paraId="5F63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96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15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9B8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9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7A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营造安全放心的药械化消费环境</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67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优差</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9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优差</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93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7234D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3B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FD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2A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4F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A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药品安全监管水平</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8A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F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6D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437E8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2C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26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66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4D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3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药品安全物价、市场秩序稳定</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37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有效保障</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0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有效保障</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A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r w14:paraId="11FBA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FF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8E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1F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BE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E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公众对药品监管工作满意度</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2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3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90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000000"/>
                <w:sz w:val="18"/>
                <w:szCs w:val="18"/>
                <w:u w:val="none"/>
              </w:rPr>
            </w:pPr>
          </w:p>
        </w:tc>
      </w:tr>
    </w:tbl>
    <w:p w14:paraId="37190D7F">
      <w:pPr>
        <w:rPr>
          <w:rFonts w:hint="eastAsia" w:ascii="宋体" w:hAnsi="宋体" w:eastAsia="宋体" w:cs="宋体"/>
          <w:i w:val="0"/>
          <w:iCs w:val="0"/>
          <w:color w:val="000000"/>
          <w:sz w:val="18"/>
          <w:szCs w:val="18"/>
          <w:u w:val="none"/>
        </w:rPr>
      </w:pPr>
    </w:p>
    <w:p w14:paraId="2FD127CF">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p w14:paraId="5F9E077D">
      <w:pPr>
        <w:keepNext w:val="0"/>
        <w:keepLines w:val="0"/>
        <w:pageBreakBefore w:val="0"/>
        <w:widowControl w:val="0"/>
        <w:shd w:val="clear"/>
        <w:kinsoku/>
        <w:wordWrap/>
        <w:overflowPunct/>
        <w:topLinePunct w:val="0"/>
        <w:autoSpaceDE/>
        <w:autoSpaceDN/>
        <w:bidi w:val="0"/>
        <w:adjustRightInd w:val="0"/>
        <w:snapToGrid w:val="0"/>
        <w:spacing w:line="580" w:lineRule="exact"/>
        <w:jc w:val="center"/>
        <w:textAlignment w:val="auto"/>
        <w:rPr>
          <w:rFonts w:hint="eastAsia" w:ascii="仿宋_GB2312" w:hAnsi="仿宋_GB2312" w:eastAsia="仿宋_GB2312" w:cs="仿宋_GB2312"/>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2023年食品药品医疗器械及化妆品监管经费支出绩效自评表</w:t>
      </w:r>
    </w:p>
    <w:p w14:paraId="3F8BD524">
      <w:pPr>
        <w:pStyle w:val="2"/>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lang w:val="en-US" w:eastAsia="zh-CN"/>
        </w:rPr>
      </w:pPr>
      <w:r>
        <w:rPr>
          <w:rFonts w:hint="eastAsia" w:ascii="楷体" w:hAnsi="楷体" w:eastAsia="楷体" w:cs="楷体"/>
          <w:sz w:val="28"/>
          <w:szCs w:val="22"/>
          <w:lang w:val="en-US" w:eastAsia="zh-CN"/>
        </w:rPr>
        <w:t>（2023年度）</w:t>
      </w:r>
    </w:p>
    <w:p w14:paraId="64D81F5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tbl>
      <w:tblPr>
        <w:tblStyle w:val="14"/>
        <w:tblW w:w="540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1"/>
        <w:gridCol w:w="660"/>
        <w:gridCol w:w="880"/>
        <w:gridCol w:w="1318"/>
        <w:gridCol w:w="2617"/>
        <w:gridCol w:w="1395"/>
        <w:gridCol w:w="1270"/>
        <w:gridCol w:w="1597"/>
      </w:tblGrid>
      <w:tr w14:paraId="12B50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1A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项目（政策）名称</w:t>
            </w:r>
          </w:p>
        </w:tc>
        <w:tc>
          <w:tcPr>
            <w:tcW w:w="446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F91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食品药品医疗器械及化妆品安全监管经费</w:t>
            </w:r>
          </w:p>
        </w:tc>
      </w:tr>
      <w:tr w14:paraId="5309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BB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主管部门</w:t>
            </w:r>
          </w:p>
        </w:tc>
        <w:tc>
          <w:tcPr>
            <w:tcW w:w="237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CE7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广元市昭化区市场监督管理局部门</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7F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实施单位</w:t>
            </w:r>
          </w:p>
        </w:tc>
        <w:tc>
          <w:tcPr>
            <w:tcW w:w="141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4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广元市昭化区市场监督管理局部门</w:t>
            </w:r>
          </w:p>
        </w:tc>
      </w:tr>
      <w:tr w14:paraId="11B5F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32"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59668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项目（政策）资金（万元）</w:t>
            </w:r>
          </w:p>
        </w:tc>
        <w:tc>
          <w:tcPr>
            <w:tcW w:w="1081" w:type="pct"/>
            <w:gridSpan w:val="2"/>
            <w:tcBorders>
              <w:top w:val="nil"/>
              <w:left w:val="single" w:color="000000" w:sz="4" w:space="0"/>
              <w:bottom w:val="single" w:color="000000" w:sz="4" w:space="0"/>
              <w:right w:val="single" w:color="000000" w:sz="4" w:space="0"/>
            </w:tcBorders>
            <w:shd w:val="clear" w:color="auto" w:fill="auto"/>
            <w:vAlign w:val="center"/>
          </w:tcPr>
          <w:p w14:paraId="76086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年度预算数（万元）</w:t>
            </w:r>
          </w:p>
        </w:tc>
        <w:tc>
          <w:tcPr>
            <w:tcW w:w="1288" w:type="pct"/>
            <w:tcBorders>
              <w:top w:val="nil"/>
              <w:left w:val="single" w:color="000000" w:sz="4" w:space="0"/>
              <w:bottom w:val="single" w:color="000000" w:sz="4" w:space="0"/>
              <w:right w:val="single" w:color="000000" w:sz="4" w:space="0"/>
            </w:tcBorders>
            <w:shd w:val="clear" w:color="auto" w:fill="auto"/>
            <w:vAlign w:val="center"/>
          </w:tcPr>
          <w:p w14:paraId="6C64B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年初预算数</w:t>
            </w:r>
          </w:p>
        </w:tc>
        <w:tc>
          <w:tcPr>
            <w:tcW w:w="686" w:type="pct"/>
            <w:tcBorders>
              <w:top w:val="nil"/>
              <w:left w:val="single" w:color="000000" w:sz="4" w:space="0"/>
              <w:bottom w:val="single" w:color="000000" w:sz="4" w:space="0"/>
              <w:right w:val="single" w:color="000000" w:sz="4" w:space="0"/>
            </w:tcBorders>
            <w:shd w:val="clear" w:color="auto" w:fill="auto"/>
            <w:vAlign w:val="center"/>
          </w:tcPr>
          <w:p w14:paraId="37D3A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全年预算数</w:t>
            </w:r>
          </w:p>
        </w:tc>
        <w:tc>
          <w:tcPr>
            <w:tcW w:w="625" w:type="pct"/>
            <w:tcBorders>
              <w:top w:val="nil"/>
              <w:left w:val="single" w:color="000000" w:sz="4" w:space="0"/>
              <w:bottom w:val="single" w:color="000000" w:sz="4" w:space="0"/>
              <w:right w:val="single" w:color="000000" w:sz="4" w:space="0"/>
            </w:tcBorders>
            <w:shd w:val="clear" w:color="auto" w:fill="auto"/>
            <w:vAlign w:val="center"/>
          </w:tcPr>
          <w:p w14:paraId="5338BC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全年执行数</w:t>
            </w:r>
          </w:p>
        </w:tc>
        <w:tc>
          <w:tcPr>
            <w:tcW w:w="786" w:type="pct"/>
            <w:tcBorders>
              <w:top w:val="nil"/>
              <w:left w:val="single" w:color="000000" w:sz="4" w:space="0"/>
              <w:bottom w:val="single" w:color="000000" w:sz="4" w:space="0"/>
              <w:right w:val="single" w:color="000000" w:sz="4" w:space="0"/>
            </w:tcBorders>
            <w:shd w:val="clear" w:color="auto" w:fill="auto"/>
            <w:vAlign w:val="center"/>
          </w:tcPr>
          <w:p w14:paraId="0DEFA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执行率</w:t>
            </w:r>
          </w:p>
        </w:tc>
      </w:tr>
      <w:tr w14:paraId="2E44B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32"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1B56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0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FB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年度资金总额</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43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Theme="minorEastAsia" w:hAnsiTheme="minorEastAsia" w:eastAsiaTheme="minorEastAsia" w:cstheme="minorEastAsia"/>
                <w:i w:val="0"/>
                <w:iCs w:val="0"/>
                <w:color w:val="000000" w:themeColor="text1"/>
                <w:sz w:val="21"/>
                <w:szCs w:val="21"/>
                <w:highlight w:val="none"/>
                <w:u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themeColor="text1"/>
                <w:sz w:val="21"/>
                <w:szCs w:val="21"/>
                <w:highlight w:val="none"/>
                <w:u w:val="none"/>
                <w:lang w:val="en-US" w:eastAsia="zh-CN"/>
                <w14:textFill>
                  <w14:solidFill>
                    <w14:schemeClr w14:val="tx1"/>
                  </w14:solidFill>
                </w14:textFill>
              </w:rPr>
              <w:t>630000元</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87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630000元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EC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570000元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06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90.47%</w:t>
            </w:r>
          </w:p>
        </w:tc>
      </w:tr>
      <w:tr w14:paraId="07B8D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32"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3681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0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14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（一）财政拨款小计</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59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630000元</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8A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630000元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DD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570000元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56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90.47%</w:t>
            </w:r>
          </w:p>
        </w:tc>
      </w:tr>
      <w:tr w14:paraId="18BD1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32"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04E3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0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148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1.一般公共预算</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3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630000元</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75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630000元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79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570000元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A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90.47%</w:t>
            </w:r>
          </w:p>
        </w:tc>
      </w:tr>
      <w:tr w14:paraId="261B2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532"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CC0F8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0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A38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2.政府性基金</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F4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DA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B3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52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5E842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32"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D604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0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BF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3.国有资本经营预算</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11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5D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D5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C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7751F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32"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1E40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0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89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（二）其他资金</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84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66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FE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DFC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54CBF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jc w:val="center"/>
        </w:trPr>
        <w:tc>
          <w:tcPr>
            <w:tcW w:w="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40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年度总体目标</w:t>
            </w:r>
          </w:p>
        </w:tc>
        <w:tc>
          <w:tcPr>
            <w:tcW w:w="269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B19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预期目标</w:t>
            </w:r>
          </w:p>
        </w:tc>
        <w:tc>
          <w:tcPr>
            <w:tcW w:w="209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DE0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全年实际完成情况</w:t>
            </w:r>
          </w:p>
        </w:tc>
      </w:tr>
      <w:tr w14:paraId="713E6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91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269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E4A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1、坚持问题导向，强化食品及食用农产品监督抽检工作，年预计抽检300余批次；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2、加强重点品种、重点区域的食品安全专项整治，预计监督检查食品生产单位400余家次，食品销售单位1400余家次，餐饮服务单位1500余家次；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3、持续开展重大活动食品安全保障，预计使用食品安全快检车30余次；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4、加大对食品生产经营单位的食品安全知识宣传培训力度，预计培训10余场次，发放宣传资料2000余份。5、通过开展食品安全党政同责工作督查、考核，督促属地责任落实。</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6、加强对镇食品安全监管人员的业务培训，提升基层监管能力。</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7、加强对餐饮店、学校食堂、超市、农村厨师等食品管理人员及从业人员的食品安全知识培训，提高食品安全意识。</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8、通过食品安全宣传活动，提升群众食品安全意识和食品安全常识。9、开展药械化质量安全监督检查，预计检查零售药店100家次，医疗机构250家次，化妆品经营使用单位100家次。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10、开展药械化监督抽检，预计2023年抽检药品8批次，医疗器械1批次，化妆品1批次。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11、开展药械化监管人员及从业人员法律法规及业务知识培训工作。预计开展3场次培训会。</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12、强化宣传教育工作。组织开展药品安全宣传月、医疗器械科普宣传周、5.25爱肤日等宣传活动，预计宣传5场次，发放宣传资料1000余份。</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13、强化药械化不良反应监测工作，按照百万人口上报比例完成不良反应监测工作</w:t>
            </w:r>
          </w:p>
        </w:tc>
        <w:tc>
          <w:tcPr>
            <w:tcW w:w="209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E442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1、坚持问题导向，强化食品及食用农产品监督抽检工作，年预计抽检300余批次；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2、加强重点品种、重点区域的食品安全专项整治，预计监督检查食品生产单位400余家次，食品销售单位1400余家次，餐饮服务单位1500余家次；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3、持续开展重大活动食品安全保障，预计使用食品安全快检车30余次；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4、加大对食品生产经营单位的食品安全知识宣传培训力度，预计培训10余场次，发放宣传资料2000余份。      5、通过开展食品安全党政同责工作督查、考核，督促属地责任落实。</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6、加强对镇食品安全监管人员的业务培训，提升基层监管能力。</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7、加强对餐饮店、学校食堂、超市、农村厨师等食品管理人员及从业人员的食品安全知识培训，提高食品安全意识。</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8、通过食品安全宣传活动，提升群众食品安全意识和食品安全常识。9、开展药械化质量安全监督检查，预计检查零售药店100家次，医疗机构250家次，化妆品经营使用单位100家次。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10、开展药械化监督抽检，预计2023年抽检药品8批次，医疗器械1批次，化妆品1批次。</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11、开展药械化监管人员及从业人员法律法规及业务知识培训工作。预计开展3场次培训会。</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12、强化宣传教育工作。组织开展药品安全宣传月、医疗器械科普宣传周、5.25爱肤日等宣传活动，预计宣传5场次，发放宣传资料1000余份。</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13、强化药械化不良反应监测工作，按照百万人口上报比例完成不良反应监测工作</w:t>
            </w:r>
          </w:p>
        </w:tc>
      </w:tr>
      <w:tr w14:paraId="667E2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D14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绩效</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68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一级</w:t>
            </w:r>
          </w:p>
          <w:p w14:paraId="5E5B0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33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二级</w:t>
            </w:r>
          </w:p>
          <w:p w14:paraId="6073D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w:t>
            </w:r>
          </w:p>
        </w:tc>
        <w:tc>
          <w:tcPr>
            <w:tcW w:w="19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3B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三级指标</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4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年度指标值</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E5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实际完成值</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D6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偏差原因分析及改进措施</w:t>
            </w:r>
          </w:p>
        </w:tc>
      </w:tr>
      <w:tr w14:paraId="590E3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2A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78E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产出指标</w:t>
            </w:r>
          </w:p>
        </w:tc>
        <w:tc>
          <w:tcPr>
            <w:tcW w:w="433" w:type="pct"/>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392BE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数量指标</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B8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9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药械化经营使用单位监督检查数量</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C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≥450家</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3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≥450家</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60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0EEE9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23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27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DFC3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12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指标2：</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4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对药械化监管人员及从业人员培训次</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3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≥3场次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A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≥3场次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F7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29049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56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6D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7226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8D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指标3：</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C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使用食品安全快检车次数</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1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6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7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00BA2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0B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08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659F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FB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指标4：</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D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食品生产经营单位监督检查数量</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0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≥1600家</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C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≥1600家</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C36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09635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A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4D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CF0C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F7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指标5：</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D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食品及食用农产品抽检批次</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4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≥300批次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C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≥300批次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859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718B4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F4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7D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EC9C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2F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指标6：</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26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组织开展食品安全志愿服务活动</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0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≥15场次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61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≥15场次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2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6D4E0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B9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2AE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C5A4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58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指标7：</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CD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药品、医疗器械、化妆品抽检批次</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9D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≥10批次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B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≥10批次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F0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142FC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7A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70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89D3A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9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指标8：</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1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对食品生产经营单位培训次数</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C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5E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3EB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383D5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CA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34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3678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DD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指标9：</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7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发放食品宣传资料</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C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≥2000份</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8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≥2000份</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C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5DBE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75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9B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7CE0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69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指标10：</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C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开展食品安全工作督查</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1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E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46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6ED6D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1F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F3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26AC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8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指标11：</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7D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开展食品安全工作督查</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D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≥1次/年</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B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≥1次/年</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D5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77D8D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C4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2A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DECC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D6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指标12：</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7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印制食品安全志愿服务宣传用品</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B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≥200件</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F3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≥200件</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8E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5A04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DE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A9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9E7FE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9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指标13：</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E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对基层食品安全监管人员开展培训</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9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≥2场次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F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≥2场次</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2D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4FD5C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49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99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E1C4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质量指标</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7F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8C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完成各项专项整治任务率（专项整治次数/应开展专项整治次数）</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26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50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100%</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F2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0A48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E2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05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8539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BB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指标2：</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B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完成抽检任务率（抽检数/应抽检数）</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3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F8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100%</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24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3B514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FD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BC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E246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71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指标3：</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6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市场各领域监管覆盖率(监管对象/应监管对象)</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D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6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≥95%</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D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488AE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E1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17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tcBorders>
              <w:top w:val="single" w:color="auto" w:sz="4" w:space="0"/>
              <w:left w:val="single" w:color="000000" w:sz="4" w:space="0"/>
              <w:bottom w:val="single" w:color="000000" w:sz="4" w:space="0"/>
              <w:right w:val="single" w:color="000000" w:sz="4" w:space="0"/>
            </w:tcBorders>
            <w:shd w:val="clear" w:color="auto" w:fill="auto"/>
            <w:vAlign w:val="center"/>
          </w:tcPr>
          <w:p w14:paraId="44956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时效指标</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1E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4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完成年度目标任务时限</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1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≤1年</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3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2024年12月份前</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38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5C3F7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80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F7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6C927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成本指标</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C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E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信息光纤租赁经费</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F0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60000元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80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60000元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53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2816F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75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A0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520B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1E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指标2：</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A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快检车运转经费</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CA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65185.36元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0D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65185.36元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D3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47856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ED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95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D382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E53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指标3：</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E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食安委工作经费</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F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105000元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561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105000元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EB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4E17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F5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09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81D5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D9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指标4：</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0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食品药品医疗器械及化妆品监管经费</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7F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150000元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9C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150000元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B6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2AF1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89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55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7327D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A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指标5：</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6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投诉举报奖励金</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D4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BFD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4C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5A8F8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FA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E1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5058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4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指标6：</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EA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食品药品检验检测费</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A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260000元</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B6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260000元</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F4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170A6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5D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65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C641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社会效益</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2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3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食品药品医疗器械及化妆品总体安全水平</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1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优良中差</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94F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优</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76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市场总体安全水平率90%以上为优，80-90%为良，70-80%为中，70%以下为差。</w:t>
            </w:r>
          </w:p>
        </w:tc>
      </w:tr>
      <w:tr w14:paraId="762E0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8F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47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5CDC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09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指标2：</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C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药品安全监管水平</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42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逐步提高</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7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逐步提高</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FB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69F6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FC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21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EDED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8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指标3：</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73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药品安全物价、市场秩序稳定</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13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有效保障</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7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有效保障</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0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14:paraId="62E54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FC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51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满意度</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w:t>
            </w:r>
          </w:p>
        </w:tc>
        <w:tc>
          <w:tcPr>
            <w:tcW w:w="433" w:type="pct"/>
            <w:tcBorders>
              <w:top w:val="single" w:color="auto" w:sz="4" w:space="0"/>
              <w:left w:val="single" w:color="000000" w:sz="4" w:space="0"/>
              <w:bottom w:val="single" w:color="000000" w:sz="4" w:space="0"/>
              <w:right w:val="single" w:color="000000" w:sz="4" w:space="0"/>
            </w:tcBorders>
            <w:shd w:val="clear" w:color="auto" w:fill="auto"/>
            <w:vAlign w:val="center"/>
          </w:tcPr>
          <w:p w14:paraId="524F8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服务对象满意度指标</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FC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指标1：</w:t>
            </w:r>
          </w:p>
        </w:tc>
        <w:tc>
          <w:tcPr>
            <w:tcW w:w="1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1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市场监管对象满意度</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F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D0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≥95%</w:t>
            </w:r>
          </w:p>
        </w:tc>
        <w:tc>
          <w:tcPr>
            <w:tcW w:w="7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4A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bl>
    <w:p w14:paraId="39BA93E2">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p w14:paraId="49B992D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32"/>
          <w:szCs w:val="32"/>
        </w:rPr>
        <w:t>中央药品监管补助资金转移支付区域（项目）绩效自评表</w:t>
      </w:r>
    </w:p>
    <w:p w14:paraId="2F186CA5">
      <w:pPr>
        <w:pStyle w:val="2"/>
        <w:jc w:val="center"/>
        <w:rPr>
          <w:rFonts w:hint="eastAsia" w:ascii="楷体" w:hAnsi="楷体" w:eastAsia="楷体" w:cs="楷体"/>
          <w:b w:val="0"/>
          <w:bCs w:val="0"/>
          <w:sz w:val="32"/>
          <w:szCs w:val="32"/>
        </w:rPr>
      </w:pPr>
      <w:r>
        <w:rPr>
          <w:rFonts w:hint="eastAsia" w:ascii="楷体" w:hAnsi="楷体" w:eastAsia="楷体" w:cs="楷体"/>
          <w:b w:val="0"/>
          <w:bCs w:val="0"/>
          <w:sz w:val="28"/>
          <w:szCs w:val="28"/>
        </w:rPr>
        <w:t>（2023年度）</w:t>
      </w:r>
    </w:p>
    <w:tbl>
      <w:tblPr>
        <w:tblStyle w:val="14"/>
        <w:tblW w:w="51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8"/>
        <w:gridCol w:w="680"/>
        <w:gridCol w:w="773"/>
        <w:gridCol w:w="1163"/>
        <w:gridCol w:w="1837"/>
        <w:gridCol w:w="1459"/>
        <w:gridCol w:w="1682"/>
        <w:gridCol w:w="1489"/>
      </w:tblGrid>
      <w:tr w14:paraId="1CB6E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102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D24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转移支付（项目）名称</w:t>
            </w:r>
          </w:p>
        </w:tc>
        <w:tc>
          <w:tcPr>
            <w:tcW w:w="397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E62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中央药品监管补助资金</w:t>
            </w:r>
          </w:p>
        </w:tc>
      </w:tr>
      <w:tr w14:paraId="5A73C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2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F1D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中央主管部门</w:t>
            </w:r>
          </w:p>
        </w:tc>
        <w:tc>
          <w:tcPr>
            <w:tcW w:w="397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BCD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国家总局</w:t>
            </w:r>
          </w:p>
        </w:tc>
      </w:tr>
      <w:tr w14:paraId="2B3FB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2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478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地方主管部门</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69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广元市昭化区财政局</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4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资金使用单位</w:t>
            </w:r>
          </w:p>
        </w:tc>
        <w:tc>
          <w:tcPr>
            <w:tcW w:w="16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A64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昭化区市场监督管理局</w:t>
            </w:r>
          </w:p>
        </w:tc>
      </w:tr>
      <w:tr w14:paraId="36A49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02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8E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资金投入情况</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（万元）</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AB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eastAsia" w:asciiTheme="minorEastAsia" w:hAnsiTheme="minorEastAsia" w:eastAsiaTheme="minorEastAsia" w:cstheme="minorEastAsia"/>
                <w:i w:val="0"/>
                <w:iCs w:val="0"/>
                <w:color w:val="000000"/>
                <w:sz w:val="21"/>
                <w:szCs w:val="21"/>
                <w:u w:val="none"/>
              </w:rPr>
            </w:pP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24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全年预算数（A）</w:t>
            </w:r>
          </w:p>
        </w:tc>
        <w:tc>
          <w:tcPr>
            <w:tcW w:w="16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70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全年执行数（B）</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C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预算执行率（B/A×100%)</w:t>
            </w:r>
          </w:p>
        </w:tc>
      </w:tr>
      <w:tr w14:paraId="1175C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71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EA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年度资金总额：</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90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7万元</w:t>
            </w:r>
          </w:p>
        </w:tc>
        <w:tc>
          <w:tcPr>
            <w:tcW w:w="16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0B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7万元</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E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r>
      <w:tr w14:paraId="027F8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8E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B6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29"/>
                <w:rFonts w:hint="eastAsia" w:asciiTheme="minorEastAsia" w:hAnsiTheme="minorEastAsia" w:eastAsiaTheme="minorEastAsia" w:cstheme="minorEastAsia"/>
                <w:sz w:val="21"/>
                <w:szCs w:val="21"/>
                <w:lang w:val="en-US" w:eastAsia="zh-CN" w:bidi="ar"/>
              </w:rPr>
              <w:t>其中：中央财政资金</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25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7万元</w:t>
            </w:r>
          </w:p>
        </w:tc>
        <w:tc>
          <w:tcPr>
            <w:tcW w:w="16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18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7万元</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F1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r>
      <w:tr w14:paraId="46C0B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30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9A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29"/>
                <w:rFonts w:hint="eastAsia" w:asciiTheme="minorEastAsia" w:hAnsiTheme="minorEastAsia" w:eastAsiaTheme="minorEastAsia" w:cstheme="minorEastAsia"/>
                <w:sz w:val="21"/>
                <w:szCs w:val="21"/>
                <w:lang w:val="en-US" w:eastAsia="zh-CN" w:bidi="ar"/>
              </w:rPr>
              <w:t>地方财政资金</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37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6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05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73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Theme="minorEastAsia" w:hAnsiTheme="minorEastAsia" w:eastAsiaTheme="minorEastAsia" w:cstheme="minorEastAsia"/>
                <w:i w:val="0"/>
                <w:iCs w:val="0"/>
                <w:color w:val="000000"/>
                <w:sz w:val="21"/>
                <w:szCs w:val="21"/>
                <w:u w:val="none"/>
              </w:rPr>
            </w:pPr>
          </w:p>
        </w:tc>
      </w:tr>
      <w:tr w14:paraId="50F98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32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7A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0"/>
                <w:rFonts w:hint="eastAsia" w:asciiTheme="minorEastAsia" w:hAnsiTheme="minorEastAsia" w:eastAsiaTheme="minorEastAsia" w:cstheme="minorEastAsia"/>
                <w:sz w:val="21"/>
                <w:szCs w:val="21"/>
                <w:lang w:val="en-US" w:eastAsia="zh-CN" w:bidi="ar"/>
              </w:rPr>
              <w:t>其他资金</w:t>
            </w:r>
          </w:p>
        </w:tc>
        <w:tc>
          <w:tcPr>
            <w:tcW w:w="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E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6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31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7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rPr>
                <w:rFonts w:hint="eastAsia" w:asciiTheme="minorEastAsia" w:hAnsiTheme="minorEastAsia" w:eastAsiaTheme="minorEastAsia" w:cstheme="minorEastAsia"/>
                <w:i w:val="0"/>
                <w:iCs w:val="0"/>
                <w:color w:val="000000"/>
                <w:sz w:val="21"/>
                <w:szCs w:val="21"/>
                <w:u w:val="none"/>
              </w:rPr>
            </w:pPr>
          </w:p>
        </w:tc>
      </w:tr>
      <w:tr w14:paraId="557F5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02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718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资金管理情况</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31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eastAsia" w:asciiTheme="minorEastAsia" w:hAnsiTheme="minorEastAsia" w:eastAsiaTheme="minorEastAsia" w:cstheme="minorEastAsia"/>
                <w:i w:val="0"/>
                <w:iCs w:val="0"/>
                <w:color w:val="000000"/>
                <w:sz w:val="21"/>
                <w:szCs w:val="21"/>
                <w:u w:val="none"/>
              </w:rPr>
            </w:pP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526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情况说明</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39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存在问题和改进措施</w:t>
            </w:r>
          </w:p>
        </w:tc>
      </w:tr>
      <w:tr w14:paraId="31EBF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4F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0DD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分配科学性</w:t>
            </w: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32F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严格按照转移支付管理制度及资金管理办法规定的范围和标准分配资金</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63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52727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ED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5E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下达及时性</w:t>
            </w: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70C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严格按照预算法及其他实施条例、转移支付管理制度规定以及资金管理办法规定的时限要求分解下达</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04D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0987B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6B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FB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拨付合规性</w:t>
            </w: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4E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严格按照国库集中支行制度有关规定支付资金，未出现违规将资金从国库转入财政专户或支付到预算单位实有资金账号问题</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A1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318B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6B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B6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使用规范性</w:t>
            </w: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43D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严格按照下达预算科目和项目执行，未出现截留、挤占、挪用或擅自调整等问题。</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4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2E0E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62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3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执行准确性</w:t>
            </w: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BCA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按照上级下达和本级预算安排的金额执行，不存在执行数偏离预算较多的问题</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E2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2D6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C1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E6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预算绩效管理情况</w:t>
            </w: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BFB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在细化下达预算时同步达到绩效目标，将有关资金纳入本级预算或对下转移支付绩效管理，开展绩效监控及绩效评价</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C2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31A8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02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7E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14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支出责任履行情况</w:t>
            </w:r>
          </w:p>
        </w:tc>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823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对共同财政事权转移支付，按照财政事权和支出责任划分有关规定，足额安排资金履行本级支出责任。</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B9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10956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69" w:type="pct"/>
            <w:vMerge w:val="restart"/>
            <w:tcBorders>
              <w:top w:val="nil"/>
              <w:left w:val="single" w:color="000000" w:sz="4" w:space="0"/>
              <w:bottom w:val="single" w:color="000000" w:sz="4" w:space="0"/>
              <w:right w:val="single" w:color="000000" w:sz="4" w:space="0"/>
            </w:tcBorders>
            <w:shd w:val="clear" w:color="auto" w:fill="auto"/>
            <w:vAlign w:val="center"/>
          </w:tcPr>
          <w:p w14:paraId="145A5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总体目标完成情况</w:t>
            </w:r>
          </w:p>
        </w:tc>
        <w:tc>
          <w:tcPr>
            <w:tcW w:w="2319" w:type="pct"/>
            <w:gridSpan w:val="4"/>
            <w:tcBorders>
              <w:top w:val="nil"/>
              <w:left w:val="single" w:color="000000" w:sz="4" w:space="0"/>
              <w:bottom w:val="single" w:color="000000" w:sz="4" w:space="0"/>
              <w:right w:val="single" w:color="000000" w:sz="4" w:space="0"/>
            </w:tcBorders>
            <w:shd w:val="clear" w:color="auto" w:fill="auto"/>
            <w:vAlign w:val="center"/>
          </w:tcPr>
          <w:p w14:paraId="748FD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总体目标</w:t>
            </w:r>
          </w:p>
        </w:tc>
        <w:tc>
          <w:tcPr>
            <w:tcW w:w="2411" w:type="pct"/>
            <w:gridSpan w:val="3"/>
            <w:tcBorders>
              <w:top w:val="nil"/>
              <w:left w:val="single" w:color="000000" w:sz="4" w:space="0"/>
              <w:bottom w:val="single" w:color="000000" w:sz="4" w:space="0"/>
              <w:right w:val="single" w:color="000000" w:sz="4" w:space="0"/>
            </w:tcBorders>
            <w:shd w:val="clear" w:color="auto" w:fill="auto"/>
            <w:vAlign w:val="center"/>
          </w:tcPr>
          <w:p w14:paraId="55748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全年实际完成情况</w:t>
            </w:r>
          </w:p>
        </w:tc>
      </w:tr>
      <w:tr w14:paraId="1056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0" w:hRule="atLeast"/>
          <w:jc w:val="center"/>
        </w:trPr>
        <w:tc>
          <w:tcPr>
            <w:tcW w:w="269" w:type="pct"/>
            <w:vMerge w:val="continue"/>
            <w:tcBorders>
              <w:top w:val="nil"/>
              <w:left w:val="single" w:color="000000" w:sz="4" w:space="0"/>
              <w:bottom w:val="single" w:color="000000" w:sz="4" w:space="0"/>
              <w:right w:val="single" w:color="000000" w:sz="4" w:space="0"/>
            </w:tcBorders>
            <w:shd w:val="clear" w:color="auto" w:fill="auto"/>
            <w:vAlign w:val="center"/>
          </w:tcPr>
          <w:p w14:paraId="1737D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23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698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1.在昭化辖区内全覆盖开展药械化质量安全监督检查，日常监督检查与专项整治相结合，对220家药械化经营使用单位进行全覆盖监督检查。确保药品质量安全，避免发生药品安全事件发生。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2协助上级部门开展药械化监督抽检，预计2023年抽检药品11批次，医疗器械1批次，化妆品2批次。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3.在昭化辖区内开展药械化监管人员及从业人员法律法规及业务知识培训工作。预计开展3场次培训会。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4.强化宣传教育工作。全区范围内组织开展药品安全宣传月、医疗器械科普宣传周、5.25爱肤日等宣传活动，通过发放宣传手册，科普小常识，禁毒知识及药械化相关法律法规等宣传资料。</w:t>
            </w:r>
          </w:p>
        </w:tc>
        <w:tc>
          <w:tcPr>
            <w:tcW w:w="241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BA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1.在昭化辖区内全覆盖开展药械化质量安全监督检查，日常监督检查与专项整治相结合，对辖区内232家药械化经营使用单位进行全覆盖监督检查。确保药品质量安全，避免发生药品安全事件发生。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2.协助上级部门开展药械化监督抽检，2022年抽检药品15批次，医疗器械2批次，化妆品2批次。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3.在昭化辖区内开展药械化监管人员及从业人员法律法规及业务知识培训工作。开展7场次培训会。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4.强化宣传教育工作。全区范围内组织开展药品安全宣传月、医疗器械科普宣传周、5.25爱肤日等宣传活动，通过发放宣传手册，科普小常识，禁毒知识及药械化相关法律法规等宣传资料。</w:t>
            </w:r>
          </w:p>
        </w:tc>
      </w:tr>
      <w:tr w14:paraId="25B53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jc w:val="center"/>
        </w:trPr>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BC94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spacing w:val="23"/>
                <w:kern w:val="0"/>
                <w:sz w:val="21"/>
                <w:szCs w:val="21"/>
                <w:u w:val="none"/>
                <w:lang w:val="en-US" w:eastAsia="zh-CN" w:bidi="ar"/>
              </w:rPr>
              <w:t>绩效指标</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7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一级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指标</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1F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二级指标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8A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三级指标</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69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指标值</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AF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全年实际</w:t>
            </w:r>
          </w:p>
          <w:p w14:paraId="125FB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完成值</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0F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未完成原因和改进措施</w:t>
            </w:r>
          </w:p>
        </w:tc>
      </w:tr>
      <w:tr w14:paraId="1C8A4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9828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8B6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标</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6D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数量指标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0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1.</w:t>
            </w:r>
            <w:r>
              <w:rPr>
                <w:rStyle w:val="31"/>
                <w:rFonts w:hint="eastAsia" w:asciiTheme="minorEastAsia" w:hAnsiTheme="minorEastAsia" w:eastAsiaTheme="minorEastAsia" w:cstheme="minorEastAsia"/>
                <w:sz w:val="21"/>
                <w:szCs w:val="21"/>
                <w:lang w:val="en-US" w:eastAsia="zh-CN" w:bidi="ar"/>
              </w:rPr>
              <w:t>药品抽检批次</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A0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Style w:val="28"/>
                <w:rFonts w:hint="eastAsia" w:asciiTheme="minorEastAsia" w:hAnsiTheme="minorEastAsia" w:eastAsiaTheme="minorEastAsia" w:cstheme="minorEastAsia"/>
                <w:sz w:val="21"/>
                <w:szCs w:val="21"/>
                <w:lang w:val="en-US" w:eastAsia="zh-CN" w:bidi="ar"/>
              </w:rPr>
              <w:t>11</w:t>
            </w:r>
            <w:r>
              <w:rPr>
                <w:rStyle w:val="31"/>
                <w:rFonts w:hint="eastAsia" w:asciiTheme="minorEastAsia" w:hAnsiTheme="minorEastAsia" w:eastAsiaTheme="minorEastAsia" w:cstheme="minorEastAsia"/>
                <w:sz w:val="21"/>
                <w:szCs w:val="21"/>
                <w:lang w:val="en-US" w:eastAsia="zh-CN" w:bidi="ar"/>
              </w:rPr>
              <w:t>批次</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A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Style w:val="28"/>
                <w:rFonts w:hint="eastAsia" w:asciiTheme="minorEastAsia" w:hAnsiTheme="minorEastAsia" w:eastAsiaTheme="minorEastAsia" w:cstheme="minorEastAsia"/>
                <w:sz w:val="21"/>
                <w:szCs w:val="21"/>
                <w:lang w:val="en-US" w:eastAsia="zh-CN" w:bidi="ar"/>
              </w:rPr>
              <w:t>15</w:t>
            </w:r>
            <w:r>
              <w:rPr>
                <w:rStyle w:val="31"/>
                <w:rFonts w:hint="eastAsia" w:asciiTheme="minorEastAsia" w:hAnsiTheme="minorEastAsia" w:eastAsiaTheme="minorEastAsia" w:cstheme="minorEastAsia"/>
                <w:sz w:val="21"/>
                <w:szCs w:val="21"/>
                <w:lang w:val="en-US" w:eastAsia="zh-CN" w:bidi="ar"/>
              </w:rPr>
              <w:t>批次</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EE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D41E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C167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52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27B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5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2</w:t>
            </w:r>
            <w:r>
              <w:rPr>
                <w:rStyle w:val="31"/>
                <w:rFonts w:hint="eastAsia" w:asciiTheme="minorEastAsia" w:hAnsiTheme="minorEastAsia" w:eastAsiaTheme="minorEastAsia" w:cstheme="minorEastAsia"/>
                <w:sz w:val="21"/>
                <w:szCs w:val="21"/>
                <w:lang w:val="en-US" w:eastAsia="zh-CN" w:bidi="ar"/>
              </w:rPr>
              <w:t>化妆品抽验批次</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39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2批次</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5F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2批次</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55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2865D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47C8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B17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8D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B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3.</w:t>
            </w:r>
            <w:r>
              <w:rPr>
                <w:rStyle w:val="31"/>
                <w:rFonts w:hint="eastAsia" w:asciiTheme="minorEastAsia" w:hAnsiTheme="minorEastAsia" w:eastAsiaTheme="minorEastAsia" w:cstheme="minorEastAsia"/>
                <w:sz w:val="21"/>
                <w:szCs w:val="21"/>
                <w:lang w:val="en-US" w:eastAsia="zh-CN" w:bidi="ar"/>
              </w:rPr>
              <w:t>医疗器械抽验批次</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3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Style w:val="28"/>
                <w:rFonts w:hint="eastAsia" w:asciiTheme="minorEastAsia" w:hAnsiTheme="minorEastAsia" w:eastAsiaTheme="minorEastAsia" w:cstheme="minorEastAsia"/>
                <w:sz w:val="21"/>
                <w:szCs w:val="21"/>
                <w:lang w:val="en-US" w:eastAsia="zh-CN" w:bidi="ar"/>
              </w:rPr>
              <w:t>1</w:t>
            </w:r>
            <w:r>
              <w:rPr>
                <w:rStyle w:val="31"/>
                <w:rFonts w:hint="eastAsia" w:asciiTheme="minorEastAsia" w:hAnsiTheme="minorEastAsia" w:eastAsiaTheme="minorEastAsia" w:cstheme="minorEastAsia"/>
                <w:sz w:val="21"/>
                <w:szCs w:val="21"/>
                <w:lang w:val="en-US" w:eastAsia="zh-CN" w:bidi="ar"/>
              </w:rPr>
              <w:t>批次</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3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2批次</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82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36662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DF4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25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28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7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4.</w:t>
            </w:r>
            <w:r>
              <w:rPr>
                <w:rStyle w:val="31"/>
                <w:rFonts w:hint="eastAsia" w:asciiTheme="minorEastAsia" w:hAnsiTheme="minorEastAsia" w:eastAsiaTheme="minorEastAsia" w:cstheme="minorEastAsia"/>
                <w:sz w:val="21"/>
                <w:szCs w:val="21"/>
                <w:lang w:val="en-US" w:eastAsia="zh-CN" w:bidi="ar"/>
              </w:rPr>
              <w:t>药品监管企业数</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4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64038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77</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CC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44E93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3FA0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83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8D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4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5.</w:t>
            </w:r>
            <w:r>
              <w:rPr>
                <w:rStyle w:val="31"/>
                <w:rFonts w:hint="eastAsia" w:asciiTheme="minorEastAsia" w:hAnsiTheme="minorEastAsia" w:eastAsiaTheme="minorEastAsia" w:cstheme="minorEastAsia"/>
                <w:sz w:val="21"/>
                <w:szCs w:val="21"/>
                <w:lang w:val="en-US" w:eastAsia="zh-CN" w:bidi="ar"/>
              </w:rPr>
              <w:t>化妆品监管企业数</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37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1A82A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89</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E5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01E6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E232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B5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FF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F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6.</w:t>
            </w:r>
            <w:r>
              <w:rPr>
                <w:rStyle w:val="31"/>
                <w:rFonts w:hint="eastAsia" w:asciiTheme="minorEastAsia" w:hAnsiTheme="minorEastAsia" w:eastAsiaTheme="minorEastAsia" w:cstheme="minorEastAsia"/>
                <w:sz w:val="21"/>
                <w:szCs w:val="21"/>
                <w:lang w:val="en-US" w:eastAsia="zh-CN" w:bidi="ar"/>
              </w:rPr>
              <w:t>医疗器械监管企业数</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A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6B40D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61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030C8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512C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02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D4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A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7.</w:t>
            </w:r>
            <w:r>
              <w:rPr>
                <w:rStyle w:val="31"/>
                <w:rFonts w:hint="eastAsia" w:asciiTheme="minorEastAsia" w:hAnsiTheme="minorEastAsia" w:eastAsiaTheme="minorEastAsia" w:cstheme="minorEastAsia"/>
                <w:sz w:val="21"/>
                <w:szCs w:val="21"/>
                <w:lang w:val="en-US" w:eastAsia="zh-CN" w:bidi="ar"/>
              </w:rPr>
              <w:t>药品监管人员人均培训学时</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1A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0D2DC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136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3266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D8B5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0E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63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质量指标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D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1.</w:t>
            </w:r>
            <w:r>
              <w:rPr>
                <w:rStyle w:val="31"/>
                <w:rFonts w:hint="eastAsia" w:asciiTheme="minorEastAsia" w:hAnsiTheme="minorEastAsia" w:eastAsiaTheme="minorEastAsia" w:cstheme="minorEastAsia"/>
                <w:sz w:val="21"/>
                <w:szCs w:val="21"/>
                <w:lang w:val="en-US" w:eastAsia="zh-CN" w:bidi="ar"/>
              </w:rPr>
              <w:t>药品抽检完成率</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A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4E395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CE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5C4AA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B9F5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A1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5E6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4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2.</w:t>
            </w:r>
            <w:r>
              <w:rPr>
                <w:rStyle w:val="31"/>
                <w:rFonts w:hint="eastAsia" w:asciiTheme="minorEastAsia" w:hAnsiTheme="minorEastAsia" w:eastAsiaTheme="minorEastAsia" w:cstheme="minorEastAsia"/>
                <w:sz w:val="21"/>
                <w:szCs w:val="21"/>
                <w:lang w:val="en-US" w:eastAsia="zh-CN" w:bidi="ar"/>
              </w:rPr>
              <w:t>化妆品抽验完成率</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61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259631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1E6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4B7B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CDBB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14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03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D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3.</w:t>
            </w:r>
            <w:r>
              <w:rPr>
                <w:rStyle w:val="31"/>
                <w:rFonts w:hint="eastAsia" w:asciiTheme="minorEastAsia" w:hAnsiTheme="minorEastAsia" w:eastAsiaTheme="minorEastAsia" w:cstheme="minorEastAsia"/>
                <w:sz w:val="21"/>
                <w:szCs w:val="21"/>
                <w:lang w:val="en-US" w:eastAsia="zh-CN" w:bidi="ar"/>
              </w:rPr>
              <w:t>医疗器械抽验完成率</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7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18583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A6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1A2B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3539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35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3B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73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4.</w:t>
            </w:r>
            <w:r>
              <w:rPr>
                <w:rStyle w:val="31"/>
                <w:rFonts w:hint="eastAsia" w:asciiTheme="minorEastAsia" w:hAnsiTheme="minorEastAsia" w:eastAsiaTheme="minorEastAsia" w:cstheme="minorEastAsia"/>
                <w:sz w:val="21"/>
                <w:szCs w:val="21"/>
                <w:lang w:val="en-US" w:eastAsia="zh-CN" w:bidi="ar"/>
              </w:rPr>
              <w:t>不合格产品处置率</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8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27A97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91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4AB2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5DAB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6A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D5F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时效指标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7D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任务完成时限</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A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2023年12月31日</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BD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2023年12月31日</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6D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58E2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CB45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62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19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成本指标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0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培训费、差旅费、宣传资料费等控制在</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0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7万元</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61B53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7万元</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6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4AC9D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A92B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CE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EF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社会效益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42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1.“</w:t>
            </w:r>
            <w:r>
              <w:rPr>
                <w:rStyle w:val="31"/>
                <w:rFonts w:hint="eastAsia" w:asciiTheme="minorEastAsia" w:hAnsiTheme="minorEastAsia" w:eastAsiaTheme="minorEastAsia" w:cstheme="minorEastAsia"/>
                <w:sz w:val="21"/>
                <w:szCs w:val="21"/>
                <w:lang w:val="en-US" w:eastAsia="zh-CN" w:bidi="ar"/>
              </w:rPr>
              <w:t>两品一械</w:t>
            </w:r>
            <w:r>
              <w:rPr>
                <w:rStyle w:val="28"/>
                <w:rFonts w:hint="eastAsia" w:asciiTheme="minorEastAsia" w:hAnsiTheme="minorEastAsia" w:eastAsiaTheme="minorEastAsia" w:cstheme="minorEastAsia"/>
                <w:sz w:val="21"/>
                <w:szCs w:val="21"/>
                <w:lang w:val="en-US" w:eastAsia="zh-CN" w:bidi="ar"/>
              </w:rPr>
              <w:t>”</w:t>
            </w:r>
            <w:r>
              <w:rPr>
                <w:rStyle w:val="31"/>
                <w:rFonts w:hint="eastAsia" w:asciiTheme="minorEastAsia" w:hAnsiTheme="minorEastAsia" w:eastAsiaTheme="minorEastAsia" w:cstheme="minorEastAsia"/>
                <w:sz w:val="21"/>
                <w:szCs w:val="21"/>
                <w:lang w:val="en-US" w:eastAsia="zh-CN" w:bidi="ar"/>
              </w:rPr>
              <w:t>总体安全水平</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5A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95%</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18BE5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A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EAFD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21DF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EF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2E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nil"/>
            </w:tcBorders>
            <w:shd w:val="clear" w:color="auto" w:fill="auto"/>
            <w:vAlign w:val="center"/>
          </w:tcPr>
          <w:p w14:paraId="1576D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2.</w:t>
            </w:r>
            <w:r>
              <w:rPr>
                <w:rStyle w:val="31"/>
                <w:rFonts w:hint="eastAsia" w:asciiTheme="minorEastAsia" w:hAnsiTheme="minorEastAsia" w:eastAsiaTheme="minorEastAsia" w:cstheme="minorEastAsia"/>
                <w:sz w:val="21"/>
                <w:szCs w:val="21"/>
                <w:lang w:val="en-US" w:eastAsia="zh-CN" w:bidi="ar"/>
              </w:rPr>
              <w:t>提高</w:t>
            </w:r>
            <w:r>
              <w:rPr>
                <w:rStyle w:val="28"/>
                <w:rFonts w:hint="eastAsia" w:asciiTheme="minorEastAsia" w:hAnsiTheme="minorEastAsia" w:eastAsiaTheme="minorEastAsia" w:cstheme="minorEastAsia"/>
                <w:sz w:val="21"/>
                <w:szCs w:val="21"/>
                <w:lang w:val="en-US" w:eastAsia="zh-CN" w:bidi="ar"/>
              </w:rPr>
              <w:t>“</w:t>
            </w:r>
            <w:r>
              <w:rPr>
                <w:rStyle w:val="31"/>
                <w:rFonts w:hint="eastAsia" w:asciiTheme="minorEastAsia" w:hAnsiTheme="minorEastAsia" w:eastAsiaTheme="minorEastAsia" w:cstheme="minorEastAsia"/>
                <w:sz w:val="21"/>
                <w:szCs w:val="21"/>
                <w:lang w:val="en-US" w:eastAsia="zh-CN" w:bidi="ar"/>
              </w:rPr>
              <w:t>两品一械</w:t>
            </w:r>
            <w:r>
              <w:rPr>
                <w:rStyle w:val="28"/>
                <w:rFonts w:hint="eastAsia" w:asciiTheme="minorEastAsia" w:hAnsiTheme="minorEastAsia" w:eastAsiaTheme="minorEastAsia" w:cstheme="minorEastAsia"/>
                <w:sz w:val="21"/>
                <w:szCs w:val="21"/>
                <w:lang w:val="en-US" w:eastAsia="zh-CN" w:bidi="ar"/>
              </w:rPr>
              <w:t>”</w:t>
            </w:r>
            <w:r>
              <w:rPr>
                <w:rStyle w:val="31"/>
                <w:rFonts w:hint="eastAsia" w:asciiTheme="minorEastAsia" w:hAnsiTheme="minorEastAsia" w:eastAsiaTheme="minorEastAsia" w:cstheme="minorEastAsia"/>
                <w:sz w:val="21"/>
                <w:szCs w:val="21"/>
                <w:lang w:val="en-US" w:eastAsia="zh-CN" w:bidi="ar"/>
              </w:rPr>
              <w:t>安全科普知识宣传覆盖面，公众自我保护意识不断提高</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3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95%</w:t>
            </w:r>
          </w:p>
        </w:tc>
        <w:tc>
          <w:tcPr>
            <w:tcW w:w="875" w:type="pct"/>
            <w:tcBorders>
              <w:top w:val="single" w:color="000000" w:sz="4" w:space="0"/>
              <w:left w:val="single" w:color="000000" w:sz="4" w:space="0"/>
              <w:bottom w:val="single" w:color="000000" w:sz="4" w:space="0"/>
              <w:right w:val="nil"/>
            </w:tcBorders>
            <w:shd w:val="clear" w:color="auto" w:fill="auto"/>
            <w:noWrap/>
            <w:vAlign w:val="center"/>
          </w:tcPr>
          <w:p w14:paraId="75F25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176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4C9B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FDDB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AB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DD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可持续影响指标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5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1.</w:t>
            </w:r>
            <w:r>
              <w:rPr>
                <w:rStyle w:val="31"/>
                <w:rFonts w:hint="eastAsia" w:asciiTheme="minorEastAsia" w:hAnsiTheme="minorEastAsia" w:eastAsiaTheme="minorEastAsia" w:cstheme="minorEastAsia"/>
                <w:sz w:val="21"/>
                <w:szCs w:val="21"/>
                <w:lang w:val="en-US" w:eastAsia="zh-CN" w:bidi="ar"/>
              </w:rPr>
              <w:t>药品监管水平</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0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2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8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CC66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99B2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3D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20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A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2.</w:t>
            </w:r>
            <w:r>
              <w:rPr>
                <w:rStyle w:val="31"/>
                <w:rFonts w:hint="eastAsia" w:asciiTheme="minorEastAsia" w:hAnsiTheme="minorEastAsia" w:eastAsiaTheme="minorEastAsia" w:cstheme="minorEastAsia"/>
                <w:sz w:val="21"/>
                <w:szCs w:val="21"/>
                <w:lang w:val="en-US" w:eastAsia="zh-CN" w:bidi="ar"/>
              </w:rPr>
              <w:t>化妆品监管水平</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5EA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2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CE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021B7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E621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D6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18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1562" w:type="pct"/>
            <w:gridSpan w:val="2"/>
            <w:tcBorders>
              <w:top w:val="single" w:color="000000" w:sz="4" w:space="0"/>
              <w:left w:val="single" w:color="000000" w:sz="4" w:space="0"/>
              <w:bottom w:val="single" w:color="000000" w:sz="4" w:space="0"/>
              <w:right w:val="nil"/>
            </w:tcBorders>
            <w:shd w:val="clear" w:color="auto" w:fill="auto"/>
            <w:noWrap/>
            <w:vAlign w:val="center"/>
          </w:tcPr>
          <w:p w14:paraId="5C690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3.</w:t>
            </w:r>
            <w:r>
              <w:rPr>
                <w:rStyle w:val="31"/>
                <w:rFonts w:hint="eastAsia" w:asciiTheme="minorEastAsia" w:hAnsiTheme="minorEastAsia" w:eastAsiaTheme="minorEastAsia" w:cstheme="minorEastAsia"/>
                <w:sz w:val="21"/>
                <w:szCs w:val="21"/>
                <w:lang w:val="en-US" w:eastAsia="zh-CN" w:bidi="ar"/>
              </w:rPr>
              <w:t>医疗器械监管水平</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C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8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BD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198F5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995F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5D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32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562" w:type="pct"/>
            <w:gridSpan w:val="2"/>
            <w:tcBorders>
              <w:top w:val="single" w:color="000000" w:sz="4" w:space="0"/>
              <w:left w:val="single" w:color="000000" w:sz="4" w:space="0"/>
              <w:bottom w:val="single" w:color="000000" w:sz="4" w:space="0"/>
              <w:right w:val="nil"/>
            </w:tcBorders>
            <w:shd w:val="clear" w:color="auto" w:fill="auto"/>
            <w:noWrap/>
            <w:vAlign w:val="center"/>
          </w:tcPr>
          <w:p w14:paraId="1A7B6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4.</w:t>
            </w:r>
            <w:r>
              <w:rPr>
                <w:rStyle w:val="31"/>
                <w:rFonts w:hint="eastAsia" w:asciiTheme="minorEastAsia" w:hAnsiTheme="minorEastAsia" w:eastAsiaTheme="minorEastAsia" w:cstheme="minorEastAsia"/>
                <w:sz w:val="21"/>
                <w:szCs w:val="21"/>
                <w:lang w:val="en-US" w:eastAsia="zh-CN" w:bidi="ar"/>
              </w:rPr>
              <w:t>队伍素质和装备配置水平</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D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A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不断提升</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01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64848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A9CD8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8C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满意度指标</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7A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服务对象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满意度指标</w:t>
            </w:r>
          </w:p>
        </w:tc>
        <w:tc>
          <w:tcPr>
            <w:tcW w:w="15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D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Style w:val="31"/>
                <w:rFonts w:hint="eastAsia" w:asciiTheme="minorEastAsia" w:hAnsiTheme="minorEastAsia" w:eastAsiaTheme="minorEastAsia" w:cstheme="minorEastAsia"/>
                <w:sz w:val="21"/>
                <w:szCs w:val="21"/>
                <w:lang w:val="en-US" w:eastAsia="zh-CN" w:bidi="ar"/>
              </w:rPr>
              <w:t>指标</w:t>
            </w:r>
            <w:r>
              <w:rPr>
                <w:rStyle w:val="28"/>
                <w:rFonts w:hint="eastAsia" w:asciiTheme="minorEastAsia" w:hAnsiTheme="minorEastAsia" w:eastAsiaTheme="minorEastAsia" w:cstheme="minorEastAsia"/>
                <w:sz w:val="21"/>
                <w:szCs w:val="21"/>
                <w:lang w:val="en-US" w:eastAsia="zh-CN" w:bidi="ar"/>
              </w:rPr>
              <w:t>1.</w:t>
            </w:r>
            <w:r>
              <w:rPr>
                <w:rStyle w:val="31"/>
                <w:rFonts w:hint="eastAsia" w:asciiTheme="minorEastAsia" w:hAnsiTheme="minorEastAsia" w:eastAsiaTheme="minorEastAsia" w:cstheme="minorEastAsia"/>
                <w:sz w:val="21"/>
                <w:szCs w:val="21"/>
                <w:lang w:val="en-US" w:eastAsia="zh-CN" w:bidi="ar"/>
              </w:rPr>
              <w:t>社会公众对药品安全满意度</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5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Style w:val="27"/>
                <w:rFonts w:hint="eastAsia" w:asciiTheme="minorEastAsia" w:hAnsiTheme="minorEastAsia" w:eastAsiaTheme="minorEastAsia" w:cstheme="minorEastAsia"/>
                <w:sz w:val="21"/>
                <w:szCs w:val="21"/>
                <w:lang w:val="en-US" w:eastAsia="zh-CN" w:bidi="ar"/>
              </w:rPr>
              <w:t>≥</w:t>
            </w:r>
            <w:r>
              <w:rPr>
                <w:rStyle w:val="28"/>
                <w:rFonts w:hint="eastAsia" w:asciiTheme="minorEastAsia" w:hAnsiTheme="minorEastAsia" w:eastAsiaTheme="minorEastAsia" w:cstheme="minorEastAsia"/>
                <w:sz w:val="21"/>
                <w:szCs w:val="21"/>
                <w:lang w:val="en-US" w:eastAsia="zh-CN" w:bidi="ar"/>
              </w:rPr>
              <w:t>90%</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CA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≥95%</w:t>
            </w:r>
          </w:p>
        </w:tc>
        <w:tc>
          <w:tcPr>
            <w:tcW w:w="7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CA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000000"/>
                <w:sz w:val="21"/>
                <w:szCs w:val="21"/>
                <w:u w:val="none"/>
              </w:rPr>
            </w:pPr>
          </w:p>
        </w:tc>
      </w:tr>
      <w:tr w14:paraId="19A25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C7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说明</w:t>
            </w:r>
          </w:p>
        </w:tc>
        <w:tc>
          <w:tcPr>
            <w:tcW w:w="473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5717F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请在此处简要说明中央巡视、各级审计和财会监督中发现的问题及其所涉及的金额，如没有请填无。</w:t>
            </w:r>
          </w:p>
        </w:tc>
      </w:tr>
    </w:tbl>
    <w:p w14:paraId="257CD163">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p w14:paraId="1694F5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四川省市场监管专项资金项目绩效目标自评表（不含应急部分及</w:t>
      </w:r>
    </w:p>
    <w:p w14:paraId="40D958A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sz w:val="44"/>
          <w:szCs w:val="44"/>
          <w:lang w:val="en-US" w:eastAsia="zh-CN"/>
        </w:rPr>
      </w:pPr>
      <w:r>
        <w:rPr>
          <w:rFonts w:hint="eastAsia" w:ascii="方正小标宋简体" w:hAnsi="方正小标宋简体" w:eastAsia="方正小标宋简体" w:cs="方正小标宋简体"/>
          <w:sz w:val="32"/>
          <w:szCs w:val="32"/>
          <w:lang w:eastAsia="zh-CN"/>
        </w:rPr>
        <w:t>因素法分配的市场监管综合业务经费）</w:t>
      </w:r>
    </w:p>
    <w:p w14:paraId="6AC4AE58">
      <w:pPr>
        <w:pStyle w:val="6"/>
        <w:ind w:left="0" w:leftChars="0" w:firstLine="0" w:firstLineChars="0"/>
        <w:jc w:val="center"/>
        <w:rPr>
          <w:rFonts w:hint="eastAsia" w:ascii="楷体" w:hAnsi="楷体" w:eastAsia="楷体" w:cs="楷体"/>
          <w:sz w:val="28"/>
          <w:szCs w:val="36"/>
        </w:rPr>
      </w:pPr>
      <w:r>
        <w:rPr>
          <w:rFonts w:hint="eastAsia" w:ascii="楷体" w:hAnsi="楷体" w:eastAsia="楷体" w:cs="楷体"/>
          <w:sz w:val="28"/>
          <w:szCs w:val="36"/>
        </w:rPr>
        <w:t>（2023年）</w:t>
      </w:r>
    </w:p>
    <w:tbl>
      <w:tblPr>
        <w:tblStyle w:val="1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83"/>
        <w:gridCol w:w="1304"/>
        <w:gridCol w:w="1347"/>
        <w:gridCol w:w="1476"/>
        <w:gridCol w:w="1484"/>
        <w:gridCol w:w="2997"/>
      </w:tblGrid>
      <w:tr w14:paraId="79298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jc w:val="center"/>
        </w:trPr>
        <w:tc>
          <w:tcPr>
            <w:tcW w:w="450" w:type="pct"/>
            <w:tcBorders>
              <w:tl2br w:val="nil"/>
              <w:tr2bl w:val="nil"/>
            </w:tcBorders>
            <w:shd w:val="clear" w:color="auto" w:fill="auto"/>
            <w:vAlign w:val="center"/>
          </w:tcPr>
          <w:p w14:paraId="60781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1477" w:type="pct"/>
            <w:gridSpan w:val="2"/>
            <w:tcBorders>
              <w:tl2br w:val="nil"/>
              <w:tr2bl w:val="nil"/>
            </w:tcBorders>
            <w:shd w:val="clear" w:color="auto" w:fill="auto"/>
            <w:vAlign w:val="center"/>
          </w:tcPr>
          <w:p w14:paraId="2CFBC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四川省市场监督管理专项资金</w:t>
            </w:r>
          </w:p>
        </w:tc>
        <w:tc>
          <w:tcPr>
            <w:tcW w:w="620" w:type="pct"/>
            <w:tcBorders>
              <w:tl2br w:val="nil"/>
              <w:tr2bl w:val="nil"/>
            </w:tcBorders>
            <w:shd w:val="clear" w:color="auto" w:fill="auto"/>
            <w:vAlign w:val="center"/>
          </w:tcPr>
          <w:p w14:paraId="25267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项目承担单位名称</w:t>
            </w:r>
          </w:p>
        </w:tc>
        <w:tc>
          <w:tcPr>
            <w:tcW w:w="2451" w:type="pct"/>
            <w:gridSpan w:val="2"/>
            <w:tcBorders>
              <w:tl2br w:val="nil"/>
              <w:tr2bl w:val="nil"/>
            </w:tcBorders>
            <w:shd w:val="clear" w:color="auto" w:fill="auto"/>
            <w:vAlign w:val="center"/>
          </w:tcPr>
          <w:p w14:paraId="5C2F9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广元市昭化区市场监督管理局</w:t>
            </w:r>
          </w:p>
        </w:tc>
      </w:tr>
      <w:tr w14:paraId="3F427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0" w:type="pct"/>
            <w:tcBorders>
              <w:tl2br w:val="nil"/>
              <w:tr2bl w:val="nil"/>
            </w:tcBorders>
            <w:shd w:val="clear" w:color="auto" w:fill="auto"/>
            <w:vAlign w:val="center"/>
          </w:tcPr>
          <w:p w14:paraId="58270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财政部门</w:t>
            </w:r>
          </w:p>
        </w:tc>
        <w:tc>
          <w:tcPr>
            <w:tcW w:w="1477" w:type="pct"/>
            <w:gridSpan w:val="2"/>
            <w:tcBorders>
              <w:tl2br w:val="nil"/>
              <w:tr2bl w:val="nil"/>
            </w:tcBorders>
            <w:shd w:val="clear" w:color="auto" w:fill="auto"/>
            <w:vAlign w:val="center"/>
          </w:tcPr>
          <w:p w14:paraId="2ED80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广元市昭化区财政局</w:t>
            </w:r>
          </w:p>
        </w:tc>
        <w:tc>
          <w:tcPr>
            <w:tcW w:w="620" w:type="pct"/>
            <w:tcBorders>
              <w:tl2br w:val="nil"/>
              <w:tr2bl w:val="nil"/>
            </w:tcBorders>
            <w:shd w:val="clear" w:color="auto" w:fill="auto"/>
            <w:vAlign w:val="center"/>
          </w:tcPr>
          <w:p w14:paraId="13B56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主管部门</w:t>
            </w:r>
          </w:p>
        </w:tc>
        <w:tc>
          <w:tcPr>
            <w:tcW w:w="2451" w:type="pct"/>
            <w:gridSpan w:val="2"/>
            <w:tcBorders>
              <w:tl2br w:val="nil"/>
              <w:tr2bl w:val="nil"/>
            </w:tcBorders>
            <w:shd w:val="clear" w:color="auto" w:fill="auto"/>
            <w:vAlign w:val="center"/>
          </w:tcPr>
          <w:p w14:paraId="35CA1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广元市市场监督管理局</w:t>
            </w:r>
          </w:p>
        </w:tc>
      </w:tr>
      <w:tr w14:paraId="334CA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450" w:type="pct"/>
            <w:tcBorders>
              <w:tl2br w:val="nil"/>
              <w:tr2bl w:val="nil"/>
            </w:tcBorders>
            <w:shd w:val="clear" w:color="auto" w:fill="auto"/>
            <w:vAlign w:val="center"/>
          </w:tcPr>
          <w:p w14:paraId="0AF2E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项目类型</w:t>
            </w:r>
          </w:p>
        </w:tc>
        <w:tc>
          <w:tcPr>
            <w:tcW w:w="727" w:type="pct"/>
            <w:tcBorders>
              <w:tl2br w:val="nil"/>
              <w:tr2bl w:val="nil"/>
            </w:tcBorders>
            <w:shd w:val="clear" w:color="auto" w:fill="auto"/>
            <w:vAlign w:val="center"/>
          </w:tcPr>
          <w:p w14:paraId="5F7E5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产业发展</w:t>
            </w:r>
          </w:p>
        </w:tc>
        <w:tc>
          <w:tcPr>
            <w:tcW w:w="750" w:type="pct"/>
            <w:tcBorders>
              <w:tl2br w:val="nil"/>
              <w:tr2bl w:val="nil"/>
            </w:tcBorders>
            <w:shd w:val="clear" w:color="auto" w:fill="auto"/>
            <w:vAlign w:val="center"/>
          </w:tcPr>
          <w:p w14:paraId="3E306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民生保障</w:t>
            </w:r>
          </w:p>
        </w:tc>
        <w:tc>
          <w:tcPr>
            <w:tcW w:w="620" w:type="pct"/>
            <w:tcBorders>
              <w:tl2br w:val="nil"/>
              <w:tr2bl w:val="nil"/>
            </w:tcBorders>
            <w:shd w:val="clear" w:color="auto" w:fill="auto"/>
            <w:vAlign w:val="center"/>
          </w:tcPr>
          <w:p w14:paraId="243BE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基础设施</w:t>
            </w:r>
          </w:p>
        </w:tc>
        <w:tc>
          <w:tcPr>
            <w:tcW w:w="823" w:type="pct"/>
            <w:tcBorders>
              <w:tl2br w:val="nil"/>
              <w:tr2bl w:val="nil"/>
            </w:tcBorders>
            <w:shd w:val="clear" w:color="auto" w:fill="auto"/>
            <w:vAlign w:val="center"/>
          </w:tcPr>
          <w:p w14:paraId="2A9B5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行政运行</w:t>
            </w:r>
          </w:p>
        </w:tc>
        <w:tc>
          <w:tcPr>
            <w:tcW w:w="1628" w:type="pct"/>
            <w:tcBorders>
              <w:tl2br w:val="nil"/>
              <w:tr2bl w:val="nil"/>
            </w:tcBorders>
            <w:shd w:val="clear" w:color="auto" w:fill="auto"/>
            <w:vAlign w:val="center"/>
          </w:tcPr>
          <w:p w14:paraId="11FCD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r>
      <w:tr w14:paraId="654DE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50" w:type="pct"/>
            <w:vMerge w:val="restart"/>
            <w:tcBorders>
              <w:tl2br w:val="nil"/>
              <w:tr2bl w:val="nil"/>
            </w:tcBorders>
            <w:shd w:val="clear" w:color="auto" w:fill="auto"/>
            <w:vAlign w:val="center"/>
          </w:tcPr>
          <w:p w14:paraId="7085C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预算执行情况（万元）</w:t>
            </w:r>
          </w:p>
        </w:tc>
        <w:tc>
          <w:tcPr>
            <w:tcW w:w="727" w:type="pct"/>
            <w:tcBorders>
              <w:tl2br w:val="nil"/>
              <w:tr2bl w:val="nil"/>
            </w:tcBorders>
            <w:shd w:val="clear" w:color="auto" w:fill="auto"/>
            <w:vAlign w:val="center"/>
          </w:tcPr>
          <w:p w14:paraId="312E0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预算数：</w:t>
            </w:r>
          </w:p>
        </w:tc>
        <w:tc>
          <w:tcPr>
            <w:tcW w:w="1370" w:type="pct"/>
            <w:gridSpan w:val="2"/>
            <w:tcBorders>
              <w:tl2br w:val="nil"/>
              <w:tr2bl w:val="nil"/>
            </w:tcBorders>
            <w:shd w:val="clear" w:color="auto" w:fill="auto"/>
            <w:vAlign w:val="center"/>
          </w:tcPr>
          <w:p w14:paraId="1C6CE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823" w:type="pct"/>
            <w:tcBorders>
              <w:tl2br w:val="nil"/>
              <w:tr2bl w:val="nil"/>
            </w:tcBorders>
            <w:shd w:val="clear" w:color="auto" w:fill="auto"/>
            <w:vAlign w:val="center"/>
          </w:tcPr>
          <w:p w14:paraId="2BA82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执行数：</w:t>
            </w:r>
          </w:p>
        </w:tc>
        <w:tc>
          <w:tcPr>
            <w:tcW w:w="1628" w:type="pct"/>
            <w:tcBorders>
              <w:tl2br w:val="nil"/>
              <w:tr2bl w:val="nil"/>
            </w:tcBorders>
            <w:shd w:val="clear" w:color="auto" w:fill="auto"/>
            <w:vAlign w:val="center"/>
          </w:tcPr>
          <w:p w14:paraId="03987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14:paraId="68397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jc w:val="center"/>
        </w:trPr>
        <w:tc>
          <w:tcPr>
            <w:tcW w:w="450" w:type="pct"/>
            <w:vMerge w:val="continue"/>
            <w:tcBorders>
              <w:tl2br w:val="nil"/>
              <w:tr2bl w:val="nil"/>
            </w:tcBorders>
            <w:shd w:val="clear" w:color="auto" w:fill="auto"/>
            <w:vAlign w:val="center"/>
          </w:tcPr>
          <w:p w14:paraId="068BE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tcBorders>
              <w:tl2br w:val="nil"/>
              <w:tr2bl w:val="nil"/>
            </w:tcBorders>
            <w:shd w:val="clear" w:color="auto" w:fill="auto"/>
            <w:vAlign w:val="center"/>
          </w:tcPr>
          <w:p w14:paraId="339737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其中：财政拨款：</w:t>
            </w:r>
          </w:p>
        </w:tc>
        <w:tc>
          <w:tcPr>
            <w:tcW w:w="1370" w:type="pct"/>
            <w:gridSpan w:val="2"/>
            <w:tcBorders>
              <w:tl2br w:val="nil"/>
              <w:tr2bl w:val="nil"/>
            </w:tcBorders>
            <w:shd w:val="clear" w:color="auto" w:fill="auto"/>
            <w:vAlign w:val="center"/>
          </w:tcPr>
          <w:p w14:paraId="2DF97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823" w:type="pct"/>
            <w:tcBorders>
              <w:tl2br w:val="nil"/>
              <w:tr2bl w:val="nil"/>
            </w:tcBorders>
            <w:shd w:val="clear" w:color="auto" w:fill="auto"/>
            <w:vAlign w:val="center"/>
          </w:tcPr>
          <w:p w14:paraId="4F77B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其中：财政拨款：</w:t>
            </w:r>
          </w:p>
        </w:tc>
        <w:tc>
          <w:tcPr>
            <w:tcW w:w="1628" w:type="pct"/>
            <w:tcBorders>
              <w:tl2br w:val="nil"/>
              <w:tr2bl w:val="nil"/>
            </w:tcBorders>
            <w:shd w:val="clear" w:color="auto" w:fill="auto"/>
            <w:vAlign w:val="center"/>
          </w:tcPr>
          <w:p w14:paraId="4D79E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14:paraId="0E408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450" w:type="pct"/>
            <w:vMerge w:val="continue"/>
            <w:tcBorders>
              <w:tl2br w:val="nil"/>
              <w:tr2bl w:val="nil"/>
            </w:tcBorders>
            <w:shd w:val="clear" w:color="auto" w:fill="auto"/>
            <w:vAlign w:val="center"/>
          </w:tcPr>
          <w:p w14:paraId="2A980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tcBorders>
              <w:tl2br w:val="nil"/>
              <w:tr2bl w:val="nil"/>
            </w:tcBorders>
            <w:shd w:val="clear" w:color="auto" w:fill="auto"/>
            <w:vAlign w:val="center"/>
          </w:tcPr>
          <w:p w14:paraId="1020F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其他资金：</w:t>
            </w:r>
          </w:p>
        </w:tc>
        <w:tc>
          <w:tcPr>
            <w:tcW w:w="1370" w:type="pct"/>
            <w:gridSpan w:val="2"/>
            <w:tcBorders>
              <w:tl2br w:val="nil"/>
              <w:tr2bl w:val="nil"/>
            </w:tcBorders>
            <w:shd w:val="clear" w:color="auto" w:fill="auto"/>
            <w:noWrap/>
            <w:vAlign w:val="center"/>
          </w:tcPr>
          <w:p w14:paraId="21ADF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823" w:type="pct"/>
            <w:tcBorders>
              <w:tl2br w:val="nil"/>
              <w:tr2bl w:val="nil"/>
            </w:tcBorders>
            <w:shd w:val="clear" w:color="auto" w:fill="auto"/>
            <w:vAlign w:val="center"/>
          </w:tcPr>
          <w:p w14:paraId="26DDE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其他资金：</w:t>
            </w:r>
          </w:p>
        </w:tc>
        <w:tc>
          <w:tcPr>
            <w:tcW w:w="1628" w:type="pct"/>
            <w:tcBorders>
              <w:tl2br w:val="nil"/>
              <w:tr2bl w:val="nil"/>
            </w:tcBorders>
            <w:shd w:val="clear" w:color="auto" w:fill="auto"/>
            <w:vAlign w:val="center"/>
          </w:tcPr>
          <w:p w14:paraId="322ED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r>
      <w:tr w14:paraId="566CB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5" w:hRule="atLeast"/>
          <w:jc w:val="center"/>
        </w:trPr>
        <w:tc>
          <w:tcPr>
            <w:tcW w:w="450" w:type="pct"/>
            <w:tcBorders>
              <w:tl2br w:val="nil"/>
              <w:tr2bl w:val="nil"/>
            </w:tcBorders>
            <w:shd w:val="clear" w:color="auto" w:fill="auto"/>
            <w:vAlign w:val="center"/>
          </w:tcPr>
          <w:p w14:paraId="6D5C6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年度总体目标</w:t>
            </w:r>
          </w:p>
        </w:tc>
        <w:tc>
          <w:tcPr>
            <w:tcW w:w="1477" w:type="pct"/>
            <w:gridSpan w:val="2"/>
            <w:tcBorders>
              <w:tl2br w:val="nil"/>
              <w:tr2bl w:val="nil"/>
            </w:tcBorders>
            <w:shd w:val="clear" w:color="auto" w:fill="auto"/>
            <w:vAlign w:val="center"/>
          </w:tcPr>
          <w:p w14:paraId="7899C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是打好“组合拳”。将“铁拳”行动、涉疫药品和医疗用品稳价格保质量、药品安全专项整治行动、食品安全“守查保”专项行动、医疗美容行业突出问题专项治理行动、扫黑除恶市场流通领域整治等行动有机结合。二是抓住“生命线”。以药品安全、食品安全、重要工业产品质量安全、特种设备安全、知识产权领域侵权假冒和扰乱市场秩序等重点领域违法开展执法检查，三是架起“连心桥”。将包容审慎监管和关爱民生福祉植入行动始终，大角度转变执法方式开展场景式执法改革试点，着力构建科学配置、高效协调、管服相融、包容审慎的新型市场监管模式，以市场监管执法的自我规范、自我约束、自我监督最大程度减少对监管对象生产经营行为的非正常干扰，竭力做到监管“无事不扰”，服务“无处不在”。</w:t>
            </w:r>
          </w:p>
        </w:tc>
        <w:tc>
          <w:tcPr>
            <w:tcW w:w="620" w:type="pct"/>
            <w:tcBorders>
              <w:tl2br w:val="nil"/>
              <w:tr2bl w:val="nil"/>
            </w:tcBorders>
            <w:shd w:val="clear" w:color="auto" w:fill="auto"/>
            <w:vAlign w:val="center"/>
          </w:tcPr>
          <w:p w14:paraId="22A7E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年度总体目标完成情况</w:t>
            </w:r>
          </w:p>
        </w:tc>
        <w:tc>
          <w:tcPr>
            <w:tcW w:w="2451" w:type="pct"/>
            <w:gridSpan w:val="2"/>
            <w:tcBorders>
              <w:tl2br w:val="nil"/>
              <w:tr2bl w:val="nil"/>
            </w:tcBorders>
            <w:shd w:val="clear" w:color="auto" w:fill="auto"/>
            <w:vAlign w:val="center"/>
          </w:tcPr>
          <w:p w14:paraId="27BE0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是打好“组合拳”。将“铁拳”行动、涉疫药品和医疗用品稳价格保质量、药品安全专项整治行动、食品安全“守查保”专项行动、医疗美容行业突出问题专项治理行动、扫黑除恶市场流通领域整治等行动有机结合。二是抓住“生命线”。以药品安全、食品安全、重要工业产品质量安全、特种设备安全、知识产权领域侵权假冒和扰乱市场秩序等重点领域违法开展执法检查，三是架起“连心桥”。将包容审慎监管和关爱民生福祉植入行动始终，大角度转变执法方式开展场景式执法改革试点，着力构建科学配置、高效协调、管服相融、包容审慎的新型市场监管模式，以市场监管执法的自我规范、自我约束、自我监督最大程度减少对监管对象生产经营行为的非正常干扰，竭力做到监管“无事不扰”，服务“无处不在”。</w:t>
            </w:r>
          </w:p>
        </w:tc>
      </w:tr>
      <w:tr w14:paraId="0E502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jc w:val="center"/>
        </w:trPr>
        <w:tc>
          <w:tcPr>
            <w:tcW w:w="450" w:type="pct"/>
            <w:vMerge w:val="restart"/>
            <w:tcBorders>
              <w:tl2br w:val="nil"/>
              <w:tr2bl w:val="nil"/>
            </w:tcBorders>
            <w:shd w:val="clear" w:color="auto" w:fill="auto"/>
            <w:vAlign w:val="center"/>
          </w:tcPr>
          <w:p w14:paraId="5F6DB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绩效指标</w:t>
            </w:r>
          </w:p>
        </w:tc>
        <w:tc>
          <w:tcPr>
            <w:tcW w:w="727" w:type="pct"/>
            <w:tcBorders>
              <w:tl2br w:val="nil"/>
              <w:tr2bl w:val="nil"/>
            </w:tcBorders>
            <w:shd w:val="clear" w:color="auto" w:fill="auto"/>
            <w:vAlign w:val="center"/>
          </w:tcPr>
          <w:p w14:paraId="17BBA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一级指标</w:t>
            </w:r>
          </w:p>
        </w:tc>
        <w:tc>
          <w:tcPr>
            <w:tcW w:w="750" w:type="pct"/>
            <w:tcBorders>
              <w:tl2br w:val="nil"/>
              <w:tr2bl w:val="nil"/>
            </w:tcBorders>
            <w:shd w:val="clear" w:color="auto" w:fill="auto"/>
            <w:vAlign w:val="center"/>
          </w:tcPr>
          <w:p w14:paraId="10150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二级指标</w:t>
            </w:r>
          </w:p>
        </w:tc>
        <w:tc>
          <w:tcPr>
            <w:tcW w:w="620" w:type="pct"/>
            <w:tcBorders>
              <w:tl2br w:val="nil"/>
              <w:tr2bl w:val="nil"/>
            </w:tcBorders>
            <w:shd w:val="clear" w:color="auto" w:fill="auto"/>
            <w:vAlign w:val="center"/>
          </w:tcPr>
          <w:p w14:paraId="1A4B9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三级指标</w:t>
            </w:r>
          </w:p>
        </w:tc>
        <w:tc>
          <w:tcPr>
            <w:tcW w:w="823" w:type="pct"/>
            <w:tcBorders>
              <w:tl2br w:val="nil"/>
              <w:tr2bl w:val="nil"/>
            </w:tcBorders>
            <w:shd w:val="clear" w:color="auto" w:fill="auto"/>
            <w:vAlign w:val="center"/>
          </w:tcPr>
          <w:p w14:paraId="65728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指标值</w:t>
            </w:r>
          </w:p>
        </w:tc>
        <w:tc>
          <w:tcPr>
            <w:tcW w:w="1628" w:type="pct"/>
            <w:tcBorders>
              <w:tl2br w:val="nil"/>
              <w:tr2bl w:val="nil"/>
            </w:tcBorders>
            <w:shd w:val="clear" w:color="auto" w:fill="auto"/>
            <w:vAlign w:val="center"/>
          </w:tcPr>
          <w:p w14:paraId="1022E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完成值</w:t>
            </w:r>
          </w:p>
        </w:tc>
      </w:tr>
      <w:tr w14:paraId="39663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50" w:type="pct"/>
            <w:vMerge w:val="continue"/>
            <w:tcBorders>
              <w:tl2br w:val="nil"/>
              <w:tr2bl w:val="nil"/>
            </w:tcBorders>
            <w:shd w:val="clear" w:color="auto" w:fill="auto"/>
            <w:vAlign w:val="center"/>
          </w:tcPr>
          <w:p w14:paraId="427F3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restart"/>
            <w:tcBorders>
              <w:tl2br w:val="nil"/>
              <w:tr2bl w:val="nil"/>
            </w:tcBorders>
            <w:shd w:val="clear" w:color="auto" w:fill="auto"/>
            <w:vAlign w:val="center"/>
          </w:tcPr>
          <w:p w14:paraId="1C4C9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产出指标</w:t>
            </w:r>
          </w:p>
        </w:tc>
        <w:tc>
          <w:tcPr>
            <w:tcW w:w="750" w:type="pct"/>
            <w:vMerge w:val="restart"/>
            <w:tcBorders>
              <w:tl2br w:val="nil"/>
              <w:tr2bl w:val="nil"/>
            </w:tcBorders>
            <w:shd w:val="clear" w:color="auto" w:fill="auto"/>
            <w:vAlign w:val="center"/>
          </w:tcPr>
          <w:p w14:paraId="10B95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数量指标</w:t>
            </w:r>
          </w:p>
        </w:tc>
        <w:tc>
          <w:tcPr>
            <w:tcW w:w="620" w:type="pct"/>
            <w:tcBorders>
              <w:tl2br w:val="nil"/>
              <w:tr2bl w:val="nil"/>
            </w:tcBorders>
            <w:shd w:val="clear" w:color="auto" w:fill="auto"/>
            <w:vAlign w:val="center"/>
          </w:tcPr>
          <w:p w14:paraId="3F879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市场监管所标准化建设</w:t>
            </w:r>
          </w:p>
        </w:tc>
        <w:tc>
          <w:tcPr>
            <w:tcW w:w="823" w:type="pct"/>
            <w:tcBorders>
              <w:tl2br w:val="nil"/>
              <w:tr2bl w:val="nil"/>
            </w:tcBorders>
            <w:shd w:val="clear" w:color="auto" w:fill="auto"/>
            <w:vAlign w:val="center"/>
          </w:tcPr>
          <w:p w14:paraId="16212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1628" w:type="pct"/>
            <w:tcBorders>
              <w:tl2br w:val="nil"/>
              <w:tr2bl w:val="nil"/>
            </w:tcBorders>
            <w:shd w:val="clear" w:color="auto" w:fill="auto"/>
            <w:vAlign w:val="center"/>
          </w:tcPr>
          <w:p w14:paraId="6396A5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r>
      <w:tr w14:paraId="63BF3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50" w:type="pct"/>
            <w:vMerge w:val="continue"/>
            <w:tcBorders>
              <w:tl2br w:val="nil"/>
              <w:tr2bl w:val="nil"/>
            </w:tcBorders>
            <w:shd w:val="clear" w:color="auto" w:fill="auto"/>
            <w:vAlign w:val="center"/>
          </w:tcPr>
          <w:p w14:paraId="31107B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26626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6CE2A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4D153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开展特种设备监督检查</w:t>
            </w:r>
          </w:p>
        </w:tc>
        <w:tc>
          <w:tcPr>
            <w:tcW w:w="823" w:type="pct"/>
            <w:tcBorders>
              <w:tl2br w:val="nil"/>
              <w:tr2bl w:val="nil"/>
            </w:tcBorders>
            <w:shd w:val="clear" w:color="auto" w:fill="auto"/>
            <w:vAlign w:val="center"/>
          </w:tcPr>
          <w:p w14:paraId="06713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2场次</w:t>
            </w:r>
          </w:p>
        </w:tc>
        <w:tc>
          <w:tcPr>
            <w:tcW w:w="1628" w:type="pct"/>
            <w:tcBorders>
              <w:tl2br w:val="nil"/>
              <w:tr2bl w:val="nil"/>
            </w:tcBorders>
            <w:shd w:val="clear" w:color="auto" w:fill="auto"/>
            <w:noWrap/>
            <w:vAlign w:val="center"/>
          </w:tcPr>
          <w:p w14:paraId="2C8D0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2场次</w:t>
            </w:r>
          </w:p>
        </w:tc>
      </w:tr>
      <w:tr w14:paraId="19A63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22F5FC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0CA87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66999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23F6D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专利授权</w:t>
            </w:r>
          </w:p>
        </w:tc>
        <w:tc>
          <w:tcPr>
            <w:tcW w:w="823" w:type="pct"/>
            <w:tcBorders>
              <w:tl2br w:val="nil"/>
              <w:tr2bl w:val="nil"/>
            </w:tcBorders>
            <w:shd w:val="clear" w:color="auto" w:fill="auto"/>
            <w:noWrap/>
            <w:vAlign w:val="center"/>
          </w:tcPr>
          <w:p w14:paraId="70E49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170件</w:t>
            </w:r>
          </w:p>
        </w:tc>
        <w:tc>
          <w:tcPr>
            <w:tcW w:w="1628" w:type="pct"/>
            <w:tcBorders>
              <w:tl2br w:val="nil"/>
              <w:tr2bl w:val="nil"/>
            </w:tcBorders>
            <w:shd w:val="clear" w:color="auto" w:fill="auto"/>
            <w:noWrap/>
            <w:vAlign w:val="center"/>
          </w:tcPr>
          <w:p w14:paraId="7F94B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172件</w:t>
            </w:r>
          </w:p>
        </w:tc>
      </w:tr>
      <w:tr w14:paraId="31285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043A8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711D4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15072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noWrap/>
            <w:vAlign w:val="center"/>
          </w:tcPr>
          <w:p w14:paraId="26052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春雷执法立案</w:t>
            </w:r>
          </w:p>
        </w:tc>
        <w:tc>
          <w:tcPr>
            <w:tcW w:w="823" w:type="pct"/>
            <w:tcBorders>
              <w:tl2br w:val="nil"/>
              <w:tr2bl w:val="nil"/>
            </w:tcBorders>
            <w:shd w:val="clear" w:color="auto" w:fill="auto"/>
            <w:vAlign w:val="center"/>
          </w:tcPr>
          <w:p w14:paraId="43832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≥100件</w:t>
            </w:r>
          </w:p>
        </w:tc>
        <w:tc>
          <w:tcPr>
            <w:tcW w:w="1628" w:type="pct"/>
            <w:tcBorders>
              <w:tl2br w:val="nil"/>
              <w:tr2bl w:val="nil"/>
            </w:tcBorders>
            <w:shd w:val="clear" w:color="auto" w:fill="auto"/>
            <w:vAlign w:val="center"/>
          </w:tcPr>
          <w:p w14:paraId="08DBB2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113件</w:t>
            </w:r>
          </w:p>
        </w:tc>
      </w:tr>
      <w:tr w14:paraId="00E88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49C88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7C1DE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3E35D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noWrap/>
            <w:vAlign w:val="center"/>
          </w:tcPr>
          <w:p w14:paraId="6D6A4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罚没款收入</w:t>
            </w:r>
          </w:p>
        </w:tc>
        <w:tc>
          <w:tcPr>
            <w:tcW w:w="823" w:type="pct"/>
            <w:tcBorders>
              <w:tl2br w:val="nil"/>
              <w:tr2bl w:val="nil"/>
            </w:tcBorders>
            <w:shd w:val="clear" w:color="auto" w:fill="auto"/>
            <w:vAlign w:val="center"/>
          </w:tcPr>
          <w:p w14:paraId="55B4D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≥30万元</w:t>
            </w:r>
          </w:p>
        </w:tc>
        <w:tc>
          <w:tcPr>
            <w:tcW w:w="1628" w:type="pct"/>
            <w:tcBorders>
              <w:tl2br w:val="nil"/>
              <w:tr2bl w:val="nil"/>
            </w:tcBorders>
            <w:shd w:val="clear" w:color="auto" w:fill="auto"/>
            <w:vAlign w:val="center"/>
          </w:tcPr>
          <w:p w14:paraId="526F7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60万元</w:t>
            </w:r>
          </w:p>
        </w:tc>
      </w:tr>
      <w:tr w14:paraId="2F266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jc w:val="center"/>
        </w:trPr>
        <w:tc>
          <w:tcPr>
            <w:tcW w:w="450" w:type="pct"/>
            <w:vMerge w:val="continue"/>
            <w:tcBorders>
              <w:tl2br w:val="nil"/>
              <w:tr2bl w:val="nil"/>
            </w:tcBorders>
            <w:shd w:val="clear" w:color="auto" w:fill="auto"/>
            <w:vAlign w:val="center"/>
          </w:tcPr>
          <w:p w14:paraId="6B4FF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7B6B8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3486B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2499B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抽检PET瓶、涂料、燃气灶具等工业产品</w:t>
            </w:r>
          </w:p>
        </w:tc>
        <w:tc>
          <w:tcPr>
            <w:tcW w:w="823" w:type="pct"/>
            <w:tcBorders>
              <w:tl2br w:val="nil"/>
              <w:tr2bl w:val="nil"/>
            </w:tcBorders>
            <w:shd w:val="clear" w:color="auto" w:fill="auto"/>
            <w:vAlign w:val="center"/>
          </w:tcPr>
          <w:p w14:paraId="2C77F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≥60批次</w:t>
            </w:r>
          </w:p>
        </w:tc>
        <w:tc>
          <w:tcPr>
            <w:tcW w:w="1628" w:type="pct"/>
            <w:tcBorders>
              <w:tl2br w:val="nil"/>
              <w:tr2bl w:val="nil"/>
            </w:tcBorders>
            <w:shd w:val="clear" w:color="auto" w:fill="auto"/>
            <w:vAlign w:val="center"/>
          </w:tcPr>
          <w:p w14:paraId="1E6E0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62批次</w:t>
            </w:r>
          </w:p>
        </w:tc>
      </w:tr>
      <w:tr w14:paraId="18ED8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50" w:type="pct"/>
            <w:vMerge w:val="continue"/>
            <w:tcBorders>
              <w:tl2br w:val="nil"/>
              <w:tr2bl w:val="nil"/>
            </w:tcBorders>
            <w:shd w:val="clear" w:color="auto" w:fill="auto"/>
            <w:vAlign w:val="center"/>
          </w:tcPr>
          <w:p w14:paraId="2DB61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6B453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restart"/>
            <w:tcBorders>
              <w:tl2br w:val="nil"/>
              <w:tr2bl w:val="nil"/>
            </w:tcBorders>
            <w:shd w:val="clear" w:color="auto" w:fill="auto"/>
            <w:vAlign w:val="center"/>
          </w:tcPr>
          <w:p w14:paraId="20EBBF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质量指标</w:t>
            </w:r>
          </w:p>
        </w:tc>
        <w:tc>
          <w:tcPr>
            <w:tcW w:w="620" w:type="pct"/>
            <w:tcBorders>
              <w:tl2br w:val="nil"/>
              <w:tr2bl w:val="nil"/>
            </w:tcBorders>
            <w:shd w:val="clear" w:color="auto" w:fill="auto"/>
            <w:vAlign w:val="center"/>
          </w:tcPr>
          <w:p w14:paraId="075EF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市场综合监管各项任务完成率</w:t>
            </w:r>
          </w:p>
        </w:tc>
        <w:tc>
          <w:tcPr>
            <w:tcW w:w="823" w:type="pct"/>
            <w:tcBorders>
              <w:tl2br w:val="nil"/>
              <w:tr2bl w:val="nil"/>
            </w:tcBorders>
            <w:shd w:val="clear" w:color="auto" w:fill="auto"/>
            <w:vAlign w:val="center"/>
          </w:tcPr>
          <w:p w14:paraId="5C9D1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628" w:type="pct"/>
            <w:tcBorders>
              <w:tl2br w:val="nil"/>
              <w:tr2bl w:val="nil"/>
            </w:tcBorders>
            <w:shd w:val="clear" w:color="auto" w:fill="auto"/>
            <w:vAlign w:val="center"/>
          </w:tcPr>
          <w:p w14:paraId="3D487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96.00%</w:t>
            </w:r>
          </w:p>
        </w:tc>
      </w:tr>
      <w:tr w14:paraId="1D2BD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7FEC5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3D3A9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7996C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6980A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春雷执法结案率</w:t>
            </w:r>
          </w:p>
        </w:tc>
        <w:tc>
          <w:tcPr>
            <w:tcW w:w="823" w:type="pct"/>
            <w:tcBorders>
              <w:tl2br w:val="nil"/>
              <w:tr2bl w:val="nil"/>
            </w:tcBorders>
            <w:shd w:val="clear" w:color="auto" w:fill="auto"/>
            <w:vAlign w:val="center"/>
          </w:tcPr>
          <w:p w14:paraId="1B125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628" w:type="pct"/>
            <w:tcBorders>
              <w:tl2br w:val="nil"/>
              <w:tr2bl w:val="nil"/>
            </w:tcBorders>
            <w:shd w:val="clear" w:color="auto" w:fill="auto"/>
            <w:vAlign w:val="center"/>
          </w:tcPr>
          <w:p w14:paraId="26F88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657CD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450" w:type="pct"/>
            <w:vMerge w:val="continue"/>
            <w:tcBorders>
              <w:tl2br w:val="nil"/>
              <w:tr2bl w:val="nil"/>
            </w:tcBorders>
            <w:shd w:val="clear" w:color="auto" w:fill="auto"/>
            <w:vAlign w:val="center"/>
          </w:tcPr>
          <w:p w14:paraId="0F7D2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19FE6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1A47F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623FF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市场监管所标准化建设完成率</w:t>
            </w:r>
          </w:p>
        </w:tc>
        <w:tc>
          <w:tcPr>
            <w:tcW w:w="823" w:type="pct"/>
            <w:tcBorders>
              <w:tl2br w:val="nil"/>
              <w:tr2bl w:val="nil"/>
            </w:tcBorders>
            <w:shd w:val="clear" w:color="auto" w:fill="auto"/>
            <w:vAlign w:val="center"/>
          </w:tcPr>
          <w:p w14:paraId="5E6AD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628" w:type="pct"/>
            <w:tcBorders>
              <w:tl2br w:val="nil"/>
              <w:tr2bl w:val="nil"/>
            </w:tcBorders>
            <w:shd w:val="clear" w:color="auto" w:fill="auto"/>
            <w:vAlign w:val="center"/>
          </w:tcPr>
          <w:p w14:paraId="4256CD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409A6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35F23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5E035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tcBorders>
              <w:tl2br w:val="nil"/>
              <w:tr2bl w:val="nil"/>
            </w:tcBorders>
            <w:shd w:val="clear" w:color="auto" w:fill="auto"/>
            <w:vAlign w:val="center"/>
          </w:tcPr>
          <w:p w14:paraId="21FEF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时效指标</w:t>
            </w:r>
          </w:p>
        </w:tc>
        <w:tc>
          <w:tcPr>
            <w:tcW w:w="620" w:type="pct"/>
            <w:tcBorders>
              <w:tl2br w:val="nil"/>
              <w:tr2bl w:val="nil"/>
            </w:tcBorders>
            <w:shd w:val="clear" w:color="auto" w:fill="auto"/>
            <w:vAlign w:val="center"/>
          </w:tcPr>
          <w:p w14:paraId="3AAAE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项目完成时间</w:t>
            </w:r>
          </w:p>
        </w:tc>
        <w:tc>
          <w:tcPr>
            <w:tcW w:w="823" w:type="pct"/>
            <w:tcBorders>
              <w:tl2br w:val="nil"/>
              <w:tr2bl w:val="nil"/>
            </w:tcBorders>
            <w:shd w:val="clear" w:color="auto" w:fill="auto"/>
            <w:vAlign w:val="center"/>
          </w:tcPr>
          <w:p w14:paraId="33BC0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2023年1月-12月</w:t>
            </w:r>
          </w:p>
        </w:tc>
        <w:tc>
          <w:tcPr>
            <w:tcW w:w="1628" w:type="pct"/>
            <w:tcBorders>
              <w:tl2br w:val="nil"/>
              <w:tr2bl w:val="nil"/>
            </w:tcBorders>
            <w:shd w:val="clear" w:color="auto" w:fill="auto"/>
            <w:vAlign w:val="center"/>
          </w:tcPr>
          <w:p w14:paraId="1CF7A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2023年1月-12月</w:t>
            </w:r>
          </w:p>
        </w:tc>
      </w:tr>
      <w:tr w14:paraId="61D38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1E40D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3D4084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restart"/>
            <w:tcBorders>
              <w:tl2br w:val="nil"/>
              <w:tr2bl w:val="nil"/>
            </w:tcBorders>
            <w:shd w:val="clear" w:color="auto" w:fill="auto"/>
            <w:vAlign w:val="center"/>
          </w:tcPr>
          <w:p w14:paraId="0B55E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成本指标</w:t>
            </w:r>
          </w:p>
        </w:tc>
        <w:tc>
          <w:tcPr>
            <w:tcW w:w="620" w:type="pct"/>
            <w:tcBorders>
              <w:tl2br w:val="nil"/>
              <w:tr2bl w:val="nil"/>
            </w:tcBorders>
            <w:shd w:val="clear" w:color="auto" w:fill="auto"/>
            <w:vAlign w:val="center"/>
          </w:tcPr>
          <w:p w14:paraId="6FBB8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春雷行动成本</w:t>
            </w:r>
          </w:p>
        </w:tc>
        <w:tc>
          <w:tcPr>
            <w:tcW w:w="823" w:type="pct"/>
            <w:tcBorders>
              <w:tl2br w:val="nil"/>
              <w:tr2bl w:val="nil"/>
            </w:tcBorders>
            <w:shd w:val="clear" w:color="auto" w:fill="auto"/>
            <w:vAlign w:val="center"/>
          </w:tcPr>
          <w:p w14:paraId="2CFA9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12万元</w:t>
            </w:r>
          </w:p>
        </w:tc>
        <w:tc>
          <w:tcPr>
            <w:tcW w:w="1628" w:type="pct"/>
            <w:tcBorders>
              <w:tl2br w:val="nil"/>
              <w:tr2bl w:val="nil"/>
            </w:tcBorders>
            <w:shd w:val="clear" w:color="auto" w:fill="auto"/>
            <w:vAlign w:val="center"/>
          </w:tcPr>
          <w:p w14:paraId="565D9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12万元</w:t>
            </w:r>
          </w:p>
        </w:tc>
      </w:tr>
      <w:tr w14:paraId="65446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31488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7FE52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47522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1F6B9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市场综合监管成本</w:t>
            </w:r>
          </w:p>
        </w:tc>
        <w:tc>
          <w:tcPr>
            <w:tcW w:w="823" w:type="pct"/>
            <w:tcBorders>
              <w:tl2br w:val="nil"/>
              <w:tr2bl w:val="nil"/>
            </w:tcBorders>
            <w:shd w:val="clear" w:color="auto" w:fill="auto"/>
            <w:vAlign w:val="center"/>
          </w:tcPr>
          <w:p w14:paraId="6FAA9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20万元</w:t>
            </w:r>
          </w:p>
        </w:tc>
        <w:tc>
          <w:tcPr>
            <w:tcW w:w="1628" w:type="pct"/>
            <w:tcBorders>
              <w:tl2br w:val="nil"/>
              <w:tr2bl w:val="nil"/>
            </w:tcBorders>
            <w:shd w:val="clear" w:color="auto" w:fill="auto"/>
            <w:vAlign w:val="center"/>
          </w:tcPr>
          <w:p w14:paraId="6A7AD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20万元</w:t>
            </w:r>
          </w:p>
        </w:tc>
      </w:tr>
      <w:tr w14:paraId="522E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3DD1E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restart"/>
            <w:tcBorders>
              <w:tl2br w:val="nil"/>
              <w:tr2bl w:val="nil"/>
            </w:tcBorders>
            <w:shd w:val="clear" w:color="auto" w:fill="auto"/>
            <w:vAlign w:val="center"/>
          </w:tcPr>
          <w:p w14:paraId="7D9AD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效益指标</w:t>
            </w:r>
          </w:p>
        </w:tc>
        <w:tc>
          <w:tcPr>
            <w:tcW w:w="750" w:type="pct"/>
            <w:vMerge w:val="restart"/>
            <w:tcBorders>
              <w:tl2br w:val="nil"/>
              <w:tr2bl w:val="nil"/>
            </w:tcBorders>
            <w:shd w:val="clear" w:color="auto" w:fill="auto"/>
            <w:vAlign w:val="center"/>
          </w:tcPr>
          <w:p w14:paraId="0081E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社会效益指标</w:t>
            </w:r>
          </w:p>
        </w:tc>
        <w:tc>
          <w:tcPr>
            <w:tcW w:w="620" w:type="pct"/>
            <w:tcBorders>
              <w:tl2br w:val="nil"/>
              <w:tr2bl w:val="nil"/>
            </w:tcBorders>
            <w:shd w:val="clear" w:color="auto" w:fill="auto"/>
            <w:vAlign w:val="center"/>
          </w:tcPr>
          <w:p w14:paraId="23986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市场综合监管水平</w:t>
            </w:r>
          </w:p>
        </w:tc>
        <w:tc>
          <w:tcPr>
            <w:tcW w:w="823" w:type="pct"/>
            <w:tcBorders>
              <w:tl2br w:val="nil"/>
              <w:tr2bl w:val="nil"/>
            </w:tcBorders>
            <w:shd w:val="clear" w:color="auto" w:fill="auto"/>
            <w:vAlign w:val="center"/>
          </w:tcPr>
          <w:p w14:paraId="21C50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逐步提高</w:t>
            </w:r>
          </w:p>
        </w:tc>
        <w:tc>
          <w:tcPr>
            <w:tcW w:w="1628" w:type="pct"/>
            <w:tcBorders>
              <w:tl2br w:val="nil"/>
              <w:tr2bl w:val="nil"/>
            </w:tcBorders>
            <w:shd w:val="clear" w:color="auto" w:fill="auto"/>
            <w:vAlign w:val="center"/>
          </w:tcPr>
          <w:p w14:paraId="65868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逐步提高</w:t>
            </w:r>
          </w:p>
        </w:tc>
      </w:tr>
      <w:tr w14:paraId="7867C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50" w:type="pct"/>
            <w:vMerge w:val="continue"/>
            <w:tcBorders>
              <w:tl2br w:val="nil"/>
              <w:tr2bl w:val="nil"/>
            </w:tcBorders>
            <w:shd w:val="clear" w:color="auto" w:fill="auto"/>
            <w:vAlign w:val="center"/>
          </w:tcPr>
          <w:p w14:paraId="04984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4612C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6A0476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57DC6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系统性、区域性重大质量安全事故</w:t>
            </w:r>
          </w:p>
        </w:tc>
        <w:tc>
          <w:tcPr>
            <w:tcW w:w="823" w:type="pct"/>
            <w:tcBorders>
              <w:tl2br w:val="nil"/>
              <w:tr2bl w:val="nil"/>
            </w:tcBorders>
            <w:shd w:val="clear" w:color="auto" w:fill="auto"/>
            <w:vAlign w:val="center"/>
          </w:tcPr>
          <w:p w14:paraId="3F5FB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0次</w:t>
            </w:r>
          </w:p>
        </w:tc>
        <w:tc>
          <w:tcPr>
            <w:tcW w:w="1628" w:type="pct"/>
            <w:tcBorders>
              <w:tl2br w:val="nil"/>
              <w:tr2bl w:val="nil"/>
            </w:tcBorders>
            <w:shd w:val="clear" w:color="auto" w:fill="auto"/>
            <w:vAlign w:val="center"/>
          </w:tcPr>
          <w:p w14:paraId="758B2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0次</w:t>
            </w:r>
          </w:p>
        </w:tc>
      </w:tr>
      <w:tr w14:paraId="49F73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50" w:type="pct"/>
            <w:vMerge w:val="continue"/>
            <w:tcBorders>
              <w:tl2br w:val="nil"/>
              <w:tr2bl w:val="nil"/>
            </w:tcBorders>
            <w:shd w:val="clear" w:color="auto" w:fill="auto"/>
            <w:vAlign w:val="center"/>
          </w:tcPr>
          <w:p w14:paraId="31EE94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3F585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7828F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25442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公平竞争的市场秩序</w:t>
            </w:r>
          </w:p>
        </w:tc>
        <w:tc>
          <w:tcPr>
            <w:tcW w:w="823" w:type="pct"/>
            <w:tcBorders>
              <w:tl2br w:val="nil"/>
              <w:tr2bl w:val="nil"/>
            </w:tcBorders>
            <w:shd w:val="clear" w:color="auto" w:fill="auto"/>
            <w:vAlign w:val="center"/>
          </w:tcPr>
          <w:p w14:paraId="3FE43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逐步提高</w:t>
            </w:r>
          </w:p>
        </w:tc>
        <w:tc>
          <w:tcPr>
            <w:tcW w:w="1628" w:type="pct"/>
            <w:tcBorders>
              <w:tl2br w:val="nil"/>
              <w:tr2bl w:val="nil"/>
            </w:tcBorders>
            <w:shd w:val="clear" w:color="auto" w:fill="auto"/>
            <w:vAlign w:val="center"/>
          </w:tcPr>
          <w:p w14:paraId="688D6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逐步提高</w:t>
            </w:r>
          </w:p>
        </w:tc>
      </w:tr>
      <w:tr w14:paraId="06E65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450" w:type="pct"/>
            <w:vMerge w:val="continue"/>
            <w:tcBorders>
              <w:tl2br w:val="nil"/>
              <w:tr2bl w:val="nil"/>
            </w:tcBorders>
            <w:shd w:val="clear" w:color="auto" w:fill="auto"/>
            <w:vAlign w:val="center"/>
          </w:tcPr>
          <w:p w14:paraId="13A1B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32C8E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1B3EA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23C27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营造健康有序市场消费环境</w:t>
            </w:r>
          </w:p>
        </w:tc>
        <w:tc>
          <w:tcPr>
            <w:tcW w:w="823" w:type="pct"/>
            <w:tcBorders>
              <w:tl2br w:val="nil"/>
              <w:tr2bl w:val="nil"/>
            </w:tcBorders>
            <w:shd w:val="clear" w:color="auto" w:fill="auto"/>
            <w:vAlign w:val="center"/>
          </w:tcPr>
          <w:p w14:paraId="17EA8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不断提升</w:t>
            </w:r>
          </w:p>
        </w:tc>
        <w:tc>
          <w:tcPr>
            <w:tcW w:w="1628" w:type="pct"/>
            <w:tcBorders>
              <w:tl2br w:val="nil"/>
              <w:tr2bl w:val="nil"/>
            </w:tcBorders>
            <w:shd w:val="clear" w:color="auto" w:fill="auto"/>
            <w:vAlign w:val="center"/>
          </w:tcPr>
          <w:p w14:paraId="0113E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不断提升</w:t>
            </w:r>
          </w:p>
        </w:tc>
      </w:tr>
      <w:tr w14:paraId="05193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450" w:type="pct"/>
            <w:vMerge w:val="continue"/>
            <w:tcBorders>
              <w:tl2br w:val="nil"/>
              <w:tr2bl w:val="nil"/>
            </w:tcBorders>
            <w:shd w:val="clear" w:color="auto" w:fill="auto"/>
            <w:vAlign w:val="center"/>
          </w:tcPr>
          <w:p w14:paraId="79568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634C4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restart"/>
            <w:tcBorders>
              <w:tl2br w:val="nil"/>
              <w:tr2bl w:val="nil"/>
            </w:tcBorders>
            <w:shd w:val="clear" w:color="auto" w:fill="auto"/>
            <w:vAlign w:val="center"/>
          </w:tcPr>
          <w:p w14:paraId="6E0AE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可持续影响指标</w:t>
            </w:r>
          </w:p>
        </w:tc>
        <w:tc>
          <w:tcPr>
            <w:tcW w:w="620" w:type="pct"/>
            <w:tcBorders>
              <w:tl2br w:val="nil"/>
              <w:tr2bl w:val="nil"/>
            </w:tcBorders>
            <w:shd w:val="clear" w:color="auto" w:fill="auto"/>
            <w:vAlign w:val="center"/>
          </w:tcPr>
          <w:p w14:paraId="58938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通过监督抽查、风险监测、证后监管等保障人民生命财产健康安全</w:t>
            </w:r>
          </w:p>
        </w:tc>
        <w:tc>
          <w:tcPr>
            <w:tcW w:w="823" w:type="pct"/>
            <w:tcBorders>
              <w:tl2br w:val="nil"/>
              <w:tr2bl w:val="nil"/>
            </w:tcBorders>
            <w:shd w:val="clear" w:color="auto" w:fill="auto"/>
            <w:vAlign w:val="center"/>
          </w:tcPr>
          <w:p w14:paraId="12F0C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持续影响</w:t>
            </w:r>
          </w:p>
        </w:tc>
        <w:tc>
          <w:tcPr>
            <w:tcW w:w="1628" w:type="pct"/>
            <w:tcBorders>
              <w:tl2br w:val="nil"/>
              <w:tr2bl w:val="nil"/>
            </w:tcBorders>
            <w:shd w:val="clear" w:color="auto" w:fill="auto"/>
            <w:vAlign w:val="center"/>
          </w:tcPr>
          <w:p w14:paraId="13422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持续影响</w:t>
            </w:r>
          </w:p>
        </w:tc>
      </w:tr>
      <w:tr w14:paraId="7AF47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50" w:type="pct"/>
            <w:vMerge w:val="continue"/>
            <w:tcBorders>
              <w:tl2br w:val="nil"/>
              <w:tr2bl w:val="nil"/>
            </w:tcBorders>
            <w:shd w:val="clear" w:color="auto" w:fill="auto"/>
            <w:vAlign w:val="center"/>
          </w:tcPr>
          <w:p w14:paraId="19DC1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vMerge w:val="continue"/>
            <w:tcBorders>
              <w:tl2br w:val="nil"/>
              <w:tr2bl w:val="nil"/>
            </w:tcBorders>
            <w:shd w:val="clear" w:color="auto" w:fill="auto"/>
            <w:vAlign w:val="center"/>
          </w:tcPr>
          <w:p w14:paraId="01A8B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50" w:type="pct"/>
            <w:vMerge w:val="continue"/>
            <w:tcBorders>
              <w:tl2br w:val="nil"/>
              <w:tr2bl w:val="nil"/>
            </w:tcBorders>
            <w:shd w:val="clear" w:color="auto" w:fill="auto"/>
            <w:vAlign w:val="center"/>
          </w:tcPr>
          <w:p w14:paraId="78EC0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620" w:type="pct"/>
            <w:tcBorders>
              <w:tl2br w:val="nil"/>
              <w:tr2bl w:val="nil"/>
            </w:tcBorders>
            <w:shd w:val="clear" w:color="auto" w:fill="auto"/>
            <w:vAlign w:val="center"/>
          </w:tcPr>
          <w:p w14:paraId="2FFDF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执法办案水平</w:t>
            </w:r>
          </w:p>
        </w:tc>
        <w:tc>
          <w:tcPr>
            <w:tcW w:w="823" w:type="pct"/>
            <w:tcBorders>
              <w:tl2br w:val="nil"/>
              <w:tr2bl w:val="nil"/>
            </w:tcBorders>
            <w:shd w:val="clear" w:color="auto" w:fill="auto"/>
            <w:vAlign w:val="center"/>
          </w:tcPr>
          <w:p w14:paraId="7F291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不断提升</w:t>
            </w:r>
          </w:p>
        </w:tc>
        <w:tc>
          <w:tcPr>
            <w:tcW w:w="1628" w:type="pct"/>
            <w:tcBorders>
              <w:tl2br w:val="nil"/>
              <w:tr2bl w:val="nil"/>
            </w:tcBorders>
            <w:shd w:val="clear" w:color="auto" w:fill="auto"/>
            <w:vAlign w:val="center"/>
          </w:tcPr>
          <w:p w14:paraId="29B84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不断提升</w:t>
            </w:r>
          </w:p>
        </w:tc>
      </w:tr>
      <w:tr w14:paraId="11636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jc w:val="center"/>
        </w:trPr>
        <w:tc>
          <w:tcPr>
            <w:tcW w:w="450" w:type="pct"/>
            <w:vMerge w:val="continue"/>
            <w:tcBorders>
              <w:tl2br w:val="nil"/>
              <w:tr2bl w:val="nil"/>
            </w:tcBorders>
            <w:shd w:val="clear" w:color="auto" w:fill="auto"/>
            <w:vAlign w:val="center"/>
          </w:tcPr>
          <w:p w14:paraId="7216A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eastAsia" w:ascii="宋体" w:hAnsi="宋体" w:eastAsia="宋体" w:cs="宋体"/>
                <w:i w:val="0"/>
                <w:iCs w:val="0"/>
                <w:color w:val="000000"/>
                <w:sz w:val="21"/>
                <w:szCs w:val="21"/>
                <w:u w:val="none"/>
              </w:rPr>
            </w:pPr>
          </w:p>
        </w:tc>
        <w:tc>
          <w:tcPr>
            <w:tcW w:w="727" w:type="pct"/>
            <w:tcBorders>
              <w:tl2br w:val="nil"/>
              <w:tr2bl w:val="nil"/>
            </w:tcBorders>
            <w:shd w:val="clear" w:color="auto" w:fill="auto"/>
            <w:vAlign w:val="center"/>
          </w:tcPr>
          <w:p w14:paraId="60EA7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满意度指标</w:t>
            </w:r>
          </w:p>
        </w:tc>
        <w:tc>
          <w:tcPr>
            <w:tcW w:w="750" w:type="pct"/>
            <w:tcBorders>
              <w:tl2br w:val="nil"/>
              <w:tr2bl w:val="nil"/>
            </w:tcBorders>
            <w:shd w:val="clear" w:color="auto" w:fill="auto"/>
            <w:vAlign w:val="center"/>
          </w:tcPr>
          <w:p w14:paraId="66F42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公众满意度指标</w:t>
            </w:r>
          </w:p>
        </w:tc>
        <w:tc>
          <w:tcPr>
            <w:tcW w:w="620" w:type="pct"/>
            <w:tcBorders>
              <w:tl2br w:val="nil"/>
              <w:tr2bl w:val="nil"/>
            </w:tcBorders>
            <w:shd w:val="clear" w:color="auto" w:fill="auto"/>
            <w:vAlign w:val="center"/>
          </w:tcPr>
          <w:p w14:paraId="26417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服务对象及受益群众</w:t>
            </w:r>
          </w:p>
        </w:tc>
        <w:tc>
          <w:tcPr>
            <w:tcW w:w="823" w:type="pct"/>
            <w:tcBorders>
              <w:tl2br w:val="nil"/>
              <w:tr2bl w:val="nil"/>
            </w:tcBorders>
            <w:shd w:val="clear" w:color="auto" w:fill="auto"/>
            <w:vAlign w:val="center"/>
          </w:tcPr>
          <w:p w14:paraId="51A7C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628" w:type="pct"/>
            <w:tcBorders>
              <w:tl2br w:val="nil"/>
              <w:tr2bl w:val="nil"/>
            </w:tcBorders>
            <w:shd w:val="clear" w:color="auto" w:fill="auto"/>
            <w:vAlign w:val="center"/>
          </w:tcPr>
          <w:p w14:paraId="4EBC6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r>
    </w:tbl>
    <w:p w14:paraId="330D30FF">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9"/>
        <w:gridCol w:w="712"/>
        <w:gridCol w:w="770"/>
        <w:gridCol w:w="1110"/>
        <w:gridCol w:w="1380"/>
        <w:gridCol w:w="1210"/>
        <w:gridCol w:w="1120"/>
        <w:gridCol w:w="2554"/>
      </w:tblGrid>
      <w:tr w14:paraId="5C462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000" w:type="pct"/>
            <w:gridSpan w:val="8"/>
            <w:tcBorders>
              <w:top w:val="nil"/>
              <w:left w:val="nil"/>
              <w:bottom w:val="nil"/>
              <w:right w:val="nil"/>
            </w:tcBorders>
            <w:shd w:val="clear" w:color="auto" w:fill="auto"/>
            <w:vAlign w:val="center"/>
          </w:tcPr>
          <w:p w14:paraId="0C81763D">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293F1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single" w:color="000000" w:sz="4" w:space="0"/>
              <w:right w:val="nil"/>
            </w:tcBorders>
            <w:shd w:val="clear" w:color="auto" w:fill="auto"/>
            <w:vAlign w:val="top"/>
          </w:tcPr>
          <w:p w14:paraId="3B09E53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39956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ACA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33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2A3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质量技术监管工作经费</w:t>
            </w:r>
          </w:p>
        </w:tc>
      </w:tr>
      <w:tr w14:paraId="760A9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F60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17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D2A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A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9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82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1C758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E93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87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41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C36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6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D40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3A796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31A8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F2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5D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B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0D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48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9E38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1A6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14A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73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DC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6E9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E9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787AB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DE2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5B9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96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06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8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F75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2E6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74E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6F0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E91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120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3BF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175D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A7D7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13B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064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69F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93C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824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39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08F7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6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550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8B9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607FD">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45D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BAE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A97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1E6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746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11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3D7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59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20F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1AFF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421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1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1E6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贯彻落实质量强国及四川省“十四五”质量发展规划，规范市场竞争行为。一是强化农业标准化示范区创建工作，着力指导昭化造“天府名品”认证企业1家。二是加大宣传、培训，为辖区内企业及时提供技术帮扶。三是做好日常指导，提升产品核心竞争力。四是加强对辖区内计量器具的检定、监督，提高检定覆盖率。五是加强认证认可（有机产品）的监管。规范辖区内检验检测机构的推动企业走上以质取胜“服务，加大辖区内产品的监督抽检、动相关产业的结构调整和产品升级，提高企业核心竞争力，推动企业走上以质取胜</w:t>
            </w:r>
          </w:p>
        </w:tc>
        <w:tc>
          <w:tcPr>
            <w:tcW w:w="259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0DE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贯彻落实质量强国及四川省“十四五”质量发展规划，规范市场竞争行为。一是强化农业标准化示范区创建工作，着力指导昭化造“天府名品”认证企业1家。二是加大宣传、培训，为辖区内企业及时提供技术帮扶。三是做好日常指导，提升产品核心竞争力。四是加强对辖区内计量器具的检定、监督，提高检定覆盖率。五是加强认证认可（有机产品）的监管。规范辖区内检验检测机构的推动企业走上以质取胜“服务，加大辖区内产品的监督抽检、动相关产业的结构调整和产品升级，提高企业核心竞争力，推动企业走上以质取胜</w:t>
            </w:r>
          </w:p>
        </w:tc>
      </w:tr>
      <w:tr w14:paraId="3306A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E2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A4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C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二级</w:t>
            </w:r>
          </w:p>
          <w:p w14:paraId="09CFF7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13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4F8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69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708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918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608E2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AAF5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3C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CE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45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20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指导昭化造“天府名品”认证企业数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003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≥1家</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79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1家</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6C9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96DD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2BA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07D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FFD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A60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24F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开展质量监管抽检工作</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EA4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≥20批次</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0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20批次</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D8F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F581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66E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AE0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77D7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00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BD6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开展各类专项检查</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464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≥14次</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0F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15次</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B90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2E74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070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C51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EA6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B0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指标4：</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E3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牵头对4个行业的检验检测机构“双随机、一公开”检查</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05C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≥4人次</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9F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4人次</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42A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B626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AF8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nil"/>
              <w:right w:val="single" w:color="000000" w:sz="4" w:space="0"/>
            </w:tcBorders>
            <w:shd w:val="clear" w:color="auto" w:fill="auto"/>
            <w:vAlign w:val="center"/>
          </w:tcPr>
          <w:p w14:paraId="0D801F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vMerge w:val="continue"/>
            <w:tcBorders>
              <w:top w:val="single" w:color="000000" w:sz="4" w:space="0"/>
              <w:left w:val="single" w:color="000000" w:sz="4" w:space="0"/>
              <w:bottom w:val="nil"/>
              <w:right w:val="single" w:color="000000" w:sz="4" w:space="0"/>
            </w:tcBorders>
            <w:shd w:val="clear" w:color="auto" w:fill="auto"/>
            <w:vAlign w:val="center"/>
          </w:tcPr>
          <w:p w14:paraId="7D5FEC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A5D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指标5：</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B29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开展质量技术培训</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DA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≥4场次</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3B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4场次</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D5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C900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3029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nil"/>
              <w:right w:val="single" w:color="000000" w:sz="4" w:space="0"/>
            </w:tcBorders>
            <w:shd w:val="clear" w:color="auto" w:fill="auto"/>
            <w:vAlign w:val="center"/>
          </w:tcPr>
          <w:p w14:paraId="05E6866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vMerge w:val="continue"/>
            <w:tcBorders>
              <w:top w:val="single" w:color="000000" w:sz="4" w:space="0"/>
              <w:left w:val="single" w:color="000000" w:sz="4" w:space="0"/>
              <w:bottom w:val="nil"/>
              <w:right w:val="single" w:color="000000" w:sz="4" w:space="0"/>
            </w:tcBorders>
            <w:shd w:val="clear" w:color="auto" w:fill="auto"/>
            <w:vAlign w:val="center"/>
          </w:tcPr>
          <w:p w14:paraId="043262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0C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指标6：</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A4C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开展计量惠民活动</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80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≥4场次</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61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4场次</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5B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74D8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DF5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nil"/>
              <w:right w:val="single" w:color="000000" w:sz="4" w:space="0"/>
            </w:tcBorders>
            <w:shd w:val="clear" w:color="auto" w:fill="auto"/>
            <w:vAlign w:val="center"/>
          </w:tcPr>
          <w:p w14:paraId="17F958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61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4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26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全区产品质量监管覆盖率（监管数/应监管数）</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28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13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B96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80E3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60D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nil"/>
              <w:right w:val="single" w:color="000000" w:sz="4" w:space="0"/>
            </w:tcBorders>
            <w:shd w:val="clear" w:color="auto" w:fill="auto"/>
            <w:vAlign w:val="center"/>
          </w:tcPr>
          <w:p w14:paraId="0F9930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9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47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51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项目完成时限</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85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2023年12月前</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20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2023年12月</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1DF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ABF1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847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nil"/>
              <w:right w:val="single" w:color="000000" w:sz="4" w:space="0"/>
            </w:tcBorders>
            <w:shd w:val="clear" w:color="auto" w:fill="auto"/>
            <w:vAlign w:val="center"/>
          </w:tcPr>
          <w:p w14:paraId="2D19B4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47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16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101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抽检经费、培训费、资料印刷、差旅费等</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B81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10万元</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32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10万元</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071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B08D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4B1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vMerge w:val="continue"/>
            <w:tcBorders>
              <w:top w:val="single" w:color="000000" w:sz="4" w:space="0"/>
              <w:left w:val="single" w:color="000000" w:sz="4" w:space="0"/>
              <w:bottom w:val="nil"/>
              <w:right w:val="single" w:color="000000" w:sz="4" w:space="0"/>
            </w:tcBorders>
            <w:shd w:val="clear" w:color="auto" w:fill="auto"/>
            <w:vAlign w:val="center"/>
          </w:tcPr>
          <w:p w14:paraId="5CEB41B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9" w:type="pct"/>
            <w:tcBorders>
              <w:top w:val="single" w:color="000000" w:sz="4" w:space="0"/>
              <w:left w:val="single" w:color="000000" w:sz="4" w:space="0"/>
              <w:bottom w:val="nil"/>
              <w:right w:val="single" w:color="000000" w:sz="4" w:space="0"/>
            </w:tcBorders>
            <w:shd w:val="clear" w:color="auto" w:fill="auto"/>
            <w:vAlign w:val="center"/>
          </w:tcPr>
          <w:p w14:paraId="311B1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C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6A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全力维护全区产品质量，提供安全放心消费环境</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00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优良中差</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0E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E3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全区产品质量安全率达90%以上为优，80-90%良，70-80%为中，70%以下为差。</w:t>
            </w:r>
          </w:p>
        </w:tc>
      </w:tr>
      <w:tr w14:paraId="69408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0B7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F1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48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9C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24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产品质量监管对象</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0D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719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A53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7DDEE067">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5"/>
        <w:gridCol w:w="718"/>
        <w:gridCol w:w="825"/>
        <w:gridCol w:w="857"/>
        <w:gridCol w:w="1227"/>
        <w:gridCol w:w="1204"/>
        <w:gridCol w:w="1244"/>
        <w:gridCol w:w="2495"/>
      </w:tblGrid>
      <w:tr w14:paraId="307FC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000" w:type="pct"/>
            <w:gridSpan w:val="8"/>
            <w:tcBorders>
              <w:top w:val="nil"/>
              <w:left w:val="nil"/>
              <w:bottom w:val="nil"/>
              <w:right w:val="nil"/>
            </w:tcBorders>
            <w:shd w:val="clear" w:color="auto" w:fill="auto"/>
            <w:noWrap/>
            <w:vAlign w:val="center"/>
          </w:tcPr>
          <w:p w14:paraId="09E520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608E5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5EC6153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54303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0D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17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B61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乡镇补贴</w:t>
            </w:r>
          </w:p>
        </w:tc>
      </w:tr>
      <w:tr w14:paraId="2F4E9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F3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154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3E4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67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9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5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086C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76971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895" w:type="pct"/>
            <w:gridSpan w:val="2"/>
            <w:tcBorders>
              <w:top w:val="nil"/>
              <w:left w:val="single" w:color="000000" w:sz="4" w:space="0"/>
              <w:bottom w:val="single" w:color="000000" w:sz="4" w:space="0"/>
              <w:right w:val="single" w:color="000000" w:sz="4" w:space="0"/>
            </w:tcBorders>
            <w:shd w:val="clear" w:color="auto" w:fill="auto"/>
            <w:vAlign w:val="center"/>
          </w:tcPr>
          <w:p w14:paraId="76DFB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652" w:type="pct"/>
            <w:tcBorders>
              <w:top w:val="nil"/>
              <w:left w:val="single" w:color="000000" w:sz="4" w:space="0"/>
              <w:bottom w:val="single" w:color="000000" w:sz="4" w:space="0"/>
              <w:right w:val="single" w:color="000000" w:sz="4" w:space="0"/>
            </w:tcBorders>
            <w:shd w:val="clear" w:color="auto" w:fill="auto"/>
            <w:vAlign w:val="center"/>
          </w:tcPr>
          <w:p w14:paraId="2125D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3975D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662" w:type="pct"/>
            <w:tcBorders>
              <w:top w:val="nil"/>
              <w:left w:val="single" w:color="000000" w:sz="4" w:space="0"/>
              <w:bottom w:val="single" w:color="000000" w:sz="4" w:space="0"/>
              <w:right w:val="single" w:color="000000" w:sz="4" w:space="0"/>
            </w:tcBorders>
            <w:shd w:val="clear" w:color="auto" w:fill="auto"/>
            <w:vAlign w:val="center"/>
          </w:tcPr>
          <w:p w14:paraId="2DFAB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326" w:type="pct"/>
            <w:tcBorders>
              <w:top w:val="nil"/>
              <w:left w:val="single" w:color="000000" w:sz="4" w:space="0"/>
              <w:bottom w:val="single" w:color="000000" w:sz="4" w:space="0"/>
              <w:right w:val="single" w:color="000000" w:sz="4" w:space="0"/>
            </w:tcBorders>
            <w:shd w:val="clear" w:color="auto" w:fill="auto"/>
            <w:vAlign w:val="center"/>
          </w:tcPr>
          <w:p w14:paraId="6CDB6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775B8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41ABD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728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301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6F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03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12F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736D0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CBEAF7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C1A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A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D3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3D2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B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7C177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9B94D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BA2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90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7F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D4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17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7274D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223F9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B535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C9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0D57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8D7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658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22EB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27CA7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F2C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3C2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98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150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A7E7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2E62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DB2F5D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42E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4C9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C5C9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73F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297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C9F0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02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19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27A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6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F4C9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35D6B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64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9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D62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市场监管局</w:t>
            </w:r>
            <w:r>
              <w:rPr>
                <w:rFonts w:hint="eastAsia" w:ascii="宋体" w:hAnsi="宋体" w:eastAsia="宋体" w:cs="宋体"/>
                <w:i w:val="0"/>
                <w:iCs w:val="0"/>
                <w:color w:val="000000"/>
                <w:kern w:val="0"/>
                <w:sz w:val="18"/>
                <w:szCs w:val="18"/>
                <w:u w:val="none"/>
                <w:lang w:val="en-US" w:eastAsia="zh-CN" w:bidi="ar"/>
              </w:rPr>
              <w:t>5个基层所21个人员乡镇工作补贴，提高基层所人员工作积极性。</w:t>
            </w:r>
          </w:p>
        </w:tc>
        <w:tc>
          <w:tcPr>
            <w:tcW w:w="26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353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市场监管局</w:t>
            </w:r>
            <w:r>
              <w:rPr>
                <w:rFonts w:hint="eastAsia" w:ascii="宋体" w:hAnsi="宋体" w:eastAsia="宋体" w:cs="宋体"/>
                <w:i w:val="0"/>
                <w:iCs w:val="0"/>
                <w:color w:val="000000"/>
                <w:kern w:val="0"/>
                <w:sz w:val="18"/>
                <w:szCs w:val="18"/>
                <w:u w:val="none"/>
                <w:lang w:val="en-US" w:eastAsia="zh-CN" w:bidi="ar"/>
              </w:rPr>
              <w:t>5个基层所21个人员乡镇工作补贴，提高基层所人员工作积极性。</w:t>
            </w:r>
          </w:p>
        </w:tc>
      </w:tr>
      <w:tr w14:paraId="53ABC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A3F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2A0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5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E98A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FE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3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6D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4313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DD2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82" w:type="pct"/>
            <w:vMerge w:val="restart"/>
            <w:tcBorders>
              <w:top w:val="single" w:color="000000" w:sz="4" w:space="0"/>
              <w:left w:val="single" w:color="000000" w:sz="4" w:space="0"/>
              <w:bottom w:val="nil"/>
              <w:right w:val="single" w:color="000000" w:sz="4" w:space="0"/>
            </w:tcBorders>
            <w:shd w:val="clear" w:color="auto" w:fill="auto"/>
            <w:vAlign w:val="center"/>
          </w:tcPr>
          <w:p w14:paraId="1E3F3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439" w:type="pct"/>
            <w:tcBorders>
              <w:top w:val="single" w:color="000000" w:sz="4" w:space="0"/>
              <w:left w:val="single" w:color="000000" w:sz="4" w:space="0"/>
              <w:bottom w:val="nil"/>
              <w:right w:val="single" w:color="000000" w:sz="4" w:space="0"/>
            </w:tcBorders>
            <w:shd w:val="clear" w:color="auto" w:fill="auto"/>
            <w:vAlign w:val="center"/>
          </w:tcPr>
          <w:p w14:paraId="4E7B1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D9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F7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基层工作享受乡镇补贴人员</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65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21人</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4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21人</w:t>
            </w:r>
          </w:p>
        </w:tc>
        <w:tc>
          <w:tcPr>
            <w:tcW w:w="13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25C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E756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B40B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82" w:type="pct"/>
            <w:vMerge w:val="continue"/>
            <w:tcBorders>
              <w:top w:val="single" w:color="000000" w:sz="4" w:space="0"/>
              <w:left w:val="single" w:color="000000" w:sz="4" w:space="0"/>
              <w:bottom w:val="nil"/>
              <w:right w:val="single" w:color="000000" w:sz="4" w:space="0"/>
            </w:tcBorders>
            <w:shd w:val="clear" w:color="auto" w:fill="auto"/>
            <w:vAlign w:val="center"/>
          </w:tcPr>
          <w:p w14:paraId="077A69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1C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1C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0B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基层人员保障率（发放人数/应发放人数）</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7B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52F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68A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B29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97A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82" w:type="pct"/>
            <w:vMerge w:val="continue"/>
            <w:tcBorders>
              <w:top w:val="single" w:color="000000" w:sz="4" w:space="0"/>
              <w:left w:val="single" w:color="000000" w:sz="4" w:space="0"/>
              <w:bottom w:val="nil"/>
              <w:right w:val="single" w:color="000000" w:sz="4" w:space="0"/>
            </w:tcBorders>
            <w:shd w:val="clear" w:color="auto" w:fill="auto"/>
            <w:vAlign w:val="center"/>
          </w:tcPr>
          <w:p w14:paraId="73DDBD2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F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850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4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发放时间</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E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≤5天</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4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5天</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BE8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AE6D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06D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82" w:type="pct"/>
            <w:vMerge w:val="continue"/>
            <w:tcBorders>
              <w:top w:val="single" w:color="000000" w:sz="4" w:space="0"/>
              <w:left w:val="single" w:color="000000" w:sz="4" w:space="0"/>
              <w:bottom w:val="nil"/>
              <w:right w:val="single" w:color="000000" w:sz="4" w:space="0"/>
            </w:tcBorders>
            <w:shd w:val="clear" w:color="auto" w:fill="auto"/>
            <w:vAlign w:val="center"/>
          </w:tcPr>
          <w:p w14:paraId="38BB58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D2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21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FC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基层工作人员补贴经费控制在预算范围内</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A0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≤5.59万元</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F3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5.59万元</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DDA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8C9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DFA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82" w:type="pct"/>
            <w:vMerge w:val="continue"/>
            <w:tcBorders>
              <w:top w:val="single" w:color="000000" w:sz="4" w:space="0"/>
              <w:left w:val="single" w:color="000000" w:sz="4" w:space="0"/>
              <w:bottom w:val="nil"/>
              <w:right w:val="single" w:color="000000" w:sz="4" w:space="0"/>
            </w:tcBorders>
            <w:shd w:val="clear" w:color="auto" w:fill="auto"/>
            <w:vAlign w:val="center"/>
          </w:tcPr>
          <w:p w14:paraId="35C016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9" w:type="pct"/>
            <w:tcBorders>
              <w:top w:val="single" w:color="000000" w:sz="4" w:space="0"/>
              <w:left w:val="single" w:color="000000" w:sz="4" w:space="0"/>
              <w:bottom w:val="nil"/>
              <w:right w:val="single" w:color="000000" w:sz="4" w:space="0"/>
            </w:tcBorders>
            <w:shd w:val="clear" w:color="auto" w:fill="auto"/>
            <w:vAlign w:val="center"/>
          </w:tcPr>
          <w:p w14:paraId="5AACA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EE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E0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基层人员工作积极性</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B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FC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AD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3D81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0F0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F9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00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8F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888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基层工作人员满意度</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4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B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D7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0335ED75">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4"/>
        <w:gridCol w:w="836"/>
        <w:gridCol w:w="814"/>
        <w:gridCol w:w="817"/>
        <w:gridCol w:w="1342"/>
        <w:gridCol w:w="941"/>
        <w:gridCol w:w="1126"/>
        <w:gridCol w:w="2725"/>
      </w:tblGrid>
      <w:tr w14:paraId="3B9D2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000" w:type="pct"/>
            <w:gridSpan w:val="8"/>
            <w:tcBorders>
              <w:top w:val="nil"/>
              <w:left w:val="nil"/>
              <w:bottom w:val="nil"/>
              <w:right w:val="nil"/>
            </w:tcBorders>
            <w:shd w:val="clear" w:color="auto" w:fill="auto"/>
            <w:vAlign w:val="center"/>
          </w:tcPr>
          <w:p w14:paraId="2C7ECB8E">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432D8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66CED58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4E19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942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13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A2C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有机认证企业奖补资金</w:t>
            </w:r>
          </w:p>
        </w:tc>
      </w:tr>
      <w:tr w14:paraId="75D37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680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15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6C4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A9C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0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0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0A680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8"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76A620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868" w:type="pct"/>
            <w:gridSpan w:val="2"/>
            <w:tcBorders>
              <w:top w:val="nil"/>
              <w:left w:val="single" w:color="000000" w:sz="4" w:space="0"/>
              <w:bottom w:val="single" w:color="000000" w:sz="4" w:space="0"/>
              <w:right w:val="single" w:color="000000" w:sz="4" w:space="0"/>
            </w:tcBorders>
            <w:shd w:val="clear" w:color="auto" w:fill="auto"/>
            <w:vAlign w:val="center"/>
          </w:tcPr>
          <w:p w14:paraId="6F6E3D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713" w:type="pct"/>
            <w:tcBorders>
              <w:top w:val="nil"/>
              <w:left w:val="single" w:color="000000" w:sz="4" w:space="0"/>
              <w:bottom w:val="single" w:color="000000" w:sz="4" w:space="0"/>
              <w:right w:val="single" w:color="000000" w:sz="4" w:space="0"/>
            </w:tcBorders>
            <w:shd w:val="clear" w:color="auto" w:fill="auto"/>
            <w:vAlign w:val="center"/>
          </w:tcPr>
          <w:p w14:paraId="22EBE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501" w:type="pct"/>
            <w:tcBorders>
              <w:top w:val="nil"/>
              <w:left w:val="single" w:color="000000" w:sz="4" w:space="0"/>
              <w:bottom w:val="single" w:color="000000" w:sz="4" w:space="0"/>
              <w:right w:val="single" w:color="000000" w:sz="4" w:space="0"/>
            </w:tcBorders>
            <w:shd w:val="clear" w:color="auto" w:fill="auto"/>
            <w:vAlign w:val="center"/>
          </w:tcPr>
          <w:p w14:paraId="640FF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99" w:type="pct"/>
            <w:tcBorders>
              <w:top w:val="nil"/>
              <w:left w:val="single" w:color="000000" w:sz="4" w:space="0"/>
              <w:bottom w:val="single" w:color="000000" w:sz="4" w:space="0"/>
              <w:right w:val="single" w:color="000000" w:sz="4" w:space="0"/>
            </w:tcBorders>
            <w:shd w:val="clear" w:color="auto" w:fill="auto"/>
            <w:vAlign w:val="center"/>
          </w:tcPr>
          <w:p w14:paraId="5E7DE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449" w:type="pct"/>
            <w:tcBorders>
              <w:top w:val="nil"/>
              <w:left w:val="single" w:color="000000" w:sz="4" w:space="0"/>
              <w:bottom w:val="single" w:color="000000" w:sz="4" w:space="0"/>
              <w:right w:val="single" w:color="000000" w:sz="4" w:space="0"/>
            </w:tcBorders>
            <w:shd w:val="clear" w:color="auto" w:fill="auto"/>
            <w:vAlign w:val="center"/>
          </w:tcPr>
          <w:p w14:paraId="13985A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19BA8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CB42D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05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84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6C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9F5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4D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0A7D8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234BA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01E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674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A2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BE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76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25D8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7979FA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BF2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5C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772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3A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C6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19B4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857FC3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344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043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9AC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E4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063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829E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A0339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CF7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02827">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AAD5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86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2D7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2595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5CD602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8D8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7E272">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5C9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0280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2DE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814C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B97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0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B0D6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55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50D3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097A9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835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0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24C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建设大基地、培养大产业、塑造大品牌、开拓大市场为总体发展方向，大力推进园区化建设、标准化生产、规模化经营、品牌化营销、市场化融资，用工业化理念、产业化思路抓有机产业发展，着力供销一体、种养结合，进一步巩固省级有机产品认证示范区工作。</w:t>
            </w:r>
          </w:p>
        </w:tc>
        <w:tc>
          <w:tcPr>
            <w:tcW w:w="255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593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建设大基地、培养大产业、塑造大品牌、开拓大市场为总体发展方向，大力推进园区化建设、标准化生产、规模化经营、品牌化营销、市场化融资，用工业化理念、产业化思路抓有机产业发展，着力供销一体、种养结合，进一步巩固省级有机产品认证示范区工作。</w:t>
            </w:r>
          </w:p>
        </w:tc>
      </w:tr>
      <w:tr w14:paraId="3CE8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09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902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BB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1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863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BD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32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06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397E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ABD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44" w:type="pct"/>
            <w:vMerge w:val="restart"/>
            <w:tcBorders>
              <w:top w:val="single" w:color="000000" w:sz="4" w:space="0"/>
              <w:left w:val="single" w:color="000000" w:sz="4" w:space="0"/>
              <w:bottom w:val="nil"/>
              <w:right w:val="single" w:color="000000" w:sz="4" w:space="0"/>
            </w:tcBorders>
            <w:shd w:val="clear" w:color="auto" w:fill="auto"/>
            <w:vAlign w:val="center"/>
          </w:tcPr>
          <w:p w14:paraId="1E09B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433" w:type="pct"/>
            <w:tcBorders>
              <w:top w:val="single" w:color="000000" w:sz="4" w:space="0"/>
              <w:left w:val="single" w:color="000000" w:sz="4" w:space="0"/>
              <w:bottom w:val="nil"/>
              <w:right w:val="single" w:color="000000" w:sz="4" w:space="0"/>
            </w:tcBorders>
            <w:shd w:val="clear" w:color="auto" w:fill="auto"/>
            <w:vAlign w:val="center"/>
          </w:tcPr>
          <w:p w14:paraId="1DC59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17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F8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有机认证企业补助家数</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A65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≤9家</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7C1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9家</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7D4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0FFA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7E7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44" w:type="pct"/>
            <w:vMerge w:val="continue"/>
            <w:tcBorders>
              <w:top w:val="single" w:color="000000" w:sz="4" w:space="0"/>
              <w:left w:val="single" w:color="000000" w:sz="4" w:space="0"/>
              <w:bottom w:val="nil"/>
              <w:right w:val="single" w:color="000000" w:sz="4" w:space="0"/>
            </w:tcBorders>
            <w:shd w:val="clear" w:color="auto" w:fill="auto"/>
            <w:vAlign w:val="center"/>
          </w:tcPr>
          <w:p w14:paraId="241612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DB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18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DA6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有机认证补助准确率</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2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DC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B7D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CA19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A58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44" w:type="pct"/>
            <w:vMerge w:val="continue"/>
            <w:tcBorders>
              <w:top w:val="single" w:color="000000" w:sz="4" w:space="0"/>
              <w:left w:val="single" w:color="000000" w:sz="4" w:space="0"/>
              <w:bottom w:val="nil"/>
              <w:right w:val="single" w:color="000000" w:sz="4" w:space="0"/>
            </w:tcBorders>
            <w:shd w:val="clear" w:color="auto" w:fill="auto"/>
            <w:vAlign w:val="center"/>
          </w:tcPr>
          <w:p w14:paraId="35A362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6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F64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5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有机认证补助时限</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085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A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A74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82B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CAF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44" w:type="pct"/>
            <w:vMerge w:val="continue"/>
            <w:tcBorders>
              <w:top w:val="single" w:color="000000" w:sz="4" w:space="0"/>
              <w:left w:val="single" w:color="000000" w:sz="4" w:space="0"/>
              <w:bottom w:val="nil"/>
              <w:right w:val="single" w:color="000000" w:sz="4" w:space="0"/>
            </w:tcBorders>
            <w:shd w:val="clear" w:color="auto" w:fill="auto"/>
            <w:vAlign w:val="center"/>
          </w:tcPr>
          <w:p w14:paraId="475789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92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C1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01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实现人均增收</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AA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≥3000元/人</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2F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≥3000元/人</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B7D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3095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5FD3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44" w:type="pct"/>
            <w:vMerge w:val="continue"/>
            <w:tcBorders>
              <w:top w:val="single" w:color="000000" w:sz="4" w:space="0"/>
              <w:left w:val="single" w:color="000000" w:sz="4" w:space="0"/>
              <w:bottom w:val="nil"/>
              <w:right w:val="single" w:color="000000" w:sz="4" w:space="0"/>
            </w:tcBorders>
            <w:shd w:val="clear" w:color="auto" w:fill="auto"/>
            <w:vAlign w:val="center"/>
          </w:tcPr>
          <w:p w14:paraId="756921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4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9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422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有机认证补助企业金额</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EC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≤127050元</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7C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127050元</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17F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CFC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08C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3D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9B4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7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D4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有机认证企业满意度</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37B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6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33E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52C96000">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22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90"/>
        <w:gridCol w:w="859"/>
        <w:gridCol w:w="828"/>
        <w:gridCol w:w="602"/>
        <w:gridCol w:w="1904"/>
        <w:gridCol w:w="1206"/>
        <w:gridCol w:w="1193"/>
        <w:gridCol w:w="2170"/>
      </w:tblGrid>
      <w:tr w14:paraId="1BF95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000" w:type="pct"/>
            <w:gridSpan w:val="9"/>
            <w:tcBorders>
              <w:top w:val="nil"/>
              <w:left w:val="nil"/>
              <w:bottom w:val="nil"/>
              <w:right w:val="nil"/>
            </w:tcBorders>
            <w:shd w:val="clear" w:color="auto" w:fill="auto"/>
            <w:vAlign w:val="center"/>
          </w:tcPr>
          <w:p w14:paraId="09A97304">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41BCA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shd w:val="clear" w:color="auto" w:fill="auto"/>
            <w:vAlign w:val="top"/>
          </w:tcPr>
          <w:p w14:paraId="1767402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3D5F6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A5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46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27C0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卫生文明城市创建工作经费</w:t>
            </w:r>
          </w:p>
        </w:tc>
      </w:tr>
      <w:tr w14:paraId="439D1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05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213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6C1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E8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7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A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436E5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35"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22CD4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166" w:type="pct"/>
            <w:gridSpan w:val="3"/>
            <w:tcBorders>
              <w:top w:val="nil"/>
              <w:left w:val="single" w:color="000000" w:sz="4" w:space="0"/>
              <w:bottom w:val="single" w:color="000000" w:sz="4" w:space="0"/>
              <w:right w:val="single" w:color="000000" w:sz="4" w:space="0"/>
            </w:tcBorders>
            <w:shd w:val="clear" w:color="auto" w:fill="auto"/>
            <w:vAlign w:val="center"/>
          </w:tcPr>
          <w:p w14:paraId="72A5A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970" w:type="pct"/>
            <w:tcBorders>
              <w:top w:val="nil"/>
              <w:left w:val="single" w:color="000000" w:sz="4" w:space="0"/>
              <w:bottom w:val="single" w:color="000000" w:sz="4" w:space="0"/>
              <w:right w:val="single" w:color="000000" w:sz="4" w:space="0"/>
            </w:tcBorders>
            <w:shd w:val="clear" w:color="auto" w:fill="auto"/>
            <w:vAlign w:val="center"/>
          </w:tcPr>
          <w:p w14:paraId="3E1C33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614" w:type="pct"/>
            <w:tcBorders>
              <w:top w:val="nil"/>
              <w:left w:val="single" w:color="000000" w:sz="4" w:space="0"/>
              <w:bottom w:val="single" w:color="000000" w:sz="4" w:space="0"/>
              <w:right w:val="single" w:color="000000" w:sz="4" w:space="0"/>
            </w:tcBorders>
            <w:shd w:val="clear" w:color="auto" w:fill="auto"/>
            <w:vAlign w:val="center"/>
          </w:tcPr>
          <w:p w14:paraId="5E75C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607" w:type="pct"/>
            <w:tcBorders>
              <w:top w:val="nil"/>
              <w:left w:val="single" w:color="000000" w:sz="4" w:space="0"/>
              <w:bottom w:val="single" w:color="000000" w:sz="4" w:space="0"/>
              <w:right w:val="single" w:color="000000" w:sz="4" w:space="0"/>
            </w:tcBorders>
            <w:shd w:val="clear" w:color="auto" w:fill="auto"/>
            <w:vAlign w:val="center"/>
          </w:tcPr>
          <w:p w14:paraId="5B5F1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105" w:type="pct"/>
            <w:tcBorders>
              <w:top w:val="nil"/>
              <w:left w:val="single" w:color="000000" w:sz="4" w:space="0"/>
              <w:bottom w:val="single" w:color="000000" w:sz="4" w:space="0"/>
              <w:right w:val="single" w:color="000000" w:sz="4" w:space="0"/>
            </w:tcBorders>
            <w:shd w:val="clear" w:color="auto" w:fill="auto"/>
            <w:vAlign w:val="center"/>
          </w:tcPr>
          <w:p w14:paraId="36EE27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6B167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657F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5B0E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73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E9A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C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6C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66932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3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B41C2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5932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E4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F6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FD2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27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3EAB4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32DEA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6404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E0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B6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C3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150000</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6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0EEA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460659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762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EE23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D03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AE3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A9B7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F2D0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EDE04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968E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C818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FF3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04C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48D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1EB0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3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AA676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F49F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9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DFC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E8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B41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59C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28D8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4CD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43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8C5B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32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99A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0EE54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47D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43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DCB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区委区政府决策部署切实抓好全国文明城市创建工作，负责文明城市创建食品药品安全保障、农贸市场规范整治、共建包联、宣传培训、文明劝导、环境治理等工作。出动市场监管人员12000余人次，印发宣传资料10000余册，印发长江禁捕、文明用餐、禁止向未成年人销售烟酒、临期食品销售专区等标识标志6000余张；清洗农贸市场50余次，</w:t>
            </w:r>
          </w:p>
        </w:tc>
        <w:tc>
          <w:tcPr>
            <w:tcW w:w="232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69A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区委区政府决策部署切实抓好全国文明城市创建工作，负责文明城市创建食品药品安全保障、农贸市场规范整治、共建包联、宣传培训、文明劝导、环境治理等工作。出动市场监管人员12000余人次，印发宣传资料10000余册，印发长江禁捕、文明用餐、禁止向未成年人销售烟酒、临期食品销售专区等标识标志6000余张；清洗农贸市场51余次，</w:t>
            </w:r>
          </w:p>
        </w:tc>
      </w:tr>
      <w:tr w14:paraId="1042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2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0C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F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4D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6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7F5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E01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80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EB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偏差原因分析及</w:t>
            </w:r>
          </w:p>
          <w:p w14:paraId="23A26B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改进措施</w:t>
            </w:r>
          </w:p>
        </w:tc>
      </w:tr>
      <w:tr w14:paraId="5C9E7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ADB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restart"/>
            <w:tcBorders>
              <w:top w:val="single" w:color="000000" w:sz="4" w:space="0"/>
              <w:left w:val="single" w:color="000000" w:sz="4" w:space="0"/>
              <w:bottom w:val="nil"/>
              <w:right w:val="single" w:color="000000" w:sz="4" w:space="0"/>
            </w:tcBorders>
            <w:shd w:val="clear" w:color="auto" w:fill="auto"/>
            <w:vAlign w:val="center"/>
          </w:tcPr>
          <w:p w14:paraId="30C69D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437" w:type="pct"/>
            <w:vMerge w:val="restart"/>
            <w:tcBorders>
              <w:top w:val="single" w:color="000000" w:sz="4" w:space="0"/>
              <w:left w:val="single" w:color="000000" w:sz="4" w:space="0"/>
              <w:bottom w:val="nil"/>
              <w:right w:val="single" w:color="000000" w:sz="4" w:space="0"/>
            </w:tcBorders>
            <w:shd w:val="clear" w:color="auto" w:fill="auto"/>
            <w:vAlign w:val="center"/>
          </w:tcPr>
          <w:p w14:paraId="2DECA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C6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82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印发长江禁捕、文明用餐、禁止向未成年人销售烟酒、临期食品销售专区等标识标志</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0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≥6000张</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6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6000张</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DFA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F151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6F22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continue"/>
            <w:tcBorders>
              <w:top w:val="single" w:color="000000" w:sz="4" w:space="0"/>
              <w:left w:val="single" w:color="000000" w:sz="4" w:space="0"/>
              <w:bottom w:val="nil"/>
              <w:right w:val="single" w:color="000000" w:sz="4" w:space="0"/>
            </w:tcBorders>
            <w:shd w:val="clear" w:color="auto" w:fill="auto"/>
            <w:vAlign w:val="center"/>
          </w:tcPr>
          <w:p w14:paraId="0E44F43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color="auto" w:fill="auto"/>
            <w:vAlign w:val="center"/>
          </w:tcPr>
          <w:p w14:paraId="0D6C84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40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A099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清洗农贸市场</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3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≥50次</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6F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51次</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7B5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E78C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96E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continue"/>
            <w:tcBorders>
              <w:top w:val="single" w:color="000000" w:sz="4" w:space="0"/>
              <w:left w:val="single" w:color="000000" w:sz="4" w:space="0"/>
              <w:bottom w:val="nil"/>
              <w:right w:val="single" w:color="000000" w:sz="4" w:space="0"/>
            </w:tcBorders>
            <w:shd w:val="clear" w:color="auto" w:fill="auto"/>
            <w:vAlign w:val="center"/>
          </w:tcPr>
          <w:p w14:paraId="36FE98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color="auto" w:fill="auto"/>
            <w:vAlign w:val="center"/>
          </w:tcPr>
          <w:p w14:paraId="1AAA38A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21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5BB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卫生文明城市创建出动市场监管人员</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9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≥12000人次</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B0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12000人次</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47E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55ED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A90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continue"/>
            <w:tcBorders>
              <w:top w:val="single" w:color="000000" w:sz="4" w:space="0"/>
              <w:left w:val="single" w:color="000000" w:sz="4" w:space="0"/>
              <w:bottom w:val="nil"/>
              <w:right w:val="single" w:color="000000" w:sz="4" w:space="0"/>
            </w:tcBorders>
            <w:shd w:val="clear" w:color="auto" w:fill="auto"/>
            <w:vAlign w:val="center"/>
          </w:tcPr>
          <w:p w14:paraId="68B7C0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color="auto" w:fill="auto"/>
            <w:vAlign w:val="center"/>
          </w:tcPr>
          <w:p w14:paraId="4FB895A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1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指标4：</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0A4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卫生文明城市创建印发宣传资料</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E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≥10000册</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E4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10000册</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F3D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D4D0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4550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continue"/>
            <w:tcBorders>
              <w:top w:val="single" w:color="000000" w:sz="4" w:space="0"/>
              <w:left w:val="single" w:color="000000" w:sz="4" w:space="0"/>
              <w:bottom w:val="nil"/>
              <w:right w:val="single" w:color="000000" w:sz="4" w:space="0"/>
            </w:tcBorders>
            <w:shd w:val="clear" w:color="auto" w:fill="auto"/>
            <w:vAlign w:val="center"/>
          </w:tcPr>
          <w:p w14:paraId="6BADA8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FD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F0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AA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农贸市场及居民小区周边卫生整洁率</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C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2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5C41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E21C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7496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continue"/>
            <w:tcBorders>
              <w:top w:val="single" w:color="000000" w:sz="4" w:space="0"/>
              <w:left w:val="single" w:color="000000" w:sz="4" w:space="0"/>
              <w:bottom w:val="nil"/>
              <w:right w:val="single" w:color="000000" w:sz="4" w:space="0"/>
            </w:tcBorders>
            <w:shd w:val="clear" w:color="auto" w:fill="auto"/>
            <w:vAlign w:val="center"/>
          </w:tcPr>
          <w:p w14:paraId="68EA632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03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167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C0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完成各项任务及时率</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B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D1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83E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EF3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1BE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continue"/>
            <w:tcBorders>
              <w:top w:val="single" w:color="000000" w:sz="4" w:space="0"/>
              <w:left w:val="single" w:color="000000" w:sz="4" w:space="0"/>
              <w:bottom w:val="nil"/>
              <w:right w:val="single" w:color="000000" w:sz="4" w:space="0"/>
            </w:tcBorders>
            <w:shd w:val="clear" w:color="auto" w:fill="auto"/>
            <w:vAlign w:val="center"/>
          </w:tcPr>
          <w:p w14:paraId="330948D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7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社会效益效益指标</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34A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F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不断改善人居环境</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B7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A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01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小区、市场墙上有小广告牛皮癣为差、墙上、地面干净整洁为优</w:t>
            </w:r>
          </w:p>
        </w:tc>
      </w:tr>
      <w:tr w14:paraId="0979D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15E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vMerge w:val="continue"/>
            <w:tcBorders>
              <w:top w:val="single" w:color="000000" w:sz="4" w:space="0"/>
              <w:left w:val="single" w:color="000000" w:sz="4" w:space="0"/>
              <w:bottom w:val="nil"/>
              <w:right w:val="single" w:color="000000" w:sz="4" w:space="0"/>
            </w:tcBorders>
            <w:shd w:val="clear" w:color="auto" w:fill="auto"/>
            <w:vAlign w:val="center"/>
          </w:tcPr>
          <w:p w14:paraId="56D37B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33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FA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43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宣传、差旅费等费用</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6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≤15万元</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546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15万元</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37FA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6EFF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2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0B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92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14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C5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7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广大人民群众对创文满意度</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1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F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2D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2403420D">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823"/>
        <w:gridCol w:w="812"/>
        <w:gridCol w:w="1131"/>
        <w:gridCol w:w="1110"/>
        <w:gridCol w:w="1077"/>
        <w:gridCol w:w="956"/>
        <w:gridCol w:w="2753"/>
      </w:tblGrid>
      <w:tr w14:paraId="2F304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000" w:type="pct"/>
            <w:gridSpan w:val="8"/>
            <w:tcBorders>
              <w:top w:val="nil"/>
              <w:left w:val="nil"/>
              <w:bottom w:val="nil"/>
              <w:right w:val="nil"/>
            </w:tcBorders>
            <w:shd w:val="clear" w:color="auto" w:fill="auto"/>
            <w:vAlign w:val="center"/>
          </w:tcPr>
          <w:p w14:paraId="191F474B">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4AFDB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54FCE90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4F4E0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16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17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3DD1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2022年度招商引资表彰先进个人奖金</w:t>
            </w:r>
          </w:p>
        </w:tc>
      </w:tr>
      <w:tr w14:paraId="74144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4EAF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162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EE5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C62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97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1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39829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09935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034" w:type="pct"/>
            <w:gridSpan w:val="2"/>
            <w:tcBorders>
              <w:top w:val="nil"/>
              <w:left w:val="single" w:color="000000" w:sz="4" w:space="0"/>
              <w:bottom w:val="single" w:color="000000" w:sz="4" w:space="0"/>
              <w:right w:val="single" w:color="000000" w:sz="4" w:space="0"/>
            </w:tcBorders>
            <w:shd w:val="clear" w:color="auto" w:fill="auto"/>
            <w:vAlign w:val="center"/>
          </w:tcPr>
          <w:p w14:paraId="3B975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590" w:type="pct"/>
            <w:tcBorders>
              <w:top w:val="nil"/>
              <w:left w:val="single" w:color="000000" w:sz="4" w:space="0"/>
              <w:bottom w:val="single" w:color="000000" w:sz="4" w:space="0"/>
              <w:right w:val="single" w:color="000000" w:sz="4" w:space="0"/>
            </w:tcBorders>
            <w:shd w:val="clear" w:color="auto" w:fill="auto"/>
            <w:vAlign w:val="center"/>
          </w:tcPr>
          <w:p w14:paraId="1A719C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573" w:type="pct"/>
            <w:tcBorders>
              <w:top w:val="nil"/>
              <w:left w:val="single" w:color="000000" w:sz="4" w:space="0"/>
              <w:bottom w:val="single" w:color="000000" w:sz="4" w:space="0"/>
              <w:right w:val="single" w:color="000000" w:sz="4" w:space="0"/>
            </w:tcBorders>
            <w:shd w:val="clear" w:color="auto" w:fill="auto"/>
            <w:vAlign w:val="center"/>
          </w:tcPr>
          <w:p w14:paraId="3D0832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09" w:type="pct"/>
            <w:tcBorders>
              <w:top w:val="nil"/>
              <w:left w:val="single" w:color="000000" w:sz="4" w:space="0"/>
              <w:bottom w:val="single" w:color="000000" w:sz="4" w:space="0"/>
              <w:right w:val="single" w:color="000000" w:sz="4" w:space="0"/>
            </w:tcBorders>
            <w:shd w:val="clear" w:color="auto" w:fill="auto"/>
            <w:vAlign w:val="center"/>
          </w:tcPr>
          <w:p w14:paraId="449A6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464" w:type="pct"/>
            <w:tcBorders>
              <w:top w:val="nil"/>
              <w:left w:val="single" w:color="000000" w:sz="4" w:space="0"/>
              <w:bottom w:val="single" w:color="000000" w:sz="4" w:space="0"/>
              <w:right w:val="single" w:color="000000" w:sz="4" w:space="0"/>
            </w:tcBorders>
            <w:shd w:val="clear" w:color="auto" w:fill="auto"/>
            <w:vAlign w:val="center"/>
          </w:tcPr>
          <w:p w14:paraId="021A2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1B337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F3F53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C0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B2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B0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6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EA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56683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A071B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3D6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6A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BAE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57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D6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6D91D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5B409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E539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71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88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F9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F6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FB9B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B0C43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221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E1C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E91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BD8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6CD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670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115457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857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83A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01E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C56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00CD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0F61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0743CB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784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C2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13A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402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199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92A6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B69F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06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147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54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7193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560B4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83B9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06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F8F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去年以来，全区上下团结一致，紧紧围绕社会主义现代化“四城新区”建设，积极作为、创新求进，全年引进市外到位资金41.1亿元，同比增长13.9%；到位外资924万元，完成市下达年度目标任务的135%；新签约亿元以上项目20个，招商引资工作取得了显著成效。在此期间，涌现出了一大批表现突出的先进集体和先进个人</w:t>
            </w:r>
          </w:p>
        </w:tc>
        <w:tc>
          <w:tcPr>
            <w:tcW w:w="254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A91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去年以来，全区上下团结一致，紧紧围绕社会主义现代化“四城新区”建设，积极作为、创新求进，全年引进市外到位资金41.1亿元，同比增长13.9%；到位外资924万元，完成市下达年度目标任务的135%；新签约亿元以上项目20个，招商引资工作取得了显著成效。在此期间，涌现出了一大批表现突出的先进集体和先进个人</w:t>
            </w:r>
          </w:p>
        </w:tc>
      </w:tr>
      <w:tr w14:paraId="2081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E9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6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80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1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BB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214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863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B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517BD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2E8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8" w:type="pct"/>
            <w:vMerge w:val="restart"/>
            <w:tcBorders>
              <w:top w:val="single" w:color="000000" w:sz="4" w:space="0"/>
              <w:left w:val="single" w:color="000000" w:sz="4" w:space="0"/>
              <w:bottom w:val="nil"/>
              <w:right w:val="single" w:color="000000" w:sz="4" w:space="0"/>
            </w:tcBorders>
            <w:shd w:val="clear" w:color="auto" w:fill="auto"/>
            <w:vAlign w:val="center"/>
          </w:tcPr>
          <w:p w14:paraId="617E52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432" w:type="pct"/>
            <w:tcBorders>
              <w:top w:val="single" w:color="000000" w:sz="4" w:space="0"/>
              <w:left w:val="single" w:color="000000" w:sz="4" w:space="0"/>
              <w:bottom w:val="nil"/>
              <w:right w:val="single" w:color="000000" w:sz="4" w:space="0"/>
            </w:tcBorders>
            <w:shd w:val="clear" w:color="auto" w:fill="auto"/>
            <w:vAlign w:val="center"/>
          </w:tcPr>
          <w:p w14:paraId="63BA5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302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8D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先进个人人数</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F6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4F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19A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8012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44F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8" w:type="pct"/>
            <w:vMerge w:val="continue"/>
            <w:tcBorders>
              <w:top w:val="single" w:color="000000" w:sz="4" w:space="0"/>
              <w:left w:val="single" w:color="000000" w:sz="4" w:space="0"/>
              <w:bottom w:val="nil"/>
              <w:right w:val="single" w:color="000000" w:sz="4" w:space="0"/>
            </w:tcBorders>
            <w:shd w:val="clear" w:color="auto" w:fill="auto"/>
            <w:vAlign w:val="center"/>
          </w:tcPr>
          <w:p w14:paraId="5B1E10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32A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7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97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资金兑现率</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AD9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22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80AC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424B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2096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8" w:type="pct"/>
            <w:vMerge w:val="continue"/>
            <w:tcBorders>
              <w:top w:val="single" w:color="000000" w:sz="4" w:space="0"/>
              <w:left w:val="single" w:color="000000" w:sz="4" w:space="0"/>
              <w:bottom w:val="nil"/>
              <w:right w:val="single" w:color="000000" w:sz="4" w:space="0"/>
            </w:tcBorders>
            <w:shd w:val="clear" w:color="auto" w:fill="auto"/>
            <w:vAlign w:val="center"/>
          </w:tcPr>
          <w:p w14:paraId="6418A3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AE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92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B0E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兑现时限</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B4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30天</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AE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30天</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E61B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5BDD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059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8" w:type="pct"/>
            <w:vMerge w:val="continue"/>
            <w:tcBorders>
              <w:top w:val="single" w:color="000000" w:sz="4" w:space="0"/>
              <w:left w:val="single" w:color="000000" w:sz="4" w:space="0"/>
              <w:bottom w:val="nil"/>
              <w:right w:val="single" w:color="000000" w:sz="4" w:space="0"/>
            </w:tcBorders>
            <w:shd w:val="clear" w:color="auto" w:fill="auto"/>
            <w:vAlign w:val="center"/>
          </w:tcPr>
          <w:p w14:paraId="1C20DB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4C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社会效益效益指标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6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D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受益人员积极性</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65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不断提高</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EB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不断提高</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50E2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5427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2BC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8" w:type="pct"/>
            <w:vMerge w:val="continue"/>
            <w:tcBorders>
              <w:top w:val="single" w:color="000000" w:sz="4" w:space="0"/>
              <w:left w:val="single" w:color="000000" w:sz="4" w:space="0"/>
              <w:bottom w:val="nil"/>
              <w:right w:val="single" w:color="000000" w:sz="4" w:space="0"/>
            </w:tcBorders>
            <w:shd w:val="clear" w:color="auto" w:fill="auto"/>
            <w:vAlign w:val="center"/>
          </w:tcPr>
          <w:p w14:paraId="69CA46B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16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CD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1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奖励所需资金</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9F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1万元</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BB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1万元</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37D6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3562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B90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A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F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FC4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44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受益人满意度</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43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C3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1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7BE5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7ADCAA1E">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5"/>
        <w:gridCol w:w="594"/>
        <w:gridCol w:w="1476"/>
        <w:gridCol w:w="720"/>
        <w:gridCol w:w="1296"/>
        <w:gridCol w:w="818"/>
        <w:gridCol w:w="757"/>
        <w:gridCol w:w="2969"/>
      </w:tblGrid>
      <w:tr w14:paraId="6345C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000" w:type="pct"/>
            <w:gridSpan w:val="8"/>
            <w:tcBorders>
              <w:top w:val="nil"/>
              <w:left w:val="nil"/>
              <w:bottom w:val="nil"/>
              <w:right w:val="nil"/>
            </w:tcBorders>
            <w:shd w:val="clear" w:color="auto" w:fill="auto"/>
            <w:vAlign w:val="center"/>
          </w:tcPr>
          <w:p w14:paraId="4ABCED12">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5F3D8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76B981C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7DD0B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FBE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17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7C6B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协管人员工资及保险</w:t>
            </w:r>
          </w:p>
        </w:tc>
      </w:tr>
      <w:tr w14:paraId="521F4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048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16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017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90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0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5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7F337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12F197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940" w:type="pct"/>
            <w:gridSpan w:val="2"/>
            <w:tcBorders>
              <w:top w:val="nil"/>
              <w:left w:val="single" w:color="000000" w:sz="4" w:space="0"/>
              <w:bottom w:val="single" w:color="000000" w:sz="4" w:space="0"/>
              <w:right w:val="single" w:color="000000" w:sz="4" w:space="0"/>
            </w:tcBorders>
            <w:shd w:val="clear" w:color="auto" w:fill="auto"/>
            <w:vAlign w:val="center"/>
          </w:tcPr>
          <w:p w14:paraId="6B84B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728" w:type="pct"/>
            <w:tcBorders>
              <w:top w:val="nil"/>
              <w:left w:val="single" w:color="000000" w:sz="4" w:space="0"/>
              <w:bottom w:val="single" w:color="000000" w:sz="4" w:space="0"/>
              <w:right w:val="single" w:color="000000" w:sz="4" w:space="0"/>
            </w:tcBorders>
            <w:shd w:val="clear" w:color="auto" w:fill="auto"/>
            <w:vAlign w:val="center"/>
          </w:tcPr>
          <w:p w14:paraId="660CF2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501" w:type="pct"/>
            <w:tcBorders>
              <w:top w:val="nil"/>
              <w:left w:val="single" w:color="000000" w:sz="4" w:space="0"/>
              <w:bottom w:val="single" w:color="000000" w:sz="4" w:space="0"/>
              <w:right w:val="single" w:color="000000" w:sz="4" w:space="0"/>
            </w:tcBorders>
            <w:shd w:val="clear" w:color="auto" w:fill="auto"/>
            <w:vAlign w:val="center"/>
          </w:tcPr>
          <w:p w14:paraId="0DB2B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69" w:type="pct"/>
            <w:tcBorders>
              <w:top w:val="nil"/>
              <w:left w:val="single" w:color="000000" w:sz="4" w:space="0"/>
              <w:bottom w:val="single" w:color="000000" w:sz="4" w:space="0"/>
              <w:right w:val="single" w:color="000000" w:sz="4" w:space="0"/>
            </w:tcBorders>
            <w:shd w:val="clear" w:color="auto" w:fill="auto"/>
            <w:vAlign w:val="center"/>
          </w:tcPr>
          <w:p w14:paraId="3CDBD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631" w:type="pct"/>
            <w:tcBorders>
              <w:top w:val="nil"/>
              <w:left w:val="single" w:color="000000" w:sz="4" w:space="0"/>
              <w:bottom w:val="single" w:color="000000" w:sz="4" w:space="0"/>
              <w:right w:val="single" w:color="000000" w:sz="4" w:space="0"/>
            </w:tcBorders>
            <w:shd w:val="clear" w:color="auto" w:fill="auto"/>
            <w:vAlign w:val="center"/>
          </w:tcPr>
          <w:p w14:paraId="254BF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52857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AD3A1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BF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E4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E7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078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4B5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6947F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41D134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51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E1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64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1C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E37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35B0A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686DC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115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29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A1B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34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18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5AA88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45E07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696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09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AD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13C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3BE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3C1E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BE06F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42D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810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A40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E62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C14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D192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2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8F599F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DEE2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AA3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C04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4C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69E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DCC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077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0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39C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50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FF3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07ACD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00B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0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ADD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做好8人工资、社会保障缴费按月及时兑付，协助开展农村食品药品市场监管，维护农村市场食品药品秩序，保障人民群众食品药品安全</w:t>
            </w:r>
          </w:p>
        </w:tc>
        <w:tc>
          <w:tcPr>
            <w:tcW w:w="250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06B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做好8人工资、社会保障缴费按月及时兑付，协助开展农村食品药品市场监管，维护农村市场食品药品秩序，保障人民群众食品药品安全</w:t>
            </w:r>
          </w:p>
        </w:tc>
      </w:tr>
      <w:tr w14:paraId="5921A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DCD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26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50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1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2BB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DF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2C9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955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7118D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4EC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8" w:type="pct"/>
            <w:vMerge w:val="restart"/>
            <w:tcBorders>
              <w:top w:val="single" w:color="000000" w:sz="4" w:space="0"/>
              <w:left w:val="single" w:color="000000" w:sz="4" w:space="0"/>
              <w:bottom w:val="nil"/>
              <w:right w:val="single" w:color="000000" w:sz="4" w:space="0"/>
            </w:tcBorders>
            <w:shd w:val="clear" w:color="auto" w:fill="auto"/>
            <w:vAlign w:val="center"/>
          </w:tcPr>
          <w:p w14:paraId="4967F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504" w:type="pct"/>
            <w:tcBorders>
              <w:top w:val="single" w:color="000000" w:sz="4" w:space="0"/>
              <w:left w:val="single" w:color="000000" w:sz="4" w:space="0"/>
              <w:bottom w:val="nil"/>
              <w:right w:val="single" w:color="000000" w:sz="4" w:space="0"/>
            </w:tcBorders>
            <w:shd w:val="clear" w:color="auto" w:fill="auto"/>
            <w:vAlign w:val="center"/>
          </w:tcPr>
          <w:p w14:paraId="271AC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15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3C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聘请人员数量</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71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2E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8人</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476E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992F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628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8" w:type="pct"/>
            <w:vMerge w:val="continue"/>
            <w:tcBorders>
              <w:top w:val="single" w:color="000000" w:sz="4" w:space="0"/>
              <w:left w:val="single" w:color="000000" w:sz="4" w:space="0"/>
              <w:bottom w:val="nil"/>
              <w:right w:val="single" w:color="000000" w:sz="4" w:space="0"/>
            </w:tcBorders>
            <w:shd w:val="clear" w:color="auto" w:fill="auto"/>
            <w:vAlign w:val="center"/>
          </w:tcPr>
          <w:p w14:paraId="37A8406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314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79E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BF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工资保险保障率（发放人数/应发放人数）</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5E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B86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29E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A881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FE3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8" w:type="pct"/>
            <w:vMerge w:val="continue"/>
            <w:tcBorders>
              <w:top w:val="single" w:color="000000" w:sz="4" w:space="0"/>
              <w:left w:val="single" w:color="000000" w:sz="4" w:space="0"/>
              <w:bottom w:val="nil"/>
              <w:right w:val="single" w:color="000000" w:sz="4" w:space="0"/>
            </w:tcBorders>
            <w:shd w:val="clear" w:color="auto" w:fill="auto"/>
            <w:vAlign w:val="center"/>
          </w:tcPr>
          <w:p w14:paraId="331DC2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A26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9D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ABE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完成年度目标任务时限</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DC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CAA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66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FD5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74E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8" w:type="pct"/>
            <w:vMerge w:val="continue"/>
            <w:tcBorders>
              <w:top w:val="single" w:color="000000" w:sz="4" w:space="0"/>
              <w:left w:val="single" w:color="000000" w:sz="4" w:space="0"/>
              <w:bottom w:val="nil"/>
              <w:right w:val="single" w:color="000000" w:sz="4" w:space="0"/>
            </w:tcBorders>
            <w:shd w:val="clear" w:color="auto" w:fill="auto"/>
            <w:vAlign w:val="center"/>
          </w:tcPr>
          <w:p w14:paraId="6CCAFB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B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50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A26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市场监管工作常态化水平</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81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优良差</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F7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365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8个临聘人员能胜任工作为优，6-8个为良，6个以下为差</w:t>
            </w:r>
          </w:p>
        </w:tc>
      </w:tr>
      <w:tr w14:paraId="33E59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041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8" w:type="pct"/>
            <w:vMerge w:val="continue"/>
            <w:tcBorders>
              <w:top w:val="single" w:color="000000" w:sz="4" w:space="0"/>
              <w:left w:val="single" w:color="000000" w:sz="4" w:space="0"/>
              <w:bottom w:val="nil"/>
              <w:right w:val="single" w:color="000000" w:sz="4" w:space="0"/>
            </w:tcBorders>
            <w:shd w:val="clear" w:color="auto" w:fill="auto"/>
            <w:vAlign w:val="center"/>
          </w:tcPr>
          <w:p w14:paraId="742BBBD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30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2C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8A5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8人工资、社会保障缴费等经费控制在预算范围内</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58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28万元</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F1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28万元</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D5D1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4A65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E29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B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11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F0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C7F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临聘人员满意度</w:t>
            </w:r>
          </w:p>
        </w:tc>
        <w:tc>
          <w:tcPr>
            <w:tcW w:w="5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4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700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5A0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42730A09">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32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1"/>
        <w:gridCol w:w="599"/>
        <w:gridCol w:w="621"/>
        <w:gridCol w:w="1279"/>
        <w:gridCol w:w="2331"/>
        <w:gridCol w:w="1170"/>
        <w:gridCol w:w="1170"/>
        <w:gridCol w:w="2260"/>
      </w:tblGrid>
      <w:tr w14:paraId="4134E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5000" w:type="pct"/>
            <w:gridSpan w:val="8"/>
            <w:tcBorders>
              <w:top w:val="nil"/>
              <w:left w:val="nil"/>
              <w:bottom w:val="nil"/>
              <w:right w:val="nil"/>
            </w:tcBorders>
            <w:shd w:val="clear" w:color="auto" w:fill="auto"/>
            <w:vAlign w:val="center"/>
          </w:tcPr>
          <w:p w14:paraId="5371D6CA">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48"/>
                <w:szCs w:val="48"/>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2439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2BD844F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6EAFB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79B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41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F5A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2023年招商引资工作经费</w:t>
            </w:r>
          </w:p>
        </w:tc>
      </w:tr>
      <w:tr w14:paraId="3F85E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D44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211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88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46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7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E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7B385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9"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2350E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948" w:type="pct"/>
            <w:gridSpan w:val="2"/>
            <w:tcBorders>
              <w:top w:val="nil"/>
              <w:left w:val="single" w:color="000000" w:sz="4" w:space="0"/>
              <w:bottom w:val="single" w:color="000000" w:sz="4" w:space="0"/>
              <w:right w:val="single" w:color="000000" w:sz="4" w:space="0"/>
            </w:tcBorders>
            <w:shd w:val="clear" w:color="auto" w:fill="auto"/>
            <w:vAlign w:val="center"/>
          </w:tcPr>
          <w:p w14:paraId="1AC372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1164" w:type="pct"/>
            <w:tcBorders>
              <w:top w:val="nil"/>
              <w:left w:val="single" w:color="000000" w:sz="4" w:space="0"/>
              <w:bottom w:val="single" w:color="000000" w:sz="4" w:space="0"/>
              <w:right w:val="single" w:color="000000" w:sz="4" w:space="0"/>
            </w:tcBorders>
            <w:shd w:val="clear" w:color="auto" w:fill="auto"/>
            <w:vAlign w:val="center"/>
          </w:tcPr>
          <w:p w14:paraId="427065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584" w:type="pct"/>
            <w:tcBorders>
              <w:top w:val="nil"/>
              <w:left w:val="single" w:color="000000" w:sz="4" w:space="0"/>
              <w:bottom w:val="single" w:color="000000" w:sz="4" w:space="0"/>
              <w:right w:val="single" w:color="000000" w:sz="4" w:space="0"/>
            </w:tcBorders>
            <w:shd w:val="clear" w:color="auto" w:fill="auto"/>
            <w:vAlign w:val="center"/>
          </w:tcPr>
          <w:p w14:paraId="36D2AE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84" w:type="pct"/>
            <w:tcBorders>
              <w:top w:val="nil"/>
              <w:left w:val="single" w:color="000000" w:sz="4" w:space="0"/>
              <w:bottom w:val="single" w:color="000000" w:sz="4" w:space="0"/>
              <w:right w:val="single" w:color="000000" w:sz="4" w:space="0"/>
            </w:tcBorders>
            <w:shd w:val="clear" w:color="auto" w:fill="auto"/>
            <w:vAlign w:val="center"/>
          </w:tcPr>
          <w:p w14:paraId="7504B3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128" w:type="pct"/>
            <w:tcBorders>
              <w:top w:val="nil"/>
              <w:left w:val="single" w:color="000000" w:sz="4" w:space="0"/>
              <w:bottom w:val="single" w:color="000000" w:sz="4" w:space="0"/>
              <w:right w:val="single" w:color="000000" w:sz="4" w:space="0"/>
            </w:tcBorders>
            <w:shd w:val="clear" w:color="auto" w:fill="auto"/>
            <w:vAlign w:val="center"/>
          </w:tcPr>
          <w:p w14:paraId="771D6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60D0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8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993BD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AB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02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34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275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2C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22761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21E73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EEB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9D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D9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71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BD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07517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855B96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C0C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74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24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17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E2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5C4A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705F7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456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7CA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30F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E04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CA8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85E4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2127F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758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ADDD5">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D76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5BF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9F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BEAE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9"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70C80B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FAA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FE50D">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0E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56D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094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15D4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21B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41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C16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29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C7A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1C99C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79E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41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DF95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实现经济转型和产业发展，助推昭化区经济发展，围绕“十三五”发展目标，树立“大招商、招大商、招好商”的理念，全力做好项目引进落地服务工作，全年完成招商引资项目2个，开展各类主体活动2场次，完成招商引资投资任务2700万元。使全区招商引资实现新提升、新突破、新发展；结合部门工作职责，按照相关政策，为食品安全监管提供更多的资金保障。</w:t>
            </w:r>
          </w:p>
        </w:tc>
        <w:tc>
          <w:tcPr>
            <w:tcW w:w="229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3F8F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实现经济转型和产业发展，助推昭化区经济发展，围绕“十三五”发展目标，树立“大招商、招大商、招好商”的理念，全力做好项目引进落地服务工作，全年完成招商引资项目2个，开展各类主体活动2场次，完成招商引资投资任务2700万元。使全区招商引资实现新提升、新突破、新发展；结合部门工作职责，按照相关政策，为食品安全监管提供更多的资金保障。</w:t>
            </w:r>
          </w:p>
        </w:tc>
      </w:tr>
      <w:tr w14:paraId="46679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D7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B9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4B6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8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01E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7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07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43B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613EC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97A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restart"/>
            <w:tcBorders>
              <w:top w:val="single" w:color="000000" w:sz="4" w:space="0"/>
              <w:left w:val="single" w:color="000000" w:sz="4" w:space="0"/>
              <w:bottom w:val="nil"/>
              <w:right w:val="single" w:color="000000" w:sz="4" w:space="0"/>
            </w:tcBorders>
            <w:shd w:val="clear" w:color="auto" w:fill="auto"/>
            <w:vAlign w:val="center"/>
          </w:tcPr>
          <w:p w14:paraId="632F14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310" w:type="pct"/>
            <w:vMerge w:val="restart"/>
            <w:tcBorders>
              <w:top w:val="single" w:color="000000" w:sz="4" w:space="0"/>
              <w:left w:val="single" w:color="000000" w:sz="4" w:space="0"/>
              <w:bottom w:val="nil"/>
              <w:right w:val="single" w:color="000000" w:sz="4" w:space="0"/>
            </w:tcBorders>
            <w:shd w:val="clear" w:color="auto" w:fill="auto"/>
            <w:vAlign w:val="center"/>
          </w:tcPr>
          <w:p w14:paraId="2DAFB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B1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4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与市</w:t>
            </w:r>
            <w:r>
              <w:rPr>
                <w:rFonts w:hint="eastAsia" w:ascii="宋体" w:hAnsi="宋体" w:cs="宋体"/>
                <w:i w:val="0"/>
                <w:iCs w:val="0"/>
                <w:color w:val="000000"/>
                <w:kern w:val="0"/>
                <w:sz w:val="18"/>
                <w:szCs w:val="18"/>
                <w:u w:val="none"/>
                <w:lang w:val="en-US" w:eastAsia="zh-CN" w:bidi="ar"/>
              </w:rPr>
              <w:t>市场监管局</w:t>
            </w:r>
            <w:r>
              <w:rPr>
                <w:rFonts w:hint="eastAsia" w:ascii="宋体" w:hAnsi="宋体" w:eastAsia="宋体" w:cs="宋体"/>
                <w:i w:val="0"/>
                <w:iCs w:val="0"/>
                <w:color w:val="000000"/>
                <w:kern w:val="0"/>
                <w:sz w:val="18"/>
                <w:szCs w:val="18"/>
                <w:u w:val="none"/>
                <w:lang w:val="en-US" w:eastAsia="zh-CN" w:bidi="ar"/>
              </w:rPr>
              <w:t>对接次数</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B7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≥12次</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26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12次</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09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DDDD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BEB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continue"/>
            <w:tcBorders>
              <w:top w:val="single" w:color="000000" w:sz="4" w:space="0"/>
              <w:left w:val="single" w:color="000000" w:sz="4" w:space="0"/>
              <w:bottom w:val="nil"/>
              <w:right w:val="single" w:color="000000" w:sz="4" w:space="0"/>
            </w:tcBorders>
            <w:shd w:val="clear" w:color="auto" w:fill="auto"/>
            <w:vAlign w:val="center"/>
          </w:tcPr>
          <w:p w14:paraId="03D9F7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10" w:type="pct"/>
            <w:vMerge w:val="continue"/>
            <w:tcBorders>
              <w:top w:val="single" w:color="000000" w:sz="4" w:space="0"/>
              <w:left w:val="single" w:color="000000" w:sz="4" w:space="0"/>
              <w:bottom w:val="nil"/>
              <w:right w:val="single" w:color="000000" w:sz="4" w:space="0"/>
            </w:tcBorders>
            <w:shd w:val="clear" w:color="auto" w:fill="auto"/>
            <w:vAlign w:val="center"/>
          </w:tcPr>
          <w:p w14:paraId="26E373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BC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70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完成招商引资任务</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FF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≥2700万元</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CF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2700万元</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557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B297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7F0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continue"/>
            <w:tcBorders>
              <w:top w:val="single" w:color="000000" w:sz="4" w:space="0"/>
              <w:left w:val="single" w:color="000000" w:sz="4" w:space="0"/>
              <w:bottom w:val="nil"/>
              <w:right w:val="single" w:color="000000" w:sz="4" w:space="0"/>
            </w:tcBorders>
            <w:shd w:val="clear" w:color="auto" w:fill="auto"/>
            <w:vAlign w:val="center"/>
          </w:tcPr>
          <w:p w14:paraId="6011CD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10" w:type="pct"/>
            <w:vMerge w:val="continue"/>
            <w:tcBorders>
              <w:top w:val="single" w:color="000000" w:sz="4" w:space="0"/>
              <w:left w:val="single" w:color="000000" w:sz="4" w:space="0"/>
              <w:bottom w:val="nil"/>
              <w:right w:val="single" w:color="000000" w:sz="4" w:space="0"/>
            </w:tcBorders>
            <w:shd w:val="clear" w:color="auto" w:fill="auto"/>
            <w:vAlign w:val="center"/>
          </w:tcPr>
          <w:p w14:paraId="6BEEA09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DE6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02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2023年招商企业数</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B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≥2个</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2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2个</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5A1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2353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030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continue"/>
            <w:tcBorders>
              <w:top w:val="single" w:color="000000" w:sz="4" w:space="0"/>
              <w:left w:val="single" w:color="000000" w:sz="4" w:space="0"/>
              <w:bottom w:val="nil"/>
              <w:right w:val="single" w:color="000000" w:sz="4" w:space="0"/>
            </w:tcBorders>
            <w:shd w:val="clear" w:color="auto" w:fill="auto"/>
            <w:vAlign w:val="center"/>
          </w:tcPr>
          <w:p w14:paraId="00306F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10" w:type="pct"/>
            <w:vMerge w:val="continue"/>
            <w:tcBorders>
              <w:top w:val="single" w:color="000000" w:sz="4" w:space="0"/>
              <w:left w:val="single" w:color="000000" w:sz="4" w:space="0"/>
              <w:bottom w:val="nil"/>
              <w:right w:val="single" w:color="000000" w:sz="4" w:space="0"/>
            </w:tcBorders>
            <w:shd w:val="clear" w:color="auto" w:fill="auto"/>
            <w:vAlign w:val="center"/>
          </w:tcPr>
          <w:p w14:paraId="351874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5C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指标4：</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8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与省市场监管局对接次数</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E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≥2次</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6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2次</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B5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CDD1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6B3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continue"/>
            <w:tcBorders>
              <w:top w:val="single" w:color="000000" w:sz="4" w:space="0"/>
              <w:left w:val="single" w:color="000000" w:sz="4" w:space="0"/>
              <w:bottom w:val="nil"/>
              <w:right w:val="single" w:color="000000" w:sz="4" w:space="0"/>
            </w:tcBorders>
            <w:shd w:val="clear" w:color="auto" w:fill="auto"/>
            <w:vAlign w:val="center"/>
          </w:tcPr>
          <w:p w14:paraId="186A916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D6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5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0E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全年完成目标任务率（完成数/应完成数）</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7E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8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EE54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FBFA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2B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continue"/>
            <w:tcBorders>
              <w:top w:val="single" w:color="000000" w:sz="4" w:space="0"/>
              <w:left w:val="single" w:color="000000" w:sz="4" w:space="0"/>
              <w:bottom w:val="nil"/>
              <w:right w:val="single" w:color="000000" w:sz="4" w:space="0"/>
            </w:tcBorders>
            <w:shd w:val="clear" w:color="auto" w:fill="auto"/>
            <w:vAlign w:val="center"/>
          </w:tcPr>
          <w:p w14:paraId="2B239DF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5E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28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09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完成年度目标任务时限</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9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87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923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E6AF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059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continue"/>
            <w:tcBorders>
              <w:top w:val="single" w:color="000000" w:sz="4" w:space="0"/>
              <w:left w:val="single" w:color="000000" w:sz="4" w:space="0"/>
              <w:bottom w:val="nil"/>
              <w:right w:val="single" w:color="000000" w:sz="4" w:space="0"/>
            </w:tcBorders>
            <w:shd w:val="clear" w:color="auto" w:fill="auto"/>
            <w:vAlign w:val="center"/>
          </w:tcPr>
          <w:p w14:paraId="59838F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36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社会效益效益指标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B6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A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带动当地经济不断发展</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87D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优良差</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95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E5FE">
            <w:pPr>
              <w:keepNext w:val="0"/>
              <w:keepLines w:val="0"/>
              <w:suppressLineNumbers w:val="0"/>
              <w:spacing w:before="0" w:beforeAutospacing="0" w:after="0" w:afterAutospacing="0"/>
              <w:ind w:left="0" w:right="0"/>
              <w:rPr>
                <w:rFonts w:hint="eastAsia" w:ascii="宋体" w:hAnsi="宋体" w:eastAsia="宋体" w:cs="宋体"/>
                <w:i w:val="0"/>
                <w:iCs w:val="0"/>
                <w:color w:val="000000"/>
                <w:sz w:val="18"/>
                <w:szCs w:val="18"/>
                <w:u w:val="none"/>
              </w:rPr>
            </w:pPr>
          </w:p>
        </w:tc>
      </w:tr>
      <w:tr w14:paraId="0AB33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CC50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vMerge w:val="continue"/>
            <w:tcBorders>
              <w:top w:val="single" w:color="000000" w:sz="4" w:space="0"/>
              <w:left w:val="single" w:color="000000" w:sz="4" w:space="0"/>
              <w:bottom w:val="nil"/>
              <w:right w:val="single" w:color="000000" w:sz="4" w:space="0"/>
            </w:tcBorders>
            <w:shd w:val="clear" w:color="auto" w:fill="auto"/>
            <w:vAlign w:val="center"/>
          </w:tcPr>
          <w:p w14:paraId="0B088CC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3F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CC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88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争取资金及招商引资时差旅费、接待费、印刷费所需经费</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420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5万元</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2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5万元</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1AEC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804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826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78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F1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88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C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服务和受益对象满意度</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88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63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9AE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138B23C0">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86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2"/>
        <w:gridCol w:w="622"/>
        <w:gridCol w:w="1866"/>
        <w:gridCol w:w="1000"/>
        <w:gridCol w:w="2673"/>
        <w:gridCol w:w="1028"/>
        <w:gridCol w:w="1255"/>
        <w:gridCol w:w="2068"/>
      </w:tblGrid>
      <w:tr w14:paraId="084E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000" w:type="pct"/>
            <w:gridSpan w:val="8"/>
            <w:tcBorders>
              <w:top w:val="nil"/>
              <w:left w:val="nil"/>
              <w:bottom w:val="nil"/>
              <w:right w:val="nil"/>
            </w:tcBorders>
            <w:shd w:val="clear" w:color="auto" w:fill="auto"/>
            <w:vAlign w:val="center"/>
          </w:tcPr>
          <w:p w14:paraId="16FAE07C">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5602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0363C45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2EF7C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BC9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48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AA36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争取资金工作经费（含地标产品省级示范区创建）</w:t>
            </w:r>
          </w:p>
        </w:tc>
      </w:tr>
      <w:tr w14:paraId="67793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37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25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4AA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DA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5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9E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1B5B7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5ADA9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847" w:type="pct"/>
            <w:tcBorders>
              <w:top w:val="nil"/>
              <w:left w:val="single" w:color="000000" w:sz="4" w:space="0"/>
              <w:bottom w:val="single" w:color="000000" w:sz="4" w:space="0"/>
              <w:right w:val="single" w:color="000000" w:sz="4" w:space="0"/>
            </w:tcBorders>
            <w:shd w:val="clear" w:color="auto" w:fill="auto"/>
            <w:vAlign w:val="center"/>
          </w:tcPr>
          <w:p w14:paraId="7A874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1667" w:type="pct"/>
            <w:gridSpan w:val="2"/>
            <w:tcBorders>
              <w:top w:val="nil"/>
              <w:left w:val="single" w:color="000000" w:sz="4" w:space="0"/>
              <w:bottom w:val="single" w:color="000000" w:sz="4" w:space="0"/>
              <w:right w:val="single" w:color="000000" w:sz="4" w:space="0"/>
            </w:tcBorders>
            <w:shd w:val="clear" w:color="auto" w:fill="auto"/>
            <w:vAlign w:val="center"/>
          </w:tcPr>
          <w:p w14:paraId="27DF70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466" w:type="pct"/>
            <w:tcBorders>
              <w:top w:val="nil"/>
              <w:left w:val="single" w:color="000000" w:sz="4" w:space="0"/>
              <w:bottom w:val="single" w:color="000000" w:sz="4" w:space="0"/>
              <w:right w:val="single" w:color="000000" w:sz="4" w:space="0"/>
            </w:tcBorders>
            <w:shd w:val="clear" w:color="auto" w:fill="auto"/>
            <w:vAlign w:val="center"/>
          </w:tcPr>
          <w:p w14:paraId="3B609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69" w:type="pct"/>
            <w:tcBorders>
              <w:top w:val="nil"/>
              <w:left w:val="single" w:color="000000" w:sz="4" w:space="0"/>
              <w:bottom w:val="single" w:color="000000" w:sz="4" w:space="0"/>
              <w:right w:val="single" w:color="000000" w:sz="4" w:space="0"/>
            </w:tcBorders>
            <w:shd w:val="clear" w:color="auto" w:fill="auto"/>
            <w:vAlign w:val="center"/>
          </w:tcPr>
          <w:p w14:paraId="2653D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938" w:type="pct"/>
            <w:tcBorders>
              <w:top w:val="nil"/>
              <w:left w:val="single" w:color="000000" w:sz="4" w:space="0"/>
              <w:bottom w:val="single" w:color="000000" w:sz="4" w:space="0"/>
              <w:right w:val="single" w:color="000000" w:sz="4" w:space="0"/>
            </w:tcBorders>
            <w:shd w:val="clear" w:color="auto" w:fill="auto"/>
            <w:vAlign w:val="center"/>
          </w:tcPr>
          <w:p w14:paraId="4670D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2AB0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1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51679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3E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7B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16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A6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B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5AD44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51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13FAF3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54D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854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AA7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13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C5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6B435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F45DF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F1E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0DE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81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6C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120000</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8B3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57C79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482D8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8FA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306C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515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C37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CD5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24FE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37D9E8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CAA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F2B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6C9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F4B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E62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0949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1C440E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D78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1BFC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EAB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7D5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546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091F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E34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79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B149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19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CFC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3488A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C51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79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9918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照区委区政府向上对接争取工作的相关要求，局主要领导亲自安排、亲自到省市对接向上对接争取工作，争取更多资金、更多示范创建工作落到昭化区，完成向上资金争取目标并积极申报省级地理标志产品保护示范区创建工作，助推昭化市场监管高质量发展</w:t>
            </w:r>
          </w:p>
        </w:tc>
        <w:tc>
          <w:tcPr>
            <w:tcW w:w="19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B098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照区委区政府向上对接争取工作的相关要求，局主要领导亲自安排、亲自到省市对接向上对接争取工作，争取更多资金、更多示范创建工作落到昭化区，完成向上资金争取目标并积极申报省级地理标志产品保护示范区创建工作，助推昭化市场监管高质量发展</w:t>
            </w:r>
          </w:p>
        </w:tc>
      </w:tr>
      <w:tr w14:paraId="40ABE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44A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D2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DED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32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73C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C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54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17864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68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restart"/>
            <w:tcBorders>
              <w:top w:val="single" w:color="000000" w:sz="4" w:space="0"/>
              <w:left w:val="single" w:color="000000" w:sz="4" w:space="0"/>
              <w:bottom w:val="nil"/>
              <w:right w:val="single" w:color="000000" w:sz="4" w:space="0"/>
            </w:tcBorders>
            <w:shd w:val="clear" w:color="auto" w:fill="auto"/>
            <w:vAlign w:val="center"/>
          </w:tcPr>
          <w:p w14:paraId="72349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847" w:type="pct"/>
            <w:vMerge w:val="restart"/>
            <w:tcBorders>
              <w:top w:val="single" w:color="000000" w:sz="4" w:space="0"/>
              <w:left w:val="single" w:color="000000" w:sz="4" w:space="0"/>
              <w:bottom w:val="nil"/>
              <w:right w:val="single" w:color="000000" w:sz="4" w:space="0"/>
            </w:tcBorders>
            <w:shd w:val="clear" w:color="auto" w:fill="auto"/>
            <w:vAlign w:val="center"/>
          </w:tcPr>
          <w:p w14:paraId="41F84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691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E0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与市</w:t>
            </w:r>
            <w:r>
              <w:rPr>
                <w:rFonts w:hint="eastAsia" w:ascii="宋体" w:hAnsi="宋体" w:cs="宋体"/>
                <w:i w:val="0"/>
                <w:iCs w:val="0"/>
                <w:color w:val="000000"/>
                <w:kern w:val="0"/>
                <w:sz w:val="18"/>
                <w:szCs w:val="18"/>
                <w:u w:val="none"/>
                <w:lang w:val="en-US" w:eastAsia="zh-CN" w:bidi="ar"/>
              </w:rPr>
              <w:t>市场监管局</w:t>
            </w:r>
            <w:r>
              <w:rPr>
                <w:rFonts w:hint="eastAsia" w:ascii="宋体" w:hAnsi="宋体" w:eastAsia="宋体" w:cs="宋体"/>
                <w:i w:val="0"/>
                <w:iCs w:val="0"/>
                <w:color w:val="000000"/>
                <w:kern w:val="0"/>
                <w:sz w:val="18"/>
                <w:szCs w:val="18"/>
                <w:u w:val="none"/>
                <w:lang w:val="en-US" w:eastAsia="zh-CN" w:bidi="ar"/>
              </w:rPr>
              <w:t>对接次数</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7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≥6次</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C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≥6次</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4D4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CEE6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821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continue"/>
            <w:tcBorders>
              <w:top w:val="single" w:color="000000" w:sz="4" w:space="0"/>
              <w:left w:val="single" w:color="000000" w:sz="4" w:space="0"/>
              <w:bottom w:val="nil"/>
              <w:right w:val="single" w:color="000000" w:sz="4" w:space="0"/>
            </w:tcBorders>
            <w:shd w:val="clear" w:color="auto" w:fill="auto"/>
            <w:vAlign w:val="center"/>
          </w:tcPr>
          <w:p w14:paraId="6E2116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vMerge w:val="continue"/>
            <w:tcBorders>
              <w:top w:val="single" w:color="000000" w:sz="4" w:space="0"/>
              <w:left w:val="single" w:color="000000" w:sz="4" w:space="0"/>
              <w:bottom w:val="nil"/>
              <w:right w:val="single" w:color="000000" w:sz="4" w:space="0"/>
            </w:tcBorders>
            <w:shd w:val="clear" w:color="auto" w:fill="auto"/>
            <w:vAlign w:val="center"/>
          </w:tcPr>
          <w:p w14:paraId="0AD540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E6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1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申报省级地理标志产品保护示范区创建工作</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9C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≥1个</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2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≥1个</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24D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6192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97B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continue"/>
            <w:tcBorders>
              <w:top w:val="single" w:color="000000" w:sz="4" w:space="0"/>
              <w:left w:val="single" w:color="000000" w:sz="4" w:space="0"/>
              <w:bottom w:val="nil"/>
              <w:right w:val="single" w:color="000000" w:sz="4" w:space="0"/>
            </w:tcBorders>
            <w:shd w:val="clear" w:color="auto" w:fill="auto"/>
            <w:vAlign w:val="center"/>
          </w:tcPr>
          <w:p w14:paraId="7E550C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vMerge w:val="continue"/>
            <w:tcBorders>
              <w:top w:val="single" w:color="000000" w:sz="4" w:space="0"/>
              <w:left w:val="single" w:color="000000" w:sz="4" w:space="0"/>
              <w:bottom w:val="nil"/>
              <w:right w:val="single" w:color="000000" w:sz="4" w:space="0"/>
            </w:tcBorders>
            <w:shd w:val="clear" w:color="auto" w:fill="auto"/>
            <w:vAlign w:val="center"/>
          </w:tcPr>
          <w:p w14:paraId="5CF98F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CC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6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争取资金金额</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3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≥50万元</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71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≥50万元</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2F0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4F01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1F1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continue"/>
            <w:tcBorders>
              <w:top w:val="single" w:color="000000" w:sz="4" w:space="0"/>
              <w:left w:val="single" w:color="000000" w:sz="4" w:space="0"/>
              <w:bottom w:val="nil"/>
              <w:right w:val="single" w:color="000000" w:sz="4" w:space="0"/>
            </w:tcBorders>
            <w:shd w:val="clear" w:color="auto" w:fill="auto"/>
            <w:vAlign w:val="center"/>
          </w:tcPr>
          <w:p w14:paraId="3C2ACD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vMerge w:val="continue"/>
            <w:tcBorders>
              <w:top w:val="single" w:color="000000" w:sz="4" w:space="0"/>
              <w:left w:val="single" w:color="000000" w:sz="4" w:space="0"/>
              <w:bottom w:val="nil"/>
              <w:right w:val="single" w:color="000000" w:sz="4" w:space="0"/>
            </w:tcBorders>
            <w:shd w:val="clear" w:color="auto" w:fill="auto"/>
            <w:vAlign w:val="center"/>
          </w:tcPr>
          <w:p w14:paraId="7A48E0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7B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指标4：</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64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与省市场监管局对接次数</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62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≥6次</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0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≥6次</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07F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237E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A08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continue"/>
            <w:tcBorders>
              <w:top w:val="single" w:color="000000" w:sz="4" w:space="0"/>
              <w:left w:val="single" w:color="000000" w:sz="4" w:space="0"/>
              <w:bottom w:val="nil"/>
              <w:right w:val="single" w:color="000000" w:sz="4" w:space="0"/>
            </w:tcBorders>
            <w:shd w:val="clear" w:color="auto" w:fill="auto"/>
            <w:vAlign w:val="center"/>
          </w:tcPr>
          <w:p w14:paraId="406C55C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94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E4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52D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完成各项目标任务率（完成数/应完成数）</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4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F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F9D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A4F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C1C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continue"/>
            <w:tcBorders>
              <w:top w:val="single" w:color="000000" w:sz="4" w:space="0"/>
              <w:left w:val="single" w:color="000000" w:sz="4" w:space="0"/>
              <w:bottom w:val="nil"/>
              <w:right w:val="single" w:color="000000" w:sz="4" w:space="0"/>
            </w:tcBorders>
            <w:shd w:val="clear" w:color="auto" w:fill="auto"/>
            <w:vAlign w:val="center"/>
          </w:tcPr>
          <w:p w14:paraId="7FDBD5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CC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1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1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完成年度目标任务时限</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0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DE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E42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FE73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474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continue"/>
            <w:tcBorders>
              <w:top w:val="single" w:color="000000" w:sz="4" w:space="0"/>
              <w:left w:val="single" w:color="000000" w:sz="4" w:space="0"/>
              <w:bottom w:val="nil"/>
              <w:right w:val="single" w:color="000000" w:sz="4" w:space="0"/>
            </w:tcBorders>
            <w:shd w:val="clear" w:color="auto" w:fill="auto"/>
            <w:vAlign w:val="center"/>
          </w:tcPr>
          <w:p w14:paraId="21D0E9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C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社会效益效益指标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8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5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为市场综合监管提供经济保障</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3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优良差</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D1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0C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全年为市场综合监管提供30万元以上保障为优，20-30万元以上为良，20万元以下为差。</w:t>
            </w:r>
          </w:p>
        </w:tc>
      </w:tr>
      <w:tr w14:paraId="69D3F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B78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vMerge w:val="continue"/>
            <w:tcBorders>
              <w:top w:val="single" w:color="000000" w:sz="4" w:space="0"/>
              <w:left w:val="single" w:color="000000" w:sz="4" w:space="0"/>
              <w:bottom w:val="nil"/>
              <w:right w:val="single" w:color="000000" w:sz="4" w:space="0"/>
            </w:tcBorders>
            <w:shd w:val="clear" w:color="auto" w:fill="auto"/>
            <w:vAlign w:val="center"/>
          </w:tcPr>
          <w:p w14:paraId="6BDD74F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5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E0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F4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争取资金及示范区创建差旅费、接待费、宣传培训等</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9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12万元</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53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12万元</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F2DF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0D35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7E6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E0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8B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986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A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服务对象和受益对象满意度</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AA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9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A00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1042E580">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7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5"/>
        <w:gridCol w:w="624"/>
        <w:gridCol w:w="620"/>
        <w:gridCol w:w="1490"/>
        <w:gridCol w:w="3390"/>
        <w:gridCol w:w="1270"/>
        <w:gridCol w:w="1220"/>
        <w:gridCol w:w="1780"/>
      </w:tblGrid>
      <w:tr w14:paraId="29A2D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5000" w:type="pct"/>
            <w:gridSpan w:val="8"/>
            <w:tcBorders>
              <w:top w:val="nil"/>
              <w:left w:val="nil"/>
              <w:bottom w:val="nil"/>
              <w:right w:val="nil"/>
            </w:tcBorders>
            <w:shd w:val="clear" w:color="auto" w:fill="auto"/>
            <w:vAlign w:val="center"/>
          </w:tcPr>
          <w:p w14:paraId="4FD786CC">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1E9C4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5000" w:type="pct"/>
            <w:gridSpan w:val="8"/>
            <w:tcBorders>
              <w:top w:val="nil"/>
              <w:left w:val="nil"/>
              <w:bottom w:val="nil"/>
              <w:right w:val="nil"/>
            </w:tcBorders>
            <w:shd w:val="clear" w:color="auto" w:fill="auto"/>
            <w:vAlign w:val="top"/>
          </w:tcPr>
          <w:p w14:paraId="1464C37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49DF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7C9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项目（政策）名称</w:t>
            </w:r>
          </w:p>
        </w:tc>
        <w:tc>
          <w:tcPr>
            <w:tcW w:w="451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B6A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特种设备安全监管经费</w:t>
            </w:r>
          </w:p>
        </w:tc>
      </w:tr>
      <w:tr w14:paraId="7248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6F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主管部门</w:t>
            </w:r>
          </w:p>
        </w:tc>
        <w:tc>
          <w:tcPr>
            <w:tcW w:w="254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414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C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138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32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6AE03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80"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4C06CF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项目（政策）资金（万元）</w:t>
            </w:r>
          </w:p>
        </w:tc>
        <w:tc>
          <w:tcPr>
            <w:tcW w:w="976" w:type="pct"/>
            <w:gridSpan w:val="2"/>
            <w:tcBorders>
              <w:top w:val="nil"/>
              <w:left w:val="single" w:color="000000" w:sz="4" w:space="0"/>
              <w:bottom w:val="single" w:color="000000" w:sz="4" w:space="0"/>
              <w:right w:val="single" w:color="000000" w:sz="4" w:space="0"/>
            </w:tcBorders>
            <w:shd w:val="clear" w:color="auto" w:fill="auto"/>
            <w:vAlign w:val="center"/>
          </w:tcPr>
          <w:p w14:paraId="2D9C0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年度预算数（万元）</w:t>
            </w:r>
          </w:p>
        </w:tc>
        <w:tc>
          <w:tcPr>
            <w:tcW w:w="1568" w:type="pct"/>
            <w:tcBorders>
              <w:top w:val="nil"/>
              <w:left w:val="single" w:color="000000" w:sz="4" w:space="0"/>
              <w:bottom w:val="single" w:color="000000" w:sz="4" w:space="0"/>
              <w:right w:val="single" w:color="000000" w:sz="4" w:space="0"/>
            </w:tcBorders>
            <w:shd w:val="clear" w:color="auto" w:fill="auto"/>
            <w:vAlign w:val="center"/>
          </w:tcPr>
          <w:p w14:paraId="4043D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年初预算数</w:t>
            </w:r>
          </w:p>
        </w:tc>
        <w:tc>
          <w:tcPr>
            <w:tcW w:w="587" w:type="pct"/>
            <w:tcBorders>
              <w:top w:val="nil"/>
              <w:left w:val="single" w:color="000000" w:sz="4" w:space="0"/>
              <w:bottom w:val="single" w:color="000000" w:sz="4" w:space="0"/>
              <w:right w:val="single" w:color="000000" w:sz="4" w:space="0"/>
            </w:tcBorders>
            <w:shd w:val="clear" w:color="auto" w:fill="auto"/>
            <w:vAlign w:val="center"/>
          </w:tcPr>
          <w:p w14:paraId="622BC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全年预算数</w:t>
            </w:r>
          </w:p>
        </w:tc>
        <w:tc>
          <w:tcPr>
            <w:tcW w:w="564" w:type="pct"/>
            <w:tcBorders>
              <w:top w:val="nil"/>
              <w:left w:val="single" w:color="000000" w:sz="4" w:space="0"/>
              <w:bottom w:val="single" w:color="000000" w:sz="4" w:space="0"/>
              <w:right w:val="single" w:color="000000" w:sz="4" w:space="0"/>
            </w:tcBorders>
            <w:shd w:val="clear" w:color="auto" w:fill="auto"/>
            <w:vAlign w:val="center"/>
          </w:tcPr>
          <w:p w14:paraId="5275B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全年执行数</w:t>
            </w:r>
          </w:p>
        </w:tc>
        <w:tc>
          <w:tcPr>
            <w:tcW w:w="823" w:type="pct"/>
            <w:tcBorders>
              <w:top w:val="nil"/>
              <w:left w:val="single" w:color="000000" w:sz="4" w:space="0"/>
              <w:bottom w:val="single" w:color="000000" w:sz="4" w:space="0"/>
              <w:right w:val="single" w:color="000000" w:sz="4" w:space="0"/>
            </w:tcBorders>
            <w:shd w:val="clear" w:color="auto" w:fill="auto"/>
            <w:vAlign w:val="center"/>
          </w:tcPr>
          <w:p w14:paraId="75710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执行率</w:t>
            </w:r>
          </w:p>
        </w:tc>
      </w:tr>
      <w:tr w14:paraId="3803E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48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7DBE4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8D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年度资金总额</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EC6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1D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FA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C9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r>
      <w:tr w14:paraId="5A0FB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48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53889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5FE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（一）财政拨款小计</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53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FD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F0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62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r>
      <w:tr w14:paraId="661B1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8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1B3C5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5C2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1.一般公共预算</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824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4A8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9C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7F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r>
      <w:tr w14:paraId="03F12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8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1EDE3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9F3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2.政府性基金</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809E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F82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7F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F54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3464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8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D04CD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BAD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3.国有资本经营预算</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101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F4A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DD37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F10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EBEB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48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B7BA1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570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（二）其他资金</w:t>
            </w:r>
          </w:p>
        </w:tc>
        <w:tc>
          <w:tcPr>
            <w:tcW w:w="1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13483">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20"/>
                <w:szCs w:val="20"/>
                <w:u w:val="none"/>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E4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2CE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FB7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5C69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ECF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年度总体目标</w:t>
            </w:r>
          </w:p>
        </w:tc>
        <w:tc>
          <w:tcPr>
            <w:tcW w:w="28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CAE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w:t>
            </w:r>
          </w:p>
        </w:tc>
        <w:tc>
          <w:tcPr>
            <w:tcW w:w="19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F875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全年实际完成情况</w:t>
            </w:r>
          </w:p>
        </w:tc>
      </w:tr>
      <w:tr w14:paraId="4E245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135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5344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1.构建特种设备智慧监管模式；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2.开展特种设备安全日常监察，确保全区特种设备使用登记率100%，法定检验率100%，预计检查50家次；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3.完成2023年特种设备各项专项整治检查工作，预计5次专项整治；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4.抓牢重要节日、“两会”等重点时段的安全监管，保障特种设备安全，预计检查20次；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5.召开各项特种设备安全工作会议，开展特种设备安全教育培训、宣传，预计培训使用单位100家次。</w:t>
            </w:r>
          </w:p>
        </w:tc>
        <w:tc>
          <w:tcPr>
            <w:tcW w:w="19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4F2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1.构建特种设备智慧监管模式；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2.开展特种设备安全日常监察，确保全区特种设备使用登记率100%，法定检验率100%，预计检查50家次；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3.完成2023年特种设备各项专项整治检查工作，预计5次专项整治；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4.抓牢重要节日、“两会”等重点时段的安全监管，保障特种设备安全，预计检查20次；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5.召开各项特种设备安全工作会议，开展特种设备安全教育培训、宣传，预计培训使用单位100家次。</w:t>
            </w:r>
          </w:p>
        </w:tc>
      </w:tr>
      <w:tr w14:paraId="4F26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C7B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C23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70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75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7C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年度指标值</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304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8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偏差原因分析及改进措施</w:t>
            </w:r>
          </w:p>
        </w:tc>
      </w:tr>
      <w:tr w14:paraId="410D7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CE8C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restart"/>
            <w:tcBorders>
              <w:top w:val="single" w:color="000000" w:sz="4" w:space="0"/>
              <w:left w:val="single" w:color="000000" w:sz="4" w:space="0"/>
              <w:bottom w:val="nil"/>
              <w:right w:val="single" w:color="000000" w:sz="4" w:space="0"/>
            </w:tcBorders>
            <w:shd w:val="clear" w:color="auto" w:fill="auto"/>
            <w:vAlign w:val="center"/>
          </w:tcPr>
          <w:p w14:paraId="216424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w:t>
            </w:r>
          </w:p>
        </w:tc>
        <w:tc>
          <w:tcPr>
            <w:tcW w:w="286" w:type="pct"/>
            <w:vMerge w:val="restart"/>
            <w:tcBorders>
              <w:top w:val="single" w:color="000000" w:sz="4" w:space="0"/>
              <w:left w:val="single" w:color="000000" w:sz="4" w:space="0"/>
              <w:bottom w:val="nil"/>
              <w:right w:val="single" w:color="000000" w:sz="4" w:space="0"/>
            </w:tcBorders>
            <w:shd w:val="clear" w:color="auto" w:fill="auto"/>
            <w:vAlign w:val="center"/>
          </w:tcPr>
          <w:p w14:paraId="672984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8F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6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重要节日专项检查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B8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26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≥20次</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666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2ED6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A29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50CBB9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vMerge w:val="continue"/>
            <w:tcBorders>
              <w:top w:val="single" w:color="000000" w:sz="4" w:space="0"/>
              <w:left w:val="single" w:color="000000" w:sz="4" w:space="0"/>
              <w:bottom w:val="nil"/>
              <w:right w:val="single" w:color="000000" w:sz="4" w:space="0"/>
            </w:tcBorders>
            <w:shd w:val="clear" w:color="auto" w:fill="auto"/>
            <w:vAlign w:val="center"/>
          </w:tcPr>
          <w:p w14:paraId="150B25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C4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指标2：</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3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发放特种设备安全宣传资料</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A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≥1000份</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F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≥1000份</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26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4B3F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0AF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06A3F6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vMerge w:val="continue"/>
            <w:tcBorders>
              <w:top w:val="single" w:color="000000" w:sz="4" w:space="0"/>
              <w:left w:val="single" w:color="000000" w:sz="4" w:space="0"/>
              <w:bottom w:val="nil"/>
              <w:right w:val="single" w:color="000000" w:sz="4" w:space="0"/>
            </w:tcBorders>
            <w:shd w:val="clear" w:color="auto" w:fill="auto"/>
            <w:vAlign w:val="center"/>
          </w:tcPr>
          <w:p w14:paraId="42540D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D51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指标3：</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0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特种设备安全日常监察检查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6F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≥50家</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9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≥50家</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13A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0F3D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6FA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70F4ED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vMerge w:val="continue"/>
            <w:tcBorders>
              <w:top w:val="single" w:color="000000" w:sz="4" w:space="0"/>
              <w:left w:val="single" w:color="000000" w:sz="4" w:space="0"/>
              <w:bottom w:val="nil"/>
              <w:right w:val="single" w:color="000000" w:sz="4" w:space="0"/>
            </w:tcBorders>
            <w:shd w:val="clear" w:color="auto" w:fill="auto"/>
            <w:vAlign w:val="center"/>
          </w:tcPr>
          <w:p w14:paraId="750966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BE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指标4：</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B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对特种设备使用单位安全教育培训</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5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≥100家</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297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≥100家</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04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F82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BC4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5697BC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vMerge w:val="continue"/>
            <w:tcBorders>
              <w:top w:val="single" w:color="000000" w:sz="4" w:space="0"/>
              <w:left w:val="single" w:color="000000" w:sz="4" w:space="0"/>
              <w:bottom w:val="nil"/>
              <w:right w:val="single" w:color="000000" w:sz="4" w:space="0"/>
            </w:tcBorders>
            <w:shd w:val="clear" w:color="auto" w:fill="auto"/>
            <w:vAlign w:val="center"/>
          </w:tcPr>
          <w:p w14:paraId="44B13E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02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指标5：</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8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特种设备专项整治</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3F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B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≥5次</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EA4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119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14E3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514F91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5B9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F6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C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特种设备监管覆盖率（监管数/应监管数）</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90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52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B1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02B9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E8B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3559D3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CA6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29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指标2：</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79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特种设备登记率（登记数/应登记数）</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2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4D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2DF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D474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858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6FCCD9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7531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FDC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指标3：</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ED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特种设备检验率（检验率/应检验率）</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D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5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F0A9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21E6E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A40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7A71EB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98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CE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6D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完成年度目标任务时限</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3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F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36B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6F6A1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1AE9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25958C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32C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社会效益效益指标</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0B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1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特种设备安全监管水平</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C1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优良中低差</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5C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A2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特种设备市场安全率90%以上为优，80%-90%为良，70-80%为中，70%以下为差。</w:t>
            </w:r>
          </w:p>
        </w:tc>
      </w:tr>
      <w:tr w14:paraId="5F11C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9A4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4" w:space="0"/>
              <w:left w:val="single" w:color="000000" w:sz="4" w:space="0"/>
              <w:bottom w:val="nil"/>
              <w:right w:val="single" w:color="000000" w:sz="4" w:space="0"/>
            </w:tcBorders>
            <w:shd w:val="clear" w:color="auto" w:fill="auto"/>
            <w:vAlign w:val="center"/>
          </w:tcPr>
          <w:p w14:paraId="0CD594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4F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经济成本指标</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CD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97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特种设备监管所需培训费、资料印刷、差旅费等</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6F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22万元</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07D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22万元</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3AB9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3F0B5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483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F0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D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服务对象满意度指标</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0BC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A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服务和受益企业满意度</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433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C4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8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E6A4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bl>
    <w:p w14:paraId="288CBE53">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601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2"/>
        <w:gridCol w:w="718"/>
        <w:gridCol w:w="1090"/>
        <w:gridCol w:w="250"/>
        <w:gridCol w:w="770"/>
        <w:gridCol w:w="2354"/>
        <w:gridCol w:w="1316"/>
        <w:gridCol w:w="1316"/>
        <w:gridCol w:w="2390"/>
      </w:tblGrid>
      <w:tr w14:paraId="2C445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5000" w:type="pct"/>
            <w:gridSpan w:val="9"/>
            <w:tcBorders>
              <w:top w:val="nil"/>
              <w:left w:val="nil"/>
              <w:bottom w:val="nil"/>
              <w:right w:val="nil"/>
            </w:tcBorders>
            <w:shd w:val="clear" w:color="auto" w:fill="auto"/>
            <w:vAlign w:val="center"/>
          </w:tcPr>
          <w:p w14:paraId="649E8D2D">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48"/>
                <w:szCs w:val="48"/>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0DEB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5000" w:type="pct"/>
            <w:gridSpan w:val="9"/>
            <w:tcBorders>
              <w:top w:val="nil"/>
              <w:left w:val="nil"/>
              <w:bottom w:val="nil"/>
              <w:right w:val="nil"/>
            </w:tcBorders>
            <w:shd w:val="clear" w:color="auto" w:fill="auto"/>
            <w:vAlign w:val="top"/>
          </w:tcPr>
          <w:p w14:paraId="11D04DC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0EAD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32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项目（政策）名称</w:t>
            </w:r>
          </w:p>
        </w:tc>
        <w:tc>
          <w:tcPr>
            <w:tcW w:w="451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79D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2023年省级知识产权专项资金（广财建（2023）122号）</w:t>
            </w:r>
          </w:p>
        </w:tc>
      </w:tr>
      <w:tr w14:paraId="145C9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jc w:val="center"/>
        </w:trPr>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20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主管部门</w:t>
            </w:r>
          </w:p>
        </w:tc>
        <w:tc>
          <w:tcPr>
            <w:tcW w:w="22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AA2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797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163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65514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 w:hRule="atLeast"/>
          <w:jc w:val="center"/>
        </w:trPr>
        <w:tc>
          <w:tcPr>
            <w:tcW w:w="487" w:type="pct"/>
            <w:vMerge w:val="restart"/>
            <w:tcBorders>
              <w:top w:val="single" w:color="000000" w:sz="4" w:space="0"/>
              <w:left w:val="single" w:color="000000" w:sz="4" w:space="0"/>
              <w:bottom w:val="nil"/>
              <w:right w:val="single" w:color="000000" w:sz="4" w:space="0"/>
            </w:tcBorders>
            <w:shd w:val="clear" w:color="auto" w:fill="auto"/>
            <w:vAlign w:val="center"/>
          </w:tcPr>
          <w:p w14:paraId="2B0D2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项目（政策）资金（万元）</w:t>
            </w:r>
          </w:p>
        </w:tc>
        <w:tc>
          <w:tcPr>
            <w:tcW w:w="910" w:type="pct"/>
            <w:gridSpan w:val="3"/>
            <w:tcBorders>
              <w:top w:val="nil"/>
              <w:left w:val="single" w:color="000000" w:sz="4" w:space="0"/>
              <w:bottom w:val="single" w:color="000000" w:sz="4" w:space="0"/>
              <w:right w:val="single" w:color="000000" w:sz="4" w:space="0"/>
            </w:tcBorders>
            <w:shd w:val="clear" w:color="auto" w:fill="auto"/>
            <w:vAlign w:val="center"/>
          </w:tcPr>
          <w:p w14:paraId="6EEFD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年度预算数（万元）</w:t>
            </w:r>
          </w:p>
        </w:tc>
        <w:tc>
          <w:tcPr>
            <w:tcW w:w="1381" w:type="pct"/>
            <w:gridSpan w:val="2"/>
            <w:tcBorders>
              <w:top w:val="nil"/>
              <w:left w:val="single" w:color="000000" w:sz="4" w:space="0"/>
              <w:bottom w:val="single" w:color="000000" w:sz="4" w:space="0"/>
              <w:right w:val="single" w:color="000000" w:sz="4" w:space="0"/>
            </w:tcBorders>
            <w:shd w:val="clear" w:color="auto" w:fill="auto"/>
            <w:vAlign w:val="center"/>
          </w:tcPr>
          <w:p w14:paraId="32FDC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年初预算数</w:t>
            </w:r>
          </w:p>
        </w:tc>
        <w:tc>
          <w:tcPr>
            <w:tcW w:w="581" w:type="pct"/>
            <w:tcBorders>
              <w:top w:val="nil"/>
              <w:left w:val="single" w:color="000000" w:sz="4" w:space="0"/>
              <w:bottom w:val="single" w:color="000000" w:sz="4" w:space="0"/>
              <w:right w:val="single" w:color="000000" w:sz="4" w:space="0"/>
            </w:tcBorders>
            <w:shd w:val="clear" w:color="auto" w:fill="auto"/>
            <w:vAlign w:val="center"/>
          </w:tcPr>
          <w:p w14:paraId="7CBEA6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全年预算数</w:t>
            </w:r>
          </w:p>
        </w:tc>
        <w:tc>
          <w:tcPr>
            <w:tcW w:w="581" w:type="pct"/>
            <w:tcBorders>
              <w:top w:val="nil"/>
              <w:left w:val="single" w:color="000000" w:sz="4" w:space="0"/>
              <w:bottom w:val="single" w:color="000000" w:sz="4" w:space="0"/>
              <w:right w:val="single" w:color="000000" w:sz="4" w:space="0"/>
            </w:tcBorders>
            <w:shd w:val="clear" w:color="auto" w:fill="auto"/>
            <w:vAlign w:val="center"/>
          </w:tcPr>
          <w:p w14:paraId="06B67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全年执行数</w:t>
            </w:r>
          </w:p>
        </w:tc>
        <w:tc>
          <w:tcPr>
            <w:tcW w:w="1056" w:type="pct"/>
            <w:tcBorders>
              <w:top w:val="nil"/>
              <w:left w:val="single" w:color="000000" w:sz="4" w:space="0"/>
              <w:bottom w:val="single" w:color="000000" w:sz="4" w:space="0"/>
              <w:right w:val="single" w:color="000000" w:sz="4" w:space="0"/>
            </w:tcBorders>
            <w:shd w:val="clear" w:color="auto" w:fill="auto"/>
            <w:vAlign w:val="center"/>
          </w:tcPr>
          <w:p w14:paraId="7DCAA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执行率</w:t>
            </w:r>
          </w:p>
        </w:tc>
      </w:tr>
      <w:tr w14:paraId="36F74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730461A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1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0DD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年度资金总额</w:t>
            </w:r>
          </w:p>
        </w:tc>
        <w:tc>
          <w:tcPr>
            <w:tcW w:w="1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5A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C8F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76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C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57.64%</w:t>
            </w:r>
          </w:p>
        </w:tc>
      </w:tr>
      <w:tr w14:paraId="4F63A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3D4BAB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1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71E6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（一）财政拨款小计</w:t>
            </w:r>
          </w:p>
        </w:tc>
        <w:tc>
          <w:tcPr>
            <w:tcW w:w="1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51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07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F1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E90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57.64%</w:t>
            </w:r>
          </w:p>
        </w:tc>
      </w:tr>
      <w:tr w14:paraId="6F9D2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11C843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1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C88D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1.一般公共预算</w:t>
            </w:r>
          </w:p>
        </w:tc>
        <w:tc>
          <w:tcPr>
            <w:tcW w:w="1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9D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2D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98F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2A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57.64%</w:t>
            </w:r>
          </w:p>
        </w:tc>
      </w:tr>
      <w:tr w14:paraId="0AA19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 w:hRule="atLeast"/>
          <w:jc w:val="center"/>
        </w:trPr>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40BE33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1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A932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2.政府性基金</w:t>
            </w:r>
          </w:p>
        </w:tc>
        <w:tc>
          <w:tcPr>
            <w:tcW w:w="1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7216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6A29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CF4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C5A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5877A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jc w:val="center"/>
        </w:trPr>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0F2C901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1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221B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3.国有资本经营预算</w:t>
            </w:r>
          </w:p>
        </w:tc>
        <w:tc>
          <w:tcPr>
            <w:tcW w:w="1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60F0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D97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E45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E9C6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0E216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487" w:type="pct"/>
            <w:vMerge w:val="continue"/>
            <w:tcBorders>
              <w:top w:val="single" w:color="000000" w:sz="4" w:space="0"/>
              <w:left w:val="single" w:color="000000" w:sz="4" w:space="0"/>
              <w:bottom w:val="nil"/>
              <w:right w:val="single" w:color="000000" w:sz="4" w:space="0"/>
            </w:tcBorders>
            <w:shd w:val="clear" w:color="auto" w:fill="auto"/>
            <w:vAlign w:val="center"/>
          </w:tcPr>
          <w:p w14:paraId="5D407D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1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87E9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（二）其他资金</w:t>
            </w:r>
          </w:p>
        </w:tc>
        <w:tc>
          <w:tcPr>
            <w:tcW w:w="1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4AB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DADC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CCC2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6B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3F98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jc w:val="center"/>
        </w:trPr>
        <w:tc>
          <w:tcPr>
            <w:tcW w:w="4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3D44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年度总体目标</w:t>
            </w:r>
          </w:p>
        </w:tc>
        <w:tc>
          <w:tcPr>
            <w:tcW w:w="22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C5DB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w:t>
            </w:r>
          </w:p>
        </w:tc>
        <w:tc>
          <w:tcPr>
            <w:tcW w:w="222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96F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全年实际完成情况</w:t>
            </w:r>
          </w:p>
        </w:tc>
      </w:tr>
      <w:tr w14:paraId="3544D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0" w:hRule="atLeast"/>
          <w:jc w:val="center"/>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3BD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22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0761D0">
            <w:pPr>
              <w:keepNext w:val="0"/>
              <w:keepLines w:val="0"/>
              <w:widowControl/>
              <w:suppressLineNumbers w:val="0"/>
              <w:spacing w:before="0" w:beforeAutospacing="0" w:after="20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是力争到2024年末，全区知识产权授训率达100%，投诉举报调解站（点）建设全覆盖；二是地理标志保护证明商标产品提档升级，产品优质品率提高10个百分点左右，基本形成原料基地化、收购优质化、产品升级化、全程标准化、营销品牌化“五化共进”的产业格局。三是做强昭化区“紫云猕猴桃”精加工产业，加工企业产能得到大力提升，加工优质产品率提高10%左右；增加经济收入5000万元，实现年降低原料成本500万元，紫云猕猴桃产品市场占有率提高10百分点。四是以推进供给侧结构性改革为主线，以“优品种、提品质、创品牌”为总目标，立足本地优势资源，通过地理标志保护证明商标产业发展，促进农民增收、企业增效，充分发挥引领、带动和示范作用。猕猴桃生产示范基地，优质品种普及率达100%，有效带动全区猕猴桃优质品种普及率达98%以上，实现优质猕猴桃生产达95%以上。</w:t>
            </w:r>
          </w:p>
        </w:tc>
        <w:tc>
          <w:tcPr>
            <w:tcW w:w="222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B8487">
            <w:pPr>
              <w:keepNext w:val="0"/>
              <w:keepLines w:val="0"/>
              <w:widowControl/>
              <w:suppressLineNumbers w:val="0"/>
              <w:spacing w:before="0" w:beforeAutospacing="0" w:after="20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是力争到2024年末，全区知识产权授训率达100%，投诉举报调解站（点）建设全覆盖；二是地理标志保护证明商标产品提档升级，产品优质品率提高10个百分点左右，基本形成原料基地化、收购优质化、产品升级化、全程标准化、营销品牌化“五化共进”的产业格局。三是做强昭化区“紫云猕猴桃”精加工产业，加工企业产能得到大力提升，加工优质产品率提高10%左右；增加经济收入5000万元，实现年降低原料成本500万元，紫云猕猴桃产品市场占有率提高10百分点。四是以推进供给侧结构性改革为主线，以“优品种、提品质、创品牌”为总目标，立足本地优势资源，通过地理标志保护证明商标产业发展，促进农民增收、企业增效，充分发挥引领、带动和示范作用。猕猴桃生产示范基地，优质品种普及率达100%，有效带动全区猕猴桃优质品种普及率达98%以上，实现优质猕猴桃生产达95%以上。</w:t>
            </w:r>
          </w:p>
        </w:tc>
      </w:tr>
      <w:tr w14:paraId="4E6A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4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9C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99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2E4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4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590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44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年度指标值</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B5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12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偏差原因分析及</w:t>
            </w:r>
          </w:p>
          <w:p w14:paraId="675FF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改进措施</w:t>
            </w:r>
          </w:p>
        </w:tc>
      </w:tr>
      <w:tr w14:paraId="1E21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2D0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17" w:type="pct"/>
            <w:vMerge w:val="restart"/>
            <w:tcBorders>
              <w:top w:val="single" w:color="000000" w:sz="4" w:space="0"/>
              <w:left w:val="single" w:color="000000" w:sz="4" w:space="0"/>
              <w:bottom w:val="nil"/>
              <w:right w:val="single" w:color="000000" w:sz="4" w:space="0"/>
            </w:tcBorders>
            <w:shd w:val="clear" w:color="auto" w:fill="auto"/>
            <w:vAlign w:val="center"/>
          </w:tcPr>
          <w:p w14:paraId="76BC28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38A61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4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F7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5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知识产权知识培训</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C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≥3场次</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9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≥3场次</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5B6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ADE7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 w:hRule="atLeast"/>
          <w:jc w:val="center"/>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A8EE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17" w:type="pct"/>
            <w:vMerge w:val="continue"/>
            <w:tcBorders>
              <w:top w:val="single" w:color="000000" w:sz="4" w:space="0"/>
              <w:left w:val="single" w:color="000000" w:sz="4" w:space="0"/>
              <w:bottom w:val="nil"/>
              <w:right w:val="single" w:color="000000" w:sz="4" w:space="0"/>
            </w:tcBorders>
            <w:shd w:val="clear" w:color="auto" w:fill="auto"/>
            <w:vAlign w:val="center"/>
          </w:tcPr>
          <w:p w14:paraId="669EC3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9B2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4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D6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57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项目完成率</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3F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2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494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4BA6C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 w:hRule="atLeast"/>
          <w:jc w:val="center"/>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F580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17" w:type="pct"/>
            <w:vMerge w:val="continue"/>
            <w:tcBorders>
              <w:top w:val="single" w:color="000000" w:sz="4" w:space="0"/>
              <w:left w:val="single" w:color="000000" w:sz="4" w:space="0"/>
              <w:bottom w:val="nil"/>
              <w:right w:val="single" w:color="000000" w:sz="4" w:space="0"/>
            </w:tcBorders>
            <w:shd w:val="clear" w:color="auto" w:fill="auto"/>
            <w:vAlign w:val="center"/>
          </w:tcPr>
          <w:p w14:paraId="15D814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C4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4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11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6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项目完成时限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5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2024年9月前</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2C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2024年9月前</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E7F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769A5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jc w:val="center"/>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12A8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17" w:type="pct"/>
            <w:vMerge w:val="continue"/>
            <w:tcBorders>
              <w:top w:val="single" w:color="000000" w:sz="4" w:space="0"/>
              <w:left w:val="single" w:color="000000" w:sz="4" w:space="0"/>
              <w:bottom w:val="nil"/>
              <w:right w:val="single" w:color="000000" w:sz="4" w:space="0"/>
            </w:tcBorders>
            <w:shd w:val="clear" w:color="auto" w:fill="auto"/>
            <w:vAlign w:val="center"/>
          </w:tcPr>
          <w:p w14:paraId="2E4472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9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经济成本指标</w:t>
            </w:r>
          </w:p>
        </w:tc>
        <w:tc>
          <w:tcPr>
            <w:tcW w:w="4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87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CEE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知识产权培训、宣传、办公设施设备采购、手册编制等费用</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2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5万元</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B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2.88万元</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0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指标下达时间晚，预计2024年10月份前完成</w:t>
            </w:r>
          </w:p>
        </w:tc>
      </w:tr>
      <w:tr w14:paraId="65B5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5D88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17" w:type="pct"/>
            <w:vMerge w:val="continue"/>
            <w:tcBorders>
              <w:top w:val="single" w:color="000000" w:sz="4" w:space="0"/>
              <w:left w:val="single" w:color="000000" w:sz="4" w:space="0"/>
              <w:bottom w:val="nil"/>
              <w:right w:val="single" w:color="000000" w:sz="4" w:space="0"/>
            </w:tcBorders>
            <w:shd w:val="clear" w:color="auto" w:fill="auto"/>
            <w:vAlign w:val="center"/>
          </w:tcPr>
          <w:p w14:paraId="03633AF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482" w:type="pct"/>
            <w:tcBorders>
              <w:top w:val="single" w:color="000000" w:sz="4" w:space="0"/>
              <w:left w:val="single" w:color="000000" w:sz="4" w:space="0"/>
              <w:bottom w:val="nil"/>
              <w:right w:val="single" w:color="000000" w:sz="4" w:space="0"/>
            </w:tcBorders>
            <w:shd w:val="clear" w:color="auto" w:fill="auto"/>
            <w:vAlign w:val="center"/>
          </w:tcPr>
          <w:p w14:paraId="48C08A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4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35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6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带动全区猕猴桃优质品种普及率</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CF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41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D9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r w14:paraId="19525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FC3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00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79D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服务对象满意度指标</w:t>
            </w:r>
          </w:p>
        </w:tc>
        <w:tc>
          <w:tcPr>
            <w:tcW w:w="4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BA9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指标1：</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42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52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0E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2E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r>
    </w:tbl>
    <w:p w14:paraId="3978C809">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46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4"/>
        <w:gridCol w:w="585"/>
        <w:gridCol w:w="1220"/>
        <w:gridCol w:w="870"/>
        <w:gridCol w:w="3138"/>
        <w:gridCol w:w="1192"/>
        <w:gridCol w:w="1240"/>
        <w:gridCol w:w="1632"/>
      </w:tblGrid>
      <w:tr w14:paraId="31919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000" w:type="pct"/>
            <w:gridSpan w:val="8"/>
            <w:tcBorders>
              <w:top w:val="nil"/>
              <w:left w:val="nil"/>
              <w:bottom w:val="nil"/>
              <w:right w:val="nil"/>
            </w:tcBorders>
            <w:shd w:val="clear" w:color="auto" w:fill="auto"/>
            <w:vAlign w:val="center"/>
          </w:tcPr>
          <w:p w14:paraId="7E7D19BD">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2D8ED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3F6B1DA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5ED1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D19B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52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C44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优化环境提升经费</w:t>
            </w:r>
          </w:p>
        </w:tc>
      </w:tr>
      <w:tr w14:paraId="592EC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9A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25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58B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8C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3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0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1FB3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643C9B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017" w:type="pct"/>
            <w:gridSpan w:val="2"/>
            <w:tcBorders>
              <w:top w:val="nil"/>
              <w:left w:val="single" w:color="000000" w:sz="4" w:space="0"/>
              <w:bottom w:val="single" w:color="000000" w:sz="4" w:space="0"/>
              <w:right w:val="single" w:color="000000" w:sz="4" w:space="0"/>
            </w:tcBorders>
            <w:shd w:val="clear" w:color="auto" w:fill="auto"/>
            <w:vAlign w:val="center"/>
          </w:tcPr>
          <w:p w14:paraId="25450F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1527" w:type="pct"/>
            <w:tcBorders>
              <w:top w:val="nil"/>
              <w:left w:val="single" w:color="000000" w:sz="4" w:space="0"/>
              <w:bottom w:val="single" w:color="000000" w:sz="4" w:space="0"/>
              <w:right w:val="single" w:color="000000" w:sz="4" w:space="0"/>
            </w:tcBorders>
            <w:shd w:val="clear" w:color="auto" w:fill="auto"/>
            <w:vAlign w:val="center"/>
          </w:tcPr>
          <w:p w14:paraId="75137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580" w:type="pct"/>
            <w:tcBorders>
              <w:top w:val="nil"/>
              <w:left w:val="single" w:color="000000" w:sz="4" w:space="0"/>
              <w:bottom w:val="single" w:color="000000" w:sz="4" w:space="0"/>
              <w:right w:val="single" w:color="000000" w:sz="4" w:space="0"/>
            </w:tcBorders>
            <w:shd w:val="clear" w:color="auto" w:fill="auto"/>
            <w:vAlign w:val="center"/>
          </w:tcPr>
          <w:p w14:paraId="107E2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603" w:type="pct"/>
            <w:tcBorders>
              <w:top w:val="nil"/>
              <w:left w:val="single" w:color="000000" w:sz="4" w:space="0"/>
              <w:bottom w:val="single" w:color="000000" w:sz="4" w:space="0"/>
              <w:right w:val="single" w:color="000000" w:sz="4" w:space="0"/>
            </w:tcBorders>
            <w:shd w:val="clear" w:color="auto" w:fill="auto"/>
            <w:vAlign w:val="center"/>
          </w:tcPr>
          <w:p w14:paraId="785858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794" w:type="pct"/>
            <w:tcBorders>
              <w:top w:val="nil"/>
              <w:left w:val="single" w:color="000000" w:sz="4" w:space="0"/>
              <w:bottom w:val="single" w:color="000000" w:sz="4" w:space="0"/>
              <w:right w:val="single" w:color="000000" w:sz="4" w:space="0"/>
            </w:tcBorders>
            <w:shd w:val="clear" w:color="auto" w:fill="auto"/>
            <w:vAlign w:val="center"/>
          </w:tcPr>
          <w:p w14:paraId="140BD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66D75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EECD8D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B1A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15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26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613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18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09664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C863E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DB9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3E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CB3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8E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6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05E0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DAFFA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B695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1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8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859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FF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ED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3988D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00B5E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F35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1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833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E09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33A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3A17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D2AE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751AB4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78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1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A97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8E8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11B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AC2E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365E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76"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003CC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79B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D4BB2">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FA3C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CE0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33F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4E76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F32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82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E8D1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19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B54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1B155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46B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2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E1CF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一步完善开办企业综合窗口建设，优化办事流程，精简办事材料，提升办事效率，确保开办企业4小时办结。继续实行“三减一免”“零费用”办理。加大网上办理宣传力度，提升全程网办率。落实市场主体“歇业”制度。推行市场主体便利化注销，扩大简易注销范围。按规定做好登记档案扫描归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面推行市场监管领域“双随机、一公开”监管工作，推动部门联合监管，进一步减少多头检查、交叉检查。按时按量完成计划任务。推动各行业将信用分级与“双随机”相结合，提升监管精准性。知识产权创造、保护和运用等三项一级指标在全市营商环境测评中名列前茅</w:t>
            </w:r>
          </w:p>
        </w:tc>
        <w:tc>
          <w:tcPr>
            <w:tcW w:w="19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4703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进一步完善开办企业综合窗口建设，优化办事流程，精简办事材料，提升办事效率，确保开办企业4小时办结。继续实行“三减一免”“零费用”办理。加大网上办理宣传力度，提升全程网办率。落实市场主体“歇业”制度。推行市场主体便利化注销，扩大简易注销范围。按规定做好登记档案扫描归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面推行市场监管领域“双随机、一公开”监管工作，推动部门联合监管，进一步减少多头检查、交叉检查。按时按量完成计划任务。推动各行业将信用分级与“双随机”相结合，提升监管精准性。知识产权创造、保护和运用等三项一级指标在全市营商环境测评中名列前茅</w:t>
            </w:r>
          </w:p>
        </w:tc>
      </w:tr>
      <w:tr w14:paraId="2A850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AE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B4A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978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9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0A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A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C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76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418CD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3F0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4" w:type="pct"/>
            <w:vMerge w:val="restart"/>
            <w:tcBorders>
              <w:top w:val="single" w:color="000000" w:sz="4" w:space="0"/>
              <w:left w:val="single" w:color="000000" w:sz="4" w:space="0"/>
              <w:bottom w:val="nil"/>
              <w:right w:val="single" w:color="000000" w:sz="4" w:space="0"/>
            </w:tcBorders>
            <w:shd w:val="clear" w:color="auto" w:fill="auto"/>
            <w:vAlign w:val="center"/>
          </w:tcPr>
          <w:p w14:paraId="218E3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593" w:type="pct"/>
            <w:tcBorders>
              <w:top w:val="single" w:color="000000" w:sz="4" w:space="0"/>
              <w:left w:val="single" w:color="000000" w:sz="4" w:space="0"/>
              <w:bottom w:val="nil"/>
              <w:right w:val="single" w:color="000000" w:sz="4" w:space="0"/>
            </w:tcBorders>
            <w:shd w:val="clear" w:color="auto" w:fill="auto"/>
            <w:vAlign w:val="center"/>
          </w:tcPr>
          <w:p w14:paraId="52364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A1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3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“0”费用为新登记企业刻制印章数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F9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≥100套</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17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≥100套</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FF9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0401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05B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4" w:type="pct"/>
            <w:vMerge w:val="continue"/>
            <w:tcBorders>
              <w:top w:val="single" w:color="000000" w:sz="4" w:space="0"/>
              <w:left w:val="single" w:color="000000" w:sz="4" w:space="0"/>
              <w:bottom w:val="nil"/>
              <w:right w:val="single" w:color="000000" w:sz="4" w:space="0"/>
            </w:tcBorders>
            <w:shd w:val="clear" w:color="auto" w:fill="auto"/>
            <w:vAlign w:val="center"/>
          </w:tcPr>
          <w:p w14:paraId="745D55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7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89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5F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优化营商环境服务率</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EA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34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EC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3CE5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570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4" w:type="pct"/>
            <w:vMerge w:val="continue"/>
            <w:tcBorders>
              <w:top w:val="single" w:color="000000" w:sz="4" w:space="0"/>
              <w:left w:val="single" w:color="000000" w:sz="4" w:space="0"/>
              <w:bottom w:val="nil"/>
              <w:right w:val="single" w:color="000000" w:sz="4" w:space="0"/>
            </w:tcBorders>
            <w:shd w:val="clear" w:color="auto" w:fill="auto"/>
            <w:vAlign w:val="center"/>
          </w:tcPr>
          <w:p w14:paraId="034753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63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41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C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完成年度目标任务时限</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FE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A2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90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7ED4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EA7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4" w:type="pct"/>
            <w:vMerge w:val="continue"/>
            <w:tcBorders>
              <w:top w:val="single" w:color="000000" w:sz="4" w:space="0"/>
              <w:left w:val="single" w:color="000000" w:sz="4" w:space="0"/>
              <w:bottom w:val="nil"/>
              <w:right w:val="single" w:color="000000" w:sz="4" w:space="0"/>
            </w:tcBorders>
            <w:shd w:val="clear" w:color="auto" w:fill="auto"/>
            <w:vAlign w:val="center"/>
          </w:tcPr>
          <w:p w14:paraId="5A7FE0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1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61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78C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企业印章克制经费</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1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F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4万元</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1A52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B326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9068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4" w:type="pct"/>
            <w:vMerge w:val="continue"/>
            <w:tcBorders>
              <w:top w:val="single" w:color="000000" w:sz="4" w:space="0"/>
              <w:left w:val="single" w:color="000000" w:sz="4" w:space="0"/>
              <w:bottom w:val="nil"/>
              <w:right w:val="single" w:color="000000" w:sz="4" w:space="0"/>
            </w:tcBorders>
            <w:shd w:val="clear" w:color="auto" w:fill="auto"/>
            <w:vAlign w:val="center"/>
          </w:tcPr>
          <w:p w14:paraId="42669C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3" w:type="pct"/>
            <w:tcBorders>
              <w:top w:val="single" w:color="000000" w:sz="4" w:space="0"/>
              <w:left w:val="single" w:color="000000" w:sz="4" w:space="0"/>
              <w:bottom w:val="nil"/>
              <w:right w:val="single" w:color="000000" w:sz="4" w:space="0"/>
            </w:tcBorders>
            <w:shd w:val="clear" w:color="auto" w:fill="auto"/>
            <w:vAlign w:val="center"/>
          </w:tcPr>
          <w:p w14:paraId="56861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EA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8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优化营商环境服务，提升企业生产经营环境</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5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B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510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A93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F76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5A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F2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9D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7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监管服务对象满意度</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9F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D3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7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496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36905B3B">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6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4"/>
        <w:gridCol w:w="700"/>
        <w:gridCol w:w="1080"/>
        <w:gridCol w:w="930"/>
        <w:gridCol w:w="3150"/>
        <w:gridCol w:w="1250"/>
        <w:gridCol w:w="1210"/>
        <w:gridCol w:w="1826"/>
      </w:tblGrid>
      <w:tr w14:paraId="7BD80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000" w:type="pct"/>
            <w:gridSpan w:val="8"/>
            <w:tcBorders>
              <w:top w:val="nil"/>
              <w:left w:val="nil"/>
              <w:bottom w:val="nil"/>
              <w:right w:val="nil"/>
            </w:tcBorders>
            <w:shd w:val="clear" w:color="auto" w:fill="auto"/>
            <w:noWrap/>
            <w:vAlign w:val="center"/>
          </w:tcPr>
          <w:p w14:paraId="6402A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3A4D9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18B270E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11FF4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53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48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C859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食安委工作经费</w:t>
            </w:r>
          </w:p>
        </w:tc>
      </w:tr>
      <w:tr w14:paraId="6C8D7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734B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244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0CD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C2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44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F6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7659A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8"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520299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953" w:type="pct"/>
            <w:gridSpan w:val="2"/>
            <w:tcBorders>
              <w:top w:val="nil"/>
              <w:left w:val="single" w:color="000000" w:sz="4" w:space="0"/>
              <w:bottom w:val="single" w:color="000000" w:sz="4" w:space="0"/>
              <w:right w:val="single" w:color="000000" w:sz="4" w:space="0"/>
            </w:tcBorders>
            <w:shd w:val="clear" w:color="auto" w:fill="auto"/>
            <w:vAlign w:val="center"/>
          </w:tcPr>
          <w:p w14:paraId="5A47E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1494" w:type="pct"/>
            <w:tcBorders>
              <w:top w:val="nil"/>
              <w:left w:val="single" w:color="000000" w:sz="4" w:space="0"/>
              <w:bottom w:val="single" w:color="000000" w:sz="4" w:space="0"/>
              <w:right w:val="single" w:color="000000" w:sz="4" w:space="0"/>
            </w:tcBorders>
            <w:shd w:val="clear" w:color="auto" w:fill="auto"/>
            <w:vAlign w:val="center"/>
          </w:tcPr>
          <w:p w14:paraId="361A0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592" w:type="pct"/>
            <w:tcBorders>
              <w:top w:val="nil"/>
              <w:left w:val="single" w:color="000000" w:sz="4" w:space="0"/>
              <w:bottom w:val="single" w:color="000000" w:sz="4" w:space="0"/>
              <w:right w:val="single" w:color="000000" w:sz="4" w:space="0"/>
            </w:tcBorders>
            <w:shd w:val="clear" w:color="auto" w:fill="auto"/>
            <w:vAlign w:val="center"/>
          </w:tcPr>
          <w:p w14:paraId="2DF6B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74" w:type="pct"/>
            <w:tcBorders>
              <w:top w:val="nil"/>
              <w:left w:val="single" w:color="000000" w:sz="4" w:space="0"/>
              <w:bottom w:val="single" w:color="000000" w:sz="4" w:space="0"/>
              <w:right w:val="single" w:color="000000" w:sz="4" w:space="0"/>
            </w:tcBorders>
            <w:shd w:val="clear" w:color="auto" w:fill="auto"/>
            <w:vAlign w:val="center"/>
          </w:tcPr>
          <w:p w14:paraId="48BA1E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866" w:type="pct"/>
            <w:tcBorders>
              <w:top w:val="nil"/>
              <w:left w:val="single" w:color="000000" w:sz="4" w:space="0"/>
              <w:bottom w:val="single" w:color="000000" w:sz="4" w:space="0"/>
              <w:right w:val="single" w:color="000000" w:sz="4" w:space="0"/>
            </w:tcBorders>
            <w:shd w:val="clear" w:color="auto" w:fill="auto"/>
            <w:vAlign w:val="center"/>
          </w:tcPr>
          <w:p w14:paraId="62649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19965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1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DE2C96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75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4A2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85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0AF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5D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2A6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EF42C0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C29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C9E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57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38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D3D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395CF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3A473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3F11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086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E57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15E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BB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6CEAB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2E61C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18B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34D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CB7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E6D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F83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7171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79C10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F2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742E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D87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154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F6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8302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8F5AC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F0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3AB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64B2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901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3579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6854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533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77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7A8D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0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8B1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4D967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3CB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77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0E4F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加强对餐饮店、学校食堂、超市、农村厨师等食品管理人员及从业人员的食品安全知识培训，提高食品安全意识。</w:t>
            </w:r>
          </w:p>
        </w:tc>
        <w:tc>
          <w:tcPr>
            <w:tcW w:w="20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1F3B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加强对餐饮店、学校食堂、超市、农村厨师等食品管理人员及从业人员的食品安全知识培训，提高食品安全意识。</w:t>
            </w:r>
          </w:p>
        </w:tc>
      </w:tr>
      <w:tr w14:paraId="686C9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C6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6E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C9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9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8B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1B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6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F5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0F3F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E9A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2" w:type="pct"/>
            <w:vMerge w:val="restart"/>
            <w:tcBorders>
              <w:top w:val="single" w:color="000000" w:sz="4" w:space="0"/>
              <w:left w:val="single" w:color="000000" w:sz="4" w:space="0"/>
              <w:bottom w:val="nil"/>
              <w:right w:val="single" w:color="000000" w:sz="4" w:space="0"/>
            </w:tcBorders>
            <w:shd w:val="clear" w:color="auto" w:fill="auto"/>
            <w:vAlign w:val="center"/>
          </w:tcPr>
          <w:p w14:paraId="78F3E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512" w:type="pct"/>
            <w:vMerge w:val="restart"/>
            <w:tcBorders>
              <w:top w:val="single" w:color="000000" w:sz="4" w:space="0"/>
              <w:left w:val="single" w:color="000000" w:sz="4" w:space="0"/>
              <w:bottom w:val="nil"/>
              <w:right w:val="single" w:color="000000" w:sz="4" w:space="0"/>
            </w:tcBorders>
            <w:shd w:val="clear" w:color="auto" w:fill="auto"/>
            <w:vAlign w:val="center"/>
          </w:tcPr>
          <w:p w14:paraId="43EFF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23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1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创建餐饮食品安全示范街个数</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3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≥3个</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2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3个</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B2F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3A7D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9DF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2" w:type="pct"/>
            <w:vMerge w:val="continue"/>
            <w:tcBorders>
              <w:top w:val="single" w:color="000000" w:sz="4" w:space="0"/>
              <w:left w:val="single" w:color="000000" w:sz="4" w:space="0"/>
              <w:bottom w:val="nil"/>
              <w:right w:val="single" w:color="000000" w:sz="4" w:space="0"/>
            </w:tcBorders>
            <w:shd w:val="clear" w:color="auto" w:fill="auto"/>
            <w:vAlign w:val="center"/>
          </w:tcPr>
          <w:p w14:paraId="3523CC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2" w:type="pct"/>
            <w:vMerge w:val="continue"/>
            <w:tcBorders>
              <w:top w:val="single" w:color="000000" w:sz="4" w:space="0"/>
              <w:left w:val="single" w:color="000000" w:sz="4" w:space="0"/>
              <w:bottom w:val="nil"/>
              <w:right w:val="single" w:color="000000" w:sz="4" w:space="0"/>
            </w:tcBorders>
            <w:shd w:val="clear" w:color="auto" w:fill="auto"/>
            <w:vAlign w:val="center"/>
          </w:tcPr>
          <w:p w14:paraId="297B94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32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2D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食品生产、流通领域整治、开展食品宣传次数</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0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≥22次</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08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22次</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245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645B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3F5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2" w:type="pct"/>
            <w:vMerge w:val="continue"/>
            <w:tcBorders>
              <w:top w:val="single" w:color="000000" w:sz="4" w:space="0"/>
              <w:left w:val="single" w:color="000000" w:sz="4" w:space="0"/>
              <w:bottom w:val="nil"/>
              <w:right w:val="single" w:color="000000" w:sz="4" w:space="0"/>
            </w:tcBorders>
            <w:shd w:val="clear" w:color="auto" w:fill="auto"/>
            <w:vAlign w:val="center"/>
          </w:tcPr>
          <w:p w14:paraId="3715971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0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0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5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食品生产经营户对过期食品重视度</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C0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984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B0C4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C5EE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ACF7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2" w:type="pct"/>
            <w:vMerge w:val="continue"/>
            <w:tcBorders>
              <w:top w:val="single" w:color="000000" w:sz="4" w:space="0"/>
              <w:left w:val="single" w:color="000000" w:sz="4" w:space="0"/>
              <w:bottom w:val="nil"/>
              <w:right w:val="single" w:color="000000" w:sz="4" w:space="0"/>
            </w:tcBorders>
            <w:shd w:val="clear" w:color="auto" w:fill="auto"/>
            <w:vAlign w:val="center"/>
          </w:tcPr>
          <w:p w14:paraId="5AB24F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F1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E9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80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完成年度目标任务时限</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9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E9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C921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02DA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961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2" w:type="pct"/>
            <w:vMerge w:val="continue"/>
            <w:tcBorders>
              <w:top w:val="single" w:color="000000" w:sz="4" w:space="0"/>
              <w:left w:val="single" w:color="000000" w:sz="4" w:space="0"/>
              <w:bottom w:val="nil"/>
              <w:right w:val="single" w:color="000000" w:sz="4" w:space="0"/>
            </w:tcBorders>
            <w:shd w:val="clear" w:color="auto" w:fill="auto"/>
            <w:vAlign w:val="center"/>
          </w:tcPr>
          <w:p w14:paraId="0741AB0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1A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01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54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食品安全监管成本</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F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B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≤5000元</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A3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9241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92A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2" w:type="pct"/>
            <w:vMerge w:val="continue"/>
            <w:tcBorders>
              <w:top w:val="single" w:color="000000" w:sz="4" w:space="0"/>
              <w:left w:val="single" w:color="000000" w:sz="4" w:space="0"/>
              <w:bottom w:val="nil"/>
              <w:right w:val="single" w:color="000000" w:sz="4" w:space="0"/>
            </w:tcBorders>
            <w:shd w:val="clear" w:color="auto" w:fill="auto"/>
            <w:vAlign w:val="center"/>
          </w:tcPr>
          <w:p w14:paraId="6585B5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2" w:type="pct"/>
            <w:tcBorders>
              <w:top w:val="single" w:color="000000" w:sz="4" w:space="0"/>
              <w:left w:val="single" w:color="000000" w:sz="4" w:space="0"/>
              <w:bottom w:val="nil"/>
              <w:right w:val="single" w:color="000000" w:sz="4" w:space="0"/>
            </w:tcBorders>
            <w:shd w:val="clear" w:color="auto" w:fill="auto"/>
            <w:vAlign w:val="center"/>
          </w:tcPr>
          <w:p w14:paraId="71507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F95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7A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提供人民认知度</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3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6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944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DDCF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E364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776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93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6C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1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B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监管服务对象满意度</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0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A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8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847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6F608EE3">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38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4"/>
        <w:gridCol w:w="654"/>
        <w:gridCol w:w="1294"/>
        <w:gridCol w:w="825"/>
        <w:gridCol w:w="2047"/>
        <w:gridCol w:w="1294"/>
        <w:gridCol w:w="1225"/>
        <w:gridCol w:w="1993"/>
      </w:tblGrid>
      <w:tr w14:paraId="45F72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000" w:type="pct"/>
            <w:gridSpan w:val="8"/>
            <w:tcBorders>
              <w:top w:val="nil"/>
              <w:left w:val="nil"/>
              <w:bottom w:val="nil"/>
              <w:right w:val="nil"/>
            </w:tcBorders>
            <w:shd w:val="clear" w:color="auto" w:fill="auto"/>
            <w:noWrap/>
            <w:vAlign w:val="center"/>
          </w:tcPr>
          <w:p w14:paraId="12225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0AFB4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3A27FD1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5A355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DD6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28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EC65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快检车运行经费</w:t>
            </w:r>
          </w:p>
        </w:tc>
      </w:tr>
      <w:tr w14:paraId="5040F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422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20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77E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B38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5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9B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77A83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0DDEC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1046" w:type="pct"/>
            <w:gridSpan w:val="2"/>
            <w:tcBorders>
              <w:top w:val="nil"/>
              <w:left w:val="single" w:color="000000" w:sz="4" w:space="0"/>
              <w:bottom w:val="single" w:color="000000" w:sz="4" w:space="0"/>
              <w:right w:val="single" w:color="000000" w:sz="4" w:space="0"/>
            </w:tcBorders>
            <w:shd w:val="clear" w:color="auto" w:fill="auto"/>
            <w:vAlign w:val="center"/>
          </w:tcPr>
          <w:p w14:paraId="7A7F88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1010" w:type="pct"/>
            <w:tcBorders>
              <w:top w:val="nil"/>
              <w:left w:val="single" w:color="000000" w:sz="4" w:space="0"/>
              <w:bottom w:val="single" w:color="000000" w:sz="4" w:space="0"/>
              <w:right w:val="single" w:color="000000" w:sz="4" w:space="0"/>
            </w:tcBorders>
            <w:shd w:val="clear" w:color="auto" w:fill="auto"/>
            <w:vAlign w:val="center"/>
          </w:tcPr>
          <w:p w14:paraId="089CB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638" w:type="pct"/>
            <w:tcBorders>
              <w:top w:val="nil"/>
              <w:left w:val="single" w:color="000000" w:sz="4" w:space="0"/>
              <w:bottom w:val="single" w:color="000000" w:sz="4" w:space="0"/>
              <w:right w:val="single" w:color="000000" w:sz="4" w:space="0"/>
            </w:tcBorders>
            <w:shd w:val="clear" w:color="auto" w:fill="auto"/>
            <w:vAlign w:val="center"/>
          </w:tcPr>
          <w:p w14:paraId="04C25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604" w:type="pct"/>
            <w:tcBorders>
              <w:top w:val="nil"/>
              <w:left w:val="single" w:color="000000" w:sz="4" w:space="0"/>
              <w:bottom w:val="single" w:color="000000" w:sz="4" w:space="0"/>
              <w:right w:val="single" w:color="000000" w:sz="4" w:space="0"/>
            </w:tcBorders>
            <w:shd w:val="clear" w:color="auto" w:fill="auto"/>
            <w:vAlign w:val="center"/>
          </w:tcPr>
          <w:p w14:paraId="7DE4B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984" w:type="pct"/>
            <w:tcBorders>
              <w:top w:val="nil"/>
              <w:left w:val="single" w:color="000000" w:sz="4" w:space="0"/>
              <w:bottom w:val="single" w:color="000000" w:sz="4" w:space="0"/>
              <w:right w:val="single" w:color="000000" w:sz="4" w:space="0"/>
            </w:tcBorders>
            <w:shd w:val="clear" w:color="auto" w:fill="auto"/>
            <w:vAlign w:val="center"/>
          </w:tcPr>
          <w:p w14:paraId="14692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73A91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43D3C4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8B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0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66F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525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2B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A1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7188C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6E3A6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D87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0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7D4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10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46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E5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02B6C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F81EF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5AF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10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FE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B9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B1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1D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427B6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C9B09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0B39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10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14D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DDA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170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181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EC04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8CAE5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788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10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1E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99A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2DD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CA1B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FA8D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9734A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ACB3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0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D9E39">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A3F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EA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9AC3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0C7F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94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3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0A2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22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EF57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53A8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A71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3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570F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为重点品种、重点环节、重要时间段开展各类食品安全专项整治、食品药品快速检测提供重要保障</w:t>
            </w:r>
          </w:p>
        </w:tc>
        <w:tc>
          <w:tcPr>
            <w:tcW w:w="222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4150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为重点品种、重点环节、重要时间段开展各类食品安全专项整治、食品药品快速检测提供重要保障</w:t>
            </w:r>
          </w:p>
        </w:tc>
      </w:tr>
      <w:tr w14:paraId="039CB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660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0D4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75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4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A0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1E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2DE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B7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7F4AA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1402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22" w:type="pct"/>
            <w:vMerge w:val="restart"/>
            <w:tcBorders>
              <w:top w:val="single" w:color="000000" w:sz="4" w:space="0"/>
              <w:left w:val="single" w:color="000000" w:sz="4" w:space="0"/>
              <w:bottom w:val="nil"/>
              <w:right w:val="single" w:color="000000" w:sz="4" w:space="0"/>
            </w:tcBorders>
            <w:shd w:val="clear" w:color="auto" w:fill="auto"/>
            <w:vAlign w:val="center"/>
          </w:tcPr>
          <w:p w14:paraId="7EFC08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638" w:type="pct"/>
            <w:vMerge w:val="restart"/>
            <w:tcBorders>
              <w:top w:val="single" w:color="000000" w:sz="4" w:space="0"/>
              <w:left w:val="single" w:color="000000" w:sz="4" w:space="0"/>
              <w:bottom w:val="nil"/>
              <w:right w:val="single" w:color="000000" w:sz="4" w:space="0"/>
            </w:tcBorders>
            <w:shd w:val="clear" w:color="auto" w:fill="auto"/>
            <w:vAlign w:val="center"/>
          </w:tcPr>
          <w:p w14:paraId="5E49F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B5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13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食品药品快速检测</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B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≥100次</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D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100次</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CF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4FA1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F701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22" w:type="pct"/>
            <w:vMerge w:val="continue"/>
            <w:tcBorders>
              <w:top w:val="single" w:color="000000" w:sz="4" w:space="0"/>
              <w:left w:val="single" w:color="000000" w:sz="4" w:space="0"/>
              <w:bottom w:val="nil"/>
              <w:right w:val="single" w:color="000000" w:sz="4" w:space="0"/>
            </w:tcBorders>
            <w:shd w:val="clear" w:color="auto" w:fill="auto"/>
            <w:vAlign w:val="center"/>
          </w:tcPr>
          <w:p w14:paraId="2D76ED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vMerge w:val="continue"/>
            <w:tcBorders>
              <w:top w:val="single" w:color="000000" w:sz="4" w:space="0"/>
              <w:left w:val="single" w:color="000000" w:sz="4" w:space="0"/>
              <w:bottom w:val="nil"/>
              <w:right w:val="single" w:color="000000" w:sz="4" w:space="0"/>
            </w:tcBorders>
            <w:shd w:val="clear" w:color="auto" w:fill="auto"/>
            <w:vAlign w:val="center"/>
          </w:tcPr>
          <w:p w14:paraId="3E4A3E5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E9B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7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食品药品专项整治</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B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≥30次</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9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30次</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6EB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2A12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F7EA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22" w:type="pct"/>
            <w:vMerge w:val="continue"/>
            <w:tcBorders>
              <w:top w:val="single" w:color="000000" w:sz="4" w:space="0"/>
              <w:left w:val="single" w:color="000000" w:sz="4" w:space="0"/>
              <w:bottom w:val="nil"/>
              <w:right w:val="single" w:color="000000" w:sz="4" w:space="0"/>
            </w:tcBorders>
            <w:shd w:val="clear" w:color="auto" w:fill="auto"/>
            <w:vAlign w:val="center"/>
          </w:tcPr>
          <w:p w14:paraId="50F19E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81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9B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E6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食品药品安全监管提供保障</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99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03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A6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56F9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A56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22" w:type="pct"/>
            <w:vMerge w:val="continue"/>
            <w:tcBorders>
              <w:top w:val="single" w:color="000000" w:sz="4" w:space="0"/>
              <w:left w:val="single" w:color="000000" w:sz="4" w:space="0"/>
              <w:bottom w:val="nil"/>
              <w:right w:val="single" w:color="000000" w:sz="4" w:space="0"/>
            </w:tcBorders>
            <w:shd w:val="clear" w:color="auto" w:fill="auto"/>
            <w:vAlign w:val="center"/>
          </w:tcPr>
          <w:p w14:paraId="5A710E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30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54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D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完成年度目标任务时限</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C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B5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30A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EA9C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79E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22" w:type="pct"/>
            <w:vMerge w:val="continue"/>
            <w:tcBorders>
              <w:top w:val="single" w:color="000000" w:sz="4" w:space="0"/>
              <w:left w:val="single" w:color="000000" w:sz="4" w:space="0"/>
              <w:bottom w:val="nil"/>
              <w:right w:val="single" w:color="000000" w:sz="4" w:space="0"/>
            </w:tcBorders>
            <w:shd w:val="clear" w:color="auto" w:fill="auto"/>
            <w:vAlign w:val="center"/>
          </w:tcPr>
          <w:p w14:paraId="3C34A1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3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F4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0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A57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开展各类食品药品监管成本</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19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D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15185.36元</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26C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2BA97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7107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22" w:type="pct"/>
            <w:vMerge w:val="continue"/>
            <w:tcBorders>
              <w:top w:val="single" w:color="000000" w:sz="4" w:space="0"/>
              <w:left w:val="single" w:color="000000" w:sz="4" w:space="0"/>
              <w:bottom w:val="nil"/>
              <w:right w:val="single" w:color="000000" w:sz="4" w:space="0"/>
            </w:tcBorders>
            <w:shd w:val="clear" w:color="auto" w:fill="auto"/>
            <w:vAlign w:val="center"/>
          </w:tcPr>
          <w:p w14:paraId="483B63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38" w:type="pct"/>
            <w:tcBorders>
              <w:top w:val="single" w:color="000000" w:sz="4" w:space="0"/>
              <w:left w:val="single" w:color="000000" w:sz="4" w:space="0"/>
              <w:bottom w:val="nil"/>
              <w:right w:val="single" w:color="000000" w:sz="4" w:space="0"/>
            </w:tcBorders>
            <w:shd w:val="clear" w:color="auto" w:fill="auto"/>
            <w:vAlign w:val="center"/>
          </w:tcPr>
          <w:p w14:paraId="28921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98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6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群众安全保障</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2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84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933D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AF3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3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D3B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EC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43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7A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10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0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监管服务对象满意度</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2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B8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948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20FD1953">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37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4"/>
        <w:gridCol w:w="681"/>
        <w:gridCol w:w="1010"/>
        <w:gridCol w:w="830"/>
        <w:gridCol w:w="2290"/>
        <w:gridCol w:w="1250"/>
        <w:gridCol w:w="1490"/>
        <w:gridCol w:w="1787"/>
      </w:tblGrid>
      <w:tr w14:paraId="1911C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000" w:type="pct"/>
            <w:gridSpan w:val="8"/>
            <w:tcBorders>
              <w:top w:val="nil"/>
              <w:left w:val="nil"/>
              <w:bottom w:val="nil"/>
              <w:right w:val="nil"/>
            </w:tcBorders>
            <w:shd w:val="clear" w:color="auto" w:fill="auto"/>
            <w:noWrap/>
            <w:vAlign w:val="center"/>
          </w:tcPr>
          <w:p w14:paraId="096B1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40"/>
                <w:szCs w:val="40"/>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06856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373C92D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0DCD6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60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28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BBA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特种设备监管</w:t>
            </w:r>
          </w:p>
        </w:tc>
      </w:tr>
      <w:tr w14:paraId="0079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24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204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D878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6D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62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5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7FE5E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72BB61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910" w:type="pct"/>
            <w:gridSpan w:val="2"/>
            <w:tcBorders>
              <w:top w:val="nil"/>
              <w:left w:val="single" w:color="000000" w:sz="4" w:space="0"/>
              <w:bottom w:val="single" w:color="000000" w:sz="4" w:space="0"/>
              <w:right w:val="single" w:color="000000" w:sz="4" w:space="0"/>
            </w:tcBorders>
            <w:shd w:val="clear" w:color="auto" w:fill="auto"/>
            <w:vAlign w:val="center"/>
          </w:tcPr>
          <w:p w14:paraId="11E0D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1133" w:type="pct"/>
            <w:tcBorders>
              <w:top w:val="nil"/>
              <w:left w:val="single" w:color="000000" w:sz="4" w:space="0"/>
              <w:bottom w:val="single" w:color="000000" w:sz="4" w:space="0"/>
              <w:right w:val="single" w:color="000000" w:sz="4" w:space="0"/>
            </w:tcBorders>
            <w:shd w:val="clear" w:color="auto" w:fill="auto"/>
            <w:vAlign w:val="center"/>
          </w:tcPr>
          <w:p w14:paraId="63FA23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36105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737" w:type="pct"/>
            <w:tcBorders>
              <w:top w:val="nil"/>
              <w:left w:val="single" w:color="000000" w:sz="4" w:space="0"/>
              <w:bottom w:val="single" w:color="000000" w:sz="4" w:space="0"/>
              <w:right w:val="single" w:color="000000" w:sz="4" w:space="0"/>
            </w:tcBorders>
            <w:shd w:val="clear" w:color="auto" w:fill="auto"/>
            <w:vAlign w:val="center"/>
          </w:tcPr>
          <w:p w14:paraId="242821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884" w:type="pct"/>
            <w:tcBorders>
              <w:top w:val="nil"/>
              <w:left w:val="single" w:color="000000" w:sz="4" w:space="0"/>
              <w:bottom w:val="single" w:color="000000" w:sz="4" w:space="0"/>
              <w:right w:val="single" w:color="000000" w:sz="4" w:space="0"/>
            </w:tcBorders>
            <w:shd w:val="clear" w:color="auto" w:fill="auto"/>
            <w:vAlign w:val="center"/>
          </w:tcPr>
          <w:p w14:paraId="70521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1583E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B018D3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C63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3B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344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E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0B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717C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39AAA8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889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7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01B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8D3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BAB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2C5E3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50591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FDB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1.一般公共预算</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C0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73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77C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FE3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024F2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B13FF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F00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2.政府性基金</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8DA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D6A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081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3398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B5F7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1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8BB0C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28D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3.国有资本经营预算</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F8F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E78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8A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AE3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9971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15"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394DE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9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E40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9CF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1E6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879C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D817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DD4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9DD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DBB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2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C106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2064A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99D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38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FE61A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开展特种设备安全教育培训、宣传，预计培训使用单位360人次。</w:t>
            </w:r>
          </w:p>
        </w:tc>
        <w:tc>
          <w:tcPr>
            <w:tcW w:w="22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01A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开展特种设备安全教育培训、宣传，预计培训使用单位360人次。</w:t>
            </w:r>
          </w:p>
        </w:tc>
      </w:tr>
      <w:tr w14:paraId="75BBD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9D4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AD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D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5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75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F1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CA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DE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60E4E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B91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7" w:type="pct"/>
            <w:vMerge w:val="restart"/>
            <w:tcBorders>
              <w:top w:val="single" w:color="000000" w:sz="4" w:space="0"/>
              <w:left w:val="single" w:color="000000" w:sz="4" w:space="0"/>
              <w:bottom w:val="nil"/>
              <w:right w:val="single" w:color="000000" w:sz="4" w:space="0"/>
            </w:tcBorders>
            <w:shd w:val="clear" w:color="auto" w:fill="auto"/>
            <w:vAlign w:val="center"/>
          </w:tcPr>
          <w:p w14:paraId="5DC6D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499" w:type="pct"/>
            <w:tcBorders>
              <w:top w:val="single" w:color="000000" w:sz="4" w:space="0"/>
              <w:left w:val="single" w:color="000000" w:sz="4" w:space="0"/>
              <w:bottom w:val="nil"/>
              <w:right w:val="single" w:color="000000" w:sz="4" w:space="0"/>
            </w:tcBorders>
            <w:shd w:val="clear" w:color="auto" w:fill="auto"/>
            <w:vAlign w:val="center"/>
          </w:tcPr>
          <w:p w14:paraId="602DD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A0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9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培训特种设备操作人员继续培训</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4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≥360人次</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2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360人次</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D24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66E9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893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7" w:type="pct"/>
            <w:vMerge w:val="continue"/>
            <w:tcBorders>
              <w:top w:val="single" w:color="000000" w:sz="4" w:space="0"/>
              <w:left w:val="single" w:color="000000" w:sz="4" w:space="0"/>
              <w:bottom w:val="nil"/>
              <w:right w:val="single" w:color="000000" w:sz="4" w:space="0"/>
            </w:tcBorders>
            <w:shd w:val="clear" w:color="auto" w:fill="auto"/>
            <w:vAlign w:val="center"/>
          </w:tcPr>
          <w:p w14:paraId="049610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5B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ED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3C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培训特种设备操作人员继续培训率</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1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E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5EE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1AD0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9CB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7" w:type="pct"/>
            <w:vMerge w:val="continue"/>
            <w:tcBorders>
              <w:top w:val="single" w:color="000000" w:sz="4" w:space="0"/>
              <w:left w:val="single" w:color="000000" w:sz="4" w:space="0"/>
              <w:bottom w:val="nil"/>
              <w:right w:val="single" w:color="000000" w:sz="4" w:space="0"/>
            </w:tcBorders>
            <w:shd w:val="clear" w:color="auto" w:fill="auto"/>
            <w:vAlign w:val="center"/>
          </w:tcPr>
          <w:p w14:paraId="1EE2CE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5A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637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8E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完成年度目标任务时限</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C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B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0853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E80A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C6E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7" w:type="pct"/>
            <w:vMerge w:val="continue"/>
            <w:tcBorders>
              <w:top w:val="single" w:color="000000" w:sz="4" w:space="0"/>
              <w:left w:val="single" w:color="000000" w:sz="4" w:space="0"/>
              <w:bottom w:val="nil"/>
              <w:right w:val="single" w:color="000000" w:sz="4" w:space="0"/>
            </w:tcBorders>
            <w:shd w:val="clear" w:color="auto" w:fill="auto"/>
            <w:vAlign w:val="center"/>
          </w:tcPr>
          <w:p w14:paraId="3612E7E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B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38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3E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特种设备监管成本</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6D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A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20000元</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EF3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73E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CAFE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7" w:type="pct"/>
            <w:vMerge w:val="continue"/>
            <w:tcBorders>
              <w:top w:val="single" w:color="000000" w:sz="4" w:space="0"/>
              <w:left w:val="single" w:color="000000" w:sz="4" w:space="0"/>
              <w:bottom w:val="nil"/>
              <w:right w:val="single" w:color="000000" w:sz="4" w:space="0"/>
            </w:tcBorders>
            <w:shd w:val="clear" w:color="auto" w:fill="auto"/>
            <w:vAlign w:val="center"/>
          </w:tcPr>
          <w:p w14:paraId="415F9B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99" w:type="pct"/>
            <w:tcBorders>
              <w:top w:val="single" w:color="000000" w:sz="4" w:space="0"/>
              <w:left w:val="single" w:color="000000" w:sz="4" w:space="0"/>
              <w:bottom w:val="nil"/>
              <w:right w:val="single" w:color="000000" w:sz="4" w:space="0"/>
            </w:tcBorders>
            <w:shd w:val="clear" w:color="auto" w:fill="auto"/>
            <w:vAlign w:val="center"/>
          </w:tcPr>
          <w:p w14:paraId="29EF3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4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5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群众安全保障</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E6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C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5D0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485D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F3D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71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498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E1F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09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监管服务对象满意度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F5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6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0BBD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37DE55DF">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2"/>
        <w:gridCol w:w="1030"/>
        <w:gridCol w:w="971"/>
        <w:gridCol w:w="699"/>
        <w:gridCol w:w="1481"/>
        <w:gridCol w:w="699"/>
        <w:gridCol w:w="699"/>
        <w:gridCol w:w="3234"/>
      </w:tblGrid>
      <w:tr w14:paraId="19542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000" w:type="pct"/>
            <w:gridSpan w:val="8"/>
            <w:tcBorders>
              <w:top w:val="nil"/>
              <w:left w:val="nil"/>
              <w:bottom w:val="nil"/>
              <w:right w:val="nil"/>
            </w:tcBorders>
            <w:shd w:val="clear" w:color="auto" w:fill="auto"/>
            <w:vAlign w:val="center"/>
          </w:tcPr>
          <w:p w14:paraId="0596E1CF">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tc>
      </w:tr>
      <w:tr w14:paraId="14FFF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8"/>
            <w:tcBorders>
              <w:top w:val="nil"/>
              <w:left w:val="nil"/>
              <w:bottom w:val="nil"/>
              <w:right w:val="nil"/>
            </w:tcBorders>
            <w:shd w:val="clear" w:color="auto" w:fill="auto"/>
            <w:vAlign w:val="top"/>
          </w:tcPr>
          <w:p w14:paraId="764D216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8"/>
                <w:szCs w:val="28"/>
                <w:u w:val="none"/>
                <w:lang w:val="en-US" w:eastAsia="zh-CN" w:bidi="ar"/>
              </w:rPr>
              <w:t>（2023年度）</w:t>
            </w:r>
          </w:p>
        </w:tc>
      </w:tr>
      <w:tr w14:paraId="6CE8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30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项目（政策）名称</w:t>
            </w:r>
          </w:p>
        </w:tc>
        <w:tc>
          <w:tcPr>
            <w:tcW w:w="41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8DC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2022年省级知识产权专项资金（广财建（2022）87号）</w:t>
            </w:r>
          </w:p>
        </w:tc>
      </w:tr>
      <w:tr w14:paraId="726AE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9A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16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6EC9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广元市昭化区市场监督管理局部门</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65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0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AA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广元市昭化区市场监督管理局部门</w:t>
            </w:r>
          </w:p>
        </w:tc>
      </w:tr>
      <w:tr w14:paraId="32649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61BEE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项目（政策）资金（万元）</w:t>
            </w:r>
          </w:p>
        </w:tc>
        <w:tc>
          <w:tcPr>
            <w:tcW w:w="889" w:type="pct"/>
            <w:gridSpan w:val="2"/>
            <w:tcBorders>
              <w:top w:val="nil"/>
              <w:left w:val="single" w:color="000000" w:sz="4" w:space="0"/>
              <w:bottom w:val="single" w:color="000000" w:sz="4" w:space="0"/>
              <w:right w:val="single" w:color="000000" w:sz="4" w:space="0"/>
            </w:tcBorders>
            <w:shd w:val="clear" w:color="auto" w:fill="auto"/>
            <w:vAlign w:val="center"/>
          </w:tcPr>
          <w:p w14:paraId="2C3E62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年度预算数（万元）</w:t>
            </w:r>
          </w:p>
        </w:tc>
        <w:tc>
          <w:tcPr>
            <w:tcW w:w="787" w:type="pct"/>
            <w:tcBorders>
              <w:top w:val="nil"/>
              <w:left w:val="single" w:color="000000" w:sz="4" w:space="0"/>
              <w:bottom w:val="single" w:color="000000" w:sz="4" w:space="0"/>
              <w:right w:val="single" w:color="000000" w:sz="4" w:space="0"/>
            </w:tcBorders>
            <w:shd w:val="clear" w:color="auto" w:fill="auto"/>
            <w:vAlign w:val="center"/>
          </w:tcPr>
          <w:p w14:paraId="7A423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72" w:type="pct"/>
            <w:tcBorders>
              <w:top w:val="nil"/>
              <w:left w:val="single" w:color="000000" w:sz="4" w:space="0"/>
              <w:bottom w:val="single" w:color="000000" w:sz="4" w:space="0"/>
              <w:right w:val="single" w:color="000000" w:sz="4" w:space="0"/>
            </w:tcBorders>
            <w:shd w:val="clear" w:color="auto" w:fill="auto"/>
            <w:vAlign w:val="center"/>
          </w:tcPr>
          <w:p w14:paraId="3B30A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72" w:type="pct"/>
            <w:tcBorders>
              <w:top w:val="nil"/>
              <w:left w:val="single" w:color="000000" w:sz="4" w:space="0"/>
              <w:bottom w:val="single" w:color="000000" w:sz="4" w:space="0"/>
              <w:right w:val="single" w:color="000000" w:sz="4" w:space="0"/>
            </w:tcBorders>
            <w:shd w:val="clear" w:color="auto" w:fill="auto"/>
            <w:vAlign w:val="center"/>
          </w:tcPr>
          <w:p w14:paraId="52FC0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18" w:type="pct"/>
            <w:tcBorders>
              <w:top w:val="nil"/>
              <w:left w:val="single" w:color="000000" w:sz="4" w:space="0"/>
              <w:bottom w:val="single" w:color="000000" w:sz="4" w:space="0"/>
              <w:right w:val="single" w:color="000000" w:sz="4" w:space="0"/>
            </w:tcBorders>
            <w:shd w:val="clear" w:color="auto" w:fill="auto"/>
            <w:vAlign w:val="center"/>
          </w:tcPr>
          <w:p w14:paraId="7FF5F4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r>
      <w:tr w14:paraId="5CFF8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A2C9A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93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845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0C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E5B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5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394F6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DB0BDD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AB87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（一）财政拨款小计</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57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B42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2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01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584D1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5F02E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309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1.一般公共预算</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8D6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5D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4B3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116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r>
      <w:tr w14:paraId="16EA9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E55F0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6BB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2.政府性基金</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968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43BF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AEC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DAB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34B7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5A73D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522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3.国有资本经营预算</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AF870">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9040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98BA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CAEF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F0D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5B20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2C4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（二）其他资金</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05F57">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002A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AF42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F26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4E2A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C4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22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183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24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643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全年实际完成情况</w:t>
            </w:r>
          </w:p>
        </w:tc>
      </w:tr>
      <w:tr w14:paraId="4F3C3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F84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2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E124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国家和省“十四五”知识产权保护和运用规划重点任务持续推进；2全国营商环境知识产权指标评价得分明显提升；3城市县域知识产权工作进一步深化，企事业单位知识产权创造质量、运用效益、保护效果、管理水平进一步增强；4、新增一批国家知识产权试点示范单位.</w:t>
            </w:r>
          </w:p>
        </w:tc>
        <w:tc>
          <w:tcPr>
            <w:tcW w:w="24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6C95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国家和省“十四五”知识产权保护和运用规划重点任务持续推进；2全国营商环境知识产权指标评价得分明显提升；3城市县域知识产权工作进一步深化，企事业单位知识产权创造质量、运用效益、保护效果、管理水平进一步增强；4、新增一批国家知识产权试点示范单位.</w:t>
            </w:r>
          </w:p>
        </w:tc>
      </w:tr>
      <w:tr w14:paraId="510C5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A859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F8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0F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A8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93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AB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A6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29F2D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F69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48" w:type="pct"/>
            <w:vMerge w:val="restart"/>
            <w:tcBorders>
              <w:top w:val="single" w:color="000000" w:sz="4" w:space="0"/>
              <w:left w:val="single" w:color="000000" w:sz="4" w:space="0"/>
              <w:bottom w:val="nil"/>
              <w:right w:val="single" w:color="000000" w:sz="4" w:space="0"/>
            </w:tcBorders>
            <w:shd w:val="clear" w:color="auto" w:fill="auto"/>
            <w:vAlign w:val="center"/>
          </w:tcPr>
          <w:p w14:paraId="218FE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517" w:type="pct"/>
            <w:tcBorders>
              <w:top w:val="single" w:color="000000" w:sz="4" w:space="0"/>
              <w:left w:val="single" w:color="000000" w:sz="4" w:space="0"/>
              <w:bottom w:val="nil"/>
              <w:right w:val="single" w:color="000000" w:sz="4" w:space="0"/>
            </w:tcBorders>
            <w:shd w:val="clear" w:color="auto" w:fill="auto"/>
            <w:vAlign w:val="center"/>
          </w:tcPr>
          <w:p w14:paraId="7FF18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9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52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国家知识产权试点示范工作任务完成率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D0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D11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DE0E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6B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A1F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48" w:type="pct"/>
            <w:vMerge w:val="continue"/>
            <w:tcBorders>
              <w:top w:val="single" w:color="000000" w:sz="4" w:space="0"/>
              <w:left w:val="single" w:color="000000" w:sz="4" w:space="0"/>
              <w:bottom w:val="nil"/>
              <w:right w:val="single" w:color="000000" w:sz="4" w:space="0"/>
            </w:tcBorders>
            <w:shd w:val="clear" w:color="auto" w:fill="auto"/>
            <w:vAlign w:val="center"/>
          </w:tcPr>
          <w:p w14:paraId="33979F8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C9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92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3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61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8E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B269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0839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4BA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48" w:type="pct"/>
            <w:vMerge w:val="continue"/>
            <w:tcBorders>
              <w:top w:val="single" w:color="000000" w:sz="4" w:space="0"/>
              <w:left w:val="single" w:color="000000" w:sz="4" w:space="0"/>
              <w:bottom w:val="nil"/>
              <w:right w:val="single" w:color="000000" w:sz="4" w:space="0"/>
            </w:tcBorders>
            <w:shd w:val="clear" w:color="auto" w:fill="auto"/>
            <w:vAlign w:val="center"/>
          </w:tcPr>
          <w:p w14:paraId="42971F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AC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4A2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70F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项目完成时限</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99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2023年8月前</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5C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2023年8月前</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AC35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02CAA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1D6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48" w:type="pct"/>
            <w:vMerge w:val="continue"/>
            <w:tcBorders>
              <w:top w:val="single" w:color="000000" w:sz="4" w:space="0"/>
              <w:left w:val="single" w:color="000000" w:sz="4" w:space="0"/>
              <w:bottom w:val="nil"/>
              <w:right w:val="single" w:color="000000" w:sz="4" w:space="0"/>
            </w:tcBorders>
            <w:shd w:val="clear" w:color="auto" w:fill="auto"/>
            <w:vAlign w:val="center"/>
          </w:tcPr>
          <w:p w14:paraId="28E18B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29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4C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CB9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知识产权培训、宣传、办公设施设备采购、手册编制等费用</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96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E8C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3万元</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FBF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F52B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1053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48" w:type="pct"/>
            <w:vMerge w:val="continue"/>
            <w:tcBorders>
              <w:top w:val="single" w:color="000000" w:sz="4" w:space="0"/>
              <w:left w:val="single" w:color="000000" w:sz="4" w:space="0"/>
              <w:bottom w:val="nil"/>
              <w:right w:val="single" w:color="000000" w:sz="4" w:space="0"/>
            </w:tcBorders>
            <w:shd w:val="clear" w:color="auto" w:fill="auto"/>
            <w:vAlign w:val="center"/>
          </w:tcPr>
          <w:p w14:paraId="6C30BB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7" w:type="pct"/>
            <w:tcBorders>
              <w:top w:val="single" w:color="000000" w:sz="4" w:space="0"/>
              <w:left w:val="single" w:color="000000" w:sz="4" w:space="0"/>
              <w:bottom w:val="nil"/>
              <w:right w:val="single" w:color="000000" w:sz="4" w:space="0"/>
            </w:tcBorders>
            <w:shd w:val="clear" w:color="auto" w:fill="auto"/>
            <w:vAlign w:val="center"/>
          </w:tcPr>
          <w:p w14:paraId="23160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E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7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专利实施项目新增利税年增长率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41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不低于全省GDP率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F4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不低于全省GDP率</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3A4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51411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193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88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3E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F2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D7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74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343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CAB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bl>
    <w:p w14:paraId="670DE5E2">
      <w:pP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br w:type="page"/>
      </w:r>
    </w:p>
    <w:p w14:paraId="4A082CE5">
      <w:pPr>
        <w:keepNext w:val="0"/>
        <w:keepLines w:val="0"/>
        <w:pageBreakBefore w:val="0"/>
        <w:widowControl w:val="0"/>
        <w:kinsoku/>
        <w:wordWrap/>
        <w:overflowPunct/>
        <w:topLinePunct w:val="0"/>
        <w:autoSpaceDE w:val="0"/>
        <w:autoSpaceDN w:val="0"/>
        <w:bidi w:val="0"/>
        <w:adjustRightInd w:val="0"/>
        <w:snapToGrid/>
        <w:spacing w:before="158" w:line="495" w:lineRule="exact"/>
        <w:jc w:val="center"/>
        <w:textAlignment w:val="auto"/>
        <w:outlineLvl w:val="9"/>
        <w:rPr>
          <w:rFonts w:ascii="宋体" w:hAnsi="宋体" w:eastAsia="宋体" w:cs="宋体"/>
          <w:sz w:val="35"/>
          <w:szCs w:val="35"/>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广元市昭化区财政项目（政策）支出绩效自评表</w:t>
      </w:r>
    </w:p>
    <w:p w14:paraId="16BEFCDD">
      <w:pPr>
        <w:spacing w:before="86" w:line="220" w:lineRule="auto"/>
        <w:jc w:val="center"/>
        <w:rPr>
          <w:rFonts w:ascii="宋体" w:hAnsi="宋体" w:eastAsia="宋体" w:cs="宋体"/>
          <w:sz w:val="24"/>
          <w:szCs w:val="24"/>
        </w:rPr>
      </w:pPr>
      <w:r>
        <w:rPr>
          <w:rFonts w:ascii="宋体" w:hAnsi="宋体" w:eastAsia="宋体" w:cs="宋体"/>
          <w:b/>
          <w:bCs/>
          <w:spacing w:val="-6"/>
          <w:sz w:val="28"/>
          <w:szCs w:val="28"/>
        </w:rPr>
        <w:t>（2023年度）</w:t>
      </w:r>
    </w:p>
    <w:tbl>
      <w:tblPr>
        <w:tblStyle w:val="33"/>
        <w:tblW w:w="618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2"/>
        <w:gridCol w:w="1068"/>
        <w:gridCol w:w="1014"/>
        <w:gridCol w:w="746"/>
        <w:gridCol w:w="2916"/>
        <w:gridCol w:w="1981"/>
        <w:gridCol w:w="1027"/>
        <w:gridCol w:w="1281"/>
      </w:tblGrid>
      <w:tr w14:paraId="2EC9A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jc w:val="center"/>
        </w:trPr>
        <w:tc>
          <w:tcPr>
            <w:tcW w:w="1059" w:type="pct"/>
            <w:gridSpan w:val="2"/>
            <w:tcBorders>
              <w:bottom w:val="single" w:color="000000" w:sz="4" w:space="0"/>
              <w:right w:val="single" w:color="000000" w:sz="4" w:space="0"/>
            </w:tcBorders>
            <w:vAlign w:val="center"/>
          </w:tcPr>
          <w:p w14:paraId="30730E22">
            <w:pPr>
              <w:pStyle w:val="32"/>
              <w:spacing w:before="140" w:line="221" w:lineRule="auto"/>
              <w:jc w:val="center"/>
            </w:pPr>
            <w:r>
              <w:rPr>
                <w:spacing w:val="-2"/>
              </w:rPr>
              <w:t>项目（政策）名称</w:t>
            </w:r>
          </w:p>
        </w:tc>
        <w:tc>
          <w:tcPr>
            <w:tcW w:w="3940" w:type="pct"/>
            <w:gridSpan w:val="6"/>
            <w:tcBorders>
              <w:left w:val="single" w:color="000000" w:sz="4" w:space="0"/>
              <w:bottom w:val="single" w:color="000000" w:sz="4" w:space="0"/>
            </w:tcBorders>
            <w:vAlign w:val="center"/>
          </w:tcPr>
          <w:p w14:paraId="7F6AE0B6">
            <w:pPr>
              <w:pStyle w:val="32"/>
              <w:spacing w:before="141" w:line="220" w:lineRule="auto"/>
              <w:jc w:val="center"/>
            </w:pPr>
            <w:r>
              <w:rPr>
                <w:spacing w:val="-1"/>
              </w:rPr>
              <w:t>优化营商环境提升</w:t>
            </w:r>
          </w:p>
        </w:tc>
      </w:tr>
      <w:tr w14:paraId="6D023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1059" w:type="pct"/>
            <w:gridSpan w:val="2"/>
            <w:tcBorders>
              <w:top w:val="single" w:color="000000" w:sz="4" w:space="0"/>
              <w:bottom w:val="single" w:color="000000" w:sz="4" w:space="0"/>
              <w:right w:val="single" w:color="000000" w:sz="4" w:space="0"/>
            </w:tcBorders>
            <w:vAlign w:val="center"/>
          </w:tcPr>
          <w:p w14:paraId="4AAEA6D0">
            <w:pPr>
              <w:pStyle w:val="32"/>
              <w:spacing w:before="91" w:line="220" w:lineRule="auto"/>
              <w:jc w:val="center"/>
            </w:pPr>
            <w:r>
              <w:rPr>
                <w:spacing w:val="-3"/>
              </w:rPr>
              <w:t>主管部门</w:t>
            </w:r>
          </w:p>
        </w:tc>
        <w:tc>
          <w:tcPr>
            <w:tcW w:w="2055" w:type="pct"/>
            <w:gridSpan w:val="3"/>
            <w:tcBorders>
              <w:top w:val="single" w:color="000000" w:sz="4" w:space="0"/>
              <w:left w:val="single" w:color="000000" w:sz="4" w:space="0"/>
              <w:bottom w:val="single" w:color="000000" w:sz="4" w:space="0"/>
              <w:right w:val="single" w:color="000000" w:sz="4" w:space="0"/>
            </w:tcBorders>
            <w:vAlign w:val="center"/>
          </w:tcPr>
          <w:p w14:paraId="6BCFE162">
            <w:pPr>
              <w:pStyle w:val="32"/>
              <w:spacing w:before="90" w:line="222" w:lineRule="auto"/>
              <w:jc w:val="center"/>
            </w:pPr>
            <w:r>
              <w:rPr>
                <w:spacing w:val="-6"/>
              </w:rPr>
              <w:t>区财政局</w:t>
            </w:r>
          </w:p>
        </w:tc>
        <w:tc>
          <w:tcPr>
            <w:tcW w:w="870" w:type="pct"/>
            <w:tcBorders>
              <w:top w:val="single" w:color="000000" w:sz="4" w:space="0"/>
              <w:left w:val="single" w:color="000000" w:sz="4" w:space="0"/>
              <w:bottom w:val="single" w:color="000000" w:sz="4" w:space="0"/>
              <w:right w:val="single" w:color="000000" w:sz="4" w:space="0"/>
            </w:tcBorders>
            <w:vAlign w:val="center"/>
          </w:tcPr>
          <w:p w14:paraId="22214373">
            <w:pPr>
              <w:pStyle w:val="32"/>
              <w:spacing w:before="90" w:line="221" w:lineRule="auto"/>
              <w:jc w:val="center"/>
            </w:pPr>
            <w:r>
              <w:rPr>
                <w:spacing w:val="-3"/>
              </w:rPr>
              <w:t>实施单位</w:t>
            </w:r>
          </w:p>
        </w:tc>
        <w:tc>
          <w:tcPr>
            <w:tcW w:w="1014" w:type="pct"/>
            <w:gridSpan w:val="2"/>
            <w:tcBorders>
              <w:top w:val="single" w:color="000000" w:sz="4" w:space="0"/>
              <w:left w:val="single" w:color="000000" w:sz="4" w:space="0"/>
              <w:bottom w:val="single" w:color="000000" w:sz="4" w:space="0"/>
            </w:tcBorders>
            <w:vAlign w:val="center"/>
          </w:tcPr>
          <w:p w14:paraId="614EA5CF">
            <w:pPr>
              <w:pStyle w:val="32"/>
              <w:spacing w:before="91" w:line="220" w:lineRule="auto"/>
              <w:jc w:val="center"/>
            </w:pPr>
            <w:r>
              <w:rPr>
                <w:spacing w:val="-3"/>
              </w:rPr>
              <w:t>区市场监督管理局</w:t>
            </w:r>
          </w:p>
        </w:tc>
      </w:tr>
      <w:tr w14:paraId="5D2D7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jc w:val="center"/>
        </w:trPr>
        <w:tc>
          <w:tcPr>
            <w:tcW w:w="1059" w:type="pct"/>
            <w:gridSpan w:val="2"/>
            <w:vMerge w:val="restart"/>
            <w:tcBorders>
              <w:top w:val="single" w:color="000000" w:sz="4" w:space="0"/>
              <w:bottom w:val="single" w:color="000000" w:sz="4" w:space="0"/>
              <w:right w:val="single" w:color="000000" w:sz="4" w:space="0"/>
            </w:tcBorders>
            <w:vAlign w:val="center"/>
          </w:tcPr>
          <w:p w14:paraId="48960BBF">
            <w:pPr>
              <w:spacing w:line="265" w:lineRule="auto"/>
              <w:rPr>
                <w:rFonts w:ascii="Arial"/>
                <w:sz w:val="21"/>
              </w:rPr>
            </w:pPr>
          </w:p>
          <w:p w14:paraId="6B8354FB">
            <w:pPr>
              <w:spacing w:line="266" w:lineRule="auto"/>
              <w:rPr>
                <w:rFonts w:ascii="Arial"/>
                <w:sz w:val="21"/>
              </w:rPr>
            </w:pPr>
          </w:p>
          <w:p w14:paraId="53686959">
            <w:pPr>
              <w:spacing w:line="266" w:lineRule="auto"/>
              <w:rPr>
                <w:rFonts w:ascii="Arial"/>
                <w:sz w:val="21"/>
              </w:rPr>
            </w:pPr>
          </w:p>
          <w:p w14:paraId="35D120A8">
            <w:pPr>
              <w:spacing w:line="266" w:lineRule="auto"/>
              <w:rPr>
                <w:rFonts w:ascii="Arial"/>
                <w:sz w:val="21"/>
              </w:rPr>
            </w:pPr>
          </w:p>
          <w:p w14:paraId="34F3539E">
            <w:pPr>
              <w:pStyle w:val="32"/>
              <w:spacing w:before="59" w:line="226" w:lineRule="auto"/>
              <w:ind w:left="770" w:right="25" w:hanging="718"/>
            </w:pPr>
            <w:r>
              <w:rPr>
                <w:spacing w:val="-1"/>
              </w:rPr>
              <w:t>项目（政策）资金（万</w:t>
            </w:r>
            <w:r>
              <w:t xml:space="preserve"> </w:t>
            </w:r>
            <w:r>
              <w:rPr>
                <w:spacing w:val="-5"/>
              </w:rPr>
              <w:t>元）</w:t>
            </w:r>
          </w:p>
        </w:tc>
        <w:tc>
          <w:tcPr>
            <w:tcW w:w="773" w:type="pct"/>
            <w:gridSpan w:val="2"/>
            <w:tcBorders>
              <w:top w:val="single" w:color="000000" w:sz="4" w:space="0"/>
              <w:left w:val="single" w:color="000000" w:sz="4" w:space="0"/>
              <w:bottom w:val="single" w:color="000000" w:sz="4" w:space="0"/>
              <w:right w:val="single" w:color="000000" w:sz="4" w:space="0"/>
            </w:tcBorders>
            <w:vAlign w:val="center"/>
          </w:tcPr>
          <w:p w14:paraId="46C6D4D1">
            <w:pPr>
              <w:pStyle w:val="32"/>
              <w:spacing w:before="92" w:line="220" w:lineRule="auto"/>
              <w:jc w:val="center"/>
            </w:pPr>
            <w:r>
              <w:rPr>
                <w:spacing w:val="-1"/>
              </w:rPr>
              <w:t>年度预算数（万元）</w:t>
            </w:r>
          </w:p>
        </w:tc>
        <w:tc>
          <w:tcPr>
            <w:tcW w:w="1281" w:type="pct"/>
            <w:tcBorders>
              <w:top w:val="single" w:color="000000" w:sz="4" w:space="0"/>
              <w:left w:val="single" w:color="000000" w:sz="4" w:space="0"/>
              <w:bottom w:val="single" w:color="000000" w:sz="4" w:space="0"/>
              <w:right w:val="single" w:color="000000" w:sz="4" w:space="0"/>
            </w:tcBorders>
            <w:vAlign w:val="center"/>
          </w:tcPr>
          <w:p w14:paraId="2AF8B37D">
            <w:pPr>
              <w:pStyle w:val="32"/>
              <w:spacing w:before="92" w:line="220" w:lineRule="auto"/>
              <w:jc w:val="center"/>
            </w:pPr>
            <w:r>
              <w:rPr>
                <w:spacing w:val="-2"/>
              </w:rPr>
              <w:t>年初预算数</w:t>
            </w:r>
          </w:p>
        </w:tc>
        <w:tc>
          <w:tcPr>
            <w:tcW w:w="870" w:type="pct"/>
            <w:tcBorders>
              <w:top w:val="single" w:color="000000" w:sz="4" w:space="0"/>
              <w:left w:val="single" w:color="000000" w:sz="4" w:space="0"/>
              <w:bottom w:val="single" w:color="000000" w:sz="4" w:space="0"/>
              <w:right w:val="single" w:color="000000" w:sz="4" w:space="0"/>
            </w:tcBorders>
            <w:vAlign w:val="center"/>
          </w:tcPr>
          <w:p w14:paraId="15798B08">
            <w:pPr>
              <w:pStyle w:val="32"/>
              <w:spacing w:before="92" w:line="220" w:lineRule="auto"/>
              <w:jc w:val="center"/>
            </w:pPr>
            <w:r>
              <w:rPr>
                <w:spacing w:val="-2"/>
              </w:rPr>
              <w:t>全年预算数</w:t>
            </w:r>
          </w:p>
        </w:tc>
        <w:tc>
          <w:tcPr>
            <w:tcW w:w="451" w:type="pct"/>
            <w:tcBorders>
              <w:top w:val="single" w:color="000000" w:sz="4" w:space="0"/>
              <w:left w:val="single" w:color="000000" w:sz="4" w:space="0"/>
              <w:bottom w:val="single" w:color="000000" w:sz="4" w:space="0"/>
              <w:right w:val="single" w:color="000000" w:sz="4" w:space="0"/>
            </w:tcBorders>
            <w:vAlign w:val="center"/>
          </w:tcPr>
          <w:p w14:paraId="54C294DB">
            <w:pPr>
              <w:pStyle w:val="32"/>
              <w:spacing w:before="92" w:line="220" w:lineRule="auto"/>
              <w:jc w:val="center"/>
            </w:pPr>
            <w:r>
              <w:rPr>
                <w:spacing w:val="-2"/>
              </w:rPr>
              <w:t>全年执行数</w:t>
            </w:r>
          </w:p>
        </w:tc>
        <w:tc>
          <w:tcPr>
            <w:tcW w:w="563" w:type="pct"/>
            <w:tcBorders>
              <w:top w:val="single" w:color="000000" w:sz="4" w:space="0"/>
              <w:left w:val="single" w:color="000000" w:sz="4" w:space="0"/>
              <w:bottom w:val="single" w:color="000000" w:sz="4" w:space="0"/>
            </w:tcBorders>
            <w:vAlign w:val="center"/>
          </w:tcPr>
          <w:p w14:paraId="507C5CDE">
            <w:pPr>
              <w:pStyle w:val="32"/>
              <w:spacing w:before="92" w:line="220" w:lineRule="auto"/>
              <w:jc w:val="center"/>
            </w:pPr>
            <w:r>
              <w:rPr>
                <w:spacing w:val="-3"/>
              </w:rPr>
              <w:t>执行率</w:t>
            </w:r>
          </w:p>
        </w:tc>
      </w:tr>
      <w:tr w14:paraId="5A3AC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 w:hRule="atLeast"/>
          <w:jc w:val="center"/>
        </w:trPr>
        <w:tc>
          <w:tcPr>
            <w:tcW w:w="1059" w:type="pct"/>
            <w:gridSpan w:val="2"/>
            <w:vMerge w:val="continue"/>
            <w:tcBorders>
              <w:top w:val="single" w:color="000000" w:sz="4" w:space="0"/>
              <w:bottom w:val="single" w:color="000000" w:sz="4" w:space="0"/>
              <w:right w:val="single" w:color="000000" w:sz="4" w:space="0"/>
            </w:tcBorders>
            <w:vAlign w:val="center"/>
          </w:tcPr>
          <w:p w14:paraId="034E40BF">
            <w:pPr>
              <w:rPr>
                <w:rFonts w:ascii="Arial"/>
                <w:sz w:val="21"/>
              </w:rPr>
            </w:pPr>
          </w:p>
        </w:tc>
        <w:tc>
          <w:tcPr>
            <w:tcW w:w="773" w:type="pct"/>
            <w:gridSpan w:val="2"/>
            <w:tcBorders>
              <w:top w:val="single" w:color="000000" w:sz="4" w:space="0"/>
              <w:left w:val="single" w:color="000000" w:sz="4" w:space="0"/>
              <w:bottom w:val="single" w:color="000000" w:sz="4" w:space="0"/>
              <w:right w:val="single" w:color="000000" w:sz="4" w:space="0"/>
            </w:tcBorders>
            <w:vAlign w:val="center"/>
          </w:tcPr>
          <w:p w14:paraId="77D49E82">
            <w:pPr>
              <w:pStyle w:val="32"/>
              <w:spacing w:before="92" w:line="220" w:lineRule="auto"/>
            </w:pPr>
            <w:r>
              <w:rPr>
                <w:spacing w:val="-2"/>
              </w:rPr>
              <w:t>年度资金总额</w:t>
            </w:r>
          </w:p>
        </w:tc>
        <w:tc>
          <w:tcPr>
            <w:tcW w:w="1281" w:type="pct"/>
            <w:tcBorders>
              <w:top w:val="single" w:color="000000" w:sz="4" w:space="0"/>
              <w:left w:val="single" w:color="000000" w:sz="4" w:space="0"/>
              <w:bottom w:val="single" w:color="000000" w:sz="4" w:space="0"/>
              <w:right w:val="single" w:color="000000" w:sz="4" w:space="0"/>
            </w:tcBorders>
            <w:vAlign w:val="center"/>
          </w:tcPr>
          <w:p w14:paraId="5834C309">
            <w:pPr>
              <w:pStyle w:val="32"/>
              <w:spacing w:before="120" w:line="183" w:lineRule="auto"/>
              <w:jc w:val="center"/>
            </w:pPr>
            <w:r>
              <w:rPr>
                <w:b/>
                <w:bCs/>
                <w:spacing w:val="-6"/>
              </w:rPr>
              <w:t>32</w:t>
            </w:r>
          </w:p>
        </w:tc>
        <w:tc>
          <w:tcPr>
            <w:tcW w:w="870" w:type="pct"/>
            <w:tcBorders>
              <w:top w:val="single" w:color="000000" w:sz="4" w:space="0"/>
              <w:left w:val="single" w:color="000000" w:sz="4" w:space="0"/>
              <w:bottom w:val="single" w:color="000000" w:sz="4" w:space="0"/>
              <w:right w:val="single" w:color="000000" w:sz="4" w:space="0"/>
            </w:tcBorders>
            <w:vAlign w:val="center"/>
          </w:tcPr>
          <w:p w14:paraId="1586A9C2">
            <w:pPr>
              <w:pStyle w:val="32"/>
              <w:spacing w:before="120" w:line="183" w:lineRule="auto"/>
              <w:jc w:val="center"/>
            </w:pPr>
            <w:r>
              <w:rPr>
                <w:b/>
                <w:bCs/>
                <w:spacing w:val="-6"/>
              </w:rPr>
              <w:t>32</w:t>
            </w:r>
          </w:p>
        </w:tc>
        <w:tc>
          <w:tcPr>
            <w:tcW w:w="451" w:type="pct"/>
            <w:tcBorders>
              <w:top w:val="single" w:color="000000" w:sz="4" w:space="0"/>
              <w:left w:val="single" w:color="000000" w:sz="4" w:space="0"/>
              <w:bottom w:val="single" w:color="000000" w:sz="4" w:space="0"/>
              <w:right w:val="single" w:color="000000" w:sz="4" w:space="0"/>
            </w:tcBorders>
            <w:vAlign w:val="center"/>
          </w:tcPr>
          <w:p w14:paraId="01AFCA63">
            <w:pPr>
              <w:pStyle w:val="32"/>
              <w:spacing w:before="120" w:line="183" w:lineRule="auto"/>
              <w:jc w:val="center"/>
            </w:pPr>
            <w:r>
              <w:rPr>
                <w:b/>
                <w:bCs/>
                <w:spacing w:val="-6"/>
              </w:rPr>
              <w:t>32</w:t>
            </w:r>
          </w:p>
        </w:tc>
        <w:tc>
          <w:tcPr>
            <w:tcW w:w="563" w:type="pct"/>
            <w:tcBorders>
              <w:top w:val="single" w:color="000000" w:sz="4" w:space="0"/>
              <w:left w:val="single" w:color="000000" w:sz="4" w:space="0"/>
              <w:bottom w:val="single" w:color="000000" w:sz="4" w:space="0"/>
            </w:tcBorders>
            <w:vAlign w:val="center"/>
          </w:tcPr>
          <w:p w14:paraId="03D86A85">
            <w:pPr>
              <w:pStyle w:val="32"/>
              <w:spacing w:before="119" w:line="184" w:lineRule="auto"/>
              <w:jc w:val="center"/>
            </w:pPr>
            <w:r>
              <w:rPr>
                <w:spacing w:val="-7"/>
              </w:rPr>
              <w:t>100</w:t>
            </w:r>
          </w:p>
        </w:tc>
      </w:tr>
      <w:tr w14:paraId="0EC2A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1059" w:type="pct"/>
            <w:gridSpan w:val="2"/>
            <w:vMerge w:val="continue"/>
            <w:tcBorders>
              <w:top w:val="single" w:color="000000" w:sz="4" w:space="0"/>
              <w:bottom w:val="single" w:color="000000" w:sz="4" w:space="0"/>
              <w:right w:val="single" w:color="000000" w:sz="4" w:space="0"/>
            </w:tcBorders>
            <w:vAlign w:val="center"/>
          </w:tcPr>
          <w:p w14:paraId="145FFAE7">
            <w:pPr>
              <w:rPr>
                <w:rFonts w:ascii="Arial"/>
                <w:sz w:val="21"/>
              </w:rPr>
            </w:pPr>
          </w:p>
        </w:tc>
        <w:tc>
          <w:tcPr>
            <w:tcW w:w="773" w:type="pct"/>
            <w:gridSpan w:val="2"/>
            <w:tcBorders>
              <w:top w:val="single" w:color="000000" w:sz="4" w:space="0"/>
              <w:left w:val="single" w:color="000000" w:sz="4" w:space="0"/>
              <w:bottom w:val="single" w:color="000000" w:sz="4" w:space="0"/>
              <w:right w:val="single" w:color="000000" w:sz="4" w:space="0"/>
            </w:tcBorders>
            <w:vAlign w:val="center"/>
          </w:tcPr>
          <w:p w14:paraId="6EE0D8F6">
            <w:pPr>
              <w:pStyle w:val="32"/>
              <w:spacing w:before="93" w:line="220" w:lineRule="auto"/>
              <w:ind w:left="43"/>
            </w:pPr>
            <w:r>
              <w:rPr>
                <w:spacing w:val="-2"/>
              </w:rPr>
              <w:t>（一）财政拨款小计</w:t>
            </w:r>
          </w:p>
        </w:tc>
        <w:tc>
          <w:tcPr>
            <w:tcW w:w="1281" w:type="pct"/>
            <w:tcBorders>
              <w:top w:val="single" w:color="000000" w:sz="4" w:space="0"/>
              <w:left w:val="single" w:color="000000" w:sz="4" w:space="0"/>
              <w:bottom w:val="single" w:color="000000" w:sz="4" w:space="0"/>
              <w:right w:val="single" w:color="000000" w:sz="4" w:space="0"/>
            </w:tcBorders>
            <w:vAlign w:val="center"/>
          </w:tcPr>
          <w:p w14:paraId="798E459B">
            <w:pPr>
              <w:pStyle w:val="32"/>
              <w:spacing w:before="121" w:line="183" w:lineRule="auto"/>
              <w:jc w:val="center"/>
            </w:pPr>
            <w:r>
              <w:rPr>
                <w:b/>
                <w:bCs/>
                <w:spacing w:val="-6"/>
              </w:rPr>
              <w:t>32</w:t>
            </w:r>
          </w:p>
        </w:tc>
        <w:tc>
          <w:tcPr>
            <w:tcW w:w="870" w:type="pct"/>
            <w:tcBorders>
              <w:top w:val="single" w:color="000000" w:sz="4" w:space="0"/>
              <w:left w:val="single" w:color="000000" w:sz="4" w:space="0"/>
              <w:bottom w:val="single" w:color="000000" w:sz="4" w:space="0"/>
              <w:right w:val="single" w:color="000000" w:sz="4" w:space="0"/>
            </w:tcBorders>
            <w:vAlign w:val="center"/>
          </w:tcPr>
          <w:p w14:paraId="190EF466">
            <w:pPr>
              <w:pStyle w:val="32"/>
              <w:spacing w:before="121" w:line="183" w:lineRule="auto"/>
              <w:jc w:val="center"/>
            </w:pPr>
            <w:r>
              <w:rPr>
                <w:b/>
                <w:bCs/>
                <w:spacing w:val="-6"/>
              </w:rPr>
              <w:t>32</w:t>
            </w:r>
          </w:p>
        </w:tc>
        <w:tc>
          <w:tcPr>
            <w:tcW w:w="451" w:type="pct"/>
            <w:tcBorders>
              <w:top w:val="single" w:color="000000" w:sz="4" w:space="0"/>
              <w:left w:val="single" w:color="000000" w:sz="4" w:space="0"/>
              <w:bottom w:val="single" w:color="000000" w:sz="4" w:space="0"/>
              <w:right w:val="single" w:color="000000" w:sz="4" w:space="0"/>
            </w:tcBorders>
            <w:vAlign w:val="center"/>
          </w:tcPr>
          <w:p w14:paraId="3A35A95E">
            <w:pPr>
              <w:pStyle w:val="32"/>
              <w:spacing w:before="121" w:line="183" w:lineRule="auto"/>
              <w:jc w:val="center"/>
            </w:pPr>
            <w:r>
              <w:rPr>
                <w:b/>
                <w:bCs/>
                <w:spacing w:val="-6"/>
              </w:rPr>
              <w:t>32</w:t>
            </w:r>
          </w:p>
        </w:tc>
        <w:tc>
          <w:tcPr>
            <w:tcW w:w="563" w:type="pct"/>
            <w:tcBorders>
              <w:top w:val="single" w:color="000000" w:sz="4" w:space="0"/>
              <w:left w:val="single" w:color="000000" w:sz="4" w:space="0"/>
              <w:bottom w:val="single" w:color="000000" w:sz="4" w:space="0"/>
            </w:tcBorders>
            <w:vAlign w:val="center"/>
          </w:tcPr>
          <w:p w14:paraId="3D270DD3">
            <w:pPr>
              <w:pStyle w:val="32"/>
              <w:spacing w:before="120" w:line="184" w:lineRule="auto"/>
              <w:jc w:val="center"/>
            </w:pPr>
            <w:r>
              <w:rPr>
                <w:spacing w:val="-7"/>
              </w:rPr>
              <w:t>100</w:t>
            </w:r>
          </w:p>
        </w:tc>
      </w:tr>
      <w:tr w14:paraId="3B231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jc w:val="center"/>
        </w:trPr>
        <w:tc>
          <w:tcPr>
            <w:tcW w:w="1059" w:type="pct"/>
            <w:gridSpan w:val="2"/>
            <w:vMerge w:val="continue"/>
            <w:tcBorders>
              <w:top w:val="single" w:color="000000" w:sz="4" w:space="0"/>
              <w:bottom w:val="single" w:color="000000" w:sz="4" w:space="0"/>
              <w:right w:val="single" w:color="000000" w:sz="4" w:space="0"/>
            </w:tcBorders>
            <w:vAlign w:val="center"/>
          </w:tcPr>
          <w:p w14:paraId="5F556EBF">
            <w:pPr>
              <w:rPr>
                <w:rFonts w:ascii="Arial"/>
                <w:sz w:val="21"/>
              </w:rPr>
            </w:pPr>
          </w:p>
        </w:tc>
        <w:tc>
          <w:tcPr>
            <w:tcW w:w="773" w:type="pct"/>
            <w:gridSpan w:val="2"/>
            <w:tcBorders>
              <w:top w:val="single" w:color="000000" w:sz="4" w:space="0"/>
              <w:left w:val="single" w:color="000000" w:sz="4" w:space="0"/>
              <w:bottom w:val="single" w:color="000000" w:sz="4" w:space="0"/>
              <w:right w:val="single" w:color="000000" w:sz="4" w:space="0"/>
            </w:tcBorders>
            <w:vAlign w:val="center"/>
          </w:tcPr>
          <w:p w14:paraId="3DCEF768">
            <w:pPr>
              <w:pStyle w:val="32"/>
              <w:spacing w:before="93" w:line="220" w:lineRule="auto"/>
            </w:pPr>
            <w:r>
              <w:rPr>
                <w:spacing w:val="-3"/>
              </w:rPr>
              <w:t>1.一般公共预算</w:t>
            </w:r>
          </w:p>
        </w:tc>
        <w:tc>
          <w:tcPr>
            <w:tcW w:w="1281" w:type="pct"/>
            <w:tcBorders>
              <w:top w:val="single" w:color="000000" w:sz="4" w:space="0"/>
              <w:left w:val="single" w:color="000000" w:sz="4" w:space="0"/>
              <w:bottom w:val="single" w:color="000000" w:sz="4" w:space="0"/>
              <w:right w:val="single" w:color="000000" w:sz="4" w:space="0"/>
            </w:tcBorders>
            <w:vAlign w:val="center"/>
          </w:tcPr>
          <w:p w14:paraId="735F9723">
            <w:pPr>
              <w:pStyle w:val="32"/>
              <w:spacing w:before="121" w:line="183" w:lineRule="auto"/>
              <w:jc w:val="center"/>
            </w:pPr>
            <w:r>
              <w:rPr>
                <w:b/>
                <w:bCs/>
                <w:spacing w:val="-6"/>
              </w:rPr>
              <w:t>32</w:t>
            </w:r>
          </w:p>
        </w:tc>
        <w:tc>
          <w:tcPr>
            <w:tcW w:w="870" w:type="pct"/>
            <w:tcBorders>
              <w:top w:val="single" w:color="000000" w:sz="4" w:space="0"/>
              <w:left w:val="single" w:color="000000" w:sz="4" w:space="0"/>
              <w:bottom w:val="single" w:color="000000" w:sz="4" w:space="0"/>
              <w:right w:val="single" w:color="000000" w:sz="4" w:space="0"/>
            </w:tcBorders>
            <w:vAlign w:val="center"/>
          </w:tcPr>
          <w:p w14:paraId="3B2F0487">
            <w:pPr>
              <w:pStyle w:val="32"/>
              <w:spacing w:before="121" w:line="183" w:lineRule="auto"/>
              <w:jc w:val="center"/>
            </w:pPr>
            <w:r>
              <w:rPr>
                <w:b/>
                <w:bCs/>
                <w:spacing w:val="-6"/>
              </w:rPr>
              <w:t>32</w:t>
            </w:r>
          </w:p>
        </w:tc>
        <w:tc>
          <w:tcPr>
            <w:tcW w:w="451" w:type="pct"/>
            <w:tcBorders>
              <w:top w:val="single" w:color="000000" w:sz="4" w:space="0"/>
              <w:left w:val="single" w:color="000000" w:sz="4" w:space="0"/>
              <w:bottom w:val="single" w:color="000000" w:sz="4" w:space="0"/>
              <w:right w:val="single" w:color="000000" w:sz="4" w:space="0"/>
            </w:tcBorders>
            <w:vAlign w:val="center"/>
          </w:tcPr>
          <w:p w14:paraId="6A2032CD">
            <w:pPr>
              <w:pStyle w:val="32"/>
              <w:spacing w:before="121" w:line="183" w:lineRule="auto"/>
              <w:jc w:val="center"/>
            </w:pPr>
            <w:r>
              <w:rPr>
                <w:b/>
                <w:bCs/>
                <w:spacing w:val="-6"/>
              </w:rPr>
              <w:t>32</w:t>
            </w:r>
          </w:p>
        </w:tc>
        <w:tc>
          <w:tcPr>
            <w:tcW w:w="563" w:type="pct"/>
            <w:tcBorders>
              <w:top w:val="single" w:color="000000" w:sz="4" w:space="0"/>
              <w:left w:val="single" w:color="000000" w:sz="4" w:space="0"/>
              <w:bottom w:val="single" w:color="000000" w:sz="4" w:space="0"/>
            </w:tcBorders>
            <w:vAlign w:val="center"/>
          </w:tcPr>
          <w:p w14:paraId="4FA11C7D">
            <w:pPr>
              <w:pStyle w:val="32"/>
              <w:spacing w:before="120" w:line="184" w:lineRule="auto"/>
              <w:jc w:val="center"/>
            </w:pPr>
            <w:r>
              <w:rPr>
                <w:spacing w:val="-7"/>
              </w:rPr>
              <w:t>100</w:t>
            </w:r>
          </w:p>
        </w:tc>
      </w:tr>
      <w:tr w14:paraId="594DE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 w:hRule="atLeast"/>
          <w:jc w:val="center"/>
        </w:trPr>
        <w:tc>
          <w:tcPr>
            <w:tcW w:w="1059" w:type="pct"/>
            <w:gridSpan w:val="2"/>
            <w:vMerge w:val="continue"/>
            <w:tcBorders>
              <w:top w:val="single" w:color="000000" w:sz="4" w:space="0"/>
              <w:bottom w:val="single" w:color="000000" w:sz="4" w:space="0"/>
              <w:right w:val="single" w:color="000000" w:sz="4" w:space="0"/>
            </w:tcBorders>
            <w:vAlign w:val="center"/>
          </w:tcPr>
          <w:p w14:paraId="5A9CC87C">
            <w:pPr>
              <w:rPr>
                <w:rFonts w:ascii="Arial"/>
                <w:sz w:val="21"/>
              </w:rPr>
            </w:pPr>
          </w:p>
        </w:tc>
        <w:tc>
          <w:tcPr>
            <w:tcW w:w="773" w:type="pct"/>
            <w:gridSpan w:val="2"/>
            <w:tcBorders>
              <w:top w:val="single" w:color="000000" w:sz="4" w:space="0"/>
              <w:left w:val="single" w:color="000000" w:sz="4" w:space="0"/>
              <w:bottom w:val="single" w:color="000000" w:sz="4" w:space="0"/>
              <w:right w:val="single" w:color="000000" w:sz="4" w:space="0"/>
            </w:tcBorders>
            <w:vAlign w:val="center"/>
          </w:tcPr>
          <w:p w14:paraId="48D78E3E">
            <w:pPr>
              <w:pStyle w:val="32"/>
              <w:spacing w:before="94" w:line="219" w:lineRule="auto"/>
            </w:pPr>
            <w:r>
              <w:rPr>
                <w:spacing w:val="-2"/>
              </w:rPr>
              <w:t>2.政府性基金</w:t>
            </w:r>
          </w:p>
        </w:tc>
        <w:tc>
          <w:tcPr>
            <w:tcW w:w="1281" w:type="pct"/>
            <w:tcBorders>
              <w:top w:val="single" w:color="000000" w:sz="4" w:space="0"/>
              <w:left w:val="single" w:color="000000" w:sz="4" w:space="0"/>
              <w:bottom w:val="single" w:color="000000" w:sz="4" w:space="0"/>
              <w:right w:val="single" w:color="000000" w:sz="4" w:space="0"/>
            </w:tcBorders>
            <w:vAlign w:val="center"/>
          </w:tcPr>
          <w:p w14:paraId="6FF9BAC3">
            <w:pPr>
              <w:rPr>
                <w:rFonts w:ascii="Arial"/>
                <w:sz w:val="21"/>
              </w:rPr>
            </w:pPr>
          </w:p>
        </w:tc>
        <w:tc>
          <w:tcPr>
            <w:tcW w:w="870" w:type="pct"/>
            <w:tcBorders>
              <w:top w:val="single" w:color="000000" w:sz="4" w:space="0"/>
              <w:left w:val="single" w:color="000000" w:sz="4" w:space="0"/>
              <w:bottom w:val="single" w:color="000000" w:sz="4" w:space="0"/>
              <w:right w:val="single" w:color="000000" w:sz="4" w:space="0"/>
            </w:tcBorders>
            <w:vAlign w:val="center"/>
          </w:tcPr>
          <w:p w14:paraId="46E4E522">
            <w:pPr>
              <w:rPr>
                <w:rFonts w:ascii="Arial"/>
                <w:sz w:val="21"/>
              </w:rPr>
            </w:pPr>
          </w:p>
        </w:tc>
        <w:tc>
          <w:tcPr>
            <w:tcW w:w="451" w:type="pct"/>
            <w:tcBorders>
              <w:top w:val="single" w:color="000000" w:sz="4" w:space="0"/>
              <w:left w:val="single" w:color="000000" w:sz="4" w:space="0"/>
              <w:bottom w:val="single" w:color="000000" w:sz="4" w:space="0"/>
              <w:right w:val="single" w:color="000000" w:sz="4" w:space="0"/>
            </w:tcBorders>
            <w:vAlign w:val="center"/>
          </w:tcPr>
          <w:p w14:paraId="253209E4">
            <w:pPr>
              <w:rPr>
                <w:rFonts w:ascii="Arial"/>
                <w:sz w:val="21"/>
              </w:rPr>
            </w:pPr>
          </w:p>
        </w:tc>
        <w:tc>
          <w:tcPr>
            <w:tcW w:w="563" w:type="pct"/>
            <w:tcBorders>
              <w:top w:val="single" w:color="000000" w:sz="4" w:space="0"/>
              <w:left w:val="single" w:color="000000" w:sz="4" w:space="0"/>
              <w:bottom w:val="single" w:color="000000" w:sz="4" w:space="0"/>
            </w:tcBorders>
            <w:vAlign w:val="center"/>
          </w:tcPr>
          <w:p w14:paraId="6DB3A6B5">
            <w:pPr>
              <w:rPr>
                <w:rFonts w:ascii="Arial"/>
                <w:sz w:val="21"/>
              </w:rPr>
            </w:pPr>
          </w:p>
        </w:tc>
      </w:tr>
      <w:tr w14:paraId="53F11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059" w:type="pct"/>
            <w:gridSpan w:val="2"/>
            <w:vMerge w:val="continue"/>
            <w:tcBorders>
              <w:top w:val="single" w:color="000000" w:sz="4" w:space="0"/>
              <w:bottom w:val="single" w:color="000000" w:sz="4" w:space="0"/>
              <w:right w:val="single" w:color="000000" w:sz="4" w:space="0"/>
            </w:tcBorders>
            <w:vAlign w:val="center"/>
          </w:tcPr>
          <w:p w14:paraId="452C9494">
            <w:pPr>
              <w:rPr>
                <w:rFonts w:ascii="Arial"/>
                <w:sz w:val="21"/>
              </w:rPr>
            </w:pPr>
          </w:p>
        </w:tc>
        <w:tc>
          <w:tcPr>
            <w:tcW w:w="773" w:type="pct"/>
            <w:gridSpan w:val="2"/>
            <w:tcBorders>
              <w:top w:val="single" w:color="000000" w:sz="4" w:space="0"/>
              <w:left w:val="single" w:color="000000" w:sz="4" w:space="0"/>
              <w:bottom w:val="single" w:color="000000" w:sz="4" w:space="0"/>
              <w:right w:val="single" w:color="000000" w:sz="4" w:space="0"/>
            </w:tcBorders>
            <w:vAlign w:val="center"/>
          </w:tcPr>
          <w:p w14:paraId="5C6768FA">
            <w:pPr>
              <w:pStyle w:val="32"/>
              <w:spacing w:before="135" w:line="219" w:lineRule="auto"/>
            </w:pPr>
            <w:r>
              <w:rPr>
                <w:spacing w:val="-1"/>
              </w:rPr>
              <w:t>3.国有资本经营预算</w:t>
            </w:r>
          </w:p>
        </w:tc>
        <w:tc>
          <w:tcPr>
            <w:tcW w:w="1281" w:type="pct"/>
            <w:tcBorders>
              <w:top w:val="single" w:color="000000" w:sz="4" w:space="0"/>
              <w:left w:val="single" w:color="000000" w:sz="4" w:space="0"/>
              <w:bottom w:val="single" w:color="000000" w:sz="4" w:space="0"/>
              <w:right w:val="single" w:color="000000" w:sz="4" w:space="0"/>
            </w:tcBorders>
            <w:vAlign w:val="center"/>
          </w:tcPr>
          <w:p w14:paraId="4C2C6A7B">
            <w:pPr>
              <w:rPr>
                <w:rFonts w:ascii="Arial"/>
                <w:sz w:val="21"/>
              </w:rPr>
            </w:pPr>
          </w:p>
        </w:tc>
        <w:tc>
          <w:tcPr>
            <w:tcW w:w="870" w:type="pct"/>
            <w:tcBorders>
              <w:top w:val="single" w:color="000000" w:sz="4" w:space="0"/>
              <w:left w:val="single" w:color="000000" w:sz="4" w:space="0"/>
              <w:bottom w:val="single" w:color="000000" w:sz="4" w:space="0"/>
              <w:right w:val="single" w:color="000000" w:sz="4" w:space="0"/>
            </w:tcBorders>
            <w:vAlign w:val="center"/>
          </w:tcPr>
          <w:p w14:paraId="207DAFA6">
            <w:pPr>
              <w:rPr>
                <w:rFonts w:ascii="Arial"/>
                <w:sz w:val="21"/>
              </w:rPr>
            </w:pPr>
          </w:p>
        </w:tc>
        <w:tc>
          <w:tcPr>
            <w:tcW w:w="451" w:type="pct"/>
            <w:tcBorders>
              <w:top w:val="single" w:color="000000" w:sz="4" w:space="0"/>
              <w:left w:val="single" w:color="000000" w:sz="4" w:space="0"/>
              <w:bottom w:val="single" w:color="000000" w:sz="4" w:space="0"/>
              <w:right w:val="single" w:color="000000" w:sz="4" w:space="0"/>
            </w:tcBorders>
            <w:vAlign w:val="center"/>
          </w:tcPr>
          <w:p w14:paraId="67ED0D9F">
            <w:pPr>
              <w:rPr>
                <w:rFonts w:ascii="Arial"/>
                <w:sz w:val="21"/>
              </w:rPr>
            </w:pPr>
          </w:p>
        </w:tc>
        <w:tc>
          <w:tcPr>
            <w:tcW w:w="563" w:type="pct"/>
            <w:tcBorders>
              <w:top w:val="single" w:color="000000" w:sz="4" w:space="0"/>
              <w:left w:val="single" w:color="000000" w:sz="4" w:space="0"/>
              <w:bottom w:val="single" w:color="000000" w:sz="4" w:space="0"/>
            </w:tcBorders>
            <w:vAlign w:val="center"/>
          </w:tcPr>
          <w:p w14:paraId="0EC1DCE6">
            <w:pPr>
              <w:rPr>
                <w:rFonts w:ascii="Arial"/>
                <w:sz w:val="21"/>
              </w:rPr>
            </w:pPr>
          </w:p>
        </w:tc>
      </w:tr>
      <w:tr w14:paraId="2ED5C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jc w:val="center"/>
        </w:trPr>
        <w:tc>
          <w:tcPr>
            <w:tcW w:w="1059" w:type="pct"/>
            <w:gridSpan w:val="2"/>
            <w:vMerge w:val="continue"/>
            <w:tcBorders>
              <w:top w:val="single" w:color="000000" w:sz="4" w:space="0"/>
              <w:bottom w:val="single" w:color="000000" w:sz="4" w:space="0"/>
              <w:right w:val="single" w:color="000000" w:sz="4" w:space="0"/>
            </w:tcBorders>
            <w:vAlign w:val="center"/>
          </w:tcPr>
          <w:p w14:paraId="74A2246C">
            <w:pPr>
              <w:rPr>
                <w:rFonts w:ascii="Arial"/>
                <w:sz w:val="21"/>
              </w:rPr>
            </w:pPr>
          </w:p>
        </w:tc>
        <w:tc>
          <w:tcPr>
            <w:tcW w:w="773" w:type="pct"/>
            <w:gridSpan w:val="2"/>
            <w:tcBorders>
              <w:top w:val="single" w:color="000000" w:sz="4" w:space="0"/>
              <w:left w:val="single" w:color="000000" w:sz="4" w:space="0"/>
              <w:bottom w:val="single" w:color="000000" w:sz="4" w:space="0"/>
              <w:right w:val="single" w:color="000000" w:sz="4" w:space="0"/>
            </w:tcBorders>
            <w:vAlign w:val="center"/>
          </w:tcPr>
          <w:p w14:paraId="799F905F">
            <w:pPr>
              <w:pStyle w:val="32"/>
              <w:spacing w:before="94" w:line="221" w:lineRule="auto"/>
              <w:ind w:left="43"/>
            </w:pPr>
            <w:r>
              <w:rPr>
                <w:spacing w:val="-3"/>
              </w:rPr>
              <w:t>（二）其他资金</w:t>
            </w:r>
          </w:p>
        </w:tc>
        <w:tc>
          <w:tcPr>
            <w:tcW w:w="1281" w:type="pct"/>
            <w:tcBorders>
              <w:top w:val="single" w:color="000000" w:sz="4" w:space="0"/>
              <w:left w:val="single" w:color="000000" w:sz="4" w:space="0"/>
              <w:bottom w:val="single" w:color="000000" w:sz="4" w:space="0"/>
              <w:right w:val="single" w:color="000000" w:sz="4" w:space="0"/>
            </w:tcBorders>
            <w:vAlign w:val="center"/>
          </w:tcPr>
          <w:p w14:paraId="05304838">
            <w:pPr>
              <w:rPr>
                <w:rFonts w:ascii="Arial"/>
                <w:sz w:val="21"/>
              </w:rPr>
            </w:pPr>
          </w:p>
        </w:tc>
        <w:tc>
          <w:tcPr>
            <w:tcW w:w="870" w:type="pct"/>
            <w:tcBorders>
              <w:top w:val="single" w:color="000000" w:sz="4" w:space="0"/>
              <w:left w:val="single" w:color="000000" w:sz="4" w:space="0"/>
              <w:bottom w:val="single" w:color="000000" w:sz="4" w:space="0"/>
              <w:right w:val="single" w:color="000000" w:sz="4" w:space="0"/>
            </w:tcBorders>
            <w:vAlign w:val="center"/>
          </w:tcPr>
          <w:p w14:paraId="514F9366">
            <w:pPr>
              <w:rPr>
                <w:rFonts w:ascii="Arial"/>
                <w:sz w:val="21"/>
              </w:rPr>
            </w:pPr>
          </w:p>
        </w:tc>
        <w:tc>
          <w:tcPr>
            <w:tcW w:w="451" w:type="pct"/>
            <w:tcBorders>
              <w:top w:val="single" w:color="000000" w:sz="4" w:space="0"/>
              <w:left w:val="single" w:color="000000" w:sz="4" w:space="0"/>
              <w:bottom w:val="single" w:color="000000" w:sz="4" w:space="0"/>
              <w:right w:val="single" w:color="000000" w:sz="4" w:space="0"/>
            </w:tcBorders>
            <w:vAlign w:val="center"/>
          </w:tcPr>
          <w:p w14:paraId="73812C7B">
            <w:pPr>
              <w:rPr>
                <w:rFonts w:ascii="Arial"/>
                <w:sz w:val="21"/>
              </w:rPr>
            </w:pPr>
          </w:p>
        </w:tc>
        <w:tc>
          <w:tcPr>
            <w:tcW w:w="563" w:type="pct"/>
            <w:tcBorders>
              <w:top w:val="single" w:color="000000" w:sz="4" w:space="0"/>
              <w:left w:val="single" w:color="000000" w:sz="4" w:space="0"/>
              <w:bottom w:val="single" w:color="000000" w:sz="4" w:space="0"/>
            </w:tcBorders>
            <w:vAlign w:val="center"/>
          </w:tcPr>
          <w:p w14:paraId="7CCC2663">
            <w:pPr>
              <w:rPr>
                <w:rFonts w:ascii="Arial"/>
                <w:sz w:val="21"/>
              </w:rPr>
            </w:pPr>
          </w:p>
        </w:tc>
      </w:tr>
      <w:tr w14:paraId="04BA1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589" w:type="pct"/>
            <w:vMerge w:val="restart"/>
            <w:tcBorders>
              <w:top w:val="single" w:color="000000" w:sz="4" w:space="0"/>
              <w:bottom w:val="single" w:color="000000" w:sz="4" w:space="0"/>
              <w:right w:val="single" w:color="000000" w:sz="4" w:space="0"/>
            </w:tcBorders>
            <w:vAlign w:val="center"/>
          </w:tcPr>
          <w:p w14:paraId="6D39E4F9">
            <w:pPr>
              <w:spacing w:line="289" w:lineRule="auto"/>
              <w:rPr>
                <w:rFonts w:ascii="Arial"/>
                <w:sz w:val="21"/>
              </w:rPr>
            </w:pPr>
          </w:p>
          <w:p w14:paraId="0F413396">
            <w:pPr>
              <w:spacing w:line="289" w:lineRule="auto"/>
              <w:rPr>
                <w:rFonts w:ascii="Arial"/>
                <w:sz w:val="21"/>
              </w:rPr>
            </w:pPr>
          </w:p>
          <w:p w14:paraId="01EF1F8E">
            <w:pPr>
              <w:spacing w:line="290" w:lineRule="auto"/>
              <w:rPr>
                <w:rFonts w:ascii="Arial"/>
                <w:sz w:val="21"/>
              </w:rPr>
            </w:pPr>
          </w:p>
          <w:p w14:paraId="58383834">
            <w:pPr>
              <w:spacing w:line="290" w:lineRule="auto"/>
              <w:rPr>
                <w:rFonts w:ascii="Arial"/>
                <w:sz w:val="21"/>
              </w:rPr>
            </w:pPr>
          </w:p>
          <w:p w14:paraId="07E21703">
            <w:pPr>
              <w:pStyle w:val="32"/>
              <w:spacing w:before="59" w:line="226" w:lineRule="auto"/>
              <w:ind w:left="123" w:right="102"/>
            </w:pPr>
            <w:r>
              <w:rPr>
                <w:spacing w:val="-3"/>
              </w:rPr>
              <w:t>年度总体目标</w:t>
            </w:r>
          </w:p>
        </w:tc>
        <w:tc>
          <w:tcPr>
            <w:tcW w:w="2524" w:type="pct"/>
            <w:gridSpan w:val="4"/>
            <w:tcBorders>
              <w:top w:val="single" w:color="000000" w:sz="4" w:space="0"/>
              <w:left w:val="single" w:color="000000" w:sz="4" w:space="0"/>
              <w:bottom w:val="single" w:color="000000" w:sz="4" w:space="0"/>
              <w:right w:val="single" w:color="000000" w:sz="4" w:space="0"/>
            </w:tcBorders>
            <w:vAlign w:val="center"/>
          </w:tcPr>
          <w:p w14:paraId="72963807">
            <w:pPr>
              <w:pStyle w:val="32"/>
              <w:spacing w:before="136" w:line="221" w:lineRule="auto"/>
              <w:ind w:left="2351"/>
            </w:pPr>
            <w:r>
              <w:rPr>
                <w:spacing w:val="-3"/>
              </w:rPr>
              <w:t>预期目标</w:t>
            </w:r>
          </w:p>
        </w:tc>
        <w:tc>
          <w:tcPr>
            <w:tcW w:w="1885" w:type="pct"/>
            <w:gridSpan w:val="3"/>
            <w:tcBorders>
              <w:top w:val="single" w:color="000000" w:sz="4" w:space="0"/>
              <w:left w:val="single" w:color="000000" w:sz="4" w:space="0"/>
              <w:bottom w:val="single" w:color="000000" w:sz="4" w:space="0"/>
            </w:tcBorders>
            <w:vAlign w:val="center"/>
          </w:tcPr>
          <w:p w14:paraId="7DAFDCEC">
            <w:pPr>
              <w:pStyle w:val="32"/>
              <w:spacing w:before="137" w:line="220" w:lineRule="auto"/>
              <w:ind w:left="1254"/>
            </w:pPr>
            <w:r>
              <w:rPr>
                <w:spacing w:val="-1"/>
              </w:rPr>
              <w:t>全年实际完成情况</w:t>
            </w:r>
          </w:p>
        </w:tc>
      </w:tr>
      <w:tr w14:paraId="44453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89" w:type="pct"/>
            <w:vMerge w:val="continue"/>
            <w:tcBorders>
              <w:top w:val="single" w:color="000000" w:sz="4" w:space="0"/>
              <w:bottom w:val="single" w:color="000000" w:sz="4" w:space="0"/>
              <w:right w:val="single" w:color="000000" w:sz="4" w:space="0"/>
            </w:tcBorders>
            <w:vAlign w:val="center"/>
          </w:tcPr>
          <w:p w14:paraId="3FC233DE">
            <w:pPr>
              <w:rPr>
                <w:rFonts w:ascii="Arial"/>
                <w:sz w:val="21"/>
              </w:rPr>
            </w:pPr>
          </w:p>
        </w:tc>
        <w:tc>
          <w:tcPr>
            <w:tcW w:w="2524" w:type="pct"/>
            <w:gridSpan w:val="4"/>
            <w:tcBorders>
              <w:top w:val="single" w:color="000000" w:sz="4" w:space="0"/>
              <w:left w:val="single" w:color="000000" w:sz="4" w:space="0"/>
              <w:bottom w:val="single" w:color="000000" w:sz="4" w:space="0"/>
              <w:right w:val="single" w:color="000000" w:sz="4" w:space="0"/>
            </w:tcBorders>
            <w:vAlign w:val="center"/>
          </w:tcPr>
          <w:p w14:paraId="3AD773A1">
            <w:pPr>
              <w:pStyle w:val="32"/>
              <w:spacing w:before="102" w:line="219" w:lineRule="auto"/>
              <w:ind w:left="30"/>
              <w:rPr>
                <w:rFonts w:hint="eastAsia" w:eastAsia="宋体"/>
                <w:lang w:eastAsia="zh-CN"/>
              </w:rPr>
            </w:pPr>
            <w:r>
              <w:t>进一步完善开办企业综合窗口建设，优化办事流</w:t>
            </w:r>
            <w:r>
              <w:rPr>
                <w:spacing w:val="-1"/>
              </w:rPr>
              <w:t>程，精简办事材</w:t>
            </w:r>
            <w:r>
              <w:t>料，提升办事效率，确保开办企业4小时办结。继</w:t>
            </w:r>
            <w:r>
              <w:rPr>
                <w:spacing w:val="-1"/>
              </w:rPr>
              <w:t>续实行“三减一免</w:t>
            </w:r>
            <w:r>
              <w:t xml:space="preserve"> </w:t>
            </w:r>
            <w:r>
              <w:rPr>
                <w:spacing w:val="-1"/>
              </w:rPr>
              <w:t>”“零费用</w:t>
            </w:r>
            <w:r>
              <w:rPr>
                <w:spacing w:val="-66"/>
              </w:rPr>
              <w:t xml:space="preserve"> </w:t>
            </w:r>
            <w:r>
              <w:rPr>
                <w:spacing w:val="-1"/>
              </w:rPr>
              <w:t>”办理。加大网上办理宣传力度，提升全程网</w:t>
            </w:r>
            <w:r>
              <w:rPr>
                <w:spacing w:val="-2"/>
              </w:rPr>
              <w:t>办率。落</w:t>
            </w:r>
            <w:r>
              <w:t xml:space="preserve">  </w:t>
            </w:r>
            <w:r>
              <w:rPr>
                <w:spacing w:val="-1"/>
              </w:rPr>
              <w:t>实市场主体“歇业</w:t>
            </w:r>
            <w:r>
              <w:rPr>
                <w:spacing w:val="-66"/>
              </w:rPr>
              <w:t xml:space="preserve"> </w:t>
            </w:r>
            <w:r>
              <w:rPr>
                <w:spacing w:val="-1"/>
              </w:rPr>
              <w:t>”制度。推行市场主体便利化注销，扩</w:t>
            </w:r>
            <w:r>
              <w:rPr>
                <w:spacing w:val="-2"/>
              </w:rPr>
              <w:t>大简易注</w:t>
            </w:r>
            <w:r>
              <w:t xml:space="preserve">  </w:t>
            </w:r>
            <w:r>
              <w:rPr>
                <w:spacing w:val="-1"/>
              </w:rPr>
              <w:t>销范围。按规定做好登记档案扫描归档。全面推行市场监管领域“双随机、一公开</w:t>
            </w:r>
            <w:r>
              <w:rPr>
                <w:spacing w:val="-67"/>
              </w:rPr>
              <w:t xml:space="preserve"> </w:t>
            </w:r>
            <w:r>
              <w:rPr>
                <w:spacing w:val="-1"/>
              </w:rPr>
              <w:t>”监管工作，推动</w:t>
            </w:r>
            <w:r>
              <w:rPr>
                <w:spacing w:val="-2"/>
              </w:rPr>
              <w:t>部门联</w:t>
            </w:r>
            <w:r>
              <w:t xml:space="preserve"> 合监管，进一步减少多头检查、交叉检查。按</w:t>
            </w:r>
            <w:r>
              <w:rPr>
                <w:spacing w:val="-1"/>
              </w:rPr>
              <w:t>时按量完成计划任务</w:t>
            </w:r>
            <w:r>
              <w:t xml:space="preserve"> </w:t>
            </w:r>
            <w:r>
              <w:rPr>
                <w:spacing w:val="-1"/>
              </w:rPr>
              <w:t>。推动各行业将信用分级与“双随机</w:t>
            </w:r>
            <w:r>
              <w:rPr>
                <w:spacing w:val="-66"/>
              </w:rPr>
              <w:t xml:space="preserve"> </w:t>
            </w:r>
            <w:r>
              <w:rPr>
                <w:spacing w:val="-1"/>
              </w:rPr>
              <w:t>”相结合，提升监管</w:t>
            </w:r>
            <w:r>
              <w:rPr>
                <w:spacing w:val="-2"/>
              </w:rPr>
              <w:t>精准性。</w:t>
            </w:r>
            <w:r>
              <w:t xml:space="preserve"> 知识产权创造、保护和运用等三项一级指标在</w:t>
            </w:r>
            <w:r>
              <w:rPr>
                <w:spacing w:val="-1"/>
              </w:rPr>
              <w:t>全市营商环境测评中</w:t>
            </w:r>
            <w:r>
              <w:rPr>
                <w:spacing w:val="-2"/>
              </w:rPr>
              <w:t>名列前茅</w:t>
            </w:r>
            <w:r>
              <w:rPr>
                <w:rFonts w:hint="eastAsia"/>
                <w:spacing w:val="-2"/>
                <w:lang w:eastAsia="zh-CN"/>
              </w:rPr>
              <w:t>。</w:t>
            </w:r>
          </w:p>
        </w:tc>
        <w:tc>
          <w:tcPr>
            <w:tcW w:w="1885" w:type="pct"/>
            <w:gridSpan w:val="3"/>
            <w:tcBorders>
              <w:top w:val="single" w:color="000000" w:sz="4" w:space="0"/>
              <w:left w:val="single" w:color="000000" w:sz="4" w:space="0"/>
              <w:bottom w:val="single" w:color="000000" w:sz="4" w:space="0"/>
            </w:tcBorders>
            <w:vAlign w:val="center"/>
          </w:tcPr>
          <w:p w14:paraId="402CE5CB">
            <w:pPr>
              <w:pStyle w:val="32"/>
              <w:spacing w:before="214" w:line="220" w:lineRule="auto"/>
            </w:pPr>
            <w:r>
              <w:rPr>
                <w:spacing w:val="-1"/>
              </w:rPr>
              <w:t>1、坚持问题导向，优化营商环境：优化办事流程，精简办事材料，提升办事效率，确保开办企业4小时办结。2、市场监管提质效：全区共开展</w:t>
            </w:r>
            <w:r>
              <w:rPr>
                <w:spacing w:val="-2"/>
              </w:rPr>
              <w:t>市场监管领域部门联合“双随机、一公开</w:t>
            </w:r>
            <w:r>
              <w:rPr>
                <w:spacing w:val="-61"/>
              </w:rPr>
              <w:t xml:space="preserve"> </w:t>
            </w:r>
            <w:r>
              <w:rPr>
                <w:spacing w:val="-2"/>
              </w:rPr>
              <w:t>”抽查</w:t>
            </w:r>
            <w:r>
              <w:rPr>
                <w:spacing w:val="-1"/>
              </w:rPr>
              <w:t>检查54次，抽查事项54项，抽取市场主体334家，抽取执法人员超180人，持续落实信用风</w:t>
            </w:r>
          </w:p>
          <w:p w14:paraId="7FE90305">
            <w:pPr>
              <w:pStyle w:val="32"/>
              <w:spacing w:before="8" w:line="220" w:lineRule="auto"/>
            </w:pPr>
            <w:r>
              <w:rPr>
                <w:spacing w:val="-1"/>
              </w:rPr>
              <w:t>险分级分类成果运用，实现企业风险分类结果多部门共享共用，推动部门联合监管机制更加智慧化、精准化、规范化。</w:t>
            </w:r>
          </w:p>
        </w:tc>
      </w:tr>
      <w:tr w14:paraId="09C5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jc w:val="center"/>
        </w:trPr>
        <w:tc>
          <w:tcPr>
            <w:tcW w:w="589" w:type="pct"/>
            <w:vMerge w:val="restart"/>
            <w:tcBorders>
              <w:top w:val="single" w:color="000000" w:sz="4" w:space="0"/>
              <w:bottom w:val="single" w:color="000000" w:sz="4" w:space="0"/>
              <w:right w:val="single" w:color="000000" w:sz="4" w:space="0"/>
            </w:tcBorders>
            <w:vAlign w:val="center"/>
          </w:tcPr>
          <w:p w14:paraId="2A390CFC">
            <w:pPr>
              <w:spacing w:line="261" w:lineRule="auto"/>
              <w:rPr>
                <w:rFonts w:ascii="Arial"/>
                <w:sz w:val="21"/>
              </w:rPr>
            </w:pPr>
          </w:p>
          <w:p w14:paraId="2C0BDB61">
            <w:pPr>
              <w:spacing w:line="261" w:lineRule="auto"/>
              <w:rPr>
                <w:rFonts w:ascii="Arial"/>
                <w:sz w:val="21"/>
              </w:rPr>
            </w:pPr>
          </w:p>
          <w:p w14:paraId="61F8FA7C">
            <w:pPr>
              <w:spacing w:line="261" w:lineRule="auto"/>
              <w:rPr>
                <w:rFonts w:ascii="Arial"/>
                <w:sz w:val="21"/>
              </w:rPr>
            </w:pPr>
          </w:p>
          <w:p w14:paraId="6251EB55">
            <w:pPr>
              <w:spacing w:line="261" w:lineRule="auto"/>
              <w:rPr>
                <w:rFonts w:ascii="Arial"/>
                <w:sz w:val="21"/>
              </w:rPr>
            </w:pPr>
          </w:p>
          <w:p w14:paraId="2A744B86">
            <w:pPr>
              <w:spacing w:line="261" w:lineRule="auto"/>
              <w:rPr>
                <w:rFonts w:ascii="Arial"/>
                <w:sz w:val="21"/>
              </w:rPr>
            </w:pPr>
          </w:p>
          <w:p w14:paraId="3E740155">
            <w:pPr>
              <w:spacing w:line="261" w:lineRule="auto"/>
              <w:rPr>
                <w:rFonts w:ascii="Arial"/>
                <w:sz w:val="21"/>
              </w:rPr>
            </w:pPr>
          </w:p>
          <w:p w14:paraId="369CE33C">
            <w:pPr>
              <w:spacing w:line="261" w:lineRule="auto"/>
              <w:rPr>
                <w:rFonts w:ascii="Arial"/>
                <w:sz w:val="21"/>
              </w:rPr>
            </w:pPr>
          </w:p>
          <w:p w14:paraId="3776F3CB">
            <w:pPr>
              <w:spacing w:line="261" w:lineRule="auto"/>
              <w:rPr>
                <w:rFonts w:ascii="Arial"/>
                <w:sz w:val="21"/>
              </w:rPr>
            </w:pPr>
          </w:p>
          <w:p w14:paraId="364B18C2">
            <w:pPr>
              <w:spacing w:line="261" w:lineRule="auto"/>
              <w:rPr>
                <w:rFonts w:ascii="Arial"/>
                <w:sz w:val="21"/>
              </w:rPr>
            </w:pPr>
          </w:p>
          <w:p w14:paraId="6F2C806C">
            <w:pPr>
              <w:spacing w:line="261" w:lineRule="auto"/>
              <w:rPr>
                <w:rFonts w:ascii="Arial"/>
                <w:sz w:val="21"/>
              </w:rPr>
            </w:pPr>
          </w:p>
          <w:p w14:paraId="41B6AEE0">
            <w:pPr>
              <w:spacing w:line="261" w:lineRule="auto"/>
              <w:rPr>
                <w:rFonts w:ascii="Arial"/>
                <w:sz w:val="21"/>
              </w:rPr>
            </w:pPr>
          </w:p>
          <w:p w14:paraId="3D9343D3">
            <w:pPr>
              <w:pStyle w:val="32"/>
              <w:spacing w:before="58" w:line="225" w:lineRule="auto"/>
              <w:ind w:left="214" w:right="193"/>
            </w:pPr>
            <w:r>
              <w:rPr>
                <w:spacing w:val="-5"/>
              </w:rPr>
              <w:t>绩效指标</w:t>
            </w:r>
          </w:p>
        </w:tc>
        <w:tc>
          <w:tcPr>
            <w:tcW w:w="469" w:type="pct"/>
            <w:tcBorders>
              <w:top w:val="single" w:color="000000" w:sz="4" w:space="0"/>
              <w:left w:val="single" w:color="000000" w:sz="4" w:space="0"/>
              <w:bottom w:val="single" w:color="000000" w:sz="4" w:space="0"/>
              <w:right w:val="single" w:color="000000" w:sz="4" w:space="0"/>
            </w:tcBorders>
            <w:vAlign w:val="center"/>
          </w:tcPr>
          <w:p w14:paraId="4631C838">
            <w:pPr>
              <w:pStyle w:val="32"/>
              <w:spacing w:before="170" w:line="221" w:lineRule="auto"/>
              <w:ind w:left="200"/>
            </w:pPr>
            <w:r>
              <w:rPr>
                <w:spacing w:val="-3"/>
              </w:rPr>
              <w:t>一级指标</w:t>
            </w:r>
          </w:p>
        </w:tc>
        <w:tc>
          <w:tcPr>
            <w:tcW w:w="445" w:type="pct"/>
            <w:tcBorders>
              <w:top w:val="single" w:color="000000" w:sz="4" w:space="0"/>
              <w:left w:val="single" w:color="000000" w:sz="4" w:space="0"/>
              <w:bottom w:val="single" w:color="000000" w:sz="4" w:space="0"/>
              <w:right w:val="single" w:color="000000" w:sz="4" w:space="0"/>
            </w:tcBorders>
            <w:vAlign w:val="center"/>
          </w:tcPr>
          <w:p w14:paraId="69756628">
            <w:pPr>
              <w:pStyle w:val="32"/>
              <w:spacing w:before="170" w:line="221" w:lineRule="auto"/>
              <w:ind w:left="209"/>
            </w:pPr>
            <w:r>
              <w:rPr>
                <w:spacing w:val="-3"/>
              </w:rPr>
              <w:t>二级指标</w:t>
            </w:r>
          </w:p>
        </w:tc>
        <w:tc>
          <w:tcPr>
            <w:tcW w:w="1609" w:type="pct"/>
            <w:gridSpan w:val="2"/>
            <w:tcBorders>
              <w:top w:val="single" w:color="000000" w:sz="4" w:space="0"/>
              <w:left w:val="single" w:color="000000" w:sz="4" w:space="0"/>
              <w:bottom w:val="single" w:color="000000" w:sz="4" w:space="0"/>
              <w:right w:val="single" w:color="000000" w:sz="4" w:space="0"/>
            </w:tcBorders>
            <w:vAlign w:val="center"/>
          </w:tcPr>
          <w:p w14:paraId="45BE3CB4">
            <w:pPr>
              <w:pStyle w:val="32"/>
              <w:spacing w:before="170" w:line="221" w:lineRule="auto"/>
              <w:ind w:left="1235"/>
            </w:pPr>
            <w:r>
              <w:rPr>
                <w:spacing w:val="-2"/>
              </w:rPr>
              <w:t>三级指标</w:t>
            </w:r>
          </w:p>
        </w:tc>
        <w:tc>
          <w:tcPr>
            <w:tcW w:w="870" w:type="pct"/>
            <w:tcBorders>
              <w:top w:val="single" w:color="000000" w:sz="4" w:space="0"/>
              <w:left w:val="single" w:color="000000" w:sz="4" w:space="0"/>
              <w:bottom w:val="single" w:color="000000" w:sz="4" w:space="0"/>
              <w:right w:val="single" w:color="000000" w:sz="4" w:space="0"/>
            </w:tcBorders>
            <w:vAlign w:val="center"/>
          </w:tcPr>
          <w:p w14:paraId="6A64D61A">
            <w:pPr>
              <w:pStyle w:val="32"/>
              <w:spacing w:before="171" w:line="220" w:lineRule="auto"/>
              <w:jc w:val="center"/>
            </w:pPr>
            <w:r>
              <w:rPr>
                <w:spacing w:val="-2"/>
              </w:rPr>
              <w:t>年度指标值</w:t>
            </w:r>
          </w:p>
        </w:tc>
        <w:tc>
          <w:tcPr>
            <w:tcW w:w="451" w:type="pct"/>
            <w:tcBorders>
              <w:top w:val="single" w:color="000000" w:sz="4" w:space="0"/>
              <w:left w:val="single" w:color="000000" w:sz="4" w:space="0"/>
              <w:bottom w:val="single" w:color="000000" w:sz="4" w:space="0"/>
              <w:right w:val="single" w:color="000000" w:sz="4" w:space="0"/>
            </w:tcBorders>
            <w:vAlign w:val="center"/>
          </w:tcPr>
          <w:p w14:paraId="6A738B9A">
            <w:pPr>
              <w:pStyle w:val="32"/>
              <w:spacing w:before="171" w:line="220" w:lineRule="auto"/>
              <w:jc w:val="center"/>
            </w:pPr>
            <w:r>
              <w:rPr>
                <w:spacing w:val="-3"/>
              </w:rPr>
              <w:t>实际完成值</w:t>
            </w:r>
          </w:p>
        </w:tc>
        <w:tc>
          <w:tcPr>
            <w:tcW w:w="563" w:type="pct"/>
            <w:tcBorders>
              <w:top w:val="single" w:color="000000" w:sz="4" w:space="0"/>
              <w:left w:val="single" w:color="000000" w:sz="4" w:space="0"/>
              <w:bottom w:val="single" w:color="000000" w:sz="4" w:space="0"/>
            </w:tcBorders>
            <w:vAlign w:val="center"/>
          </w:tcPr>
          <w:p w14:paraId="34797A73">
            <w:pPr>
              <w:pStyle w:val="32"/>
              <w:spacing w:before="58" w:line="219" w:lineRule="auto"/>
              <w:ind w:right="61"/>
              <w:jc w:val="center"/>
            </w:pPr>
            <w:r>
              <w:rPr>
                <w:spacing w:val="-2"/>
              </w:rPr>
              <w:t>偏差原因分析及改进措施</w:t>
            </w:r>
          </w:p>
        </w:tc>
      </w:tr>
      <w:tr w14:paraId="442D7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atLeast"/>
          <w:jc w:val="center"/>
        </w:trPr>
        <w:tc>
          <w:tcPr>
            <w:tcW w:w="589" w:type="pct"/>
            <w:vMerge w:val="continue"/>
            <w:tcBorders>
              <w:top w:val="single" w:color="000000" w:sz="4" w:space="0"/>
              <w:bottom w:val="single" w:color="000000" w:sz="4" w:space="0"/>
              <w:right w:val="single" w:color="000000" w:sz="4" w:space="0"/>
            </w:tcBorders>
            <w:vAlign w:val="center"/>
          </w:tcPr>
          <w:p w14:paraId="26627545">
            <w:pPr>
              <w:rPr>
                <w:rFonts w:ascii="Arial"/>
                <w:sz w:val="21"/>
              </w:rPr>
            </w:pPr>
          </w:p>
        </w:tc>
        <w:tc>
          <w:tcPr>
            <w:tcW w:w="469" w:type="pct"/>
            <w:vMerge w:val="restart"/>
            <w:tcBorders>
              <w:top w:val="single" w:color="000000" w:sz="4" w:space="0"/>
              <w:left w:val="single" w:color="000000" w:sz="4" w:space="0"/>
              <w:bottom w:val="single" w:color="000000" w:sz="4" w:space="0"/>
              <w:right w:val="single" w:color="000000" w:sz="4" w:space="0"/>
            </w:tcBorders>
            <w:vAlign w:val="center"/>
          </w:tcPr>
          <w:p w14:paraId="7646E5EF">
            <w:pPr>
              <w:spacing w:line="246" w:lineRule="auto"/>
              <w:rPr>
                <w:rFonts w:ascii="Arial"/>
                <w:sz w:val="21"/>
              </w:rPr>
            </w:pPr>
          </w:p>
          <w:p w14:paraId="3902C5B1">
            <w:pPr>
              <w:spacing w:line="246" w:lineRule="auto"/>
              <w:rPr>
                <w:rFonts w:ascii="Arial"/>
                <w:sz w:val="21"/>
              </w:rPr>
            </w:pPr>
          </w:p>
          <w:p w14:paraId="1D2E5766">
            <w:pPr>
              <w:spacing w:line="246" w:lineRule="auto"/>
              <w:rPr>
                <w:rFonts w:ascii="Arial"/>
                <w:sz w:val="21"/>
              </w:rPr>
            </w:pPr>
          </w:p>
          <w:p w14:paraId="13510264">
            <w:pPr>
              <w:spacing w:line="247" w:lineRule="auto"/>
              <w:rPr>
                <w:rFonts w:ascii="Arial"/>
                <w:sz w:val="21"/>
              </w:rPr>
            </w:pPr>
          </w:p>
          <w:p w14:paraId="16CB84F9">
            <w:pPr>
              <w:spacing w:line="247" w:lineRule="auto"/>
              <w:rPr>
                <w:rFonts w:ascii="Arial"/>
                <w:sz w:val="21"/>
              </w:rPr>
            </w:pPr>
          </w:p>
          <w:p w14:paraId="12E64081">
            <w:pPr>
              <w:spacing w:line="247" w:lineRule="auto"/>
              <w:rPr>
                <w:rFonts w:ascii="Arial"/>
                <w:sz w:val="21"/>
              </w:rPr>
            </w:pPr>
          </w:p>
          <w:p w14:paraId="533115D5">
            <w:pPr>
              <w:spacing w:line="247" w:lineRule="auto"/>
              <w:rPr>
                <w:rFonts w:ascii="Arial"/>
                <w:sz w:val="21"/>
              </w:rPr>
            </w:pPr>
          </w:p>
          <w:p w14:paraId="529AC643">
            <w:pPr>
              <w:pStyle w:val="32"/>
              <w:spacing w:before="59" w:line="220" w:lineRule="auto"/>
              <w:ind w:left="197"/>
            </w:pPr>
            <w:r>
              <w:rPr>
                <w:spacing w:val="-2"/>
              </w:rPr>
              <w:t>产出指标</w:t>
            </w:r>
          </w:p>
        </w:tc>
        <w:tc>
          <w:tcPr>
            <w:tcW w:w="445" w:type="pct"/>
            <w:vMerge w:val="restart"/>
            <w:tcBorders>
              <w:top w:val="single" w:color="000000" w:sz="4" w:space="0"/>
              <w:left w:val="single" w:color="000000" w:sz="4" w:space="0"/>
              <w:bottom w:val="single" w:color="000000" w:sz="4" w:space="0"/>
              <w:right w:val="single" w:color="000000" w:sz="4" w:space="0"/>
            </w:tcBorders>
            <w:vAlign w:val="center"/>
          </w:tcPr>
          <w:p w14:paraId="3D448CD5">
            <w:pPr>
              <w:spacing w:line="246" w:lineRule="auto"/>
              <w:rPr>
                <w:rFonts w:ascii="Arial"/>
                <w:sz w:val="21"/>
              </w:rPr>
            </w:pPr>
          </w:p>
          <w:p w14:paraId="66E7E6B5">
            <w:pPr>
              <w:spacing w:line="247" w:lineRule="auto"/>
              <w:rPr>
                <w:rFonts w:ascii="Arial"/>
                <w:sz w:val="21"/>
              </w:rPr>
            </w:pPr>
          </w:p>
          <w:p w14:paraId="09EF8935">
            <w:pPr>
              <w:spacing w:line="247" w:lineRule="auto"/>
              <w:rPr>
                <w:rFonts w:ascii="Arial"/>
                <w:sz w:val="21"/>
              </w:rPr>
            </w:pPr>
          </w:p>
          <w:p w14:paraId="3DB7FD55">
            <w:pPr>
              <w:spacing w:line="247" w:lineRule="auto"/>
              <w:rPr>
                <w:rFonts w:ascii="Arial"/>
                <w:sz w:val="21"/>
              </w:rPr>
            </w:pPr>
          </w:p>
          <w:p w14:paraId="220C49D1">
            <w:pPr>
              <w:pStyle w:val="32"/>
              <w:spacing w:before="58" w:line="220" w:lineRule="auto"/>
              <w:ind w:left="208"/>
            </w:pPr>
            <w:r>
              <w:rPr>
                <w:spacing w:val="-3"/>
              </w:rPr>
              <w:t>数量指标</w:t>
            </w:r>
          </w:p>
        </w:tc>
        <w:tc>
          <w:tcPr>
            <w:tcW w:w="328" w:type="pct"/>
            <w:tcBorders>
              <w:top w:val="single" w:color="000000" w:sz="4" w:space="0"/>
              <w:left w:val="single" w:color="000000" w:sz="4" w:space="0"/>
              <w:bottom w:val="single" w:color="000000" w:sz="4" w:space="0"/>
              <w:right w:val="single" w:color="000000" w:sz="4" w:space="0"/>
            </w:tcBorders>
            <w:vAlign w:val="center"/>
          </w:tcPr>
          <w:p w14:paraId="08FDF0E5">
            <w:pPr>
              <w:pStyle w:val="32"/>
              <w:spacing w:before="192" w:line="221" w:lineRule="auto"/>
              <w:jc w:val="center"/>
            </w:pPr>
            <w:r>
              <w:rPr>
                <w:spacing w:val="-3"/>
              </w:rPr>
              <w:t>指标1：</w:t>
            </w:r>
          </w:p>
        </w:tc>
        <w:tc>
          <w:tcPr>
            <w:tcW w:w="1281" w:type="pct"/>
            <w:tcBorders>
              <w:top w:val="single" w:color="000000" w:sz="4" w:space="0"/>
              <w:left w:val="single" w:color="000000" w:sz="4" w:space="0"/>
              <w:bottom w:val="single" w:color="000000" w:sz="4" w:space="0"/>
              <w:right w:val="single" w:color="000000" w:sz="4" w:space="0"/>
            </w:tcBorders>
            <w:vAlign w:val="center"/>
          </w:tcPr>
          <w:p w14:paraId="0456B05F">
            <w:pPr>
              <w:pStyle w:val="32"/>
              <w:spacing w:before="80" w:line="224" w:lineRule="auto"/>
              <w:ind w:right="57"/>
            </w:pPr>
            <w:r>
              <w:rPr>
                <w:spacing w:val="-2"/>
              </w:rPr>
              <w:t>“0</w:t>
            </w:r>
            <w:r>
              <w:rPr>
                <w:spacing w:val="-66"/>
              </w:rPr>
              <w:t xml:space="preserve"> </w:t>
            </w:r>
            <w:r>
              <w:rPr>
                <w:spacing w:val="-2"/>
              </w:rPr>
              <w:t>”费用为新登记企业刻制印章数</w:t>
            </w:r>
          </w:p>
        </w:tc>
        <w:tc>
          <w:tcPr>
            <w:tcW w:w="870" w:type="pct"/>
            <w:tcBorders>
              <w:top w:val="single" w:color="000000" w:sz="4" w:space="0"/>
              <w:left w:val="single" w:color="000000" w:sz="4" w:space="0"/>
              <w:bottom w:val="single" w:color="000000" w:sz="4" w:space="0"/>
              <w:right w:val="single" w:color="000000" w:sz="4" w:space="0"/>
            </w:tcBorders>
            <w:vAlign w:val="center"/>
          </w:tcPr>
          <w:p w14:paraId="4C1425AD">
            <w:pPr>
              <w:pStyle w:val="32"/>
              <w:spacing w:before="192" w:line="221" w:lineRule="auto"/>
              <w:ind w:left="55"/>
              <w:jc w:val="center"/>
            </w:pPr>
            <w:r>
              <w:rPr>
                <w:spacing w:val="-4"/>
              </w:rPr>
              <w:t>≤300套</w:t>
            </w:r>
          </w:p>
        </w:tc>
        <w:tc>
          <w:tcPr>
            <w:tcW w:w="451" w:type="pct"/>
            <w:tcBorders>
              <w:top w:val="single" w:color="000000" w:sz="4" w:space="0"/>
              <w:left w:val="single" w:color="000000" w:sz="4" w:space="0"/>
              <w:bottom w:val="single" w:color="000000" w:sz="4" w:space="0"/>
              <w:right w:val="single" w:color="000000" w:sz="4" w:space="0"/>
            </w:tcBorders>
            <w:vAlign w:val="center"/>
          </w:tcPr>
          <w:p w14:paraId="046E201E">
            <w:pPr>
              <w:pStyle w:val="32"/>
              <w:spacing w:before="192" w:line="221" w:lineRule="auto"/>
              <w:jc w:val="center"/>
            </w:pPr>
            <w:r>
              <w:rPr>
                <w:spacing w:val="-2"/>
              </w:rPr>
              <w:t>376套（户）</w:t>
            </w:r>
          </w:p>
        </w:tc>
        <w:tc>
          <w:tcPr>
            <w:tcW w:w="563" w:type="pct"/>
            <w:tcBorders>
              <w:top w:val="single" w:color="000000" w:sz="4" w:space="0"/>
              <w:left w:val="single" w:color="000000" w:sz="4" w:space="0"/>
              <w:bottom w:val="single" w:color="000000" w:sz="4" w:space="0"/>
            </w:tcBorders>
            <w:vAlign w:val="center"/>
          </w:tcPr>
          <w:p w14:paraId="27922D76">
            <w:pPr>
              <w:rPr>
                <w:rFonts w:ascii="Arial"/>
                <w:sz w:val="21"/>
              </w:rPr>
            </w:pPr>
          </w:p>
        </w:tc>
      </w:tr>
      <w:tr w14:paraId="4913A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 w:hRule="atLeast"/>
          <w:jc w:val="center"/>
        </w:trPr>
        <w:tc>
          <w:tcPr>
            <w:tcW w:w="589" w:type="pct"/>
            <w:vMerge w:val="continue"/>
            <w:tcBorders>
              <w:top w:val="single" w:color="000000" w:sz="4" w:space="0"/>
              <w:bottom w:val="single" w:color="000000" w:sz="4" w:space="0"/>
              <w:right w:val="single" w:color="000000" w:sz="4" w:space="0"/>
            </w:tcBorders>
            <w:vAlign w:val="center"/>
          </w:tcPr>
          <w:p w14:paraId="5CC4824C">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2526D554">
            <w:pPr>
              <w:rPr>
                <w:rFonts w:ascii="Arial"/>
                <w:sz w:val="21"/>
              </w:rPr>
            </w:pPr>
          </w:p>
        </w:tc>
        <w:tc>
          <w:tcPr>
            <w:tcW w:w="445" w:type="pct"/>
            <w:vMerge w:val="continue"/>
            <w:tcBorders>
              <w:top w:val="single" w:color="000000" w:sz="4" w:space="0"/>
              <w:left w:val="single" w:color="000000" w:sz="4" w:space="0"/>
              <w:bottom w:val="single" w:color="000000" w:sz="4" w:space="0"/>
              <w:right w:val="single" w:color="000000" w:sz="4" w:space="0"/>
            </w:tcBorders>
            <w:vAlign w:val="center"/>
          </w:tcPr>
          <w:p w14:paraId="1C47A6A9">
            <w:pPr>
              <w:rPr>
                <w:rFonts w:ascii="Arial"/>
                <w:sz w:val="21"/>
              </w:rPr>
            </w:pPr>
          </w:p>
        </w:tc>
        <w:tc>
          <w:tcPr>
            <w:tcW w:w="328" w:type="pct"/>
            <w:tcBorders>
              <w:top w:val="single" w:color="000000" w:sz="4" w:space="0"/>
              <w:left w:val="single" w:color="000000" w:sz="4" w:space="0"/>
              <w:bottom w:val="single" w:color="000000" w:sz="4" w:space="0"/>
              <w:right w:val="single" w:color="000000" w:sz="4" w:space="0"/>
            </w:tcBorders>
            <w:vAlign w:val="center"/>
          </w:tcPr>
          <w:p w14:paraId="5446DD52">
            <w:pPr>
              <w:pStyle w:val="32"/>
              <w:spacing w:before="171" w:line="221" w:lineRule="auto"/>
              <w:jc w:val="center"/>
            </w:pPr>
            <w:r>
              <w:rPr>
                <w:spacing w:val="-3"/>
              </w:rPr>
              <w:t>指标2：</w:t>
            </w:r>
          </w:p>
        </w:tc>
        <w:tc>
          <w:tcPr>
            <w:tcW w:w="1281" w:type="pct"/>
            <w:tcBorders>
              <w:top w:val="single" w:color="000000" w:sz="4" w:space="0"/>
              <w:left w:val="single" w:color="000000" w:sz="4" w:space="0"/>
              <w:bottom w:val="single" w:color="000000" w:sz="4" w:space="0"/>
              <w:right w:val="single" w:color="000000" w:sz="4" w:space="0"/>
            </w:tcBorders>
            <w:vAlign w:val="center"/>
          </w:tcPr>
          <w:p w14:paraId="509EC666">
            <w:pPr>
              <w:pStyle w:val="32"/>
              <w:spacing w:before="58" w:line="219" w:lineRule="auto"/>
              <w:ind w:right="100"/>
              <w:jc w:val="both"/>
            </w:pPr>
            <w:r>
              <w:rPr>
                <w:spacing w:val="-1"/>
              </w:rPr>
              <w:t>2023年度“双随机一公</w:t>
            </w:r>
            <w:r>
              <w:rPr>
                <w:spacing w:val="-6"/>
              </w:rPr>
              <w:t>开</w:t>
            </w:r>
            <w:r>
              <w:rPr>
                <w:spacing w:val="-63"/>
              </w:rPr>
              <w:t xml:space="preserve"> </w:t>
            </w:r>
            <w:r>
              <w:rPr>
                <w:spacing w:val="-6"/>
              </w:rPr>
              <w:t>”联合抽查</w:t>
            </w:r>
          </w:p>
        </w:tc>
        <w:tc>
          <w:tcPr>
            <w:tcW w:w="870" w:type="pct"/>
            <w:tcBorders>
              <w:top w:val="single" w:color="000000" w:sz="4" w:space="0"/>
              <w:left w:val="single" w:color="000000" w:sz="4" w:space="0"/>
              <w:bottom w:val="single" w:color="000000" w:sz="4" w:space="0"/>
              <w:right w:val="single" w:color="000000" w:sz="4" w:space="0"/>
            </w:tcBorders>
            <w:vAlign w:val="center"/>
          </w:tcPr>
          <w:p w14:paraId="52B91C4B">
            <w:pPr>
              <w:pStyle w:val="32"/>
              <w:spacing w:before="171" w:line="221" w:lineRule="auto"/>
              <w:ind w:left="60"/>
              <w:jc w:val="center"/>
            </w:pPr>
            <w:r>
              <w:rPr>
                <w:spacing w:val="-6"/>
              </w:rPr>
              <w:t>≥50项</w:t>
            </w:r>
          </w:p>
        </w:tc>
        <w:tc>
          <w:tcPr>
            <w:tcW w:w="451" w:type="pct"/>
            <w:tcBorders>
              <w:top w:val="single" w:color="000000" w:sz="4" w:space="0"/>
              <w:left w:val="single" w:color="000000" w:sz="4" w:space="0"/>
              <w:bottom w:val="single" w:color="000000" w:sz="4" w:space="0"/>
              <w:right w:val="single" w:color="000000" w:sz="4" w:space="0"/>
            </w:tcBorders>
            <w:vAlign w:val="center"/>
          </w:tcPr>
          <w:p w14:paraId="1310D3F8">
            <w:pPr>
              <w:pStyle w:val="32"/>
              <w:spacing w:before="171" w:line="221" w:lineRule="auto"/>
              <w:jc w:val="center"/>
            </w:pPr>
            <w:r>
              <w:rPr>
                <w:spacing w:val="-3"/>
              </w:rPr>
              <w:t>54项</w:t>
            </w:r>
          </w:p>
        </w:tc>
        <w:tc>
          <w:tcPr>
            <w:tcW w:w="563" w:type="pct"/>
            <w:tcBorders>
              <w:top w:val="single" w:color="000000" w:sz="4" w:space="0"/>
              <w:left w:val="single" w:color="000000" w:sz="4" w:space="0"/>
              <w:bottom w:val="single" w:color="000000" w:sz="4" w:space="0"/>
            </w:tcBorders>
            <w:vAlign w:val="center"/>
          </w:tcPr>
          <w:p w14:paraId="177C3958">
            <w:pPr>
              <w:rPr>
                <w:rFonts w:ascii="Arial"/>
                <w:sz w:val="21"/>
              </w:rPr>
            </w:pPr>
          </w:p>
        </w:tc>
      </w:tr>
      <w:tr w14:paraId="6FFE5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 w:hRule="atLeast"/>
          <w:jc w:val="center"/>
        </w:trPr>
        <w:tc>
          <w:tcPr>
            <w:tcW w:w="589" w:type="pct"/>
            <w:vMerge w:val="continue"/>
            <w:tcBorders>
              <w:top w:val="single" w:color="000000" w:sz="4" w:space="0"/>
              <w:bottom w:val="single" w:color="000000" w:sz="4" w:space="0"/>
              <w:right w:val="single" w:color="000000" w:sz="4" w:space="0"/>
            </w:tcBorders>
            <w:vAlign w:val="center"/>
          </w:tcPr>
          <w:p w14:paraId="6D9D240E">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5426C873">
            <w:pPr>
              <w:rPr>
                <w:rFonts w:ascii="Arial"/>
                <w:sz w:val="21"/>
              </w:rPr>
            </w:pPr>
          </w:p>
        </w:tc>
        <w:tc>
          <w:tcPr>
            <w:tcW w:w="445" w:type="pct"/>
            <w:vMerge w:val="continue"/>
            <w:tcBorders>
              <w:top w:val="single" w:color="000000" w:sz="4" w:space="0"/>
              <w:left w:val="single" w:color="000000" w:sz="4" w:space="0"/>
              <w:bottom w:val="single" w:color="000000" w:sz="4" w:space="0"/>
              <w:right w:val="single" w:color="000000" w:sz="4" w:space="0"/>
            </w:tcBorders>
            <w:vAlign w:val="center"/>
          </w:tcPr>
          <w:p w14:paraId="722C9C83">
            <w:pPr>
              <w:rPr>
                <w:rFonts w:ascii="Arial"/>
                <w:sz w:val="21"/>
              </w:rPr>
            </w:pPr>
          </w:p>
        </w:tc>
        <w:tc>
          <w:tcPr>
            <w:tcW w:w="328" w:type="pct"/>
            <w:tcBorders>
              <w:top w:val="single" w:color="000000" w:sz="4" w:space="0"/>
              <w:left w:val="single" w:color="000000" w:sz="4" w:space="0"/>
              <w:bottom w:val="single" w:color="000000" w:sz="4" w:space="0"/>
              <w:right w:val="single" w:color="000000" w:sz="4" w:space="0"/>
            </w:tcBorders>
            <w:vAlign w:val="center"/>
          </w:tcPr>
          <w:p w14:paraId="36695D84">
            <w:pPr>
              <w:pStyle w:val="32"/>
              <w:spacing w:before="121" w:line="221" w:lineRule="auto"/>
              <w:jc w:val="center"/>
            </w:pPr>
            <w:r>
              <w:rPr>
                <w:spacing w:val="-3"/>
              </w:rPr>
              <w:t>指标3：</w:t>
            </w:r>
          </w:p>
        </w:tc>
        <w:tc>
          <w:tcPr>
            <w:tcW w:w="1281" w:type="pct"/>
            <w:tcBorders>
              <w:top w:val="single" w:color="000000" w:sz="4" w:space="0"/>
              <w:left w:val="single" w:color="000000" w:sz="4" w:space="0"/>
              <w:bottom w:val="single" w:color="000000" w:sz="4" w:space="0"/>
              <w:right w:val="single" w:color="000000" w:sz="4" w:space="0"/>
            </w:tcBorders>
            <w:vAlign w:val="center"/>
          </w:tcPr>
          <w:p w14:paraId="39D68F20">
            <w:pPr>
              <w:pStyle w:val="32"/>
              <w:spacing w:before="122" w:line="220" w:lineRule="auto"/>
            </w:pPr>
            <w:r>
              <w:rPr>
                <w:spacing w:val="-1"/>
              </w:rPr>
              <w:t>开展各类专项检查</w:t>
            </w:r>
          </w:p>
        </w:tc>
        <w:tc>
          <w:tcPr>
            <w:tcW w:w="870" w:type="pct"/>
            <w:tcBorders>
              <w:top w:val="single" w:color="000000" w:sz="4" w:space="0"/>
              <w:left w:val="single" w:color="000000" w:sz="4" w:space="0"/>
              <w:bottom w:val="single" w:color="000000" w:sz="4" w:space="0"/>
              <w:right w:val="single" w:color="000000" w:sz="4" w:space="0"/>
            </w:tcBorders>
            <w:vAlign w:val="center"/>
          </w:tcPr>
          <w:p w14:paraId="1E21E133">
            <w:pPr>
              <w:pStyle w:val="32"/>
              <w:spacing w:before="121" w:line="221" w:lineRule="auto"/>
              <w:ind w:left="60"/>
              <w:jc w:val="center"/>
            </w:pPr>
            <w:r>
              <w:rPr>
                <w:spacing w:val="-5"/>
              </w:rPr>
              <w:t>≥300家</w:t>
            </w:r>
          </w:p>
        </w:tc>
        <w:tc>
          <w:tcPr>
            <w:tcW w:w="451" w:type="pct"/>
            <w:tcBorders>
              <w:top w:val="single" w:color="000000" w:sz="4" w:space="0"/>
              <w:left w:val="single" w:color="000000" w:sz="4" w:space="0"/>
              <w:bottom w:val="single" w:color="000000" w:sz="4" w:space="0"/>
              <w:right w:val="single" w:color="000000" w:sz="4" w:space="0"/>
            </w:tcBorders>
            <w:vAlign w:val="center"/>
          </w:tcPr>
          <w:p w14:paraId="3FE84B12">
            <w:pPr>
              <w:pStyle w:val="32"/>
              <w:spacing w:before="121" w:line="221" w:lineRule="auto"/>
              <w:jc w:val="center"/>
            </w:pPr>
            <w:r>
              <w:rPr>
                <w:spacing w:val="-2"/>
              </w:rPr>
              <w:t>334家</w:t>
            </w:r>
          </w:p>
        </w:tc>
        <w:tc>
          <w:tcPr>
            <w:tcW w:w="563" w:type="pct"/>
            <w:tcBorders>
              <w:top w:val="single" w:color="000000" w:sz="4" w:space="0"/>
              <w:left w:val="single" w:color="000000" w:sz="4" w:space="0"/>
              <w:bottom w:val="single" w:color="000000" w:sz="4" w:space="0"/>
            </w:tcBorders>
            <w:vAlign w:val="center"/>
          </w:tcPr>
          <w:p w14:paraId="2FCE172D">
            <w:pPr>
              <w:rPr>
                <w:rFonts w:ascii="Arial"/>
                <w:sz w:val="21"/>
              </w:rPr>
            </w:pPr>
          </w:p>
        </w:tc>
      </w:tr>
      <w:tr w14:paraId="6701B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8" w:hRule="atLeast"/>
          <w:jc w:val="center"/>
        </w:trPr>
        <w:tc>
          <w:tcPr>
            <w:tcW w:w="589" w:type="pct"/>
            <w:vMerge w:val="continue"/>
            <w:tcBorders>
              <w:top w:val="single" w:color="000000" w:sz="4" w:space="0"/>
              <w:bottom w:val="single" w:color="000000" w:sz="4" w:space="0"/>
              <w:right w:val="single" w:color="000000" w:sz="4" w:space="0"/>
            </w:tcBorders>
            <w:vAlign w:val="center"/>
          </w:tcPr>
          <w:p w14:paraId="4FBBE775">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384DA523">
            <w:pPr>
              <w:rPr>
                <w:rFonts w:ascii="Arial"/>
                <w:sz w:val="21"/>
              </w:rPr>
            </w:pPr>
          </w:p>
        </w:tc>
        <w:tc>
          <w:tcPr>
            <w:tcW w:w="445" w:type="pct"/>
            <w:vMerge w:val="continue"/>
            <w:tcBorders>
              <w:top w:val="single" w:color="000000" w:sz="4" w:space="0"/>
              <w:left w:val="single" w:color="000000" w:sz="4" w:space="0"/>
              <w:bottom w:val="single" w:color="000000" w:sz="4" w:space="0"/>
              <w:right w:val="single" w:color="000000" w:sz="4" w:space="0"/>
            </w:tcBorders>
            <w:vAlign w:val="center"/>
          </w:tcPr>
          <w:p w14:paraId="5D88DBBC">
            <w:pPr>
              <w:rPr>
                <w:rFonts w:ascii="Arial"/>
                <w:sz w:val="21"/>
              </w:rPr>
            </w:pPr>
          </w:p>
        </w:tc>
        <w:tc>
          <w:tcPr>
            <w:tcW w:w="328" w:type="pct"/>
            <w:tcBorders>
              <w:top w:val="single" w:color="000000" w:sz="4" w:space="0"/>
              <w:left w:val="single" w:color="000000" w:sz="4" w:space="0"/>
              <w:bottom w:val="single" w:color="000000" w:sz="4" w:space="0"/>
              <w:right w:val="single" w:color="000000" w:sz="4" w:space="0"/>
            </w:tcBorders>
            <w:vAlign w:val="center"/>
          </w:tcPr>
          <w:p w14:paraId="6B170CEF">
            <w:pPr>
              <w:pStyle w:val="32"/>
              <w:spacing w:before="109" w:line="221" w:lineRule="auto"/>
              <w:jc w:val="center"/>
            </w:pPr>
            <w:r>
              <w:rPr>
                <w:spacing w:val="-3"/>
              </w:rPr>
              <w:t>指标4：</w:t>
            </w:r>
          </w:p>
        </w:tc>
        <w:tc>
          <w:tcPr>
            <w:tcW w:w="1281" w:type="pct"/>
            <w:tcBorders>
              <w:top w:val="single" w:color="000000" w:sz="4" w:space="0"/>
              <w:left w:val="single" w:color="000000" w:sz="4" w:space="0"/>
              <w:bottom w:val="single" w:color="000000" w:sz="4" w:space="0"/>
              <w:right w:val="single" w:color="000000" w:sz="4" w:space="0"/>
            </w:tcBorders>
            <w:vAlign w:val="center"/>
          </w:tcPr>
          <w:p w14:paraId="43490274">
            <w:pPr>
              <w:pStyle w:val="32"/>
              <w:spacing w:before="110" w:line="220" w:lineRule="auto"/>
            </w:pPr>
            <w:r>
              <w:rPr>
                <w:spacing w:val="-2"/>
              </w:rPr>
              <w:t>新增专利授权</w:t>
            </w:r>
          </w:p>
        </w:tc>
        <w:tc>
          <w:tcPr>
            <w:tcW w:w="870" w:type="pct"/>
            <w:tcBorders>
              <w:top w:val="single" w:color="000000" w:sz="4" w:space="0"/>
              <w:left w:val="single" w:color="000000" w:sz="4" w:space="0"/>
              <w:bottom w:val="single" w:color="000000" w:sz="4" w:space="0"/>
              <w:right w:val="single" w:color="000000" w:sz="4" w:space="0"/>
            </w:tcBorders>
            <w:vAlign w:val="center"/>
          </w:tcPr>
          <w:p w14:paraId="4F3154EB">
            <w:pPr>
              <w:pStyle w:val="32"/>
              <w:spacing w:before="110" w:line="220" w:lineRule="auto"/>
              <w:ind w:left="46"/>
              <w:jc w:val="center"/>
            </w:pPr>
            <w:r>
              <w:rPr>
                <w:spacing w:val="-6"/>
              </w:rPr>
              <w:t>5件</w:t>
            </w:r>
          </w:p>
        </w:tc>
        <w:tc>
          <w:tcPr>
            <w:tcW w:w="451" w:type="pct"/>
            <w:tcBorders>
              <w:top w:val="single" w:color="000000" w:sz="4" w:space="0"/>
              <w:left w:val="single" w:color="000000" w:sz="4" w:space="0"/>
              <w:bottom w:val="single" w:color="000000" w:sz="4" w:space="0"/>
              <w:right w:val="single" w:color="000000" w:sz="4" w:space="0"/>
            </w:tcBorders>
            <w:vAlign w:val="center"/>
          </w:tcPr>
          <w:p w14:paraId="26E92E81">
            <w:pPr>
              <w:pStyle w:val="32"/>
              <w:spacing w:before="110" w:line="220" w:lineRule="auto"/>
              <w:jc w:val="center"/>
            </w:pPr>
            <w:r>
              <w:rPr>
                <w:spacing w:val="-2"/>
              </w:rPr>
              <w:t>41件</w:t>
            </w:r>
          </w:p>
        </w:tc>
        <w:tc>
          <w:tcPr>
            <w:tcW w:w="563" w:type="pct"/>
            <w:tcBorders>
              <w:top w:val="single" w:color="000000" w:sz="4" w:space="0"/>
              <w:left w:val="single" w:color="000000" w:sz="4" w:space="0"/>
              <w:bottom w:val="single" w:color="000000" w:sz="4" w:space="0"/>
            </w:tcBorders>
            <w:vAlign w:val="center"/>
          </w:tcPr>
          <w:p w14:paraId="0AD16447">
            <w:pPr>
              <w:rPr>
                <w:rFonts w:ascii="Arial"/>
                <w:sz w:val="21"/>
              </w:rPr>
            </w:pPr>
          </w:p>
        </w:tc>
      </w:tr>
      <w:tr w14:paraId="71480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jc w:val="center"/>
        </w:trPr>
        <w:tc>
          <w:tcPr>
            <w:tcW w:w="589" w:type="pct"/>
            <w:vMerge w:val="continue"/>
            <w:tcBorders>
              <w:top w:val="single" w:color="000000" w:sz="4" w:space="0"/>
              <w:bottom w:val="single" w:color="000000" w:sz="4" w:space="0"/>
              <w:right w:val="single" w:color="000000" w:sz="4" w:space="0"/>
            </w:tcBorders>
            <w:vAlign w:val="center"/>
          </w:tcPr>
          <w:p w14:paraId="6AF166CF">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46454546">
            <w:pPr>
              <w:rPr>
                <w:rFonts w:ascii="Arial"/>
                <w:sz w:val="21"/>
              </w:rPr>
            </w:pPr>
          </w:p>
        </w:tc>
        <w:tc>
          <w:tcPr>
            <w:tcW w:w="445" w:type="pct"/>
            <w:vMerge w:val="continue"/>
            <w:tcBorders>
              <w:top w:val="single" w:color="000000" w:sz="4" w:space="0"/>
              <w:left w:val="single" w:color="000000" w:sz="4" w:space="0"/>
              <w:bottom w:val="single" w:color="000000" w:sz="4" w:space="0"/>
              <w:right w:val="single" w:color="000000" w:sz="4" w:space="0"/>
            </w:tcBorders>
            <w:vAlign w:val="center"/>
          </w:tcPr>
          <w:p w14:paraId="2222462A">
            <w:pPr>
              <w:rPr>
                <w:rFonts w:ascii="Arial"/>
                <w:sz w:val="21"/>
              </w:rPr>
            </w:pPr>
          </w:p>
        </w:tc>
        <w:tc>
          <w:tcPr>
            <w:tcW w:w="328" w:type="pct"/>
            <w:tcBorders>
              <w:top w:val="single" w:color="000000" w:sz="4" w:space="0"/>
              <w:left w:val="single" w:color="000000" w:sz="4" w:space="0"/>
              <w:bottom w:val="single" w:color="000000" w:sz="4" w:space="0"/>
              <w:right w:val="single" w:color="000000" w:sz="4" w:space="0"/>
            </w:tcBorders>
            <w:vAlign w:val="center"/>
          </w:tcPr>
          <w:p w14:paraId="3951CC53">
            <w:pPr>
              <w:pStyle w:val="32"/>
              <w:spacing w:before="122" w:line="221" w:lineRule="auto"/>
              <w:jc w:val="center"/>
            </w:pPr>
            <w:r>
              <w:rPr>
                <w:spacing w:val="-3"/>
              </w:rPr>
              <w:t>指标5：</w:t>
            </w:r>
          </w:p>
        </w:tc>
        <w:tc>
          <w:tcPr>
            <w:tcW w:w="1281" w:type="pct"/>
            <w:tcBorders>
              <w:top w:val="single" w:color="000000" w:sz="4" w:space="0"/>
              <w:left w:val="single" w:color="000000" w:sz="4" w:space="0"/>
              <w:bottom w:val="single" w:color="000000" w:sz="4" w:space="0"/>
              <w:right w:val="single" w:color="000000" w:sz="4" w:space="0"/>
            </w:tcBorders>
            <w:vAlign w:val="center"/>
          </w:tcPr>
          <w:p w14:paraId="52125A73">
            <w:pPr>
              <w:pStyle w:val="32"/>
              <w:spacing w:before="123" w:line="220" w:lineRule="auto"/>
            </w:pPr>
            <w:r>
              <w:rPr>
                <w:spacing w:val="-1"/>
              </w:rPr>
              <w:t>新增有效注册商标件</w:t>
            </w:r>
          </w:p>
        </w:tc>
        <w:tc>
          <w:tcPr>
            <w:tcW w:w="870" w:type="pct"/>
            <w:tcBorders>
              <w:top w:val="single" w:color="000000" w:sz="4" w:space="0"/>
              <w:left w:val="single" w:color="000000" w:sz="4" w:space="0"/>
              <w:bottom w:val="single" w:color="000000" w:sz="4" w:space="0"/>
              <w:right w:val="single" w:color="000000" w:sz="4" w:space="0"/>
            </w:tcBorders>
            <w:vAlign w:val="center"/>
          </w:tcPr>
          <w:p w14:paraId="17BDE1FF">
            <w:pPr>
              <w:pStyle w:val="32"/>
              <w:spacing w:before="123" w:line="220" w:lineRule="auto"/>
              <w:ind w:left="60"/>
              <w:jc w:val="center"/>
            </w:pPr>
            <w:r>
              <w:rPr>
                <w:spacing w:val="-6"/>
              </w:rPr>
              <w:t>≥20件</w:t>
            </w:r>
          </w:p>
        </w:tc>
        <w:tc>
          <w:tcPr>
            <w:tcW w:w="451" w:type="pct"/>
            <w:tcBorders>
              <w:top w:val="single" w:color="000000" w:sz="4" w:space="0"/>
              <w:left w:val="single" w:color="000000" w:sz="4" w:space="0"/>
              <w:bottom w:val="single" w:color="000000" w:sz="4" w:space="0"/>
              <w:right w:val="single" w:color="000000" w:sz="4" w:space="0"/>
            </w:tcBorders>
            <w:vAlign w:val="center"/>
          </w:tcPr>
          <w:p w14:paraId="15AD03D2">
            <w:pPr>
              <w:pStyle w:val="32"/>
              <w:spacing w:before="123" w:line="220" w:lineRule="auto"/>
              <w:jc w:val="center"/>
            </w:pPr>
            <w:r>
              <w:rPr>
                <w:spacing w:val="-2"/>
              </w:rPr>
              <w:t>87件</w:t>
            </w:r>
          </w:p>
        </w:tc>
        <w:tc>
          <w:tcPr>
            <w:tcW w:w="563" w:type="pct"/>
            <w:tcBorders>
              <w:top w:val="single" w:color="000000" w:sz="4" w:space="0"/>
              <w:left w:val="single" w:color="000000" w:sz="4" w:space="0"/>
              <w:bottom w:val="single" w:color="000000" w:sz="4" w:space="0"/>
            </w:tcBorders>
            <w:vAlign w:val="center"/>
          </w:tcPr>
          <w:p w14:paraId="29B7AAEA">
            <w:pPr>
              <w:rPr>
                <w:rFonts w:ascii="Arial"/>
                <w:sz w:val="21"/>
              </w:rPr>
            </w:pPr>
          </w:p>
        </w:tc>
      </w:tr>
      <w:tr w14:paraId="6BAC5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589" w:type="pct"/>
            <w:vMerge w:val="continue"/>
            <w:tcBorders>
              <w:top w:val="single" w:color="000000" w:sz="4" w:space="0"/>
              <w:bottom w:val="single" w:color="000000" w:sz="4" w:space="0"/>
              <w:right w:val="single" w:color="000000" w:sz="4" w:space="0"/>
            </w:tcBorders>
            <w:vAlign w:val="center"/>
          </w:tcPr>
          <w:p w14:paraId="0A09BAD9">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275B21F1">
            <w:pPr>
              <w:rPr>
                <w:rFonts w:ascii="Arial"/>
                <w:sz w:val="21"/>
              </w:rPr>
            </w:pPr>
          </w:p>
        </w:tc>
        <w:tc>
          <w:tcPr>
            <w:tcW w:w="445" w:type="pct"/>
            <w:tcBorders>
              <w:top w:val="single" w:color="000000" w:sz="4" w:space="0"/>
              <w:left w:val="single" w:color="000000" w:sz="4" w:space="0"/>
              <w:bottom w:val="single" w:color="000000" w:sz="4" w:space="0"/>
              <w:right w:val="single" w:color="000000" w:sz="4" w:space="0"/>
            </w:tcBorders>
            <w:vAlign w:val="center"/>
          </w:tcPr>
          <w:p w14:paraId="340BB988">
            <w:pPr>
              <w:pStyle w:val="32"/>
              <w:spacing w:before="185" w:line="221" w:lineRule="auto"/>
              <w:ind w:left="207"/>
            </w:pPr>
            <w:r>
              <w:rPr>
                <w:spacing w:val="-2"/>
              </w:rPr>
              <w:t>质量指标</w:t>
            </w:r>
          </w:p>
        </w:tc>
        <w:tc>
          <w:tcPr>
            <w:tcW w:w="328" w:type="pct"/>
            <w:tcBorders>
              <w:top w:val="single" w:color="000000" w:sz="4" w:space="0"/>
              <w:left w:val="single" w:color="000000" w:sz="4" w:space="0"/>
              <w:bottom w:val="single" w:color="000000" w:sz="4" w:space="0"/>
              <w:right w:val="single" w:color="000000" w:sz="4" w:space="0"/>
            </w:tcBorders>
            <w:vAlign w:val="center"/>
          </w:tcPr>
          <w:p w14:paraId="5AC98448">
            <w:pPr>
              <w:pStyle w:val="32"/>
              <w:spacing w:before="185" w:line="221" w:lineRule="auto"/>
              <w:jc w:val="center"/>
            </w:pPr>
            <w:r>
              <w:rPr>
                <w:spacing w:val="-3"/>
              </w:rPr>
              <w:t>指标1：</w:t>
            </w:r>
          </w:p>
        </w:tc>
        <w:tc>
          <w:tcPr>
            <w:tcW w:w="1281" w:type="pct"/>
            <w:tcBorders>
              <w:top w:val="single" w:color="000000" w:sz="4" w:space="0"/>
              <w:left w:val="single" w:color="000000" w:sz="4" w:space="0"/>
              <w:bottom w:val="single" w:color="000000" w:sz="4" w:space="0"/>
              <w:right w:val="single" w:color="000000" w:sz="4" w:space="0"/>
            </w:tcBorders>
            <w:vAlign w:val="center"/>
          </w:tcPr>
          <w:p w14:paraId="2B91E612">
            <w:pPr>
              <w:pStyle w:val="32"/>
              <w:spacing w:before="73" w:line="224" w:lineRule="auto"/>
              <w:ind w:right="163"/>
            </w:pPr>
            <w:r>
              <w:rPr>
                <w:spacing w:val="-1"/>
              </w:rPr>
              <w:t>优化营商环境服务率</w:t>
            </w:r>
            <w:r>
              <w:rPr>
                <w:spacing w:val="1"/>
              </w:rPr>
              <w:t xml:space="preserve"> </w:t>
            </w:r>
            <w:r>
              <w:rPr>
                <w:spacing w:val="-4"/>
              </w:rPr>
              <w:t>（服务数/应服务数）</w:t>
            </w:r>
          </w:p>
        </w:tc>
        <w:tc>
          <w:tcPr>
            <w:tcW w:w="870" w:type="pct"/>
            <w:tcBorders>
              <w:top w:val="single" w:color="000000" w:sz="4" w:space="0"/>
              <w:left w:val="single" w:color="000000" w:sz="4" w:space="0"/>
              <w:bottom w:val="single" w:color="000000" w:sz="4" w:space="0"/>
              <w:right w:val="single" w:color="000000" w:sz="4" w:space="0"/>
            </w:tcBorders>
            <w:vAlign w:val="center"/>
          </w:tcPr>
          <w:p w14:paraId="1C8BD879">
            <w:pPr>
              <w:pStyle w:val="32"/>
              <w:spacing w:before="186" w:line="238" w:lineRule="auto"/>
              <w:ind w:left="60"/>
              <w:jc w:val="center"/>
            </w:pPr>
            <w:r>
              <w:rPr>
                <w:spacing w:val="-6"/>
              </w:rPr>
              <w:t>≥90%</w:t>
            </w:r>
          </w:p>
        </w:tc>
        <w:tc>
          <w:tcPr>
            <w:tcW w:w="451" w:type="pct"/>
            <w:tcBorders>
              <w:top w:val="single" w:color="000000" w:sz="4" w:space="0"/>
              <w:left w:val="single" w:color="000000" w:sz="4" w:space="0"/>
              <w:bottom w:val="single" w:color="000000" w:sz="4" w:space="0"/>
              <w:right w:val="single" w:color="000000" w:sz="4" w:space="0"/>
            </w:tcBorders>
            <w:vAlign w:val="center"/>
          </w:tcPr>
          <w:p w14:paraId="3C3AADA4">
            <w:pPr>
              <w:pStyle w:val="32"/>
              <w:spacing w:before="186" w:line="238" w:lineRule="auto"/>
              <w:ind w:left="62"/>
              <w:jc w:val="center"/>
            </w:pPr>
            <w:r>
              <w:rPr>
                <w:spacing w:val="-6"/>
              </w:rPr>
              <w:t>≥90%</w:t>
            </w:r>
          </w:p>
        </w:tc>
        <w:tc>
          <w:tcPr>
            <w:tcW w:w="563" w:type="pct"/>
            <w:tcBorders>
              <w:top w:val="single" w:color="000000" w:sz="4" w:space="0"/>
              <w:left w:val="single" w:color="000000" w:sz="4" w:space="0"/>
              <w:bottom w:val="single" w:color="000000" w:sz="4" w:space="0"/>
            </w:tcBorders>
            <w:vAlign w:val="center"/>
          </w:tcPr>
          <w:p w14:paraId="3666B23D">
            <w:pPr>
              <w:rPr>
                <w:rFonts w:ascii="Arial"/>
                <w:sz w:val="21"/>
              </w:rPr>
            </w:pPr>
          </w:p>
        </w:tc>
      </w:tr>
      <w:tr w14:paraId="51D1D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77" w:hRule="atLeast"/>
          <w:jc w:val="center"/>
        </w:trPr>
        <w:tc>
          <w:tcPr>
            <w:tcW w:w="589" w:type="pct"/>
            <w:vMerge w:val="continue"/>
            <w:tcBorders>
              <w:top w:val="single" w:color="000000" w:sz="4" w:space="0"/>
              <w:bottom w:val="single" w:color="000000" w:sz="4" w:space="0"/>
              <w:right w:val="single" w:color="000000" w:sz="4" w:space="0"/>
            </w:tcBorders>
            <w:vAlign w:val="center"/>
          </w:tcPr>
          <w:p w14:paraId="22D8EECC">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1898E671">
            <w:pPr>
              <w:rPr>
                <w:rFonts w:ascii="Arial"/>
                <w:sz w:val="21"/>
              </w:rPr>
            </w:pPr>
          </w:p>
        </w:tc>
        <w:tc>
          <w:tcPr>
            <w:tcW w:w="445" w:type="pct"/>
            <w:tcBorders>
              <w:top w:val="single" w:color="000000" w:sz="4" w:space="0"/>
              <w:left w:val="single" w:color="000000" w:sz="4" w:space="0"/>
              <w:bottom w:val="single" w:color="000000" w:sz="4" w:space="0"/>
              <w:right w:val="single" w:color="000000" w:sz="4" w:space="0"/>
            </w:tcBorders>
            <w:vAlign w:val="center"/>
          </w:tcPr>
          <w:p w14:paraId="505C6672">
            <w:pPr>
              <w:pStyle w:val="32"/>
              <w:spacing w:before="63" w:line="209" w:lineRule="auto"/>
              <w:ind w:left="215"/>
            </w:pPr>
            <w:r>
              <w:rPr>
                <w:spacing w:val="-4"/>
              </w:rPr>
              <w:t>时效指标</w:t>
            </w:r>
          </w:p>
        </w:tc>
        <w:tc>
          <w:tcPr>
            <w:tcW w:w="328" w:type="pct"/>
            <w:tcBorders>
              <w:top w:val="single" w:color="000000" w:sz="4" w:space="0"/>
              <w:left w:val="single" w:color="000000" w:sz="4" w:space="0"/>
              <w:bottom w:val="single" w:color="000000" w:sz="4" w:space="0"/>
              <w:right w:val="single" w:color="000000" w:sz="4" w:space="0"/>
            </w:tcBorders>
            <w:vAlign w:val="center"/>
          </w:tcPr>
          <w:p w14:paraId="4BFF8259">
            <w:pPr>
              <w:pStyle w:val="32"/>
              <w:spacing w:before="63" w:line="209" w:lineRule="auto"/>
              <w:jc w:val="center"/>
            </w:pPr>
            <w:r>
              <w:rPr>
                <w:spacing w:val="-3"/>
              </w:rPr>
              <w:t>指标1：</w:t>
            </w:r>
          </w:p>
        </w:tc>
        <w:tc>
          <w:tcPr>
            <w:tcW w:w="1281" w:type="pct"/>
            <w:tcBorders>
              <w:top w:val="single" w:color="000000" w:sz="4" w:space="0"/>
              <w:left w:val="single" w:color="000000" w:sz="4" w:space="0"/>
              <w:bottom w:val="single" w:color="000000" w:sz="4" w:space="0"/>
              <w:right w:val="single" w:color="000000" w:sz="4" w:space="0"/>
            </w:tcBorders>
            <w:vAlign w:val="center"/>
          </w:tcPr>
          <w:p w14:paraId="2DE1CC4D">
            <w:pPr>
              <w:pStyle w:val="32"/>
              <w:spacing w:before="63" w:line="209" w:lineRule="auto"/>
            </w:pPr>
            <w:r>
              <w:rPr>
                <w:spacing w:val="-1"/>
              </w:rPr>
              <w:t>完成年度目标任务时限</w:t>
            </w:r>
          </w:p>
        </w:tc>
        <w:tc>
          <w:tcPr>
            <w:tcW w:w="870" w:type="pct"/>
            <w:tcBorders>
              <w:top w:val="single" w:color="000000" w:sz="4" w:space="0"/>
              <w:left w:val="single" w:color="000000" w:sz="4" w:space="0"/>
              <w:bottom w:val="single" w:color="000000" w:sz="4" w:space="0"/>
              <w:right w:val="single" w:color="000000" w:sz="4" w:space="0"/>
            </w:tcBorders>
            <w:vAlign w:val="center"/>
          </w:tcPr>
          <w:p w14:paraId="07227197">
            <w:pPr>
              <w:pStyle w:val="32"/>
              <w:spacing w:before="63" w:line="209" w:lineRule="auto"/>
              <w:ind w:left="55"/>
              <w:jc w:val="center"/>
            </w:pPr>
            <w:r>
              <w:rPr>
                <w:spacing w:val="-7"/>
              </w:rPr>
              <w:t>≤1年</w:t>
            </w:r>
          </w:p>
        </w:tc>
        <w:tc>
          <w:tcPr>
            <w:tcW w:w="451" w:type="pct"/>
            <w:tcBorders>
              <w:top w:val="single" w:color="000000" w:sz="4" w:space="0"/>
              <w:left w:val="single" w:color="000000" w:sz="4" w:space="0"/>
              <w:bottom w:val="single" w:color="000000" w:sz="4" w:space="0"/>
              <w:right w:val="single" w:color="000000" w:sz="4" w:space="0"/>
            </w:tcBorders>
            <w:vAlign w:val="center"/>
          </w:tcPr>
          <w:p w14:paraId="2F1D8075">
            <w:pPr>
              <w:pStyle w:val="32"/>
              <w:spacing w:before="63" w:line="209" w:lineRule="auto"/>
              <w:ind w:left="57"/>
              <w:jc w:val="center"/>
            </w:pPr>
            <w:r>
              <w:rPr>
                <w:spacing w:val="-11"/>
              </w:rPr>
              <w:t>1年</w:t>
            </w:r>
          </w:p>
        </w:tc>
        <w:tc>
          <w:tcPr>
            <w:tcW w:w="563" w:type="pct"/>
            <w:tcBorders>
              <w:top w:val="single" w:color="000000" w:sz="4" w:space="0"/>
              <w:left w:val="single" w:color="000000" w:sz="4" w:space="0"/>
              <w:bottom w:val="single" w:color="000000" w:sz="4" w:space="0"/>
            </w:tcBorders>
            <w:vAlign w:val="center"/>
          </w:tcPr>
          <w:p w14:paraId="7C7B4600">
            <w:pPr>
              <w:rPr>
                <w:rFonts w:ascii="Arial"/>
                <w:sz w:val="21"/>
              </w:rPr>
            </w:pPr>
          </w:p>
        </w:tc>
      </w:tr>
      <w:tr w14:paraId="7334B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jc w:val="center"/>
        </w:trPr>
        <w:tc>
          <w:tcPr>
            <w:tcW w:w="589" w:type="pct"/>
            <w:vMerge w:val="continue"/>
            <w:tcBorders>
              <w:top w:val="single" w:color="000000" w:sz="4" w:space="0"/>
              <w:bottom w:val="single" w:color="000000" w:sz="4" w:space="0"/>
              <w:right w:val="single" w:color="000000" w:sz="4" w:space="0"/>
            </w:tcBorders>
            <w:vAlign w:val="center"/>
          </w:tcPr>
          <w:p w14:paraId="56DCC2F9">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0F2F59F5">
            <w:pPr>
              <w:rPr>
                <w:rFonts w:ascii="Arial"/>
                <w:sz w:val="21"/>
              </w:rPr>
            </w:pPr>
          </w:p>
        </w:tc>
        <w:tc>
          <w:tcPr>
            <w:tcW w:w="445" w:type="pct"/>
            <w:vMerge w:val="restart"/>
            <w:tcBorders>
              <w:top w:val="single" w:color="000000" w:sz="4" w:space="0"/>
              <w:left w:val="single" w:color="000000" w:sz="4" w:space="0"/>
              <w:bottom w:val="single" w:color="000000" w:sz="4" w:space="0"/>
              <w:right w:val="single" w:color="000000" w:sz="4" w:space="0"/>
            </w:tcBorders>
            <w:vAlign w:val="center"/>
          </w:tcPr>
          <w:p w14:paraId="4B5B7923">
            <w:pPr>
              <w:pStyle w:val="32"/>
              <w:spacing w:before="249" w:line="219" w:lineRule="auto"/>
              <w:ind w:left="208"/>
            </w:pPr>
            <w:r>
              <w:rPr>
                <w:spacing w:val="-3"/>
              </w:rPr>
              <w:t>成本指标</w:t>
            </w:r>
          </w:p>
        </w:tc>
        <w:tc>
          <w:tcPr>
            <w:tcW w:w="328" w:type="pct"/>
            <w:tcBorders>
              <w:top w:val="single" w:color="000000" w:sz="4" w:space="0"/>
              <w:left w:val="single" w:color="000000" w:sz="4" w:space="0"/>
              <w:bottom w:val="single" w:color="000000" w:sz="4" w:space="0"/>
              <w:right w:val="single" w:color="000000" w:sz="4" w:space="0"/>
            </w:tcBorders>
            <w:vAlign w:val="center"/>
          </w:tcPr>
          <w:p w14:paraId="41B0E9F3">
            <w:pPr>
              <w:pStyle w:val="32"/>
              <w:spacing w:before="64" w:line="208" w:lineRule="auto"/>
              <w:jc w:val="center"/>
            </w:pPr>
            <w:r>
              <w:rPr>
                <w:spacing w:val="-3"/>
              </w:rPr>
              <w:t>指标1：</w:t>
            </w:r>
          </w:p>
        </w:tc>
        <w:tc>
          <w:tcPr>
            <w:tcW w:w="1281" w:type="pct"/>
            <w:tcBorders>
              <w:top w:val="single" w:color="000000" w:sz="4" w:space="0"/>
              <w:left w:val="single" w:color="000000" w:sz="4" w:space="0"/>
              <w:bottom w:val="single" w:color="000000" w:sz="4" w:space="0"/>
              <w:right w:val="single" w:color="000000" w:sz="4" w:space="0"/>
            </w:tcBorders>
            <w:vAlign w:val="center"/>
          </w:tcPr>
          <w:p w14:paraId="1EF18493">
            <w:pPr>
              <w:pStyle w:val="32"/>
              <w:spacing w:before="64" w:line="208" w:lineRule="auto"/>
            </w:pPr>
            <w:r>
              <w:rPr>
                <w:spacing w:val="-2"/>
              </w:rPr>
              <w:t>工商行政管理经费</w:t>
            </w:r>
          </w:p>
        </w:tc>
        <w:tc>
          <w:tcPr>
            <w:tcW w:w="870" w:type="pct"/>
            <w:tcBorders>
              <w:top w:val="single" w:color="000000" w:sz="4" w:space="0"/>
              <w:left w:val="single" w:color="000000" w:sz="4" w:space="0"/>
              <w:bottom w:val="single" w:color="000000" w:sz="4" w:space="0"/>
              <w:right w:val="single" w:color="000000" w:sz="4" w:space="0"/>
            </w:tcBorders>
            <w:vAlign w:val="center"/>
          </w:tcPr>
          <w:p w14:paraId="78B6D770">
            <w:pPr>
              <w:pStyle w:val="32"/>
              <w:spacing w:before="64" w:line="208" w:lineRule="auto"/>
              <w:ind w:left="55"/>
              <w:jc w:val="center"/>
            </w:pPr>
            <w:r>
              <w:rPr>
                <w:spacing w:val="-4"/>
              </w:rPr>
              <w:t>≤20万元</w:t>
            </w:r>
          </w:p>
        </w:tc>
        <w:tc>
          <w:tcPr>
            <w:tcW w:w="451" w:type="pct"/>
            <w:tcBorders>
              <w:top w:val="single" w:color="000000" w:sz="4" w:space="0"/>
              <w:left w:val="single" w:color="000000" w:sz="4" w:space="0"/>
              <w:bottom w:val="single" w:color="000000" w:sz="4" w:space="0"/>
              <w:right w:val="single" w:color="000000" w:sz="4" w:space="0"/>
            </w:tcBorders>
            <w:vAlign w:val="center"/>
          </w:tcPr>
          <w:p w14:paraId="78BC6FFC">
            <w:pPr>
              <w:pStyle w:val="32"/>
              <w:spacing w:before="64" w:line="208" w:lineRule="auto"/>
              <w:ind w:left="46"/>
              <w:jc w:val="center"/>
            </w:pPr>
            <w:r>
              <w:rPr>
                <w:spacing w:val="-3"/>
              </w:rPr>
              <w:t>20万元</w:t>
            </w:r>
          </w:p>
        </w:tc>
        <w:tc>
          <w:tcPr>
            <w:tcW w:w="563" w:type="pct"/>
            <w:tcBorders>
              <w:top w:val="single" w:color="000000" w:sz="4" w:space="0"/>
              <w:left w:val="single" w:color="000000" w:sz="4" w:space="0"/>
              <w:bottom w:val="single" w:color="000000" w:sz="4" w:space="0"/>
            </w:tcBorders>
            <w:vAlign w:val="center"/>
          </w:tcPr>
          <w:p w14:paraId="38FEAA33">
            <w:pPr>
              <w:rPr>
                <w:rFonts w:ascii="Arial"/>
                <w:sz w:val="21"/>
              </w:rPr>
            </w:pPr>
          </w:p>
        </w:tc>
      </w:tr>
      <w:tr w14:paraId="7DBDD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 w:hRule="atLeast"/>
          <w:jc w:val="center"/>
        </w:trPr>
        <w:tc>
          <w:tcPr>
            <w:tcW w:w="589" w:type="pct"/>
            <w:vMerge w:val="continue"/>
            <w:tcBorders>
              <w:top w:val="single" w:color="000000" w:sz="4" w:space="0"/>
              <w:bottom w:val="single" w:color="000000" w:sz="4" w:space="0"/>
              <w:right w:val="single" w:color="000000" w:sz="4" w:space="0"/>
            </w:tcBorders>
            <w:vAlign w:val="center"/>
          </w:tcPr>
          <w:p w14:paraId="449272C1">
            <w:pPr>
              <w:rPr>
                <w:rFonts w:ascii="Arial"/>
                <w:sz w:val="21"/>
              </w:rPr>
            </w:pPr>
          </w:p>
        </w:tc>
        <w:tc>
          <w:tcPr>
            <w:tcW w:w="469" w:type="pct"/>
            <w:vMerge w:val="continue"/>
            <w:tcBorders>
              <w:top w:val="single" w:color="000000" w:sz="4" w:space="0"/>
              <w:left w:val="single" w:color="000000" w:sz="4" w:space="0"/>
              <w:bottom w:val="single" w:color="000000" w:sz="4" w:space="0"/>
              <w:right w:val="single" w:color="000000" w:sz="4" w:space="0"/>
            </w:tcBorders>
            <w:vAlign w:val="center"/>
          </w:tcPr>
          <w:p w14:paraId="5E01AE3F">
            <w:pPr>
              <w:rPr>
                <w:rFonts w:ascii="Arial"/>
                <w:sz w:val="21"/>
              </w:rPr>
            </w:pPr>
          </w:p>
        </w:tc>
        <w:tc>
          <w:tcPr>
            <w:tcW w:w="445" w:type="pct"/>
            <w:vMerge w:val="continue"/>
            <w:tcBorders>
              <w:top w:val="single" w:color="000000" w:sz="4" w:space="0"/>
              <w:left w:val="single" w:color="000000" w:sz="4" w:space="0"/>
              <w:bottom w:val="single" w:color="000000" w:sz="4" w:space="0"/>
              <w:right w:val="single" w:color="000000" w:sz="4" w:space="0"/>
            </w:tcBorders>
            <w:vAlign w:val="center"/>
          </w:tcPr>
          <w:p w14:paraId="323F1321">
            <w:pPr>
              <w:rPr>
                <w:rFonts w:ascii="Arial"/>
                <w:sz w:val="21"/>
              </w:rPr>
            </w:pPr>
          </w:p>
        </w:tc>
        <w:tc>
          <w:tcPr>
            <w:tcW w:w="328" w:type="pct"/>
            <w:tcBorders>
              <w:top w:val="single" w:color="000000" w:sz="4" w:space="0"/>
              <w:left w:val="single" w:color="000000" w:sz="4" w:space="0"/>
              <w:bottom w:val="single" w:color="000000" w:sz="4" w:space="0"/>
              <w:right w:val="single" w:color="000000" w:sz="4" w:space="0"/>
            </w:tcBorders>
            <w:vAlign w:val="center"/>
          </w:tcPr>
          <w:p w14:paraId="4CA01972">
            <w:pPr>
              <w:pStyle w:val="32"/>
              <w:spacing w:before="102" w:line="221" w:lineRule="auto"/>
              <w:jc w:val="center"/>
            </w:pPr>
            <w:r>
              <w:rPr>
                <w:spacing w:val="-3"/>
              </w:rPr>
              <w:t>指标2：</w:t>
            </w:r>
          </w:p>
        </w:tc>
        <w:tc>
          <w:tcPr>
            <w:tcW w:w="1281" w:type="pct"/>
            <w:tcBorders>
              <w:top w:val="single" w:color="000000" w:sz="4" w:space="0"/>
              <w:left w:val="single" w:color="000000" w:sz="4" w:space="0"/>
              <w:bottom w:val="single" w:color="000000" w:sz="4" w:space="0"/>
              <w:right w:val="single" w:color="000000" w:sz="4" w:space="0"/>
            </w:tcBorders>
            <w:vAlign w:val="center"/>
          </w:tcPr>
          <w:p w14:paraId="4BD9550D">
            <w:pPr>
              <w:pStyle w:val="32"/>
              <w:spacing w:before="103" w:line="219" w:lineRule="auto"/>
            </w:pPr>
            <w:r>
              <w:rPr>
                <w:spacing w:val="-2"/>
              </w:rPr>
              <w:t>企业印章刻制经费</w:t>
            </w:r>
          </w:p>
        </w:tc>
        <w:tc>
          <w:tcPr>
            <w:tcW w:w="870" w:type="pct"/>
            <w:tcBorders>
              <w:top w:val="single" w:color="000000" w:sz="4" w:space="0"/>
              <w:left w:val="single" w:color="000000" w:sz="4" w:space="0"/>
              <w:bottom w:val="single" w:color="000000" w:sz="4" w:space="0"/>
              <w:right w:val="single" w:color="000000" w:sz="4" w:space="0"/>
            </w:tcBorders>
            <w:vAlign w:val="center"/>
          </w:tcPr>
          <w:p w14:paraId="1116CAD5">
            <w:pPr>
              <w:pStyle w:val="32"/>
              <w:spacing w:before="102" w:line="221" w:lineRule="auto"/>
              <w:ind w:left="55"/>
              <w:jc w:val="center"/>
            </w:pPr>
            <w:r>
              <w:rPr>
                <w:spacing w:val="-4"/>
              </w:rPr>
              <w:t>≤12万元</w:t>
            </w:r>
          </w:p>
        </w:tc>
        <w:tc>
          <w:tcPr>
            <w:tcW w:w="451" w:type="pct"/>
            <w:tcBorders>
              <w:top w:val="single" w:color="000000" w:sz="4" w:space="0"/>
              <w:left w:val="single" w:color="000000" w:sz="4" w:space="0"/>
              <w:bottom w:val="single" w:color="000000" w:sz="4" w:space="0"/>
              <w:right w:val="single" w:color="000000" w:sz="4" w:space="0"/>
            </w:tcBorders>
            <w:vAlign w:val="center"/>
          </w:tcPr>
          <w:p w14:paraId="53C68816">
            <w:pPr>
              <w:pStyle w:val="32"/>
              <w:spacing w:before="102" w:line="221" w:lineRule="auto"/>
              <w:ind w:left="57"/>
              <w:jc w:val="center"/>
            </w:pPr>
            <w:r>
              <w:rPr>
                <w:spacing w:val="-6"/>
              </w:rPr>
              <w:t>12万元</w:t>
            </w:r>
          </w:p>
        </w:tc>
        <w:tc>
          <w:tcPr>
            <w:tcW w:w="563" w:type="pct"/>
            <w:tcBorders>
              <w:top w:val="single" w:color="000000" w:sz="4" w:space="0"/>
              <w:left w:val="single" w:color="000000" w:sz="4" w:space="0"/>
              <w:bottom w:val="single" w:color="000000" w:sz="4" w:space="0"/>
            </w:tcBorders>
            <w:vAlign w:val="center"/>
          </w:tcPr>
          <w:p w14:paraId="39114291">
            <w:pPr>
              <w:rPr>
                <w:rFonts w:ascii="Arial"/>
                <w:sz w:val="21"/>
              </w:rPr>
            </w:pPr>
          </w:p>
        </w:tc>
      </w:tr>
      <w:tr w14:paraId="23CB4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8" w:hRule="atLeast"/>
          <w:jc w:val="center"/>
        </w:trPr>
        <w:tc>
          <w:tcPr>
            <w:tcW w:w="589" w:type="pct"/>
            <w:vMerge w:val="continue"/>
            <w:tcBorders>
              <w:top w:val="single" w:color="000000" w:sz="4" w:space="0"/>
              <w:bottom w:val="single" w:color="000000" w:sz="4" w:space="0"/>
              <w:right w:val="single" w:color="000000" w:sz="4" w:space="0"/>
            </w:tcBorders>
            <w:vAlign w:val="center"/>
          </w:tcPr>
          <w:p w14:paraId="1102A8A4">
            <w:pPr>
              <w:rPr>
                <w:rFonts w:ascii="Arial"/>
                <w:sz w:val="21"/>
              </w:rPr>
            </w:pPr>
          </w:p>
        </w:tc>
        <w:tc>
          <w:tcPr>
            <w:tcW w:w="469" w:type="pct"/>
            <w:tcBorders>
              <w:top w:val="single" w:color="000000" w:sz="4" w:space="0"/>
              <w:left w:val="single" w:color="000000" w:sz="4" w:space="0"/>
              <w:bottom w:val="single" w:color="000000" w:sz="4" w:space="0"/>
              <w:right w:val="single" w:color="000000" w:sz="4" w:space="0"/>
            </w:tcBorders>
            <w:vAlign w:val="center"/>
          </w:tcPr>
          <w:p w14:paraId="792F91D6">
            <w:pPr>
              <w:jc w:val="center"/>
              <w:rPr>
                <w:rFonts w:ascii="Arial"/>
                <w:sz w:val="21"/>
              </w:rPr>
            </w:pPr>
          </w:p>
        </w:tc>
        <w:tc>
          <w:tcPr>
            <w:tcW w:w="445" w:type="pct"/>
            <w:tcBorders>
              <w:top w:val="single" w:color="000000" w:sz="4" w:space="0"/>
              <w:left w:val="single" w:color="000000" w:sz="4" w:space="0"/>
              <w:bottom w:val="single" w:color="000000" w:sz="4" w:space="0"/>
              <w:right w:val="single" w:color="000000" w:sz="4" w:space="0"/>
            </w:tcBorders>
            <w:vAlign w:val="center"/>
          </w:tcPr>
          <w:p w14:paraId="70206051">
            <w:pPr>
              <w:pStyle w:val="32"/>
              <w:spacing w:before="58" w:line="226" w:lineRule="auto"/>
              <w:ind w:right="98"/>
              <w:jc w:val="center"/>
            </w:pPr>
            <w:r>
              <w:rPr>
                <w:spacing w:val="-2"/>
              </w:rPr>
              <w:t>可持续影响</w:t>
            </w:r>
            <w:r>
              <w:rPr>
                <w:spacing w:val="-5"/>
              </w:rPr>
              <w:t>指标</w:t>
            </w:r>
          </w:p>
        </w:tc>
        <w:tc>
          <w:tcPr>
            <w:tcW w:w="328" w:type="pct"/>
            <w:tcBorders>
              <w:top w:val="single" w:color="000000" w:sz="4" w:space="0"/>
              <w:left w:val="single" w:color="000000" w:sz="4" w:space="0"/>
              <w:bottom w:val="single" w:color="000000" w:sz="4" w:space="0"/>
              <w:right w:val="single" w:color="000000" w:sz="4" w:space="0"/>
            </w:tcBorders>
            <w:vAlign w:val="center"/>
          </w:tcPr>
          <w:p w14:paraId="01F0FEF5">
            <w:pPr>
              <w:pStyle w:val="32"/>
              <w:spacing w:before="59" w:line="221" w:lineRule="auto"/>
              <w:jc w:val="center"/>
            </w:pPr>
            <w:r>
              <w:rPr>
                <w:spacing w:val="-3"/>
              </w:rPr>
              <w:t>指标1：</w:t>
            </w:r>
          </w:p>
        </w:tc>
        <w:tc>
          <w:tcPr>
            <w:tcW w:w="1281" w:type="pct"/>
            <w:tcBorders>
              <w:top w:val="single" w:color="000000" w:sz="4" w:space="0"/>
              <w:left w:val="single" w:color="000000" w:sz="4" w:space="0"/>
              <w:bottom w:val="single" w:color="000000" w:sz="4" w:space="0"/>
              <w:right w:val="single" w:color="000000" w:sz="4" w:space="0"/>
            </w:tcBorders>
            <w:vAlign w:val="center"/>
          </w:tcPr>
          <w:p w14:paraId="2859FDA9">
            <w:pPr>
              <w:pStyle w:val="32"/>
              <w:spacing w:before="58" w:line="226" w:lineRule="auto"/>
              <w:ind w:right="100"/>
            </w:pPr>
            <w:r>
              <w:rPr>
                <w:spacing w:val="-1"/>
              </w:rPr>
              <w:t>优化营商环境服务，提升企业生产经营环境</w:t>
            </w:r>
          </w:p>
        </w:tc>
        <w:tc>
          <w:tcPr>
            <w:tcW w:w="870" w:type="pct"/>
            <w:tcBorders>
              <w:top w:val="single" w:color="000000" w:sz="4" w:space="0"/>
              <w:left w:val="single" w:color="000000" w:sz="4" w:space="0"/>
              <w:bottom w:val="single" w:color="000000" w:sz="4" w:space="0"/>
              <w:right w:val="single" w:color="000000" w:sz="4" w:space="0"/>
            </w:tcBorders>
            <w:vAlign w:val="center"/>
          </w:tcPr>
          <w:p w14:paraId="199F3136">
            <w:pPr>
              <w:pStyle w:val="32"/>
              <w:spacing w:before="89" w:line="229" w:lineRule="auto"/>
              <w:ind w:left="41" w:right="62"/>
              <w:jc w:val="center"/>
            </w:pPr>
            <w:r>
              <w:rPr>
                <w:spacing w:val="-1"/>
              </w:rPr>
              <w:t>优良中差为100</w:t>
            </w:r>
            <w:r>
              <w:rPr>
                <w:spacing w:val="-2"/>
              </w:rPr>
              <w:t>个以上企业服务</w:t>
            </w:r>
            <w:r>
              <w:rPr>
                <w:spacing w:val="-1"/>
              </w:rPr>
              <w:t>为优</w:t>
            </w:r>
            <w:r>
              <w:rPr>
                <w:rFonts w:hint="eastAsia"/>
                <w:spacing w:val="-1"/>
                <w:lang w:eastAsia="zh-CN"/>
              </w:rPr>
              <w:t>，</w:t>
            </w:r>
            <w:r>
              <w:rPr>
                <w:spacing w:val="-1"/>
              </w:rPr>
              <w:t>80-100个为良，70-80个为中，70个以下</w:t>
            </w:r>
            <w:r>
              <w:rPr>
                <w:spacing w:val="-3"/>
              </w:rPr>
              <w:t>为差。</w:t>
            </w:r>
          </w:p>
        </w:tc>
        <w:tc>
          <w:tcPr>
            <w:tcW w:w="451" w:type="pct"/>
            <w:tcBorders>
              <w:top w:val="single" w:color="000000" w:sz="4" w:space="0"/>
              <w:left w:val="single" w:color="000000" w:sz="4" w:space="0"/>
              <w:bottom w:val="single" w:color="000000" w:sz="4" w:space="0"/>
              <w:right w:val="single" w:color="000000" w:sz="4" w:space="0"/>
            </w:tcBorders>
            <w:vAlign w:val="center"/>
          </w:tcPr>
          <w:p w14:paraId="59C8A068">
            <w:pPr>
              <w:pStyle w:val="32"/>
              <w:spacing w:before="59" w:line="220" w:lineRule="auto"/>
              <w:jc w:val="center"/>
            </w:pPr>
            <w:r>
              <w:t>优</w:t>
            </w:r>
          </w:p>
        </w:tc>
        <w:tc>
          <w:tcPr>
            <w:tcW w:w="563" w:type="pct"/>
            <w:tcBorders>
              <w:top w:val="single" w:color="000000" w:sz="4" w:space="0"/>
              <w:left w:val="single" w:color="000000" w:sz="4" w:space="0"/>
              <w:bottom w:val="single" w:color="000000" w:sz="4" w:space="0"/>
            </w:tcBorders>
            <w:vAlign w:val="center"/>
          </w:tcPr>
          <w:p w14:paraId="2F40DF21">
            <w:pPr>
              <w:rPr>
                <w:rFonts w:ascii="Arial"/>
                <w:sz w:val="21"/>
              </w:rPr>
            </w:pPr>
          </w:p>
        </w:tc>
      </w:tr>
      <w:tr w14:paraId="45164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jc w:val="center"/>
        </w:trPr>
        <w:tc>
          <w:tcPr>
            <w:tcW w:w="589" w:type="pct"/>
            <w:vMerge w:val="continue"/>
            <w:tcBorders>
              <w:top w:val="single" w:color="000000" w:sz="4" w:space="0"/>
              <w:bottom w:val="single" w:color="000000" w:sz="6" w:space="0"/>
              <w:right w:val="single" w:color="000000" w:sz="4" w:space="0"/>
            </w:tcBorders>
            <w:vAlign w:val="center"/>
          </w:tcPr>
          <w:p w14:paraId="77935200">
            <w:pPr>
              <w:rPr>
                <w:rFonts w:ascii="Arial"/>
                <w:sz w:val="21"/>
              </w:rPr>
            </w:pPr>
          </w:p>
        </w:tc>
        <w:tc>
          <w:tcPr>
            <w:tcW w:w="469" w:type="pct"/>
            <w:tcBorders>
              <w:top w:val="single" w:color="000000" w:sz="4" w:space="0"/>
              <w:left w:val="single" w:color="000000" w:sz="4" w:space="0"/>
              <w:bottom w:val="single" w:color="000000" w:sz="6" w:space="0"/>
              <w:right w:val="single" w:color="000000" w:sz="4" w:space="0"/>
            </w:tcBorders>
            <w:vAlign w:val="center"/>
          </w:tcPr>
          <w:p w14:paraId="5D05A382">
            <w:pPr>
              <w:jc w:val="center"/>
              <w:rPr>
                <w:rFonts w:ascii="Arial"/>
                <w:sz w:val="21"/>
              </w:rPr>
            </w:pPr>
            <w:r>
              <w:rPr>
                <w:rFonts w:hint="eastAsia" w:ascii="宋体" w:hAnsi="宋体" w:eastAsia="宋体" w:cs="宋体"/>
                <w:spacing w:val="-2"/>
                <w:sz w:val="18"/>
                <w:szCs w:val="18"/>
                <w:lang w:val="en-US" w:eastAsia="en-US" w:bidi="ar-SA"/>
              </w:rPr>
              <w:t>满意度指标</w:t>
            </w:r>
          </w:p>
        </w:tc>
        <w:tc>
          <w:tcPr>
            <w:tcW w:w="445" w:type="pct"/>
            <w:tcBorders>
              <w:top w:val="single" w:color="000000" w:sz="4" w:space="0"/>
              <w:left w:val="single" w:color="000000" w:sz="4" w:space="0"/>
              <w:bottom w:val="single" w:color="000000" w:sz="6" w:space="0"/>
              <w:right w:val="single" w:color="000000" w:sz="4" w:space="0"/>
            </w:tcBorders>
            <w:vAlign w:val="center"/>
          </w:tcPr>
          <w:p w14:paraId="4B708B66">
            <w:pPr>
              <w:pStyle w:val="32"/>
              <w:spacing w:before="58" w:line="226" w:lineRule="auto"/>
              <w:ind w:right="98"/>
              <w:jc w:val="center"/>
              <w:rPr>
                <w:spacing w:val="-2"/>
              </w:rPr>
            </w:pPr>
            <w:r>
              <w:rPr>
                <w:rFonts w:ascii="宋体" w:hAnsi="宋体" w:eastAsia="宋体" w:cs="宋体"/>
                <w:spacing w:val="-5"/>
              </w:rPr>
              <w:t>服务对象满意度指标</w:t>
            </w:r>
          </w:p>
        </w:tc>
        <w:tc>
          <w:tcPr>
            <w:tcW w:w="328" w:type="pct"/>
            <w:tcBorders>
              <w:top w:val="single" w:color="000000" w:sz="4" w:space="0"/>
              <w:left w:val="single" w:color="000000" w:sz="4" w:space="0"/>
              <w:bottom w:val="single" w:color="000000" w:sz="6" w:space="0"/>
              <w:right w:val="single" w:color="000000" w:sz="4" w:space="0"/>
            </w:tcBorders>
            <w:vAlign w:val="center"/>
          </w:tcPr>
          <w:p w14:paraId="4B4EBE94">
            <w:pPr>
              <w:pStyle w:val="32"/>
              <w:spacing w:before="59" w:line="221" w:lineRule="auto"/>
              <w:rPr>
                <w:spacing w:val="-3"/>
              </w:rPr>
            </w:pPr>
            <w:r>
              <w:rPr>
                <w:spacing w:val="-2"/>
              </w:rPr>
              <w:t>指标1：</w:t>
            </w:r>
          </w:p>
        </w:tc>
        <w:tc>
          <w:tcPr>
            <w:tcW w:w="1281" w:type="pct"/>
            <w:tcBorders>
              <w:top w:val="single" w:color="000000" w:sz="4" w:space="0"/>
              <w:left w:val="single" w:color="000000" w:sz="4" w:space="0"/>
              <w:bottom w:val="single" w:color="000000" w:sz="6" w:space="0"/>
              <w:right w:val="single" w:color="000000" w:sz="4" w:space="0"/>
            </w:tcBorders>
            <w:vAlign w:val="center"/>
          </w:tcPr>
          <w:p w14:paraId="1330CC64">
            <w:pPr>
              <w:pStyle w:val="32"/>
              <w:spacing w:before="58" w:line="226" w:lineRule="auto"/>
              <w:ind w:right="100"/>
              <w:rPr>
                <w:spacing w:val="-1"/>
              </w:rPr>
            </w:pPr>
            <w:r>
              <w:rPr>
                <w:spacing w:val="-2"/>
              </w:rPr>
              <w:t>监管服务对象满意度</w:t>
            </w:r>
          </w:p>
        </w:tc>
        <w:tc>
          <w:tcPr>
            <w:tcW w:w="870" w:type="pct"/>
            <w:tcBorders>
              <w:top w:val="single" w:color="000000" w:sz="4" w:space="0"/>
              <w:left w:val="single" w:color="000000" w:sz="4" w:space="0"/>
              <w:bottom w:val="single" w:color="000000" w:sz="6" w:space="0"/>
              <w:right w:val="single" w:color="000000" w:sz="4" w:space="0"/>
            </w:tcBorders>
            <w:vAlign w:val="center"/>
          </w:tcPr>
          <w:p w14:paraId="726A342B">
            <w:pPr>
              <w:pStyle w:val="32"/>
              <w:spacing w:before="89" w:line="229" w:lineRule="auto"/>
              <w:ind w:left="41" w:right="62"/>
              <w:jc w:val="center"/>
              <w:rPr>
                <w:spacing w:val="-1"/>
              </w:rPr>
            </w:pPr>
            <w:r>
              <w:rPr>
                <w:spacing w:val="-6"/>
              </w:rPr>
              <w:t>≥95%</w:t>
            </w:r>
          </w:p>
        </w:tc>
        <w:tc>
          <w:tcPr>
            <w:tcW w:w="451" w:type="pct"/>
            <w:tcBorders>
              <w:top w:val="single" w:color="000000" w:sz="4" w:space="0"/>
              <w:left w:val="single" w:color="000000" w:sz="4" w:space="0"/>
              <w:bottom w:val="single" w:color="000000" w:sz="6" w:space="0"/>
              <w:right w:val="single" w:color="000000" w:sz="4" w:space="0"/>
            </w:tcBorders>
            <w:vAlign w:val="center"/>
          </w:tcPr>
          <w:p w14:paraId="524FD39E">
            <w:pPr>
              <w:pStyle w:val="32"/>
              <w:spacing w:before="59" w:line="220" w:lineRule="auto"/>
              <w:jc w:val="center"/>
            </w:pPr>
            <w:r>
              <w:rPr>
                <w:spacing w:val="-6"/>
              </w:rPr>
              <w:t>≥95%</w:t>
            </w:r>
          </w:p>
        </w:tc>
        <w:tc>
          <w:tcPr>
            <w:tcW w:w="563" w:type="pct"/>
            <w:tcBorders>
              <w:top w:val="single" w:color="000000" w:sz="4" w:space="0"/>
              <w:left w:val="single" w:color="000000" w:sz="4" w:space="0"/>
              <w:bottom w:val="single" w:color="000000" w:sz="6" w:space="0"/>
            </w:tcBorders>
            <w:vAlign w:val="center"/>
          </w:tcPr>
          <w:p w14:paraId="5B77870D">
            <w:pPr>
              <w:rPr>
                <w:rFonts w:ascii="Arial"/>
                <w:sz w:val="21"/>
              </w:rPr>
            </w:pPr>
          </w:p>
        </w:tc>
      </w:tr>
    </w:tbl>
    <w:p w14:paraId="1A1B9334">
      <w:pPr>
        <w:pStyle w:val="2"/>
        <w:kinsoku/>
        <w:wordWrap/>
        <w:autoSpaceDE w:val="0"/>
        <w:autoSpaceDN w:val="0"/>
        <w:bidi w:val="0"/>
        <w:adjustRightInd w:val="0"/>
        <w:spacing w:before="72" w:afterLines="0" w:line="576" w:lineRule="exact"/>
        <w:textAlignment w:val="auto"/>
        <w:rPr>
          <w:rFonts w:hint="eastAsia"/>
          <w:sz w:val="30"/>
          <w:szCs w:val="24"/>
        </w:rPr>
        <w:sectPr>
          <w:pgSz w:w="12240" w:h="15840"/>
          <w:pgMar w:top="2098" w:right="1474" w:bottom="1984" w:left="1587" w:header="720" w:footer="720" w:gutter="0"/>
          <w:pgBorders>
            <w:top w:val="none" w:sz="0" w:space="0"/>
            <w:left w:val="none" w:sz="0" w:space="0"/>
            <w:bottom w:val="none" w:sz="0" w:space="0"/>
            <w:right w:val="none" w:sz="0" w:space="0"/>
          </w:pgBorders>
          <w:lnNumType w:countBy="0" w:distance="360"/>
          <w:pgNumType w:fmt="decimal"/>
          <w:cols w:space="0" w:num="1"/>
          <w:rtlGutter w:val="0"/>
          <w:docGrid w:linePitch="0" w:charSpace="0"/>
        </w:sectPr>
      </w:pPr>
    </w:p>
    <w:p w14:paraId="716E3DE8">
      <w:pPr>
        <w:keepNext/>
        <w:keepLines/>
        <w:pageBreakBefore/>
        <w:widowControl w:val="0"/>
        <w:kinsoku/>
        <w:wordWrap/>
        <w:overflowPunct/>
        <w:topLinePunct w:val="0"/>
        <w:autoSpaceDE w:val="0"/>
        <w:autoSpaceDN w:val="0"/>
        <w:bidi w:val="0"/>
        <w:adjustRightInd w:val="0"/>
        <w:snapToGrid/>
        <w:spacing w:beforeLines="0" w:afterLines="0" w:line="576" w:lineRule="exact"/>
        <w:jc w:val="both"/>
        <w:textAlignment w:val="auto"/>
        <w:outlineLvl w:val="2"/>
        <w:rPr>
          <w:rFonts w:hint="eastAsia" w:ascii="仿宋_GB2312" w:hAnsi="仿宋_GB2312" w:eastAsia="仿宋_GB2312"/>
          <w:kern w:val="2"/>
          <w:sz w:val="32"/>
          <w:szCs w:val="24"/>
        </w:rPr>
      </w:pPr>
      <w:bookmarkStart w:id="26" w:name="_Toc23302"/>
      <w:r>
        <w:rPr>
          <w:rFonts w:hint="eastAsia" w:ascii="黑体" w:hAnsi="黑体" w:eastAsia="黑体"/>
          <w:kern w:val="2"/>
          <w:sz w:val="32"/>
          <w:szCs w:val="24"/>
        </w:rPr>
        <w:t>附件2</w:t>
      </w:r>
      <w:bookmarkEnd w:id="26"/>
    </w:p>
    <w:p w14:paraId="272C2461">
      <w:pPr>
        <w:keepNext w:val="0"/>
        <w:keepLines w:val="0"/>
        <w:widowControl w:val="0"/>
        <w:suppressLineNumbers w:val="0"/>
        <w:autoSpaceDE w:val="0"/>
        <w:autoSpaceDN/>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广元市昭化区市场监督管理局</w:t>
      </w:r>
    </w:p>
    <w:p w14:paraId="46FD573F">
      <w:pPr>
        <w:keepNext w:val="0"/>
        <w:keepLines w:val="0"/>
        <w:widowControl w:val="0"/>
        <w:suppressLineNumbers w:val="0"/>
        <w:autoSpaceDE w:val="0"/>
        <w:autoSpaceDN/>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2023年度省级药品专项补助资金资金绩效</w:t>
      </w:r>
    </w:p>
    <w:p w14:paraId="4E69EE41">
      <w:pPr>
        <w:keepNext w:val="0"/>
        <w:keepLines w:val="0"/>
        <w:widowControl w:val="0"/>
        <w:suppressLineNumbers w:val="0"/>
        <w:autoSpaceDE w:val="0"/>
        <w:autoSpaceDN/>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自评报告</w:t>
      </w:r>
    </w:p>
    <w:p w14:paraId="09BBD88E">
      <w:pPr>
        <w:pStyle w:val="12"/>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32"/>
          <w:szCs w:val="32"/>
        </w:rPr>
      </w:pPr>
      <w:r>
        <w:rPr>
          <w:rFonts w:hint="eastAsia" w:ascii="Calibri" w:hAnsi="Calibri" w:eastAsia="宋体" w:cs="Times New Roman"/>
          <w:kern w:val="2"/>
          <w:sz w:val="32"/>
          <w:szCs w:val="32"/>
          <w:lang w:val="en-US" w:eastAsia="zh-CN" w:bidi="ar"/>
        </w:rPr>
        <w:t xml:space="preserve"> </w:t>
      </w:r>
    </w:p>
    <w:p w14:paraId="548B1BDF">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right="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区财政局：</w:t>
      </w:r>
    </w:p>
    <w:p w14:paraId="7BE495C4">
      <w:pPr>
        <w:keepNext w:val="0"/>
        <w:keepLines w:val="0"/>
        <w:pageBreakBefore w:val="0"/>
        <w:widowControl/>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left"/>
        <w:textAlignment w:val="baseline"/>
        <w:rPr>
          <w:rFonts w:hint="default" w:ascii="仿宋_GB2312" w:eastAsia="仿宋_GB2312" w:cs="仿宋_GB2312"/>
          <w:kern w:val="2"/>
          <w:sz w:val="32"/>
          <w:szCs w:val="32"/>
          <w:vertAlign w:val="baseline"/>
        </w:rPr>
      </w:pPr>
      <w:r>
        <w:rPr>
          <w:rFonts w:hint="default" w:ascii="仿宋_GB2312" w:hAnsi="Calibri" w:eastAsia="仿宋_GB2312" w:cs="仿宋_GB2312"/>
          <w:kern w:val="2"/>
          <w:sz w:val="32"/>
          <w:szCs w:val="32"/>
          <w:vertAlign w:val="baseline"/>
          <w:lang w:val="en-US" w:eastAsia="zh-CN" w:bidi="ar"/>
        </w:rPr>
        <w:t>根据《中央食品药品监管补助资金管理实施细则》和《四川省药品监管专项资金管理办法》《四川省省级项目支出绩效管理办法》要求，我局高度重视，精心组织，落实专人，对2023年省级药品专项补助资金项目支出开展了绩效自评工作，现报告如下。</w:t>
      </w:r>
    </w:p>
    <w:p w14:paraId="4E38F9D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72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bidi="ar"/>
        </w:rPr>
        <w:t>一、项目概况</w:t>
      </w:r>
    </w:p>
    <w:p w14:paraId="0DB2018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昭化区区市场监督管理局2023年省级药品专项项目资金总额33.5万元，其中药品监管专项补助资金3.5万元，药品应急资金30万元，批复33.5万元，执行数13.5万元，其中药品补助资金执行数3.5万元，药品应急资金执行数10万元，应急资金到我比较晚，导致2023年为执行完，预计2024年6月份执行到我，药品监管补助资金主要用于支出我区药品监管工作，收到了良好的社会效益，守住了全区人民群众生命健康底线。</w:t>
      </w:r>
    </w:p>
    <w:p w14:paraId="6E7AFCE1">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（一）项目资金申报及批复情况。</w:t>
      </w:r>
      <w:r>
        <w:rPr>
          <w:rFonts w:hint="default" w:ascii="仿宋_GB2312" w:hAnsi="Calibri" w:eastAsia="仿宋_GB2312" w:cs="仿宋_GB2312"/>
          <w:kern w:val="2"/>
          <w:sz w:val="32"/>
          <w:szCs w:val="32"/>
          <w:lang w:val="en-US" w:eastAsia="zh-CN" w:bidi="ar"/>
        </w:rPr>
        <w:t>省级下达我区药品监管专项资金33.5万元，其中广财行</w:t>
      </w:r>
      <w:r>
        <w:rPr>
          <w:rFonts w:hint="eastAsia" w:ascii="宋体" w:hAnsi="宋体" w:eastAsia="宋体" w:cs="宋体"/>
          <w:kern w:val="2"/>
          <w:sz w:val="30"/>
          <w:szCs w:val="30"/>
          <w:lang w:val="en-US" w:eastAsia="zh-CN" w:bidi="ar"/>
        </w:rPr>
        <w:t>〔</w:t>
      </w:r>
      <w:r>
        <w:rPr>
          <w:rFonts w:hint="default" w:ascii="Calibri" w:hAnsi="Calibri" w:eastAsia="宋体" w:cs="Calibri"/>
          <w:kern w:val="2"/>
          <w:sz w:val="30"/>
          <w:szCs w:val="30"/>
          <w:lang w:val="en-US" w:eastAsia="zh-CN" w:bidi="ar"/>
        </w:rPr>
        <w:t>2023</w:t>
      </w:r>
      <w:r>
        <w:rPr>
          <w:rFonts w:hint="eastAsia" w:ascii="宋体" w:hAnsi="宋体" w:eastAsia="宋体" w:cs="宋体"/>
          <w:kern w:val="2"/>
          <w:sz w:val="30"/>
          <w:szCs w:val="30"/>
          <w:lang w:val="en-US" w:eastAsia="zh-CN" w:bidi="ar"/>
        </w:rPr>
        <w:t>〕</w:t>
      </w:r>
      <w:r>
        <w:rPr>
          <w:rFonts w:hint="default" w:ascii="仿宋_GB2312" w:hAnsi="Calibri" w:eastAsia="仿宋_GB2312" w:cs="仿宋_GB2312"/>
          <w:kern w:val="2"/>
          <w:sz w:val="32"/>
          <w:szCs w:val="32"/>
          <w:lang w:val="en-US" w:eastAsia="zh-CN" w:bidi="ar"/>
        </w:rPr>
        <w:t>5号文件下达我局2023年省级药品监管补助资金3.5万元，广财行</w:t>
      </w:r>
      <w:r>
        <w:rPr>
          <w:rFonts w:hint="eastAsia" w:ascii="宋体" w:hAnsi="宋体" w:eastAsia="宋体" w:cs="宋体"/>
          <w:kern w:val="2"/>
          <w:sz w:val="30"/>
          <w:szCs w:val="30"/>
          <w:lang w:val="en-US" w:eastAsia="zh-CN" w:bidi="ar"/>
        </w:rPr>
        <w:t>〔</w:t>
      </w:r>
      <w:r>
        <w:rPr>
          <w:rFonts w:hint="default" w:ascii="Calibri" w:hAnsi="Calibri" w:eastAsia="宋体" w:cs="Calibri"/>
          <w:kern w:val="2"/>
          <w:sz w:val="30"/>
          <w:szCs w:val="30"/>
          <w:lang w:val="en-US" w:eastAsia="zh-CN" w:bidi="ar"/>
        </w:rPr>
        <w:t>2023</w:t>
      </w:r>
      <w:r>
        <w:rPr>
          <w:rFonts w:hint="eastAsia" w:ascii="宋体" w:hAnsi="宋体" w:eastAsia="宋体" w:cs="宋体"/>
          <w:kern w:val="2"/>
          <w:sz w:val="30"/>
          <w:szCs w:val="30"/>
          <w:lang w:val="en-US" w:eastAsia="zh-CN" w:bidi="ar"/>
        </w:rPr>
        <w:t>〕</w:t>
      </w:r>
      <w:r>
        <w:rPr>
          <w:rFonts w:hint="default" w:ascii="仿宋_GB2312" w:hAnsi="Calibri" w:eastAsia="仿宋_GB2312" w:cs="仿宋_GB2312"/>
          <w:kern w:val="2"/>
          <w:sz w:val="32"/>
          <w:szCs w:val="32"/>
          <w:lang w:val="en-US" w:eastAsia="zh-CN" w:bidi="ar"/>
        </w:rPr>
        <w:t>80号下达我局2023年省级药品应急资金30万元。</w:t>
      </w:r>
    </w:p>
    <w:p w14:paraId="61819EEF">
      <w:pPr>
        <w:pStyle w:val="12"/>
        <w:keepNext w:val="0"/>
        <w:keepLines w:val="0"/>
        <w:pageBreakBefore w:val="0"/>
        <w:widowControl/>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left"/>
        <w:rPr>
          <w:rFonts w:hint="default" w:ascii="仿宋_GB2312" w:eastAsia="仿宋_GB2312" w:cs="仿宋_GB2312"/>
          <w:color w:val="0000FF"/>
          <w:kern w:val="0"/>
          <w:sz w:val="32"/>
          <w:szCs w:val="32"/>
        </w:rPr>
      </w:pPr>
      <w:r>
        <w:rPr>
          <w:rFonts w:hint="eastAsia" w:ascii="楷体" w:hAnsi="楷体" w:eastAsia="楷体" w:cs="楷体"/>
          <w:kern w:val="0"/>
          <w:sz w:val="32"/>
          <w:szCs w:val="32"/>
          <w:lang w:val="en-US" w:eastAsia="zh-CN" w:bidi="ar"/>
        </w:rPr>
        <w:t>（二）项目绩效目标。</w:t>
      </w:r>
      <w:r>
        <w:rPr>
          <w:rFonts w:hint="default" w:ascii="仿宋_GB2312" w:hAnsi="Calibri" w:eastAsia="仿宋_GB2312" w:cs="仿宋_GB2312"/>
          <w:kern w:val="0"/>
          <w:sz w:val="32"/>
          <w:szCs w:val="32"/>
          <w:lang w:val="en-US" w:eastAsia="zh-CN" w:bidi="ar"/>
        </w:rPr>
        <w:t xml:space="preserve">根据全年专项工作安排，按照专项资金管理办法和专款专用的原则，利用资金先后开展了药品安全专项整治、医疗器械质量安全专项整治、一号多用化妆品专项整治等专项行动10余次，检查药械化经营使用单位700余家次，查办药械化违法案件61件，。2023年查获的假药系列案被省药监局、省公安厅挂牌督办，入选2023年四川省药品典型案例。开展药械化监督抽检19批次，上报药械化不良反应254例。召开药械化安全监管业务培训会7次，约谈会2次，开展药械化相关法律法规及科普知识宣传8场次。被市局表扬为2023年化妆品不良反应监测优秀集体。                                             </w:t>
      </w:r>
    </w:p>
    <w:p w14:paraId="6D5473C9">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（三）项目资金申报相符性。</w:t>
      </w:r>
      <w:r>
        <w:rPr>
          <w:rFonts w:hint="default" w:ascii="仿宋_GB2312" w:hAnsi="Calibri" w:eastAsia="仿宋_GB2312" w:cs="仿宋_GB2312"/>
          <w:kern w:val="2"/>
          <w:sz w:val="32"/>
          <w:szCs w:val="32"/>
          <w:lang w:val="en-US" w:eastAsia="zh-CN" w:bidi="ar"/>
        </w:rPr>
        <w:t>资金申报完全按照项目实施内容及年度内计划方案实施，资金申报合理，操作性强，可行性高。我局结合资金性质及用途，有预见性、前瞻性地开展工作，对项目实施未产生任何影响。</w:t>
      </w:r>
    </w:p>
    <w:p w14:paraId="0C4979C0">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592"/>
        <w:jc w:val="both"/>
        <w:rPr>
          <w:rFonts w:hint="default" w:ascii="仿宋_GB2312" w:eastAsia="仿宋_GB2312" w:cs="仿宋_GB2312"/>
          <w:kern w:val="2"/>
          <w:sz w:val="32"/>
          <w:szCs w:val="32"/>
        </w:rPr>
      </w:pPr>
      <w:r>
        <w:rPr>
          <w:rFonts w:hint="eastAsia" w:ascii="黑体" w:hAnsi="宋体" w:eastAsia="黑体" w:cs="黑体"/>
          <w:kern w:val="2"/>
          <w:sz w:val="32"/>
          <w:szCs w:val="32"/>
          <w:lang w:val="en-US" w:eastAsia="zh-CN" w:bidi="ar"/>
        </w:rPr>
        <w:t>二、项目实施及管理情况</w:t>
      </w:r>
    </w:p>
    <w:p w14:paraId="539E237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592"/>
        <w:jc w:val="both"/>
        <w:rPr>
          <w:rFonts w:hint="eastAsia" w:ascii="楷体" w:hAnsi="楷体" w:eastAsia="楷体" w:cs="楷体"/>
          <w:kern w:val="2"/>
          <w:sz w:val="32"/>
          <w:szCs w:val="32"/>
        </w:rPr>
      </w:pPr>
      <w:r>
        <w:rPr>
          <w:rFonts w:hint="eastAsia" w:ascii="楷体" w:hAnsi="楷体" w:eastAsia="楷体" w:cs="楷体"/>
          <w:kern w:val="2"/>
          <w:sz w:val="32"/>
          <w:szCs w:val="32"/>
          <w:lang w:val="en-US" w:eastAsia="zh-CN" w:bidi="ar"/>
        </w:rPr>
        <w:t>（一）资金计划、到位及使用情况</w:t>
      </w:r>
    </w:p>
    <w:p w14:paraId="0661CB83">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kern w:val="2"/>
          <w:sz w:val="32"/>
          <w:szCs w:val="32"/>
        </w:rPr>
      </w:pPr>
      <w:r>
        <w:rPr>
          <w:rFonts w:hint="default" w:ascii="仿宋_GB2312" w:hAnsi="Calibri" w:eastAsia="仿宋_GB2312" w:cs="仿宋_GB2312"/>
          <w:b/>
          <w:bCs w:val="0"/>
          <w:kern w:val="2"/>
          <w:sz w:val="32"/>
          <w:szCs w:val="32"/>
          <w:lang w:val="en-US" w:eastAsia="zh-CN" w:bidi="ar"/>
        </w:rPr>
        <w:t>1.项目资金到位情况分析</w:t>
      </w:r>
      <w:r>
        <w:rPr>
          <w:rFonts w:hint="default" w:ascii="仿宋_GB2312" w:hAnsi="Calibri" w:eastAsia="仿宋_GB2312" w:cs="仿宋_GB2312"/>
          <w:b/>
          <w:bCs/>
          <w:kern w:val="2"/>
          <w:sz w:val="32"/>
          <w:szCs w:val="32"/>
          <w:lang w:val="en-US" w:eastAsia="zh-CN" w:bidi="ar"/>
        </w:rPr>
        <w:t>。</w:t>
      </w:r>
      <w:r>
        <w:rPr>
          <w:rFonts w:hint="default" w:ascii="仿宋_GB2312" w:hAnsi="Calibri" w:eastAsia="仿宋_GB2312" w:cs="仿宋_GB2312"/>
          <w:kern w:val="2"/>
          <w:sz w:val="32"/>
          <w:szCs w:val="32"/>
          <w:lang w:val="en-US" w:eastAsia="zh-CN" w:bidi="ar"/>
        </w:rPr>
        <w:t>2023年度区财政局在有效时限内将省级药品专项资金指标下达我局，我局根据资金用途制定了详细的项目实施方案及资金使用计划，确保了专项资金的专款专用。</w:t>
      </w:r>
    </w:p>
    <w:p w14:paraId="23AAE02F">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kern w:val="2"/>
          <w:sz w:val="32"/>
          <w:szCs w:val="32"/>
        </w:rPr>
      </w:pPr>
      <w:r>
        <w:rPr>
          <w:rFonts w:hint="default" w:ascii="仿宋_GB2312" w:hAnsi="Calibri" w:eastAsia="仿宋_GB2312" w:cs="仿宋_GB2312"/>
          <w:b/>
          <w:bCs w:val="0"/>
          <w:kern w:val="2"/>
          <w:sz w:val="32"/>
          <w:szCs w:val="32"/>
          <w:lang w:val="en-US" w:eastAsia="zh-CN" w:bidi="ar"/>
        </w:rPr>
        <w:t>2.项目资金执行情况分析</w:t>
      </w:r>
      <w:r>
        <w:rPr>
          <w:rFonts w:hint="default" w:ascii="仿宋_GB2312" w:hAnsi="Calibri" w:eastAsia="仿宋_GB2312" w:cs="仿宋_GB2312"/>
          <w:b/>
          <w:bCs/>
          <w:kern w:val="2"/>
          <w:sz w:val="32"/>
          <w:szCs w:val="32"/>
          <w:lang w:val="en-US" w:eastAsia="zh-CN" w:bidi="ar"/>
        </w:rPr>
        <w:t>。</w:t>
      </w:r>
      <w:r>
        <w:rPr>
          <w:rFonts w:hint="default" w:ascii="仿宋_GB2312" w:hAnsi="Calibri" w:eastAsia="仿宋_GB2312" w:cs="仿宋_GB2312"/>
          <w:kern w:val="2"/>
          <w:sz w:val="32"/>
          <w:szCs w:val="32"/>
          <w:lang w:val="en-US" w:eastAsia="zh-CN" w:bidi="ar"/>
        </w:rPr>
        <w:t>我局项目资金的实际支出完全符合资金开支范围、标准及支付要求，支付依据合规合法，资金支付与预算相符。</w:t>
      </w:r>
    </w:p>
    <w:p w14:paraId="5CEB358C">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（二）项目财务管理情况</w:t>
      </w:r>
    </w:p>
    <w:p w14:paraId="5A5C88B3">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0"/>
          <w:sz w:val="32"/>
          <w:szCs w:val="32"/>
        </w:rPr>
      </w:pPr>
      <w:r>
        <w:rPr>
          <w:rFonts w:hint="default" w:ascii="仿宋_GB2312" w:hAnsi="Calibri" w:eastAsia="仿宋_GB2312" w:cs="仿宋_GB2312"/>
          <w:kern w:val="0"/>
          <w:sz w:val="32"/>
          <w:szCs w:val="32"/>
          <w:lang w:val="en-US" w:eastAsia="zh-CN" w:bidi="ar"/>
        </w:rPr>
        <w:t>为达到项目资金的最大使用效果，我局按照“统筹兼顾、突出重点、促进发展、专款专用、注重绩效”的原则，制定了专项资金使用实施方案、项目资金管理办法及内控管理制度等，规范了项目资金的核算及账务处理相关内容，进一步强化监督管理，严格按照各项管理办法、制度执行，充分发挥了资金使用效益。</w:t>
      </w:r>
    </w:p>
    <w:p w14:paraId="18302294">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592"/>
        <w:jc w:val="both"/>
        <w:rPr>
          <w:rFonts w:hint="eastAsia" w:ascii="楷体" w:hAnsi="楷体" w:eastAsia="楷体" w:cs="楷体"/>
          <w:kern w:val="2"/>
          <w:sz w:val="32"/>
          <w:szCs w:val="32"/>
        </w:rPr>
      </w:pPr>
      <w:r>
        <w:rPr>
          <w:rFonts w:hint="eastAsia" w:ascii="楷体" w:hAnsi="楷体" w:eastAsia="楷体" w:cs="楷体"/>
          <w:kern w:val="2"/>
          <w:sz w:val="32"/>
          <w:szCs w:val="32"/>
          <w:lang w:val="en-US" w:eastAsia="zh-CN" w:bidi="ar"/>
        </w:rPr>
        <w:t>（三）项目组织实施情况</w:t>
      </w:r>
    </w:p>
    <w:p w14:paraId="1A2C8B4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我局高度重视，成立了以副局长张三元为组长，相关业务人员为成员的领导小组，将责任落实到人头，制定了切实可行的工作实施方案，为专项资金的使用提供了坚强的组织保障。项目资金的使用严格按照程序化、制度化、公开化、透明化实施。使药品专项资金绩效目标，达到了项目预期的各项指标和效果。</w:t>
      </w:r>
    </w:p>
    <w:p w14:paraId="1BCEC154">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592"/>
        <w:jc w:val="both"/>
        <w:rPr>
          <w:rFonts w:hint="default" w:ascii="仿宋_GB2312" w:eastAsia="仿宋_GB2312" w:cs="仿宋_GB2312"/>
          <w:kern w:val="2"/>
          <w:sz w:val="32"/>
          <w:szCs w:val="32"/>
        </w:rPr>
      </w:pPr>
      <w:r>
        <w:rPr>
          <w:rFonts w:hint="eastAsia" w:ascii="黑体" w:hAnsi="宋体" w:eastAsia="黑体" w:cs="黑体"/>
          <w:kern w:val="2"/>
          <w:sz w:val="32"/>
          <w:szCs w:val="32"/>
          <w:lang w:val="en-US" w:eastAsia="zh-CN" w:bidi="ar"/>
        </w:rPr>
        <w:t>三、项目绩效情况</w:t>
      </w:r>
      <w:r>
        <w:rPr>
          <w:rFonts w:hint="default" w:ascii="仿宋_GB2312" w:hAnsi="Calibri" w:eastAsia="仿宋_GB2312" w:cs="仿宋_GB2312"/>
          <w:kern w:val="2"/>
          <w:sz w:val="32"/>
          <w:szCs w:val="32"/>
          <w:lang w:val="en-US" w:eastAsia="zh-CN" w:bidi="ar"/>
        </w:rPr>
        <w:tab/>
      </w:r>
    </w:p>
    <w:p w14:paraId="2A6B239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16" w:firstLineChars="200"/>
        <w:jc w:val="both"/>
        <w:rPr>
          <w:rFonts w:hint="default" w:ascii="仿宋_GB2312" w:eastAsia="仿宋_GB2312" w:cs="仿宋_GB2312"/>
          <w:spacing w:val="-6"/>
          <w:kern w:val="2"/>
          <w:sz w:val="32"/>
          <w:szCs w:val="32"/>
        </w:rPr>
      </w:pPr>
      <w:r>
        <w:rPr>
          <w:rFonts w:hint="eastAsia" w:ascii="楷体" w:hAnsi="楷体" w:eastAsia="楷体" w:cs="楷体"/>
          <w:spacing w:val="-6"/>
          <w:kern w:val="2"/>
          <w:sz w:val="32"/>
          <w:szCs w:val="32"/>
          <w:lang w:val="en-US" w:eastAsia="zh-CN" w:bidi="ar"/>
        </w:rPr>
        <w:t>（三）绩效指标完成情况分析。</w:t>
      </w:r>
      <w:r>
        <w:rPr>
          <w:rFonts w:hint="default" w:ascii="仿宋_GB2312" w:hAnsi="Calibri" w:eastAsia="仿宋_GB2312" w:cs="仿宋_GB2312"/>
          <w:spacing w:val="-6"/>
          <w:kern w:val="2"/>
          <w:sz w:val="32"/>
          <w:szCs w:val="32"/>
          <w:lang w:val="en-US" w:eastAsia="zh-CN" w:bidi="ar"/>
        </w:rPr>
        <w:t>（根据年初绩效指标逐项分析）</w:t>
      </w:r>
    </w:p>
    <w:p w14:paraId="5DFC3035">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b/>
          <w:bCs/>
          <w:kern w:val="2"/>
          <w:sz w:val="32"/>
          <w:szCs w:val="32"/>
        </w:rPr>
      </w:pPr>
      <w:r>
        <w:rPr>
          <w:rFonts w:hint="default" w:ascii="仿宋_GB2312" w:hAnsi="Calibri" w:eastAsia="仿宋_GB2312" w:cs="仿宋_GB2312"/>
          <w:b/>
          <w:bCs/>
          <w:kern w:val="2"/>
          <w:sz w:val="32"/>
          <w:szCs w:val="32"/>
          <w:lang w:val="en-US" w:eastAsia="zh-CN" w:bidi="ar"/>
        </w:rPr>
        <w:t>1.产出指标完成情况分析。</w:t>
      </w:r>
    </w:p>
    <w:p w14:paraId="78A02A7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1）数量指标。开展药品安全专项整治、医疗器械质量安全专项整治、一号多用化妆品专项整治等专项行动10余次，检查药械化经营使用单位700余家次，查办药械化违法案件61件，其中四川省药品典型案例1件。开展药械化监督抽检19批次，上报药械化不良反应254例。召开药械化安全监管业务培训会7次，约谈会2次，开展药械化相关法律法规及科普知识宣传8场次。</w:t>
      </w:r>
    </w:p>
    <w:p w14:paraId="5FCA967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（2）质量指标。指标1：不合格药品处置率:年度指标值：≥100%;实际完成指标值：100%,指标2：培训人员覆盖率:年度指标值：≥100%.实际完成指标值：100%</w:t>
      </w:r>
    </w:p>
    <w:p w14:paraId="546CF54C">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（3）时效指标。截至2024年6月30日，我局严格按照上级要求，按时按质完成各项专项任务。</w:t>
      </w:r>
    </w:p>
    <w:p w14:paraId="2DBA9A1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（4）成本指标。药品安全监管监管工作经费3.5万元，应急资金用了10万元，资金使用率达40.30%。</w:t>
      </w:r>
    </w:p>
    <w:p w14:paraId="437FF582">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b/>
          <w:bCs/>
          <w:kern w:val="2"/>
          <w:sz w:val="32"/>
          <w:szCs w:val="32"/>
        </w:rPr>
      </w:pPr>
      <w:r>
        <w:rPr>
          <w:rFonts w:hint="default" w:ascii="仿宋_GB2312" w:hAnsi="Calibri" w:eastAsia="仿宋_GB2312" w:cs="仿宋_GB2312"/>
          <w:b/>
          <w:bCs/>
          <w:kern w:val="2"/>
          <w:sz w:val="32"/>
          <w:szCs w:val="32"/>
          <w:lang w:val="en-US" w:eastAsia="zh-CN" w:bidi="ar"/>
        </w:rPr>
        <w:t>2.效益指标完成情况分析。</w:t>
      </w:r>
    </w:p>
    <w:p w14:paraId="2205C5ED">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（1）经济效益。通过药品医疗器械化妆品抽检，打击质量不符合标准的药械化产品，净化了药械化市场秩序，让老百姓用更少的钱买到更放心的药品，市场主体药械销售平稳上升，经济收入稳定提高。</w:t>
      </w:r>
    </w:p>
    <w:p w14:paraId="2C1C98CE">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（2）社会效益。通过药械化抽检，净化药械化产品质量安全，保障昭化区人民购进使用到安全可靠的药品医疗器械化妆品。</w:t>
      </w:r>
    </w:p>
    <w:p w14:paraId="1EC92493">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（3）可持续影响。通过抽检发现市场的假劣药品医疗器械，对经营使用假劣药单位进行行政处罚，做到处罚一家震慑一片的效果，确保辖区内药械化经营使用单位合理合法购进储存使用药械化。</w:t>
      </w:r>
    </w:p>
    <w:p w14:paraId="0FEC25B8">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592"/>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bidi="ar"/>
        </w:rPr>
        <w:t>四、问题及建议</w:t>
      </w:r>
    </w:p>
    <w:p w14:paraId="40DE82B2">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（一）风险识别及研判能力有待提升。</w:t>
      </w:r>
      <w:r>
        <w:rPr>
          <w:rFonts w:hint="default" w:ascii="仿宋_GB2312" w:hAnsi="Calibri" w:eastAsia="仿宋_GB2312" w:cs="仿宋_GB2312"/>
          <w:kern w:val="2"/>
          <w:sz w:val="32"/>
          <w:szCs w:val="32"/>
          <w:lang w:val="en-US" w:eastAsia="zh-CN" w:bidi="ar"/>
        </w:rPr>
        <w:t>药械化监管工作深度不足，部分工作难点应对不力，监管手段及经验有限，难以及时发现问题和有效识别风险。</w:t>
      </w:r>
    </w:p>
    <w:p w14:paraId="36348471">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（二）综合监管整体合力有待进一步增强。</w:t>
      </w:r>
      <w:r>
        <w:rPr>
          <w:rFonts w:hint="default" w:ascii="仿宋_GB2312" w:hAnsi="Calibri" w:eastAsia="仿宋_GB2312" w:cs="仿宋_GB2312"/>
          <w:kern w:val="2"/>
          <w:sz w:val="32"/>
          <w:szCs w:val="32"/>
          <w:lang w:val="en-US" w:eastAsia="zh-CN" w:bidi="ar"/>
        </w:rPr>
        <w:t>内部职能融合不够充分，各股室联动协作有待进一步加强；和市局及兄弟县区交流不够，横向及纵向联动机制有待进一步健全；药品执法与刑事司法相衔接还不够紧密，跨部门协作、条块联动还需要进一步强化；</w:t>
      </w:r>
      <w:r>
        <w:rPr>
          <w:rFonts w:hint="default" w:ascii="仿宋_GB2312" w:hAnsi="Calibri" w:eastAsia="仿宋_GB2312" w:cs="仿宋_GB2312"/>
          <w:color w:val="000000"/>
          <w:kern w:val="0"/>
          <w:sz w:val="32"/>
          <w:szCs w:val="32"/>
          <w:lang w:val="en-US" w:eastAsia="zh-CN" w:bidi="ar"/>
        </w:rPr>
        <w:t>乡镇药品安全协管员、村药品安全信息员建设进度滞后。</w:t>
      </w:r>
    </w:p>
    <w:p w14:paraId="73E0904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b/>
          <w:bCs w:val="0"/>
          <w:kern w:val="2"/>
          <w:sz w:val="32"/>
          <w:szCs w:val="32"/>
          <w:shd w:val="clear" w:fill="FFFFFF"/>
        </w:rPr>
      </w:pPr>
      <w:r>
        <w:rPr>
          <w:rFonts w:hint="default" w:ascii="仿宋_GB2312" w:hAnsi="Calibri" w:eastAsia="仿宋_GB2312" w:cs="仿宋_GB2312"/>
          <w:b/>
          <w:bCs w:val="0"/>
          <w:kern w:val="2"/>
          <w:sz w:val="32"/>
          <w:szCs w:val="32"/>
          <w:shd w:val="clear" w:fill="FFFFFF"/>
          <w:lang w:val="en-US" w:eastAsia="zh-CN" w:bidi="ar"/>
        </w:rPr>
        <w:t>下一步改进措施：</w:t>
      </w:r>
    </w:p>
    <w:p w14:paraId="1A017099">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（一）进一步强化药械化安全责任制落实。</w:t>
      </w:r>
      <w:r>
        <w:rPr>
          <w:rFonts w:hint="default" w:ascii="仿宋_GB2312" w:hAnsi="Calibri" w:eastAsia="仿宋_GB2312" w:cs="仿宋_GB2312"/>
          <w:kern w:val="2"/>
          <w:sz w:val="32"/>
          <w:szCs w:val="32"/>
          <w:lang w:val="en-US" w:eastAsia="zh-CN" w:bidi="ar"/>
        </w:rPr>
        <w:t>认真贯彻区委、区政府药械化安全工作部署以及省、市局药械化安全工作考核要求，明确职责，加强协同，增强合力，抓好落实。</w:t>
      </w:r>
    </w:p>
    <w:p w14:paraId="75785363">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（二）持续推进村卫生室药械质量安全检查。</w:t>
      </w:r>
      <w:r>
        <w:rPr>
          <w:rFonts w:hint="default" w:ascii="仿宋_GB2312" w:hAnsi="Calibri" w:eastAsia="仿宋_GB2312" w:cs="仿宋_GB2312"/>
          <w:kern w:val="2"/>
          <w:sz w:val="32"/>
          <w:szCs w:val="32"/>
          <w:lang w:val="en-US" w:eastAsia="zh-CN" w:bidi="ar"/>
        </w:rPr>
        <w:t>进一步加强对村卫生室药品、医疗器械的质量安全监管，建立健全农村药械安全监管长效机制，规范村级诊疗服务行为，保障广大人民群众用药用械安全有效。</w:t>
      </w:r>
    </w:p>
    <w:p w14:paraId="18823613">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（三）强化药械化经营使用单位药械化质量安全检查工作。</w:t>
      </w:r>
      <w:r>
        <w:rPr>
          <w:rFonts w:hint="default" w:ascii="仿宋_GB2312" w:hAnsi="Calibri" w:eastAsia="仿宋_GB2312" w:cs="仿宋_GB2312"/>
          <w:kern w:val="2"/>
          <w:sz w:val="32"/>
          <w:szCs w:val="32"/>
          <w:lang w:val="en-US" w:eastAsia="zh-CN" w:bidi="ar"/>
        </w:rPr>
        <w:t>坚持问题导向，加强药械化质量特别是疫情防控用药械、儿童用化妆品等重点产品质量安全监管，进一步加大风险排查处置力度，不断规范药械化经营使用秩序，确保人民用药用械用化安全。</w:t>
      </w:r>
    </w:p>
    <w:p w14:paraId="7F9ACCE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（四）强化宣教培训。</w:t>
      </w:r>
      <w:r>
        <w:rPr>
          <w:rFonts w:hint="default" w:ascii="仿宋_GB2312" w:hAnsi="Calibri" w:eastAsia="仿宋_GB2312" w:cs="仿宋_GB2312"/>
          <w:kern w:val="2"/>
          <w:sz w:val="32"/>
          <w:szCs w:val="32"/>
          <w:lang w:val="en-US" w:eastAsia="zh-CN" w:bidi="ar"/>
        </w:rPr>
        <w:t>持续开展“两法”宣贯工作，提高企业主体责任意识，引导企业诚信守法、依法依规开展经营活动，切实保障药械化质量安全。同时引导公众不断增强依法维权意识，科学安全用药用械用化，不断巩固药械化安全社会共治格局。</w:t>
      </w:r>
    </w:p>
    <w:p w14:paraId="2141B47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hAnsi="Calibri" w:eastAsia="仿宋_GB2312" w:cs="仿宋_GB2312"/>
          <w:kern w:val="2"/>
          <w:sz w:val="32"/>
          <w:szCs w:val="32"/>
          <w:lang w:val="en-US" w:eastAsia="zh-CN" w:bidi="ar"/>
        </w:rPr>
      </w:pPr>
      <w:r>
        <w:rPr>
          <w:rFonts w:hint="eastAsia" w:ascii="楷体" w:hAnsi="楷体" w:eastAsia="楷体" w:cs="楷体"/>
          <w:kern w:val="2"/>
          <w:sz w:val="32"/>
          <w:szCs w:val="32"/>
          <w:lang w:val="en-US" w:eastAsia="zh-CN" w:bidi="ar"/>
        </w:rPr>
        <w:t>（五）依法查处药械化违法违规案件。</w:t>
      </w:r>
      <w:r>
        <w:rPr>
          <w:rFonts w:hint="default" w:ascii="仿宋_GB2312" w:hAnsi="Calibri" w:eastAsia="仿宋_GB2312" w:cs="仿宋_GB2312"/>
          <w:kern w:val="2"/>
          <w:sz w:val="32"/>
          <w:szCs w:val="32"/>
          <w:lang w:val="en-US" w:eastAsia="zh-CN" w:bidi="ar"/>
        </w:rPr>
        <w:t>继续保持高压态势，严厉打击违法违规及犯罪行为；强化大要案办理，加强部门协作与区域联动，加强稽查执法与日常监管和刑事司法衔接；完善案件督办制度，按时办结案件，及时录入系统并公开信息。</w:t>
      </w:r>
    </w:p>
    <w:p w14:paraId="0F9408FE">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仿宋_GB2312" w:hAnsi="Calibri" w:eastAsia="仿宋_GB2312" w:cs="仿宋_GB2312"/>
          <w:kern w:val="2"/>
          <w:sz w:val="32"/>
          <w:szCs w:val="32"/>
          <w:lang w:val="en-US" w:eastAsia="zh-CN" w:bidi="ar"/>
        </w:rPr>
      </w:pPr>
      <w:r>
        <w:rPr>
          <w:rFonts w:hint="eastAsia" w:ascii="仿宋_GB2312" w:hAnsi="Calibri" w:eastAsia="仿宋_GB2312" w:cs="仿宋_GB2312"/>
          <w:kern w:val="2"/>
          <w:sz w:val="32"/>
          <w:szCs w:val="32"/>
          <w:lang w:val="en-US" w:eastAsia="zh-CN" w:bidi="ar"/>
        </w:rPr>
        <w:br w:type="page"/>
      </w:r>
    </w:p>
    <w:p w14:paraId="2F975F5B">
      <w:pPr>
        <w:keepNext w:val="0"/>
        <w:keepLines w:val="0"/>
        <w:widowControl w:val="0"/>
        <w:suppressLineNumbers w:val="0"/>
        <w:autoSpaceDE w:val="0"/>
        <w:autoSpaceDN/>
        <w:spacing w:before="0" w:beforeAutospacing="0" w:after="0" w:afterAutospacing="0" w:line="576" w:lineRule="exact"/>
        <w:ind w:left="0" w:leftChars="0" w:right="0" w:rightChars="0" w:firstLine="0" w:firstLineChars="0"/>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lang w:val="en-US" w:eastAsia="zh-CN" w:bidi="ar"/>
        </w:rPr>
        <w:t>广元市昭化区市场监督管理局</w:t>
      </w:r>
    </w:p>
    <w:p w14:paraId="756C16BB">
      <w:pPr>
        <w:keepNext w:val="0"/>
        <w:keepLines w:val="0"/>
        <w:widowControl w:val="0"/>
        <w:suppressLineNumbers w:val="0"/>
        <w:autoSpaceDE w:val="0"/>
        <w:autoSpaceDN/>
        <w:snapToGrid w:val="0"/>
        <w:spacing w:before="0" w:beforeAutospacing="0" w:after="0" w:afterAutospacing="0" w:line="576" w:lineRule="exact"/>
        <w:ind w:left="0" w:leftChars="0" w:right="0" w:rightChars="0" w:firstLine="0" w:firstLineChars="0"/>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lang w:val="en-US" w:eastAsia="zh-CN" w:bidi="ar"/>
        </w:rPr>
        <w:t>2023年食品药品医疗器械及化妆品监管项目支出绩效自评报告</w:t>
      </w:r>
    </w:p>
    <w:p w14:paraId="7DE42F81">
      <w:pPr>
        <w:keepNext w:val="0"/>
        <w:keepLines w:val="0"/>
        <w:widowControl w:val="0"/>
        <w:suppressLineNumbers w:val="0"/>
        <w:autoSpaceDE w:val="0"/>
        <w:autoSpaceDN/>
        <w:spacing w:before="0" w:beforeAutospacing="0" w:after="0" w:afterAutospacing="0" w:line="576" w:lineRule="exact"/>
        <w:ind w:left="0" w:leftChars="0" w:right="0" w:rightChars="0" w:firstLine="0" w:firstLineChars="0"/>
        <w:jc w:val="center"/>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 xml:space="preserve"> </w:t>
      </w:r>
    </w:p>
    <w:p w14:paraId="63D9B419">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jc w:val="both"/>
        <w:textAlignment w:val="auto"/>
        <w:rPr>
          <w:rFonts w:hint="default" w:ascii="仿宋_GB2312" w:eastAsia="仿宋_GB2312" w:cs="仿宋_GB2312"/>
          <w:b w:val="0"/>
          <w:bCs w:val="0"/>
          <w:color w:val="000000"/>
          <w:kern w:val="2"/>
          <w:sz w:val="32"/>
          <w:szCs w:val="32"/>
        </w:rPr>
      </w:pPr>
      <w:r>
        <w:rPr>
          <w:rFonts w:hint="default" w:ascii="仿宋_GB2312" w:hAnsi="Times New Roman" w:eastAsia="仿宋_GB2312" w:cs="仿宋_GB2312"/>
          <w:b w:val="0"/>
          <w:bCs w:val="0"/>
          <w:color w:val="000000"/>
          <w:kern w:val="2"/>
          <w:sz w:val="32"/>
          <w:szCs w:val="32"/>
          <w:lang w:val="en-US" w:eastAsia="zh-CN" w:bidi="ar"/>
        </w:rPr>
        <w:t>区财政局：</w:t>
      </w:r>
    </w:p>
    <w:p w14:paraId="0B3D2FC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val="0"/>
          <w:bCs w:val="0"/>
          <w:color w:val="000000"/>
          <w:kern w:val="0"/>
          <w:sz w:val="32"/>
          <w:szCs w:val="32"/>
          <w:lang w:val="en-US" w:eastAsia="zh-CN" w:bidi="ar"/>
        </w:rPr>
        <w:t>为了进一步加强财政支付预算管理，提高财政资金使用效益，根据广元市昭化区财政局《关于开展2024年部门、政策和项目支出绩效评价工作的通知》（昭财发〔2024〕11号文件要求，结合2023年部门预算管理、重点项目实施情况，现将我局食品药品医疗器械及化妆品监管项目支出绩效自评报告如下：</w:t>
      </w:r>
    </w:p>
    <w:p w14:paraId="0306CE3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eastAsia" w:ascii="黑体" w:hAnsi="宋体" w:eastAsia="黑体" w:cs="黑体"/>
          <w:b w:val="0"/>
          <w:bCs w:val="0"/>
          <w:color w:val="000000"/>
          <w:kern w:val="0"/>
          <w:sz w:val="32"/>
          <w:szCs w:val="32"/>
          <w:lang w:val="en-US" w:eastAsia="zh-CN" w:bidi="ar"/>
        </w:rPr>
        <w:t>一、</w:t>
      </w:r>
      <w:r>
        <w:rPr>
          <w:rFonts w:hint="eastAsia" w:ascii="黑体" w:hAnsi="宋体" w:eastAsia="黑体" w:cs="黑体"/>
          <w:kern w:val="2"/>
          <w:sz w:val="32"/>
          <w:szCs w:val="32"/>
          <w:lang w:val="en-US" w:eastAsia="zh-CN" w:bidi="ar"/>
        </w:rPr>
        <w:t>项目概况</w:t>
      </w:r>
    </w:p>
    <w:p w14:paraId="55E6D41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320" w:firstLineChars="100"/>
        <w:jc w:val="both"/>
        <w:textAlignment w:val="auto"/>
        <w:rPr>
          <w:rFonts w:hint="default" w:ascii="仿宋_GB2312" w:eastAsia="仿宋_GB2312" w:cs="仿宋_GB2312"/>
          <w:kern w:val="2"/>
          <w:sz w:val="32"/>
          <w:szCs w:val="32"/>
        </w:rPr>
      </w:pPr>
      <w:r>
        <w:rPr>
          <w:rFonts w:hint="eastAsia" w:ascii="楷体" w:hAnsi="楷体" w:eastAsia="楷体" w:cs="楷体"/>
          <w:b w:val="0"/>
          <w:bCs/>
          <w:kern w:val="2"/>
          <w:sz w:val="32"/>
          <w:szCs w:val="32"/>
          <w:lang w:val="en-US" w:eastAsia="zh-CN" w:bidi="ar"/>
        </w:rPr>
        <w:t>（一）项目资金申报及批复情况。</w:t>
      </w:r>
      <w:r>
        <w:rPr>
          <w:rFonts w:hint="default" w:ascii="仿宋_GB2312" w:hAnsi="Times New Roman" w:eastAsia="仿宋_GB2312" w:cs="仿宋_GB2312"/>
          <w:kern w:val="2"/>
          <w:sz w:val="32"/>
          <w:szCs w:val="32"/>
          <w:lang w:val="en-US" w:eastAsia="zh-CN" w:bidi="ar"/>
        </w:rPr>
        <w:t>2023年区</w:t>
      </w:r>
      <w:r>
        <w:rPr>
          <w:rFonts w:hint="eastAsia" w:ascii="仿宋_GB2312" w:eastAsia="仿宋_GB2312" w:cs="仿宋_GB2312"/>
          <w:kern w:val="2"/>
          <w:sz w:val="32"/>
          <w:szCs w:val="32"/>
          <w:lang w:val="en-US" w:eastAsia="zh-CN" w:bidi="ar"/>
        </w:rPr>
        <w:t>市场监管局</w:t>
      </w:r>
      <w:r>
        <w:rPr>
          <w:rFonts w:hint="default" w:ascii="仿宋_GB2312" w:hAnsi="Times New Roman" w:eastAsia="仿宋_GB2312" w:cs="仿宋_GB2312"/>
          <w:kern w:val="2"/>
          <w:sz w:val="32"/>
          <w:szCs w:val="32"/>
          <w:lang w:val="en-US" w:eastAsia="zh-CN" w:bidi="ar"/>
        </w:rPr>
        <w:t>食品药品医疗器械及化妆品监管为非基建项目，年初申报预算63万元，区财政局批复预算63万元。按照专项资金管理办法</w:t>
      </w:r>
      <w:r>
        <w:rPr>
          <w:rFonts w:hint="default" w:ascii="仿宋_GB2312" w:hAnsi="Times New Roman" w:eastAsia="仿宋_GB2312" w:cs="仿宋_GB2312"/>
          <w:color w:val="000000"/>
          <w:kern w:val="0"/>
          <w:sz w:val="32"/>
          <w:szCs w:val="32"/>
          <w:lang w:val="en-US" w:eastAsia="zh-CN" w:bidi="ar"/>
        </w:rPr>
        <w:t>进行申报和使用，符合专项资金管理办法及相关规定。</w:t>
      </w:r>
    </w:p>
    <w:p w14:paraId="0158444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eastAsia" w:ascii="楷体" w:hAnsi="楷体" w:eastAsia="楷体" w:cs="楷体"/>
          <w:b w:val="0"/>
          <w:bCs/>
          <w:color w:val="7030A0"/>
          <w:kern w:val="2"/>
          <w:sz w:val="32"/>
          <w:szCs w:val="32"/>
        </w:rPr>
      </w:pPr>
      <w:r>
        <w:rPr>
          <w:rFonts w:hint="eastAsia" w:ascii="楷体" w:hAnsi="楷体" w:eastAsia="楷体" w:cs="楷体"/>
          <w:b w:val="0"/>
          <w:bCs/>
          <w:kern w:val="2"/>
          <w:sz w:val="32"/>
          <w:szCs w:val="32"/>
          <w:lang w:val="en-US" w:eastAsia="zh-CN" w:bidi="ar"/>
        </w:rPr>
        <w:t>(二)项目绩效目标。</w:t>
      </w:r>
    </w:p>
    <w:p w14:paraId="79604B80">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（1）开展食品安全示范达标升级，打造特色餐饮10家，</w:t>
      </w:r>
      <w:r>
        <w:rPr>
          <w:rFonts w:hint="default" w:ascii="仿宋_GB2312" w:hAnsi="Times New Roman" w:eastAsia="仿宋_GB2312" w:cs="仿宋_GB2312"/>
          <w:bCs/>
          <w:kern w:val="2"/>
          <w:sz w:val="32"/>
          <w:szCs w:val="32"/>
          <w:lang w:val="en-US" w:eastAsia="zh-CN" w:bidi="ar"/>
        </w:rPr>
        <w:t>餐饮服务单位示范点位10.个，</w:t>
      </w:r>
      <w:r>
        <w:rPr>
          <w:rFonts w:hint="default" w:ascii="仿宋_GB2312" w:hAnsi="Times New Roman" w:eastAsia="仿宋_GB2312" w:cs="仿宋_GB2312"/>
          <w:kern w:val="2"/>
          <w:sz w:val="32"/>
          <w:szCs w:val="32"/>
          <w:lang w:val="en-US" w:eastAsia="zh-CN" w:bidi="ar"/>
        </w:rPr>
        <w:t>培育形象店5家，全面提升精细化管理水平。聚焦植物油、蔬菜制品、大米、肉类食品等食品生产经营突出问题，</w:t>
      </w:r>
      <w:r>
        <w:rPr>
          <w:rFonts w:hint="default" w:ascii="仿宋_GB2312" w:hAnsi="Times New Roman" w:eastAsia="仿宋_GB2312" w:cs="仿宋_GB2312"/>
          <w:bCs/>
          <w:kern w:val="2"/>
          <w:sz w:val="32"/>
          <w:szCs w:val="32"/>
          <w:lang w:val="en-US" w:eastAsia="zh-CN" w:bidi="ar"/>
        </w:rPr>
        <w:t>对全区食品生产经营主体开展</w:t>
      </w:r>
      <w:r>
        <w:rPr>
          <w:rFonts w:hint="default" w:ascii="仿宋_GB2312" w:hAnsi="Times New Roman" w:eastAsia="仿宋_GB2312" w:cs="仿宋_GB2312"/>
          <w:kern w:val="2"/>
          <w:sz w:val="32"/>
          <w:szCs w:val="32"/>
          <w:lang w:val="en-US" w:eastAsia="zh-CN" w:bidi="ar"/>
        </w:rPr>
        <w:t>全覆盖</w:t>
      </w:r>
      <w:r>
        <w:rPr>
          <w:rFonts w:hint="default" w:ascii="仿宋_GB2312" w:hAnsi="Times New Roman" w:eastAsia="仿宋_GB2312" w:cs="仿宋_GB2312"/>
          <w:bCs/>
          <w:kern w:val="2"/>
          <w:sz w:val="32"/>
          <w:szCs w:val="32"/>
          <w:lang w:val="en-US" w:eastAsia="zh-CN" w:bidi="ar"/>
        </w:rPr>
        <w:t>检查，</w:t>
      </w:r>
      <w:r>
        <w:rPr>
          <w:rFonts w:hint="default" w:ascii="仿宋_GB2312" w:hAnsi="Times New Roman" w:eastAsia="仿宋_GB2312" w:cs="仿宋_GB2312"/>
          <w:kern w:val="2"/>
          <w:sz w:val="32"/>
          <w:szCs w:val="32"/>
          <w:lang w:val="en-US" w:eastAsia="zh-CN" w:bidi="ar"/>
        </w:rPr>
        <w:t>全年共组织抽检食品及食用农产品305批次，快速检测样品50批次，不合格4批次，合格率98.7%。联合区教育局等部门召开学校食品安全暨两个责任落实培训会1次，开展食品安全法律法规进校园宣传教育活动3次，筑牢学校食品安全防线。开展女儿节、菜花节等重大活动食品安全保障20余次。</w:t>
      </w:r>
    </w:p>
    <w:p w14:paraId="5F109D59">
      <w:pPr>
        <w:pStyle w:val="12"/>
        <w:keepNext w:val="0"/>
        <w:keepLines w:val="0"/>
        <w:pageBreakBefore w:val="0"/>
        <w:widowControl/>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0"/>
          <w:sz w:val="32"/>
          <w:szCs w:val="32"/>
        </w:rPr>
      </w:pPr>
      <w:r>
        <w:rPr>
          <w:rFonts w:hint="default" w:ascii="仿宋_GB2312" w:hAnsi="宋体" w:eastAsia="仿宋_GB2312" w:cs="仿宋_GB2312"/>
          <w:bCs/>
          <w:kern w:val="0"/>
          <w:sz w:val="32"/>
          <w:szCs w:val="32"/>
          <w:lang w:val="en-US" w:eastAsia="zh-CN" w:bidi="ar"/>
        </w:rPr>
        <w:t>(2)</w:t>
      </w:r>
      <w:r>
        <w:rPr>
          <w:rFonts w:hint="default" w:ascii="仿宋_GB2312" w:hAnsi="宋体" w:eastAsia="仿宋_GB2312" w:cs="仿宋_GB2312"/>
          <w:kern w:val="0"/>
          <w:sz w:val="32"/>
          <w:szCs w:val="32"/>
          <w:lang w:val="en-US" w:eastAsia="zh-CN" w:bidi="ar"/>
        </w:rPr>
        <w:t>邀请市局专家对执法人员、监管对象分模块、分重点开展监管及执法培训3次。</w:t>
      </w:r>
      <w:r>
        <w:rPr>
          <w:rFonts w:hint="default" w:ascii="仿宋_GB2312" w:hAnsi="宋体" w:eastAsia="仿宋_GB2312" w:cs="仿宋_GB2312"/>
          <w:color w:val="000000"/>
          <w:kern w:val="0"/>
          <w:sz w:val="32"/>
          <w:szCs w:val="32"/>
          <w:lang w:val="en-US" w:eastAsia="zh-CN" w:bidi="ar"/>
        </w:rPr>
        <w:t>检查零售药店140家次，医疗机构220家次，化妆品经营使用市场主体90家次，发出责令改正通知书21份，查办药品类案件58件，处罚没款46余万元；查办医疗器械案件3件，处罚没款2.3万元。</w:t>
      </w:r>
      <w:r>
        <w:rPr>
          <w:rFonts w:hint="default" w:ascii="仿宋_GB2312" w:hAnsi="宋体" w:eastAsia="仿宋_GB2312" w:cs="仿宋_GB2312"/>
          <w:kern w:val="0"/>
          <w:sz w:val="32"/>
          <w:szCs w:val="32"/>
          <w:lang w:val="en-US" w:eastAsia="zh-CN" w:bidi="ar"/>
        </w:rPr>
        <w:t>全年</w:t>
      </w:r>
      <w:r>
        <w:rPr>
          <w:rFonts w:hint="default" w:ascii="仿宋_GB2312" w:hAnsi="宋体" w:eastAsia="仿宋_GB2312" w:cs="仿宋_GB2312"/>
          <w:bCs/>
          <w:color w:val="000000"/>
          <w:kern w:val="0"/>
          <w:sz w:val="32"/>
          <w:szCs w:val="32"/>
          <w:lang w:val="en-US" w:eastAsia="zh-CN" w:bidi="ar"/>
        </w:rPr>
        <w:t>共完成药品抽检6批次，医疗器械2批次，化妆品2批次，均合格。</w:t>
      </w:r>
      <w:r>
        <w:rPr>
          <w:rFonts w:hint="default" w:ascii="仿宋_GB2312" w:hAnsi="宋体" w:eastAsia="仿宋_GB2312" w:cs="仿宋_GB2312"/>
          <w:kern w:val="0"/>
          <w:sz w:val="32"/>
          <w:szCs w:val="32"/>
          <w:lang w:val="en-US" w:eastAsia="zh-CN" w:bidi="ar"/>
        </w:rPr>
        <w:t>上报药品不良反应177例，医疗器械不良反应55例，化妆品不良反应22例</w:t>
      </w:r>
      <w:r>
        <w:rPr>
          <w:rFonts w:hint="default" w:ascii="仿宋_GB2312" w:hAnsi="宋体" w:eastAsia="仿宋_GB2312" w:cs="仿宋_GB2312"/>
          <w:color w:val="000000"/>
          <w:kern w:val="0"/>
          <w:sz w:val="32"/>
          <w:szCs w:val="32"/>
          <w:lang w:val="en-US" w:eastAsia="zh-CN" w:bidi="ar"/>
        </w:rPr>
        <w:t>，查办药品医疗器械类案件61件。</w:t>
      </w:r>
    </w:p>
    <w:p w14:paraId="3EDF016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b w:val="0"/>
          <w:bCs/>
          <w:kern w:val="2"/>
          <w:sz w:val="32"/>
          <w:szCs w:val="32"/>
          <w:lang w:val="en-US" w:eastAsia="zh-CN" w:bidi="ar"/>
        </w:rPr>
        <w:t>（三）项目资金申报相符性。</w:t>
      </w:r>
      <w:r>
        <w:rPr>
          <w:rFonts w:hint="default" w:ascii="仿宋_GB2312" w:hAnsi="Times New Roman" w:eastAsia="仿宋_GB2312" w:cs="仿宋_GB2312"/>
          <w:color w:val="000000"/>
          <w:kern w:val="0"/>
          <w:sz w:val="32"/>
          <w:szCs w:val="32"/>
          <w:lang w:val="en-US" w:eastAsia="zh-CN" w:bidi="ar"/>
        </w:rPr>
        <w:t>项目资金申报按照项目实施内容及年度工作计划实施，资金申报合理、操作性强、可行性高，并结合资金性质及用途，有预见性、前瞻性地开展工作。</w:t>
      </w:r>
    </w:p>
    <w:p w14:paraId="2103205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default" w:ascii="仿宋_GB2312" w:eastAsia="仿宋_GB2312" w:cs="仿宋_GB2312"/>
          <w:b/>
          <w:bCs w:val="0"/>
          <w:kern w:val="2"/>
          <w:sz w:val="32"/>
          <w:szCs w:val="32"/>
        </w:rPr>
      </w:pPr>
      <w:r>
        <w:rPr>
          <w:rFonts w:hint="eastAsia" w:ascii="楷体" w:hAnsi="楷体" w:eastAsia="楷体" w:cs="楷体"/>
          <w:b w:val="0"/>
          <w:bCs/>
          <w:kern w:val="2"/>
          <w:sz w:val="32"/>
          <w:szCs w:val="32"/>
          <w:lang w:val="en-US" w:eastAsia="zh-CN" w:bidi="ar"/>
        </w:rPr>
        <w:t>（四）自评步骤及方法</w:t>
      </w:r>
    </w:p>
    <w:p w14:paraId="1F7A64A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720"/>
        <w:jc w:val="both"/>
        <w:textAlignment w:val="auto"/>
        <w:rPr>
          <w:rFonts w:hint="default" w:ascii="仿宋_GB2312" w:eastAsia="仿宋_GB2312" w:cs="仿宋_GB2312"/>
          <w:color w:val="000000"/>
          <w:kern w:val="0"/>
          <w:sz w:val="32"/>
          <w:szCs w:val="32"/>
        </w:rPr>
      </w:pPr>
      <w:r>
        <w:rPr>
          <w:rFonts w:hint="default" w:ascii="仿宋_GB2312" w:hAnsi="Times New Roman" w:eastAsia="仿宋_GB2312" w:cs="仿宋_GB2312"/>
          <w:color w:val="000000"/>
          <w:kern w:val="0"/>
          <w:sz w:val="32"/>
          <w:szCs w:val="32"/>
          <w:lang w:val="en-US" w:eastAsia="zh-CN" w:bidi="ar"/>
        </w:rPr>
        <w:t>按照区财政局的安排部署，我局成立自评小组，采用比较法展开了单位自评，首先对年初下达的预算批复和年初项目绩效进行了全面梳理，分类清理了各项目一年来绩效目标完成情况、资金使用情况、项目达到的效果等。然后逐一对各项目完成情况开展自评，最后通过召开专题会议的形势对各项目绩效情况进行分析总结。</w:t>
      </w:r>
    </w:p>
    <w:p w14:paraId="2D17D76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eastAsia" w:ascii="黑体" w:hAnsi="宋体" w:eastAsia="黑体" w:cs="黑体"/>
          <w:kern w:val="2"/>
          <w:sz w:val="32"/>
          <w:szCs w:val="32"/>
        </w:rPr>
      </w:pPr>
      <w:r>
        <w:rPr>
          <w:rFonts w:hint="eastAsia" w:ascii="黑体" w:hAnsi="宋体" w:eastAsia="黑体" w:cs="黑体"/>
          <w:kern w:val="2"/>
          <w:sz w:val="32"/>
          <w:szCs w:val="32"/>
          <w:lang w:val="en-US" w:eastAsia="zh-CN" w:bidi="ar"/>
        </w:rPr>
        <w:t>二、项目实施及管理情况</w:t>
      </w:r>
    </w:p>
    <w:p w14:paraId="11216BE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default" w:ascii="仿宋_GB2312" w:eastAsia="仿宋_GB2312" w:cs="仿宋_GB2312"/>
          <w:b/>
          <w:bCs w:val="0"/>
          <w:kern w:val="2"/>
          <w:sz w:val="32"/>
          <w:szCs w:val="32"/>
        </w:rPr>
      </w:pPr>
      <w:r>
        <w:rPr>
          <w:rFonts w:hint="eastAsia" w:ascii="楷体" w:hAnsi="楷体" w:eastAsia="楷体" w:cs="楷体"/>
          <w:b w:val="0"/>
          <w:bCs/>
          <w:kern w:val="2"/>
          <w:sz w:val="32"/>
          <w:szCs w:val="32"/>
          <w:lang w:val="en-US" w:eastAsia="zh-CN" w:bidi="ar"/>
        </w:rPr>
        <w:t>（一）资金计划、到位及使用情况</w:t>
      </w:r>
    </w:p>
    <w:p w14:paraId="50C0115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720"/>
        <w:jc w:val="both"/>
        <w:textAlignment w:val="auto"/>
        <w:rPr>
          <w:rFonts w:hint="default" w:ascii="仿宋_GB2312" w:eastAsia="仿宋_GB2312" w:cs="仿宋_GB2312"/>
          <w:b/>
          <w:bCs w:val="0"/>
          <w:kern w:val="2"/>
          <w:sz w:val="32"/>
          <w:szCs w:val="32"/>
        </w:rPr>
      </w:pPr>
      <w:r>
        <w:rPr>
          <w:rFonts w:hint="default" w:ascii="仿宋_GB2312" w:hAnsi="Times New Roman" w:eastAsia="仿宋_GB2312" w:cs="仿宋_GB2312"/>
          <w:b/>
          <w:bCs/>
          <w:kern w:val="2"/>
          <w:sz w:val="32"/>
          <w:szCs w:val="32"/>
          <w:lang w:val="en-US" w:eastAsia="zh-CN" w:bidi="ar"/>
        </w:rPr>
        <w:t>1.资金计划及到位。</w:t>
      </w:r>
      <w:r>
        <w:rPr>
          <w:rFonts w:hint="default" w:ascii="仿宋_GB2312" w:hAnsi="Times New Roman" w:eastAsia="仿宋_GB2312" w:cs="仿宋_GB2312"/>
          <w:color w:val="000000"/>
          <w:kern w:val="0"/>
          <w:sz w:val="32"/>
          <w:szCs w:val="32"/>
          <w:lang w:val="en-US" w:eastAsia="zh-CN" w:bidi="ar"/>
        </w:rPr>
        <w:t>该项目资金计划及截止评价时点实际到位资金63万元，资金到位率100%。</w:t>
      </w:r>
    </w:p>
    <w:p w14:paraId="6F4E35F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3"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2.资金使用。</w:t>
      </w:r>
      <w:r>
        <w:rPr>
          <w:rFonts w:hint="default" w:ascii="仿宋_GB2312" w:hAnsi="Times New Roman" w:eastAsia="仿宋_GB2312" w:cs="仿宋_GB2312"/>
          <w:color w:val="000000"/>
          <w:kern w:val="0"/>
          <w:sz w:val="32"/>
          <w:szCs w:val="32"/>
          <w:lang w:val="en-US" w:eastAsia="zh-CN" w:bidi="ar"/>
        </w:rPr>
        <w:t>截止2023年12月31日，项目资金的实际支出57万元，资金使用率90.47%，资金开支主要用于食品药品医疗器械监管。</w:t>
      </w:r>
    </w:p>
    <w:p w14:paraId="36A529D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（二）项目财务管理情况</w:t>
      </w:r>
    </w:p>
    <w:p w14:paraId="73AFCA5F">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color w:val="000000"/>
          <w:kern w:val="0"/>
          <w:sz w:val="32"/>
          <w:szCs w:val="32"/>
        </w:rPr>
      </w:pPr>
      <w:r>
        <w:rPr>
          <w:rFonts w:hint="default" w:ascii="仿宋_GB2312" w:hAnsi="Times New Roman" w:eastAsia="仿宋_GB2312" w:cs="仿宋_GB2312"/>
          <w:color w:val="000000"/>
          <w:kern w:val="0"/>
          <w:sz w:val="32"/>
          <w:szCs w:val="32"/>
          <w:lang w:val="en-US" w:eastAsia="zh-CN" w:bidi="ar"/>
        </w:rPr>
        <w:t>为加强项目资金管理力度和严谨性，我局制定了专项资金使用管理制度，在项目资金管事中，严格按照相关管理制度，加强了项目资金的管理。在对专项资金的会计核算和账务处理中，严格按照支出功能分类科目和部门预算经济分类科目进行会计核算和账务处理，资金拨付严格按照财务程序，强化报销环节管理，按照先请示、后审批、再核查的程序进行专项资金的支付，建立重大事项集体议事决策机制，保证其专项资金的专款专用、使用安全，财务处理及时、会计核算规范，有效发挥了专项资金的有效性和效益最大化。</w:t>
      </w:r>
    </w:p>
    <w:p w14:paraId="31B32AF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（三）项目组织实施及管理情况</w:t>
      </w:r>
    </w:p>
    <w:p w14:paraId="0631611D">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我局高度重视，成立了以副局长张三元为组长，相关业务股室负责人为成员的项目管理领导小组。实现了项目申报、审批、实施、监督、验收全流程监管。将项目实施中各环节责任落实到具体的人头。项目的组织实施、管理以及项目资金的使用严格按照流程推进。从而使项目的管理达到了程序化、制度化、公开化、透明化。</w:t>
      </w:r>
    </w:p>
    <w:p w14:paraId="12D70DBF">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eastAsia" w:ascii="黑体" w:hAnsi="宋体" w:eastAsia="黑体" w:cs="黑体"/>
          <w:kern w:val="2"/>
          <w:sz w:val="32"/>
          <w:szCs w:val="32"/>
          <w:lang w:val="en-US" w:eastAsia="zh-CN" w:bidi="ar"/>
        </w:rPr>
        <w:t>三、项目绩效情况</w:t>
      </w:r>
      <w:r>
        <w:rPr>
          <w:rFonts w:hint="default" w:ascii="仿宋_GB2312" w:hAnsi="Times New Roman" w:eastAsia="仿宋_GB2312" w:cs="仿宋_GB2312"/>
          <w:kern w:val="2"/>
          <w:sz w:val="32"/>
          <w:szCs w:val="32"/>
          <w:lang w:val="en-US" w:eastAsia="zh-CN" w:bidi="ar"/>
        </w:rPr>
        <w:tab/>
      </w:r>
    </w:p>
    <w:p w14:paraId="62E71DC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（一）项目完成情况。</w:t>
      </w:r>
    </w:p>
    <w:p w14:paraId="0D6726A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（1）以国家食品安全示范城市创建、省级食品安全示范县复审、天府旅游名县创建等工作为契机，开展食品安全示范达标升级，打造特色餐饮12家，</w:t>
      </w:r>
      <w:r>
        <w:rPr>
          <w:rFonts w:hint="default" w:ascii="仿宋_GB2312" w:hAnsi="Times New Roman" w:eastAsia="仿宋_GB2312" w:cs="仿宋_GB2312"/>
          <w:bCs/>
          <w:kern w:val="2"/>
          <w:sz w:val="32"/>
          <w:szCs w:val="32"/>
          <w:lang w:val="en-US" w:eastAsia="zh-CN" w:bidi="ar"/>
        </w:rPr>
        <w:t>餐饮服务单位示范点位11个，</w:t>
      </w:r>
      <w:r>
        <w:rPr>
          <w:rFonts w:hint="default" w:ascii="仿宋_GB2312" w:hAnsi="Times New Roman" w:eastAsia="仿宋_GB2312" w:cs="仿宋_GB2312"/>
          <w:kern w:val="2"/>
          <w:sz w:val="32"/>
          <w:szCs w:val="32"/>
          <w:lang w:val="en-US" w:eastAsia="zh-CN" w:bidi="ar"/>
        </w:rPr>
        <w:t>培育形象店5家，全面提升精细化管理水平。聚焦植物油、蔬菜制品、大米、肉类食品等食品生产经营突出问题，</w:t>
      </w:r>
      <w:r>
        <w:rPr>
          <w:rFonts w:hint="default" w:ascii="仿宋_GB2312" w:hAnsi="Times New Roman" w:eastAsia="仿宋_GB2312" w:cs="仿宋_GB2312"/>
          <w:bCs/>
          <w:kern w:val="2"/>
          <w:sz w:val="32"/>
          <w:szCs w:val="32"/>
          <w:lang w:val="en-US" w:eastAsia="zh-CN" w:bidi="ar"/>
        </w:rPr>
        <w:t>对全区食品生产经营主体开展</w:t>
      </w:r>
      <w:r>
        <w:rPr>
          <w:rFonts w:hint="default" w:ascii="仿宋_GB2312" w:hAnsi="Times New Roman" w:eastAsia="仿宋_GB2312" w:cs="仿宋_GB2312"/>
          <w:kern w:val="2"/>
          <w:sz w:val="32"/>
          <w:szCs w:val="32"/>
          <w:lang w:val="en-US" w:eastAsia="zh-CN" w:bidi="ar"/>
        </w:rPr>
        <w:t>全覆盖</w:t>
      </w:r>
      <w:r>
        <w:rPr>
          <w:rFonts w:hint="default" w:ascii="仿宋_GB2312" w:hAnsi="Times New Roman" w:eastAsia="仿宋_GB2312" w:cs="仿宋_GB2312"/>
          <w:bCs/>
          <w:kern w:val="2"/>
          <w:sz w:val="32"/>
          <w:szCs w:val="32"/>
          <w:lang w:val="en-US" w:eastAsia="zh-CN" w:bidi="ar"/>
        </w:rPr>
        <w:t>检查，</w:t>
      </w:r>
      <w:r>
        <w:rPr>
          <w:rFonts w:hint="default" w:ascii="仿宋_GB2312" w:hAnsi="Times New Roman" w:eastAsia="仿宋_GB2312" w:cs="仿宋_GB2312"/>
          <w:kern w:val="2"/>
          <w:sz w:val="32"/>
          <w:szCs w:val="32"/>
          <w:lang w:val="en-US" w:eastAsia="zh-CN" w:bidi="ar"/>
        </w:rPr>
        <w:t>全年共组织抽检食品及食用农产品305批次，快速检测样品55批次，不合格4批次，合格率98.7%。联合区教育局等部门召开学校食品安全暨两个责任落实培训会1次，开展食品安全法律法规进校园宣传教育活动3次，筑牢学校食品安全防线。开展女儿节、菜花节等重大活动食品安全保障30余次。</w:t>
      </w:r>
    </w:p>
    <w:p w14:paraId="6A6BAA6E">
      <w:pPr>
        <w:pStyle w:val="12"/>
        <w:keepNext w:val="0"/>
        <w:keepLines w:val="0"/>
        <w:pageBreakBefore w:val="0"/>
        <w:widowControl/>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0"/>
          <w:sz w:val="32"/>
          <w:szCs w:val="32"/>
        </w:rPr>
      </w:pPr>
      <w:r>
        <w:rPr>
          <w:rFonts w:hint="default" w:ascii="仿宋_GB2312" w:hAnsi="宋体" w:eastAsia="仿宋_GB2312" w:cs="仿宋_GB2312"/>
          <w:bCs/>
          <w:kern w:val="0"/>
          <w:sz w:val="32"/>
          <w:szCs w:val="32"/>
          <w:lang w:val="en-US" w:eastAsia="zh-CN" w:bidi="ar"/>
        </w:rPr>
        <w:t>(2)</w:t>
      </w:r>
      <w:r>
        <w:rPr>
          <w:rFonts w:hint="default" w:ascii="仿宋_GB2312" w:hAnsi="宋体" w:eastAsia="仿宋_GB2312" w:cs="仿宋_GB2312"/>
          <w:kern w:val="0"/>
          <w:sz w:val="32"/>
          <w:szCs w:val="32"/>
          <w:lang w:val="en-US" w:eastAsia="zh-CN" w:bidi="ar"/>
        </w:rPr>
        <w:t>邀请市局专家对执法人员、监管对象分模块、分重点开展监管及执法培训3次。</w:t>
      </w:r>
      <w:r>
        <w:rPr>
          <w:rFonts w:hint="default" w:ascii="仿宋_GB2312" w:hAnsi="宋体" w:eastAsia="仿宋_GB2312" w:cs="仿宋_GB2312"/>
          <w:color w:val="000000"/>
          <w:kern w:val="0"/>
          <w:sz w:val="32"/>
          <w:szCs w:val="32"/>
          <w:lang w:val="en-US" w:eastAsia="zh-CN" w:bidi="ar"/>
        </w:rPr>
        <w:t>检查零售药店142家次，医疗机构263家次，化妆品经营使用市场主体94家次，共计发出责令改正通知书21份，查办药品类案件58件，处罚没款46余万元；查办医疗器械案件3件，处罚没款2.3万元。</w:t>
      </w:r>
      <w:r>
        <w:rPr>
          <w:rFonts w:hint="default" w:ascii="仿宋_GB2312" w:hAnsi="宋体" w:eastAsia="仿宋_GB2312" w:cs="仿宋_GB2312"/>
          <w:kern w:val="0"/>
          <w:sz w:val="32"/>
          <w:szCs w:val="32"/>
          <w:lang w:val="en-US" w:eastAsia="zh-CN" w:bidi="ar"/>
        </w:rPr>
        <w:t>全年</w:t>
      </w:r>
      <w:r>
        <w:rPr>
          <w:rFonts w:hint="default" w:ascii="仿宋_GB2312" w:hAnsi="宋体" w:eastAsia="仿宋_GB2312" w:cs="仿宋_GB2312"/>
          <w:bCs/>
          <w:color w:val="000000"/>
          <w:kern w:val="0"/>
          <w:sz w:val="32"/>
          <w:szCs w:val="32"/>
          <w:lang w:val="en-US" w:eastAsia="zh-CN" w:bidi="ar"/>
        </w:rPr>
        <w:t>共完成药品抽检15批次，医疗器械2批次，化妆品2批次，均合格。</w:t>
      </w:r>
      <w:r>
        <w:rPr>
          <w:rFonts w:hint="default" w:ascii="仿宋_GB2312" w:hAnsi="宋体" w:eastAsia="仿宋_GB2312" w:cs="仿宋_GB2312"/>
          <w:kern w:val="0"/>
          <w:sz w:val="32"/>
          <w:szCs w:val="32"/>
          <w:lang w:val="en-US" w:eastAsia="zh-CN" w:bidi="ar"/>
        </w:rPr>
        <w:t>上报药品不良反应177例，医疗器械不良反应55例，化妆品不良反应22例</w:t>
      </w:r>
      <w:r>
        <w:rPr>
          <w:rFonts w:hint="default" w:ascii="仿宋_GB2312" w:hAnsi="宋体" w:eastAsia="仿宋_GB2312" w:cs="仿宋_GB2312"/>
          <w:color w:val="000000"/>
          <w:kern w:val="0"/>
          <w:sz w:val="32"/>
          <w:szCs w:val="32"/>
          <w:lang w:val="en-US" w:eastAsia="zh-CN" w:bidi="ar"/>
        </w:rPr>
        <w:t>，查办药品医疗器械类案件61件。</w:t>
      </w:r>
    </w:p>
    <w:p w14:paraId="305E959B">
      <w:pPr>
        <w:keepNext w:val="0"/>
        <w:keepLines w:val="0"/>
        <w:pageBreakBefore w:val="0"/>
        <w:widowControl w:val="0"/>
        <w:numPr>
          <w:ilvl w:val="0"/>
          <w:numId w:val="3"/>
        </w:numPr>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b w:val="0"/>
          <w:bCs/>
          <w:kern w:val="2"/>
          <w:sz w:val="32"/>
          <w:szCs w:val="32"/>
          <w:lang w:val="en-US" w:eastAsia="zh-CN" w:bidi="ar"/>
        </w:rPr>
        <w:t>项目效益情况。</w:t>
      </w:r>
    </w:p>
    <w:p w14:paraId="7A36AF5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社会效益：通过食品药品医疗器械及化妆品专项资金项目的实施，加大对网络经营餐饮店监管，督促指导其执行封签制度，并积极鼓励推行食品安全责任保险购买力度。对监督检查、监督抽检、风险抽检中较集中、消费者多次投诉的风险隐患开展分析研判，保障全区群众“舌尖上的安全”。加大风险排查处置力度，不断规范药械化经营使用秩序，确保人民用药用械用化安全。</w:t>
      </w:r>
    </w:p>
    <w:p w14:paraId="59D9E243">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可持续效益：持续落实信用风险分级分类成果运用，实现企业风险分类结果多部门共享共用，推动部门联合监管机制更加智慧化、精准化、规范化。</w:t>
      </w:r>
      <w:r>
        <w:rPr>
          <w:rFonts w:hint="default" w:ascii="仿宋_GB2312" w:hAnsi="Times New Roman" w:eastAsia="仿宋_GB2312" w:cs="仿宋_GB2312"/>
          <w:b w:val="0"/>
          <w:bCs w:val="0"/>
          <w:kern w:val="2"/>
          <w:sz w:val="32"/>
          <w:szCs w:val="32"/>
          <w:lang w:val="en-US" w:eastAsia="zh-CN" w:bidi="ar"/>
        </w:rPr>
        <w:t>实现了对合法守信企业无事不扰，对违法失信企业从严监管。</w:t>
      </w:r>
    </w:p>
    <w:p w14:paraId="6DB78A8F">
      <w:pPr>
        <w:keepNext w:val="0"/>
        <w:keepLines w:val="0"/>
        <w:pageBreakBefore w:val="0"/>
        <w:widowControl w:val="0"/>
        <w:numPr>
          <w:ilvl w:val="0"/>
          <w:numId w:val="3"/>
        </w:numPr>
        <w:suppressLineNumbers w:val="0"/>
        <w:kinsoku/>
        <w:wordWrap/>
        <w:overflowPunct/>
        <w:topLinePunct w:val="0"/>
        <w:autoSpaceDE w:val="0"/>
        <w:autoSpaceDN/>
        <w:bidi w:val="0"/>
        <w:adjustRightInd w:val="0"/>
        <w:snapToGri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b w:val="0"/>
          <w:bCs/>
          <w:kern w:val="2"/>
          <w:sz w:val="32"/>
          <w:szCs w:val="32"/>
          <w:lang w:val="en-US" w:eastAsia="zh-CN" w:bidi="ar"/>
        </w:rPr>
        <w:t>违规记录。</w:t>
      </w:r>
    </w:p>
    <w:p w14:paraId="1BF897B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该项目2023年未按受过审计，在接受本级财政部门财会监督和决算审查结果中反映专项预算管理合规。</w:t>
      </w:r>
    </w:p>
    <w:p w14:paraId="5D150D5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textAlignment w:val="auto"/>
        <w:rPr>
          <w:rFonts w:hint="eastAsia" w:ascii="黑体" w:hAnsi="宋体" w:eastAsia="黑体" w:cs="黑体"/>
          <w:kern w:val="2"/>
          <w:sz w:val="32"/>
          <w:szCs w:val="32"/>
        </w:rPr>
      </w:pPr>
      <w:r>
        <w:rPr>
          <w:rFonts w:hint="eastAsia" w:ascii="黑体" w:hAnsi="宋体" w:eastAsia="黑体" w:cs="黑体"/>
          <w:kern w:val="2"/>
          <w:sz w:val="32"/>
          <w:szCs w:val="32"/>
          <w:lang w:val="en-US" w:eastAsia="zh-CN" w:bidi="ar"/>
        </w:rPr>
        <w:t>四、自评结论及建议</w:t>
      </w:r>
    </w:p>
    <w:p w14:paraId="48DCE780">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（一）自评结论。</w:t>
      </w:r>
    </w:p>
    <w:p w14:paraId="3A8F7553">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2023年度，区市场监督管理局食品药品医疗器械及化妆品监管项目做到了资金与项目方案相符，严格按照方案要求进行实施，加强了资金管理，做到了专款专用，确保了资金的安全，提高了资金使用效率,各项目绩效目标全面完成。按照广元市昭化区2024年部门预算项目自评评分表中各项指标，结合该项目实施中的具体情况</w:t>
      </w:r>
      <w:r>
        <w:rPr>
          <w:rFonts w:hint="default" w:ascii="仿宋_GB2312" w:hAnsi="Times New Roman" w:eastAsia="仿宋_GB2312" w:cs="仿宋_GB2312"/>
          <w:b w:val="0"/>
          <w:bCs w:val="0"/>
          <w:spacing w:val="0"/>
          <w:kern w:val="2"/>
          <w:sz w:val="32"/>
          <w:szCs w:val="32"/>
          <w:lang w:val="en-US" w:eastAsia="zh-CN" w:bidi="ar"/>
        </w:rPr>
        <w:t>逐一开展了自评，自评得分94分。</w:t>
      </w:r>
    </w:p>
    <w:p w14:paraId="7EE3330E">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right="0" w:firstLine="640" w:firstLineChars="200"/>
        <w:jc w:val="both"/>
        <w:textAlignment w:val="auto"/>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（二）存在的问题。</w:t>
      </w:r>
    </w:p>
    <w:p w14:paraId="39F6147D">
      <w:pPr>
        <w:pStyle w:val="12"/>
        <w:keepNext w:val="0"/>
        <w:keepLines w:val="0"/>
        <w:pageBreakBefore w:val="0"/>
        <w:widowControl/>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hAnsi="Times New Roman" w:eastAsia="仿宋_GB2312" w:cs="仿宋_GB2312"/>
          <w:kern w:val="2"/>
          <w:sz w:val="32"/>
          <w:szCs w:val="32"/>
          <w:lang w:val="en-US" w:eastAsia="zh-CN" w:bidi="ar"/>
        </w:rPr>
      </w:pPr>
      <w:r>
        <w:rPr>
          <w:rFonts w:hint="default" w:ascii="仿宋_GB2312" w:hAnsi="Times New Roman" w:eastAsia="仿宋_GB2312" w:cs="仿宋_GB2312"/>
          <w:kern w:val="2"/>
          <w:sz w:val="32"/>
          <w:szCs w:val="32"/>
          <w:lang w:val="en-US" w:eastAsia="zh-CN" w:bidi="ar"/>
        </w:rPr>
        <w:t>(1)绩效目标编制要素不完整，绩效指标值设置未将项目内容全面覆盖。如药品不良反应177例，医疗器械不良反应55例，化妆品不良反应22例，查办药品医疗器械类案件61件重要绩效指标未在三级指标中反映。(2)支付进度执行缓慢。</w:t>
      </w:r>
    </w:p>
    <w:p w14:paraId="7E99F159">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27" w:firstLineChars="196"/>
        <w:jc w:val="both"/>
        <w:textAlignment w:val="auto"/>
        <w:rPr>
          <w:rFonts w:hint="default" w:ascii="仿宋_GB2312" w:eastAsia="仿宋_GB2312" w:cs="仿宋_GB2312"/>
          <w:b/>
          <w:bCs w:val="0"/>
          <w:kern w:val="2"/>
          <w:sz w:val="32"/>
          <w:szCs w:val="32"/>
        </w:rPr>
      </w:pPr>
      <w:r>
        <w:rPr>
          <w:rFonts w:hint="eastAsia" w:ascii="楷体" w:hAnsi="楷体" w:eastAsia="楷体" w:cs="楷体"/>
          <w:b w:val="0"/>
          <w:bCs/>
          <w:kern w:val="2"/>
          <w:sz w:val="32"/>
          <w:szCs w:val="32"/>
          <w:lang w:val="en-US" w:eastAsia="zh-CN" w:bidi="ar"/>
        </w:rPr>
        <w:t>（三）相关措施或建议。</w:t>
      </w:r>
    </w:p>
    <w:p w14:paraId="24D1093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auto"/>
        <w:rPr>
          <w:rFonts w:hint="default" w:ascii="仿宋_GB2312" w:hAnsi="Times New Roman" w:eastAsia="仿宋_GB2312" w:cs="仿宋_GB2312"/>
          <w:kern w:val="2"/>
          <w:sz w:val="32"/>
          <w:szCs w:val="32"/>
          <w:lang w:val="en-US" w:eastAsia="zh-CN" w:bidi="ar"/>
        </w:rPr>
      </w:pPr>
      <w:r>
        <w:rPr>
          <w:rFonts w:hint="default" w:ascii="仿宋_GB2312" w:hAnsi="Times New Roman" w:eastAsia="仿宋_GB2312" w:cs="仿宋_GB2312"/>
          <w:kern w:val="2"/>
          <w:sz w:val="32"/>
          <w:szCs w:val="32"/>
          <w:lang w:val="en-US" w:eastAsia="zh-CN" w:bidi="ar"/>
        </w:rPr>
        <w:t>加强绩效知识学习，提高绩效指标编制质量。建议单位绩效管理人员加强绩效知识学习，结合各项目具体情况，确定各项工作预期产出及达到的效果，从中提炼出最能反映工作任务预期实现程度的关键性指标，并将其确定为相应的绩效指标，以定量和定性相结合的方式对项目进行全面表述。</w:t>
      </w:r>
    </w:p>
    <w:p w14:paraId="013B8E5D">
      <w:pPr>
        <w:keepNext w:val="0"/>
        <w:keepLines w:val="0"/>
        <w:widowControl w:val="0"/>
        <w:suppressLineNumbers w:val="0"/>
        <w:autoSpaceDE w:val="0"/>
        <w:autoSpaceDN/>
        <w:spacing w:before="0" w:beforeAutospacing="0" w:after="0" w:afterAutospacing="0" w:line="580" w:lineRule="exact"/>
        <w:ind w:left="0" w:right="0" w:firstLine="640" w:firstLineChars="200"/>
        <w:jc w:val="both"/>
        <w:rPr>
          <w:rFonts w:hint="eastAsia" w:ascii="仿宋_GB2312" w:hAnsi="Times New Roman" w:eastAsia="仿宋_GB2312" w:cs="仿宋_GB2312"/>
          <w:kern w:val="2"/>
          <w:sz w:val="32"/>
          <w:szCs w:val="32"/>
          <w:lang w:val="en-US" w:eastAsia="zh-CN" w:bidi="ar"/>
        </w:rPr>
      </w:pPr>
      <w:r>
        <w:rPr>
          <w:rFonts w:hint="eastAsia" w:ascii="仿宋_GB2312" w:hAnsi="Times New Roman" w:eastAsia="仿宋_GB2312" w:cs="仿宋_GB2312"/>
          <w:kern w:val="2"/>
          <w:sz w:val="32"/>
          <w:szCs w:val="32"/>
          <w:lang w:val="en-US" w:eastAsia="zh-CN" w:bidi="ar"/>
        </w:rPr>
        <w:br w:type="page"/>
      </w:r>
    </w:p>
    <w:p w14:paraId="7B26D07F">
      <w:pPr>
        <w:keepNext w:val="0"/>
        <w:keepLines w:val="0"/>
        <w:widowControl w:val="0"/>
        <w:suppressLineNumbers w:val="0"/>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广元市昭化区市场监督管理局</w:t>
      </w:r>
    </w:p>
    <w:p w14:paraId="42F58F7C">
      <w:pPr>
        <w:keepNext w:val="0"/>
        <w:keepLines w:val="0"/>
        <w:widowControl w:val="0"/>
        <w:suppressLineNumbers w:val="0"/>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2023年度中央药品安全监管专项绩效资金</w:t>
      </w:r>
    </w:p>
    <w:p w14:paraId="1FEFB03D">
      <w:pPr>
        <w:keepNext w:val="0"/>
        <w:keepLines w:val="0"/>
        <w:widowControl w:val="0"/>
        <w:suppressLineNumbers w:val="0"/>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自评报告</w:t>
      </w:r>
    </w:p>
    <w:p w14:paraId="3CE5E401">
      <w:pPr>
        <w:keepNext w:val="0"/>
        <w:keepLines w:val="0"/>
        <w:widowControl w:val="0"/>
        <w:suppressLineNumbers w:val="0"/>
        <w:spacing w:before="0" w:beforeAutospacing="0" w:after="0" w:afterAutospacing="0" w:line="576" w:lineRule="exact"/>
        <w:ind w:left="0" w:right="0" w:firstLine="640" w:firstLineChars="200"/>
        <w:jc w:val="both"/>
        <w:rPr>
          <w:rFonts w:hint="default" w:ascii="仿宋_GB2312" w:eastAsia="仿宋_GB2312" w:cs="仿宋_GB2312"/>
          <w:bCs/>
          <w:kern w:val="2"/>
          <w:sz w:val="32"/>
          <w:szCs w:val="32"/>
        </w:rPr>
      </w:pPr>
      <w:r>
        <w:rPr>
          <w:rFonts w:hint="default" w:ascii="仿宋_GB2312" w:hAnsi="Calibri" w:eastAsia="仿宋_GB2312" w:cs="仿宋_GB2312"/>
          <w:bCs/>
          <w:kern w:val="2"/>
          <w:sz w:val="32"/>
          <w:szCs w:val="32"/>
          <w:lang w:val="en-US" w:eastAsia="zh-CN" w:bidi="ar"/>
        </w:rPr>
        <w:t xml:space="preserve"> </w:t>
      </w:r>
    </w:p>
    <w:p w14:paraId="6FB0734E">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eastAsia" w:ascii="黑体" w:hAnsi="宋体" w:eastAsia="黑体" w:cs="黑体"/>
          <w:bCs/>
          <w:kern w:val="2"/>
          <w:sz w:val="32"/>
          <w:szCs w:val="32"/>
        </w:rPr>
      </w:pPr>
      <w:r>
        <w:rPr>
          <w:rFonts w:hint="eastAsia" w:ascii="黑体" w:hAnsi="宋体" w:eastAsia="黑体" w:cs="黑体"/>
          <w:bCs/>
          <w:kern w:val="2"/>
          <w:sz w:val="32"/>
          <w:szCs w:val="32"/>
          <w:lang w:val="en-US" w:eastAsia="zh-CN" w:bidi="ar"/>
        </w:rPr>
        <w:t>一、绩效目标分解下达情况</w:t>
      </w:r>
    </w:p>
    <w:p w14:paraId="61BF59A9">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eastAsia" w:ascii="楷体" w:hAnsi="楷体" w:eastAsia="楷体" w:cs="楷体"/>
          <w:kern w:val="2"/>
          <w:sz w:val="32"/>
          <w:szCs w:val="32"/>
        </w:rPr>
      </w:pPr>
      <w:r>
        <w:rPr>
          <w:rFonts w:hint="eastAsia" w:ascii="楷体" w:hAnsi="楷体" w:eastAsia="楷体" w:cs="楷体"/>
          <w:kern w:val="2"/>
          <w:sz w:val="32"/>
          <w:szCs w:val="32"/>
          <w:lang w:val="en-US" w:eastAsia="zh-CN" w:bidi="ar"/>
        </w:rPr>
        <w:t>（一）中央下达药品安全监管资金预算和绩效目标情况。</w:t>
      </w:r>
    </w:p>
    <w:p w14:paraId="1B0431B2">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（1）项目资金申报及批复情况。我局2023年度财政预算中央药品安全监管经费7万元。</w:t>
      </w:r>
    </w:p>
    <w:p w14:paraId="5C0776FA">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spacing w:val="-4"/>
          <w:kern w:val="2"/>
          <w:sz w:val="32"/>
          <w:szCs w:val="32"/>
        </w:rPr>
      </w:pPr>
      <w:r>
        <w:rPr>
          <w:rFonts w:hint="default" w:ascii="仿宋_GB2312" w:hAnsi="Calibri" w:eastAsia="仿宋_GB2312" w:cs="仿宋_GB2312"/>
          <w:kern w:val="2"/>
          <w:sz w:val="32"/>
          <w:szCs w:val="32"/>
          <w:lang w:val="en-US" w:eastAsia="zh-CN" w:bidi="ar"/>
        </w:rPr>
        <w:t>（2）项目绩效目标。根据全年专项工作安排，按照专项资金管理办法和专款专用的原则，</w:t>
      </w:r>
      <w:r>
        <w:rPr>
          <w:rFonts w:hint="default" w:ascii="仿宋_GB2312" w:hAnsi="Calibri" w:eastAsia="仿宋_GB2312" w:cs="仿宋_GB2312"/>
          <w:spacing w:val="-4"/>
          <w:kern w:val="2"/>
          <w:sz w:val="32"/>
          <w:szCs w:val="32"/>
          <w:lang w:val="en-US" w:eastAsia="zh-CN" w:bidi="ar"/>
        </w:rPr>
        <w:t>主要用于药械化综合监管、药械化专项整治、药械化不良反应监测指导及药械化安全宣传等工作。通过强化日常监管和专项整治执法力度，加大对制售假冒伪劣药品违法犯罪活动的打击力度，进一步规范药械化经营使用秩序，加大药械化安全知识普及力度，完善监管规范和监督机制，提升监管水平。</w:t>
      </w:r>
    </w:p>
    <w:p w14:paraId="04FCA9C2">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320" w:firstLineChars="1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3）项目资金申报相符性。资金申报完全按照项目实施内容及年度内计划方案实施，资金申报合理，操作性强，可行性高。我局结合资金性质及用途，有预见性、前瞻性地开展工作，对项目实施未产生任何影响。</w:t>
      </w:r>
    </w:p>
    <w:p w14:paraId="0FA73DC4">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Cs/>
          <w:kern w:val="2"/>
          <w:sz w:val="32"/>
          <w:szCs w:val="32"/>
        </w:rPr>
      </w:pPr>
      <w:r>
        <w:rPr>
          <w:rFonts w:hint="eastAsia" w:ascii="黑体" w:hAnsi="宋体" w:eastAsia="黑体" w:cs="黑体"/>
          <w:bCs/>
          <w:kern w:val="2"/>
          <w:sz w:val="32"/>
          <w:szCs w:val="32"/>
          <w:lang w:val="en-US" w:eastAsia="zh-CN" w:bidi="ar"/>
        </w:rPr>
        <w:t>二、绩效目标完成情况分析</w:t>
      </w:r>
    </w:p>
    <w:p w14:paraId="1DA9137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76" w:lineRule="exact"/>
        <w:ind w:left="0" w:leftChars="0" w:right="0" w:firstLine="640" w:firstLineChars="200"/>
        <w:jc w:val="both"/>
        <w:textAlignment w:val="auto"/>
        <w:outlineLvl w:val="9"/>
        <w:rPr>
          <w:rFonts w:hint="default" w:ascii="仿宋_GB2312" w:eastAsia="仿宋_GB2312" w:cs="仿宋_GB2312"/>
          <w:b/>
          <w:bCs/>
          <w:kern w:val="2"/>
          <w:sz w:val="32"/>
          <w:szCs w:val="32"/>
        </w:rPr>
      </w:pPr>
      <w:r>
        <w:rPr>
          <w:rFonts w:hint="eastAsia" w:ascii="楷体" w:hAnsi="楷体" w:eastAsia="楷体" w:cs="楷体"/>
          <w:b w:val="0"/>
          <w:bCs w:val="0"/>
          <w:kern w:val="2"/>
          <w:sz w:val="32"/>
          <w:szCs w:val="32"/>
          <w:lang w:val="en-US" w:eastAsia="zh-CN" w:bidi="ar"/>
        </w:rPr>
        <w:t>（一）资金投入情况分析。</w:t>
      </w:r>
    </w:p>
    <w:p w14:paraId="7DC257C4">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2023年中央药品安全监管资金计划及资金按时到位，我局严格按照各类项目资金使用要求支出，落实专款专用，无任何违规使用的情况</w:t>
      </w:r>
      <w:r>
        <w:rPr>
          <w:rFonts w:hint="default" w:ascii="仿宋_GB2312" w:hAnsi="Calibri" w:eastAsia="仿宋_GB2312" w:cs="仿宋_GB2312"/>
          <w:spacing w:val="-4"/>
          <w:kern w:val="2"/>
          <w:sz w:val="32"/>
          <w:szCs w:val="32"/>
          <w:lang w:val="en-US" w:eastAsia="zh-CN" w:bidi="ar"/>
        </w:rPr>
        <w:t>。</w:t>
      </w:r>
    </w:p>
    <w:p w14:paraId="2ECB238C">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b/>
          <w:bCs/>
          <w:kern w:val="2"/>
          <w:sz w:val="32"/>
          <w:szCs w:val="32"/>
          <w:lang w:val="en-US" w:eastAsia="zh-CN" w:bidi="ar"/>
        </w:rPr>
        <w:t>1.项目资金到位情况分析。</w:t>
      </w:r>
      <w:r>
        <w:rPr>
          <w:rFonts w:hint="default" w:ascii="仿宋_GB2312" w:hAnsi="Calibri" w:eastAsia="仿宋_GB2312" w:cs="仿宋_GB2312"/>
          <w:kern w:val="2"/>
          <w:sz w:val="32"/>
          <w:szCs w:val="32"/>
          <w:lang w:val="en-US" w:eastAsia="zh-CN" w:bidi="ar"/>
        </w:rPr>
        <w:t>2023年度区财政局在有效时限内将药品安全监管资金指标下达我局，我局根据资金用途制定了详细的项目实施方案及资金使用计划，确保了专项资金的专款专用。</w:t>
      </w:r>
    </w:p>
    <w:p w14:paraId="6088121B">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b/>
          <w:bCs/>
          <w:kern w:val="2"/>
          <w:sz w:val="32"/>
          <w:szCs w:val="32"/>
          <w:lang w:val="en-US" w:eastAsia="zh-CN" w:bidi="ar"/>
        </w:rPr>
        <w:t>2.项目资金执行情况分析。</w:t>
      </w:r>
      <w:r>
        <w:rPr>
          <w:rFonts w:hint="default" w:ascii="仿宋_GB2312" w:hAnsi="Calibri" w:eastAsia="仿宋_GB2312" w:cs="仿宋_GB2312"/>
          <w:kern w:val="2"/>
          <w:sz w:val="32"/>
          <w:szCs w:val="32"/>
          <w:lang w:val="en-US" w:eastAsia="zh-CN" w:bidi="ar"/>
        </w:rPr>
        <w:t>我局项目资金的实际支出完全符合资金开支范围、标准及支付要求，支付依据合规合法，资金支付与预算相符。</w:t>
      </w:r>
    </w:p>
    <w:p w14:paraId="43A1D383">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b/>
          <w:bCs/>
          <w:kern w:val="2"/>
          <w:sz w:val="32"/>
          <w:szCs w:val="32"/>
          <w:lang w:val="en-US" w:eastAsia="zh-CN" w:bidi="ar"/>
        </w:rPr>
        <w:t>3.项目资金管理情况分析。</w:t>
      </w:r>
      <w:r>
        <w:rPr>
          <w:rFonts w:hint="default" w:ascii="仿宋_GB2312" w:hAnsi="Calibri" w:eastAsia="仿宋_GB2312" w:cs="仿宋_GB2312"/>
          <w:kern w:val="2"/>
          <w:sz w:val="32"/>
          <w:szCs w:val="32"/>
          <w:lang w:val="en-US" w:eastAsia="zh-CN" w:bidi="ar"/>
        </w:rPr>
        <w:t>为强化专项资金管理，发挥资金的最大使用绩效，我局按照“统筹兼顾、突出重点、促进发展、专款专用、注重绩效”的原则，进一步强化监督管理，制定了专项资金使用实施方案、项目资金管理办法及内控管理制度等，规范了项目资金的核算及账务处理相关内容，并严格按照各项管理办法、制度执行，充分发挥了资金使用效益。</w:t>
      </w:r>
    </w:p>
    <w:p w14:paraId="7776DA19">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576" w:lineRule="exact"/>
        <w:ind w:left="0" w:leftChars="0" w:right="0" w:firstLine="640" w:firstLineChars="200"/>
        <w:jc w:val="left"/>
        <w:textAlignment w:val="auto"/>
        <w:rPr>
          <w:rFonts w:hint="eastAsia"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（二）总体绩效目标完成情况分析。</w:t>
      </w:r>
    </w:p>
    <w:p w14:paraId="4752D782">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color w:val="0000FF"/>
          <w:kern w:val="2"/>
          <w:sz w:val="32"/>
          <w:szCs w:val="32"/>
        </w:rPr>
      </w:pPr>
      <w:r>
        <w:rPr>
          <w:rFonts w:hint="default" w:ascii="仿宋_GB2312" w:hAnsi="Calibri" w:eastAsia="仿宋_GB2312" w:cs="仿宋_GB2312"/>
          <w:kern w:val="2"/>
          <w:sz w:val="32"/>
          <w:szCs w:val="32"/>
          <w:lang w:val="en-US" w:eastAsia="zh-CN" w:bidi="ar"/>
        </w:rPr>
        <w:t>对2023年度财政下达的7万元中央药品安全监管项目经费，我局做到了资金与项目方案相符，严格按照方案和项目要求进行实施，支出7万元，资金使用率达100%。根据全年专项工作安排，按照专项资金管理办法和专款专用的原则，</w:t>
      </w:r>
      <w:r>
        <w:rPr>
          <w:rFonts w:hint="default" w:ascii="仿宋_GB2312" w:hAnsi="Calibri" w:eastAsia="仿宋_GB2312" w:cs="仿宋_GB2312"/>
          <w:bCs/>
          <w:kern w:val="2"/>
          <w:sz w:val="32"/>
          <w:szCs w:val="32"/>
          <w:lang w:val="en-US" w:eastAsia="zh-CN" w:bidi="ar"/>
        </w:rPr>
        <w:t>夯实“两品一械”安全基础。</w:t>
      </w:r>
      <w:r>
        <w:rPr>
          <w:rFonts w:hint="default" w:ascii="仿宋_GB2312" w:hAnsi="Calibri" w:eastAsia="仿宋_GB2312" w:cs="仿宋_GB2312"/>
          <w:b/>
          <w:bCs/>
          <w:kern w:val="0"/>
          <w:sz w:val="32"/>
          <w:szCs w:val="32"/>
          <w:lang w:val="en-US" w:eastAsia="zh-CN" w:bidi="ar"/>
        </w:rPr>
        <w:t>一是压实任务明责任。</w:t>
      </w:r>
      <w:r>
        <w:rPr>
          <w:rFonts w:hint="default" w:ascii="仿宋_GB2312" w:hAnsi="Calibri" w:eastAsia="仿宋_GB2312" w:cs="仿宋_GB2312"/>
          <w:kern w:val="2"/>
          <w:sz w:val="32"/>
          <w:szCs w:val="32"/>
          <w:shd w:val="clear" w:fill="FFFFFF"/>
          <w:lang w:val="en-US" w:eastAsia="zh-CN" w:bidi="ar"/>
        </w:rPr>
        <w:t>制定全区药械化安全年度监管工作计划，</w:t>
      </w:r>
      <w:r>
        <w:rPr>
          <w:rFonts w:hint="default" w:ascii="仿宋_GB2312" w:hAnsi="Calibri" w:eastAsia="仿宋_GB2312" w:cs="仿宋_GB2312"/>
          <w:kern w:val="2"/>
          <w:sz w:val="32"/>
          <w:szCs w:val="32"/>
          <w:lang w:val="en-US" w:eastAsia="zh-CN" w:bidi="ar"/>
        </w:rPr>
        <w:t>发布政策解读，成立药品安全应急处置专家咨询委员会和药品安全巩固提升行动领导小组，建立健全药品安全应急处置体系。</w:t>
      </w:r>
      <w:r>
        <w:rPr>
          <w:rFonts w:hint="default" w:ascii="仿宋_GB2312" w:hAnsi="Calibri" w:eastAsia="仿宋_GB2312" w:cs="仿宋_GB2312"/>
          <w:b/>
          <w:bCs w:val="0"/>
          <w:kern w:val="2"/>
          <w:sz w:val="32"/>
          <w:szCs w:val="32"/>
          <w:lang w:val="en-US" w:eastAsia="zh-CN" w:bidi="ar"/>
        </w:rPr>
        <w:t>二是学习培训提素质。</w:t>
      </w:r>
      <w:r>
        <w:rPr>
          <w:rFonts w:hint="default" w:ascii="仿宋_GB2312" w:hAnsi="Calibri" w:eastAsia="仿宋_GB2312" w:cs="仿宋_GB2312"/>
          <w:kern w:val="2"/>
          <w:sz w:val="32"/>
          <w:szCs w:val="32"/>
          <w:lang w:val="en-US" w:eastAsia="zh-CN" w:bidi="ar"/>
        </w:rPr>
        <w:t>邀请市局专家对执法人员、监管对象分模块、分重点开展监管及执法培训10余次。</w:t>
      </w:r>
      <w:r>
        <w:rPr>
          <w:rFonts w:hint="default" w:ascii="仿宋_GB2312" w:hAnsi="Calibri" w:eastAsia="仿宋_GB2312" w:cs="仿宋_GB2312"/>
          <w:color w:val="000000"/>
          <w:kern w:val="2"/>
          <w:sz w:val="32"/>
          <w:szCs w:val="32"/>
          <w:lang w:val="en-US" w:eastAsia="zh-CN" w:bidi="ar"/>
        </w:rPr>
        <w:t>强化假药系列案件后续监管，有效形成风险防范闭环。</w:t>
      </w:r>
      <w:r>
        <w:rPr>
          <w:rFonts w:hint="default" w:ascii="仿宋_GB2312" w:hAnsi="Calibri" w:eastAsia="仿宋_GB2312" w:cs="仿宋_GB2312"/>
          <w:kern w:val="2"/>
          <w:sz w:val="32"/>
          <w:szCs w:val="32"/>
          <w:lang w:val="en-US" w:eastAsia="zh-CN" w:bidi="ar"/>
        </w:rPr>
        <w:t>参加、开展风险研判11次，切实提高风险把控及问题处置能力。</w:t>
      </w:r>
      <w:r>
        <w:rPr>
          <w:rFonts w:hint="default" w:ascii="仿宋_GB2312" w:hAnsi="Calibri" w:eastAsia="仿宋_GB2312" w:cs="仿宋_GB2312"/>
          <w:b/>
          <w:bCs w:val="0"/>
          <w:kern w:val="2"/>
          <w:sz w:val="32"/>
          <w:szCs w:val="32"/>
          <w:lang w:val="en-US" w:eastAsia="zh-CN" w:bidi="ar"/>
        </w:rPr>
        <w:t>三是规范建设动真格。</w:t>
      </w:r>
      <w:r>
        <w:rPr>
          <w:rFonts w:hint="default" w:ascii="仿宋_GB2312" w:hAnsi="Calibri" w:eastAsia="仿宋_GB2312" w:cs="仿宋_GB2312"/>
          <w:kern w:val="0"/>
          <w:sz w:val="32"/>
          <w:szCs w:val="32"/>
          <w:lang w:val="en-US" w:eastAsia="zh-CN" w:bidi="ar"/>
        </w:rPr>
        <w:t>持续推进零售药店“一个公示栏”“一本隐患帐”“一台计算机”“三个档案盒”“三个查询册”的“三个一、两个三”规范化建设，</w:t>
      </w:r>
      <w:r>
        <w:rPr>
          <w:rFonts w:hint="default" w:ascii="仿宋_GB2312" w:hAnsi="Calibri" w:eastAsia="仿宋_GB2312" w:cs="仿宋_GB2312"/>
          <w:kern w:val="2"/>
          <w:sz w:val="32"/>
          <w:szCs w:val="32"/>
          <w:lang w:val="en-US" w:eastAsia="zh-CN" w:bidi="ar"/>
        </w:rPr>
        <w:t>与卫健局联合</w:t>
      </w:r>
      <w:r>
        <w:rPr>
          <w:rFonts w:hint="default" w:ascii="仿宋_GB2312" w:hAnsi="Calibri" w:eastAsia="仿宋_GB2312" w:cs="仿宋_GB2312"/>
          <w:kern w:val="0"/>
          <w:sz w:val="32"/>
          <w:szCs w:val="32"/>
          <w:shd w:val="clear" w:fill="FFFFFF"/>
          <w:lang w:val="en-US" w:eastAsia="zh-CN" w:bidi="ar"/>
        </w:rPr>
        <w:t>制订</w:t>
      </w:r>
      <w:r>
        <w:rPr>
          <w:rFonts w:hint="default" w:ascii="仿宋_GB2312" w:hAnsi="Calibri" w:eastAsia="仿宋_GB2312" w:cs="仿宋_GB2312"/>
          <w:kern w:val="2"/>
          <w:sz w:val="32"/>
          <w:szCs w:val="32"/>
          <w:lang w:val="en-US" w:eastAsia="zh-CN" w:bidi="ar"/>
        </w:rPr>
        <w:t>《关于进一步加强全区医疗机构药械质量管理的通知》，</w:t>
      </w:r>
      <w:r>
        <w:rPr>
          <w:rFonts w:hint="default" w:ascii="仿宋_GB2312" w:hAnsi="Calibri" w:eastAsia="仿宋_GB2312" w:cs="仿宋_GB2312"/>
          <w:kern w:val="0"/>
          <w:sz w:val="32"/>
          <w:szCs w:val="32"/>
          <w:lang w:val="en-US" w:eastAsia="zh-CN" w:bidi="ar"/>
        </w:rPr>
        <w:t>推动药房规范化建设。</w:t>
      </w:r>
      <w:r>
        <w:rPr>
          <w:rFonts w:hint="default" w:ascii="仿宋_GB2312" w:hAnsi="Calibri" w:eastAsia="仿宋_GB2312" w:cs="仿宋_GB2312"/>
          <w:kern w:val="2"/>
          <w:sz w:val="32"/>
          <w:szCs w:val="32"/>
          <w:lang w:val="en-US" w:eastAsia="zh-CN" w:bidi="ar"/>
        </w:rPr>
        <w:t>组织开展医疗器械流通领域安全风险隐患排查化解，收到医疗器械经营单位风险隐患自查报告63份。全年</w:t>
      </w:r>
      <w:r>
        <w:rPr>
          <w:rFonts w:hint="default" w:ascii="仿宋_GB2312" w:hAnsi="Calibri" w:eastAsia="仿宋_GB2312" w:cs="仿宋_GB2312"/>
          <w:bCs/>
          <w:color w:val="000000"/>
          <w:kern w:val="0"/>
          <w:sz w:val="32"/>
          <w:szCs w:val="32"/>
          <w:lang w:val="en-US" w:eastAsia="zh-CN" w:bidi="ar"/>
        </w:rPr>
        <w:t>共完成药品抽检15批次，医疗器械2批次，化妆品2批次，均合格。</w:t>
      </w:r>
      <w:r>
        <w:rPr>
          <w:rFonts w:hint="default" w:ascii="仿宋_GB2312" w:hAnsi="Calibri" w:eastAsia="仿宋_GB2312" w:cs="仿宋_GB2312"/>
          <w:kern w:val="2"/>
          <w:sz w:val="32"/>
          <w:szCs w:val="32"/>
          <w:lang w:val="en-US" w:eastAsia="zh-CN" w:bidi="ar"/>
        </w:rPr>
        <w:t>上报药品不良反应177例，医疗器械不良反应55例，化妆品不良反应22例</w:t>
      </w:r>
      <w:r>
        <w:rPr>
          <w:rFonts w:hint="default" w:ascii="仿宋_GB2312" w:hAnsi="Calibri" w:eastAsia="仿宋_GB2312" w:cs="仿宋_GB2312"/>
          <w:color w:val="000000"/>
          <w:kern w:val="2"/>
          <w:sz w:val="32"/>
          <w:szCs w:val="32"/>
          <w:lang w:val="en-US" w:eastAsia="zh-CN" w:bidi="ar"/>
        </w:rPr>
        <w:t>，查办药品医疗器械类案件61件。</w:t>
      </w:r>
    </w:p>
    <w:p w14:paraId="07F9F79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76" w:lineRule="exact"/>
        <w:ind w:left="0" w:leftChars="0" w:right="0" w:firstLine="640" w:firstLineChars="200"/>
        <w:jc w:val="both"/>
        <w:textAlignment w:val="auto"/>
        <w:outlineLvl w:val="9"/>
        <w:rPr>
          <w:rFonts w:hint="eastAsia" w:ascii="楷体" w:hAnsi="楷体" w:eastAsia="楷体" w:cs="楷体"/>
          <w:kern w:val="2"/>
          <w:sz w:val="32"/>
          <w:szCs w:val="32"/>
        </w:rPr>
      </w:pPr>
      <w:r>
        <w:rPr>
          <w:rFonts w:hint="eastAsia" w:ascii="楷体" w:hAnsi="楷体" w:eastAsia="楷体" w:cs="楷体"/>
          <w:kern w:val="2"/>
          <w:sz w:val="32"/>
          <w:szCs w:val="32"/>
          <w:lang w:val="en-US" w:eastAsia="zh-CN" w:bidi="ar"/>
        </w:rPr>
        <w:t>（三）绩效指标完成情况分析。</w:t>
      </w:r>
    </w:p>
    <w:p w14:paraId="1A2FA57B">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b/>
          <w:bCs/>
          <w:kern w:val="2"/>
          <w:sz w:val="32"/>
          <w:szCs w:val="32"/>
        </w:rPr>
      </w:pPr>
      <w:r>
        <w:rPr>
          <w:rFonts w:hint="default" w:ascii="仿宋_GB2312" w:hAnsi="Calibri" w:eastAsia="仿宋_GB2312" w:cs="仿宋_GB2312"/>
          <w:b/>
          <w:bCs/>
          <w:kern w:val="2"/>
          <w:sz w:val="32"/>
          <w:szCs w:val="32"/>
          <w:lang w:val="en-US" w:eastAsia="zh-CN" w:bidi="ar"/>
        </w:rPr>
        <w:t>1.产出指标完成情况分析。</w:t>
      </w:r>
    </w:p>
    <w:p w14:paraId="761CEA9F">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b w:val="0"/>
          <w:bCs w:val="0"/>
          <w:kern w:val="2"/>
          <w:sz w:val="32"/>
          <w:szCs w:val="32"/>
          <w:lang w:val="en-US" w:eastAsia="zh-CN" w:bidi="ar"/>
        </w:rPr>
        <w:t>（1）数量指标。</w:t>
      </w:r>
      <w:r>
        <w:rPr>
          <w:rFonts w:hint="default" w:ascii="仿宋_GB2312" w:hAnsi="Calibri" w:eastAsia="仿宋_GB2312" w:cs="仿宋_GB2312"/>
          <w:kern w:val="2"/>
          <w:sz w:val="32"/>
          <w:szCs w:val="32"/>
          <w:lang w:val="en-US" w:eastAsia="zh-CN" w:bidi="ar"/>
        </w:rPr>
        <w:t>开展监管及执法培训10余次，参加、开展风险研判11次，</w:t>
      </w:r>
      <w:r>
        <w:rPr>
          <w:rFonts w:hint="default" w:ascii="仿宋_GB2312" w:hAnsi="Calibri" w:eastAsia="仿宋_GB2312" w:cs="仿宋_GB2312"/>
          <w:kern w:val="0"/>
          <w:sz w:val="32"/>
          <w:szCs w:val="32"/>
          <w:lang w:val="en-US" w:eastAsia="zh-CN" w:bidi="ar"/>
        </w:rPr>
        <w:t>持续推进零售药店“一个公示栏”“一本隐患帐”“一台计算机”“三个档案盒”“三个查询册”的“三个一、两个三”规范化建设，</w:t>
      </w:r>
      <w:r>
        <w:rPr>
          <w:rFonts w:hint="default" w:ascii="仿宋_GB2312" w:hAnsi="Calibri" w:eastAsia="仿宋_GB2312" w:cs="仿宋_GB2312"/>
          <w:bCs/>
          <w:kern w:val="0"/>
          <w:sz w:val="32"/>
          <w:szCs w:val="32"/>
          <w:lang w:val="en-US" w:eastAsia="zh-CN" w:bidi="ar"/>
        </w:rPr>
        <w:t>完成药品抽检15批次，医疗器械2批次，化妆品2批次，均合格。</w:t>
      </w:r>
      <w:r>
        <w:rPr>
          <w:rFonts w:hint="default" w:ascii="仿宋_GB2312" w:hAnsi="Calibri" w:eastAsia="仿宋_GB2312" w:cs="仿宋_GB2312"/>
          <w:kern w:val="2"/>
          <w:sz w:val="32"/>
          <w:szCs w:val="32"/>
          <w:lang w:val="en-US" w:eastAsia="zh-CN" w:bidi="ar"/>
        </w:rPr>
        <w:t>上报药品不良反应177例，医疗器械不良反应55例，化妆品不良反应22例，查办药品医疗器械类案件61件。</w:t>
      </w:r>
    </w:p>
    <w:p w14:paraId="1EEAF349">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（2）质量指标。</w:t>
      </w:r>
      <w:r>
        <w:rPr>
          <w:rFonts w:hint="default" w:ascii="仿宋_GB2312" w:hAnsi="Calibri" w:eastAsia="仿宋_GB2312" w:cs="仿宋_GB2312"/>
          <w:spacing w:val="-4"/>
          <w:kern w:val="2"/>
          <w:sz w:val="32"/>
          <w:szCs w:val="32"/>
          <w:lang w:val="en-US" w:eastAsia="zh-CN" w:bidi="ar"/>
        </w:rPr>
        <w:t>指标1：不合格药品处置率:年度指标值：≥100%;实际完成指标值：100%,指标2：培训人员覆盖率:年度指标值：≥100%.实际完成指标值：100%</w:t>
      </w:r>
    </w:p>
    <w:p w14:paraId="0443A140">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（3）时效指标。截至2023年12月31日，我局严格按照上级要求，按时按质完成各项专项任务。</w:t>
      </w:r>
    </w:p>
    <w:p w14:paraId="5A5DED70">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（4）成本指标。药品安全监管监管工作经费7万元，资金使用率达100%。</w:t>
      </w:r>
    </w:p>
    <w:p w14:paraId="66D84B7D">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b/>
          <w:bCs/>
          <w:kern w:val="2"/>
          <w:sz w:val="32"/>
          <w:szCs w:val="32"/>
        </w:rPr>
      </w:pPr>
      <w:r>
        <w:rPr>
          <w:rFonts w:hint="default" w:ascii="仿宋_GB2312" w:hAnsi="Calibri" w:eastAsia="仿宋_GB2312" w:cs="仿宋_GB2312"/>
          <w:b/>
          <w:bCs/>
          <w:kern w:val="2"/>
          <w:sz w:val="32"/>
          <w:szCs w:val="32"/>
          <w:lang w:val="en-US" w:eastAsia="zh-CN" w:bidi="ar"/>
        </w:rPr>
        <w:t>2.效益指标完成情况分析。</w:t>
      </w:r>
    </w:p>
    <w:p w14:paraId="2340AEFA">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 w:val="0"/>
          <w:bCs w:val="0"/>
          <w:kern w:val="2"/>
          <w:sz w:val="32"/>
          <w:szCs w:val="32"/>
        </w:rPr>
      </w:pPr>
      <w:r>
        <w:rPr>
          <w:rFonts w:hint="default" w:ascii="仿宋_GB2312" w:hAnsi="Calibri" w:eastAsia="仿宋_GB2312" w:cs="仿宋_GB2312"/>
          <w:b w:val="0"/>
          <w:bCs w:val="0"/>
          <w:kern w:val="2"/>
          <w:sz w:val="32"/>
          <w:szCs w:val="32"/>
          <w:lang w:val="en-US" w:eastAsia="zh-CN" w:bidi="ar"/>
        </w:rPr>
        <w:t>（1）经济效益。通过药品医疗器械化妆品抽检，打击质量不符合标准的药械化产品，净化药械化市场经济。</w:t>
      </w:r>
    </w:p>
    <w:p w14:paraId="40A10C87">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b w:val="0"/>
          <w:bCs w:val="0"/>
          <w:kern w:val="2"/>
          <w:sz w:val="32"/>
          <w:szCs w:val="32"/>
          <w:lang w:val="en-US" w:eastAsia="zh-CN" w:bidi="ar"/>
        </w:rPr>
        <w:t>（2）社会效益。通过药械化抽检，净化药械化产品质量安全，保障昭化区人民购进使用到安全可靠的药品医疗器械化妆品。</w:t>
      </w:r>
    </w:p>
    <w:p w14:paraId="13C84A10">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（3）可持续影响。通过抽检发现市场的假劣药品医疗器械，对经营使用假劣药单位进行行政处罚，做到处罚一家震慑一片的效果，确保辖区内药械化经营使用单位合理合法购进储存使用药械化。</w:t>
      </w:r>
    </w:p>
    <w:p w14:paraId="00E91B3F">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kern w:val="2"/>
          <w:sz w:val="32"/>
          <w:szCs w:val="32"/>
          <w:lang w:val="en-US" w:eastAsia="zh-CN" w:bidi="ar"/>
        </w:rPr>
        <w:t>3.满意度指标完成情况分析。本次抽检工作社会满意度达95%以上，政府满意度达95%以上。</w:t>
      </w:r>
    </w:p>
    <w:p w14:paraId="49BE48F4">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eastAsia" w:ascii="黑体" w:hAnsi="宋体" w:eastAsia="黑体" w:cs="黑体"/>
          <w:kern w:val="2"/>
          <w:sz w:val="32"/>
          <w:szCs w:val="32"/>
        </w:rPr>
      </w:pPr>
      <w:r>
        <w:rPr>
          <w:rFonts w:hint="eastAsia" w:ascii="黑体" w:hAnsi="宋体" w:eastAsia="黑体" w:cs="黑体"/>
          <w:bCs/>
          <w:kern w:val="2"/>
          <w:sz w:val="32"/>
          <w:szCs w:val="32"/>
          <w:lang w:val="en-US" w:eastAsia="zh-CN" w:bidi="ar"/>
        </w:rPr>
        <w:t>三、偏离绩效目标的原因和下一步改进措施</w:t>
      </w:r>
    </w:p>
    <w:p w14:paraId="2A2113E3">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kern w:val="2"/>
          <w:sz w:val="32"/>
          <w:szCs w:val="32"/>
        </w:rPr>
      </w:pPr>
      <w:r>
        <w:rPr>
          <w:rFonts w:hint="default" w:ascii="仿宋_GB2312" w:hAnsi="Calibri" w:eastAsia="仿宋_GB2312" w:cs="仿宋_GB2312"/>
          <w:b/>
          <w:bCs/>
          <w:kern w:val="2"/>
          <w:sz w:val="32"/>
          <w:szCs w:val="32"/>
          <w:lang w:val="en-US" w:eastAsia="zh-CN" w:bidi="ar"/>
        </w:rPr>
        <w:t>偏离绩效目标的主要原因:</w:t>
      </w:r>
      <w:r>
        <w:rPr>
          <w:rFonts w:hint="default" w:ascii="仿宋_GB2312" w:hAnsi="Calibri" w:eastAsia="仿宋_GB2312" w:cs="仿宋_GB2312"/>
          <w:kern w:val="2"/>
          <w:sz w:val="32"/>
          <w:szCs w:val="32"/>
          <w:lang w:val="en-US" w:eastAsia="zh-CN" w:bidi="ar"/>
        </w:rPr>
        <w:t xml:space="preserve"> </w:t>
      </w:r>
    </w:p>
    <w:p w14:paraId="7C5821F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（一）风险识别及研判能力有待提升。</w:t>
      </w:r>
      <w:r>
        <w:rPr>
          <w:rFonts w:hint="default" w:ascii="仿宋_GB2312" w:hAnsi="Calibri" w:eastAsia="仿宋_GB2312" w:cs="仿宋_GB2312"/>
          <w:kern w:val="2"/>
          <w:sz w:val="32"/>
          <w:szCs w:val="32"/>
          <w:lang w:val="en-US" w:eastAsia="zh-CN" w:bidi="ar"/>
        </w:rPr>
        <w:t>药械化监管工作深度不足，部分工作难点应对不力，监管手段及经验有限，难以及时发现问题和有效识别风险。</w:t>
      </w:r>
    </w:p>
    <w:p w14:paraId="54AA56B9">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Cs/>
          <w:kern w:val="2"/>
          <w:sz w:val="32"/>
          <w:szCs w:val="32"/>
        </w:rPr>
      </w:pPr>
      <w:r>
        <w:rPr>
          <w:rFonts w:hint="eastAsia" w:ascii="楷体" w:hAnsi="楷体" w:eastAsia="楷体" w:cs="楷体"/>
          <w:kern w:val="2"/>
          <w:sz w:val="32"/>
          <w:szCs w:val="32"/>
          <w:lang w:val="en-US" w:eastAsia="zh-CN" w:bidi="ar"/>
        </w:rPr>
        <w:t>（二）综合监管整体合力有待进一步增强。</w:t>
      </w:r>
      <w:r>
        <w:rPr>
          <w:rFonts w:hint="default" w:ascii="仿宋_GB2312" w:hAnsi="Calibri" w:eastAsia="仿宋_GB2312" w:cs="仿宋_GB2312"/>
          <w:kern w:val="2"/>
          <w:sz w:val="32"/>
          <w:szCs w:val="32"/>
          <w:lang w:val="en-US" w:eastAsia="zh-CN" w:bidi="ar"/>
        </w:rPr>
        <w:t>内部职能融合不够充分，各股室联动协作有待进一步加强；和市局及兄弟县区交流不够，横向及纵向联动机制有待进一步健全；药品执法与刑事司法相衔接还不够紧密，跨部门协作、条块联动还需要进一步强化；</w:t>
      </w:r>
      <w:r>
        <w:rPr>
          <w:rFonts w:hint="default" w:ascii="仿宋_GB2312" w:hAnsi="Calibri" w:eastAsia="仿宋_GB2312" w:cs="仿宋_GB2312"/>
          <w:color w:val="000000"/>
          <w:kern w:val="0"/>
          <w:sz w:val="32"/>
          <w:szCs w:val="32"/>
          <w:lang w:val="en-US" w:eastAsia="zh-CN" w:bidi="ar"/>
        </w:rPr>
        <w:t>乡镇药品安全协管员、村药品安全信息员建设进度滞后。</w:t>
      </w:r>
    </w:p>
    <w:p w14:paraId="5972797E">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3" w:firstLineChars="200"/>
        <w:jc w:val="both"/>
        <w:textAlignment w:val="auto"/>
        <w:rPr>
          <w:rFonts w:hint="default" w:ascii="仿宋_GB2312" w:eastAsia="仿宋_GB2312" w:cs="仿宋_GB2312"/>
          <w:b/>
          <w:bCs w:val="0"/>
          <w:kern w:val="2"/>
          <w:sz w:val="32"/>
          <w:szCs w:val="32"/>
          <w:shd w:val="clear" w:fill="FFFFFF"/>
        </w:rPr>
      </w:pPr>
      <w:r>
        <w:rPr>
          <w:rFonts w:hint="default" w:ascii="仿宋_GB2312" w:hAnsi="Calibri" w:eastAsia="仿宋_GB2312" w:cs="仿宋_GB2312"/>
          <w:b/>
          <w:bCs w:val="0"/>
          <w:kern w:val="2"/>
          <w:sz w:val="32"/>
          <w:szCs w:val="32"/>
          <w:shd w:val="clear" w:fill="FFFFFF"/>
          <w:lang w:val="en-US" w:eastAsia="zh-CN" w:bidi="ar"/>
        </w:rPr>
        <w:t>下一步改进措施：</w:t>
      </w:r>
    </w:p>
    <w:p w14:paraId="27E5DA39">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（一）进一步强化药械化安全责任制落实。</w:t>
      </w:r>
      <w:r>
        <w:rPr>
          <w:rFonts w:hint="default" w:ascii="仿宋_GB2312" w:hAnsi="Calibri" w:eastAsia="仿宋_GB2312" w:cs="仿宋_GB2312"/>
          <w:kern w:val="2"/>
          <w:sz w:val="32"/>
          <w:szCs w:val="32"/>
          <w:lang w:val="en-US" w:eastAsia="zh-CN" w:bidi="ar"/>
        </w:rPr>
        <w:t>认真贯彻区委、区政府药械化安全工作部署以及省、市局药械化安全工作考核要求，明确职责，加强协同，增强合力，抓好落实。</w:t>
      </w:r>
    </w:p>
    <w:p w14:paraId="6EE82FB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（二）持续推进村卫生室药械质量安全检查。</w:t>
      </w:r>
      <w:r>
        <w:rPr>
          <w:rFonts w:hint="default" w:ascii="仿宋_GB2312" w:hAnsi="Calibri" w:eastAsia="仿宋_GB2312" w:cs="仿宋_GB2312"/>
          <w:kern w:val="2"/>
          <w:sz w:val="32"/>
          <w:szCs w:val="32"/>
          <w:lang w:val="en-US" w:eastAsia="zh-CN" w:bidi="ar"/>
        </w:rPr>
        <w:t>进一步加强对村卫生室药品、医疗器械的质量安全监管，建立健全农村药械安全监管长效机制，规范村级诊疗服务行为，保障广大人民群众用药用械安全有效。</w:t>
      </w:r>
    </w:p>
    <w:p w14:paraId="0FDA0E90">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（三）强化药械化经营使用单位药械化质量安全检查工作。</w:t>
      </w:r>
      <w:r>
        <w:rPr>
          <w:rFonts w:hint="default" w:ascii="仿宋_GB2312" w:hAnsi="Calibri" w:eastAsia="仿宋_GB2312" w:cs="仿宋_GB2312"/>
          <w:kern w:val="2"/>
          <w:sz w:val="32"/>
          <w:szCs w:val="32"/>
          <w:lang w:val="en-US" w:eastAsia="zh-CN" w:bidi="ar"/>
        </w:rPr>
        <w:t>坚持问题导向，加强药械化质量特别是疫情防控用药械、儿童用化妆品等重点产品质量安全监管，进一步加大风险排查处置力度，不断规范药械化经营使用秩序，确保人民用药用械用化安全。</w:t>
      </w:r>
    </w:p>
    <w:p w14:paraId="0474922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kern w:val="2"/>
          <w:sz w:val="32"/>
          <w:szCs w:val="32"/>
        </w:rPr>
      </w:pPr>
      <w:r>
        <w:rPr>
          <w:rFonts w:hint="eastAsia" w:ascii="楷体" w:hAnsi="楷体" w:eastAsia="楷体" w:cs="楷体"/>
          <w:kern w:val="2"/>
          <w:sz w:val="32"/>
          <w:szCs w:val="32"/>
          <w:lang w:val="en-US" w:eastAsia="zh-CN" w:bidi="ar"/>
        </w:rPr>
        <w:t>（四）强化宣教培训。</w:t>
      </w:r>
      <w:r>
        <w:rPr>
          <w:rFonts w:hint="default" w:ascii="仿宋_GB2312" w:hAnsi="Calibri" w:eastAsia="仿宋_GB2312" w:cs="仿宋_GB2312"/>
          <w:kern w:val="2"/>
          <w:sz w:val="32"/>
          <w:szCs w:val="32"/>
          <w:lang w:val="en-US" w:eastAsia="zh-CN" w:bidi="ar"/>
        </w:rPr>
        <w:t>持续开展“两法”宣贯工作，提高企业主体责任意识，引导企业诚信守法、依法依规开展经营活动，切实保障药械化质量安全。同时引导公众不断增强依法维权意识，科学安全用药用械用化，不断巩固药械化安全社会共治格局。</w:t>
      </w:r>
    </w:p>
    <w:p w14:paraId="196343B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eastAsia="仿宋_GB2312" w:cs="仿宋_GB2312"/>
          <w:bCs/>
          <w:kern w:val="2"/>
          <w:sz w:val="32"/>
          <w:szCs w:val="32"/>
        </w:rPr>
      </w:pPr>
      <w:r>
        <w:rPr>
          <w:rFonts w:hint="eastAsia" w:ascii="楷体" w:hAnsi="楷体" w:eastAsia="楷体" w:cs="楷体"/>
          <w:kern w:val="2"/>
          <w:sz w:val="32"/>
          <w:szCs w:val="32"/>
          <w:lang w:val="en-US" w:eastAsia="zh-CN" w:bidi="ar"/>
        </w:rPr>
        <w:t>（五）依法查处药械化违法违规案件。</w:t>
      </w:r>
      <w:r>
        <w:rPr>
          <w:rFonts w:hint="default" w:ascii="仿宋_GB2312" w:hAnsi="Calibri" w:eastAsia="仿宋_GB2312" w:cs="仿宋_GB2312"/>
          <w:kern w:val="2"/>
          <w:sz w:val="32"/>
          <w:szCs w:val="32"/>
          <w:lang w:val="en-US" w:eastAsia="zh-CN" w:bidi="ar"/>
        </w:rPr>
        <w:t>继续保持高压态势，严厉打击违法违规及犯罪行为；强化大要案办理，加强部门协作与区域联动，加强稽查执法与日常监管和刑事司法衔接；完善案件督办制度，按时办结案件，及时录入系统并公开信息。</w:t>
      </w:r>
    </w:p>
    <w:p w14:paraId="7602A631">
      <w:pPr>
        <w:keepNext w:val="0"/>
        <w:keepLines w:val="0"/>
        <w:pageBreakBefore w:val="0"/>
        <w:widowControl w:val="0"/>
        <w:numPr>
          <w:ilvl w:val="0"/>
          <w:numId w:val="0"/>
        </w:numPr>
        <w:suppressLineNumbers w:val="0"/>
        <w:kinsoku/>
        <w:wordWrap/>
        <w:overflowPunct/>
        <w:topLinePunct w:val="0"/>
        <w:autoSpaceDE w:val="0"/>
        <w:bidi w:val="0"/>
        <w:adjustRightInd w:val="0"/>
        <w:spacing w:before="0" w:beforeAutospacing="0" w:after="0" w:afterAutospacing="0" w:line="576" w:lineRule="exact"/>
        <w:ind w:right="0" w:rightChars="0" w:firstLine="624" w:firstLineChars="200"/>
        <w:jc w:val="both"/>
        <w:textAlignment w:val="auto"/>
        <w:rPr>
          <w:rFonts w:hint="eastAsia" w:ascii="黑体" w:hAnsi="宋体" w:eastAsia="黑体" w:cs="黑体"/>
          <w:spacing w:val="-4"/>
          <w:kern w:val="2"/>
          <w:sz w:val="32"/>
          <w:szCs w:val="32"/>
        </w:rPr>
      </w:pPr>
      <w:r>
        <w:rPr>
          <w:rFonts w:hint="eastAsia" w:ascii="黑体" w:hAnsi="宋体" w:eastAsia="黑体" w:cs="黑体"/>
          <w:spacing w:val="-4"/>
          <w:kern w:val="2"/>
          <w:sz w:val="32"/>
          <w:szCs w:val="32"/>
          <w:lang w:val="en-US" w:eastAsia="zh-CN" w:bidi="ar"/>
        </w:rPr>
        <w:t>四、绩效自评结果拟应用和公开情况</w:t>
      </w:r>
    </w:p>
    <w:p w14:paraId="6FC8BD1F">
      <w:pPr>
        <w:pStyle w:val="12"/>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576" w:lineRule="exact"/>
        <w:ind w:left="0" w:leftChars="0" w:right="0" w:firstLine="624" w:firstLineChars="200"/>
        <w:jc w:val="left"/>
        <w:textAlignment w:val="auto"/>
        <w:rPr>
          <w:rFonts w:hint="default" w:ascii="仿宋_GB2312" w:eastAsia="仿宋_GB2312" w:cs="仿宋_GB2312"/>
          <w:spacing w:val="-4"/>
          <w:kern w:val="2"/>
          <w:sz w:val="32"/>
          <w:szCs w:val="32"/>
        </w:rPr>
      </w:pPr>
      <w:r>
        <w:rPr>
          <w:rFonts w:hint="default" w:ascii="仿宋_GB2312" w:hAnsi="Arial" w:eastAsia="仿宋_GB2312" w:cs="仿宋_GB2312"/>
          <w:color w:val="000000"/>
          <w:spacing w:val="-4"/>
          <w:kern w:val="2"/>
          <w:sz w:val="32"/>
          <w:szCs w:val="32"/>
          <w:lang w:val="en-US" w:eastAsia="zh-CN" w:bidi="ar"/>
        </w:rPr>
        <w:t>按照上级要求及时在区政府网站和相关平台公开。</w:t>
      </w:r>
    </w:p>
    <w:p w14:paraId="4C08547F">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leftChars="0" w:right="0" w:firstLine="640" w:firstLineChars="200"/>
        <w:jc w:val="both"/>
        <w:textAlignment w:val="auto"/>
        <w:rPr>
          <w:rFonts w:hint="eastAsia" w:ascii="黑体" w:hAnsi="宋体" w:eastAsia="黑体" w:cs="黑体"/>
          <w:bCs/>
          <w:kern w:val="2"/>
          <w:sz w:val="32"/>
          <w:szCs w:val="32"/>
        </w:rPr>
      </w:pPr>
      <w:r>
        <w:rPr>
          <w:rFonts w:hint="eastAsia" w:ascii="黑体" w:hAnsi="宋体" w:eastAsia="黑体" w:cs="黑体"/>
          <w:bCs/>
          <w:kern w:val="2"/>
          <w:sz w:val="32"/>
          <w:szCs w:val="32"/>
          <w:lang w:val="en-US" w:eastAsia="zh-CN" w:bidi="ar"/>
        </w:rPr>
        <w:t>五、其他需要说明的问题</w:t>
      </w:r>
    </w:p>
    <w:p w14:paraId="7745D90B">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textAlignment w:val="auto"/>
        <w:rPr>
          <w:rFonts w:hint="default" w:ascii="仿宋_GB2312" w:hAnsi="Calibri" w:eastAsia="仿宋_GB2312" w:cs="仿宋_GB2312"/>
          <w:kern w:val="2"/>
          <w:sz w:val="32"/>
          <w:szCs w:val="32"/>
          <w:lang w:val="en-US" w:eastAsia="zh-CN" w:bidi="ar"/>
        </w:rPr>
      </w:pPr>
      <w:r>
        <w:rPr>
          <w:rFonts w:hint="default" w:ascii="仿宋_GB2312" w:hAnsi="Calibri" w:eastAsia="仿宋_GB2312" w:cs="仿宋_GB2312"/>
          <w:kern w:val="2"/>
          <w:sz w:val="32"/>
          <w:szCs w:val="32"/>
          <w:lang w:val="en-US" w:eastAsia="zh-CN" w:bidi="ar"/>
        </w:rPr>
        <w:t>在中央巡视、各级审计和财政监督中未发现不合规问题及所涉及违规金额。</w:t>
      </w:r>
    </w:p>
    <w:p w14:paraId="36B8F963">
      <w:pPr>
        <w:rPr>
          <w:rFonts w:hint="eastAsia"/>
        </w:rPr>
      </w:pPr>
      <w:r>
        <w:rPr>
          <w:rFonts w:hint="eastAsia"/>
        </w:rPr>
        <w:br w:type="page"/>
      </w:r>
    </w:p>
    <w:p w14:paraId="4BF3330F">
      <w:pPr>
        <w:keepNext w:val="0"/>
        <w:keepLines w:val="0"/>
        <w:widowControl w:val="0"/>
        <w:suppressLineNumbers w:val="0"/>
        <w:autoSpaceDE w:val="0"/>
        <w:autoSpaceDN/>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广元市昭化区市场监督管理局</w:t>
      </w:r>
    </w:p>
    <w:p w14:paraId="6B4B667F">
      <w:pPr>
        <w:keepNext w:val="0"/>
        <w:keepLines w:val="0"/>
        <w:widowControl w:val="0"/>
        <w:suppressLineNumbers w:val="0"/>
        <w:autoSpaceDE w:val="0"/>
        <w:autoSpaceDN/>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2023年度市场综合监管专项绩资金效自评</w:t>
      </w:r>
    </w:p>
    <w:p w14:paraId="43B950B7">
      <w:pPr>
        <w:keepNext w:val="0"/>
        <w:keepLines w:val="0"/>
        <w:widowControl w:val="0"/>
        <w:suppressLineNumbers w:val="0"/>
        <w:autoSpaceDE w:val="0"/>
        <w:autoSpaceDN/>
        <w:spacing w:before="0" w:beforeAutospacing="0" w:after="0" w:afterAutospacing="0" w:line="576" w:lineRule="exact"/>
        <w:ind w:left="0" w:right="0"/>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bidi="ar"/>
        </w:rPr>
        <w:t>报  告</w:t>
      </w:r>
    </w:p>
    <w:p w14:paraId="61042ABB">
      <w:pPr>
        <w:pStyle w:val="12"/>
        <w:keepNext w:val="0"/>
        <w:keepLines w:val="0"/>
        <w:widowControl w:val="0"/>
        <w:suppressLineNumbers w:val="0"/>
        <w:autoSpaceDE w:val="0"/>
        <w:autoSpaceDN/>
        <w:spacing w:before="0" w:beforeAutospacing="1" w:after="0" w:afterAutospacing="1" w:line="240" w:lineRule="exact"/>
        <w:ind w:left="480" w:leftChars="20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 xml:space="preserve"> </w:t>
      </w:r>
    </w:p>
    <w:p w14:paraId="5A17FB7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pacing w:before="0" w:beforeAutospacing="0" w:after="0" w:afterAutospacing="0" w:line="576" w:lineRule="exact"/>
        <w:ind w:left="0" w:right="0"/>
        <w:jc w:val="both"/>
        <w:rPr>
          <w:rFonts w:hint="default" w:ascii="仿宋_GB2312" w:eastAsia="仿宋_GB2312" w:cs="仿宋_GB2312"/>
          <w:b w:val="0"/>
          <w:bCs w:val="0"/>
          <w:kern w:val="2"/>
          <w:sz w:val="32"/>
          <w:szCs w:val="32"/>
        </w:rPr>
      </w:pPr>
      <w:r>
        <w:rPr>
          <w:rFonts w:hint="default" w:ascii="仿宋_GB2312" w:hAnsi="宋体" w:eastAsia="仿宋_GB2312" w:cs="仿宋_GB2312"/>
          <w:b w:val="0"/>
          <w:bCs w:val="0"/>
          <w:kern w:val="2"/>
          <w:sz w:val="32"/>
          <w:szCs w:val="32"/>
          <w:lang w:val="en-US" w:eastAsia="zh-CN" w:bidi="ar"/>
        </w:rPr>
        <w:t>昭化区财政局：</w:t>
      </w:r>
    </w:p>
    <w:p w14:paraId="2B5E146D">
      <w:pPr>
        <w:keepNext w:val="0"/>
        <w:keepLines w:val="0"/>
        <w:pageBreakBefore w:val="0"/>
        <w:widowControl/>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textAlignment w:val="baseline"/>
        <w:rPr>
          <w:rFonts w:hint="default" w:ascii="仿宋_GB2312" w:eastAsia="仿宋_GB2312" w:cs="仿宋_GB2312"/>
          <w:kern w:val="2"/>
          <w:sz w:val="32"/>
          <w:szCs w:val="32"/>
          <w:vertAlign w:val="baseline"/>
        </w:rPr>
      </w:pPr>
      <w:r>
        <w:rPr>
          <w:rFonts w:hint="default" w:ascii="仿宋_GB2312" w:hAnsi="Times New Roman" w:eastAsia="仿宋_GB2312" w:cs="仿宋_GB2312"/>
          <w:kern w:val="2"/>
          <w:sz w:val="32"/>
          <w:szCs w:val="32"/>
          <w:vertAlign w:val="baseline"/>
          <w:lang w:val="en-US" w:eastAsia="zh-CN" w:bidi="ar"/>
        </w:rPr>
        <w:t>按照《四川省财政厅关于提前下达2023年市场监管专项资金预算的通知》（川财行〔2022〕150号）《四川省财政厅 四川省市场监督管理局关于下达2023年市场监管专项资金预算的通知》（川财行〔2023〕26号）、《四川省财政厅四川省市场监督管理局关于下达2023年市场监管专项资金（应急部分）预算的通知》（川财行〔2023〕113号）要求，我局高度重视，精心组织，落实专人，对2023年省级市场监管专项项目支出开展了绩效自评工作，现报告如下。</w:t>
      </w:r>
    </w:p>
    <w:p w14:paraId="144C0C8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72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bidi="ar"/>
        </w:rPr>
        <w:t>一、项目概况</w:t>
      </w:r>
    </w:p>
    <w:p w14:paraId="0292F5F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宋体" w:eastAsia="仿宋_GB2312" w:cs="仿宋_GB2312"/>
          <w:kern w:val="2"/>
          <w:sz w:val="32"/>
          <w:szCs w:val="32"/>
          <w:lang w:val="en-US" w:eastAsia="zh-CN" w:bidi="ar"/>
        </w:rPr>
        <w:t>昭化区区市场监督管理局2023年省级市场监管专项项目资金总额37万元，批复37万元，执行数37万元，用于支出我区市场综合监管工作，收到了良好的社会效益，守住了全区人民群众生命健康底线。</w:t>
      </w:r>
    </w:p>
    <w:p w14:paraId="6D8AD55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kern w:val="2"/>
          <w:sz w:val="32"/>
          <w:szCs w:val="32"/>
          <w:shd w:val="clear" w:fill="FFFFFF"/>
        </w:rPr>
      </w:pPr>
      <w:r>
        <w:rPr>
          <w:rFonts w:hint="default" w:ascii="仿宋_GB2312" w:hAnsi="Times New Roman" w:eastAsia="仿宋_GB2312" w:cs="仿宋_GB2312"/>
          <w:b/>
          <w:bCs w:val="0"/>
          <w:kern w:val="2"/>
          <w:sz w:val="32"/>
          <w:szCs w:val="32"/>
          <w:lang w:val="en-US" w:eastAsia="zh-CN" w:bidi="ar"/>
        </w:rPr>
        <w:t>1．项目资金申报及批复情况。</w:t>
      </w:r>
      <w:r>
        <w:rPr>
          <w:rFonts w:hint="default" w:ascii="仿宋_GB2312" w:hAnsi="Times New Roman" w:eastAsia="仿宋_GB2312" w:cs="仿宋_GB2312"/>
          <w:kern w:val="2"/>
          <w:sz w:val="32"/>
          <w:szCs w:val="32"/>
          <w:lang w:val="en-US" w:eastAsia="zh-CN" w:bidi="ar"/>
        </w:rPr>
        <w:t>根据广财行〔2023〕4号文件下达我局</w:t>
      </w:r>
      <w:r>
        <w:rPr>
          <w:rFonts w:hint="default" w:ascii="仿宋_GB2312" w:hAnsi="Times New Roman" w:eastAsia="仿宋_GB2312" w:cs="仿宋_GB2312"/>
          <w:kern w:val="2"/>
          <w:sz w:val="32"/>
          <w:szCs w:val="32"/>
          <w:shd w:val="clear" w:fill="FFFFFF"/>
          <w:lang w:val="en-US" w:eastAsia="zh-CN" w:bidi="ar"/>
        </w:rPr>
        <w:t>2023年市场综市场监管综合业务7万元；</w:t>
      </w:r>
      <w:r>
        <w:rPr>
          <w:rFonts w:hint="default" w:ascii="仿宋_GB2312" w:hAnsi="Times New Roman" w:eastAsia="仿宋_GB2312" w:cs="仿宋_GB2312"/>
          <w:kern w:val="2"/>
          <w:sz w:val="32"/>
          <w:szCs w:val="32"/>
          <w:lang w:val="en-US" w:eastAsia="zh-CN" w:bidi="ar"/>
        </w:rPr>
        <w:t>广财行〔2023〕6号文件下达我局</w:t>
      </w:r>
      <w:r>
        <w:rPr>
          <w:rFonts w:hint="default" w:ascii="仿宋_GB2312" w:hAnsi="Times New Roman" w:eastAsia="仿宋_GB2312" w:cs="仿宋_GB2312"/>
          <w:kern w:val="2"/>
          <w:sz w:val="32"/>
          <w:szCs w:val="32"/>
          <w:shd w:val="clear" w:fill="FFFFFF"/>
          <w:lang w:val="en-US" w:eastAsia="zh-CN" w:bidi="ar"/>
        </w:rPr>
        <w:t>2023年春雷行动12万元；</w:t>
      </w:r>
      <w:r>
        <w:rPr>
          <w:rFonts w:hint="default" w:ascii="仿宋_GB2312" w:hAnsi="Times New Roman" w:eastAsia="仿宋_GB2312" w:cs="仿宋_GB2312"/>
          <w:kern w:val="2"/>
          <w:sz w:val="32"/>
          <w:szCs w:val="32"/>
          <w:lang w:val="en-US" w:eastAsia="zh-CN" w:bidi="ar"/>
        </w:rPr>
        <w:t>广财行〔2023〕41号文件下达我局</w:t>
      </w:r>
      <w:r>
        <w:rPr>
          <w:rFonts w:hint="default" w:ascii="仿宋_GB2312" w:hAnsi="Times New Roman" w:eastAsia="仿宋_GB2312" w:cs="仿宋_GB2312"/>
          <w:kern w:val="2"/>
          <w:sz w:val="32"/>
          <w:szCs w:val="32"/>
          <w:shd w:val="clear" w:fill="FFFFFF"/>
          <w:lang w:val="en-US" w:eastAsia="zh-CN" w:bidi="ar"/>
        </w:rPr>
        <w:t>2023年市场综市场监管综合业务13万元,广财建（2023）122号文件下达我局2023年省级知识产权专项资金5万元。</w:t>
      </w:r>
    </w:p>
    <w:p w14:paraId="60067B2C">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b w:val="0"/>
          <w:i w:val="0"/>
          <w:caps w:val="0"/>
          <w:color w:val="000000"/>
          <w:spacing w:val="0"/>
          <w:kern w:val="2"/>
          <w:sz w:val="32"/>
          <w:szCs w:val="32"/>
        </w:rPr>
      </w:pPr>
      <w:r>
        <w:rPr>
          <w:rFonts w:hint="default" w:ascii="仿宋_GB2312" w:hAnsi="Times New Roman" w:eastAsia="仿宋_GB2312" w:cs="仿宋_GB2312"/>
          <w:b/>
          <w:bCs w:val="0"/>
          <w:kern w:val="2"/>
          <w:sz w:val="32"/>
          <w:szCs w:val="32"/>
          <w:lang w:val="en-US" w:eastAsia="zh-CN" w:bidi="ar"/>
        </w:rPr>
        <w:t>2．项目绩效目标。</w:t>
      </w:r>
      <w:r>
        <w:rPr>
          <w:rFonts w:hint="default" w:ascii="仿宋_GB2312" w:hAnsi="Times New Roman" w:eastAsia="仿宋_GB2312" w:cs="仿宋_GB2312"/>
          <w:kern w:val="2"/>
          <w:sz w:val="32"/>
          <w:szCs w:val="32"/>
          <w:lang w:val="en-US" w:eastAsia="zh-CN" w:bidi="ar"/>
        </w:rPr>
        <w:t>根据全年专项工作安排，按照专项资金管理办法和专款专用的原则，春雷执法工作、</w:t>
      </w:r>
      <w:r>
        <w:rPr>
          <w:rFonts w:hint="default" w:ascii="仿宋_GB2312" w:hAnsi="Times New Roman" w:eastAsia="仿宋_GB2312" w:cs="仿宋_GB2312"/>
          <w:kern w:val="0"/>
          <w:sz w:val="32"/>
          <w:szCs w:val="32"/>
          <w:shd w:val="clear" w:fill="FFFFFF"/>
          <w:lang w:val="en-US" w:eastAsia="zh-CN" w:bidi="ar"/>
        </w:rPr>
        <w:t>公平竞争审查、价格监管、</w:t>
      </w:r>
      <w:r>
        <w:rPr>
          <w:rFonts w:hint="default" w:ascii="仿宋_GB2312" w:hAnsi="Times New Roman" w:eastAsia="仿宋_GB2312" w:cs="仿宋_GB2312"/>
          <w:kern w:val="2"/>
          <w:sz w:val="32"/>
          <w:szCs w:val="32"/>
          <w:shd w:val="clear" w:fill="FFFFFF"/>
          <w:lang w:val="en-US" w:eastAsia="zh-CN" w:bidi="ar"/>
        </w:rPr>
        <w:t>年报公示、“双随机、一公开”抽查检查，</w:t>
      </w:r>
      <w:r>
        <w:rPr>
          <w:rFonts w:hint="default" w:ascii="仿宋_GB2312" w:hAnsi="Times New Roman" w:eastAsia="仿宋_GB2312" w:cs="仿宋_GB2312"/>
          <w:b w:val="0"/>
          <w:i w:val="0"/>
          <w:caps w:val="0"/>
          <w:color w:val="000000"/>
          <w:spacing w:val="0"/>
          <w:kern w:val="2"/>
          <w:sz w:val="32"/>
          <w:szCs w:val="32"/>
          <w:lang w:val="en-US" w:eastAsia="zh-CN" w:bidi="ar"/>
        </w:rPr>
        <w:t>持续加强业务能力提升和监管队伍建设，统筹推进市场监管和经济社会发展，不断维护辖区市场秩序稳定，切实保障和改善民生，积极营造法治化、市场化、国际化营商环境，各项工作创新开展，均取得显著成效。</w:t>
      </w:r>
    </w:p>
    <w:p w14:paraId="13062E0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hAnsi="Times New Roman" w:eastAsia="仿宋_GB2312" w:cs="仿宋_GB2312"/>
          <w:kern w:val="2"/>
          <w:sz w:val="32"/>
          <w:szCs w:val="32"/>
          <w:lang w:val="en-US" w:eastAsia="zh-CN" w:bidi="ar"/>
        </w:rPr>
      </w:pPr>
      <w:r>
        <w:rPr>
          <w:rFonts w:hint="default" w:ascii="仿宋_GB2312" w:hAnsi="Times New Roman" w:eastAsia="仿宋_GB2312" w:cs="仿宋_GB2312"/>
          <w:b/>
          <w:bCs w:val="0"/>
          <w:kern w:val="2"/>
          <w:sz w:val="32"/>
          <w:szCs w:val="32"/>
          <w:lang w:val="en-US" w:eastAsia="zh-CN" w:bidi="ar"/>
        </w:rPr>
        <w:t>3．项目资金申报相符性。</w:t>
      </w:r>
      <w:r>
        <w:rPr>
          <w:rFonts w:hint="default" w:ascii="仿宋_GB2312" w:hAnsi="Times New Roman" w:eastAsia="仿宋_GB2312" w:cs="仿宋_GB2312"/>
          <w:kern w:val="2"/>
          <w:sz w:val="32"/>
          <w:szCs w:val="32"/>
          <w:lang w:val="en-US" w:eastAsia="zh-CN" w:bidi="ar"/>
        </w:rPr>
        <w:t>资金申报完全按照项目实施内容及年度内计划方案实施，资金申报合理，操作性强，可行性高。我局结合资金性质及用途，有预见性、前瞻性地开展工作，对项目实施未产生任何影响。</w:t>
      </w:r>
    </w:p>
    <w:p w14:paraId="2E6AFF1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rPr>
          <w:rFonts w:hint="default" w:ascii="仿宋_GB2312" w:eastAsia="仿宋_GB2312" w:cs="仿宋_GB2312"/>
          <w:b/>
          <w:bCs/>
          <w:kern w:val="2"/>
          <w:sz w:val="32"/>
          <w:szCs w:val="32"/>
        </w:rPr>
      </w:pPr>
      <w:r>
        <w:rPr>
          <w:rFonts w:hint="eastAsia" w:ascii="黑体" w:hAnsi="宋体" w:eastAsia="黑体" w:cs="黑体"/>
          <w:kern w:val="2"/>
          <w:sz w:val="32"/>
          <w:szCs w:val="32"/>
          <w:lang w:val="en-US" w:eastAsia="zh-CN" w:bidi="ar"/>
        </w:rPr>
        <w:t>二、项目实施及管理情况</w:t>
      </w:r>
    </w:p>
    <w:p w14:paraId="721864B9">
      <w:pPr>
        <w:keepNext w:val="0"/>
        <w:keepLines w:val="0"/>
        <w:pageBreakBefore w:val="0"/>
        <w:widowControl w:val="0"/>
        <w:numPr>
          <w:ilvl w:val="0"/>
          <w:numId w:val="4"/>
        </w:numPr>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eastAsia" w:ascii="楷体" w:hAnsi="楷体" w:eastAsia="楷体" w:cs="楷体"/>
          <w:b w:val="0"/>
          <w:bCs/>
          <w:kern w:val="2"/>
          <w:sz w:val="32"/>
          <w:szCs w:val="32"/>
        </w:rPr>
      </w:pPr>
      <w:r>
        <w:rPr>
          <w:rFonts w:hint="eastAsia" w:ascii="楷体" w:hAnsi="楷体" w:eastAsia="楷体" w:cs="楷体"/>
          <w:b w:val="0"/>
          <w:bCs/>
          <w:kern w:val="2"/>
          <w:sz w:val="32"/>
          <w:szCs w:val="32"/>
          <w:lang w:val="en-US" w:eastAsia="zh-CN" w:bidi="ar"/>
        </w:rPr>
        <w:t>资金计划、到位及使用情况</w:t>
      </w:r>
    </w:p>
    <w:p w14:paraId="1E0FBB4E">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kern w:val="2"/>
          <w:sz w:val="32"/>
          <w:szCs w:val="32"/>
        </w:rPr>
      </w:pPr>
      <w:r>
        <w:rPr>
          <w:rFonts w:hint="default" w:ascii="仿宋_GB2312" w:hAnsi="Times New Roman" w:eastAsia="仿宋_GB2312" w:cs="仿宋_GB2312"/>
          <w:b/>
          <w:bCs w:val="0"/>
          <w:kern w:val="2"/>
          <w:sz w:val="32"/>
          <w:szCs w:val="32"/>
          <w:lang w:val="en-US" w:eastAsia="zh-CN" w:bidi="ar"/>
        </w:rPr>
        <w:t>1.项目资金到位情况分析</w:t>
      </w:r>
      <w:r>
        <w:rPr>
          <w:rFonts w:hint="default" w:ascii="仿宋_GB2312" w:hAnsi="Times New Roman" w:eastAsia="仿宋_GB2312" w:cs="仿宋_GB2312"/>
          <w:b/>
          <w:bCs/>
          <w:kern w:val="2"/>
          <w:sz w:val="32"/>
          <w:szCs w:val="32"/>
          <w:lang w:val="en-US" w:eastAsia="zh-CN" w:bidi="ar"/>
        </w:rPr>
        <w:t>。</w:t>
      </w:r>
      <w:r>
        <w:rPr>
          <w:rFonts w:hint="default" w:ascii="仿宋_GB2312" w:hAnsi="Times New Roman" w:eastAsia="仿宋_GB2312" w:cs="仿宋_GB2312"/>
          <w:kern w:val="2"/>
          <w:sz w:val="32"/>
          <w:szCs w:val="32"/>
          <w:lang w:val="en-US" w:eastAsia="zh-CN" w:bidi="ar"/>
        </w:rPr>
        <w:t>2023年度区财政局在有效时限内将市场监管专项资金指标下达我局，我局根据资金用途制定了详细的项目实施方案及资金使用计划，确保了专项资金的专款专用。</w:t>
      </w:r>
    </w:p>
    <w:p w14:paraId="2E22050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kern w:val="2"/>
          <w:sz w:val="32"/>
          <w:szCs w:val="32"/>
        </w:rPr>
      </w:pPr>
      <w:r>
        <w:rPr>
          <w:rFonts w:hint="default" w:ascii="仿宋_GB2312" w:hAnsi="Times New Roman" w:eastAsia="仿宋_GB2312" w:cs="仿宋_GB2312"/>
          <w:b/>
          <w:bCs w:val="0"/>
          <w:kern w:val="2"/>
          <w:sz w:val="32"/>
          <w:szCs w:val="32"/>
          <w:lang w:val="en-US" w:eastAsia="zh-CN" w:bidi="ar"/>
        </w:rPr>
        <w:t>2.项目资金执行情况分析</w:t>
      </w:r>
      <w:r>
        <w:rPr>
          <w:rFonts w:hint="default" w:ascii="仿宋_GB2312" w:hAnsi="Times New Roman" w:eastAsia="仿宋_GB2312" w:cs="仿宋_GB2312"/>
          <w:b/>
          <w:bCs/>
          <w:kern w:val="2"/>
          <w:sz w:val="32"/>
          <w:szCs w:val="32"/>
          <w:lang w:val="en-US" w:eastAsia="zh-CN" w:bidi="ar"/>
        </w:rPr>
        <w:t>。</w:t>
      </w:r>
      <w:r>
        <w:rPr>
          <w:rFonts w:hint="default" w:ascii="仿宋_GB2312" w:hAnsi="Times New Roman" w:eastAsia="仿宋_GB2312" w:cs="仿宋_GB2312"/>
          <w:kern w:val="2"/>
          <w:sz w:val="32"/>
          <w:szCs w:val="32"/>
          <w:lang w:val="en-US" w:eastAsia="zh-CN" w:bidi="ar"/>
        </w:rPr>
        <w:t>我局项目资金的实际支出完全符合资金开支范围、标准及支付要求，支付依据合规合法，资金支付与预算相符。</w:t>
      </w:r>
    </w:p>
    <w:p w14:paraId="72359DC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3" w:firstLineChars="200"/>
        <w:jc w:val="both"/>
        <w:rPr>
          <w:rFonts w:hint="default" w:ascii="仿宋_GB2312" w:eastAsia="仿宋_GB2312" w:cs="仿宋_GB2312"/>
          <w:kern w:val="2"/>
          <w:sz w:val="32"/>
          <w:szCs w:val="32"/>
        </w:rPr>
      </w:pPr>
      <w:r>
        <w:rPr>
          <w:rFonts w:hint="default" w:ascii="仿宋_GB2312" w:hAnsi="Times New Roman" w:eastAsia="仿宋_GB2312" w:cs="仿宋_GB2312"/>
          <w:b/>
          <w:bCs w:val="0"/>
          <w:kern w:val="2"/>
          <w:sz w:val="32"/>
          <w:szCs w:val="32"/>
          <w:lang w:val="en-US" w:eastAsia="zh-CN" w:bidi="ar"/>
        </w:rPr>
        <w:t>3.项目资金管理情况分析。</w:t>
      </w:r>
      <w:r>
        <w:rPr>
          <w:rFonts w:hint="default" w:ascii="仿宋_GB2312" w:hAnsi="Times New Roman" w:eastAsia="仿宋_GB2312" w:cs="仿宋_GB2312"/>
          <w:kern w:val="2"/>
          <w:sz w:val="32"/>
          <w:szCs w:val="32"/>
          <w:lang w:val="en-US" w:eastAsia="zh-CN" w:bidi="ar"/>
        </w:rPr>
        <w:t>为强化专项资金管理，发挥资金的最大使用绩效，我局按照“统筹兼顾、突出重点、促进发展、专款专用、注重绩效”的原则，制定了专项资金使用实施方案、项目资金管理办法及内控管理制度等，规范了项目资金的核算及账务处理相关内容，进一步强化监督管理，严格按照各项管理办法、制度执行，充分发挥了资金使用效益。</w:t>
      </w:r>
    </w:p>
    <w:p w14:paraId="1A7DCC13">
      <w:pPr>
        <w:keepNext w:val="0"/>
        <w:keepLines w:val="0"/>
        <w:pageBreakBefore w:val="0"/>
        <w:widowControl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576" w:lineRule="exact"/>
        <w:ind w:left="0" w:right="0" w:firstLine="640" w:firstLineChars="200"/>
        <w:jc w:val="both"/>
        <w:rPr>
          <w:rFonts w:hint="eastAsia" w:ascii="楷体" w:hAnsi="楷体" w:eastAsia="楷体" w:cs="楷体"/>
          <w:b w:val="0"/>
          <w:bCs w:val="0"/>
          <w:kern w:val="2"/>
          <w:sz w:val="32"/>
          <w:szCs w:val="32"/>
        </w:rPr>
      </w:pPr>
      <w:r>
        <w:rPr>
          <w:rFonts w:hint="eastAsia" w:ascii="楷体" w:hAnsi="楷体" w:eastAsia="楷体" w:cs="楷体"/>
          <w:b w:val="0"/>
          <w:bCs w:val="0"/>
          <w:kern w:val="2"/>
          <w:sz w:val="32"/>
          <w:szCs w:val="32"/>
          <w:lang w:val="en-US" w:eastAsia="zh-CN" w:bidi="ar"/>
        </w:rPr>
        <w:t>总体绩效目标完成情况分析。</w:t>
      </w:r>
    </w:p>
    <w:p w14:paraId="0C6F4A05">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2023年度财政下达我局市场监专项经费，我局做到了资金与项目方案相符，严格按照方案要求进行实施。市场综合监管专项资金到位37万元，支出经费主要用</w:t>
      </w:r>
      <w:r>
        <w:rPr>
          <w:rFonts w:hint="default" w:ascii="仿宋_GB2312" w:hAnsi="Times New Roman" w:eastAsia="仿宋_GB2312" w:cs="仿宋_GB2312"/>
          <w:kern w:val="2"/>
          <w:sz w:val="32"/>
          <w:szCs w:val="32"/>
          <w:shd w:val="clear" w:fill="FFFFFF"/>
          <w:lang w:val="en-US" w:eastAsia="zh-CN" w:bidi="ar"/>
        </w:rPr>
        <w:t>市场综合日常监管；2023春雷行动级知识产权</w:t>
      </w:r>
      <w:r>
        <w:rPr>
          <w:rFonts w:hint="default" w:ascii="仿宋_GB2312" w:hAnsi="Times New Roman" w:eastAsia="仿宋_GB2312" w:cs="仿宋_GB2312"/>
          <w:b w:val="0"/>
          <w:bCs w:val="0"/>
          <w:kern w:val="0"/>
          <w:sz w:val="32"/>
          <w:szCs w:val="32"/>
          <w:lang w:val="en-US" w:eastAsia="zh-CN" w:bidi="ar"/>
        </w:rPr>
        <w:t>等工作方面的</w:t>
      </w:r>
      <w:r>
        <w:rPr>
          <w:rFonts w:hint="default" w:ascii="仿宋_GB2312" w:hAnsi="Times New Roman" w:eastAsia="仿宋_GB2312" w:cs="仿宋_GB2312"/>
          <w:kern w:val="2"/>
          <w:sz w:val="32"/>
          <w:szCs w:val="32"/>
          <w:lang w:val="en-US" w:eastAsia="zh-CN" w:bidi="ar"/>
        </w:rPr>
        <w:t>人员及车辆、宣传费、执法监管等。</w:t>
      </w:r>
    </w:p>
    <w:p w14:paraId="15C30092">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1.整合办理营业执照、发票领取、社保和住房公积金登记、刻制印章、银行开户多个环节，做到线上一表填报、一次实名验证，线下一个窗口领取全部材料；持续落实企业开办4 小时、零成本办结，并将“零成本”开办范围扩大至农专社。推行开办企业全程网办、“跨省通办”，网上可办率 100%。实施市场主体登记环节“全域通办”改革，个体登记实现跨所办理。本年度共核准设立登记各类企业380户，其中通过“全程电子化”核准各类登记266户；共为376户市场主体免费发放印章1354枚，为市场主体节省费用约13.2万元。大力推行“一件事一次办”，围绕企业设立等46项重点事项，梳理办事流程，制作办事指南，优化办事流程，并在四川政务服务网进行公示。全面落实“简易注销登记”，实行市场监管领域套餐式注销，支持个体在线办理注销，服务能力持续优化。截至目前，共准予注销登记各类企业（含农专）190户。将所有68项高频事项纳入“村能办”平台。积极参与“企能办”平台搭建，基本实现园区内完成企业开办全流程办理。深化“政银合作”，在邮政银行设置便民服务点，将免费印章刻制服务扩展至个体工商户在邮政银行设置便民服务点，将免费印章刻制服务扩展至个体工商户。按照上级业务主管部门相关工作要求，积极完善市场监管一体化工作平台相关配置，完成“食品备案一体化”模块、信用修复全程网办模块、歇业备案模块等更新事项10项。及时更新电子证照系统，确保签章数据无遗漏，实现电子签章率100%。开展合同帮农260户。</w:t>
      </w:r>
    </w:p>
    <w:p w14:paraId="037BF8EB">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结合我区实际，制定我局2023年单部门“双随机、一公开”监管计划，实现市场监管领域（除特殊领域）抽查比例100%与企业风险分级分类结果相结合，提高问题发现率，提升监管精准性。强化区政府分管领导牵头的联动推进机制，召开全区“双随机、一公开”监管工作推进会和联席会议5次，区委区政府分管领导亲自到会点评督导。切实履行牵头部门责任，强化落实“双告知”、联席会议联络员等工作制度，强化工作全过程监管，通过季度提示、工作提醒、督查通报等方式，有效推动各成员单位监管计划落地生效。将信用风险等级与联合抽查相结合，提升监管靶向性。强化督促指导，指导各成员单位进一步完善“一单两库一细则”的动态调整，加强与“互联网+监管”平台对接，印发工作督查通报1期，点对点工作提示函18期。截至目前，全区共开展市场监管领域部门联合“双随机、一公开”抽查检查54次，抽查事项54项，抽取市场主体334家，抽取执法人员超180人，录入公示100%，涉及区级部门26个。强化信用风险分级分类成果运用，在原有的以市场监管、人社和税务三部门联合开展“多报合一”抽查工作的基础上，新增医保部门共同开展联合抽查。持续落实信用风险分级分类成果运用，实现企业风险分类结果多部门共享共用，推动部门联合监管机制更加智慧化、精准化、规范化。</w:t>
      </w:r>
    </w:p>
    <w:p w14:paraId="73C630A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3.强化知识产权保护，积极开展假冒专利和商标侵权行为专项整治，组织人员加大巡查力度，加强辖区内有效发明专利、驰名商标、地理标志产品的监管保护力度，共出动执法人员112人次，检查市场主体156家次，立案查处知识产—9—权案4件。全区累计专利授权172件，其中发明专利12件（包括2件高价值发明专利），实用新型专利139件，外观设计专利21件；地理标志9件（地理标志商标7件，地理标志保护产品2件）；有效注册商标1241件。围绕昭化区文旅“三创”工作，携手企业深度挖掘、打造具有昭化特色的商标5个，“费公府”商标已成功注册。召开地理标志保护运用工作推进会，联合区农业农村局、区林业局积极对接“王家贡米”、“昭化韭黄”、“昭化茯苓”、“紫云猕猴桃”等地理标志相关企业，解读地理标志产品品牌价值，引导企业主动申请用标。目前，“晋贤香菇”、“昭化茯苓”、“昭化山桐子”已通过国家知识产权局许可备案。</w:t>
      </w:r>
    </w:p>
    <w:p w14:paraId="2C13DCE5">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right="0" w:firstLine="640" w:firstLineChars="200"/>
        <w:jc w:val="both"/>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4.行动期间共查办各类案件113件，结案113件，其中“行刑衔接”与公安机关双向移送案件50多件，向其他市场监管部门移送案件或线索20多件，涉案金额近30万元，罚没款近60万元，没收并依法无害化处理不合格食品、药械和其他工业产品约1000公斤。查办药品（含医疗器械）安全领域违法行为案件56件、查办食品安全领域违法行为案件71件、查办重要工业产品质量安全领域违法行为案件9件、查办特种设备安全领域违法行为案件2件、查办知识产权领域侵权假冒违法行为案件4件，查办扰乱市场秩序违法行为案件9件。不予处罚（含首违不罚）、减轻处罚和从轻处罚案件占案件总数90%。</w:t>
      </w:r>
    </w:p>
    <w:p w14:paraId="56A1FBDF">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0"/>
          <w:sz w:val="32"/>
          <w:szCs w:val="32"/>
          <w:lang w:val="en-US" w:eastAsia="zh-CN" w:bidi="ar"/>
        </w:rPr>
        <w:t>5.</w:t>
      </w:r>
      <w:r>
        <w:rPr>
          <w:rFonts w:hint="default" w:ascii="仿宋_GB2312" w:hAnsi="Times New Roman" w:eastAsia="仿宋_GB2312" w:cs="仿宋_GB2312"/>
          <w:kern w:val="2"/>
          <w:sz w:val="32"/>
          <w:szCs w:val="32"/>
          <w:lang w:val="en-US" w:eastAsia="zh-CN" w:bidi="ar"/>
        </w:rPr>
        <w:t>以国家食品安全示范城市创建、省级食品安全示范县复审、天府旅游名县创建等工作为契机，开展食品安全示范达标升级，打造特色餐饮12家，</w:t>
      </w:r>
      <w:r>
        <w:rPr>
          <w:rFonts w:hint="default" w:ascii="仿宋_GB2312" w:hAnsi="Times New Roman" w:eastAsia="仿宋_GB2312" w:cs="仿宋_GB2312"/>
          <w:bCs/>
          <w:kern w:val="2"/>
          <w:sz w:val="32"/>
          <w:szCs w:val="32"/>
          <w:lang w:val="en-US" w:eastAsia="zh-CN" w:bidi="ar"/>
        </w:rPr>
        <w:t>餐饮服务单位示范点位11个，</w:t>
      </w:r>
      <w:r>
        <w:rPr>
          <w:rFonts w:hint="default" w:ascii="仿宋_GB2312" w:hAnsi="Times New Roman" w:eastAsia="仿宋_GB2312" w:cs="仿宋_GB2312"/>
          <w:kern w:val="2"/>
          <w:sz w:val="32"/>
          <w:szCs w:val="32"/>
          <w:lang w:val="en-US" w:eastAsia="zh-CN" w:bidi="ar"/>
        </w:rPr>
        <w:t>培育形象店5家，全面提升精细化管理水平。</w:t>
      </w:r>
    </w:p>
    <w:p w14:paraId="5A63D117">
      <w:pPr>
        <w:keepNext w:val="0"/>
        <w:keepLines w:val="0"/>
        <w:pageBreakBefore w:val="0"/>
        <w:widowControl w:val="0"/>
        <w:suppressLineNumbers w:val="0"/>
        <w:kinsoku/>
        <w:wordWrap/>
        <w:overflowPunct/>
        <w:topLinePunct w:val="0"/>
        <w:autoSpaceDE w:val="0"/>
        <w:autoSpaceDN/>
        <w:bidi w:val="0"/>
        <w:adjustRightInd w:val="0"/>
        <w:snapToGrid/>
        <w:spacing w:before="0" w:beforeAutospacing="0" w:after="0" w:afterAutospacing="0" w:line="576" w:lineRule="exact"/>
        <w:ind w:left="0" w:right="0" w:firstLine="640" w:firstLineChars="200"/>
        <w:jc w:val="both"/>
        <w:textAlignment w:val="auto"/>
        <w:outlineLvl w:val="9"/>
        <w:rPr>
          <w:rFonts w:hint="eastAsia" w:ascii="黑体" w:hAnsi="宋体" w:eastAsia="黑体" w:cs="黑体"/>
          <w:b w:val="0"/>
          <w:bCs w:val="0"/>
          <w:kern w:val="2"/>
          <w:sz w:val="32"/>
          <w:szCs w:val="32"/>
        </w:rPr>
      </w:pPr>
      <w:r>
        <w:rPr>
          <w:rFonts w:hint="eastAsia" w:ascii="黑体" w:hAnsi="宋体" w:eastAsia="黑体" w:cs="黑体"/>
          <w:b w:val="0"/>
          <w:bCs w:val="0"/>
          <w:kern w:val="2"/>
          <w:sz w:val="32"/>
          <w:szCs w:val="32"/>
          <w:lang w:val="en-US" w:eastAsia="zh-CN" w:bidi="ar"/>
        </w:rPr>
        <w:t>三、绩效指标完成情况分析。</w:t>
      </w:r>
    </w:p>
    <w:p w14:paraId="6BD7861D">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b w:val="0"/>
          <w:bCs/>
          <w:kern w:val="2"/>
          <w:sz w:val="32"/>
          <w:szCs w:val="32"/>
        </w:rPr>
      </w:pPr>
      <w:r>
        <w:rPr>
          <w:rFonts w:hint="default" w:ascii="仿宋_GB2312" w:hAnsi="Times New Roman" w:eastAsia="仿宋_GB2312" w:cs="仿宋_GB2312"/>
          <w:b w:val="0"/>
          <w:bCs/>
          <w:kern w:val="2"/>
          <w:sz w:val="32"/>
          <w:szCs w:val="32"/>
          <w:lang w:val="en-US" w:eastAsia="zh-CN" w:bidi="ar"/>
        </w:rPr>
        <w:t>1.产出指标完成情况分析。</w:t>
      </w:r>
    </w:p>
    <w:p w14:paraId="61323908">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（1）数量指标。</w:t>
      </w:r>
      <w:r>
        <w:rPr>
          <w:rFonts w:hint="default" w:ascii="仿宋_GB2312" w:hAnsi="Times New Roman" w:eastAsia="仿宋_GB2312" w:cs="仿宋_GB2312"/>
          <w:b w:val="0"/>
          <w:bCs w:val="0"/>
          <w:spacing w:val="0"/>
          <w:kern w:val="2"/>
          <w:sz w:val="32"/>
          <w:szCs w:val="32"/>
          <w:lang w:val="en-US" w:eastAsia="zh-CN" w:bidi="ar"/>
        </w:rPr>
        <w:t>“春雷行动2023”全区累计结案113件</w:t>
      </w:r>
      <w:r>
        <w:rPr>
          <w:rFonts w:hint="default" w:ascii="仿宋_GB2312" w:hAnsi="Times New Roman" w:eastAsia="仿宋_GB2312" w:cs="仿宋_GB2312"/>
          <w:kern w:val="2"/>
          <w:sz w:val="32"/>
          <w:szCs w:val="32"/>
          <w:lang w:val="en-US" w:eastAsia="zh-CN" w:bidi="ar"/>
        </w:rPr>
        <w:t>,</w:t>
      </w:r>
      <w:r>
        <w:rPr>
          <w:rFonts w:hint="default" w:ascii="仿宋_GB2312" w:hAnsi="Times New Roman" w:eastAsia="仿宋_GB2312" w:cs="仿宋_GB2312"/>
          <w:b w:val="0"/>
          <w:bCs w:val="0"/>
          <w:kern w:val="2"/>
          <w:sz w:val="32"/>
          <w:szCs w:val="32"/>
          <w:lang w:val="en-US" w:eastAsia="zh-CN" w:bidi="ar"/>
        </w:rPr>
        <w:t>罚没款60余万元，</w:t>
      </w:r>
      <w:r>
        <w:rPr>
          <w:rFonts w:hint="default" w:ascii="仿宋_GB2312" w:hAnsi="Times New Roman" w:eastAsia="仿宋_GB2312" w:cs="仿宋_GB2312"/>
          <w:b w:val="0"/>
          <w:bCs w:val="0"/>
          <w:spacing w:val="0"/>
          <w:kern w:val="2"/>
          <w:sz w:val="32"/>
          <w:szCs w:val="32"/>
          <w:lang w:val="en-US" w:eastAsia="zh-CN" w:bidi="ar"/>
        </w:rPr>
        <w:t>全年累计核准设立登记各类市场主体380户，</w:t>
      </w:r>
      <w:r>
        <w:rPr>
          <w:rFonts w:hint="default" w:ascii="仿宋_GB2312" w:hAnsi="Times New Roman" w:eastAsia="仿宋_GB2312" w:cs="仿宋_GB2312"/>
          <w:kern w:val="2"/>
          <w:sz w:val="32"/>
          <w:szCs w:val="32"/>
          <w:lang w:val="en-US" w:eastAsia="zh-CN" w:bidi="ar"/>
        </w:rPr>
        <w:t>“双随机、一公开”抽查检查54次、抽查事项54项、抽查检查334家，专利授权172件，开展特种设备监督检查2场次，抽检PET瓶、涂料、燃气灶具等工业产品62批次，开展食品安全示范达标升级打造特色餐饮12家，餐饮服务单位示范点位11个，培育形象店5家，培育首席质量官18名。</w:t>
      </w:r>
    </w:p>
    <w:p w14:paraId="7AB9C09A">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（2)质量指标。登记各类市场主体完成目标任务完成率96%，春雷执法结案率100%.市场监管所标准化建设完成率100%</w:t>
      </w:r>
    </w:p>
    <w:p w14:paraId="4962B94B">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（3）时效指标。截至2023年12月31日，我局严格按照上级要求，按时按质完成各项专项任务。</w:t>
      </w:r>
    </w:p>
    <w:p w14:paraId="3C0D8297">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（4）成本指标。市场综合监管专项工作经费37万元，资金使用率达100%。</w:t>
      </w:r>
    </w:p>
    <w:p w14:paraId="776E189C">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2.从项目经济、社会、生态、可持续效益以及服务对象满意度等方面对项目效益进行全面分析评价</w:t>
      </w:r>
    </w:p>
    <w:p w14:paraId="512DBFB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3.效益指标完成情况分析。</w:t>
      </w:r>
    </w:p>
    <w:p w14:paraId="07C9B456">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b w:val="0"/>
          <w:i w:val="0"/>
          <w:caps w:val="0"/>
          <w:color w:val="000000"/>
          <w:spacing w:val="0"/>
          <w:kern w:val="2"/>
          <w:sz w:val="32"/>
          <w:szCs w:val="32"/>
          <w:lang w:val="en-US" w:eastAsia="zh-CN" w:bidi="ar"/>
        </w:rPr>
        <w:t>（</w:t>
      </w:r>
      <w:r>
        <w:rPr>
          <w:rFonts w:hint="default" w:ascii="仿宋_GB2312" w:hAnsi="Times New Roman" w:eastAsia="仿宋_GB2312" w:cs="仿宋_GB2312"/>
          <w:kern w:val="2"/>
          <w:sz w:val="32"/>
          <w:szCs w:val="32"/>
          <w:lang w:val="en-US" w:eastAsia="zh-CN" w:bidi="ar"/>
        </w:rPr>
        <w:t>1）整合办理营业执照、发票领取、社保和住房公积金登记、刻制印章、银行开户多个环节，做到线上一表填报、一次实名验证，线下一个窗口领取全部材料；持续落实企业开办4 小时、零成本办结，并将“零成本”开办范围扩大至农专社。推行开办企业全程网办、“跨省通办”，网上可办率 100%。实施市场主体登记环节“全域通办”改革，个体登记实现跨所办理。本年度共核准设立登 记各类企业380户，其中通过“全程电子化”核准各类登记266户；共为376户市场主体免费发放印章1354枚，为市场主体节省费用约13.2万元。大力推行“一件事一次办”，围绕企业设立等46项重点事项，梳理办事流程，制作办事指南，优化办事流程，并在四川政务服务网进行公示。全面落实“简易注销登记”，实行市场监管领域套餐式注销，支持个体在线办理注销，服务能力持续优化。截至目前，共准予注销登记各类企业（含农专）190户。将所有68项高频事项纳入“村能办”平台。积极参与“企能办”平台搭建，基本实现园区内完成企业开办全流程办理。深化“政银合作”，在邮政银行设置便民服务点，将免费印章刻制服务扩展至个体工商户在邮政银行设置便民服务点，将免费印章刻制服务扩展至个体工商户。按照上级业务主管部门相关工作要求，积极完善市场监管一体化工作平台相关配置，完成“食品备案一体化”模块、信用修复全程网办模块、歇业备案模块等更新事项10项。及时更新电子证照系统，确保签章数据无遗漏，实现电子签章率100%。开展合同帮农260户。</w:t>
      </w:r>
    </w:p>
    <w:p w14:paraId="36DCAD35">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2）结合我区实际，制定我局2023年单部门“双随机、一公开”监管计划，实现市场监管领域（除特殊领域）抽查比例100%与企业风险分级分类结果相结合，提高问题发现率，提升监管精准性。强化区政府分管领导牵头的联动推进机制，召开全区“双随机、一公开”监管工作推进会和联席会议5次，区委区政府分管领导亲自到会点评督导。切实履行牵头部门责任，强化落实“双告知”、联席会议联络员等工作制度，强化工作全过程监管，通过季度提示、工作提醒、督查通报等方式，有效推动各成员单位监管计划落地生效。将信用风险等级与联合抽查相结合，提升监管靶向性。强化督促指导，指导各成员单位进一步完善“一单两库一细则”的动态调整，加强与“互联网+监管”平台对接，印发工作督查通报1期，点对点工作提示函18期。截至目前，全区共开展市场监管领域部门联合“双随机、一公开”抽查检查54次，抽查事项54项，抽取市场主体334家，抽取执法人员超180人，录入公示100%，涉及区级部门26个。强化信用风险分级分类成果运用，在原有的以市场监管、人社和税务三部门联合开展“多报合一”抽查工作的基础上，新增医保部门共同开展联合抽查。持续落实信用风险分级分类成果运用，实现企业风险分类结果多部门共享共用，推动部门联合监管机制更加智慧化、精准化、规范化。</w:t>
      </w:r>
    </w:p>
    <w:p w14:paraId="1BF86ABF">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3）强化知识产权保护，积极开展假冒专利和商标侵权行为专项整治，组织人员加大巡查力度，加强辖区内有效发明专利、驰名商标、地理标志产品的监管保护力度，共出动执法人员112人次，检查市场主体156家次，立案查处知识产—9—权案4件。全区累计专利授权172件，其中发明专利12件（包括2件高价值发明专利），实用新型专利139件，外观设计专利21件；地理标志9件（地理标志商标7件，地理标志保护产品2件）；有效注册商标1241件。围绕昭化区文旅“三创”工作，携手企业深度挖掘、打造具有昭化特色的商标5个，“费公府”商标已成功注册。召开地理标志保护运用工作推进会，联合区农业农村局、区林业局积极对接“王家贡米”、“昭化韭黄”、“昭化茯苓”、“紫云猕猴桃”等地理标志相关企业，解读地理标志产品品牌价值，引导企业主动申请用标。目前，“晋贤香菇”、“昭化茯苓”、“昭化山桐子”已通过国家知识产权局许可备案。</w:t>
      </w:r>
    </w:p>
    <w:p w14:paraId="23B7D920">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right="0" w:firstLine="640" w:firstLineChars="200"/>
        <w:jc w:val="both"/>
        <w:rPr>
          <w:rFonts w:hint="default" w:ascii="仿宋_GB2312" w:eastAsia="仿宋_GB2312" w:cs="仿宋_GB2312"/>
          <w:kern w:val="0"/>
          <w:sz w:val="32"/>
          <w:szCs w:val="32"/>
        </w:rPr>
      </w:pPr>
      <w:r>
        <w:rPr>
          <w:rFonts w:hint="default" w:ascii="仿宋_GB2312" w:hAnsi="Times New Roman" w:eastAsia="仿宋_GB2312" w:cs="仿宋_GB2312"/>
          <w:kern w:val="0"/>
          <w:sz w:val="32"/>
          <w:szCs w:val="32"/>
          <w:lang w:val="en-US" w:eastAsia="zh-CN" w:bidi="ar"/>
        </w:rPr>
        <w:t>（4）行动期间共查办各类案件113件，结案113件，其中“行刑衔接”与公安机关双向移送案件50多件，向其他市场监管部门移送案件或线索20多件，涉案金额近30万元，罚没款近60万元，没收并依法无害化处理不合格食品、药械和其他工业产品约1000公斤。查办药品（含医疗器械）安全领域违法行为案件56件、查办食品安全领域违法行为案件71件、查办重要工业产品质量安全领域违法行为案件9件、查办特种设备安全领域违法行为案件2件、查办知识产权领域侵权假冒违法行为案件4件，查办扰乱市场秩序违法行为案件9件。不予处罚（含首违不罚）、减轻处罚和从轻处罚案件占案件总数90%。</w:t>
      </w:r>
    </w:p>
    <w:p w14:paraId="7B7A4DF6">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right="0" w:firstLine="640" w:firstLineChars="200"/>
        <w:jc w:val="both"/>
        <w:rPr>
          <w:rFonts w:hint="default" w:ascii="仿宋_GB2312" w:eastAsia="仿宋_GB2312" w:cs="仿宋_GB2312"/>
          <w:color w:val="000000"/>
          <w:kern w:val="0"/>
          <w:sz w:val="32"/>
          <w:szCs w:val="32"/>
        </w:rPr>
      </w:pPr>
      <w:r>
        <w:rPr>
          <w:rFonts w:hint="default" w:ascii="仿宋_GB2312" w:hAnsi="Times New Roman" w:eastAsia="仿宋_GB2312" w:cs="仿宋_GB2312"/>
          <w:kern w:val="2"/>
          <w:sz w:val="32"/>
          <w:szCs w:val="32"/>
          <w:lang w:val="en-US" w:eastAsia="zh-CN" w:bidi="ar"/>
        </w:rPr>
        <w:t>（5）以国家食品安全示范城市创建、省级食品安全示范县复审、天府旅游名县创建等工作为契机，开展食品安全示范达标升级，打造特色餐饮12家，</w:t>
      </w:r>
      <w:r>
        <w:rPr>
          <w:rFonts w:hint="default" w:ascii="仿宋_GB2312" w:hAnsi="Times New Roman" w:eastAsia="仿宋_GB2312" w:cs="仿宋_GB2312"/>
          <w:bCs/>
          <w:kern w:val="2"/>
          <w:sz w:val="32"/>
          <w:szCs w:val="32"/>
          <w:lang w:val="en-US" w:eastAsia="zh-CN" w:bidi="ar"/>
        </w:rPr>
        <w:t>餐饮服务单位示范点位11个，</w:t>
      </w:r>
      <w:r>
        <w:rPr>
          <w:rFonts w:hint="default" w:ascii="仿宋_GB2312" w:hAnsi="Times New Roman" w:eastAsia="仿宋_GB2312" w:cs="仿宋_GB2312"/>
          <w:kern w:val="2"/>
          <w:sz w:val="32"/>
          <w:szCs w:val="32"/>
          <w:lang w:val="en-US" w:eastAsia="zh-CN" w:bidi="ar"/>
        </w:rPr>
        <w:t>培育形象店5家，全面提升精细化管理水平。</w:t>
      </w:r>
    </w:p>
    <w:p w14:paraId="26641F0B">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4.满意度指标完成情况分析。</w:t>
      </w:r>
    </w:p>
    <w:p w14:paraId="630F0F29">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bidi="ar"/>
        </w:rPr>
        <w:t>通过综合监管专项整治，及时发现了我区市场存在的风险和问题，及时查处了一批违法犯罪行为，有力震慑了危害安全的违法犯罪分子，显示了我区严格落实综合安全“四个最严”要求的决心，获得了群众的一致好评，群众满意率达98%。</w:t>
      </w:r>
    </w:p>
    <w:p w14:paraId="509F7D0B">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rPr>
          <w:rFonts w:hint="eastAsia" w:ascii="黑体" w:hAnsi="宋体" w:eastAsia="黑体" w:cs="黑体"/>
          <w:b w:val="0"/>
          <w:bCs w:val="0"/>
          <w:kern w:val="2"/>
          <w:sz w:val="32"/>
          <w:szCs w:val="32"/>
        </w:rPr>
      </w:pPr>
      <w:r>
        <w:rPr>
          <w:rFonts w:hint="eastAsia" w:ascii="黑体" w:hAnsi="宋体" w:eastAsia="黑体" w:cs="黑体"/>
          <w:b w:val="0"/>
          <w:bCs w:val="0"/>
          <w:kern w:val="2"/>
          <w:sz w:val="32"/>
          <w:szCs w:val="32"/>
          <w:lang w:val="en-US" w:eastAsia="zh-CN" w:bidi="ar"/>
        </w:rPr>
        <w:t>三、存在问题及下一步工作打算</w:t>
      </w:r>
    </w:p>
    <w:p w14:paraId="388275B4">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0" w:firstLineChars="200"/>
        <w:jc w:val="both"/>
        <w:rPr>
          <w:rFonts w:hint="default" w:ascii="仿宋_GB2312" w:eastAsia="仿宋_GB2312" w:cs="仿宋_GB2312"/>
          <w:b w:val="0"/>
          <w:bCs w:val="0"/>
          <w:kern w:val="2"/>
          <w:sz w:val="32"/>
          <w:szCs w:val="32"/>
        </w:rPr>
      </w:pPr>
      <w:r>
        <w:rPr>
          <w:rFonts w:hint="default" w:ascii="仿宋_GB2312" w:hAnsi="Times New Roman" w:eastAsia="仿宋_GB2312" w:cs="仿宋_GB2312"/>
          <w:kern w:val="2"/>
          <w:sz w:val="32"/>
          <w:szCs w:val="32"/>
          <w:lang w:val="en-US" w:eastAsia="zh-CN" w:bidi="ar"/>
        </w:rPr>
        <w:t>2023年，昭化市场监管工作虽然取得了一些成效，但也存在监管与服务平衡难度大、年轻干部教育培训不足、个私企业协会工作推进缓慢等问题。2024年，我局将把“打造最优营商环境、呵护市场主体发展”作为工作开展的主要目标和重要抓手，融入市场监管工作的方方面面，围绕“</w:t>
      </w:r>
      <w:r>
        <w:rPr>
          <w:rFonts w:hint="default" w:ascii="仿宋_GB2312" w:hAnsi="Times New Roman" w:eastAsia="仿宋_GB2312" w:cs="仿宋_GB2312"/>
          <w:color w:val="000000"/>
          <w:kern w:val="2"/>
          <w:sz w:val="32"/>
          <w:szCs w:val="32"/>
          <w:shd w:val="clear" w:fill="FFFFFF"/>
          <w:lang w:val="en-US" w:eastAsia="zh-CN" w:bidi="ar"/>
        </w:rPr>
        <w:t>一个大市场、两个强国、三个监管、四个安全</w:t>
      </w:r>
      <w:r>
        <w:rPr>
          <w:rFonts w:hint="default" w:ascii="仿宋_GB2312" w:hAnsi="Times New Roman" w:eastAsia="仿宋_GB2312" w:cs="仿宋_GB2312"/>
          <w:kern w:val="2"/>
          <w:sz w:val="32"/>
          <w:szCs w:val="32"/>
          <w:lang w:val="en-US" w:eastAsia="zh-CN" w:bidi="ar"/>
        </w:rPr>
        <w:t>”着力点</w:t>
      </w:r>
      <w:r>
        <w:rPr>
          <w:rFonts w:hint="default" w:ascii="仿宋_GB2312" w:hAnsi="Times New Roman" w:eastAsia="仿宋_GB2312" w:cs="仿宋_GB2312"/>
          <w:color w:val="000000"/>
          <w:kern w:val="2"/>
          <w:sz w:val="32"/>
          <w:szCs w:val="32"/>
          <w:shd w:val="clear" w:fill="FFFFFF"/>
          <w:lang w:val="en-US" w:eastAsia="zh-CN" w:bidi="ar"/>
        </w:rPr>
        <w:t>，</w:t>
      </w:r>
      <w:r>
        <w:rPr>
          <w:rFonts w:hint="default" w:ascii="仿宋_GB2312" w:hAnsi="Times New Roman" w:eastAsia="仿宋_GB2312" w:cs="仿宋_GB2312"/>
          <w:kern w:val="2"/>
          <w:sz w:val="32"/>
          <w:szCs w:val="32"/>
          <w:lang w:val="en-US" w:eastAsia="zh-CN" w:bidi="ar"/>
        </w:rPr>
        <w:t>坚持在服务中监管、监管中指导、指导中规范、规范中提升，深入实施《昭化区市场监督管理局优化营商环境16条措施》，切实做到“服务发展无处不在，监管执法无事不扰”，让广大市场主体在公平公正、规范法治、轻松便利的市场环境中茁壮成长</w:t>
      </w:r>
      <w:r>
        <w:rPr>
          <w:rFonts w:hint="default" w:ascii="仿宋_GB2312" w:hAnsi="Times New Roman" w:eastAsia="仿宋_GB2312" w:cs="仿宋_GB2312"/>
          <w:b w:val="0"/>
          <w:bCs w:val="0"/>
          <w:kern w:val="2"/>
          <w:sz w:val="32"/>
          <w:szCs w:val="32"/>
          <w:lang w:val="en-US" w:eastAsia="zh-CN" w:bidi="ar"/>
        </w:rPr>
        <w:t>，下一步将主要从以下几个方面开展工作：</w:t>
      </w:r>
    </w:p>
    <w:p w14:paraId="41034D6D">
      <w:pPr>
        <w:pStyle w:val="12"/>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leftChars="0" w:right="0" w:firstLine="643" w:firstLineChars="200"/>
        <w:jc w:val="both"/>
        <w:rPr>
          <w:rFonts w:hint="default" w:ascii="仿宋_GB2312" w:eastAsia="仿宋_GB2312" w:cs="仿宋_GB2312"/>
          <w:kern w:val="2"/>
          <w:sz w:val="32"/>
          <w:szCs w:val="32"/>
        </w:rPr>
      </w:pPr>
      <w:r>
        <w:rPr>
          <w:rFonts w:hint="default" w:ascii="仿宋_GB2312" w:hAnsi="Times New Roman" w:eastAsia="仿宋_GB2312" w:cs="仿宋_GB2312"/>
          <w:b/>
          <w:bCs/>
          <w:kern w:val="2"/>
          <w:sz w:val="32"/>
          <w:szCs w:val="32"/>
          <w:lang w:val="en-US" w:eastAsia="zh-CN" w:bidi="ar"/>
        </w:rPr>
        <w:t>一是</w:t>
      </w:r>
      <w:r>
        <w:rPr>
          <w:rFonts w:hint="default" w:ascii="仿宋_GB2312" w:hAnsi="Times New Roman" w:eastAsia="仿宋_GB2312" w:cs="仿宋_GB2312"/>
          <w:b w:val="0"/>
          <w:bCs w:val="0"/>
          <w:kern w:val="2"/>
          <w:sz w:val="32"/>
          <w:szCs w:val="32"/>
          <w:lang w:val="en-US" w:eastAsia="zh-CN" w:bidi="ar"/>
        </w:rPr>
        <w:t>聚焦党的建设，坚持把学习贯彻习近平新时代中国特色社会主义思想和习近平总书记系列重要讲话和指示精神，以及贯彻党的二十大精神作为首要政治任务，坚持全面从严治党，坚定拥护“两个确立”，坚决做到“两个维护”。</w:t>
      </w:r>
      <w:r>
        <w:rPr>
          <w:rFonts w:hint="default" w:ascii="仿宋_GB2312" w:hAnsi="Times New Roman" w:eastAsia="仿宋_GB2312" w:cs="仿宋_GB2312"/>
          <w:b/>
          <w:bCs/>
          <w:kern w:val="2"/>
          <w:sz w:val="32"/>
          <w:szCs w:val="32"/>
          <w:lang w:val="en-US" w:eastAsia="zh-CN" w:bidi="ar"/>
        </w:rPr>
        <w:t>二是</w:t>
      </w:r>
      <w:r>
        <w:rPr>
          <w:rFonts w:hint="default" w:ascii="仿宋_GB2312" w:hAnsi="Times New Roman" w:eastAsia="仿宋_GB2312" w:cs="仿宋_GB2312"/>
          <w:b w:val="0"/>
          <w:bCs w:val="0"/>
          <w:kern w:val="2"/>
          <w:sz w:val="32"/>
          <w:szCs w:val="32"/>
          <w:lang w:val="en-US" w:eastAsia="zh-CN" w:bidi="ar"/>
        </w:rPr>
        <w:t>坚持用习近平总书记对市场监管工作的重要指示精神引领推动工作。以“一个大市场、两个纲要、三个监管、四个安全”为工作着力点，围绕市委“1345”发展战略和区委“四个主动转变”，积极主动“营造大氛围、谋划大格局、构建大服务”，全面推动昭化市场监管工作高质量发展。</w:t>
      </w:r>
      <w:r>
        <w:rPr>
          <w:rFonts w:hint="default" w:ascii="仿宋_GB2312" w:hAnsi="Times New Roman" w:eastAsia="仿宋_GB2312" w:cs="仿宋_GB2312"/>
          <w:b/>
          <w:bCs/>
          <w:kern w:val="2"/>
          <w:sz w:val="32"/>
          <w:szCs w:val="32"/>
          <w:lang w:val="en-US" w:eastAsia="zh-CN" w:bidi="ar"/>
        </w:rPr>
        <w:t>三是</w:t>
      </w:r>
      <w:r>
        <w:rPr>
          <w:rFonts w:hint="default" w:ascii="仿宋_GB2312" w:hAnsi="Times New Roman" w:eastAsia="仿宋_GB2312" w:cs="仿宋_GB2312"/>
          <w:b w:val="0"/>
          <w:bCs w:val="0"/>
          <w:kern w:val="2"/>
          <w:sz w:val="32"/>
          <w:szCs w:val="32"/>
          <w:lang w:val="en-US" w:eastAsia="zh-CN" w:bidi="ar"/>
        </w:rPr>
        <w:t>进一步强化“三品一特”安全监管。以创建国家食品安全示范城市、天府旅游名县为抓手，深入开展食品安全、药品安全、产品质量安全和特种设备安全的风险隐患排查治理，守住市场监管领域安全底线。</w:t>
      </w:r>
      <w:r>
        <w:rPr>
          <w:rFonts w:hint="default" w:ascii="仿宋_GB2312" w:hAnsi="Times New Roman" w:eastAsia="仿宋_GB2312" w:cs="仿宋_GB2312"/>
          <w:b/>
          <w:bCs/>
          <w:kern w:val="2"/>
          <w:sz w:val="32"/>
          <w:szCs w:val="32"/>
          <w:lang w:val="en-US" w:eastAsia="zh-CN" w:bidi="ar"/>
        </w:rPr>
        <w:t>四是</w:t>
      </w:r>
      <w:r>
        <w:rPr>
          <w:rFonts w:hint="default" w:ascii="仿宋_GB2312" w:hAnsi="Times New Roman" w:eastAsia="仿宋_GB2312" w:cs="仿宋_GB2312"/>
          <w:b w:val="0"/>
          <w:bCs w:val="0"/>
          <w:kern w:val="2"/>
          <w:sz w:val="32"/>
          <w:szCs w:val="32"/>
          <w:lang w:val="en-US" w:eastAsia="zh-CN" w:bidi="ar"/>
        </w:rPr>
        <w:t>进一步推进质量和知识产权强国建设。继续发挥牵头统筹作用，推动“茯苓种植”省级农业标准化示范项目建设。继续培育企业争创“市长质量奖”及“天府质量奖”等品牌荣誉，持续开展以技术、标准、管理、品牌、服务为核心的各类帮扶。</w:t>
      </w:r>
      <w:r>
        <w:rPr>
          <w:rFonts w:hint="default" w:ascii="仿宋_GB2312" w:hAnsi="Times New Roman" w:eastAsia="仿宋_GB2312" w:cs="仿宋_GB2312"/>
          <w:b/>
          <w:bCs/>
          <w:kern w:val="2"/>
          <w:sz w:val="32"/>
          <w:szCs w:val="32"/>
          <w:lang w:val="en-US" w:eastAsia="zh-CN" w:bidi="ar"/>
        </w:rPr>
        <w:t>五是</w:t>
      </w:r>
      <w:r>
        <w:rPr>
          <w:rFonts w:hint="default" w:ascii="仿宋_GB2312" w:hAnsi="Times New Roman" w:eastAsia="仿宋_GB2312" w:cs="仿宋_GB2312"/>
          <w:b w:val="0"/>
          <w:bCs w:val="0"/>
          <w:kern w:val="2"/>
          <w:sz w:val="32"/>
          <w:szCs w:val="32"/>
          <w:lang w:val="en-US" w:eastAsia="zh-CN" w:bidi="ar"/>
        </w:rPr>
        <w:t>进一步优化营商环境。全面推动《昭化区市场监督管理局优化营商环境16条措施》落地走实，努力争取在商事制度改革、市场准入、“场景式执法改革”试点等工作中取得新成果。</w:t>
      </w:r>
      <w:r>
        <w:rPr>
          <w:rFonts w:hint="default" w:ascii="仿宋_GB2312" w:hAnsi="Times New Roman" w:eastAsia="仿宋_GB2312" w:cs="仿宋_GB2312"/>
          <w:b/>
          <w:bCs/>
          <w:kern w:val="2"/>
          <w:sz w:val="32"/>
          <w:szCs w:val="32"/>
          <w:lang w:val="en-US" w:eastAsia="zh-CN" w:bidi="ar"/>
        </w:rPr>
        <w:t>六是</w:t>
      </w:r>
      <w:r>
        <w:rPr>
          <w:rFonts w:hint="default" w:ascii="仿宋_GB2312" w:hAnsi="Times New Roman" w:eastAsia="仿宋_GB2312" w:cs="仿宋_GB2312"/>
          <w:b w:val="0"/>
          <w:bCs w:val="0"/>
          <w:kern w:val="2"/>
          <w:sz w:val="32"/>
          <w:szCs w:val="32"/>
          <w:lang w:val="en-US" w:eastAsia="zh-CN" w:bidi="ar"/>
        </w:rPr>
        <w:t>扎实开展行风建设三年攻坚2024年行动，有效防范执法违纪违法风险。</w:t>
      </w:r>
      <w:r>
        <w:rPr>
          <w:rFonts w:hint="default" w:ascii="仿宋_GB2312" w:hAnsi="Times New Roman" w:eastAsia="仿宋_GB2312" w:cs="仿宋_GB2312"/>
          <w:b/>
          <w:bCs/>
          <w:kern w:val="2"/>
          <w:sz w:val="32"/>
          <w:szCs w:val="32"/>
          <w:lang w:val="en-US" w:eastAsia="zh-CN" w:bidi="ar"/>
        </w:rPr>
        <w:t>七是</w:t>
      </w:r>
      <w:r>
        <w:rPr>
          <w:rFonts w:hint="default" w:ascii="仿宋_GB2312" w:hAnsi="Times New Roman" w:eastAsia="仿宋_GB2312" w:cs="仿宋_GB2312"/>
          <w:b w:val="0"/>
          <w:bCs w:val="0"/>
          <w:kern w:val="2"/>
          <w:sz w:val="32"/>
          <w:szCs w:val="32"/>
          <w:lang w:val="en-US" w:eastAsia="zh-CN" w:bidi="ar"/>
        </w:rPr>
        <w:t>继续擦亮昭化“春雷行动”和“铁拳”行动品牌，依法查办一批群众反映强烈、社会危害大、违法行为性质影响恶劣的案件。</w:t>
      </w:r>
      <w:r>
        <w:rPr>
          <w:rFonts w:hint="default" w:ascii="仿宋_GB2312" w:hAnsi="Times New Roman" w:eastAsia="仿宋_GB2312" w:cs="仿宋_GB2312"/>
          <w:b/>
          <w:bCs/>
          <w:kern w:val="2"/>
          <w:sz w:val="32"/>
          <w:szCs w:val="32"/>
          <w:lang w:val="en-US" w:eastAsia="zh-CN" w:bidi="ar"/>
        </w:rPr>
        <w:t>八是</w:t>
      </w:r>
      <w:r>
        <w:rPr>
          <w:rFonts w:hint="default" w:ascii="仿宋_GB2312" w:hAnsi="Times New Roman" w:eastAsia="仿宋_GB2312" w:cs="仿宋_GB2312"/>
          <w:b w:val="0"/>
          <w:bCs w:val="0"/>
          <w:kern w:val="2"/>
          <w:sz w:val="32"/>
          <w:szCs w:val="32"/>
          <w:lang w:val="en-US" w:eastAsia="zh-CN" w:bidi="ar"/>
        </w:rPr>
        <w:t>严查不正当竞争行为，强化网络交易、广告监管、价格监管，净化市场环境，维持良好秩序，坚决保护消费者合法权益。</w:t>
      </w:r>
    </w:p>
    <w:p w14:paraId="0BEF2E2D">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576" w:lineRule="exact"/>
        <w:ind w:left="0" w:right="0" w:firstLine="640" w:firstLineChars="200"/>
        <w:jc w:val="both"/>
        <w:rPr>
          <w:rFonts w:hint="eastAsia" w:ascii="黑体" w:hAnsi="宋体" w:eastAsia="黑体" w:cs="黑体"/>
          <w:bCs/>
          <w:kern w:val="2"/>
          <w:sz w:val="32"/>
          <w:szCs w:val="32"/>
        </w:rPr>
      </w:pPr>
      <w:r>
        <w:rPr>
          <w:rFonts w:hint="eastAsia" w:ascii="黑体" w:hAnsi="宋体" w:eastAsia="黑体" w:cs="黑体"/>
          <w:bCs/>
          <w:kern w:val="2"/>
          <w:sz w:val="32"/>
          <w:szCs w:val="32"/>
          <w:lang w:val="en-US" w:eastAsia="zh-CN" w:bidi="ar"/>
        </w:rPr>
        <w:t>四、其他需要说明的问题</w:t>
      </w:r>
    </w:p>
    <w:p w14:paraId="0FDCC0B6">
      <w:pPr>
        <w:keepNext w:val="0"/>
        <w:keepLines w:val="0"/>
        <w:pageBreakBefore w:val="0"/>
        <w:widowControl w:val="0"/>
        <w:suppressLineNumbers w:val="0"/>
        <w:kinsoku/>
        <w:wordWrap/>
        <w:overflowPunct/>
        <w:topLinePunct w:val="0"/>
        <w:autoSpaceDE w:val="0"/>
        <w:bidi w:val="0"/>
        <w:adjustRightInd w:val="0"/>
        <w:spacing w:before="0" w:beforeAutospacing="0" w:after="0" w:afterAutospacing="0" w:line="576" w:lineRule="exact"/>
        <w:ind w:left="0" w:right="0" w:firstLine="640" w:firstLineChars="200"/>
        <w:jc w:val="both"/>
        <w:rPr>
          <w:rFonts w:hint="default" w:ascii="仿宋_GB2312" w:hAnsi="Times New Roman" w:eastAsia="仿宋_GB2312" w:cs="仿宋_GB2312"/>
          <w:b w:val="0"/>
          <w:bCs w:val="0"/>
          <w:kern w:val="2"/>
          <w:sz w:val="32"/>
          <w:szCs w:val="32"/>
          <w:lang w:val="en-US" w:eastAsia="zh-CN" w:bidi="ar"/>
        </w:rPr>
      </w:pPr>
      <w:r>
        <w:rPr>
          <w:rFonts w:hint="default" w:ascii="仿宋_GB2312" w:hAnsi="Times New Roman" w:eastAsia="仿宋_GB2312" w:cs="仿宋_GB2312"/>
          <w:b w:val="0"/>
          <w:bCs w:val="0"/>
          <w:kern w:val="2"/>
          <w:sz w:val="32"/>
          <w:szCs w:val="32"/>
          <w:lang w:val="en-US" w:eastAsia="zh-CN" w:bidi="ar"/>
        </w:rPr>
        <w:t>在中央巡视、各级审计和财政监督中未发现不合规问题及所涉及违规金额。</w:t>
      </w:r>
    </w:p>
    <w:p w14:paraId="66016412">
      <w:pPr>
        <w:rPr>
          <w:rFonts w:hint="eastAsia"/>
        </w:rPr>
      </w:pPr>
      <w:r>
        <w:rPr>
          <w:rFonts w:hint="eastAsia"/>
        </w:rPr>
        <w:br w:type="page"/>
      </w:r>
    </w:p>
    <w:p w14:paraId="71C4635E">
      <w:pPr>
        <w:keepNext w:val="0"/>
        <w:keepLines w:val="0"/>
        <w:pageBreakBefore w:val="0"/>
        <w:shd w:val="clear"/>
        <w:kinsoku/>
        <w:wordWrap/>
        <w:overflowPunct/>
        <w:topLinePunct w:val="0"/>
        <w:autoSpaceDE/>
        <w:autoSpaceDN/>
        <w:bidi w:val="0"/>
        <w:adjustRightInd/>
        <w:spacing w:beforeLines="-2147483648" w:afterLines="-2147483648" w:line="576" w:lineRule="exact"/>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rPr>
        <w:t>广元市昭化区市场监督管理局</w:t>
      </w:r>
    </w:p>
    <w:p w14:paraId="5FA26FD3">
      <w:pPr>
        <w:keepNext w:val="0"/>
        <w:keepLines w:val="0"/>
        <w:pageBreakBefore w:val="0"/>
        <w:shd w:val="clear"/>
        <w:kinsoku/>
        <w:wordWrap/>
        <w:overflowPunct/>
        <w:topLinePunct w:val="0"/>
        <w:autoSpaceDE/>
        <w:autoSpaceDN/>
        <w:bidi w:val="0"/>
        <w:adjustRightInd/>
        <w:spacing w:beforeLines="-2147483648" w:afterLines="-2147483648" w:line="576" w:lineRule="exact"/>
        <w:jc w:val="center"/>
        <w:rPr>
          <w:rFonts w:hint="eastAsia" w:ascii="方正小标宋简体" w:hAnsi="方正小标宋简体" w:eastAsia="方正小标宋简体" w:cs="方正小标宋简体"/>
          <w:b w:val="0"/>
          <w:bCs/>
          <w:kern w:val="2"/>
          <w:sz w:val="44"/>
          <w:szCs w:val="44"/>
          <w:lang w:val="en-US" w:eastAsia="zh-CN"/>
        </w:rPr>
      </w:pPr>
      <w:r>
        <w:rPr>
          <w:rFonts w:hint="eastAsia" w:ascii="方正小标宋简体" w:hAnsi="方正小标宋简体" w:eastAsia="方正小标宋简体" w:cs="方正小标宋简体"/>
          <w:b w:val="0"/>
          <w:bCs/>
          <w:kern w:val="2"/>
          <w:sz w:val="44"/>
          <w:szCs w:val="44"/>
          <w:lang w:val="en-US" w:eastAsia="zh-CN"/>
        </w:rPr>
        <w:t>2023 年优化营商环境提升项目支出绩效</w:t>
      </w:r>
    </w:p>
    <w:p w14:paraId="0B79ABC9">
      <w:pPr>
        <w:keepNext w:val="0"/>
        <w:keepLines w:val="0"/>
        <w:pageBreakBefore w:val="0"/>
        <w:shd w:val="clear"/>
        <w:kinsoku/>
        <w:wordWrap/>
        <w:overflowPunct/>
        <w:topLinePunct w:val="0"/>
        <w:autoSpaceDE/>
        <w:autoSpaceDN/>
        <w:bidi w:val="0"/>
        <w:adjustRightInd/>
        <w:spacing w:beforeLines="-2147483648" w:afterLines="-2147483648" w:line="576" w:lineRule="exact"/>
        <w:jc w:val="center"/>
        <w:rPr>
          <w:rFonts w:hint="eastAsia" w:ascii="方正小标宋简体" w:hAnsi="方正小标宋简体" w:eastAsia="方正小标宋简体" w:cs="方正小标宋简体"/>
          <w:b w:val="0"/>
          <w:bCs/>
          <w:kern w:val="2"/>
          <w:sz w:val="44"/>
          <w:szCs w:val="44"/>
        </w:rPr>
      </w:pPr>
      <w:r>
        <w:rPr>
          <w:rFonts w:hint="eastAsia" w:ascii="方正小标宋简体" w:hAnsi="方正小标宋简体" w:eastAsia="方正小标宋简体" w:cs="方正小标宋简体"/>
          <w:b w:val="0"/>
          <w:bCs/>
          <w:kern w:val="2"/>
          <w:sz w:val="44"/>
          <w:szCs w:val="44"/>
          <w:lang w:val="en-US" w:eastAsia="zh-CN"/>
        </w:rPr>
        <w:t>自评报告</w:t>
      </w:r>
    </w:p>
    <w:p w14:paraId="32C9835C">
      <w:pPr>
        <w:pStyle w:val="12"/>
        <w:keepNext w:val="0"/>
        <w:keepLines w:val="0"/>
        <w:widowControl w:val="0"/>
        <w:suppressLineNumbers w:val="0"/>
        <w:autoSpaceDE w:val="0"/>
        <w:autoSpaceDN w:val="0"/>
        <w:spacing w:before="5" w:beforeAutospacing="0" w:after="0" w:afterAutospacing="0"/>
        <w:ind w:left="0" w:right="0"/>
        <w:jc w:val="left"/>
        <w:rPr>
          <w:rFonts w:hint="eastAsia" w:ascii="宋体" w:hAnsi="宋体" w:eastAsia="宋体" w:cs="宋体"/>
          <w:sz w:val="56"/>
          <w:szCs w:val="56"/>
        </w:rPr>
      </w:pPr>
      <w:r>
        <w:rPr>
          <w:rFonts w:hint="eastAsia" w:ascii="宋体" w:hAnsi="宋体" w:eastAsia="宋体" w:cs="宋体"/>
          <w:kern w:val="0"/>
          <w:sz w:val="56"/>
          <w:szCs w:val="56"/>
          <w:lang w:val="en-US" w:eastAsia="zh-CN" w:bidi="ar"/>
        </w:rPr>
        <w:t xml:space="preserve"> </w:t>
      </w:r>
    </w:p>
    <w:p w14:paraId="6D9D3A22">
      <w:pPr>
        <w:pStyle w:val="1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76" w:lineRule="exact"/>
        <w:ind w:right="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区财政局：</w:t>
      </w:r>
    </w:p>
    <w:p w14:paraId="1D67A196">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left="0" w:leftChars="0" w:right="-10" w:rightChars="0" w:firstLine="640" w:firstLineChars="0"/>
        <w:jc w:val="both"/>
        <w:textAlignment w:val="auto"/>
        <w:rPr>
          <w:rFonts w:hint="eastAsia" w:ascii="宋体" w:hAnsi="宋体" w:eastAsia="宋体" w:cs="宋体"/>
          <w:sz w:val="32"/>
          <w:szCs w:val="32"/>
        </w:rPr>
      </w:pPr>
      <w:r>
        <w:rPr>
          <w:rFonts w:hint="eastAsia" w:ascii="仿宋_GB2312" w:hAnsi="仿宋_GB2312" w:eastAsia="仿宋_GB2312" w:cs="仿宋_GB2312"/>
          <w:kern w:val="2"/>
          <w:sz w:val="32"/>
          <w:szCs w:val="32"/>
          <w:lang w:val="en-US" w:eastAsia="zh-CN" w:bidi="ar-SA"/>
        </w:rPr>
        <w:t>为了进一步加强财政支付预算管理，提高财政资金使用效益，根据广元市昭化区财政局《关于开展2024年部门、政策和项目支出绩效评价工作的通知》（昭财发〔2024〕11号文件要求，结合2023年部门预算管理、重点项目实施情况，现将我局优化营商环境提升项目支出绩效自评报告如下：</w:t>
      </w:r>
    </w:p>
    <w:p w14:paraId="3252B836">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0" w:firstLine="640" w:firstLineChars="200"/>
        <w:jc w:val="left"/>
        <w:textAlignment w:val="auto"/>
        <w:rPr>
          <w:rFonts w:hint="eastAsia" w:ascii="黑体" w:hAnsi="宋体" w:eastAsia="黑体" w:cs="宋体"/>
          <w:sz w:val="32"/>
          <w:szCs w:val="32"/>
        </w:rPr>
      </w:pPr>
      <w:r>
        <w:rPr>
          <w:rFonts w:hint="eastAsia" w:ascii="黑体" w:hAnsi="宋体" w:eastAsia="黑体" w:cs="黑体"/>
          <w:kern w:val="0"/>
          <w:sz w:val="32"/>
          <w:szCs w:val="32"/>
          <w:lang w:val="en-US" w:eastAsia="zh-CN" w:bidi="ar"/>
        </w:rPr>
        <w:t>一、项目概况</w:t>
      </w:r>
    </w:p>
    <w:p w14:paraId="4C2B17A9">
      <w:pPr>
        <w:pStyle w:val="12"/>
        <w:keepNext w:val="0"/>
        <w:keepLines w:val="0"/>
        <w:pageBreakBefore w:val="0"/>
        <w:widowControl w:val="0"/>
        <w:suppressLineNumbers w:val="0"/>
        <w:tabs>
          <w:tab w:val="left" w:pos="9120"/>
        </w:tabs>
        <w:kinsoku/>
        <w:wordWrap/>
        <w:overflowPunct/>
        <w:topLinePunct w:val="0"/>
        <w:autoSpaceDE w:val="0"/>
        <w:autoSpaceDN w:val="0"/>
        <w:bidi w:val="0"/>
        <w:adjustRightInd w:val="0"/>
        <w:snapToGrid/>
        <w:spacing w:before="181" w:beforeAutospacing="0" w:after="0" w:afterAutospacing="0" w:line="576" w:lineRule="exact"/>
        <w:ind w:right="-10" w:rightChars="0" w:firstLine="660" w:firstLineChars="200"/>
        <w:jc w:val="left"/>
        <w:textAlignment w:val="auto"/>
        <w:rPr>
          <w:rFonts w:hint="eastAsia" w:ascii="宋体" w:hAnsi="宋体" w:eastAsia="宋体" w:cs="宋体"/>
          <w:sz w:val="32"/>
          <w:szCs w:val="32"/>
        </w:rPr>
      </w:pPr>
      <w:r>
        <w:rPr>
          <w:rFonts w:hint="eastAsia" w:ascii="楷体" w:hAnsi="楷体" w:eastAsia="楷体" w:cs="楷体"/>
          <w:spacing w:val="5"/>
          <w:kern w:val="0"/>
          <w:sz w:val="32"/>
          <w:szCs w:val="32"/>
          <w:lang w:val="en-US" w:eastAsia="zh-CN" w:bidi="ar"/>
        </w:rPr>
        <w:t>（</w:t>
      </w:r>
      <w:r>
        <w:rPr>
          <w:rFonts w:hint="eastAsia" w:ascii="楷体" w:hAnsi="楷体" w:eastAsia="楷体" w:cs="楷体"/>
          <w:spacing w:val="7"/>
          <w:kern w:val="0"/>
          <w:sz w:val="32"/>
          <w:szCs w:val="32"/>
          <w:lang w:val="en-US" w:eastAsia="zh-CN" w:bidi="ar"/>
        </w:rPr>
        <w:t>一</w:t>
      </w:r>
      <w:r>
        <w:rPr>
          <w:rFonts w:hint="eastAsia" w:ascii="楷体" w:hAnsi="楷体" w:eastAsia="楷体" w:cs="楷体"/>
          <w:spacing w:val="5"/>
          <w:kern w:val="0"/>
          <w:sz w:val="32"/>
          <w:szCs w:val="32"/>
          <w:lang w:val="en-US" w:eastAsia="zh-CN" w:bidi="ar"/>
        </w:rPr>
        <w:t>）项</w:t>
      </w:r>
      <w:r>
        <w:rPr>
          <w:rFonts w:hint="eastAsia" w:ascii="楷体" w:hAnsi="楷体" w:eastAsia="楷体" w:cs="楷体"/>
          <w:spacing w:val="7"/>
          <w:kern w:val="0"/>
          <w:sz w:val="32"/>
          <w:szCs w:val="32"/>
          <w:lang w:val="en-US" w:eastAsia="zh-CN" w:bidi="ar"/>
        </w:rPr>
        <w:t>目</w:t>
      </w:r>
      <w:r>
        <w:rPr>
          <w:rFonts w:hint="eastAsia" w:ascii="楷体" w:hAnsi="楷体" w:eastAsia="楷体" w:cs="楷体"/>
          <w:spacing w:val="5"/>
          <w:kern w:val="0"/>
          <w:sz w:val="32"/>
          <w:szCs w:val="32"/>
          <w:lang w:val="en-US" w:eastAsia="zh-CN" w:bidi="ar"/>
        </w:rPr>
        <w:t>资</w:t>
      </w:r>
      <w:r>
        <w:rPr>
          <w:rFonts w:hint="eastAsia" w:ascii="楷体" w:hAnsi="楷体" w:eastAsia="楷体" w:cs="楷体"/>
          <w:spacing w:val="7"/>
          <w:kern w:val="0"/>
          <w:sz w:val="32"/>
          <w:szCs w:val="32"/>
          <w:lang w:val="en-US" w:eastAsia="zh-CN" w:bidi="ar"/>
        </w:rPr>
        <w:t>金</w:t>
      </w:r>
      <w:r>
        <w:rPr>
          <w:rFonts w:hint="eastAsia" w:ascii="楷体" w:hAnsi="楷体" w:eastAsia="楷体" w:cs="楷体"/>
          <w:spacing w:val="5"/>
          <w:kern w:val="0"/>
          <w:sz w:val="32"/>
          <w:szCs w:val="32"/>
          <w:lang w:val="en-US" w:eastAsia="zh-CN" w:bidi="ar"/>
        </w:rPr>
        <w:t>申</w:t>
      </w:r>
      <w:r>
        <w:rPr>
          <w:rFonts w:hint="eastAsia" w:ascii="楷体" w:hAnsi="楷体" w:eastAsia="楷体" w:cs="楷体"/>
          <w:spacing w:val="7"/>
          <w:kern w:val="0"/>
          <w:sz w:val="32"/>
          <w:szCs w:val="32"/>
          <w:lang w:val="en-US" w:eastAsia="zh-CN" w:bidi="ar"/>
        </w:rPr>
        <w:t>报</w:t>
      </w:r>
      <w:r>
        <w:rPr>
          <w:rFonts w:hint="eastAsia" w:ascii="楷体" w:hAnsi="楷体" w:eastAsia="楷体" w:cs="楷体"/>
          <w:spacing w:val="5"/>
          <w:kern w:val="0"/>
          <w:sz w:val="32"/>
          <w:szCs w:val="32"/>
          <w:lang w:val="en-US" w:eastAsia="zh-CN" w:bidi="ar"/>
        </w:rPr>
        <w:t>及</w:t>
      </w:r>
      <w:r>
        <w:rPr>
          <w:rFonts w:hint="eastAsia" w:ascii="楷体" w:hAnsi="楷体" w:eastAsia="楷体" w:cs="楷体"/>
          <w:spacing w:val="7"/>
          <w:kern w:val="0"/>
          <w:sz w:val="32"/>
          <w:szCs w:val="32"/>
          <w:lang w:val="en-US" w:eastAsia="zh-CN" w:bidi="ar"/>
        </w:rPr>
        <w:t>批</w:t>
      </w:r>
      <w:r>
        <w:rPr>
          <w:rFonts w:hint="eastAsia" w:ascii="楷体" w:hAnsi="楷体" w:eastAsia="楷体" w:cs="楷体"/>
          <w:spacing w:val="5"/>
          <w:kern w:val="0"/>
          <w:sz w:val="32"/>
          <w:szCs w:val="32"/>
          <w:lang w:val="en-US" w:eastAsia="zh-CN" w:bidi="ar"/>
        </w:rPr>
        <w:t>复</w:t>
      </w:r>
      <w:r>
        <w:rPr>
          <w:rFonts w:hint="eastAsia" w:ascii="楷体" w:hAnsi="楷体" w:eastAsia="楷体" w:cs="楷体"/>
          <w:spacing w:val="7"/>
          <w:kern w:val="0"/>
          <w:sz w:val="32"/>
          <w:szCs w:val="32"/>
          <w:lang w:val="en-US" w:eastAsia="zh-CN" w:bidi="ar"/>
        </w:rPr>
        <w:t>情</w:t>
      </w:r>
      <w:r>
        <w:rPr>
          <w:rFonts w:hint="eastAsia" w:ascii="楷体" w:hAnsi="楷体" w:eastAsia="楷体" w:cs="楷体"/>
          <w:spacing w:val="5"/>
          <w:kern w:val="0"/>
          <w:sz w:val="32"/>
          <w:szCs w:val="32"/>
          <w:lang w:val="en-US" w:eastAsia="zh-CN" w:bidi="ar"/>
        </w:rPr>
        <w:t>况</w:t>
      </w:r>
      <w:r>
        <w:rPr>
          <w:rFonts w:hint="eastAsia" w:ascii="楷体" w:hAnsi="楷体" w:eastAsia="楷体" w:cs="楷体"/>
          <w:spacing w:val="7"/>
          <w:kern w:val="0"/>
          <w:sz w:val="32"/>
          <w:szCs w:val="32"/>
          <w:lang w:val="en-US" w:eastAsia="zh-CN" w:bidi="ar"/>
        </w:rPr>
        <w:t>。</w:t>
      </w:r>
      <w:r>
        <w:rPr>
          <w:rFonts w:hint="eastAsia" w:ascii="仿宋_GB2312" w:hAnsi="仿宋_GB2312" w:eastAsia="仿宋_GB2312" w:cs="仿宋_GB2312"/>
          <w:kern w:val="2"/>
          <w:sz w:val="32"/>
          <w:szCs w:val="32"/>
          <w:lang w:val="en-US" w:eastAsia="zh-CN" w:bidi="ar-SA"/>
        </w:rPr>
        <w:t>2023年区市场监管局优化营商环境提升项目为非基建项目，年初申报预算32万元，区财政局批复预算32万元。按照专项资金管理办法进行申报和使用，符合专项资金管理办法及相关规定。</w:t>
      </w:r>
    </w:p>
    <w:p w14:paraId="3B9B61B3">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110" w:rightChars="0" w:firstLine="644"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spacing w:val="1"/>
          <w:kern w:val="0"/>
          <w:sz w:val="32"/>
          <w:szCs w:val="32"/>
          <w:lang w:val="en-US" w:eastAsia="zh-CN" w:bidi="ar"/>
        </w:rPr>
        <w:t>(</w:t>
      </w:r>
      <w:r>
        <w:rPr>
          <w:rFonts w:hint="eastAsia" w:ascii="楷体" w:hAnsi="楷体" w:eastAsia="楷体" w:cs="楷体"/>
          <w:spacing w:val="2"/>
          <w:kern w:val="0"/>
          <w:sz w:val="32"/>
          <w:szCs w:val="32"/>
          <w:lang w:val="en-US" w:eastAsia="zh-CN" w:bidi="ar"/>
        </w:rPr>
        <w:t>二</w:t>
      </w:r>
      <w:r>
        <w:rPr>
          <w:rFonts w:hint="eastAsia" w:ascii="楷体" w:hAnsi="楷体" w:eastAsia="楷体" w:cs="楷体"/>
          <w:kern w:val="0"/>
          <w:sz w:val="32"/>
          <w:szCs w:val="32"/>
          <w:lang w:val="en-US" w:eastAsia="zh-CN" w:bidi="ar"/>
        </w:rPr>
        <w:t>)</w:t>
      </w:r>
      <w:r>
        <w:rPr>
          <w:rFonts w:hint="eastAsia" w:ascii="楷体" w:hAnsi="楷体" w:eastAsia="楷体" w:cs="楷体"/>
          <w:spacing w:val="2"/>
          <w:kern w:val="0"/>
          <w:sz w:val="32"/>
          <w:szCs w:val="32"/>
          <w:lang w:val="en-US" w:eastAsia="zh-CN" w:bidi="ar"/>
        </w:rPr>
        <w:t>项目绩效目标</w:t>
      </w:r>
      <w:r>
        <w:rPr>
          <w:rFonts w:hint="eastAsia" w:ascii="楷体" w:hAnsi="楷体" w:eastAsia="楷体" w:cs="楷体"/>
          <w:spacing w:val="5"/>
          <w:kern w:val="0"/>
          <w:sz w:val="32"/>
          <w:szCs w:val="32"/>
          <w:lang w:val="en-US" w:eastAsia="zh-CN" w:bidi="ar"/>
        </w:rPr>
        <w:t>。</w:t>
      </w:r>
      <w:r>
        <w:rPr>
          <w:rFonts w:hint="eastAsia" w:ascii="仿宋_GB2312" w:hAnsi="仿宋_GB2312" w:eastAsia="仿宋_GB2312" w:cs="仿宋_GB2312"/>
          <w:kern w:val="2"/>
          <w:sz w:val="32"/>
          <w:szCs w:val="32"/>
          <w:lang w:val="en-US" w:eastAsia="zh-CN" w:bidi="ar-SA"/>
        </w:rPr>
        <w:t>进一步完善开办企业综合窗口建设，优化办事流程，精简办事材料，提升办事效率，确保开办企业4小时办结；继续实行“三减一免”“零费用”办理，为300户新增市场主体免费发放印章1300枚；围绕企业设立等46项重点事项，梳理办事流程，制作办事指南，优化办事流程，并在四川政务服务网进行公示。准予注销登记各类企业（含农专）190户。将68项高频事项纳入“村能办”平台。全区共开展市场监管领域部门联合“双随机、一公开”抽查检查54次，抽查事项50项，抽取市场主体300家，抽取执法人员180人，录入公示100%，推动部门联合监管，进一步减少多头检查、交叉检查；加强知识产权创造、保护和运用，2023年新增专利授权5件；新增有效注册商标件20件。</w:t>
      </w:r>
    </w:p>
    <w:p w14:paraId="36D9DAEB">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110" w:rightChars="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kern w:val="0"/>
          <w:sz w:val="32"/>
          <w:szCs w:val="32"/>
          <w:lang w:val="en-US" w:eastAsia="zh-CN" w:bidi="ar"/>
        </w:rPr>
        <w:t>（</w:t>
      </w:r>
      <w:r>
        <w:rPr>
          <w:rFonts w:hint="eastAsia" w:ascii="楷体" w:hAnsi="楷体" w:eastAsia="楷体" w:cs="楷体"/>
          <w:spacing w:val="2"/>
          <w:kern w:val="0"/>
          <w:sz w:val="32"/>
          <w:szCs w:val="32"/>
          <w:lang w:val="en-US" w:eastAsia="zh-CN" w:bidi="ar"/>
        </w:rPr>
        <w:t>三</w:t>
      </w:r>
      <w:r>
        <w:rPr>
          <w:rFonts w:hint="eastAsia" w:ascii="楷体" w:hAnsi="楷体" w:eastAsia="楷体" w:cs="楷体"/>
          <w:spacing w:val="-58"/>
          <w:kern w:val="0"/>
          <w:sz w:val="32"/>
          <w:szCs w:val="32"/>
          <w:lang w:val="en-US" w:eastAsia="zh-CN" w:bidi="ar"/>
        </w:rPr>
        <w:t>）</w:t>
      </w:r>
      <w:r>
        <w:rPr>
          <w:rFonts w:hint="eastAsia" w:ascii="楷体" w:hAnsi="楷体" w:eastAsia="楷体" w:cs="楷体"/>
          <w:kern w:val="0"/>
          <w:sz w:val="32"/>
          <w:szCs w:val="32"/>
          <w:lang w:val="en-US" w:eastAsia="zh-CN" w:bidi="ar"/>
        </w:rPr>
        <w:t>项</w:t>
      </w:r>
      <w:r>
        <w:rPr>
          <w:rFonts w:hint="eastAsia" w:ascii="楷体" w:hAnsi="楷体" w:eastAsia="楷体" w:cs="楷体"/>
          <w:spacing w:val="2"/>
          <w:kern w:val="0"/>
          <w:sz w:val="32"/>
          <w:szCs w:val="32"/>
          <w:lang w:val="en-US" w:eastAsia="zh-CN" w:bidi="ar"/>
        </w:rPr>
        <w:t>目</w:t>
      </w:r>
      <w:r>
        <w:rPr>
          <w:rFonts w:hint="eastAsia" w:ascii="楷体" w:hAnsi="楷体" w:eastAsia="楷体" w:cs="楷体"/>
          <w:kern w:val="0"/>
          <w:sz w:val="32"/>
          <w:szCs w:val="32"/>
          <w:lang w:val="en-US" w:eastAsia="zh-CN" w:bidi="ar"/>
        </w:rPr>
        <w:t>资金</w:t>
      </w:r>
      <w:r>
        <w:rPr>
          <w:rFonts w:hint="eastAsia" w:ascii="楷体" w:hAnsi="楷体" w:eastAsia="楷体" w:cs="楷体"/>
          <w:spacing w:val="2"/>
          <w:kern w:val="0"/>
          <w:sz w:val="32"/>
          <w:szCs w:val="32"/>
          <w:lang w:val="en-US" w:eastAsia="zh-CN" w:bidi="ar"/>
        </w:rPr>
        <w:t>申</w:t>
      </w:r>
      <w:r>
        <w:rPr>
          <w:rFonts w:hint="eastAsia" w:ascii="楷体" w:hAnsi="楷体" w:eastAsia="楷体" w:cs="楷体"/>
          <w:kern w:val="0"/>
          <w:sz w:val="32"/>
          <w:szCs w:val="32"/>
          <w:lang w:val="en-US" w:eastAsia="zh-CN" w:bidi="ar"/>
        </w:rPr>
        <w:t>报相</w:t>
      </w:r>
      <w:r>
        <w:rPr>
          <w:rFonts w:hint="eastAsia" w:ascii="楷体" w:hAnsi="楷体" w:eastAsia="楷体" w:cs="楷体"/>
          <w:spacing w:val="2"/>
          <w:kern w:val="0"/>
          <w:sz w:val="32"/>
          <w:szCs w:val="32"/>
          <w:lang w:val="en-US" w:eastAsia="zh-CN" w:bidi="ar"/>
        </w:rPr>
        <w:t>符</w:t>
      </w:r>
      <w:r>
        <w:rPr>
          <w:rFonts w:hint="eastAsia" w:ascii="楷体" w:hAnsi="楷体" w:eastAsia="楷体" w:cs="楷体"/>
          <w:kern w:val="0"/>
          <w:sz w:val="32"/>
          <w:szCs w:val="32"/>
          <w:lang w:val="en-US" w:eastAsia="zh-CN" w:bidi="ar"/>
        </w:rPr>
        <w:t>性</w:t>
      </w:r>
      <w:r>
        <w:rPr>
          <w:rFonts w:hint="eastAsia" w:ascii="楷体" w:hAnsi="楷体" w:eastAsia="楷体" w:cs="楷体"/>
          <w:spacing w:val="-58"/>
          <w:kern w:val="0"/>
          <w:sz w:val="32"/>
          <w:szCs w:val="32"/>
          <w:lang w:val="en-US" w:eastAsia="zh-CN" w:bidi="ar"/>
        </w:rPr>
        <w:t>。</w:t>
      </w:r>
      <w:r>
        <w:rPr>
          <w:rFonts w:hint="eastAsia" w:ascii="仿宋_GB2312" w:hAnsi="仿宋_GB2312" w:eastAsia="仿宋_GB2312" w:cs="仿宋_GB2312"/>
          <w:kern w:val="2"/>
          <w:sz w:val="32"/>
          <w:szCs w:val="32"/>
          <w:lang w:val="en-US" w:eastAsia="zh-CN" w:bidi="ar-SA"/>
        </w:rPr>
        <w:t>项目资金申报按照项目实施内容及年度工作计划实施，资金申报合理、操作性强、可行性高，并结合资金性质及用途，有预见性、前瞻性地开展工作。</w:t>
      </w:r>
    </w:p>
    <w:p w14:paraId="74A36C70">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110" w:righ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kern w:val="0"/>
          <w:sz w:val="32"/>
          <w:szCs w:val="32"/>
          <w:lang w:val="en-US" w:eastAsia="zh-CN" w:bidi="ar"/>
        </w:rPr>
        <w:t>（</w:t>
      </w:r>
      <w:r>
        <w:rPr>
          <w:rFonts w:hint="eastAsia" w:ascii="楷体" w:hAnsi="楷体" w:eastAsia="楷体" w:cs="楷体"/>
          <w:spacing w:val="2"/>
          <w:kern w:val="0"/>
          <w:sz w:val="32"/>
          <w:szCs w:val="32"/>
          <w:lang w:val="en-US" w:eastAsia="zh-CN" w:bidi="ar"/>
        </w:rPr>
        <w:t>四</w:t>
      </w:r>
      <w:r>
        <w:rPr>
          <w:rFonts w:hint="eastAsia" w:ascii="楷体" w:hAnsi="楷体" w:eastAsia="楷体" w:cs="楷体"/>
          <w:spacing w:val="-39"/>
          <w:kern w:val="0"/>
          <w:sz w:val="32"/>
          <w:szCs w:val="32"/>
          <w:lang w:val="en-US" w:eastAsia="zh-CN" w:bidi="ar"/>
        </w:rPr>
        <w:t>）</w:t>
      </w:r>
      <w:r>
        <w:rPr>
          <w:rFonts w:hint="eastAsia" w:ascii="楷体" w:hAnsi="楷体" w:eastAsia="楷体" w:cs="楷体"/>
          <w:kern w:val="0"/>
          <w:sz w:val="32"/>
          <w:szCs w:val="32"/>
          <w:lang w:val="en-US" w:eastAsia="zh-CN" w:bidi="ar"/>
        </w:rPr>
        <w:t>自</w:t>
      </w:r>
      <w:r>
        <w:rPr>
          <w:rFonts w:hint="eastAsia" w:ascii="楷体" w:hAnsi="楷体" w:eastAsia="楷体" w:cs="楷体"/>
          <w:spacing w:val="2"/>
          <w:kern w:val="0"/>
          <w:sz w:val="32"/>
          <w:szCs w:val="32"/>
          <w:lang w:val="en-US" w:eastAsia="zh-CN" w:bidi="ar"/>
        </w:rPr>
        <w:t>评</w:t>
      </w:r>
      <w:r>
        <w:rPr>
          <w:rFonts w:hint="eastAsia" w:ascii="楷体" w:hAnsi="楷体" w:eastAsia="楷体" w:cs="楷体"/>
          <w:kern w:val="0"/>
          <w:sz w:val="32"/>
          <w:szCs w:val="32"/>
          <w:lang w:val="en-US" w:eastAsia="zh-CN" w:bidi="ar"/>
        </w:rPr>
        <w:t>步骤</w:t>
      </w:r>
      <w:r>
        <w:rPr>
          <w:rFonts w:hint="eastAsia" w:ascii="楷体" w:hAnsi="楷体" w:eastAsia="楷体" w:cs="楷体"/>
          <w:spacing w:val="2"/>
          <w:kern w:val="0"/>
          <w:sz w:val="32"/>
          <w:szCs w:val="32"/>
          <w:lang w:val="en-US" w:eastAsia="zh-CN" w:bidi="ar"/>
        </w:rPr>
        <w:t>及</w:t>
      </w:r>
      <w:r>
        <w:rPr>
          <w:rFonts w:hint="eastAsia" w:ascii="楷体" w:hAnsi="楷体" w:eastAsia="楷体" w:cs="楷体"/>
          <w:kern w:val="0"/>
          <w:sz w:val="32"/>
          <w:szCs w:val="32"/>
          <w:lang w:val="en-US" w:eastAsia="zh-CN" w:bidi="ar"/>
        </w:rPr>
        <w:t>方法</w:t>
      </w:r>
      <w:r>
        <w:rPr>
          <w:rFonts w:hint="eastAsia" w:ascii="楷体" w:hAnsi="楷体" w:eastAsia="楷体" w:cs="楷体"/>
          <w:spacing w:val="-39"/>
          <w:kern w:val="0"/>
          <w:sz w:val="32"/>
          <w:szCs w:val="32"/>
          <w:lang w:val="en-US" w:eastAsia="zh-CN" w:bidi="ar"/>
        </w:rPr>
        <w:t>。</w:t>
      </w:r>
      <w:r>
        <w:rPr>
          <w:rFonts w:hint="eastAsia" w:ascii="仿宋_GB2312" w:hAnsi="仿宋_GB2312" w:eastAsia="仿宋_GB2312" w:cs="仿宋_GB2312"/>
          <w:kern w:val="2"/>
          <w:sz w:val="32"/>
          <w:szCs w:val="32"/>
          <w:lang w:val="en-US" w:eastAsia="zh-CN" w:bidi="ar-SA"/>
        </w:rPr>
        <w:t>按照区财政局的安排部署，我局成立自评小组，采用比较法展开了单位自评，首先对年初下达的预算批复和年初项目绩效进行了全面梳理，分类清理了各项目一年来绩效目标完成情况、资金使用情况、项目达到的效果等。然后逐一对各项目完成情况开展自评，最后通过召开专题会议的形势对各项目绩效情况进行分析总结。</w:t>
      </w:r>
    </w:p>
    <w:p w14:paraId="4768B1C9">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0" w:firstLine="640" w:firstLineChars="200"/>
        <w:jc w:val="left"/>
        <w:textAlignment w:val="auto"/>
        <w:rPr>
          <w:rFonts w:hint="eastAsia" w:ascii="黑体" w:hAnsi="宋体" w:eastAsia="黑体" w:cs="宋体"/>
          <w:sz w:val="32"/>
          <w:szCs w:val="32"/>
        </w:rPr>
      </w:pPr>
      <w:r>
        <w:rPr>
          <w:rFonts w:hint="eastAsia" w:ascii="黑体" w:hAnsi="宋体" w:eastAsia="黑体" w:cs="黑体"/>
          <w:kern w:val="0"/>
          <w:sz w:val="32"/>
          <w:szCs w:val="32"/>
          <w:lang w:val="en-US" w:eastAsia="zh-CN" w:bidi="ar"/>
        </w:rPr>
        <w:t>二、项目实施及管理情况</w:t>
      </w:r>
    </w:p>
    <w:p w14:paraId="6B9D9B3B">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0" w:firstLine="640" w:firstLineChars="200"/>
        <w:jc w:val="left"/>
        <w:textAlignment w:val="auto"/>
        <w:rPr>
          <w:rFonts w:hint="eastAsia" w:ascii="楷体" w:hAnsi="楷体" w:eastAsia="楷体" w:cs="楷体"/>
          <w:kern w:val="0"/>
          <w:sz w:val="32"/>
          <w:szCs w:val="32"/>
          <w:lang w:val="en-US" w:eastAsia="zh-CN" w:bidi="ar"/>
        </w:rPr>
      </w:pPr>
      <w:r>
        <w:rPr>
          <w:rFonts w:hint="eastAsia" w:ascii="楷体" w:hAnsi="楷体" w:eastAsia="楷体" w:cs="楷体"/>
          <w:kern w:val="0"/>
          <w:sz w:val="32"/>
          <w:szCs w:val="32"/>
          <w:lang w:val="en-US" w:eastAsia="zh-CN" w:bidi="ar"/>
        </w:rPr>
        <w:t>（一）资金计划、到位及使用情况</w:t>
      </w:r>
    </w:p>
    <w:p w14:paraId="67F5C14F">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110" w:righ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1.资金计划及到位。该项目资金计划及截止评价时点实际到位资金32万元，资金到位率100%。</w:t>
      </w:r>
    </w:p>
    <w:p w14:paraId="0FFEDB5F">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110" w:rightChars="0" w:firstLine="640" w:firstLineChars="200"/>
        <w:jc w:val="both"/>
        <w:textAlignment w:val="auto"/>
        <w:rPr>
          <w:rFonts w:hint="eastAsia" w:ascii="宋体" w:hAnsi="宋体" w:eastAsia="宋体" w:cs="宋体"/>
          <w:sz w:val="32"/>
          <w:szCs w:val="32"/>
        </w:rPr>
      </w:pPr>
      <w:r>
        <w:rPr>
          <w:rFonts w:hint="eastAsia" w:ascii="仿宋_GB2312" w:hAnsi="仿宋_GB2312" w:eastAsia="仿宋_GB2312" w:cs="仿宋_GB2312"/>
          <w:kern w:val="2"/>
          <w:sz w:val="32"/>
          <w:szCs w:val="32"/>
          <w:lang w:val="en-US" w:eastAsia="zh-CN" w:bidi="ar-SA"/>
        </w:rPr>
        <w:t>2.资金使用。截止2023年12月31日，项目资金的实际支出32万元，资金使用率100%，资金开支主要用于优化营商环境提升。</w:t>
      </w:r>
    </w:p>
    <w:p w14:paraId="1CC524F8">
      <w:pPr>
        <w:pStyle w:val="12"/>
        <w:keepNext w:val="0"/>
        <w:keepLines w:val="0"/>
        <w:pageBreakBefore w:val="0"/>
        <w:widowControl w:val="0"/>
        <w:suppressLineNumbers w:val="0"/>
        <w:kinsoku/>
        <w:wordWrap/>
        <w:overflowPunct/>
        <w:topLinePunct w:val="0"/>
        <w:autoSpaceDE w:val="0"/>
        <w:autoSpaceDN w:val="0"/>
        <w:bidi w:val="0"/>
        <w:adjustRightInd w:val="0"/>
        <w:snapToGrid/>
        <w:spacing w:before="47" w:beforeAutospacing="0" w:after="0" w:afterAutospacing="0" w:line="576" w:lineRule="exact"/>
        <w:ind w:right="0" w:firstLine="640" w:firstLineChars="200"/>
        <w:jc w:val="left"/>
        <w:textAlignment w:val="auto"/>
        <w:rPr>
          <w:rFonts w:hint="eastAsia" w:ascii="楷体" w:hAnsi="宋体" w:eastAsia="楷体" w:cs="宋体"/>
          <w:sz w:val="32"/>
          <w:szCs w:val="32"/>
        </w:rPr>
      </w:pPr>
      <w:r>
        <w:rPr>
          <w:rFonts w:hint="eastAsia" w:ascii="楷体" w:hAnsi="楷体" w:eastAsia="楷体" w:cs="楷体"/>
          <w:kern w:val="0"/>
          <w:sz w:val="32"/>
          <w:szCs w:val="32"/>
          <w:lang w:val="en-US" w:eastAsia="zh-CN" w:bidi="ar"/>
        </w:rPr>
        <w:t>（二）项目财务管理情况</w:t>
      </w:r>
    </w:p>
    <w:p w14:paraId="159C5D9F">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113" w:firstLine="640" w:firstLineChars="200"/>
        <w:jc w:val="left"/>
        <w:textAlignment w:val="auto"/>
        <w:rPr>
          <w:rFonts w:hint="eastAsia" w:ascii="宋体" w:hAnsi="宋体" w:eastAsia="宋体" w:cs="宋体"/>
          <w:sz w:val="32"/>
          <w:szCs w:val="32"/>
        </w:rPr>
      </w:pPr>
      <w:r>
        <w:rPr>
          <w:rFonts w:hint="eastAsia" w:ascii="仿宋_GB2312" w:hAnsi="仿宋_GB2312" w:eastAsia="仿宋_GB2312" w:cs="仿宋_GB2312"/>
          <w:kern w:val="2"/>
          <w:sz w:val="32"/>
          <w:szCs w:val="32"/>
          <w:lang w:val="en-US" w:eastAsia="zh-CN" w:bidi="ar-SA"/>
        </w:rPr>
        <w:t>为加强项目资金管理力度和严谨性，我局制定了专项资金使用管理制度，在项目资金管事中，严格按照相关管理制度，加强了项目资金的管理。在对专项资金的会计核算和账务处理中，严格按照支出功能分类科目和部门预算经济分类科目进行会计核算和账务处理，资金拨付严格按照财务程序，强化报销环节管理，按照先请示、后审批、再核查的程序进行专项资金的支付，建立重大事项集体议事决策机制，保证其专项资金的专款专用、使用安全，财务处理及时、会计核算规范，有效发挥了专项资金的有效性和效益最大化。</w:t>
      </w:r>
    </w:p>
    <w:p w14:paraId="68BDC186">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0" w:firstLine="640" w:firstLineChars="200"/>
        <w:jc w:val="left"/>
        <w:textAlignment w:val="auto"/>
        <w:rPr>
          <w:rFonts w:hint="eastAsia" w:ascii="楷体" w:hAnsi="宋体" w:eastAsia="楷体" w:cs="宋体"/>
          <w:sz w:val="32"/>
          <w:szCs w:val="32"/>
        </w:rPr>
      </w:pPr>
      <w:r>
        <w:rPr>
          <w:rFonts w:hint="eastAsia" w:ascii="楷体" w:hAnsi="楷体" w:eastAsia="楷体" w:cs="楷体"/>
          <w:kern w:val="0"/>
          <w:sz w:val="32"/>
          <w:szCs w:val="32"/>
          <w:lang w:val="en-US" w:eastAsia="zh-CN" w:bidi="ar"/>
        </w:rPr>
        <w:t>（三）项目组织实施及管理情况</w:t>
      </w:r>
    </w:p>
    <w:p w14:paraId="642941B0">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113" w:firstLine="640" w:firstLineChars="200"/>
        <w:jc w:val="left"/>
        <w:textAlignment w:val="auto"/>
        <w:rPr>
          <w:rFonts w:hint="eastAsia" w:ascii="宋体" w:hAnsi="宋体" w:eastAsia="宋体" w:cs="宋体"/>
          <w:sz w:val="32"/>
          <w:szCs w:val="32"/>
        </w:rPr>
      </w:pPr>
      <w:r>
        <w:rPr>
          <w:rFonts w:hint="eastAsia" w:ascii="仿宋_GB2312" w:hAnsi="仿宋_GB2312" w:eastAsia="仿宋_GB2312" w:cs="仿宋_GB2312"/>
          <w:kern w:val="2"/>
          <w:sz w:val="32"/>
          <w:szCs w:val="32"/>
          <w:lang w:val="en-US" w:eastAsia="zh-CN" w:bidi="ar-SA"/>
        </w:rPr>
        <w:t>我局高度重视，成立了以副局长张三元为组长，相关业务股室负责人为成员的项目管理领导小组。实现了项目申报、审批、实施、监督、验收全流程监管。将项目实施中各环节责任落实到具体的人头。项目的组织实施、管理以及项目资金的使用严格按照流程推进。从而使项目的管理达到了程序化、制度化、公开化、</w:t>
      </w:r>
      <w:r>
        <w:rPr>
          <w:rFonts w:hint="eastAsia" w:ascii="宋体" w:hAnsi="宋体" w:eastAsia="宋体" w:cs="宋体"/>
          <w:kern w:val="0"/>
          <w:sz w:val="32"/>
          <w:szCs w:val="32"/>
          <w:lang w:val="en-US" w:eastAsia="zh-CN" w:bidi="ar"/>
        </w:rPr>
        <w:t>透明化。</w:t>
      </w:r>
    </w:p>
    <w:p w14:paraId="7846EC1B">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0" w:firstLine="640" w:firstLineChars="200"/>
        <w:jc w:val="left"/>
        <w:textAlignment w:val="auto"/>
        <w:rPr>
          <w:rFonts w:hint="eastAsia" w:ascii="黑体" w:hAnsi="宋体" w:eastAsia="黑体" w:cs="宋体"/>
          <w:sz w:val="32"/>
          <w:szCs w:val="32"/>
        </w:rPr>
      </w:pPr>
      <w:r>
        <w:rPr>
          <w:rFonts w:hint="eastAsia" w:ascii="黑体" w:hAnsi="宋体" w:eastAsia="黑体" w:cs="黑体"/>
          <w:kern w:val="0"/>
          <w:sz w:val="32"/>
          <w:szCs w:val="32"/>
          <w:lang w:val="en-US" w:eastAsia="zh-CN" w:bidi="ar"/>
        </w:rPr>
        <w:t>三、项目绩效情况</w:t>
      </w:r>
    </w:p>
    <w:p w14:paraId="0A8D3AF7">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110" w:rightChars="0" w:firstLine="640" w:firstLineChars="200"/>
        <w:jc w:val="left"/>
        <w:textAlignment w:val="auto"/>
        <w:rPr>
          <w:rFonts w:hint="eastAsia" w:ascii="宋体" w:hAnsi="宋体" w:eastAsia="宋体" w:cs="宋体"/>
          <w:sz w:val="32"/>
          <w:szCs w:val="32"/>
        </w:rPr>
      </w:pPr>
      <w:r>
        <w:rPr>
          <w:rFonts w:hint="eastAsia" w:ascii="楷体" w:hAnsi="楷体" w:eastAsia="楷体" w:cs="楷体"/>
          <w:kern w:val="0"/>
          <w:sz w:val="32"/>
          <w:szCs w:val="32"/>
          <w:lang w:val="en-US" w:eastAsia="zh-CN" w:bidi="ar"/>
        </w:rPr>
        <w:t>（一</w:t>
      </w:r>
      <w:r>
        <w:rPr>
          <w:rFonts w:hint="eastAsia" w:ascii="楷体" w:hAnsi="楷体" w:eastAsia="楷体" w:cs="楷体"/>
          <w:spacing w:val="-39"/>
          <w:kern w:val="0"/>
          <w:sz w:val="32"/>
          <w:szCs w:val="32"/>
          <w:lang w:val="en-US" w:eastAsia="zh-CN" w:bidi="ar"/>
        </w:rPr>
        <w:t>）</w:t>
      </w:r>
      <w:r>
        <w:rPr>
          <w:rFonts w:hint="eastAsia" w:ascii="楷体" w:hAnsi="楷体" w:eastAsia="楷体" w:cs="楷体"/>
          <w:kern w:val="0"/>
          <w:sz w:val="32"/>
          <w:szCs w:val="32"/>
          <w:lang w:val="en-US" w:eastAsia="zh-CN" w:bidi="ar"/>
        </w:rPr>
        <w:t>项</w:t>
      </w:r>
      <w:r>
        <w:rPr>
          <w:rFonts w:hint="eastAsia" w:ascii="楷体" w:hAnsi="楷体" w:eastAsia="楷体" w:cs="楷体"/>
          <w:spacing w:val="2"/>
          <w:kern w:val="0"/>
          <w:sz w:val="32"/>
          <w:szCs w:val="32"/>
          <w:lang w:val="en-US" w:eastAsia="zh-CN" w:bidi="ar"/>
        </w:rPr>
        <w:t>目</w:t>
      </w:r>
      <w:r>
        <w:rPr>
          <w:rFonts w:hint="eastAsia" w:ascii="楷体" w:hAnsi="楷体" w:eastAsia="楷体" w:cs="楷体"/>
          <w:kern w:val="0"/>
          <w:sz w:val="32"/>
          <w:szCs w:val="32"/>
          <w:lang w:val="en-US" w:eastAsia="zh-CN" w:bidi="ar"/>
        </w:rPr>
        <w:t>完成</w:t>
      </w:r>
      <w:r>
        <w:rPr>
          <w:rFonts w:hint="eastAsia" w:ascii="楷体" w:hAnsi="楷体" w:eastAsia="楷体" w:cs="楷体"/>
          <w:spacing w:val="2"/>
          <w:kern w:val="0"/>
          <w:sz w:val="32"/>
          <w:szCs w:val="32"/>
          <w:lang w:val="en-US" w:eastAsia="zh-CN" w:bidi="ar"/>
        </w:rPr>
        <w:t>情</w:t>
      </w:r>
      <w:r>
        <w:rPr>
          <w:rFonts w:hint="eastAsia" w:ascii="楷体" w:hAnsi="楷体" w:eastAsia="楷体" w:cs="楷体"/>
          <w:kern w:val="0"/>
          <w:sz w:val="32"/>
          <w:szCs w:val="32"/>
          <w:lang w:val="en-US" w:eastAsia="zh-CN" w:bidi="ar"/>
        </w:rPr>
        <w:t>况</w:t>
      </w:r>
      <w:r>
        <w:rPr>
          <w:rFonts w:hint="eastAsia" w:ascii="楷体" w:hAnsi="楷体" w:eastAsia="楷体" w:cs="楷体"/>
          <w:spacing w:val="-39"/>
          <w:kern w:val="0"/>
          <w:sz w:val="32"/>
          <w:szCs w:val="32"/>
          <w:lang w:val="en-US" w:eastAsia="zh-CN" w:bidi="ar"/>
        </w:rPr>
        <w:t>。</w:t>
      </w:r>
      <w:r>
        <w:rPr>
          <w:rFonts w:hint="eastAsia" w:ascii="仿宋_GB2312" w:hAnsi="仿宋_GB2312" w:eastAsia="仿宋_GB2312" w:cs="仿宋_GB2312"/>
          <w:kern w:val="2"/>
          <w:sz w:val="32"/>
          <w:szCs w:val="32"/>
          <w:lang w:val="en-US" w:eastAsia="zh-CN" w:bidi="ar-SA"/>
        </w:rPr>
        <w:t>持续落实了企业开办4小时、零成本办结，并将“零成本”开办范围扩大至农专社。本年度共核准设立登记各类企业380户，为376户市场主体免费发放印章1354枚，围绕企业设立等46项重点事项，梳理办事流程，制作办事指南，优化办事流程，并在四川政务服务网进行公示。共准予注销登记各类企业（含农专）190户。将所有68项高频事项纳入“村能办”平台。全区共开展市场监管领域部门联合“双随机、一公开”抽查检查54次，抽查事项54项，抽取市场主体334家，抽取执法人员180人，录入公示100%，涉及区级部门26。加了知识产权创造和保护力度，2023年新增专利授权41件（其中，发明专利4件；实用新型专利21件；外观设计专利16件）；新增有效注册商标件87件。通过项目的实施，进一步优化了我区营商环境，服务对象满意度达95%。项目的各项绩效指标全面完成。</w:t>
      </w:r>
    </w:p>
    <w:p w14:paraId="44ABB045">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110" w:rightChars="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kern w:val="0"/>
          <w:sz w:val="32"/>
          <w:szCs w:val="32"/>
          <w:lang w:val="en-US" w:eastAsia="zh-CN" w:bidi="ar"/>
        </w:rPr>
        <w:t>（</w:t>
      </w:r>
      <w:r>
        <w:rPr>
          <w:rFonts w:hint="eastAsia" w:ascii="楷体" w:hAnsi="楷体" w:eastAsia="楷体" w:cs="楷体"/>
          <w:spacing w:val="2"/>
          <w:kern w:val="0"/>
          <w:sz w:val="32"/>
          <w:szCs w:val="32"/>
          <w:lang w:val="en-US" w:eastAsia="zh-CN" w:bidi="ar"/>
        </w:rPr>
        <w:t>二</w:t>
      </w:r>
      <w:r>
        <w:rPr>
          <w:rFonts w:hint="eastAsia" w:ascii="楷体" w:hAnsi="楷体" w:eastAsia="楷体" w:cs="楷体"/>
          <w:kern w:val="0"/>
          <w:sz w:val="32"/>
          <w:szCs w:val="32"/>
          <w:lang w:val="en-US" w:eastAsia="zh-CN" w:bidi="ar"/>
        </w:rPr>
        <w:t>）项</w:t>
      </w:r>
      <w:r>
        <w:rPr>
          <w:rFonts w:hint="eastAsia" w:ascii="楷体" w:hAnsi="楷体" w:eastAsia="楷体" w:cs="楷体"/>
          <w:spacing w:val="2"/>
          <w:kern w:val="0"/>
          <w:sz w:val="32"/>
          <w:szCs w:val="32"/>
          <w:lang w:val="en-US" w:eastAsia="zh-CN" w:bidi="ar"/>
        </w:rPr>
        <w:t>目</w:t>
      </w:r>
      <w:r>
        <w:rPr>
          <w:rFonts w:hint="eastAsia" w:ascii="楷体" w:hAnsi="楷体" w:eastAsia="楷体" w:cs="楷体"/>
          <w:kern w:val="0"/>
          <w:sz w:val="32"/>
          <w:szCs w:val="32"/>
          <w:lang w:val="en-US" w:eastAsia="zh-CN" w:bidi="ar"/>
        </w:rPr>
        <w:t>效益</w:t>
      </w:r>
      <w:r>
        <w:rPr>
          <w:rFonts w:hint="eastAsia" w:ascii="楷体" w:hAnsi="楷体" w:eastAsia="楷体" w:cs="楷体"/>
          <w:spacing w:val="2"/>
          <w:kern w:val="0"/>
          <w:sz w:val="32"/>
          <w:szCs w:val="32"/>
          <w:lang w:val="en-US" w:eastAsia="zh-CN" w:bidi="ar"/>
        </w:rPr>
        <w:t>情</w:t>
      </w:r>
      <w:r>
        <w:rPr>
          <w:rFonts w:hint="eastAsia" w:ascii="楷体" w:hAnsi="楷体" w:eastAsia="楷体" w:cs="楷体"/>
          <w:kern w:val="0"/>
          <w:sz w:val="32"/>
          <w:szCs w:val="32"/>
          <w:lang w:val="en-US" w:eastAsia="zh-CN" w:bidi="ar"/>
        </w:rPr>
        <w:t>况</w:t>
      </w:r>
      <w:r>
        <w:rPr>
          <w:rFonts w:hint="eastAsia" w:ascii="楷体" w:hAnsi="楷体" w:eastAsia="楷体" w:cs="楷体"/>
          <w:spacing w:val="-58"/>
          <w:kern w:val="0"/>
          <w:sz w:val="32"/>
          <w:szCs w:val="32"/>
          <w:lang w:val="en-US" w:eastAsia="zh-CN" w:bidi="ar"/>
        </w:rPr>
        <w:t>。</w:t>
      </w:r>
      <w:r>
        <w:rPr>
          <w:rFonts w:hint="eastAsia" w:ascii="仿宋_GB2312" w:hAnsi="仿宋_GB2312" w:eastAsia="仿宋_GB2312" w:cs="仿宋_GB2312"/>
          <w:kern w:val="2"/>
          <w:sz w:val="32"/>
          <w:szCs w:val="32"/>
          <w:lang w:val="en-US" w:eastAsia="zh-CN" w:bidi="ar-SA"/>
        </w:rPr>
        <w:t>社会效益：通过优化营商环境提升专项资金项目的实施，市场主体持续增长，“双随机、一公开”联合监管持续推进，惠企便企政策持续落实，优化了营商环境，激发了市场活力。</w:t>
      </w:r>
    </w:p>
    <w:p w14:paraId="53EE0CAF">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110" w:rightChars="0" w:firstLine="640" w:firstLineChars="200"/>
        <w:jc w:val="left"/>
        <w:textAlignment w:val="auto"/>
        <w:rPr>
          <w:rFonts w:hint="eastAsia" w:ascii="宋体" w:hAnsi="宋体" w:eastAsia="宋体" w:cs="宋体"/>
          <w:sz w:val="32"/>
          <w:szCs w:val="32"/>
        </w:rPr>
      </w:pPr>
      <w:r>
        <w:rPr>
          <w:rFonts w:hint="eastAsia" w:ascii="仿宋_GB2312" w:hAnsi="仿宋_GB2312" w:eastAsia="仿宋_GB2312" w:cs="仿宋_GB2312"/>
          <w:kern w:val="2"/>
          <w:sz w:val="32"/>
          <w:szCs w:val="32"/>
          <w:lang w:val="en-US" w:eastAsia="zh-CN" w:bidi="ar-SA"/>
        </w:rPr>
        <w:t>可持续效益：持续落实信用风险分级分类成果运用，实现企业风险分类结果多部门共享共用，推动部门联合监管机制更加智慧化、精准化、规范化。实现了对合法守信企业无事不扰，对违法失信企业从严监管。</w:t>
      </w:r>
    </w:p>
    <w:p w14:paraId="1CD3CA55">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157" w:firstLine="648"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spacing w:val="2"/>
          <w:kern w:val="0"/>
          <w:sz w:val="32"/>
          <w:szCs w:val="32"/>
          <w:lang w:val="en-US" w:eastAsia="zh-CN" w:bidi="ar"/>
        </w:rPr>
        <w:t>（三）</w:t>
      </w:r>
      <w:r>
        <w:rPr>
          <w:rFonts w:hint="eastAsia" w:ascii="楷体" w:hAnsi="楷体" w:eastAsia="楷体" w:cs="楷体"/>
          <w:spacing w:val="5"/>
          <w:kern w:val="0"/>
          <w:sz w:val="32"/>
          <w:szCs w:val="32"/>
          <w:lang w:val="en-US" w:eastAsia="zh-CN" w:bidi="ar"/>
        </w:rPr>
        <w:t>违</w:t>
      </w:r>
      <w:r>
        <w:rPr>
          <w:rFonts w:hint="eastAsia" w:ascii="楷体" w:hAnsi="楷体" w:eastAsia="楷体" w:cs="楷体"/>
          <w:spacing w:val="2"/>
          <w:kern w:val="0"/>
          <w:sz w:val="32"/>
          <w:szCs w:val="32"/>
          <w:lang w:val="en-US" w:eastAsia="zh-CN" w:bidi="ar"/>
        </w:rPr>
        <w:t>规记录。</w:t>
      </w:r>
      <w:r>
        <w:rPr>
          <w:rFonts w:hint="eastAsia" w:ascii="仿宋_GB2312" w:hAnsi="仿宋_GB2312" w:eastAsia="仿宋_GB2312" w:cs="仿宋_GB2312"/>
          <w:kern w:val="2"/>
          <w:sz w:val="32"/>
          <w:szCs w:val="32"/>
          <w:lang w:val="en-US" w:eastAsia="zh-CN" w:bidi="ar-SA"/>
        </w:rPr>
        <w:t>该项目2023年未按受过审计，在接受本级财政部门财会监督和决算审查结果中反映专项预算管理合规。</w:t>
      </w:r>
    </w:p>
    <w:p w14:paraId="616C796B">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0" w:firstLine="640" w:firstLineChars="200"/>
        <w:jc w:val="left"/>
        <w:textAlignment w:val="auto"/>
        <w:rPr>
          <w:rFonts w:hint="eastAsia" w:ascii="黑体" w:hAnsi="宋体" w:eastAsia="黑体" w:cs="宋体"/>
          <w:sz w:val="32"/>
          <w:szCs w:val="32"/>
        </w:rPr>
      </w:pPr>
      <w:r>
        <w:rPr>
          <w:rFonts w:hint="eastAsia" w:ascii="黑体" w:hAnsi="宋体" w:eastAsia="黑体" w:cs="黑体"/>
          <w:kern w:val="0"/>
          <w:sz w:val="32"/>
          <w:szCs w:val="32"/>
          <w:lang w:val="en-US" w:eastAsia="zh-CN" w:bidi="ar"/>
        </w:rPr>
        <w:t>四、自评结论及建议</w:t>
      </w:r>
    </w:p>
    <w:p w14:paraId="558F30C9">
      <w:pPr>
        <w:pStyle w:val="12"/>
        <w:keepNext w:val="0"/>
        <w:keepLines w:val="0"/>
        <w:pageBreakBefore w:val="0"/>
        <w:widowControl w:val="0"/>
        <w:suppressLineNumbers w:val="0"/>
        <w:kinsoku/>
        <w:wordWrap/>
        <w:overflowPunct/>
        <w:topLinePunct w:val="0"/>
        <w:autoSpaceDE w:val="0"/>
        <w:autoSpaceDN w:val="0"/>
        <w:bidi w:val="0"/>
        <w:adjustRightInd w:val="0"/>
        <w:snapToGrid/>
        <w:spacing w:before="181" w:beforeAutospacing="0" w:after="0" w:afterAutospacing="0" w:line="576" w:lineRule="exact"/>
        <w:ind w:right="113" w:firstLine="668"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spacing w:val="7"/>
          <w:kern w:val="0"/>
          <w:sz w:val="32"/>
          <w:szCs w:val="32"/>
          <w:lang w:val="en-US" w:eastAsia="zh-CN" w:bidi="ar"/>
        </w:rPr>
        <w:t>（</w:t>
      </w:r>
      <w:r>
        <w:rPr>
          <w:rFonts w:hint="eastAsia" w:ascii="楷体" w:hAnsi="楷体" w:eastAsia="楷体" w:cs="楷体"/>
          <w:spacing w:val="5"/>
          <w:kern w:val="0"/>
          <w:sz w:val="32"/>
          <w:szCs w:val="32"/>
          <w:lang w:val="en-US" w:eastAsia="zh-CN" w:bidi="ar"/>
        </w:rPr>
        <w:t>一</w:t>
      </w:r>
      <w:r>
        <w:rPr>
          <w:rFonts w:hint="eastAsia" w:ascii="楷体" w:hAnsi="楷体" w:eastAsia="楷体" w:cs="楷体"/>
          <w:spacing w:val="7"/>
          <w:kern w:val="0"/>
          <w:sz w:val="32"/>
          <w:szCs w:val="32"/>
          <w:lang w:val="en-US" w:eastAsia="zh-CN" w:bidi="ar"/>
        </w:rPr>
        <w:t>）</w:t>
      </w:r>
      <w:r>
        <w:rPr>
          <w:rFonts w:hint="eastAsia" w:ascii="楷体" w:hAnsi="楷体" w:eastAsia="楷体" w:cs="楷体"/>
          <w:spacing w:val="5"/>
          <w:kern w:val="0"/>
          <w:sz w:val="32"/>
          <w:szCs w:val="32"/>
          <w:lang w:val="en-US" w:eastAsia="zh-CN" w:bidi="ar"/>
        </w:rPr>
        <w:t>自</w:t>
      </w:r>
      <w:r>
        <w:rPr>
          <w:rFonts w:hint="eastAsia" w:ascii="楷体" w:hAnsi="楷体" w:eastAsia="楷体" w:cs="楷体"/>
          <w:spacing w:val="7"/>
          <w:kern w:val="0"/>
          <w:sz w:val="32"/>
          <w:szCs w:val="32"/>
          <w:lang w:val="en-US" w:eastAsia="zh-CN" w:bidi="ar"/>
        </w:rPr>
        <w:t>评</w:t>
      </w:r>
      <w:r>
        <w:rPr>
          <w:rFonts w:hint="eastAsia" w:ascii="楷体" w:hAnsi="楷体" w:eastAsia="楷体" w:cs="楷体"/>
          <w:spacing w:val="5"/>
          <w:kern w:val="0"/>
          <w:sz w:val="32"/>
          <w:szCs w:val="32"/>
          <w:lang w:val="en-US" w:eastAsia="zh-CN" w:bidi="ar"/>
        </w:rPr>
        <w:t>结</w:t>
      </w:r>
      <w:r>
        <w:rPr>
          <w:rFonts w:hint="eastAsia" w:ascii="楷体" w:hAnsi="楷体" w:eastAsia="楷体" w:cs="楷体"/>
          <w:spacing w:val="7"/>
          <w:kern w:val="0"/>
          <w:sz w:val="32"/>
          <w:szCs w:val="32"/>
          <w:lang w:val="en-US" w:eastAsia="zh-CN" w:bidi="ar"/>
        </w:rPr>
        <w:t>论</w:t>
      </w:r>
      <w:r>
        <w:rPr>
          <w:rFonts w:hint="eastAsia" w:ascii="楷体" w:hAnsi="楷体" w:eastAsia="楷体" w:cs="楷体"/>
          <w:spacing w:val="5"/>
          <w:kern w:val="0"/>
          <w:sz w:val="32"/>
          <w:szCs w:val="32"/>
          <w:lang w:val="en-US" w:eastAsia="zh-CN" w:bidi="ar"/>
        </w:rPr>
        <w:t>。</w:t>
      </w:r>
      <w:r>
        <w:rPr>
          <w:rFonts w:hint="eastAsia" w:ascii="仿宋_GB2312" w:hAnsi="仿宋_GB2312" w:eastAsia="仿宋_GB2312" w:cs="仿宋_GB2312"/>
          <w:kern w:val="2"/>
          <w:sz w:val="32"/>
          <w:szCs w:val="32"/>
          <w:lang w:val="en-US" w:eastAsia="zh-CN" w:bidi="ar-SA"/>
        </w:rPr>
        <w:t>2023年度，区市场监督管理局优化营商环境提升项目做到了资金与项目方案相符，严格按照方案要求进行实施，加强了资金管理，做到了专款专用，确保了资金的安全，提高了资金使用效率,各项目绩效目标全面完成。按照广元市昭化区2024年部门预算项目自评评分表中各项指标，结合该项目实施中的具体情况逐一开展了自评，自评得分95分。</w:t>
      </w:r>
    </w:p>
    <w:p w14:paraId="546257FF">
      <w:pPr>
        <w:pStyle w:val="12"/>
        <w:keepNext w:val="0"/>
        <w:keepLines w:val="0"/>
        <w:pageBreakBefore w:val="0"/>
        <w:widowControl w:val="0"/>
        <w:suppressLineNumbers w:val="0"/>
        <w:kinsoku/>
        <w:wordWrap/>
        <w:overflowPunct/>
        <w:topLinePunct w:val="0"/>
        <w:autoSpaceDE w:val="0"/>
        <w:autoSpaceDN w:val="0"/>
        <w:bidi w:val="0"/>
        <w:adjustRightInd w:val="0"/>
        <w:snapToGrid/>
        <w:spacing w:before="43" w:beforeAutospacing="0" w:after="0" w:afterAutospacing="0" w:line="576" w:lineRule="exact"/>
        <w:ind w:right="157"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kern w:val="0"/>
          <w:sz w:val="32"/>
          <w:szCs w:val="32"/>
          <w:lang w:val="en-US" w:eastAsia="zh-CN" w:bidi="ar"/>
        </w:rPr>
        <w:t>（</w:t>
      </w:r>
      <w:r>
        <w:rPr>
          <w:rFonts w:hint="eastAsia" w:ascii="楷体" w:hAnsi="楷体" w:eastAsia="楷体" w:cs="楷体"/>
          <w:spacing w:val="2"/>
          <w:kern w:val="0"/>
          <w:sz w:val="32"/>
          <w:szCs w:val="32"/>
          <w:lang w:val="en-US" w:eastAsia="zh-CN" w:bidi="ar"/>
        </w:rPr>
        <w:t>二</w:t>
      </w:r>
      <w:r>
        <w:rPr>
          <w:rFonts w:hint="eastAsia" w:ascii="楷体" w:hAnsi="楷体" w:eastAsia="楷体" w:cs="楷体"/>
          <w:spacing w:val="-39"/>
          <w:kern w:val="0"/>
          <w:sz w:val="32"/>
          <w:szCs w:val="32"/>
          <w:lang w:val="en-US" w:eastAsia="zh-CN" w:bidi="ar"/>
        </w:rPr>
        <w:t>）</w:t>
      </w:r>
      <w:r>
        <w:rPr>
          <w:rFonts w:hint="eastAsia" w:ascii="楷体" w:hAnsi="楷体" w:eastAsia="楷体" w:cs="楷体"/>
          <w:kern w:val="0"/>
          <w:sz w:val="32"/>
          <w:szCs w:val="32"/>
          <w:lang w:val="en-US" w:eastAsia="zh-CN" w:bidi="ar"/>
        </w:rPr>
        <w:t>存</w:t>
      </w:r>
      <w:r>
        <w:rPr>
          <w:rFonts w:hint="eastAsia" w:ascii="楷体" w:hAnsi="楷体" w:eastAsia="楷体" w:cs="楷体"/>
          <w:spacing w:val="2"/>
          <w:kern w:val="0"/>
          <w:sz w:val="32"/>
          <w:szCs w:val="32"/>
          <w:lang w:val="en-US" w:eastAsia="zh-CN" w:bidi="ar"/>
        </w:rPr>
        <w:t>在</w:t>
      </w:r>
      <w:r>
        <w:rPr>
          <w:rFonts w:hint="eastAsia" w:ascii="楷体" w:hAnsi="楷体" w:eastAsia="楷体" w:cs="楷体"/>
          <w:kern w:val="0"/>
          <w:sz w:val="32"/>
          <w:szCs w:val="32"/>
          <w:lang w:val="en-US" w:eastAsia="zh-CN" w:bidi="ar"/>
        </w:rPr>
        <w:t>的问题</w:t>
      </w:r>
      <w:r>
        <w:rPr>
          <w:rFonts w:hint="eastAsia" w:ascii="楷体" w:hAnsi="楷体" w:eastAsia="楷体" w:cs="楷体"/>
          <w:spacing w:val="-39"/>
          <w:kern w:val="0"/>
          <w:sz w:val="32"/>
          <w:szCs w:val="32"/>
          <w:lang w:val="en-US" w:eastAsia="zh-CN" w:bidi="ar"/>
        </w:rPr>
        <w:t>。</w:t>
      </w:r>
      <w:r>
        <w:rPr>
          <w:rFonts w:hint="eastAsia" w:ascii="仿宋_GB2312" w:hAnsi="仿宋_GB2312" w:eastAsia="仿宋_GB2312" w:cs="仿宋_GB2312"/>
          <w:kern w:val="2"/>
          <w:sz w:val="32"/>
          <w:szCs w:val="32"/>
          <w:lang w:val="en-US" w:eastAsia="zh-CN" w:bidi="ar-SA"/>
        </w:rPr>
        <w:t>绩效目标编制要素不完整，绩效指标值设置未将项目内容全面覆盖。如项目内容中“双随机、一公开”抽查检查54次，抽取执法人员180人的检查次数、抽取执法人员等重要绩效指标未在三级指标中反映。</w:t>
      </w:r>
    </w:p>
    <w:p w14:paraId="519312A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76" w:lineRule="exact"/>
        <w:ind w:left="0" w:right="0" w:firstLine="648"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spacing w:val="2"/>
          <w:kern w:val="0"/>
          <w:sz w:val="32"/>
          <w:szCs w:val="32"/>
          <w:lang w:val="en-US" w:eastAsia="zh-CN" w:bidi="ar"/>
        </w:rPr>
        <w:t>（三）相关措施或建议。</w:t>
      </w:r>
      <w:r>
        <w:rPr>
          <w:rFonts w:hint="eastAsia" w:ascii="仿宋_GB2312" w:hAnsi="仿宋_GB2312" w:eastAsia="仿宋_GB2312" w:cs="仿宋_GB2312"/>
          <w:kern w:val="2"/>
          <w:sz w:val="32"/>
          <w:szCs w:val="32"/>
          <w:lang w:val="en-US" w:eastAsia="zh-CN" w:bidi="ar-SA"/>
        </w:rPr>
        <w:t>加强绩效知识学习，提高绩效指标编制质量。建议单位绩效管理人员加强绩效知识学习，结合各项目具体情况，确定各项工作预期产出及达到的效果，从中提炼出最能反映工作任务预期实现程度的关键性指标，并将其确定为相应的绩效指标，以定量和定性相结合的方式对项目进行全面表述。</w:t>
      </w:r>
    </w:p>
    <w:p w14:paraId="15BC2FA4">
      <w:pPr>
        <w:rPr>
          <w:rFonts w:hint="eastAsia"/>
        </w:rPr>
      </w:pPr>
    </w:p>
    <w:p w14:paraId="0B775B76">
      <w:pPr>
        <w:pStyle w:val="6"/>
        <w:ind w:left="0" w:leftChars="0" w:firstLine="0" w:firstLineChars="0"/>
        <w:rPr>
          <w:rFonts w:hint="eastAsia" w:ascii="黑体" w:hAnsi="黑体" w:eastAsia="黑体"/>
          <w:kern w:val="44"/>
          <w:sz w:val="32"/>
          <w:szCs w:val="32"/>
        </w:rPr>
        <w:sectPr>
          <w:headerReference r:id="rId5" w:type="default"/>
          <w:footerReference r:id="rId6" w:type="default"/>
          <w:pgSz w:w="12240" w:h="15840"/>
          <w:pgMar w:top="2098" w:right="1474" w:bottom="1984" w:left="1587" w:header="720" w:footer="720" w:gutter="0"/>
          <w:pgBorders>
            <w:top w:val="none" w:sz="0" w:space="0"/>
            <w:left w:val="none" w:sz="0" w:space="0"/>
            <w:bottom w:val="none" w:sz="0" w:space="0"/>
            <w:right w:val="none" w:sz="0" w:space="0"/>
          </w:pgBorders>
          <w:lnNumType w:countBy="0" w:distance="360"/>
          <w:pgNumType w:fmt="decimal"/>
          <w:cols w:space="0" w:num="1"/>
          <w:rtlGutter w:val="0"/>
          <w:docGrid w:linePitch="0" w:charSpace="0"/>
        </w:sectPr>
      </w:pPr>
    </w:p>
    <w:p w14:paraId="798E05CA">
      <w:pPr>
        <w:keepNext/>
        <w:keepLines/>
        <w:pageBreakBefore/>
        <w:widowControl w:val="0"/>
        <w:kinsoku/>
        <w:wordWrap/>
        <w:overflowPunct/>
        <w:topLinePunct w:val="0"/>
        <w:autoSpaceDE w:val="0"/>
        <w:autoSpaceDN w:val="0"/>
        <w:bidi w:val="0"/>
        <w:adjustRightInd w:val="0"/>
        <w:snapToGrid/>
        <w:spacing w:beforeLines="0" w:after="313" w:afterLines="0" w:line="576" w:lineRule="exact"/>
        <w:jc w:val="center"/>
        <w:textAlignment w:val="auto"/>
        <w:outlineLvl w:val="0"/>
        <w:rPr>
          <w:rFonts w:hint="eastAsia" w:ascii="黑体" w:hAnsi="黑体" w:eastAsia="黑体"/>
          <w:kern w:val="44"/>
          <w:sz w:val="44"/>
          <w:szCs w:val="24"/>
        </w:rPr>
      </w:pPr>
      <w:bookmarkStart w:id="27" w:name="_Toc25161"/>
      <w:r>
        <w:rPr>
          <w:rFonts w:hint="eastAsia" w:ascii="黑体" w:hAnsi="黑体" w:eastAsia="黑体"/>
          <w:color w:val="000000"/>
          <w:kern w:val="2"/>
          <w:sz w:val="44"/>
          <w:szCs w:val="24"/>
        </w:rPr>
        <w:t>第</w:t>
      </w:r>
      <w:r>
        <w:rPr>
          <w:rFonts w:hint="eastAsia" w:ascii="黑体" w:hAnsi="黑体" w:eastAsia="黑体"/>
          <w:kern w:val="44"/>
          <w:sz w:val="44"/>
          <w:szCs w:val="24"/>
        </w:rPr>
        <w:t>五部分  附表</w:t>
      </w:r>
      <w:bookmarkEnd w:id="27"/>
    </w:p>
    <w:p w14:paraId="6B9F6303">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28" w:name="_Toc26879"/>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bookmarkEnd w:id="28"/>
    </w:p>
    <w:p w14:paraId="46B8F954">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29" w:name="_Toc15886"/>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bookmarkEnd w:id="29"/>
    </w:p>
    <w:p w14:paraId="65DFA6F7">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0" w:name="_Toc1856"/>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bookmarkEnd w:id="30"/>
    </w:p>
    <w:p w14:paraId="6FDC7425">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00"/>
          <w:kern w:val="2"/>
          <w:sz w:val="32"/>
          <w:szCs w:val="24"/>
        </w:rPr>
      </w:pPr>
      <w:bookmarkStart w:id="31" w:name="_Toc1724"/>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bookmarkEnd w:id="31"/>
    </w:p>
    <w:p w14:paraId="1FF09EF4">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32" w:name="_Toc6785"/>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bookmarkEnd w:id="32"/>
    </w:p>
    <w:p w14:paraId="36B09F0D">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3" w:name="_Toc32308"/>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bookmarkEnd w:id="33"/>
    </w:p>
    <w:p w14:paraId="48165FF1">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4" w:name="_Toc13572"/>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bookmarkEnd w:id="34"/>
    </w:p>
    <w:p w14:paraId="167BC86B">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5" w:name="_Toc28175"/>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bookmarkEnd w:id="35"/>
    </w:p>
    <w:p w14:paraId="333F8454">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6" w:name="_Toc24814"/>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bookmarkEnd w:id="36"/>
    </w:p>
    <w:p w14:paraId="73BC0F8C">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7" w:name="_Toc19202"/>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bookmarkEnd w:id="37"/>
    </w:p>
    <w:p w14:paraId="3BCB2E4C">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38" w:name="_Toc11936"/>
      <w:r>
        <w:rPr>
          <w:rFonts w:hint="eastAsia" w:ascii="仿宋_GB2312" w:hAnsi="仿宋_GB2312" w:eastAsia="仿宋_GB2312"/>
          <w:kern w:val="2"/>
          <w:sz w:val="32"/>
          <w:szCs w:val="24"/>
        </w:rPr>
        <w:t>十一、国有资本经营预算财政拨款收入支出决算表</w:t>
      </w:r>
      <w:bookmarkEnd w:id="38"/>
    </w:p>
    <w:p w14:paraId="6765F69F">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39" w:name="_Toc8293"/>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bookmarkEnd w:id="39"/>
    </w:p>
    <w:p w14:paraId="4C3586BD">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40" w:name="_Toc21474"/>
      <w:bookmarkStart w:id="41" w:name="_Toc11942"/>
      <w:r>
        <w:rPr>
          <w:rFonts w:hint="eastAsia" w:ascii="仿宋_GB2312" w:hAnsi="仿宋_GB2312" w:eastAsia="仿宋_GB2312"/>
          <w:kern w:val="2"/>
          <w:sz w:val="32"/>
          <w:szCs w:val="24"/>
        </w:rPr>
        <w:t>十三、财政拨款“三公”经费支出决算表</w:t>
      </w:r>
      <w:bookmarkEnd w:id="40"/>
      <w:bookmarkEnd w:id="41"/>
    </w:p>
    <w:p w14:paraId="1770CAFD">
      <w:pPr>
        <w:kinsoku/>
        <w:wordWrap/>
        <w:autoSpaceDE w:val="0"/>
        <w:autoSpaceDN w:val="0"/>
        <w:bidi w:val="0"/>
        <w:adjustRightInd w:val="0"/>
        <w:spacing w:beforeLines="0" w:afterLines="0" w:line="576" w:lineRule="exact"/>
        <w:textAlignment w:val="auto"/>
        <w:rPr>
          <w:rFonts w:hint="eastAsia" w:ascii="方正小标宋简体" w:hAnsi="方正小标宋简体" w:eastAsia="方正小标宋简体"/>
          <w:color w:val="000000"/>
          <w:kern w:val="2"/>
          <w:sz w:val="30"/>
          <w:szCs w:val="24"/>
        </w:rPr>
      </w:pPr>
      <w:r>
        <w:rPr>
          <w:rFonts w:hint="eastAsia" w:ascii="仿宋_GB2312" w:hAnsi="仿宋_GB2312" w:eastAsia="仿宋_GB2312"/>
          <w:kern w:val="2"/>
          <w:sz w:val="32"/>
          <w:szCs w:val="24"/>
        </w:rPr>
        <w:t xml:space="preserve">    </w:t>
      </w:r>
    </w:p>
    <w:sectPr>
      <w:pgSz w:w="12240" w:h="15840"/>
      <w:pgMar w:top="2098" w:right="1474" w:bottom="1984" w:left="1587" w:header="720" w:footer="720" w:gutter="0"/>
      <w:pgBorders>
        <w:top w:val="none" w:sz="0" w:space="0"/>
        <w:left w:val="none" w:sz="0" w:space="0"/>
        <w:bottom w:val="none" w:sz="0" w:space="0"/>
        <w:right w:val="none" w:sz="0" w:space="0"/>
      </w:pgBorders>
      <w:lnNumType w:countBy="0" w:distance="36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741F20-D1FA-46E3-81C8-F2BDFB9AB02C}"/>
  </w:font>
  <w:font w:name="黑体">
    <w:panose1 w:val="02010609060101010101"/>
    <w:charset w:val="86"/>
    <w:family w:val="auto"/>
    <w:pitch w:val="default"/>
    <w:sig w:usb0="800002BF" w:usb1="38CF7CFA" w:usb2="00000016" w:usb3="00000000" w:csb0="00040001" w:csb1="00000000"/>
    <w:embedRegular r:id="rId2" w:fontKey="{8F392946-32E6-4534-99C5-7C813DA85C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E4664F0-6E44-41D7-9A1B-362A821EA816}"/>
  </w:font>
  <w:font w:name="仿宋_GB2312">
    <w:panose1 w:val="02010609030101010101"/>
    <w:charset w:val="86"/>
    <w:family w:val="modern"/>
    <w:pitch w:val="default"/>
    <w:sig w:usb0="00000001" w:usb1="080E0000" w:usb2="00000000" w:usb3="00000000" w:csb0="00040000" w:csb1="00000000"/>
    <w:embedRegular r:id="rId4" w:fontKey="{16ED6105-FBD1-4B06-9285-0AD2787D0767}"/>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5" w:fontKey="{75DD61FC-BDA4-4A0F-9546-03C16EA6F75B}"/>
  </w:font>
  <w:font w:name="Dialog . plain">
    <w:altName w:val="Segoe Print"/>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embedRegular r:id="rId6" w:fontKey="{8B082627-87DF-49AC-83F4-81CE1EFB8628}"/>
  </w:font>
  <w:font w:name="汉仪细圆B5">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7" w:fontKey="{249871D2-B14A-4BCB-A8C8-A50DC9B2EDAD}"/>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577D5">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206FA">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DA206FA">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B9BB9">
    <w:pPr>
      <w:pStyle w:val="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E6C14">
                          <w:pPr>
                            <w:pStyle w:val="8"/>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95E6C14">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36169">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52E736"/>
    <w:multiLevelType w:val="multilevel"/>
    <w:tmpl w:val="B652E736"/>
    <w:lvl w:ilvl="0" w:tentative="0">
      <w:start w:val="2"/>
      <w:numFmt w:val="chineseCounting"/>
      <w:suff w:val="nothing"/>
      <w:lvlText w:val="（%1）"/>
      <w:lvlJc w:val="left"/>
      <w:pPr>
        <w:ind w:left="0" w:firstLine="0"/>
      </w:pPr>
      <w:rPr>
        <w:rFonts w:hint="eastAsia" w:ascii="楷体" w:hAnsi="楷体" w:eastAsia="楷体" w:cs="楷体"/>
        <w:sz w:val="32"/>
        <w:szCs w:val="32"/>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F46B5958"/>
    <w:multiLevelType w:val="multilevel"/>
    <w:tmpl w:val="F46B5958"/>
    <w:lvl w:ilvl="0" w:tentative="0">
      <w:start w:val="1"/>
      <w:numFmt w:val="chineseCounting"/>
      <w:suff w:val="nothing"/>
      <w:lvlText w:val="（%1）"/>
      <w:lvlJc w:val="left"/>
      <w:pPr>
        <w:ind w:left="0" w:firstLine="0"/>
      </w:pPr>
      <w:rPr>
        <w:rFonts w:hint="eastAsia" w:ascii="楷体" w:hAnsi="楷体" w:eastAsia="楷体" w:cs="楷体"/>
        <w:sz w:val="32"/>
        <w:szCs w:val="32"/>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30B1EAEE"/>
    <w:multiLevelType w:val="multilevel"/>
    <w:tmpl w:val="30B1EAEE"/>
    <w:lvl w:ilvl="0" w:tentative="0">
      <w:start w:val="2"/>
      <w:numFmt w:val="chineseCounting"/>
      <w:suff w:val="nothing"/>
      <w:lvlText w:val="（%1）"/>
      <w:lvlJc w:val="left"/>
      <w:pPr>
        <w:ind w:left="0" w:firstLine="0"/>
      </w:pPr>
      <w:rPr>
        <w:rFonts w:hint="eastAsia" w:ascii="楷体" w:hAnsi="楷体" w:eastAsia="楷体" w:cs="楷体"/>
        <w:b w:val="0"/>
        <w:bCs w:val="0"/>
        <w:sz w:val="32"/>
        <w:szCs w:val="32"/>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3EF45E25"/>
    <w:multiLevelType w:val="multilevel"/>
    <w:tmpl w:val="3EF45E25"/>
    <w:lvl w:ilvl="0" w:tentative="0">
      <w:start w:val="2"/>
      <w:numFmt w:val="chineseCounting"/>
      <w:suff w:val="nothing"/>
      <w:lvlText w:val="（%1）"/>
      <w:lvlJc w:val="left"/>
      <w:pPr>
        <w:ind w:left="0" w:firstLine="0"/>
      </w:pPr>
      <w:rPr>
        <w:rFonts w:hint="eastAsia" w:ascii="楷体" w:hAnsi="楷体" w:eastAsia="楷体" w:cs="楷体"/>
        <w:sz w:val="32"/>
        <w:szCs w:val="32"/>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3F5249D6"/>
    <w:multiLevelType w:val="multilevel"/>
    <w:tmpl w:val="3F5249D6"/>
    <w:lvl w:ilvl="0" w:tentative="0">
      <w:start w:val="3"/>
      <w:numFmt w:val="chineseCounting"/>
      <w:suff w:val="nothing"/>
      <w:lvlText w:val="（%1）"/>
      <w:lvlJc w:val="left"/>
      <w:pPr>
        <w:ind w:left="0" w:firstLine="0"/>
      </w:pPr>
      <w:rPr>
        <w:rFonts w:hint="eastAsia" w:ascii="楷体" w:hAnsi="楷体" w:eastAsia="楷体" w:cs="楷体"/>
        <w:sz w:val="32"/>
        <w:szCs w:val="32"/>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0"/>
  <w:displayVerticalDrawingGridEvery w:val="2"/>
  <w:doNotUseMarginsForDrawingGridOrigin w:val="1"/>
  <w:drawingGridHorizontalOrigin w:val="1701"/>
  <w:drawingGridVerticalOrigin w:val="1984"/>
  <w:doNotShadeFormData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172A27"/>
    <w:rsid w:val="000C78FE"/>
    <w:rsid w:val="001669D4"/>
    <w:rsid w:val="011B0745"/>
    <w:rsid w:val="019B53E2"/>
    <w:rsid w:val="01F42AC1"/>
    <w:rsid w:val="02447828"/>
    <w:rsid w:val="02954528"/>
    <w:rsid w:val="03435D32"/>
    <w:rsid w:val="040C0819"/>
    <w:rsid w:val="04E62E18"/>
    <w:rsid w:val="05B34F44"/>
    <w:rsid w:val="060801EC"/>
    <w:rsid w:val="06314A23"/>
    <w:rsid w:val="06532730"/>
    <w:rsid w:val="076921EE"/>
    <w:rsid w:val="07D948ED"/>
    <w:rsid w:val="09580485"/>
    <w:rsid w:val="0A026946"/>
    <w:rsid w:val="0A6E5D8A"/>
    <w:rsid w:val="0AF1287C"/>
    <w:rsid w:val="0B0A71C9"/>
    <w:rsid w:val="0C060244"/>
    <w:rsid w:val="0C324B95"/>
    <w:rsid w:val="0C48260B"/>
    <w:rsid w:val="0C512783"/>
    <w:rsid w:val="0CF26C99"/>
    <w:rsid w:val="0D110C4F"/>
    <w:rsid w:val="0DAD6BC9"/>
    <w:rsid w:val="0E376DEC"/>
    <w:rsid w:val="0EE77EB9"/>
    <w:rsid w:val="0EF27862"/>
    <w:rsid w:val="0EFD1EE8"/>
    <w:rsid w:val="0F072B22"/>
    <w:rsid w:val="0F4B48EC"/>
    <w:rsid w:val="0F804919"/>
    <w:rsid w:val="0FCF7BC5"/>
    <w:rsid w:val="0FE66DA4"/>
    <w:rsid w:val="107A6B0B"/>
    <w:rsid w:val="10C50464"/>
    <w:rsid w:val="10C54E30"/>
    <w:rsid w:val="11395683"/>
    <w:rsid w:val="11A563FB"/>
    <w:rsid w:val="12897C74"/>
    <w:rsid w:val="12BF2B2D"/>
    <w:rsid w:val="13D93B40"/>
    <w:rsid w:val="13DF5648"/>
    <w:rsid w:val="15547C53"/>
    <w:rsid w:val="156C2EC6"/>
    <w:rsid w:val="158741A4"/>
    <w:rsid w:val="15EC4007"/>
    <w:rsid w:val="16034652"/>
    <w:rsid w:val="160937DE"/>
    <w:rsid w:val="1669696B"/>
    <w:rsid w:val="16AA22BF"/>
    <w:rsid w:val="19572B95"/>
    <w:rsid w:val="1A5C26E5"/>
    <w:rsid w:val="1B684659"/>
    <w:rsid w:val="1B724351"/>
    <w:rsid w:val="1C654B13"/>
    <w:rsid w:val="1D303373"/>
    <w:rsid w:val="1D7C3EC2"/>
    <w:rsid w:val="1E1A3944"/>
    <w:rsid w:val="1F901EA7"/>
    <w:rsid w:val="1FF30BD1"/>
    <w:rsid w:val="20A335D0"/>
    <w:rsid w:val="20A526F6"/>
    <w:rsid w:val="21742AA5"/>
    <w:rsid w:val="22D459DD"/>
    <w:rsid w:val="22F10596"/>
    <w:rsid w:val="23090C46"/>
    <w:rsid w:val="23F23130"/>
    <w:rsid w:val="24091340"/>
    <w:rsid w:val="242B2EF0"/>
    <w:rsid w:val="242D23BA"/>
    <w:rsid w:val="25402557"/>
    <w:rsid w:val="255B39FD"/>
    <w:rsid w:val="256B59EC"/>
    <w:rsid w:val="25D54AB7"/>
    <w:rsid w:val="26566AF7"/>
    <w:rsid w:val="266F03D1"/>
    <w:rsid w:val="26E472D4"/>
    <w:rsid w:val="277F2568"/>
    <w:rsid w:val="27BB1A8B"/>
    <w:rsid w:val="28773C04"/>
    <w:rsid w:val="28E3573D"/>
    <w:rsid w:val="29C84621"/>
    <w:rsid w:val="2C3B319A"/>
    <w:rsid w:val="2C840FE5"/>
    <w:rsid w:val="2D5938BF"/>
    <w:rsid w:val="2D5A62E8"/>
    <w:rsid w:val="2E8E4CE9"/>
    <w:rsid w:val="2F966BAF"/>
    <w:rsid w:val="2FBB2F70"/>
    <w:rsid w:val="2FC426ED"/>
    <w:rsid w:val="2FFE2E5D"/>
    <w:rsid w:val="30894E1C"/>
    <w:rsid w:val="30E66EF6"/>
    <w:rsid w:val="3315025F"/>
    <w:rsid w:val="346A6D13"/>
    <w:rsid w:val="34A915E9"/>
    <w:rsid w:val="35223C00"/>
    <w:rsid w:val="35472BB0"/>
    <w:rsid w:val="35B244CD"/>
    <w:rsid w:val="35FA7A0D"/>
    <w:rsid w:val="36505FD0"/>
    <w:rsid w:val="365C0A5A"/>
    <w:rsid w:val="36664585"/>
    <w:rsid w:val="36910587"/>
    <w:rsid w:val="36DC30B5"/>
    <w:rsid w:val="37114931"/>
    <w:rsid w:val="37691503"/>
    <w:rsid w:val="376B527C"/>
    <w:rsid w:val="37F963E3"/>
    <w:rsid w:val="38923B67"/>
    <w:rsid w:val="39FD5F33"/>
    <w:rsid w:val="3A3758E9"/>
    <w:rsid w:val="3A9B5E98"/>
    <w:rsid w:val="3C1A7270"/>
    <w:rsid w:val="3D2D6B2F"/>
    <w:rsid w:val="3E4945BF"/>
    <w:rsid w:val="3E9130D7"/>
    <w:rsid w:val="3EDE520F"/>
    <w:rsid w:val="41886A2A"/>
    <w:rsid w:val="427E2307"/>
    <w:rsid w:val="428D5CD5"/>
    <w:rsid w:val="433E1392"/>
    <w:rsid w:val="43651800"/>
    <w:rsid w:val="43912FC7"/>
    <w:rsid w:val="462431C5"/>
    <w:rsid w:val="464265E6"/>
    <w:rsid w:val="46AB11F1"/>
    <w:rsid w:val="46F96400"/>
    <w:rsid w:val="46FB19F1"/>
    <w:rsid w:val="49153299"/>
    <w:rsid w:val="4A6D3E4D"/>
    <w:rsid w:val="4B316422"/>
    <w:rsid w:val="4C066EC9"/>
    <w:rsid w:val="4C307A20"/>
    <w:rsid w:val="4C6A56AA"/>
    <w:rsid w:val="4C6B3C12"/>
    <w:rsid w:val="4C9444D5"/>
    <w:rsid w:val="4DBB0226"/>
    <w:rsid w:val="4DCD1FC8"/>
    <w:rsid w:val="4E2F68D1"/>
    <w:rsid w:val="4F3E2648"/>
    <w:rsid w:val="503708EA"/>
    <w:rsid w:val="507E34D2"/>
    <w:rsid w:val="51347BD0"/>
    <w:rsid w:val="51FF0D58"/>
    <w:rsid w:val="52907072"/>
    <w:rsid w:val="52A13BC2"/>
    <w:rsid w:val="53C43A17"/>
    <w:rsid w:val="53DD49B3"/>
    <w:rsid w:val="54025A6D"/>
    <w:rsid w:val="54B41BB8"/>
    <w:rsid w:val="55B26F92"/>
    <w:rsid w:val="565C7927"/>
    <w:rsid w:val="56D35BDC"/>
    <w:rsid w:val="5BE66521"/>
    <w:rsid w:val="5C990CC8"/>
    <w:rsid w:val="5CA95D7B"/>
    <w:rsid w:val="5D226489"/>
    <w:rsid w:val="5E275239"/>
    <w:rsid w:val="5E9B70A0"/>
    <w:rsid w:val="5EA26F25"/>
    <w:rsid w:val="5EA348BC"/>
    <w:rsid w:val="5EC312C0"/>
    <w:rsid w:val="61534246"/>
    <w:rsid w:val="61DB785A"/>
    <w:rsid w:val="62574E49"/>
    <w:rsid w:val="64775A27"/>
    <w:rsid w:val="65F22540"/>
    <w:rsid w:val="66023AC3"/>
    <w:rsid w:val="68262975"/>
    <w:rsid w:val="68394457"/>
    <w:rsid w:val="68833924"/>
    <w:rsid w:val="68C55CEA"/>
    <w:rsid w:val="69363BC0"/>
    <w:rsid w:val="69483878"/>
    <w:rsid w:val="695D5F23"/>
    <w:rsid w:val="6A4529C4"/>
    <w:rsid w:val="6A6E23B2"/>
    <w:rsid w:val="6A7C062B"/>
    <w:rsid w:val="6B1E7934"/>
    <w:rsid w:val="6B7B2FD8"/>
    <w:rsid w:val="6CF05300"/>
    <w:rsid w:val="6E9A0077"/>
    <w:rsid w:val="6EC82A12"/>
    <w:rsid w:val="6F3941F6"/>
    <w:rsid w:val="6F712728"/>
    <w:rsid w:val="704368F9"/>
    <w:rsid w:val="70C53911"/>
    <w:rsid w:val="70E64A50"/>
    <w:rsid w:val="710870BC"/>
    <w:rsid w:val="711517D9"/>
    <w:rsid w:val="71581AD5"/>
    <w:rsid w:val="729606C2"/>
    <w:rsid w:val="744E1B6D"/>
    <w:rsid w:val="745A3D0B"/>
    <w:rsid w:val="74AA2238"/>
    <w:rsid w:val="74D07EF1"/>
    <w:rsid w:val="75626B5D"/>
    <w:rsid w:val="759E77E9"/>
    <w:rsid w:val="75D7355A"/>
    <w:rsid w:val="75E74393"/>
    <w:rsid w:val="76373F9F"/>
    <w:rsid w:val="78177BE5"/>
    <w:rsid w:val="79673535"/>
    <w:rsid w:val="79684BC9"/>
    <w:rsid w:val="79892D64"/>
    <w:rsid w:val="79924D04"/>
    <w:rsid w:val="79FC5BD4"/>
    <w:rsid w:val="7BB56166"/>
    <w:rsid w:val="7E0233EC"/>
    <w:rsid w:val="7E856BD8"/>
    <w:rsid w:val="7ED113CB"/>
    <w:rsid w:val="7FD748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adjustRightInd w:val="0"/>
      <w:spacing w:beforeLines="0" w:afterLines="0"/>
    </w:pPr>
    <w:rPr>
      <w:rFonts w:hint="eastAsia" w:ascii="Times New Roman" w:hAnsi="Times New Roman" w:eastAsia="宋体" w:cs="Times New Roman"/>
      <w:sz w:val="24"/>
      <w:szCs w:val="24"/>
      <w:lang w:val="en-US" w:eastAsia="zh-CN" w:bidi="ar-SA"/>
    </w:rPr>
  </w:style>
  <w:style w:type="paragraph" w:styleId="3">
    <w:name w:val="heading 1"/>
    <w:basedOn w:val="1"/>
    <w:link w:val="17"/>
    <w:unhideWhenUsed/>
    <w:qFormat/>
    <w:uiPriority w:val="99"/>
    <w:pPr>
      <w:spacing w:beforeLines="0" w:afterLines="0"/>
      <w:outlineLvl w:val="0"/>
    </w:pPr>
    <w:rPr>
      <w:rFonts w:hint="eastAsia"/>
      <w:sz w:val="24"/>
      <w:szCs w:val="24"/>
    </w:rPr>
  </w:style>
  <w:style w:type="paragraph" w:styleId="4">
    <w:name w:val="heading 2"/>
    <w:basedOn w:val="1"/>
    <w:link w:val="18"/>
    <w:unhideWhenUsed/>
    <w:qFormat/>
    <w:uiPriority w:val="99"/>
    <w:pPr>
      <w:spacing w:beforeLines="0" w:afterLines="0"/>
      <w:outlineLvl w:val="1"/>
    </w:pPr>
    <w:rPr>
      <w:rFonts w:hint="eastAsia"/>
      <w:sz w:val="24"/>
      <w:szCs w:val="24"/>
    </w:rPr>
  </w:style>
  <w:style w:type="character" w:default="1" w:styleId="15">
    <w:name w:val="Default Paragraph Font"/>
    <w:unhideWhenUsed/>
    <w:qFormat/>
    <w:uiPriority w:val="99"/>
    <w:rPr>
      <w:rFonts w:hint="default"/>
      <w:sz w:val="24"/>
      <w:szCs w:val="24"/>
    </w:rPr>
  </w:style>
  <w:style w:type="table" w:default="1" w:styleId="14">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19"/>
    <w:unhideWhenUsed/>
    <w:qFormat/>
    <w:uiPriority w:val="99"/>
    <w:pPr>
      <w:spacing w:beforeLines="30" w:afterLines="0"/>
    </w:pPr>
    <w:rPr>
      <w:rFonts w:hint="eastAsia" w:ascii="仿宋_GB2312" w:eastAsia="仿宋_GB2312"/>
      <w:sz w:val="30"/>
      <w:szCs w:val="24"/>
    </w:rPr>
  </w:style>
  <w:style w:type="paragraph" w:styleId="5">
    <w:name w:val="Body Text Indent"/>
    <w:basedOn w:val="1"/>
    <w:next w:val="6"/>
    <w:qFormat/>
    <w:uiPriority w:val="99"/>
    <w:pPr>
      <w:ind w:firstLine="630"/>
      <w:jc w:val="left"/>
    </w:pPr>
    <w:rPr>
      <w:rFonts w:eastAsia="黑体"/>
      <w:sz w:val="32"/>
      <w:szCs w:val="32"/>
    </w:rPr>
  </w:style>
  <w:style w:type="paragraph" w:styleId="6">
    <w:name w:val="Body Text First Indent 2"/>
    <w:basedOn w:val="5"/>
    <w:next w:val="1"/>
    <w:qFormat/>
    <w:uiPriority w:val="99"/>
    <w:pPr>
      <w:keepNext w:val="0"/>
      <w:keepLines w:val="0"/>
      <w:widowControl w:val="0"/>
      <w:suppressLineNumbers w:val="0"/>
      <w:spacing w:after="120" w:afterAutospacing="0"/>
      <w:ind w:left="420" w:leftChars="200" w:firstLine="420"/>
      <w:jc w:val="left"/>
    </w:pPr>
    <w:rPr>
      <w:rFonts w:hint="default" w:ascii="Times New Roman" w:hAnsi="Times New Roman" w:eastAsia="黑体" w:cs="Times New Roman"/>
      <w:kern w:val="2"/>
      <w:sz w:val="32"/>
      <w:szCs w:val="32"/>
      <w:lang w:val="en-US" w:eastAsia="zh-CN" w:bidi="ar"/>
    </w:rPr>
  </w:style>
  <w:style w:type="paragraph" w:styleId="7">
    <w:name w:val="toc 3"/>
    <w:basedOn w:val="1"/>
    <w:next w:val="1"/>
    <w:qFormat/>
    <w:uiPriority w:val="99"/>
    <w:pPr>
      <w:ind w:left="840" w:leftChars="400"/>
    </w:pPr>
  </w:style>
  <w:style w:type="paragraph" w:styleId="8">
    <w:name w:val="footer"/>
    <w:basedOn w:val="1"/>
    <w:link w:val="21"/>
    <w:unhideWhenUsed/>
    <w:qFormat/>
    <w:uiPriority w:val="99"/>
    <w:pPr>
      <w:tabs>
        <w:tab w:val="center" w:pos="4153"/>
        <w:tab w:val="right" w:pos="8306"/>
      </w:tabs>
      <w:snapToGrid w:val="0"/>
      <w:spacing w:beforeLines="0" w:afterLines="0"/>
    </w:pPr>
    <w:rPr>
      <w:rFonts w:hint="eastAsia"/>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spacing w:beforeLines="0" w:afterLines="0"/>
      <w:jc w:val="center"/>
    </w:pPr>
    <w:rPr>
      <w:rFonts w:hint="eastAsia"/>
      <w:sz w:val="18"/>
      <w:szCs w:val="18"/>
    </w:rPr>
  </w:style>
  <w:style w:type="paragraph" w:styleId="10">
    <w:name w:val="toc 1"/>
    <w:basedOn w:val="1"/>
    <w:next w:val="1"/>
    <w:qFormat/>
    <w:uiPriority w:val="99"/>
  </w:style>
  <w:style w:type="paragraph" w:styleId="11">
    <w:name w:val="toc 2"/>
    <w:basedOn w:val="1"/>
    <w:next w:val="1"/>
    <w:qFormat/>
    <w:uiPriority w:val="99"/>
    <w:pPr>
      <w:ind w:left="420" w:leftChars="200"/>
    </w:pPr>
  </w:style>
  <w:style w:type="paragraph" w:styleId="12">
    <w:name w:val="Normal (Web)"/>
    <w:basedOn w:val="1"/>
    <w:qFormat/>
    <w:uiPriority w:val="99"/>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styleId="13">
    <w:name w:val="Body Text First Indent"/>
    <w:qFormat/>
    <w:uiPriority w:val="99"/>
    <w:pPr>
      <w:keepNext w:val="0"/>
      <w:keepLines w:val="0"/>
      <w:widowControl w:val="0"/>
      <w:suppressLineNumbers w:val="0"/>
      <w:spacing w:beforeLines="30" w:beforeAutospacing="0"/>
      <w:ind w:firstLine="420" w:firstLineChars="100"/>
      <w:jc w:val="both"/>
    </w:pPr>
    <w:rPr>
      <w:rFonts w:hint="default" w:ascii="仿宋_GB2312" w:hAnsi="Times New Roman" w:eastAsia="仿宋_GB2312" w:cs="Times New Roman"/>
      <w:kern w:val="0"/>
      <w:sz w:val="20"/>
      <w:szCs w:val="20"/>
      <w:lang w:val="en-US" w:eastAsia="zh-CN" w:bidi="ar"/>
    </w:rPr>
  </w:style>
  <w:style w:type="paragraph" w:customStyle="1" w:styleId="16">
    <w:name w:val="Default"/>
    <w:unhideWhenUsed/>
    <w:qFormat/>
    <w:uiPriority w:val="99"/>
    <w:pPr>
      <w:widowControl w:val="0"/>
      <w:autoSpaceDE w:val="0"/>
      <w:autoSpaceDN w:val="0"/>
      <w:adjustRightInd w:val="0"/>
    </w:pPr>
    <w:rPr>
      <w:rFonts w:hint="eastAsia" w:ascii="仿宋" w:hAnsi="Calibri" w:eastAsia="仿宋" w:cs="仿宋"/>
      <w:color w:val="000000"/>
      <w:sz w:val="24"/>
      <w:szCs w:val="24"/>
      <w:lang w:val="en-US" w:eastAsia="zh-CN" w:bidi="ar-SA"/>
    </w:rPr>
  </w:style>
  <w:style w:type="character" w:customStyle="1" w:styleId="17">
    <w:name w:val="标题 1 Char"/>
    <w:basedOn w:val="15"/>
    <w:link w:val="3"/>
    <w:unhideWhenUsed/>
    <w:qFormat/>
    <w:locked/>
    <w:uiPriority w:val="9"/>
    <w:rPr>
      <w:rFonts w:hint="default" w:cs="Times New Roman"/>
      <w:b/>
      <w:kern w:val="44"/>
      <w:sz w:val="44"/>
      <w:szCs w:val="44"/>
    </w:rPr>
  </w:style>
  <w:style w:type="character" w:customStyle="1" w:styleId="18">
    <w:name w:val="标题 2 Char"/>
    <w:basedOn w:val="15"/>
    <w:link w:val="4"/>
    <w:unhideWhenUsed/>
    <w:qFormat/>
    <w:locked/>
    <w:uiPriority w:val="9"/>
    <w:rPr>
      <w:rFonts w:hint="eastAsia" w:ascii="Cambria" w:hAnsi="Cambria" w:eastAsia="宋体" w:cs="Times New Roman"/>
      <w:b/>
      <w:sz w:val="32"/>
      <w:szCs w:val="32"/>
    </w:rPr>
  </w:style>
  <w:style w:type="character" w:customStyle="1" w:styleId="19">
    <w:name w:val="正文文本 Char"/>
    <w:basedOn w:val="15"/>
    <w:link w:val="2"/>
    <w:unhideWhenUsed/>
    <w:qFormat/>
    <w:locked/>
    <w:uiPriority w:val="99"/>
    <w:rPr>
      <w:rFonts w:hint="default" w:cs="Times New Roman"/>
      <w:sz w:val="24"/>
      <w:szCs w:val="24"/>
    </w:rPr>
  </w:style>
  <w:style w:type="character" w:customStyle="1" w:styleId="20">
    <w:name w:val="页眉 Char"/>
    <w:basedOn w:val="15"/>
    <w:link w:val="9"/>
    <w:unhideWhenUsed/>
    <w:qFormat/>
    <w:locked/>
    <w:uiPriority w:val="99"/>
    <w:rPr>
      <w:rFonts w:hint="default" w:cs="Times New Roman"/>
      <w:sz w:val="18"/>
      <w:szCs w:val="18"/>
    </w:rPr>
  </w:style>
  <w:style w:type="character" w:customStyle="1" w:styleId="21">
    <w:name w:val="页脚 Char"/>
    <w:basedOn w:val="15"/>
    <w:link w:val="8"/>
    <w:unhideWhenUsed/>
    <w:qFormat/>
    <w:locked/>
    <w:uiPriority w:val="99"/>
    <w:rPr>
      <w:rFonts w:hint="default" w:cs="Times New Roman"/>
      <w:sz w:val="18"/>
      <w:szCs w:val="18"/>
    </w:rPr>
  </w:style>
  <w:style w:type="character" w:customStyle="1" w:styleId="22">
    <w:name w:val="15"/>
    <w:basedOn w:val="15"/>
    <w:qFormat/>
    <w:uiPriority w:val="0"/>
    <w:rPr>
      <w:rFonts w:hint="default" w:ascii="Dialog . plain" w:hAnsi="Dialog . plain" w:eastAsia="Dialog . plain" w:cs="Dialog . plain"/>
      <w:color w:val="000000"/>
      <w:sz w:val="18"/>
      <w:szCs w:val="18"/>
    </w:rPr>
  </w:style>
  <w:style w:type="character" w:customStyle="1" w:styleId="23">
    <w:name w:val="10"/>
    <w:basedOn w:val="15"/>
    <w:qFormat/>
    <w:uiPriority w:val="0"/>
    <w:rPr>
      <w:rFonts w:hint="default" w:ascii="Times New Roman" w:hAnsi="Times New Roman" w:cs="Times New Roman"/>
    </w:rPr>
  </w:style>
  <w:style w:type="character" w:customStyle="1" w:styleId="24">
    <w:name w:val="17"/>
    <w:basedOn w:val="15"/>
    <w:qFormat/>
    <w:uiPriority w:val="0"/>
    <w:rPr>
      <w:rFonts w:hint="eastAsia" w:ascii="宋体" w:hAnsi="宋体" w:eastAsia="宋体" w:cs="宋体"/>
      <w:color w:val="000000"/>
      <w:sz w:val="20"/>
      <w:szCs w:val="20"/>
    </w:rPr>
  </w:style>
  <w:style w:type="character" w:customStyle="1" w:styleId="25">
    <w:name w:val="16"/>
    <w:basedOn w:val="15"/>
    <w:qFormat/>
    <w:uiPriority w:val="0"/>
    <w:rPr>
      <w:rFonts w:hint="eastAsia" w:ascii="方正小标宋简体" w:hAnsi="方正小标宋简体" w:eastAsia="方正小标宋简体" w:cs="方正小标宋简体"/>
      <w:color w:val="000000"/>
      <w:sz w:val="40"/>
      <w:szCs w:val="40"/>
    </w:rPr>
  </w:style>
  <w:style w:type="character" w:customStyle="1" w:styleId="26">
    <w:name w:val="18"/>
    <w:basedOn w:val="15"/>
    <w:qFormat/>
    <w:uiPriority w:val="0"/>
    <w:rPr>
      <w:rFonts w:hint="default" w:ascii="汉仪细圆B5" w:hAnsi="汉仪细圆B5" w:eastAsia="汉仪细圆B5" w:cs="汉仪细圆B5"/>
      <w:color w:val="000000"/>
      <w:sz w:val="20"/>
      <w:szCs w:val="20"/>
    </w:rPr>
  </w:style>
  <w:style w:type="character" w:customStyle="1" w:styleId="27">
    <w:name w:val="font71"/>
    <w:basedOn w:val="15"/>
    <w:autoRedefine/>
    <w:qFormat/>
    <w:uiPriority w:val="0"/>
    <w:rPr>
      <w:rFonts w:ascii="Dialog . plain" w:hAnsi="Dialog . plain" w:eastAsia="Dialog . plain" w:cs="Dialog . plain"/>
      <w:color w:val="000000"/>
      <w:sz w:val="18"/>
      <w:szCs w:val="18"/>
      <w:u w:val="none"/>
    </w:rPr>
  </w:style>
  <w:style w:type="character" w:customStyle="1" w:styleId="28">
    <w:name w:val="font61"/>
    <w:basedOn w:val="15"/>
    <w:qFormat/>
    <w:uiPriority w:val="0"/>
    <w:rPr>
      <w:rFonts w:ascii="Dialog . plain" w:hAnsi="Dialog . plain" w:eastAsia="Dialog . plain" w:cs="Dialog . plain"/>
      <w:color w:val="000000"/>
      <w:sz w:val="18"/>
      <w:szCs w:val="18"/>
      <w:u w:val="none"/>
    </w:rPr>
  </w:style>
  <w:style w:type="character" w:customStyle="1" w:styleId="29">
    <w:name w:val="font91"/>
    <w:basedOn w:val="15"/>
    <w:autoRedefine/>
    <w:qFormat/>
    <w:uiPriority w:val="0"/>
    <w:rPr>
      <w:rFonts w:hint="eastAsia" w:ascii="宋体" w:hAnsi="宋体" w:eastAsia="宋体" w:cs="宋体"/>
      <w:color w:val="000000"/>
      <w:sz w:val="20"/>
      <w:szCs w:val="20"/>
      <w:u w:val="none"/>
    </w:rPr>
  </w:style>
  <w:style w:type="character" w:customStyle="1" w:styleId="30">
    <w:name w:val="font101"/>
    <w:basedOn w:val="15"/>
    <w:autoRedefine/>
    <w:qFormat/>
    <w:uiPriority w:val="0"/>
    <w:rPr>
      <w:rFonts w:hint="eastAsia" w:ascii="宋体" w:hAnsi="宋体" w:eastAsia="宋体" w:cs="宋体"/>
      <w:color w:val="000000"/>
      <w:sz w:val="20"/>
      <w:szCs w:val="20"/>
      <w:u w:val="none"/>
    </w:rPr>
  </w:style>
  <w:style w:type="character" w:customStyle="1" w:styleId="31">
    <w:name w:val="font51"/>
    <w:basedOn w:val="15"/>
    <w:autoRedefine/>
    <w:qFormat/>
    <w:uiPriority w:val="0"/>
    <w:rPr>
      <w:rFonts w:hint="eastAsia" w:ascii="宋体" w:hAnsi="宋体" w:eastAsia="宋体" w:cs="宋体"/>
      <w:color w:val="000000"/>
      <w:sz w:val="20"/>
      <w:szCs w:val="20"/>
      <w:u w:val="none"/>
    </w:rPr>
  </w:style>
  <w:style w:type="paragraph" w:customStyle="1" w:styleId="32">
    <w:name w:val="Table Text"/>
    <w:basedOn w:val="1"/>
    <w:semiHidden/>
    <w:qFormat/>
    <w:uiPriority w:val="0"/>
    <w:rPr>
      <w:rFonts w:ascii="宋体" w:hAnsi="宋体" w:eastAsia="宋体" w:cs="宋体"/>
      <w:sz w:val="18"/>
      <w:szCs w:val="18"/>
      <w:lang w:val="en-US" w:eastAsia="en-US" w:bidi="ar-SA"/>
    </w:rPr>
  </w:style>
  <w:style w:type="table" w:customStyle="1" w:styleId="3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GI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GIF"/><Relationship Id="rId11" Type="http://schemas.openxmlformats.org/officeDocument/2006/relationships/image" Target="media/image4.GIF"/><Relationship Id="rId10" Type="http://schemas.openxmlformats.org/officeDocument/2006/relationships/image" Target="media/image3.GI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118</Pages>
  <Words>54841</Words>
  <Characters>58882</Characters>
  <Lines>1</Lines>
  <Paragraphs>1</Paragraphs>
  <TotalTime>2</TotalTime>
  <ScaleCrop>false</ScaleCrop>
  <LinksUpToDate>false</LinksUpToDate>
  <CharactersWithSpaces>59185</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2024-09-13T15:18:00Z</dcterms:created>
  <dc:creator>Administrator</dc:creator>
  <cp:lastModifiedBy>昭化融媒体</cp:lastModifiedBy>
  <dcterms:modified xsi:type="dcterms:W3CDTF">2024-09-30T08:48:38Z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FC265049E3E343C092965631605CE6DB_13</vt:lpwstr>
  </property>
</Properties>
</file>