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260D6">
      <w:pPr>
        <w:spacing w:line="600" w:lineRule="exact"/>
        <w:jc w:val="center"/>
        <w:outlineLvl w:val="9"/>
        <w:rPr>
          <w:rFonts w:hint="default" w:ascii="Times New Roman" w:hAnsi="Times New Roman" w:eastAsia="方正小标宋简体" w:cs="Times New Roman"/>
          <w:color w:val="auto"/>
          <w:sz w:val="72"/>
          <w:szCs w:val="72"/>
          <w:highlight w:val="none"/>
          <w:lang w:val="en-US" w:eastAsia="zh-CN"/>
        </w:rPr>
      </w:pPr>
      <w:bookmarkStart w:id="0" w:name="_Toc15306267"/>
    </w:p>
    <w:p w14:paraId="270D32D4">
      <w:pPr>
        <w:spacing w:line="600" w:lineRule="exact"/>
        <w:jc w:val="center"/>
        <w:outlineLvl w:val="9"/>
        <w:rPr>
          <w:rFonts w:hint="default" w:ascii="Times New Roman" w:hAnsi="Times New Roman" w:eastAsia="方正小标宋简体" w:cs="Times New Roman"/>
          <w:color w:val="auto"/>
          <w:sz w:val="72"/>
          <w:szCs w:val="72"/>
          <w:highlight w:val="none"/>
        </w:rPr>
      </w:pPr>
    </w:p>
    <w:p w14:paraId="4A35190B">
      <w:pPr>
        <w:spacing w:line="600" w:lineRule="exact"/>
        <w:jc w:val="center"/>
        <w:outlineLvl w:val="9"/>
        <w:rPr>
          <w:rFonts w:hint="default" w:ascii="Times New Roman" w:hAnsi="Times New Roman" w:eastAsia="方正小标宋简体" w:cs="Times New Roman"/>
          <w:color w:val="auto"/>
          <w:sz w:val="72"/>
          <w:szCs w:val="72"/>
          <w:highlight w:val="none"/>
        </w:rPr>
      </w:pPr>
    </w:p>
    <w:p w14:paraId="0D7A70CA">
      <w:pPr>
        <w:spacing w:line="600" w:lineRule="exact"/>
        <w:jc w:val="center"/>
        <w:outlineLvl w:val="9"/>
        <w:rPr>
          <w:rFonts w:hint="eastAsia" w:ascii="方正舒体" w:hAnsi="方正舒体" w:eastAsia="方正舒体" w:cs="方正舒体"/>
          <w:color w:val="auto"/>
          <w:sz w:val="72"/>
          <w:szCs w:val="72"/>
          <w:highlight w:val="none"/>
        </w:rPr>
      </w:pPr>
    </w:p>
    <w:p w14:paraId="64FC602A">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77425"/>
      <w:bookmarkStart w:id="2" w:name="_Toc15377193"/>
      <w:bookmarkStart w:id="3" w:name="_Toc15396597"/>
      <w:bookmarkStart w:id="4" w:name="_Toc15396475"/>
      <w:bookmarkStart w:id="5" w:name="_Toc10589"/>
      <w:bookmarkStart w:id="6" w:name="_Toc7838"/>
      <w:bookmarkStart w:id="7" w:name="_Toc15378441"/>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bookmarkEnd w:id="6"/>
      <w:bookmarkEnd w:id="7"/>
    </w:p>
    <w:p w14:paraId="50A359D2">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8" w:name="_Toc15378442"/>
      <w:bookmarkStart w:id="9" w:name="_Toc7735"/>
      <w:bookmarkStart w:id="10" w:name="_Toc15396598"/>
      <w:bookmarkStart w:id="11" w:name="_Toc15377194"/>
      <w:bookmarkStart w:id="12" w:name="_Toc15396476"/>
      <w:bookmarkStart w:id="13" w:name="_Toc15377426"/>
      <w:bookmarkStart w:id="14" w:name="_Toc28556"/>
      <w:r>
        <w:rPr>
          <w:rFonts w:hint="eastAsia" w:ascii="方正小标宋简体" w:hAnsi="方正小标宋简体" w:eastAsia="方正小标宋简体" w:cs="方正小标宋简体"/>
          <w:color w:val="auto"/>
          <w:spacing w:val="-20"/>
          <w:sz w:val="72"/>
          <w:szCs w:val="72"/>
          <w:highlight w:val="none"/>
        </w:rPr>
        <w:t>四川省</w:t>
      </w:r>
      <w:bookmarkEnd w:id="0"/>
      <w:bookmarkStart w:id="15" w:name="_Toc15306268"/>
      <w:r>
        <w:rPr>
          <w:rFonts w:hint="eastAsia" w:ascii="方正小标宋简体" w:hAnsi="方正小标宋简体" w:eastAsia="方正小标宋简体" w:cs="方正小标宋简体"/>
          <w:color w:val="auto"/>
          <w:spacing w:val="-20"/>
          <w:sz w:val="72"/>
          <w:szCs w:val="72"/>
          <w:highlight w:val="none"/>
          <w:lang w:val="en-US" w:eastAsia="zh-CN"/>
        </w:rPr>
        <w:t>广元市昭化区市场监督管理局</w:t>
      </w:r>
      <w:r>
        <w:rPr>
          <w:rFonts w:hint="eastAsia" w:ascii="方正小标宋简体" w:hAnsi="方正小标宋简体" w:eastAsia="方正小标宋简体" w:cs="方正小标宋简体"/>
          <w:color w:val="auto"/>
          <w:sz w:val="72"/>
          <w:szCs w:val="72"/>
          <w:highlight w:val="none"/>
          <w:lang w:val="en-US" w:eastAsia="zh-CN"/>
        </w:rPr>
        <w:t>部门</w:t>
      </w:r>
      <w:r>
        <w:rPr>
          <w:rFonts w:hint="eastAsia" w:ascii="方正小标宋简体" w:hAnsi="方正小标宋简体" w:eastAsia="方正小标宋简体" w:cs="方正小标宋简体"/>
          <w:color w:val="auto"/>
          <w:sz w:val="72"/>
          <w:szCs w:val="72"/>
          <w:highlight w:val="none"/>
        </w:rPr>
        <w:t>决算</w:t>
      </w:r>
      <w:bookmarkEnd w:id="8"/>
      <w:bookmarkEnd w:id="9"/>
      <w:bookmarkEnd w:id="10"/>
      <w:bookmarkEnd w:id="11"/>
      <w:bookmarkEnd w:id="12"/>
      <w:bookmarkEnd w:id="13"/>
      <w:bookmarkEnd w:id="14"/>
      <w:bookmarkEnd w:id="15"/>
    </w:p>
    <w:p w14:paraId="658CBB95">
      <w:pPr>
        <w:widowControl/>
        <w:jc w:val="center"/>
        <w:rPr>
          <w:rFonts w:hint="default" w:ascii="Times New Roman" w:hAnsi="Times New Roman" w:eastAsia="黑体" w:cs="Times New Roman"/>
          <w:color w:val="auto"/>
          <w:sz w:val="48"/>
          <w:szCs w:val="48"/>
          <w:highlight w:val="none"/>
        </w:rPr>
      </w:pPr>
      <w:r>
        <w:rPr>
          <w:rFonts w:hint="default" w:ascii="Times New Roman" w:hAnsi="Times New Roman" w:eastAsia="方正小标宋简体" w:cs="Times New Roman"/>
          <w:color w:val="auto"/>
          <w:sz w:val="36"/>
          <w:szCs w:val="36"/>
          <w:highlight w:val="none"/>
        </w:rPr>
        <w:br w:type="page"/>
      </w:r>
      <w:r>
        <w:rPr>
          <w:rFonts w:hint="eastAsia" w:ascii="方正小标宋简体" w:hAnsi="方正小标宋简体" w:eastAsia="方正小标宋简体" w:cs="方正小标宋简体"/>
          <w:color w:val="auto"/>
          <w:sz w:val="44"/>
          <w:szCs w:val="44"/>
          <w:highlight w:val="none"/>
        </w:rPr>
        <w:t>目</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录</w:t>
      </w:r>
    </w:p>
    <w:sdt>
      <w:sdtPr>
        <w:rPr>
          <w:rFonts w:ascii="宋体" w:hAnsi="宋体" w:eastAsia="宋体" w:cs="Times New Roman"/>
          <w:kern w:val="2"/>
          <w:sz w:val="21"/>
          <w:szCs w:val="24"/>
          <w:lang w:val="en-US" w:eastAsia="zh-CN" w:bidi="ar-SA"/>
        </w:rPr>
        <w:id w:val="147452178"/>
        <w15:color w:val="DBDBDB"/>
        <w:docPartObj>
          <w:docPartGallery w:val="Table of Contents"/>
          <w:docPartUnique/>
        </w:docPartObj>
      </w:sdtPr>
      <w:sdtEndPr>
        <w:rPr>
          <w:rFonts w:hint="default" w:ascii="Times New Roman" w:hAnsi="Times New Roman" w:eastAsia="仿宋_GB2312" w:cs="Times New Roman"/>
          <w:b/>
          <w:kern w:val="0"/>
          <w:sz w:val="20"/>
          <w:szCs w:val="20"/>
          <w:lang w:val="en-US" w:eastAsia="zh-CN" w:bidi="ar-SA"/>
        </w:rPr>
      </w:sdtEndPr>
      <w:sdtContent>
        <w:p w14:paraId="7DFFD98E">
          <w:pPr>
            <w:pStyle w:val="15"/>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b/>
              <w:kern w:val="2"/>
              <w:sz w:val="21"/>
              <w:szCs w:val="24"/>
              <w:lang w:val="en-US" w:eastAsia="zh-CN" w:bidi="ar-SA"/>
            </w:rPr>
          </w:pPr>
          <w:bookmarkStart w:id="16" w:name="_Toc15377196"/>
          <w:bookmarkStart w:id="17" w:name="_Toc15396599"/>
          <w:r>
            <w:rPr>
              <w:rFonts w:hint="default" w:ascii="Times New Roman" w:hAnsi="Times New Roman" w:eastAsia="仿宋_GB2312" w:cs="Times New Roman"/>
              <w:lang w:val="en-US" w:eastAsia="zh-CN"/>
            </w:rPr>
            <w:fldChar w:fldCharType="begin"/>
          </w:r>
          <w:r>
            <w:rPr>
              <w:rFonts w:hint="default" w:ascii="Times New Roman" w:hAnsi="Times New Roman" w:eastAsia="仿宋_GB2312" w:cs="Times New Roman"/>
              <w:lang w:val="en-US" w:eastAsia="zh-CN"/>
            </w:rPr>
            <w:instrText xml:space="preserve">TOC \o "1-2" \h \u </w:instrText>
          </w:r>
          <w:r>
            <w:rPr>
              <w:rFonts w:hint="default" w:ascii="Times New Roman" w:hAnsi="Times New Roman" w:eastAsia="仿宋_GB2312" w:cs="Times New Roman"/>
              <w:lang w:val="en-US" w:eastAsia="zh-CN"/>
            </w:rPr>
            <w:fldChar w:fldCharType="separate"/>
          </w:r>
        </w:p>
        <w:p w14:paraId="0D42E37C">
          <w:pPr>
            <w:pStyle w:val="14"/>
            <w:keepNext w:val="0"/>
            <w:keepLines w:val="0"/>
            <w:pageBreakBefore w:val="0"/>
            <w:widowControl w:val="0"/>
            <w:tabs>
              <w:tab w:val="right" w:leader="dot" w:pos="8845"/>
              <w:tab w:val="clear" w:pos="8296"/>
            </w:tabs>
            <w:kinsoku/>
            <w:wordWrap/>
            <w:overflowPunct/>
            <w:topLinePunct w:val="0"/>
            <w:autoSpaceDE/>
            <w:autoSpaceDN/>
            <w:bidi w:val="0"/>
            <w:adjustRightInd/>
            <w:snapToGrid/>
            <w:spacing w:before="0" w:line="24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\l _Toc26825 </w:instrText>
          </w:r>
          <w:r>
            <w:rPr>
              <w:rFonts w:hint="default" w:ascii="Times New Roman" w:hAnsi="Times New Roman" w:eastAsia="仿宋_GB2312" w:cs="Times New Roman"/>
              <w:sz w:val="32"/>
              <w:szCs w:val="32"/>
              <w:lang w:val="en-US" w:eastAsia="zh-CN"/>
            </w:rPr>
            <w:fldChar w:fldCharType="separate"/>
          </w:r>
          <w:r>
            <w:rPr>
              <w:rFonts w:hint="eastAsia" w:ascii="黑体" w:hAnsi="黑体" w:eastAsia="黑体" w:cs="黑体"/>
              <w:sz w:val="32"/>
              <w:szCs w:val="32"/>
              <w:highlight w:val="none"/>
            </w:rPr>
            <w:t>第一部分</w:t>
          </w: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bCs w:val="0"/>
              <w:sz w:val="32"/>
              <w:szCs w:val="32"/>
              <w:highlight w:val="none"/>
            </w:rPr>
            <w:t>概况</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_Toc26825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rPr>
            <w:fldChar w:fldCharType="end"/>
          </w:r>
        </w:p>
        <w:p w14:paraId="768887CF">
          <w:pPr>
            <w:pStyle w:val="39"/>
            <w:keepNext w:val="0"/>
            <w:keepLines w:val="0"/>
            <w:pageBreakBefore w:val="0"/>
            <w:widowControl/>
            <w:tabs>
              <w:tab w:val="right" w:leader="dot" w:pos="8845"/>
            </w:tabs>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\l _Toc11932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bCs w:val="0"/>
              <w:sz w:val="32"/>
              <w:szCs w:val="32"/>
              <w:lang w:eastAsia="zh-CN"/>
            </w:rPr>
            <w:t>一、</w:t>
          </w:r>
          <w:r>
            <w:rPr>
              <w:rFonts w:hint="default" w:ascii="Times New Roman" w:hAnsi="Times New Roman" w:eastAsia="仿宋_GB2312" w:cs="Times New Roman"/>
              <w:sz w:val="32"/>
              <w:szCs w:val="32"/>
            </w:rPr>
            <w:t>基本职能及主要工作</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_Toc26825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rPr>
            <w:fldChar w:fldCharType="end"/>
          </w:r>
        </w:p>
        <w:p w14:paraId="6C222CE2">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\l _Toc32187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bCs w:val="0"/>
              <w:sz w:val="32"/>
              <w:szCs w:val="32"/>
              <w:lang w:eastAsia="zh-CN"/>
            </w:rPr>
            <w:t>二、</w:t>
          </w:r>
          <w:r>
            <w:rPr>
              <w:rFonts w:hint="default" w:ascii="Times New Roman" w:hAnsi="Times New Roman" w:eastAsia="仿宋_GB2312" w:cs="Times New Roman"/>
              <w:sz w:val="32"/>
              <w:szCs w:val="32"/>
            </w:rPr>
            <w:t>机构设置</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_Toc32187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rPr>
            <w:fldChar w:fldCharType="end"/>
          </w:r>
        </w:p>
        <w:p w14:paraId="7D347389">
          <w:pPr>
            <w:pStyle w:val="14"/>
            <w:keepNext w:val="0"/>
            <w:keepLines w:val="0"/>
            <w:pageBreakBefore w:val="0"/>
            <w:widowControl w:val="0"/>
            <w:tabs>
              <w:tab w:val="right" w:leader="dot" w:pos="8845"/>
              <w:tab w:val="clear" w:pos="8296"/>
            </w:tabs>
            <w:kinsoku/>
            <w:wordWrap/>
            <w:overflowPunct/>
            <w:topLinePunct w:val="0"/>
            <w:autoSpaceDE/>
            <w:autoSpaceDN/>
            <w:bidi w:val="0"/>
            <w:adjustRightInd/>
            <w:snapToGrid/>
            <w:spacing w:before="0" w:line="24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\l _Toc8112 </w:instrText>
          </w:r>
          <w:r>
            <w:rPr>
              <w:rFonts w:hint="default" w:ascii="Times New Roman" w:hAnsi="Times New Roman" w:eastAsia="仿宋_GB2312" w:cs="Times New Roman"/>
              <w:sz w:val="32"/>
              <w:szCs w:val="32"/>
              <w:lang w:val="en-US" w:eastAsia="zh-CN"/>
            </w:rPr>
            <w:fldChar w:fldCharType="separate"/>
          </w:r>
          <w:r>
            <w:rPr>
              <w:rFonts w:hint="eastAsia" w:ascii="黑体" w:hAnsi="黑体" w:eastAsia="黑体" w:cs="黑体"/>
              <w:bCs/>
              <w:sz w:val="32"/>
              <w:szCs w:val="32"/>
              <w:highlight w:val="none"/>
            </w:rPr>
            <w:t>第二部分</w:t>
          </w:r>
          <w:r>
            <w:rPr>
              <w:rFonts w:hint="default" w:ascii="Times New Roman" w:hAnsi="Times New Roman" w:eastAsia="仿宋_GB2312" w:cs="Times New Roman"/>
              <w:bCs/>
              <w:sz w:val="32"/>
              <w:szCs w:val="32"/>
              <w:highlight w:val="none"/>
            </w:rPr>
            <w:t xml:space="preserve"> </w:t>
          </w:r>
          <w:r>
            <w:rPr>
              <w:rFonts w:hint="default" w:ascii="Times New Roman" w:hAnsi="Times New Roman" w:eastAsia="仿宋_GB2312" w:cs="Times New Roman"/>
              <w:bCs/>
              <w:sz w:val="32"/>
              <w:szCs w:val="32"/>
              <w:highlight w:val="none"/>
              <w:lang w:val="en-US" w:eastAsia="zh-CN"/>
            </w:rPr>
            <w:t>2021年度</w:t>
          </w:r>
          <w:r>
            <w:rPr>
              <w:rFonts w:hint="default" w:ascii="Times New Roman" w:hAnsi="Times New Roman" w:eastAsia="仿宋_GB2312" w:cs="Times New Roman"/>
              <w:bCs/>
              <w:sz w:val="32"/>
              <w:szCs w:val="32"/>
              <w:highlight w:val="none"/>
              <w:lang w:eastAsia="zh-CN"/>
            </w:rPr>
            <w:t>单位</w:t>
          </w:r>
          <w:r>
            <w:rPr>
              <w:rFonts w:hint="default" w:ascii="Times New Roman" w:hAnsi="Times New Roman" w:eastAsia="仿宋_GB2312" w:cs="Times New Roman"/>
              <w:bCs/>
              <w:sz w:val="32"/>
              <w:szCs w:val="32"/>
              <w:highlight w:val="none"/>
            </w:rPr>
            <w:t>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_Toc8112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rPr>
            <w:fldChar w:fldCharType="end"/>
          </w:r>
        </w:p>
        <w:p w14:paraId="3F9978B3">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\l _Toc9010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highlight w:val="none"/>
            </w:rPr>
            <w:t>收入支出决算总体情况说明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_Toc9010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rPr>
            <w:fldChar w:fldCharType="end"/>
          </w:r>
        </w:p>
        <w:p w14:paraId="73AFE132">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\l _Toc3881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rPr>
            <w:t>二、</w:t>
          </w:r>
          <w:r>
            <w:rPr>
              <w:rFonts w:hint="default" w:ascii="Times New Roman" w:hAnsi="Times New Roman" w:eastAsia="仿宋_GB2312" w:cs="Times New Roman"/>
              <w:sz w:val="32"/>
              <w:szCs w:val="32"/>
              <w:highlight w:val="none"/>
            </w:rPr>
            <w:t>收入决算情况说明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_Toc3881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rPr>
            <w:fldChar w:fldCharType="end"/>
          </w:r>
        </w:p>
        <w:p w14:paraId="33E8908E">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\l _Toc20481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rPr>
            <w:t>三、</w:t>
          </w:r>
          <w:r>
            <w:rPr>
              <w:rFonts w:hint="default" w:ascii="Times New Roman" w:hAnsi="Times New Roman" w:eastAsia="仿宋_GB2312" w:cs="Times New Roman"/>
              <w:sz w:val="32"/>
              <w:szCs w:val="32"/>
              <w:highlight w:val="none"/>
            </w:rPr>
            <w:t>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_Toc20481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rPr>
            <w:fldChar w:fldCharType="end"/>
          </w:r>
        </w:p>
        <w:p w14:paraId="4C6CFA8A">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\l _Toc8327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highlight w:val="none"/>
            </w:rPr>
            <w:t>四</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财政拨款收入支出决算总体情况说明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_Toc8327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rPr>
            <w:fldChar w:fldCharType="end"/>
          </w:r>
        </w:p>
        <w:p w14:paraId="5E38875C">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\l _Toc23595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highlight w:val="none"/>
            </w:rPr>
            <w:t>五、一般公共预算财政拨款支出决算情况说明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_Toc23595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rPr>
            <w:fldChar w:fldCharType="end"/>
          </w:r>
        </w:p>
        <w:p w14:paraId="7F3E92B1">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\l _Toc1333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highlight w:val="none"/>
            </w:rPr>
            <w:t>六、一般公共预算财政拨款基本支出决算情况说明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_Toc1333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rPr>
            <w:fldChar w:fldCharType="end"/>
          </w:r>
        </w:p>
        <w:p w14:paraId="7721FB0F">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\l _Toc20651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highlight w:val="none"/>
            </w:rPr>
            <w:t>七、“三公”经费财政拨款支出决算情况说明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_Toc20651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rPr>
            <w:fldChar w:fldCharType="end"/>
          </w:r>
        </w:p>
        <w:p w14:paraId="598C690B">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\l _Toc19258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highlight w:val="none"/>
            </w:rPr>
            <w:t>八、政府性基金预算支出决算情况说明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_Toc19258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rPr>
            <w:fldChar w:fldCharType="end"/>
          </w:r>
        </w:p>
        <w:p w14:paraId="22589640">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\l _Toc29350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rPr>
            <w:t>九、</w:t>
          </w:r>
          <w:r>
            <w:rPr>
              <w:rFonts w:hint="default" w:ascii="Times New Roman" w:hAnsi="Times New Roman" w:eastAsia="仿宋_GB2312" w:cs="Times New Roman"/>
              <w:sz w:val="32"/>
              <w:szCs w:val="32"/>
              <w:highlight w:val="none"/>
            </w:rPr>
            <w:t>国有资本经营预算支出决算情况说明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_Toc29350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rPr>
            <w:fldChar w:fldCharType="end"/>
          </w:r>
        </w:p>
        <w:p w14:paraId="6DA6A7E3">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\l _Toc27977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rPr>
            <w:t>十、</w:t>
          </w:r>
          <w:r>
            <w:rPr>
              <w:rFonts w:hint="default" w:ascii="Times New Roman" w:hAnsi="Times New Roman" w:eastAsia="仿宋_GB2312" w:cs="Times New Roman"/>
              <w:sz w:val="32"/>
              <w:szCs w:val="32"/>
              <w:highlight w:val="none"/>
              <w:lang w:val="en-US" w:eastAsia="zh-CN"/>
            </w:rPr>
            <w:t>预算绩效管理情况</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_Toc27977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rPr>
            <w:fldChar w:fldCharType="end"/>
          </w:r>
        </w:p>
        <w:p w14:paraId="61237561">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\l _Toc18454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rPr>
            <w:t>十一、</w:t>
          </w:r>
          <w:r>
            <w:rPr>
              <w:rFonts w:hint="default" w:ascii="Times New Roman" w:hAnsi="Times New Roman" w:eastAsia="仿宋_GB2312" w:cs="Times New Roman"/>
              <w:sz w:val="32"/>
              <w:szCs w:val="32"/>
              <w:highlight w:val="none"/>
            </w:rPr>
            <w:t>其他重要事项的情况说明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_Toc18454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rPr>
            <w:fldChar w:fldCharType="end"/>
          </w:r>
        </w:p>
        <w:p w14:paraId="4FEE4B37">
          <w:pPr>
            <w:pStyle w:val="14"/>
            <w:keepNext w:val="0"/>
            <w:keepLines w:val="0"/>
            <w:pageBreakBefore w:val="0"/>
            <w:widowControl w:val="0"/>
            <w:tabs>
              <w:tab w:val="right" w:leader="dot" w:pos="8845"/>
              <w:tab w:val="clear" w:pos="8296"/>
            </w:tabs>
            <w:kinsoku/>
            <w:wordWrap/>
            <w:overflowPunct/>
            <w:topLinePunct w:val="0"/>
            <w:autoSpaceDE/>
            <w:autoSpaceDN/>
            <w:bidi w:val="0"/>
            <w:adjustRightInd/>
            <w:snapToGrid/>
            <w:spacing w:before="0" w:line="24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\l _Toc16188 </w:instrText>
          </w:r>
          <w:r>
            <w:rPr>
              <w:rFonts w:hint="default" w:ascii="Times New Roman" w:hAnsi="Times New Roman" w:eastAsia="仿宋_GB2312" w:cs="Times New Roman"/>
              <w:sz w:val="32"/>
              <w:szCs w:val="32"/>
              <w:lang w:val="en-US" w:eastAsia="zh-CN"/>
            </w:rPr>
            <w:fldChar w:fldCharType="separate"/>
          </w:r>
          <w:r>
            <w:rPr>
              <w:rFonts w:hint="eastAsia" w:ascii="黑体" w:hAnsi="黑体" w:eastAsia="黑体" w:cs="黑体"/>
              <w:sz w:val="32"/>
              <w:szCs w:val="32"/>
            </w:rPr>
            <w:t>第三部分</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highlight w:val="none"/>
            </w:rPr>
            <w:t>名词解释</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_Toc16188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rPr>
            <w:fldChar w:fldCharType="end"/>
          </w:r>
        </w:p>
        <w:p w14:paraId="6A9B4119">
          <w:pPr>
            <w:pStyle w:val="14"/>
            <w:keepNext w:val="0"/>
            <w:keepLines w:val="0"/>
            <w:pageBreakBefore w:val="0"/>
            <w:widowControl w:val="0"/>
            <w:tabs>
              <w:tab w:val="right" w:leader="dot" w:pos="8845"/>
              <w:tab w:val="clear" w:pos="8296"/>
            </w:tabs>
            <w:kinsoku/>
            <w:wordWrap/>
            <w:overflowPunct/>
            <w:topLinePunct w:val="0"/>
            <w:autoSpaceDE/>
            <w:autoSpaceDN/>
            <w:bidi w:val="0"/>
            <w:adjustRightInd/>
            <w:snapToGrid/>
            <w:spacing w:before="0" w:line="24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\l _Toc19474 </w:instrText>
          </w:r>
          <w:r>
            <w:rPr>
              <w:rFonts w:hint="default" w:ascii="Times New Roman" w:hAnsi="Times New Roman" w:eastAsia="仿宋_GB2312" w:cs="Times New Roman"/>
              <w:sz w:val="32"/>
              <w:szCs w:val="32"/>
              <w:lang w:val="en-US" w:eastAsia="zh-CN"/>
            </w:rPr>
            <w:fldChar w:fldCharType="separate"/>
          </w:r>
          <w:r>
            <w:rPr>
              <w:rFonts w:hint="eastAsia" w:ascii="黑体" w:hAnsi="黑体" w:eastAsia="黑体" w:cs="黑体"/>
              <w:sz w:val="32"/>
              <w:szCs w:val="32"/>
              <w:highlight w:val="none"/>
            </w:rPr>
            <w:t>第四部分</w:t>
          </w:r>
          <w:r>
            <w:rPr>
              <w:rFonts w:hint="default" w:ascii="Times New Roman" w:hAnsi="Times New Roman" w:eastAsia="仿宋_GB2312" w:cs="Times New Roman"/>
              <w:sz w:val="32"/>
              <w:szCs w:val="32"/>
              <w:highlight w:val="none"/>
            </w:rPr>
            <w:t xml:space="preserve"> 附件</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_Toc19474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rPr>
            <w:fldChar w:fldCharType="end"/>
          </w:r>
        </w:p>
        <w:p w14:paraId="5E2523D0">
          <w:pPr>
            <w:pStyle w:val="14"/>
            <w:keepNext w:val="0"/>
            <w:keepLines w:val="0"/>
            <w:pageBreakBefore w:val="0"/>
            <w:widowControl w:val="0"/>
            <w:tabs>
              <w:tab w:val="right" w:leader="dot" w:pos="8845"/>
              <w:tab w:val="clear" w:pos="8296"/>
            </w:tabs>
            <w:kinsoku/>
            <w:wordWrap/>
            <w:overflowPunct/>
            <w:topLinePunct w:val="0"/>
            <w:autoSpaceDE/>
            <w:autoSpaceDN/>
            <w:bidi w:val="0"/>
            <w:adjustRightInd/>
            <w:snapToGrid/>
            <w:spacing w:before="0" w:line="240" w:lineRule="auto"/>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\l _Toc14009 </w:instrText>
          </w:r>
          <w:r>
            <w:rPr>
              <w:rFonts w:hint="default" w:ascii="Times New Roman" w:hAnsi="Times New Roman" w:eastAsia="仿宋_GB2312" w:cs="Times New Roman"/>
              <w:sz w:val="32"/>
              <w:szCs w:val="32"/>
              <w:lang w:val="en-US" w:eastAsia="zh-CN"/>
            </w:rPr>
            <w:fldChar w:fldCharType="separate"/>
          </w:r>
          <w:r>
            <w:rPr>
              <w:rFonts w:hint="eastAsia" w:ascii="黑体" w:hAnsi="黑体" w:eastAsia="黑体" w:cs="黑体"/>
              <w:sz w:val="32"/>
              <w:szCs w:val="32"/>
              <w:highlight w:val="none"/>
            </w:rPr>
            <w:t>第五部分</w:t>
          </w:r>
          <w:r>
            <w:rPr>
              <w:rFonts w:hint="default" w:ascii="Times New Roman" w:hAnsi="Times New Roman" w:eastAsia="仿宋_GB2312" w:cs="Times New Roman"/>
              <w:sz w:val="32"/>
              <w:szCs w:val="32"/>
              <w:highlight w:val="none"/>
            </w:rPr>
            <w:t xml:space="preserve"> 附表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_Toc14009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rPr>
            <w:fldChar w:fldCharType="end"/>
          </w:r>
        </w:p>
        <w:p w14:paraId="216B98C6">
          <w:pPr>
            <w:pStyle w:val="14"/>
            <w:keepNext w:val="0"/>
            <w:keepLines w:val="0"/>
            <w:pageBreakBefore w:val="0"/>
            <w:widowControl w:val="0"/>
            <w:tabs>
              <w:tab w:val="right" w:leader="dot" w:pos="8845"/>
              <w:tab w:val="clear" w:pos="8296"/>
            </w:tabs>
            <w:kinsoku/>
            <w:wordWrap/>
            <w:overflowPunct/>
            <w:topLinePunct w:val="0"/>
            <w:autoSpaceDE/>
            <w:autoSpaceDN/>
            <w:bidi w:val="0"/>
            <w:adjustRightInd/>
            <w:snapToGrid/>
            <w:spacing w:before="0" w:line="24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\l _Toc12354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bCs/>
              <w:kern w:val="2"/>
              <w:sz w:val="32"/>
              <w:szCs w:val="32"/>
              <w:highlight w:val="none"/>
              <w:lang w:val="en-US" w:eastAsia="zh-CN" w:bidi="ar-SA"/>
            </w:rPr>
            <w:t>一、收入支出决算总表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_Toc12354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rPr>
            <w:fldChar w:fldCharType="end"/>
          </w:r>
        </w:p>
        <w:p w14:paraId="3F6C82EC">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\l _Toc7852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highlight w:val="none"/>
            </w:rPr>
            <w:t>二、收入决算表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_Toc7852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rPr>
            <w:fldChar w:fldCharType="end"/>
          </w:r>
        </w:p>
        <w:p w14:paraId="0954EFDB">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\l _Toc13772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highlight w:val="none"/>
            </w:rPr>
            <w:t>三、支出决算表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_Toc13772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rPr>
            <w:fldChar w:fldCharType="end"/>
          </w:r>
        </w:p>
        <w:p w14:paraId="03017577">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\l _Toc12034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highlight w:val="none"/>
            </w:rPr>
            <w:t>四、财政拨款收入支出决算总表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_Toc12034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rPr>
            <w:fldChar w:fldCharType="end"/>
          </w:r>
        </w:p>
        <w:p w14:paraId="4AE8B64D">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\l _Toc5772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highlight w:val="none"/>
            </w:rPr>
            <w:t>五、财政拨款支出决算明细表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_Toc5772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rPr>
            <w:fldChar w:fldCharType="end"/>
          </w:r>
        </w:p>
        <w:p w14:paraId="2065F81E">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\l _Toc31134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highlight w:val="none"/>
            </w:rPr>
            <w:t>六、一般公共预算财政拨款支出决算表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_Toc31134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rPr>
            <w:fldChar w:fldCharType="end"/>
          </w:r>
        </w:p>
        <w:p w14:paraId="664083D3">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\l _Toc2507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highlight w:val="none"/>
            </w:rPr>
            <w:t>七、一般公共预算财政拨款支出决算明细表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_Toc2507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rPr>
            <w:fldChar w:fldCharType="end"/>
          </w:r>
        </w:p>
        <w:p w14:paraId="7CFAA311">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\l _Toc22987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highlight w:val="none"/>
            </w:rPr>
            <w:t>八、一般公共预算财政拨款基本支出决算表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_Toc22987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rPr>
            <w:fldChar w:fldCharType="end"/>
          </w:r>
        </w:p>
        <w:p w14:paraId="287C49F0">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\l _Toc8745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highlight w:val="none"/>
            </w:rPr>
            <w:t>九、一般公共预算财政拨款项目支出决算表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_Toc8745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rPr>
            <w:fldChar w:fldCharType="end"/>
          </w:r>
        </w:p>
        <w:p w14:paraId="6DB24A92">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\l _Toc12833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highlight w:val="none"/>
            </w:rPr>
            <w:t>十、一般公共预算财政拨款“三公”经费支出决算表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_Toc12833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rPr>
            <w:fldChar w:fldCharType="end"/>
          </w:r>
        </w:p>
        <w:p w14:paraId="7E376A86">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\l _Toc20591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highlight w:val="none"/>
            </w:rPr>
            <w:t>十一、政府性基金预算财政拨款收入支出决算表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_Toc20591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rPr>
            <w:fldChar w:fldCharType="end"/>
          </w:r>
        </w:p>
        <w:p w14:paraId="7589920B">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\l _Toc11926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highlight w:val="none"/>
            </w:rPr>
            <w:t>十二、政府性基金预算财政拨款“三公”经费支出决算表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_Toc11926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rPr>
            <w:fldChar w:fldCharType="end"/>
          </w:r>
        </w:p>
        <w:p w14:paraId="60597DCC">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\l _Toc15838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highlight w:val="none"/>
            </w:rPr>
            <w:t>十三、国有资本经营预算</w:t>
          </w:r>
          <w:r>
            <w:rPr>
              <w:rFonts w:hint="default" w:ascii="Times New Roman" w:hAnsi="Times New Roman" w:eastAsia="仿宋_GB2312" w:cs="Times New Roman"/>
              <w:sz w:val="32"/>
              <w:szCs w:val="32"/>
              <w:highlight w:val="none"/>
              <w:lang w:eastAsia="zh-CN"/>
            </w:rPr>
            <w:t>财政拨款收入</w:t>
          </w:r>
          <w:r>
            <w:rPr>
              <w:rFonts w:hint="default" w:ascii="Times New Roman" w:hAnsi="Times New Roman" w:eastAsia="仿宋_GB2312" w:cs="Times New Roman"/>
              <w:sz w:val="32"/>
              <w:szCs w:val="32"/>
              <w:highlight w:val="none"/>
            </w:rPr>
            <w:t>支出决算表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_Toc15838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rPr>
            <w:fldChar w:fldCharType="end"/>
          </w:r>
        </w:p>
        <w:p w14:paraId="64F4F3B5">
          <w:pPr>
            <w:pStyle w:val="15"/>
            <w:keepNext w:val="0"/>
            <w:keepLines w:val="0"/>
            <w:pageBreakBefore w:val="0"/>
            <w:widowControl w:val="0"/>
            <w:tabs>
              <w:tab w:val="right" w:leader="dot" w:pos="8845"/>
              <w:tab w:val="clear" w:pos="8296"/>
            </w:tabs>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\l _Toc21498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highlight w:val="none"/>
              <w:lang w:eastAsia="zh-CN"/>
            </w:rPr>
            <w:t>十四、国有资本经营预算财政拨款支出决算表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_Toc21498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rPr>
            <w:fldChar w:fldCharType="end"/>
          </w:r>
        </w:p>
        <w:p w14:paraId="5AB82D01">
          <w:pPr>
            <w:tabs>
              <w:tab w:val="right" w:leader="dot" w:pos="8296"/>
            </w:tabs>
            <w:adjustRightInd w:val="0"/>
            <w:snapToGrid w:val="0"/>
            <w:spacing w:before="0" w:beforeLines="0" w:after="0" w:afterLines="0" w:line="240" w:lineRule="auto"/>
            <w:ind w:left="0" w:leftChars="0" w:right="0" w:rightChars="0" w:firstLine="0" w:firstLineChars="0"/>
            <w:jc w:val="center"/>
            <w:rPr>
              <w:rFonts w:hint="default" w:ascii="Times New Roman" w:hAnsi="Times New Roman" w:eastAsia="仿宋_GB2312" w:cs="Times New Roman"/>
              <w:b/>
              <w:kern w:val="0"/>
              <w:sz w:val="20"/>
              <w:szCs w:val="20"/>
              <w:lang w:val="en-US" w:eastAsia="zh-CN" w:bidi="ar-SA"/>
            </w:rPr>
            <w:sectPr>
              <w:headerReference r:id="rId3" w:type="default"/>
              <w:footerReference r:id="rId4" w:type="even"/>
              <w:pgSz w:w="11906" w:h="16838"/>
              <w:pgMar w:top="2098" w:right="1474" w:bottom="1984" w:left="1587" w:header="851" w:footer="1559" w:gutter="0"/>
              <w:pgNumType w:start="1"/>
              <w:cols w:space="0" w:num="1"/>
              <w:rtlGutter w:val="0"/>
              <w:docGrid w:type="lines" w:linePitch="312" w:charSpace="0"/>
            </w:sectPr>
          </w:pPr>
          <w:r>
            <w:rPr>
              <w:rFonts w:hint="default" w:ascii="Times New Roman" w:hAnsi="Times New Roman" w:eastAsia="仿宋_GB2312" w:cs="Times New Roman"/>
              <w:b/>
              <w:lang w:val="en-US" w:eastAsia="zh-CN"/>
            </w:rPr>
            <w:fldChar w:fldCharType="end"/>
          </w:r>
        </w:p>
      </w:sdtContent>
    </w:sdt>
    <w:p w14:paraId="170F3DD9">
      <w:pPr>
        <w:pStyle w:val="3"/>
        <w:keepNext w:val="0"/>
        <w:keepLines w:val="0"/>
        <w:pageBreakBefore w:val="0"/>
        <w:widowControl w:val="0"/>
        <w:kinsoku/>
        <w:wordWrap/>
        <w:overflowPunct/>
        <w:topLinePunct w:val="0"/>
        <w:bidi w:val="0"/>
        <w:spacing w:before="0" w:after="0" w:line="576" w:lineRule="exact"/>
        <w:jc w:val="center"/>
        <w:textAlignment w:val="auto"/>
        <w:rPr>
          <w:rFonts w:hint="eastAsia" w:ascii="方正小标宋简体" w:hAnsi="方正小标宋简体" w:eastAsia="方正小标宋简体" w:cs="方正小标宋简体"/>
          <w:b w:val="0"/>
          <w:color w:val="auto"/>
          <w:sz w:val="44"/>
          <w:szCs w:val="44"/>
          <w:highlight w:val="none"/>
        </w:rPr>
      </w:pPr>
      <w:bookmarkStart w:id="18" w:name="_Toc26825"/>
    </w:p>
    <w:p w14:paraId="65B284D6">
      <w:pPr>
        <w:pStyle w:val="3"/>
        <w:keepNext w:val="0"/>
        <w:keepLines w:val="0"/>
        <w:pageBreakBefore w:val="0"/>
        <w:widowControl w:val="0"/>
        <w:kinsoku/>
        <w:wordWrap/>
        <w:overflowPunct/>
        <w:topLinePunct w:val="0"/>
        <w:bidi w:val="0"/>
        <w:spacing w:before="0" w:after="0" w:line="576"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b w:val="0"/>
          <w:color w:val="auto"/>
          <w:sz w:val="44"/>
          <w:szCs w:val="44"/>
          <w:highlight w:val="none"/>
        </w:rPr>
        <w:t>第一部分</w:t>
      </w:r>
      <w:r>
        <w:rPr>
          <w:rFonts w:hint="eastAsia" w:ascii="方正小标宋简体" w:hAnsi="方正小标宋简体" w:eastAsia="方正小标宋简体" w:cs="方正小标宋简体"/>
          <w:b w:val="0"/>
          <w:color w:val="auto"/>
          <w:sz w:val="44"/>
          <w:szCs w:val="44"/>
          <w:highlight w:val="none"/>
          <w:lang w:val="en-US" w:eastAsia="zh-CN"/>
        </w:rPr>
        <w:t xml:space="preserve"> </w:t>
      </w:r>
      <w:r>
        <w:rPr>
          <w:rFonts w:hint="eastAsia" w:ascii="方正小标宋简体" w:hAnsi="方正小标宋简体" w:eastAsia="方正小标宋简体" w:cs="方正小标宋简体"/>
          <w:b w:val="0"/>
          <w:color w:val="auto"/>
          <w:sz w:val="44"/>
          <w:szCs w:val="44"/>
          <w:highlight w:val="none"/>
          <w:lang w:eastAsia="zh-CN"/>
        </w:rPr>
        <w:t>单位</w:t>
      </w:r>
      <w:r>
        <w:rPr>
          <w:rStyle w:val="23"/>
          <w:rFonts w:hint="eastAsia" w:ascii="方正小标宋简体" w:hAnsi="方正小标宋简体" w:eastAsia="方正小标宋简体" w:cs="方正小标宋简体"/>
          <w:b w:val="0"/>
          <w:bCs w:val="0"/>
          <w:color w:val="auto"/>
          <w:sz w:val="44"/>
          <w:szCs w:val="44"/>
          <w:highlight w:val="none"/>
        </w:rPr>
        <w:t>概况</w:t>
      </w:r>
      <w:bookmarkEnd w:id="16"/>
      <w:bookmarkEnd w:id="17"/>
      <w:bookmarkEnd w:id="18"/>
    </w:p>
    <w:p w14:paraId="53C658EF">
      <w:pPr>
        <w:keepNext w:val="0"/>
        <w:keepLines w:val="0"/>
        <w:pageBreakBefore w:val="0"/>
        <w:widowControl w:val="0"/>
        <w:kinsoku/>
        <w:wordWrap/>
        <w:overflowPunct/>
        <w:topLinePunct w:val="0"/>
        <w:bidi w:val="0"/>
        <w:snapToGrid w:val="0"/>
        <w:spacing w:line="576" w:lineRule="exact"/>
        <w:ind w:firstLine="640" w:firstLineChars="200"/>
        <w:jc w:val="both"/>
        <w:textAlignment w:val="auto"/>
        <w:rPr>
          <w:rFonts w:hint="default" w:ascii="Times New Roman" w:hAnsi="Times New Roman" w:eastAsia="黑体" w:cs="Times New Roman"/>
          <w:kern w:val="0"/>
          <w:sz w:val="32"/>
          <w:szCs w:val="32"/>
          <w:lang w:eastAsia="zh-CN"/>
        </w:rPr>
      </w:pPr>
      <w:bookmarkStart w:id="19" w:name="_Toc15377197"/>
      <w:bookmarkStart w:id="20" w:name="_Toc15396600"/>
    </w:p>
    <w:p w14:paraId="155E5F98">
      <w:pPr>
        <w:keepNext w:val="0"/>
        <w:keepLines w:val="0"/>
        <w:pageBreakBefore w:val="0"/>
        <w:widowControl w:val="0"/>
        <w:kinsoku/>
        <w:wordWrap/>
        <w:overflowPunct/>
        <w:topLinePunct w:val="0"/>
        <w:bidi w:val="0"/>
        <w:snapToGrid w:val="0"/>
        <w:spacing w:line="576" w:lineRule="exact"/>
        <w:ind w:firstLine="640" w:firstLineChars="200"/>
        <w:jc w:val="both"/>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eastAsia="zh-CN"/>
        </w:rPr>
        <w:t>一、</w:t>
      </w:r>
      <w:r>
        <w:rPr>
          <w:rFonts w:hint="default" w:ascii="Times New Roman" w:hAnsi="Times New Roman" w:eastAsia="黑体" w:cs="Times New Roman"/>
          <w:kern w:val="0"/>
          <w:sz w:val="32"/>
          <w:szCs w:val="32"/>
        </w:rPr>
        <w:t>基本职能及主要工作</w:t>
      </w:r>
      <w:bookmarkStart w:id="21" w:name="_Toc15378445"/>
      <w:bookmarkStart w:id="22" w:name="_Toc15377198"/>
    </w:p>
    <w:p w14:paraId="4F40E610">
      <w:pPr>
        <w:keepNext w:val="0"/>
        <w:keepLines w:val="0"/>
        <w:pageBreakBefore w:val="0"/>
        <w:widowControl w:val="0"/>
        <w:kinsoku/>
        <w:wordWrap/>
        <w:overflowPunct/>
        <w:topLinePunct w:val="0"/>
        <w:bidi w:val="0"/>
        <w:snapToGrid w:val="0"/>
        <w:spacing w:line="576" w:lineRule="exact"/>
        <w:ind w:firstLine="640" w:firstLineChars="200"/>
        <w:jc w:val="both"/>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（一）主要职能</w:t>
      </w:r>
      <w:bookmarkEnd w:id="21"/>
      <w:bookmarkEnd w:id="22"/>
    </w:p>
    <w:p w14:paraId="107C192F">
      <w:pPr>
        <w:keepNext w:val="0"/>
        <w:keepLines w:val="0"/>
        <w:pageBreakBefore w:val="0"/>
        <w:widowControl w:val="0"/>
        <w:numPr>
          <w:ilvl w:val="0"/>
          <w:numId w:val="0"/>
        </w:numPr>
        <w:kinsoku/>
        <w:wordWrap/>
        <w:overflowPunct/>
        <w:topLinePunct w:val="0"/>
        <w:bidi w:val="0"/>
        <w:snapToGrid w:val="0"/>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0"/>
          <w:sz w:val="32"/>
          <w:szCs w:val="32"/>
          <w:lang w:eastAsia="zh-CN"/>
        </w:rPr>
        <w:t>区市场监管局贯彻落实党中央关于市场监督管理工作的方针政策和省委、市委、区委的决策部署，在履行职责过程中加强对市场监督管理工作的集中统一领导</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其主要职能有：</w:t>
      </w:r>
      <w:r>
        <w:rPr>
          <w:rFonts w:hint="default" w:ascii="Times New Roman" w:hAnsi="Times New Roman" w:eastAsia="仿宋_GB2312" w:cs="Times New Roman"/>
          <w:sz w:val="32"/>
          <w:szCs w:val="32"/>
        </w:rPr>
        <w:t>1</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eastAsia="zh-CN"/>
        </w:rPr>
        <w:t>负责全区市场综合监督管理工作</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负责全区市场主体统一登记注册</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负责组织和指导全区市场监管综合执法工作</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负责全区反垄断统一执法</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eastAsia="zh-CN"/>
        </w:rPr>
        <w:t>负责监督管理全区市场秩序</w:t>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eastAsia="zh-CN"/>
        </w:rPr>
        <w:t>负责全区宏观质量管理</w:t>
      </w: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lang w:eastAsia="zh-CN"/>
        </w:rPr>
        <w:t>负责全区</w:t>
      </w:r>
      <w:r>
        <w:rPr>
          <w:rFonts w:hint="eastAsia" w:eastAsia="仿宋_GB2312" w:cs="Times New Roman"/>
          <w:sz w:val="32"/>
          <w:szCs w:val="32"/>
          <w:lang w:eastAsia="zh-CN"/>
        </w:rPr>
        <w:t>产品</w:t>
      </w:r>
      <w:r>
        <w:rPr>
          <w:rFonts w:hint="default" w:ascii="Times New Roman" w:hAnsi="Times New Roman" w:eastAsia="仿宋_GB2312" w:cs="Times New Roman"/>
          <w:sz w:val="32"/>
          <w:szCs w:val="32"/>
          <w:lang w:eastAsia="zh-CN"/>
        </w:rPr>
        <w:t>质量安全监督管理</w:t>
      </w: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lang w:eastAsia="zh-CN"/>
        </w:rPr>
        <w:t>负责全区特种设备安全监督管理</w:t>
      </w: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lang w:eastAsia="zh-CN"/>
        </w:rPr>
        <w:t>负责全区食品安全监督管理综合协调；</w:t>
      </w:r>
      <w:r>
        <w:rPr>
          <w:rFonts w:hint="default" w:ascii="Times New Roman" w:hAnsi="Times New Roman" w:eastAsia="仿宋_GB2312" w:cs="Times New Roman"/>
          <w:sz w:val="32"/>
          <w:szCs w:val="32"/>
          <w:lang w:val="en-US" w:eastAsia="zh-CN"/>
        </w:rPr>
        <w:t>10</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eastAsia="zh-CN"/>
        </w:rPr>
        <w:t>负责全区食品安全监督管理；</w:t>
      </w:r>
      <w:r>
        <w:rPr>
          <w:rFonts w:hint="default" w:ascii="Times New Roman" w:hAnsi="Times New Roman" w:eastAsia="仿宋_GB2312" w:cs="Times New Roman"/>
          <w:sz w:val="32"/>
          <w:szCs w:val="32"/>
          <w:lang w:val="en-US" w:eastAsia="zh-CN"/>
        </w:rPr>
        <w:t>11</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负责统一管理全区计量工作；12</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负责统一管理全区标准化工作；13</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负责统一管理全区检验检测工作；14</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负责统一管理全区认证认可工作；15</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负责市场监督管理科技和信息化建设；16</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负责全区药品、医疗器械和化妆品安全监督管理；17</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负责全区知识产权战略和规划的制定，负责知识产权的保护，负责组织指导商标、专利执法工作；18</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贯彻落实中央、省委、市委和区委关于加强民营经济党组织建设有关要求</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19</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负责职责范围内的安全生产和职业健康、生态环境保护、审批服务便民等工作；20</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完成区委区政府交办的其他任务。</w:t>
      </w:r>
    </w:p>
    <w:bookmarkEnd w:id="19"/>
    <w:bookmarkEnd w:id="20"/>
    <w:p w14:paraId="5C18A335">
      <w:pPr>
        <w:keepNext w:val="0"/>
        <w:keepLines w:val="0"/>
        <w:pageBreakBefore w:val="0"/>
        <w:widowControl w:val="0"/>
        <w:kinsoku/>
        <w:wordWrap/>
        <w:overflowPunct/>
        <w:topLinePunct w:val="0"/>
        <w:bidi w:val="0"/>
        <w:snapToGrid w:val="0"/>
        <w:spacing w:line="576" w:lineRule="exact"/>
        <w:ind w:firstLine="640" w:firstLineChars="200"/>
        <w:jc w:val="both"/>
        <w:textAlignment w:val="auto"/>
        <w:rPr>
          <w:rFonts w:hint="default" w:ascii="Times New Roman" w:hAnsi="Times New Roman" w:eastAsia="楷体_GB2312" w:cs="Times New Roman"/>
          <w:kern w:val="0"/>
          <w:sz w:val="32"/>
          <w:szCs w:val="32"/>
          <w:lang w:eastAsia="zh-CN"/>
        </w:rPr>
      </w:pPr>
      <w:bookmarkStart w:id="23" w:name="_Toc32187"/>
      <w:r>
        <w:rPr>
          <w:rFonts w:hint="eastAsia" w:ascii="Times New Roman" w:hAnsi="Times New Roman" w:eastAsia="楷体_GB2312" w:cs="Times New Roman"/>
          <w:kern w:val="0"/>
          <w:sz w:val="32"/>
          <w:szCs w:val="32"/>
          <w:lang w:val="en-US" w:eastAsia="zh-CN"/>
        </w:rPr>
        <w:t>（二）</w:t>
      </w:r>
      <w:r>
        <w:rPr>
          <w:rFonts w:hint="default" w:ascii="Times New Roman" w:hAnsi="Times New Roman" w:eastAsia="楷体_GB2312" w:cs="Times New Roman"/>
          <w:kern w:val="0"/>
          <w:sz w:val="32"/>
          <w:szCs w:val="32"/>
          <w:lang w:val="en-US" w:eastAsia="zh-CN"/>
        </w:rPr>
        <w:t>2021年重点</w:t>
      </w:r>
      <w:r>
        <w:rPr>
          <w:rFonts w:hint="default" w:ascii="Times New Roman" w:hAnsi="Times New Roman" w:eastAsia="楷体_GB2312" w:cs="Times New Roman"/>
          <w:kern w:val="0"/>
          <w:sz w:val="32"/>
          <w:szCs w:val="32"/>
        </w:rPr>
        <w:t>工作</w:t>
      </w:r>
      <w:r>
        <w:rPr>
          <w:rFonts w:hint="default" w:ascii="Times New Roman" w:hAnsi="Times New Roman" w:eastAsia="楷体_GB2312" w:cs="Times New Roman"/>
          <w:kern w:val="0"/>
          <w:sz w:val="32"/>
          <w:szCs w:val="32"/>
          <w:lang w:eastAsia="zh-CN"/>
        </w:rPr>
        <w:t>完成情况</w:t>
      </w:r>
      <w:bookmarkEnd w:id="23"/>
    </w:p>
    <w:p w14:paraId="74B437FA">
      <w:pPr>
        <w:pStyle w:val="8"/>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b w:val="0"/>
          <w:bCs w:val="0"/>
          <w:color w:val="auto"/>
          <w:spacing w:val="0"/>
          <w:sz w:val="32"/>
          <w:szCs w:val="32"/>
          <w:lang w:val="en-US" w:eastAsia="zh-CN"/>
        </w:rPr>
      </w:pPr>
      <w:r>
        <w:rPr>
          <w:rFonts w:hint="default" w:ascii="Times New Roman" w:hAnsi="Times New Roman" w:eastAsia="仿宋_GB2312" w:cs="Times New Roman"/>
          <w:b w:val="0"/>
          <w:bCs w:val="0"/>
          <w:color w:val="auto"/>
          <w:spacing w:val="0"/>
          <w:sz w:val="32"/>
          <w:szCs w:val="32"/>
          <w:lang w:val="en-US" w:eastAsia="zh-CN"/>
        </w:rPr>
        <w:t>1</w:t>
      </w:r>
      <w:r>
        <w:rPr>
          <w:rFonts w:hint="eastAsia" w:ascii="Times New Roman" w:hAnsi="Times New Roman" w:eastAsia="仿宋_GB2312" w:cs="Times New Roman"/>
          <w:b w:val="0"/>
          <w:bCs w:val="0"/>
          <w:color w:val="auto"/>
          <w:spacing w:val="0"/>
          <w:sz w:val="32"/>
          <w:szCs w:val="32"/>
          <w:lang w:val="en-US" w:eastAsia="zh-CN"/>
        </w:rPr>
        <w:t>.</w:t>
      </w:r>
      <w:r>
        <w:rPr>
          <w:rFonts w:hint="default" w:ascii="Times New Roman" w:hAnsi="Times New Roman" w:eastAsia="仿宋_GB2312" w:cs="Times New Roman"/>
          <w:b w:val="0"/>
          <w:bCs w:val="0"/>
          <w:color w:val="auto"/>
          <w:spacing w:val="0"/>
          <w:sz w:val="32"/>
          <w:szCs w:val="32"/>
          <w:lang w:val="en-US" w:eastAsia="zh-CN"/>
        </w:rPr>
        <w:t>市场乱象整治到位。一是春雷行动再创佳绩。在“春雷行动2021”中，全区累计立案139件，万元以上大要案件22件，较去年增长175%，上报典型案件16件，罚没款40余万元。被评为全省“春雷行动”暨冷链物流疫情防控专项执法行动先进集体和全市2018-2020扫黑除恶专项斗争先进集体，并在全市春雷行动总结会议上作了经验交流发言。区委区政府主要领导先后三次对“春雷行动2021”作出肯定性批示。二是“长江禁渔”亮点纷呈。创新引入第三方通过电话订餐、咨询等方式，了解当前涉鱼经营主体存在的问题。全年查办各类案件18件，罚没款6万余元。查获的柯某销售长江流域重点水域非法捕捞渔获物案件，为全市销售长江流域非法禁捕渔获物第一案，被评为广元市十大典型案件。三是“铁拳行动”推进有力。全年累计查办各类案件28件，罚没款18万余元。成功查办省市场监管局交办的广元市昭化区毛娃子生态鱼庄利用虚假的价格手段诱骗消费者进行交易案。</w:t>
      </w:r>
    </w:p>
    <w:p w14:paraId="2F83E9B7">
      <w:pPr>
        <w:pStyle w:val="8"/>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b w:val="0"/>
          <w:bCs w:val="0"/>
          <w:color w:val="auto"/>
          <w:spacing w:val="0"/>
          <w:sz w:val="32"/>
          <w:szCs w:val="32"/>
          <w:lang w:val="en-US" w:eastAsia="zh-CN"/>
        </w:rPr>
      </w:pPr>
      <w:r>
        <w:rPr>
          <w:rFonts w:hint="default" w:ascii="Times New Roman" w:hAnsi="Times New Roman" w:eastAsia="仿宋_GB2312" w:cs="Times New Roman"/>
          <w:b w:val="0"/>
          <w:bCs w:val="0"/>
          <w:color w:val="auto"/>
          <w:spacing w:val="0"/>
          <w:sz w:val="32"/>
          <w:szCs w:val="32"/>
          <w:lang w:val="en-US" w:eastAsia="zh-CN"/>
        </w:rPr>
        <w:t>2</w:t>
      </w:r>
      <w:r>
        <w:rPr>
          <w:rFonts w:hint="eastAsia" w:ascii="Times New Roman" w:hAnsi="Times New Roman" w:eastAsia="仿宋_GB2312" w:cs="Times New Roman"/>
          <w:b w:val="0"/>
          <w:bCs w:val="0"/>
          <w:color w:val="auto"/>
          <w:spacing w:val="0"/>
          <w:sz w:val="32"/>
          <w:szCs w:val="32"/>
          <w:lang w:val="en-US" w:eastAsia="zh-CN"/>
        </w:rPr>
        <w:t>.</w:t>
      </w:r>
      <w:r>
        <w:rPr>
          <w:rFonts w:hint="default" w:ascii="Times New Roman" w:hAnsi="Times New Roman" w:eastAsia="仿宋_GB2312" w:cs="Times New Roman"/>
          <w:b w:val="0"/>
          <w:bCs w:val="0"/>
          <w:color w:val="auto"/>
          <w:spacing w:val="0"/>
          <w:sz w:val="32"/>
          <w:szCs w:val="32"/>
          <w:lang w:val="en-US" w:eastAsia="zh-CN"/>
        </w:rPr>
        <w:t>营商环境持续优化。在全市率先出台《广元市昭化区市场监督管理局优化营商环境助力昭化经济发展十条措施》，从6个方面提出要求。区委书记刘自强对“十条措施”作出了肯定性批示。一是“证照分离”改革深入推进。企业注册登记实现“一网通办”“川渝通办”“跨省通办”，新开办企业印章刻制政府“买单”</w:t>
      </w:r>
      <w:r>
        <w:rPr>
          <w:rFonts w:hint="eastAsia" w:ascii="Times New Roman" w:hAnsi="Times New Roman" w:eastAsia="仿宋_GB2312" w:cs="Times New Roman"/>
          <w:b w:val="0"/>
          <w:bCs w:val="0"/>
          <w:color w:val="auto"/>
          <w:spacing w:val="0"/>
          <w:sz w:val="32"/>
          <w:szCs w:val="32"/>
          <w:lang w:val="en-US" w:eastAsia="zh-CN"/>
        </w:rPr>
        <w:t>，</w:t>
      </w:r>
      <w:r>
        <w:rPr>
          <w:rFonts w:hint="default" w:ascii="Times New Roman" w:hAnsi="Times New Roman" w:eastAsia="仿宋_GB2312" w:cs="Times New Roman"/>
          <w:b w:val="0"/>
          <w:bCs w:val="0"/>
          <w:color w:val="auto"/>
          <w:spacing w:val="0"/>
          <w:sz w:val="32"/>
          <w:szCs w:val="32"/>
          <w:lang w:val="en-US" w:eastAsia="zh-CN"/>
        </w:rPr>
        <w:t>进入“零费用”时代，登记时间从1.5个工作日压缩至4小时。探索将小作坊小经营店备案下放至6个试点镇办理。全年累计核准设立登记各类市场主体837户，发出了全市首张“跨省通办”营业执照，政务服务窗口王建平同志被评为“全省政务服务明星”。二是“双随机、一公开”工作有序开展。印发《广元市昭化区2021年市场监管领域“双随机、一公开”监管计划》，召开“双随机、一公开”监管工作推进会和联席会3次。全年全区共开展市场监管领域“双随机、一公开”抽查检查79次，抽查事项355项，抽取市场主体962家，抽取执法人员184人，录入公示962家。三是柔性执法理念牢固树立。坚持行政处罚与规范教育相结合的原则，丰富行政约谈、行政建议、行政指导方式方法，实行“首违不罚”行政执法制度，慎用行政处罚和行政强制。探索出以“543”为核心内容的“双随机”抽查工作昭化经验和“首违不罚”“4533”柔性执法昭化市监模式，被列入全区依法治区示范试点典型案例。区委副书记、区政府区长王静对“首违不罚”作出了肯定性批示。四是知识产权保护有力。出台知识产权保护管理二十二条措施，成立知识产权保护非诉纠纷投诉调解站（点）6个，引导企业申请商标注册67件、专利16件，推动冰鸟、食典豆豆香、广旺机制公司等企业发明专利获市政府促进项目资助资金17万元，提升了企业对专利的转化使用率。五是公平竞争审查工作稳步推动。组织召开公平竞争审查工作联席会议2次，安排部署重点工作，明确目标任务。出台公平竞争审查投诉举报受理回应机制等“四项制度”，重点对涉及市场准入、产业发展、招商引资、招标投标、政府采购等市场主体经济活动的规范性文件，按照“谁制定、谁审查”的原则进行严格审核把关，切实维护公平竞争的市场秩序。全年累计清理审查文件172个，涉及市场主体105个，审查符合标准的103个，修改1个，废止1个。我局公平竞争审查工作经验在全市交流发言。四川乡村频道制作《深化“放管服”改革，打造最优营商环境》新闻片，专题报道我局优化营商环境工作。</w:t>
      </w:r>
    </w:p>
    <w:p w14:paraId="7C79F236">
      <w:pPr>
        <w:pStyle w:val="8"/>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b w:val="0"/>
          <w:bCs w:val="0"/>
          <w:color w:val="auto"/>
          <w:spacing w:val="0"/>
          <w:sz w:val="32"/>
          <w:szCs w:val="32"/>
          <w:lang w:val="en-US" w:eastAsia="zh-CN"/>
        </w:rPr>
      </w:pPr>
      <w:r>
        <w:rPr>
          <w:rFonts w:hint="default" w:ascii="Times New Roman" w:hAnsi="Times New Roman" w:eastAsia="仿宋_GB2312" w:cs="Times New Roman"/>
          <w:b w:val="0"/>
          <w:bCs w:val="0"/>
          <w:color w:val="auto"/>
          <w:spacing w:val="0"/>
          <w:sz w:val="32"/>
          <w:szCs w:val="32"/>
          <w:lang w:val="en-US" w:eastAsia="zh-CN"/>
        </w:rPr>
        <w:t>3</w:t>
      </w:r>
      <w:r>
        <w:rPr>
          <w:rFonts w:hint="eastAsia" w:ascii="Times New Roman" w:hAnsi="Times New Roman" w:eastAsia="仿宋_GB2312" w:cs="Times New Roman"/>
          <w:b w:val="0"/>
          <w:bCs w:val="0"/>
          <w:color w:val="auto"/>
          <w:spacing w:val="0"/>
          <w:sz w:val="32"/>
          <w:szCs w:val="32"/>
          <w:lang w:val="en-US" w:eastAsia="zh-CN"/>
        </w:rPr>
        <w:t>.</w:t>
      </w:r>
      <w:r>
        <w:rPr>
          <w:rFonts w:hint="default" w:ascii="Times New Roman" w:hAnsi="Times New Roman" w:eastAsia="仿宋_GB2312" w:cs="Times New Roman"/>
          <w:b w:val="0"/>
          <w:bCs w:val="0"/>
          <w:color w:val="auto"/>
          <w:spacing w:val="0"/>
          <w:sz w:val="32"/>
          <w:szCs w:val="32"/>
          <w:lang w:val="en-US" w:eastAsia="zh-CN"/>
        </w:rPr>
        <w:t>安全监管防线越筑越牢。一是食品安全持续向好。围绕重点区域，聚焦重点时段，盯紧重点产品，全年累计检查各类食品生产经营单位9000余家次，实施重大活动食品安全保障行动40余次；完成食品、食用农产品抽检1046批次，任务完成率188%。成功承办全市乡镇（街道）食品安全工作规范化建设现场推进会。卫子镇在会议现场测评中位列全市第一。全区连续13年未发生一般及以上食品安全责任事故。被评为四川省食品安全工作先进集体。二是药械化安全形势稳定。开展新冠疫苗、防疫用医疗器械等专项整治17次，对辖区413家药械化经营使用单位进行全覆盖监督检查，查办违法案件21件，完成药械化监督抽检14批次、不良反应上报241例。召开药械化安全监管业务培训会4次，约谈会1次，开展药械化相关法律法规及科普知识宣传8场次。进一步增强涉药械化单位的责任意识、法律意识、安全意识，确保群众用药用械用妆安全有效。三是特种设备安全平稳有序。召开全区特种设备安全工作联席会1次、风险分析会1次、约谈会2次，强化特种设备使用单位的安全主体责任意识。通过“安全宣传咨询日”“安心乘梯守护进社区”等活动，向群众宣传讲解特种设备安全知识，提高对特种设备的认知。针对春节、“两会”、中高考、五一、中秋、国庆等重点时段，以及建筑施工、危化品、医疗机构等重点领域，持续开展各类特种设备安全隐患排查整治，全年累计检查特种设备使用单位108家次，抽查设备100余台件，下发特种设备安全监察指令书47份，消除安全隐患47处。四是工业产品质量稳定可靠。协助开展省、市双随机产品抽检，严厉打击不符合强制性国家标准、以次充好等情况，全年开展工业产品抽检51批次，立案5件。开展农资、烟花爆竹、食品相关产品、低速电动车、检验检测机构、货车非法改装等专项检查，累计排查各类市场主体75家，责令无车辆已执行证书及无铭牌电动车下架返厂2辆。完成计量器具备案125家，强检计量器具2208台（件），组织上门检定在用计量器具700台（件）。</w:t>
      </w:r>
    </w:p>
    <w:p w14:paraId="47A7D2F0">
      <w:pPr>
        <w:pStyle w:val="8"/>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b w:val="0"/>
          <w:bCs w:val="0"/>
          <w:color w:val="auto"/>
          <w:spacing w:val="0"/>
          <w:sz w:val="32"/>
          <w:szCs w:val="32"/>
          <w:lang w:val="en-US" w:eastAsia="zh-CN"/>
        </w:rPr>
      </w:pPr>
      <w:r>
        <w:rPr>
          <w:rFonts w:hint="default" w:ascii="Times New Roman" w:hAnsi="Times New Roman" w:eastAsia="仿宋_GB2312" w:cs="Times New Roman"/>
          <w:b w:val="0"/>
          <w:bCs w:val="0"/>
          <w:color w:val="auto"/>
          <w:spacing w:val="0"/>
          <w:sz w:val="32"/>
          <w:szCs w:val="32"/>
          <w:lang w:val="en-US" w:eastAsia="zh-CN"/>
        </w:rPr>
        <w:t>4</w:t>
      </w:r>
      <w:r>
        <w:rPr>
          <w:rFonts w:hint="eastAsia" w:ascii="Times New Roman" w:hAnsi="Times New Roman" w:eastAsia="仿宋_GB2312" w:cs="Times New Roman"/>
          <w:b w:val="0"/>
          <w:bCs w:val="0"/>
          <w:color w:val="auto"/>
          <w:spacing w:val="0"/>
          <w:sz w:val="32"/>
          <w:szCs w:val="32"/>
          <w:lang w:val="en-US" w:eastAsia="zh-CN"/>
        </w:rPr>
        <w:t>.</w:t>
      </w:r>
      <w:r>
        <w:rPr>
          <w:rFonts w:hint="default" w:ascii="Times New Roman" w:hAnsi="Times New Roman" w:eastAsia="仿宋_GB2312" w:cs="Times New Roman"/>
          <w:b w:val="0"/>
          <w:bCs w:val="0"/>
          <w:color w:val="auto"/>
          <w:spacing w:val="0"/>
          <w:sz w:val="32"/>
          <w:szCs w:val="32"/>
          <w:lang w:val="en-US" w:eastAsia="zh-CN"/>
        </w:rPr>
        <w:t>疫情防控战役取得实效。一是强化冷链物流监管。启用昭化区进口冷链食品集中监管仓，严格落实冷库库长责任制、集中监管仓进仓出仓制度等过程管理，累计3家企业入仓，进口冷链食品共计16批次共259.89吨。二是强化从业人员疫情防控。实行进口冷链食品从业人员和市场监管一线人员每周全覆盖核酸检测，全年累计采样检测4200余份次，结果均呈阴性。大力推进冷链食品和药品相关从业人员疫苗接种工作，做到应接尽接。三是强化常态化疫情防控措施。发动机关干部实行分片包干责任制，上门指导督促农贸市场、食品经营类小超市、药店等场所严格落实“健康码、行程码”双码联查、扫场所码、测量体温、佩戴口罩等措施；要求全区食品企业加强疫情防控“五有”建设。四是强化药械零售管控。督促各零售药店切实发挥好“哨点”作用，认真执行止咳、退烧、抗生素、抗病毒四类药品实名制登记销售制度。五是强化农村集体聚餐管理。督促各镇落实属地管理责任，严格管控农村坝坝宴等聚集性活动，倡导红事缓办、白事简办、不举办坝坝宴。</w:t>
      </w:r>
    </w:p>
    <w:p w14:paraId="1EAD6100">
      <w:pPr>
        <w:pStyle w:val="8"/>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b w:val="0"/>
          <w:bCs w:val="0"/>
          <w:color w:val="auto"/>
          <w:spacing w:val="0"/>
          <w:sz w:val="32"/>
          <w:szCs w:val="32"/>
          <w:lang w:val="en-US" w:eastAsia="zh-CN"/>
        </w:rPr>
      </w:pPr>
      <w:r>
        <w:rPr>
          <w:rFonts w:hint="default" w:ascii="Times New Roman" w:hAnsi="Times New Roman" w:eastAsia="仿宋_GB2312" w:cs="Times New Roman"/>
          <w:b w:val="0"/>
          <w:bCs w:val="0"/>
          <w:color w:val="auto"/>
          <w:spacing w:val="0"/>
          <w:sz w:val="32"/>
          <w:szCs w:val="32"/>
          <w:lang w:val="en-US" w:eastAsia="zh-CN"/>
        </w:rPr>
        <w:t>5</w:t>
      </w:r>
      <w:r>
        <w:rPr>
          <w:rFonts w:hint="eastAsia" w:ascii="Times New Roman" w:hAnsi="Times New Roman" w:eastAsia="仿宋_GB2312" w:cs="Times New Roman"/>
          <w:b w:val="0"/>
          <w:bCs w:val="0"/>
          <w:color w:val="auto"/>
          <w:spacing w:val="0"/>
          <w:sz w:val="32"/>
          <w:szCs w:val="32"/>
          <w:lang w:val="en-US" w:eastAsia="zh-CN"/>
        </w:rPr>
        <w:t>.</w:t>
      </w:r>
      <w:r>
        <w:rPr>
          <w:rFonts w:hint="default" w:ascii="Times New Roman" w:hAnsi="Times New Roman" w:eastAsia="仿宋_GB2312" w:cs="Times New Roman"/>
          <w:b w:val="0"/>
          <w:bCs w:val="0"/>
          <w:color w:val="auto"/>
          <w:spacing w:val="0"/>
          <w:sz w:val="32"/>
          <w:szCs w:val="32"/>
          <w:lang w:val="en-US" w:eastAsia="zh-CN"/>
        </w:rPr>
        <w:t>市场秩序更加规范。一是大力开展放心舒心消费创建。中国农业银行股份有限公司广元昭化支行等3家企业被认定为广元市第三批“放心舒心消费创建示范单位”；发展ODR企业1家；鼓励企业自愿承诺“七日内线下无理由退货”2家。二是切实维护消费者合法权益。修订《市场监督管理投诉举报办理规范流程》，完善了消费投诉举报工作机制。全年累计受理消费者咨询投诉举报426件，办结率99.77%，为消费者挽回经济损失28.5万元。三是严格逗硬实施信用监管。积极推进2020年度市场主体年报公示工作，年报公示率87.88%。根据“双随机、一公开”抽查情况，依法将21家企业列入经营异常名录，并通过国家企业信用信息公示系统向社会公示。按规定对失信企业进行信用修复，移出经营异常名录共计111家。为相关单位及个人进行信用核查40余次，涉及企业300余家、个人3000余人。通过强化信用约束措施，采取市场准入限制、任职资格限制，形成“一处违法、处处受限”的局面。四是持续做好价格监测预警。出台《广元市昭化区餐饮业明码标价管理规定》《广元市昭化区酒店客房明码标价管理规定》，推动重点行业领域价格公示。围绕元旦、春节、五</w:t>
      </w:r>
      <w:r>
        <w:rPr>
          <w:rFonts w:hint="eastAsia" w:ascii="Times New Roman" w:hAnsi="Times New Roman" w:eastAsia="仿宋_GB2312" w:cs="Times New Roman"/>
          <w:b w:val="0"/>
          <w:bCs w:val="0"/>
          <w:color w:val="auto"/>
          <w:spacing w:val="0"/>
          <w:sz w:val="32"/>
          <w:szCs w:val="32"/>
          <w:lang w:val="en-US" w:eastAsia="zh-CN"/>
        </w:rPr>
        <w:t>·</w:t>
      </w:r>
      <w:r>
        <w:rPr>
          <w:rFonts w:hint="default" w:ascii="Times New Roman" w:hAnsi="Times New Roman" w:eastAsia="仿宋_GB2312" w:cs="Times New Roman"/>
          <w:b w:val="0"/>
          <w:bCs w:val="0"/>
          <w:color w:val="auto"/>
          <w:spacing w:val="0"/>
          <w:sz w:val="32"/>
          <w:szCs w:val="32"/>
          <w:lang w:val="en-US" w:eastAsia="zh-CN"/>
        </w:rPr>
        <w:t>一、十</w:t>
      </w:r>
      <w:r>
        <w:rPr>
          <w:rFonts w:hint="eastAsia" w:ascii="Times New Roman" w:hAnsi="Times New Roman" w:eastAsia="仿宋_GB2312" w:cs="Times New Roman"/>
          <w:b w:val="0"/>
          <w:bCs w:val="0"/>
          <w:color w:val="auto"/>
          <w:spacing w:val="0"/>
          <w:sz w:val="32"/>
          <w:szCs w:val="32"/>
          <w:lang w:val="en-US" w:eastAsia="zh-CN"/>
        </w:rPr>
        <w:t>·</w:t>
      </w:r>
      <w:r>
        <w:rPr>
          <w:rFonts w:hint="default" w:ascii="Times New Roman" w:hAnsi="Times New Roman" w:eastAsia="仿宋_GB2312" w:cs="Times New Roman"/>
          <w:b w:val="0"/>
          <w:bCs w:val="0"/>
          <w:color w:val="auto"/>
          <w:spacing w:val="0"/>
          <w:sz w:val="32"/>
          <w:szCs w:val="32"/>
          <w:lang w:val="en-US" w:eastAsia="zh-CN"/>
        </w:rPr>
        <w:t>一等重要时段，以“双随机”为主要方式，重点对物业管理、工业集中区、公用企业、防疫物资价格开展治理，指导明码标价165家，立案查处价格欺诈案1件，处罚款5万元，约谈供气企业2家。</w:t>
      </w:r>
    </w:p>
    <w:p w14:paraId="126C6EF0">
      <w:pPr>
        <w:pStyle w:val="8"/>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b w:val="0"/>
          <w:bCs w:val="0"/>
          <w:color w:val="auto"/>
          <w:spacing w:val="0"/>
          <w:sz w:val="32"/>
          <w:szCs w:val="32"/>
          <w:lang w:val="en-US" w:eastAsia="zh-CN"/>
        </w:rPr>
      </w:pPr>
      <w:r>
        <w:rPr>
          <w:rFonts w:hint="default" w:ascii="Times New Roman" w:hAnsi="Times New Roman" w:eastAsia="仿宋_GB2312" w:cs="Times New Roman"/>
          <w:b w:val="0"/>
          <w:bCs w:val="0"/>
          <w:color w:val="auto"/>
          <w:spacing w:val="0"/>
          <w:sz w:val="32"/>
          <w:szCs w:val="32"/>
          <w:lang w:val="en-US" w:eastAsia="zh-CN"/>
        </w:rPr>
        <w:t>6</w:t>
      </w:r>
      <w:r>
        <w:rPr>
          <w:rFonts w:hint="eastAsia" w:ascii="Times New Roman" w:hAnsi="Times New Roman" w:eastAsia="仿宋_GB2312" w:cs="Times New Roman"/>
          <w:b w:val="0"/>
          <w:bCs w:val="0"/>
          <w:color w:val="auto"/>
          <w:spacing w:val="0"/>
          <w:sz w:val="32"/>
          <w:szCs w:val="32"/>
          <w:lang w:val="en-US" w:eastAsia="zh-CN"/>
        </w:rPr>
        <w:t>.</w:t>
      </w:r>
      <w:r>
        <w:rPr>
          <w:rFonts w:hint="default" w:ascii="Times New Roman" w:hAnsi="Times New Roman" w:eastAsia="仿宋_GB2312" w:cs="Times New Roman"/>
          <w:b w:val="0"/>
          <w:bCs w:val="0"/>
          <w:color w:val="auto"/>
          <w:spacing w:val="0"/>
          <w:sz w:val="32"/>
          <w:szCs w:val="32"/>
          <w:lang w:val="en-US" w:eastAsia="zh-CN"/>
        </w:rPr>
        <w:t>质量品牌建设高速推进。积极承办广元市“质量月”暨“质量开放日”活动启动仪式，市、区领导、各县区相关部门、企业代表集体参观中</w:t>
      </w:r>
      <w:r>
        <w:rPr>
          <w:rFonts w:hint="eastAsia" w:ascii="Times New Roman" w:hAnsi="Times New Roman" w:eastAsia="仿宋_GB2312" w:cs="Times New Roman"/>
          <w:b w:val="0"/>
          <w:bCs w:val="0"/>
          <w:color w:val="auto"/>
          <w:spacing w:val="0"/>
          <w:sz w:val="32"/>
          <w:szCs w:val="32"/>
          <w:lang w:val="en-US" w:eastAsia="zh-CN"/>
        </w:rPr>
        <w:t>纺</w:t>
      </w:r>
      <w:r>
        <w:rPr>
          <w:rFonts w:hint="default" w:ascii="Times New Roman" w:hAnsi="Times New Roman" w:eastAsia="仿宋_GB2312" w:cs="Times New Roman"/>
          <w:b w:val="0"/>
          <w:bCs w:val="0"/>
          <w:color w:val="auto"/>
          <w:spacing w:val="0"/>
          <w:sz w:val="32"/>
          <w:szCs w:val="32"/>
          <w:lang w:val="en-US" w:eastAsia="zh-CN"/>
        </w:rPr>
        <w:t>粮油（广元）有限公司质量管理情况。组织辖区有机认证企业参加“四川省有机产品认证宣传周”启动仪式，进一步提升了企业质量意识。持续推进质量技术基础建设，以“中国品牌日”“质量月”“广元工匠”评选等活动为抓手，推动企业开展标准、认证认可、知识产权等提升工作。对标对表全力推进全国有机产品认证示范市创建，召开工作推进会2次，业务培训会1次，推动全区有机产品认证和产业发展。截至目前，处于有效期和通过现场检查的企业27家</w:t>
      </w:r>
      <w:r>
        <w:rPr>
          <w:rFonts w:hint="eastAsia" w:ascii="Times New Roman" w:hAnsi="Times New Roman" w:eastAsia="仿宋_GB2312" w:cs="Times New Roman"/>
          <w:b w:val="0"/>
          <w:bCs w:val="0"/>
          <w:color w:val="auto"/>
          <w:spacing w:val="0"/>
          <w:sz w:val="32"/>
          <w:szCs w:val="32"/>
          <w:lang w:val="en-US" w:eastAsia="zh-CN"/>
        </w:rPr>
        <w:t>和</w:t>
      </w:r>
      <w:r>
        <w:rPr>
          <w:rFonts w:hint="default" w:ascii="Times New Roman" w:hAnsi="Times New Roman" w:eastAsia="仿宋_GB2312" w:cs="Times New Roman"/>
          <w:b w:val="0"/>
          <w:bCs w:val="0"/>
          <w:color w:val="auto"/>
          <w:spacing w:val="0"/>
          <w:sz w:val="32"/>
          <w:szCs w:val="32"/>
          <w:lang w:val="en-US" w:eastAsia="zh-CN"/>
        </w:rPr>
        <w:t>有机产品认证</w:t>
      </w:r>
      <w:r>
        <w:rPr>
          <w:rFonts w:hint="eastAsia" w:ascii="Times New Roman" w:hAnsi="Times New Roman" w:eastAsia="仿宋_GB2312" w:cs="Times New Roman"/>
          <w:b w:val="0"/>
          <w:bCs w:val="0"/>
          <w:color w:val="auto"/>
          <w:spacing w:val="0"/>
          <w:sz w:val="32"/>
          <w:szCs w:val="32"/>
          <w:lang w:val="en-US" w:eastAsia="zh-CN"/>
        </w:rPr>
        <w:t>证书</w:t>
      </w:r>
      <w:r>
        <w:rPr>
          <w:rFonts w:hint="default" w:ascii="Times New Roman" w:hAnsi="Times New Roman" w:eastAsia="仿宋_GB2312" w:cs="Times New Roman"/>
          <w:b w:val="0"/>
          <w:bCs w:val="0"/>
          <w:color w:val="auto"/>
          <w:spacing w:val="0"/>
          <w:sz w:val="32"/>
          <w:szCs w:val="32"/>
          <w:lang w:val="en-US" w:eastAsia="zh-CN"/>
        </w:rPr>
        <w:t>29张，共15个品种39个产品，认证面积达1364.118公顷，实际年产量2987吨，实际年产值3440.5万元，兑现有机产品获证企业奖补资金22.919万元，认证面积和产量均稳步推进中。</w:t>
      </w:r>
    </w:p>
    <w:p w14:paraId="7BDB9901">
      <w:pPr>
        <w:pStyle w:val="8"/>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b w:val="0"/>
          <w:bCs w:val="0"/>
          <w:color w:val="auto"/>
          <w:spacing w:val="0"/>
          <w:sz w:val="32"/>
          <w:szCs w:val="32"/>
          <w:lang w:val="en-US" w:eastAsia="zh-CN"/>
        </w:rPr>
      </w:pPr>
      <w:r>
        <w:rPr>
          <w:rFonts w:hint="default" w:ascii="Times New Roman" w:hAnsi="Times New Roman" w:eastAsia="仿宋_GB2312" w:cs="Times New Roman"/>
          <w:b w:val="0"/>
          <w:bCs w:val="0"/>
          <w:color w:val="auto"/>
          <w:spacing w:val="0"/>
          <w:sz w:val="32"/>
          <w:szCs w:val="32"/>
          <w:lang w:val="en-US" w:eastAsia="zh-CN"/>
        </w:rPr>
        <w:t>7</w:t>
      </w:r>
      <w:r>
        <w:rPr>
          <w:rFonts w:hint="eastAsia" w:ascii="Times New Roman" w:hAnsi="Times New Roman" w:eastAsia="仿宋_GB2312" w:cs="Times New Roman"/>
          <w:b w:val="0"/>
          <w:bCs w:val="0"/>
          <w:color w:val="auto"/>
          <w:spacing w:val="0"/>
          <w:sz w:val="32"/>
          <w:szCs w:val="32"/>
          <w:lang w:val="en-US" w:eastAsia="zh-CN"/>
        </w:rPr>
        <w:t>.全</w:t>
      </w:r>
      <w:r>
        <w:rPr>
          <w:rFonts w:hint="default" w:ascii="Times New Roman" w:hAnsi="Times New Roman" w:eastAsia="仿宋_GB2312" w:cs="Times New Roman"/>
          <w:b w:val="0"/>
          <w:bCs w:val="0"/>
          <w:color w:val="auto"/>
          <w:spacing w:val="0"/>
          <w:sz w:val="32"/>
          <w:szCs w:val="32"/>
          <w:lang w:val="en-US" w:eastAsia="zh-CN"/>
        </w:rPr>
        <w:t>面从严治党走深走实。一是自觉履行主体责任。局党组会议专题研究党建和党风廉政建设9次，指导解决突出问题16个。党组理论学习中心组</w:t>
      </w:r>
      <w:r>
        <w:rPr>
          <w:rFonts w:hint="eastAsia" w:ascii="Times New Roman" w:hAnsi="Times New Roman" w:eastAsia="仿宋_GB2312" w:cs="Times New Roman"/>
          <w:b w:val="0"/>
          <w:bCs w:val="0"/>
          <w:color w:val="auto"/>
          <w:spacing w:val="0"/>
          <w:sz w:val="32"/>
          <w:szCs w:val="32"/>
          <w:lang w:val="en-US" w:eastAsia="zh-CN"/>
        </w:rPr>
        <w:t>织</w:t>
      </w:r>
      <w:r>
        <w:rPr>
          <w:rFonts w:hint="default" w:ascii="Times New Roman" w:hAnsi="Times New Roman" w:eastAsia="仿宋_GB2312" w:cs="Times New Roman"/>
          <w:b w:val="0"/>
          <w:bCs w:val="0"/>
          <w:color w:val="auto"/>
          <w:spacing w:val="0"/>
          <w:sz w:val="32"/>
          <w:szCs w:val="32"/>
          <w:lang w:val="en-US" w:eastAsia="zh-CN"/>
        </w:rPr>
        <w:t>专题学习研讨6次，干部职工集中学习11次，组织开展党建工作专项督查2次。制定班子及班子成员落实党风廉政建设主体责任清单、权力风险防控清单13份。二是扎实开展党员思想教育。组织开展习近平总书记“七一”重要讲话精神、党的十九届五中、六中全会精神专题辅导3次，采取“领导干部带头学、机关党员跟进学”全覆盖模式，党组书记讲党课2次，班子成员讲专题党课8次，利用新媒体推送党史知识150余条，组织党员干部参观红色教育基地3次，各支部开展集中党史学习25次，党员干部研讨发言160余人次，撰写心得体会90余篇。三是聚焦聚力纪律作风建设。组织召开警示教育大会2次，集中观看警示教育片2次，通报违纪违法典型案例42件次，发布节假日廉洁公告10余条，党组书记讲廉政党课2次，组织党员干部到元坝党史馆等地开展党性、廉政教育5次。扎实开展“以案促改”，查找并整改问题16个。组织党员干部围绕12个方面查摆纪律作风问题356个，制定整改措施381条并严格整改落实。</w:t>
      </w:r>
    </w:p>
    <w:p w14:paraId="6CE39950">
      <w:pPr>
        <w:pStyle w:val="2"/>
        <w:keepNext w:val="0"/>
        <w:keepLines w:val="0"/>
        <w:pageBreakBefore w:val="0"/>
        <w:widowControl w:val="0"/>
        <w:kinsoku/>
        <w:wordWrap/>
        <w:overflowPunct/>
        <w:topLinePunct w:val="0"/>
        <w:bidi w:val="0"/>
        <w:spacing w:line="576" w:lineRule="exact"/>
        <w:ind w:firstLine="640" w:firstLineChars="200"/>
        <w:jc w:val="both"/>
        <w:textAlignment w:val="auto"/>
        <w:rPr>
          <w:rStyle w:val="40"/>
          <w:rFonts w:hint="eastAsia" w:ascii="黑体" w:hAnsi="黑体" w:eastAsia="黑体" w:cs="黑体"/>
          <w:b w:val="0"/>
          <w:bCs w:val="0"/>
          <w:i w:val="0"/>
          <w:caps w:val="0"/>
          <w:color w:val="000000"/>
          <w:spacing w:val="0"/>
          <w:w w:val="100"/>
          <w:kern w:val="2"/>
          <w:sz w:val="32"/>
          <w:szCs w:val="32"/>
          <w:lang w:val="en-US" w:eastAsia="zh-CN" w:bidi="ar-SA"/>
        </w:rPr>
      </w:pPr>
      <w:r>
        <w:rPr>
          <w:rStyle w:val="40"/>
          <w:rFonts w:hint="eastAsia" w:ascii="黑体" w:hAnsi="黑体" w:eastAsia="黑体" w:cs="黑体"/>
          <w:b w:val="0"/>
          <w:bCs w:val="0"/>
          <w:i w:val="0"/>
          <w:caps w:val="0"/>
          <w:color w:val="000000"/>
          <w:spacing w:val="0"/>
          <w:w w:val="100"/>
          <w:kern w:val="2"/>
          <w:sz w:val="32"/>
          <w:szCs w:val="32"/>
          <w:lang w:val="en-US" w:eastAsia="zh-CN" w:bidi="ar-SA"/>
        </w:rPr>
        <w:t>二、机构设置</w:t>
      </w:r>
    </w:p>
    <w:p w14:paraId="79FB7E43">
      <w:pPr>
        <w:pStyle w:val="2"/>
        <w:keepNext w:val="0"/>
        <w:keepLines w:val="0"/>
        <w:pageBreakBefore w:val="0"/>
        <w:widowControl w:val="0"/>
        <w:kinsoku/>
        <w:wordWrap/>
        <w:overflowPunct/>
        <w:topLinePunct w:val="0"/>
        <w:bidi w:val="0"/>
        <w:spacing w:line="576" w:lineRule="exact"/>
        <w:ind w:firstLine="640" w:firstLineChars="200"/>
        <w:jc w:val="both"/>
        <w:textAlignment w:val="auto"/>
        <w:rPr>
          <w:rFonts w:hint="default" w:ascii="Times New Roman" w:hAnsi="Times New Roman" w:eastAsia="黑体" w:cs="Times New Roman"/>
          <w:b w:val="0"/>
          <w:color w:val="auto"/>
          <w:highlight w:val="none"/>
        </w:rPr>
      </w:pPr>
      <w:r>
        <w:rPr>
          <w:rStyle w:val="40"/>
          <w:rFonts w:hint="eastAsia" w:ascii="Times New Roman" w:hAnsi="Times New Roman" w:eastAsia="仿宋_GB2312" w:cs="Times New Roman"/>
          <w:b w:val="0"/>
          <w:i w:val="0"/>
          <w:caps w:val="0"/>
          <w:color w:val="000000"/>
          <w:spacing w:val="0"/>
          <w:w w:val="100"/>
          <w:kern w:val="2"/>
          <w:sz w:val="32"/>
          <w:szCs w:val="32"/>
          <w:lang w:val="en-US" w:eastAsia="zh-CN" w:bidi="ar-SA"/>
        </w:rPr>
        <w:t>市场监督管理局</w:t>
      </w:r>
      <w:r>
        <w:rPr>
          <w:rStyle w:val="40"/>
          <w:rFonts w:hint="default" w:ascii="Times New Roman" w:hAnsi="Times New Roman" w:eastAsia="仿宋_GB2312" w:cs="Times New Roman"/>
          <w:b w:val="0"/>
          <w:i w:val="0"/>
          <w:caps w:val="0"/>
          <w:color w:val="000000"/>
          <w:spacing w:val="0"/>
          <w:w w:val="100"/>
          <w:kern w:val="2"/>
          <w:sz w:val="32"/>
          <w:szCs w:val="32"/>
          <w:lang w:val="en-US" w:eastAsia="zh-CN" w:bidi="ar-SA"/>
        </w:rPr>
        <w:t>下属二级预算单位</w:t>
      </w:r>
      <w:r>
        <w:rPr>
          <w:rStyle w:val="40"/>
          <w:rFonts w:hint="eastAsia" w:ascii="Times New Roman" w:hAnsi="Times New Roman" w:eastAsia="仿宋_GB2312" w:cs="Times New Roman"/>
          <w:b w:val="0"/>
          <w:i w:val="0"/>
          <w:caps w:val="0"/>
          <w:color w:val="000000"/>
          <w:spacing w:val="0"/>
          <w:w w:val="100"/>
          <w:kern w:val="2"/>
          <w:sz w:val="32"/>
          <w:szCs w:val="32"/>
          <w:lang w:val="en-US" w:eastAsia="zh-CN" w:bidi="ar-SA"/>
        </w:rPr>
        <w:t>5</w:t>
      </w:r>
      <w:r>
        <w:rPr>
          <w:rStyle w:val="40"/>
          <w:rFonts w:hint="default" w:ascii="Times New Roman" w:hAnsi="Times New Roman" w:eastAsia="仿宋_GB2312" w:cs="Times New Roman"/>
          <w:b w:val="0"/>
          <w:i w:val="0"/>
          <w:caps w:val="0"/>
          <w:color w:val="000000"/>
          <w:spacing w:val="0"/>
          <w:w w:val="100"/>
          <w:kern w:val="2"/>
          <w:sz w:val="32"/>
          <w:szCs w:val="32"/>
          <w:lang w:val="en-US" w:eastAsia="zh-CN" w:bidi="ar-SA"/>
        </w:rPr>
        <w:t>个，其中行政单位1个，参照公务员法管理的事业单位1个，公益一类事业单位3个。纳入</w:t>
      </w:r>
      <w:r>
        <w:rPr>
          <w:rStyle w:val="40"/>
          <w:rFonts w:hint="eastAsia" w:ascii="Times New Roman" w:hAnsi="Times New Roman" w:eastAsia="仿宋_GB2312" w:cs="Times New Roman"/>
          <w:b w:val="0"/>
          <w:i w:val="0"/>
          <w:caps w:val="0"/>
          <w:color w:val="000000"/>
          <w:spacing w:val="0"/>
          <w:w w:val="100"/>
          <w:kern w:val="2"/>
          <w:sz w:val="32"/>
          <w:szCs w:val="32"/>
          <w:lang w:val="en-US" w:eastAsia="zh-CN" w:bidi="ar-SA"/>
        </w:rPr>
        <w:t>区市场监督管理局</w:t>
      </w:r>
      <w:r>
        <w:rPr>
          <w:rStyle w:val="40"/>
          <w:rFonts w:hint="default" w:ascii="Times New Roman" w:hAnsi="Times New Roman" w:eastAsia="仿宋_GB2312" w:cs="Times New Roman"/>
          <w:b w:val="0"/>
          <w:i w:val="0"/>
          <w:caps w:val="0"/>
          <w:color w:val="000000"/>
          <w:spacing w:val="0"/>
          <w:w w:val="100"/>
          <w:kern w:val="2"/>
          <w:sz w:val="32"/>
          <w:szCs w:val="32"/>
          <w:lang w:val="en-US" w:eastAsia="zh-CN" w:bidi="ar-SA"/>
        </w:rPr>
        <w:t>2021年度部门决算编制范围的二级预算单位包括：</w:t>
      </w:r>
      <w:r>
        <w:rPr>
          <w:rStyle w:val="40"/>
          <w:rFonts w:hint="eastAsia" w:ascii="Times New Roman" w:hAnsi="Times New Roman" w:eastAsia="仿宋_GB2312" w:cs="Times New Roman"/>
          <w:b w:val="0"/>
          <w:i w:val="0"/>
          <w:caps w:val="0"/>
          <w:color w:val="000000"/>
          <w:spacing w:val="0"/>
          <w:w w:val="100"/>
          <w:kern w:val="2"/>
          <w:sz w:val="32"/>
          <w:szCs w:val="32"/>
          <w:lang w:val="en-US" w:eastAsia="zh-CN" w:bidi="ar-SA"/>
        </w:rPr>
        <w:t>广元市</w:t>
      </w:r>
      <w:r>
        <w:rPr>
          <w:rStyle w:val="40"/>
          <w:rFonts w:hint="default" w:ascii="Times New Roman" w:hAnsi="Times New Roman" w:eastAsia="仿宋_GB2312" w:cs="Times New Roman"/>
          <w:b w:val="0"/>
          <w:i w:val="0"/>
          <w:caps w:val="0"/>
          <w:color w:val="000000"/>
          <w:spacing w:val="0"/>
          <w:w w:val="100"/>
          <w:kern w:val="2"/>
          <w:sz w:val="32"/>
          <w:szCs w:val="32"/>
          <w:lang w:val="en-US" w:eastAsia="zh-CN" w:bidi="ar-SA"/>
        </w:rPr>
        <w:t>昭化区</w:t>
      </w:r>
      <w:r>
        <w:rPr>
          <w:rStyle w:val="40"/>
          <w:rFonts w:hint="eastAsia" w:ascii="Times New Roman" w:hAnsi="Times New Roman" w:eastAsia="仿宋_GB2312" w:cs="Times New Roman"/>
          <w:b w:val="0"/>
          <w:i w:val="0"/>
          <w:caps w:val="0"/>
          <w:color w:val="000000"/>
          <w:spacing w:val="0"/>
          <w:w w:val="100"/>
          <w:kern w:val="2"/>
          <w:sz w:val="32"/>
          <w:szCs w:val="32"/>
          <w:lang w:val="en-US" w:eastAsia="zh-CN" w:bidi="ar-SA"/>
        </w:rPr>
        <w:t>市场监督管理局</w:t>
      </w:r>
      <w:r>
        <w:rPr>
          <w:rStyle w:val="40"/>
          <w:rFonts w:hint="default" w:ascii="Times New Roman" w:hAnsi="Times New Roman" w:eastAsia="仿宋_GB2312" w:cs="Times New Roman"/>
          <w:b w:val="0"/>
          <w:i w:val="0"/>
          <w:caps w:val="0"/>
          <w:color w:val="000000"/>
          <w:spacing w:val="0"/>
          <w:w w:val="100"/>
          <w:kern w:val="2"/>
          <w:sz w:val="32"/>
          <w:szCs w:val="32"/>
          <w:lang w:val="en-US" w:eastAsia="zh-CN" w:bidi="ar-SA"/>
        </w:rPr>
        <w:t>机关、</w:t>
      </w:r>
      <w:r>
        <w:rPr>
          <w:rStyle w:val="40"/>
          <w:rFonts w:hint="eastAsia" w:ascii="Times New Roman" w:hAnsi="Times New Roman" w:eastAsia="仿宋_GB2312" w:cs="Times New Roman"/>
          <w:b w:val="0"/>
          <w:i w:val="0"/>
          <w:caps w:val="0"/>
          <w:color w:val="000000"/>
          <w:spacing w:val="0"/>
          <w:w w:val="100"/>
          <w:kern w:val="2"/>
          <w:sz w:val="32"/>
          <w:szCs w:val="32"/>
          <w:lang w:val="en-US" w:eastAsia="zh-CN" w:bidi="ar-SA"/>
        </w:rPr>
        <w:t>广元市</w:t>
      </w:r>
      <w:r>
        <w:rPr>
          <w:rStyle w:val="40"/>
          <w:rFonts w:hint="default" w:ascii="Times New Roman" w:hAnsi="Times New Roman" w:eastAsia="仿宋_GB2312" w:cs="Times New Roman"/>
          <w:b w:val="0"/>
          <w:i w:val="0"/>
          <w:caps w:val="0"/>
          <w:color w:val="000000"/>
          <w:spacing w:val="0"/>
          <w:w w:val="100"/>
          <w:kern w:val="2"/>
          <w:sz w:val="32"/>
          <w:szCs w:val="32"/>
          <w:lang w:val="en-US" w:eastAsia="zh-CN" w:bidi="ar-SA"/>
        </w:rPr>
        <w:t>昭化区</w:t>
      </w:r>
      <w:r>
        <w:rPr>
          <w:rStyle w:val="40"/>
          <w:rFonts w:hint="eastAsia" w:ascii="Times New Roman" w:hAnsi="Times New Roman" w:eastAsia="仿宋_GB2312" w:cs="Times New Roman"/>
          <w:b w:val="0"/>
          <w:i w:val="0"/>
          <w:caps w:val="0"/>
          <w:color w:val="000000"/>
          <w:spacing w:val="0"/>
          <w:w w:val="100"/>
          <w:kern w:val="2"/>
          <w:sz w:val="32"/>
          <w:szCs w:val="32"/>
          <w:lang w:val="en-US" w:eastAsia="zh-CN" w:bidi="ar-SA"/>
        </w:rPr>
        <w:t>市场监督管理局综合行政执法大队</w:t>
      </w:r>
      <w:r>
        <w:rPr>
          <w:rStyle w:val="40"/>
          <w:rFonts w:hint="default" w:ascii="Times New Roman" w:hAnsi="Times New Roman" w:eastAsia="仿宋_GB2312" w:cs="Times New Roman"/>
          <w:b w:val="0"/>
          <w:i w:val="0"/>
          <w:caps w:val="0"/>
          <w:color w:val="000000"/>
          <w:spacing w:val="0"/>
          <w:w w:val="100"/>
          <w:kern w:val="2"/>
          <w:sz w:val="32"/>
          <w:szCs w:val="32"/>
          <w:lang w:val="en-US" w:eastAsia="zh-CN" w:bidi="ar-SA"/>
        </w:rPr>
        <w:t>、广元市昭化区市场监督事务中心、广元市昭化区消费者权益服务中心、广元市昭化区市场监督信息中心</w:t>
      </w:r>
      <w:r>
        <w:rPr>
          <w:rStyle w:val="40"/>
          <w:rFonts w:hint="eastAsia" w:ascii="Times New Roman" w:hAnsi="Times New Roman" w:eastAsia="仿宋_GB2312" w:cs="Times New Roman"/>
          <w:b w:val="0"/>
          <w:i w:val="0"/>
          <w:caps w:val="0"/>
          <w:color w:val="000000"/>
          <w:spacing w:val="0"/>
          <w:w w:val="100"/>
          <w:kern w:val="2"/>
          <w:sz w:val="32"/>
          <w:szCs w:val="32"/>
          <w:lang w:val="en-US" w:eastAsia="zh-CN" w:bidi="ar-SA"/>
        </w:rPr>
        <w:t>。</w:t>
      </w:r>
    </w:p>
    <w:p w14:paraId="45076E6B">
      <w:pPr>
        <w:keepNext w:val="0"/>
        <w:keepLines w:val="0"/>
        <w:pageBreakBefore w:val="0"/>
        <w:widowControl w:val="0"/>
        <w:kinsoku/>
        <w:wordWrap/>
        <w:overflowPunct/>
        <w:topLinePunct w:val="0"/>
        <w:bidi w:val="0"/>
        <w:spacing w:line="576" w:lineRule="exact"/>
        <w:jc w:val="both"/>
        <w:textAlignment w:val="auto"/>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sz w:val="32"/>
          <w:szCs w:val="32"/>
          <w:highlight w:val="none"/>
        </w:rPr>
        <w:br w:type="page"/>
      </w:r>
    </w:p>
    <w:p w14:paraId="11D51BC4">
      <w:pPr>
        <w:pStyle w:val="3"/>
        <w:keepNext w:val="0"/>
        <w:keepLines w:val="0"/>
        <w:pageBreakBefore w:val="0"/>
        <w:widowControl w:val="0"/>
        <w:numPr>
          <w:ilvl w:val="0"/>
          <w:numId w:val="0"/>
        </w:numPr>
        <w:kinsoku/>
        <w:wordWrap/>
        <w:overflowPunct/>
        <w:topLinePunct w:val="0"/>
        <w:bidi w:val="0"/>
        <w:spacing w:before="0" w:after="0" w:line="576" w:lineRule="exact"/>
        <w:ind w:right="440" w:rightChars="0"/>
        <w:jc w:val="center"/>
        <w:textAlignment w:val="auto"/>
        <w:rPr>
          <w:rFonts w:hint="eastAsia" w:ascii="方正小标宋简体" w:hAnsi="方正小标宋简体" w:eastAsia="方正小标宋简体" w:cs="方正小标宋简体"/>
          <w:b w:val="0"/>
          <w:bCs/>
          <w:color w:val="auto"/>
          <w:highlight w:val="none"/>
          <w:lang w:val="en-US" w:eastAsia="zh-CN"/>
        </w:rPr>
      </w:pPr>
      <w:bookmarkStart w:id="24" w:name="_Toc15396602"/>
      <w:bookmarkStart w:id="25" w:name="_Toc15377204"/>
      <w:bookmarkStart w:id="26" w:name="_Toc8112"/>
    </w:p>
    <w:p w14:paraId="49662545">
      <w:pPr>
        <w:pStyle w:val="3"/>
        <w:keepNext w:val="0"/>
        <w:keepLines w:val="0"/>
        <w:pageBreakBefore w:val="0"/>
        <w:widowControl w:val="0"/>
        <w:numPr>
          <w:ilvl w:val="0"/>
          <w:numId w:val="0"/>
        </w:numPr>
        <w:kinsoku/>
        <w:wordWrap/>
        <w:overflowPunct/>
        <w:topLinePunct w:val="0"/>
        <w:bidi w:val="0"/>
        <w:spacing w:before="0" w:after="0" w:line="576" w:lineRule="exact"/>
        <w:ind w:right="440" w:rightChars="0"/>
        <w:jc w:val="center"/>
        <w:textAlignment w:val="auto"/>
        <w:rPr>
          <w:rStyle w:val="23"/>
          <w:rFonts w:hint="eastAsia" w:ascii="方正小标宋简体" w:hAnsi="方正小标宋简体" w:eastAsia="方正小标宋简体" w:cs="方正小标宋简体"/>
          <w:b w:val="0"/>
          <w:bCs/>
          <w:color w:val="auto"/>
          <w:highlight w:val="none"/>
        </w:rPr>
      </w:pPr>
      <w:r>
        <w:rPr>
          <w:rFonts w:hint="eastAsia" w:ascii="方正小标宋简体" w:hAnsi="方正小标宋简体" w:eastAsia="方正小标宋简体" w:cs="方正小标宋简体"/>
          <w:b w:val="0"/>
          <w:bCs/>
          <w:color w:val="auto"/>
          <w:highlight w:val="none"/>
          <w:lang w:val="en-US" w:eastAsia="zh-CN"/>
        </w:rPr>
        <w:t>第二部分 2021年度</w:t>
      </w:r>
      <w:r>
        <w:rPr>
          <w:rStyle w:val="23"/>
          <w:rFonts w:hint="eastAsia" w:ascii="方正小标宋简体" w:hAnsi="方正小标宋简体" w:eastAsia="方正小标宋简体" w:cs="方正小标宋简体"/>
          <w:b w:val="0"/>
          <w:bCs/>
          <w:color w:val="auto"/>
          <w:highlight w:val="none"/>
          <w:lang w:eastAsia="zh-CN"/>
        </w:rPr>
        <w:t>单位</w:t>
      </w:r>
      <w:r>
        <w:rPr>
          <w:rStyle w:val="23"/>
          <w:rFonts w:hint="eastAsia" w:ascii="方正小标宋简体" w:hAnsi="方正小标宋简体" w:eastAsia="方正小标宋简体" w:cs="方正小标宋简体"/>
          <w:b w:val="0"/>
          <w:bCs/>
          <w:color w:val="auto"/>
          <w:highlight w:val="none"/>
        </w:rPr>
        <w:t>决算情况说明</w:t>
      </w:r>
      <w:bookmarkEnd w:id="24"/>
      <w:bookmarkEnd w:id="25"/>
      <w:bookmarkEnd w:id="26"/>
    </w:p>
    <w:p w14:paraId="1B264F85">
      <w:pPr>
        <w:numPr>
          <w:ilvl w:val="0"/>
          <w:numId w:val="0"/>
        </w:numPr>
        <w:rPr>
          <w:rFonts w:hint="default"/>
        </w:rPr>
      </w:pPr>
    </w:p>
    <w:p w14:paraId="6D884EB4">
      <w:pPr>
        <w:pStyle w:val="30"/>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Chars="0"/>
        <w:jc w:val="both"/>
        <w:textAlignment w:val="auto"/>
        <w:outlineLvl w:val="1"/>
        <w:rPr>
          <w:rStyle w:val="31"/>
          <w:rFonts w:hint="default" w:ascii="Times New Roman" w:hAnsi="Times New Roman" w:eastAsia="黑体" w:cs="Times New Roman"/>
          <w:b w:val="0"/>
          <w:color w:val="auto"/>
          <w:highlight w:val="none"/>
        </w:rPr>
      </w:pPr>
      <w:bookmarkStart w:id="27" w:name="_Toc15377205"/>
      <w:bookmarkStart w:id="28" w:name="_Toc9010"/>
      <w:bookmarkStart w:id="29" w:name="_Toc15396603"/>
      <w:r>
        <w:rPr>
          <w:rFonts w:hint="default" w:ascii="Times New Roman" w:hAnsi="Times New Roman" w:eastAsia="黑体" w:cs="Times New Roman"/>
          <w:color w:val="auto"/>
          <w:sz w:val="32"/>
          <w:szCs w:val="32"/>
          <w:highlight w:val="none"/>
        </w:rPr>
        <w:t>收</w:t>
      </w:r>
      <w:r>
        <w:rPr>
          <w:rStyle w:val="31"/>
          <w:rFonts w:hint="default" w:ascii="Times New Roman" w:hAnsi="Times New Roman" w:eastAsia="黑体" w:cs="Times New Roman"/>
          <w:b w:val="0"/>
          <w:color w:val="auto"/>
          <w:highlight w:val="none"/>
        </w:rPr>
        <w:t>入支出决算总体情况说明</w:t>
      </w:r>
      <w:bookmarkEnd w:id="27"/>
      <w:bookmarkEnd w:id="28"/>
      <w:bookmarkEnd w:id="29"/>
    </w:p>
    <w:p w14:paraId="213FCA8B">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年度收</w:t>
      </w:r>
      <w:r>
        <w:rPr>
          <w:rFonts w:hint="default" w:ascii="Times New Roman" w:hAnsi="Times New Roman" w:eastAsia="仿宋_GB2312" w:cs="Times New Roman"/>
          <w:color w:val="auto"/>
          <w:sz w:val="32"/>
          <w:szCs w:val="32"/>
          <w:lang w:val="en-US" w:eastAsia="zh-CN"/>
        </w:rPr>
        <w:t>入</w:t>
      </w:r>
      <w:r>
        <w:rPr>
          <w:rFonts w:hint="default" w:ascii="Times New Roman" w:hAnsi="Times New Roman" w:eastAsia="仿宋_GB2312" w:cs="Times New Roman"/>
          <w:color w:val="auto"/>
          <w:sz w:val="32"/>
          <w:szCs w:val="32"/>
        </w:rPr>
        <w:t>总计</w:t>
      </w:r>
      <w:r>
        <w:rPr>
          <w:rFonts w:hint="default" w:ascii="Times New Roman" w:hAnsi="Times New Roman" w:eastAsia="仿宋_GB2312" w:cs="Times New Roman"/>
          <w:color w:val="auto"/>
          <w:sz w:val="32"/>
          <w:szCs w:val="32"/>
          <w:lang w:val="en-US" w:eastAsia="zh-CN"/>
        </w:rPr>
        <w:t>1165.45</w:t>
      </w:r>
      <w:r>
        <w:rPr>
          <w:rFonts w:hint="default" w:ascii="Times New Roman" w:hAnsi="Times New Roman" w:eastAsia="仿宋_GB2312" w:cs="Times New Roman"/>
          <w:color w:val="auto"/>
          <w:sz w:val="32"/>
          <w:szCs w:val="32"/>
        </w:rPr>
        <w:t>万元。与</w:t>
      </w:r>
      <w:r>
        <w:rPr>
          <w:rFonts w:hint="default" w:ascii="Times New Roman" w:hAnsi="Times New Roman" w:eastAsia="仿宋_GB2312" w:cs="Times New Roman"/>
          <w:color w:val="000000"/>
          <w:sz w:val="32"/>
          <w:szCs w:val="32"/>
          <w:lang w:val="en-US" w:eastAsia="zh-CN"/>
        </w:rPr>
        <w:t>2020</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1278.98万元</w:t>
      </w:r>
      <w:r>
        <w:rPr>
          <w:rFonts w:hint="default" w:ascii="Times New Roman" w:hAnsi="Times New Roman" w:eastAsia="仿宋_GB2312" w:cs="Times New Roman"/>
          <w:color w:val="000000"/>
          <w:sz w:val="32"/>
          <w:szCs w:val="32"/>
        </w:rPr>
        <w:t>相比，收</w:t>
      </w:r>
      <w:r>
        <w:rPr>
          <w:rFonts w:hint="default" w:ascii="Times New Roman" w:hAnsi="Times New Roman" w:eastAsia="仿宋_GB2312" w:cs="Times New Roman"/>
          <w:color w:val="000000"/>
          <w:sz w:val="32"/>
          <w:szCs w:val="32"/>
          <w:lang w:val="en-US" w:eastAsia="zh-CN"/>
        </w:rPr>
        <w:t>入</w:t>
      </w:r>
      <w:r>
        <w:rPr>
          <w:rFonts w:hint="default" w:ascii="Times New Roman" w:hAnsi="Times New Roman" w:eastAsia="仿宋_GB2312" w:cs="Times New Roman"/>
          <w:color w:val="000000"/>
          <w:sz w:val="32"/>
          <w:szCs w:val="32"/>
        </w:rPr>
        <w:t>总计</w:t>
      </w:r>
      <w:r>
        <w:rPr>
          <w:rFonts w:hint="default" w:ascii="Times New Roman" w:hAnsi="Times New Roman" w:eastAsia="仿宋_GB2312" w:cs="Times New Roman"/>
          <w:color w:val="000000"/>
          <w:sz w:val="32"/>
          <w:szCs w:val="32"/>
          <w:lang w:val="en-US" w:eastAsia="zh-CN"/>
        </w:rPr>
        <w:t>减少113.53</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val="en-US" w:eastAsia="zh-CN"/>
        </w:rPr>
        <w:t>下降8.87</w:t>
      </w: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年度</w:t>
      </w:r>
      <w:r>
        <w:rPr>
          <w:rFonts w:hint="default" w:ascii="Times New Roman" w:hAnsi="Times New Roman" w:eastAsia="仿宋_GB2312" w:cs="Times New Roman"/>
          <w:color w:val="000000"/>
          <w:sz w:val="32"/>
          <w:szCs w:val="32"/>
          <w:lang w:val="en-US" w:eastAsia="zh-CN"/>
        </w:rPr>
        <w:t>支出</w:t>
      </w:r>
      <w:r>
        <w:rPr>
          <w:rFonts w:hint="default" w:ascii="Times New Roman" w:hAnsi="Times New Roman" w:eastAsia="仿宋_GB2312" w:cs="Times New Roman"/>
          <w:color w:val="000000"/>
          <w:sz w:val="32"/>
          <w:szCs w:val="32"/>
        </w:rPr>
        <w:t>总计</w:t>
      </w:r>
      <w:r>
        <w:rPr>
          <w:rFonts w:hint="default" w:ascii="Times New Roman" w:hAnsi="Times New Roman" w:eastAsia="仿宋_GB2312" w:cs="Times New Roman"/>
          <w:color w:val="000000"/>
          <w:sz w:val="32"/>
          <w:szCs w:val="32"/>
          <w:lang w:val="en-US" w:eastAsia="zh-CN"/>
        </w:rPr>
        <w:t>1165.45</w:t>
      </w:r>
      <w:r>
        <w:rPr>
          <w:rFonts w:hint="default" w:ascii="Times New Roman" w:hAnsi="Times New Roman" w:eastAsia="仿宋_GB2312" w:cs="Times New Roman"/>
          <w:color w:val="000000"/>
          <w:sz w:val="32"/>
          <w:szCs w:val="32"/>
        </w:rPr>
        <w:t>万元。与20</w:t>
      </w:r>
      <w:r>
        <w:rPr>
          <w:rFonts w:hint="default" w:ascii="Times New Roman" w:hAnsi="Times New Roman"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1194.89万元</w:t>
      </w:r>
      <w:r>
        <w:rPr>
          <w:rFonts w:hint="default" w:ascii="Times New Roman" w:hAnsi="Times New Roman" w:eastAsia="仿宋_GB2312" w:cs="Times New Roman"/>
          <w:color w:val="000000"/>
          <w:sz w:val="32"/>
          <w:szCs w:val="32"/>
        </w:rPr>
        <w:t>相比，收</w:t>
      </w:r>
      <w:r>
        <w:rPr>
          <w:rFonts w:hint="default" w:ascii="Times New Roman" w:hAnsi="Times New Roman" w:eastAsia="仿宋_GB2312" w:cs="Times New Roman"/>
          <w:color w:val="000000"/>
          <w:sz w:val="32"/>
          <w:szCs w:val="32"/>
          <w:lang w:val="en-US" w:eastAsia="zh-CN"/>
        </w:rPr>
        <w:t>入</w:t>
      </w:r>
      <w:r>
        <w:rPr>
          <w:rFonts w:hint="default" w:ascii="Times New Roman" w:hAnsi="Times New Roman" w:eastAsia="仿宋_GB2312" w:cs="Times New Roman"/>
          <w:color w:val="000000"/>
          <w:sz w:val="32"/>
          <w:szCs w:val="32"/>
        </w:rPr>
        <w:t>总计</w:t>
      </w:r>
      <w:r>
        <w:rPr>
          <w:rFonts w:hint="default" w:ascii="Times New Roman" w:hAnsi="Times New Roman" w:eastAsia="仿宋_GB2312" w:cs="Times New Roman"/>
          <w:color w:val="000000"/>
          <w:sz w:val="32"/>
          <w:szCs w:val="32"/>
          <w:lang w:val="en-US" w:eastAsia="zh-CN"/>
        </w:rPr>
        <w:t>减少29.44</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val="en-US" w:eastAsia="zh-CN"/>
        </w:rPr>
        <w:t>下降2.46</w:t>
      </w:r>
      <w:r>
        <w:rPr>
          <w:rFonts w:hint="default" w:ascii="Times New Roman" w:hAnsi="Times New Roman" w:eastAsia="仿宋_GB2312" w:cs="Times New Roman"/>
          <w:color w:val="000000"/>
          <w:sz w:val="32"/>
          <w:szCs w:val="32"/>
        </w:rPr>
        <w:t>%。主要变动原因是:</w:t>
      </w:r>
      <w:r>
        <w:rPr>
          <w:rFonts w:hint="default" w:ascii="Times New Roman" w:hAnsi="Times New Roman" w:eastAsia="仿宋_GB2312" w:cs="Times New Roman"/>
          <w:color w:val="000000"/>
          <w:sz w:val="32"/>
          <w:szCs w:val="32"/>
          <w:lang w:val="en-US" w:eastAsia="zh-CN"/>
        </w:rPr>
        <w:t>1.2021年减少食品安全示范县区创建补助经费；2.2021年绩效目标奖及零星调资等未纳入预算调整；3.2020年专项资金结余。</w:t>
      </w:r>
    </w:p>
    <w:p w14:paraId="4A348DA3">
      <w:pPr>
        <w:pStyle w:val="17"/>
        <w:keepNext w:val="0"/>
        <w:keepLines w:val="0"/>
        <w:pageBreakBefore w:val="0"/>
        <w:widowControl w:val="0"/>
        <w:kinsoku/>
        <w:wordWrap/>
        <w:overflowPunct/>
        <w:topLinePunct w:val="0"/>
        <w:bidi w:val="0"/>
        <w:spacing w:beforeLines="0" w:line="240" w:lineRule="auto"/>
        <w:ind w:left="0" w:leftChars="0" w:firstLine="0" w:firstLineChars="0"/>
        <w:jc w:val="both"/>
        <w:textAlignment w:val="auto"/>
        <w:rPr>
          <w:rFonts w:hint="default"/>
          <w:lang w:val="en-US" w:eastAsia="zh-CN"/>
        </w:rPr>
      </w:pPr>
      <w:r>
        <w:rPr>
          <w:rFonts w:hint="default" w:ascii="Times New Roman" w:hAnsi="Times New Roman" w:cs="Times New Roman"/>
        </w:rPr>
        <w:drawing>
          <wp:inline distT="0" distB="0" distL="114300" distR="114300">
            <wp:extent cx="5544185" cy="3535045"/>
            <wp:effectExtent l="4445" t="4445" r="13970" b="2286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6DDEB1C">
      <w:pPr>
        <w:pStyle w:val="30"/>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Chars="0"/>
        <w:jc w:val="both"/>
        <w:textAlignment w:val="auto"/>
        <w:outlineLvl w:val="1"/>
        <w:rPr>
          <w:rStyle w:val="31"/>
          <w:rFonts w:hint="default" w:ascii="Times New Roman" w:hAnsi="Times New Roman" w:eastAsia="黑体" w:cs="Times New Roman"/>
          <w:b w:val="0"/>
          <w:color w:val="auto"/>
          <w:highlight w:val="none"/>
        </w:rPr>
      </w:pPr>
      <w:bookmarkStart w:id="30" w:name="_Toc15377206"/>
      <w:bookmarkStart w:id="31" w:name="_Toc3881"/>
      <w:bookmarkStart w:id="32" w:name="_Toc15396604"/>
      <w:r>
        <w:rPr>
          <w:rFonts w:hint="default" w:ascii="Times New Roman" w:hAnsi="Times New Roman" w:eastAsia="黑体" w:cs="Times New Roman"/>
          <w:color w:val="auto"/>
          <w:sz w:val="32"/>
          <w:szCs w:val="32"/>
          <w:highlight w:val="none"/>
        </w:rPr>
        <w:t>收</w:t>
      </w:r>
      <w:r>
        <w:rPr>
          <w:rStyle w:val="31"/>
          <w:rFonts w:hint="default" w:ascii="Times New Roman" w:hAnsi="Times New Roman" w:eastAsia="黑体" w:cs="Times New Roman"/>
          <w:b w:val="0"/>
          <w:color w:val="auto"/>
          <w:highlight w:val="none"/>
        </w:rPr>
        <w:t>入决算情况说明</w:t>
      </w:r>
      <w:bookmarkEnd w:id="30"/>
      <w:bookmarkEnd w:id="31"/>
      <w:bookmarkEnd w:id="32"/>
    </w:p>
    <w:p w14:paraId="7FA8A74C">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年本年收入合计</w:t>
      </w:r>
      <w:r>
        <w:rPr>
          <w:rFonts w:hint="default" w:ascii="Times New Roman" w:hAnsi="Times New Roman" w:eastAsia="仿宋_GB2312" w:cs="Times New Roman"/>
          <w:color w:val="auto"/>
          <w:sz w:val="32"/>
          <w:szCs w:val="32"/>
          <w:highlight w:val="none"/>
          <w:lang w:val="en-US" w:eastAsia="zh-CN"/>
        </w:rPr>
        <w:t>1081.35</w:t>
      </w:r>
      <w:r>
        <w:rPr>
          <w:rFonts w:hint="default" w:ascii="Times New Roman" w:hAnsi="Times New Roman" w:eastAsia="仿宋_GB2312" w:cs="Times New Roman"/>
          <w:color w:val="auto"/>
          <w:sz w:val="32"/>
          <w:szCs w:val="32"/>
          <w:highlight w:val="none"/>
        </w:rPr>
        <w:t>万元，其中：一般公共预算财政拨款收入</w:t>
      </w:r>
      <w:r>
        <w:rPr>
          <w:rFonts w:hint="default" w:ascii="Times New Roman" w:hAnsi="Times New Roman" w:eastAsia="仿宋_GB2312" w:cs="Times New Roman"/>
          <w:color w:val="auto"/>
          <w:sz w:val="32"/>
          <w:szCs w:val="32"/>
          <w:highlight w:val="none"/>
          <w:lang w:val="en-US" w:eastAsia="zh-CN"/>
        </w:rPr>
        <w:t>1081.35</w:t>
      </w:r>
      <w:r>
        <w:rPr>
          <w:rFonts w:hint="default"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w:t>
      </w:r>
      <w:r>
        <w:rPr>
          <w:rFonts w:hint="default" w:ascii="Times New Roman" w:hAnsi="Times New Roman" w:cs="Times New Roman"/>
        </w:rPr>
        <w:drawing>
          <wp:anchor distT="0" distB="0" distL="114300" distR="114300" simplePos="0" relativeHeight="251659264" behindDoc="0" locked="0" layoutInCell="1" allowOverlap="1">
            <wp:simplePos x="0" y="0"/>
            <wp:positionH relativeFrom="column">
              <wp:posOffset>935355</wp:posOffset>
            </wp:positionH>
            <wp:positionV relativeFrom="paragraph">
              <wp:posOffset>427355</wp:posOffset>
            </wp:positionV>
            <wp:extent cx="3934460" cy="2038350"/>
            <wp:effectExtent l="0" t="0" r="8890" b="0"/>
            <wp:wrapTopAndBottom/>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6E5B9DDA">
      <w:pPr>
        <w:pStyle w:val="30"/>
        <w:keepNext w:val="0"/>
        <w:keepLines w:val="0"/>
        <w:pageBreakBefore w:val="0"/>
        <w:widowControl w:val="0"/>
        <w:numPr>
          <w:ilvl w:val="0"/>
          <w:numId w:val="1"/>
        </w:numPr>
        <w:kinsoku/>
        <w:wordWrap/>
        <w:overflowPunct/>
        <w:topLinePunct w:val="0"/>
        <w:bidi w:val="0"/>
        <w:spacing w:line="576" w:lineRule="exact"/>
        <w:ind w:firstLineChars="0"/>
        <w:jc w:val="both"/>
        <w:textAlignment w:val="auto"/>
        <w:outlineLvl w:val="1"/>
        <w:rPr>
          <w:rStyle w:val="31"/>
          <w:rFonts w:hint="default" w:ascii="Times New Roman" w:hAnsi="Times New Roman" w:eastAsia="黑体" w:cs="Times New Roman"/>
          <w:b w:val="0"/>
          <w:color w:val="auto"/>
          <w:highlight w:val="none"/>
        </w:rPr>
      </w:pPr>
      <w:bookmarkStart w:id="33" w:name="_Toc20481"/>
      <w:bookmarkStart w:id="34" w:name="_Toc15377207"/>
      <w:bookmarkStart w:id="35" w:name="_Toc15396605"/>
      <w:r>
        <w:rPr>
          <w:rFonts w:hint="default" w:ascii="Times New Roman" w:hAnsi="Times New Roman" w:eastAsia="黑体" w:cs="Times New Roman"/>
          <w:color w:val="auto"/>
          <w:sz w:val="32"/>
          <w:szCs w:val="32"/>
          <w:highlight w:val="none"/>
        </w:rPr>
        <w:t>支</w:t>
      </w:r>
      <w:r>
        <w:rPr>
          <w:rStyle w:val="31"/>
          <w:rFonts w:hint="default" w:ascii="Times New Roman" w:hAnsi="Times New Roman" w:eastAsia="黑体" w:cs="Times New Roman"/>
          <w:b w:val="0"/>
          <w:color w:val="auto"/>
          <w:highlight w:val="none"/>
        </w:rPr>
        <w:t>出决算情况说明</w:t>
      </w:r>
      <w:bookmarkEnd w:id="33"/>
      <w:bookmarkEnd w:id="34"/>
      <w:bookmarkEnd w:id="35"/>
    </w:p>
    <w:p w14:paraId="10815808">
      <w:pPr>
        <w:keepNext w:val="0"/>
        <w:keepLines w:val="0"/>
        <w:pageBreakBefore w:val="0"/>
        <w:widowControl w:val="0"/>
        <w:kinsoku/>
        <w:wordWrap/>
        <w:overflowPunct/>
        <w:topLinePunct w:val="0"/>
        <w:bidi w:val="0"/>
        <w:spacing w:line="576" w:lineRule="exact"/>
        <w:ind w:firstLine="640" w:firstLineChars="200"/>
        <w:jc w:val="both"/>
        <w:textAlignment w:val="auto"/>
        <w:outlineLvl w:val="1"/>
        <w:rPr>
          <w:rFonts w:hint="default" w:ascii="Times New Roman" w:hAnsi="Times New Roman" w:eastAsia="仿宋" w:cs="Times New Roman"/>
          <w:color w:val="auto"/>
          <w:sz w:val="32"/>
          <w:szCs w:val="32"/>
          <w:highlight w:val="none"/>
        </w:rPr>
      </w:pPr>
      <w:bookmarkStart w:id="36" w:name="_Toc28157"/>
      <w:bookmarkStart w:id="37" w:name="_Toc1719"/>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年本年支出合计</w:t>
      </w:r>
      <w:r>
        <w:rPr>
          <w:rFonts w:hint="default" w:ascii="Times New Roman" w:hAnsi="Times New Roman" w:eastAsia="仿宋_GB2312" w:cs="Times New Roman"/>
          <w:color w:val="auto"/>
          <w:sz w:val="32"/>
          <w:szCs w:val="32"/>
          <w:highlight w:val="none"/>
          <w:lang w:val="en-US" w:eastAsia="zh-CN"/>
        </w:rPr>
        <w:t>1165.45</w:t>
      </w:r>
      <w:r>
        <w:rPr>
          <w:rFonts w:hint="default" w:ascii="Times New Roman" w:hAnsi="Times New Roman" w:eastAsia="仿宋_GB2312" w:cs="Times New Roman"/>
          <w:color w:val="auto"/>
          <w:sz w:val="32"/>
          <w:szCs w:val="32"/>
          <w:highlight w:val="none"/>
        </w:rPr>
        <w:t>万元，其中：基本支出</w:t>
      </w:r>
      <w:r>
        <w:rPr>
          <w:rFonts w:hint="default" w:ascii="Times New Roman" w:hAnsi="Times New Roman" w:eastAsia="仿宋_GB2312" w:cs="Times New Roman"/>
          <w:color w:val="auto"/>
          <w:sz w:val="32"/>
          <w:szCs w:val="32"/>
          <w:highlight w:val="none"/>
          <w:lang w:val="en-US" w:eastAsia="zh-CN"/>
        </w:rPr>
        <w:t>1023.41</w:t>
      </w:r>
      <w:r>
        <w:rPr>
          <w:rFonts w:hint="default"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lang w:val="en-US" w:eastAsia="zh-CN"/>
        </w:rPr>
        <w:t>87.81</w:t>
      </w:r>
      <w:r>
        <w:rPr>
          <w:rFonts w:hint="default" w:ascii="Times New Roman" w:hAnsi="Times New Roman" w:eastAsia="仿宋_GB2312" w:cs="Times New Roman"/>
          <w:color w:val="auto"/>
          <w:sz w:val="32"/>
          <w:szCs w:val="32"/>
          <w:highlight w:val="none"/>
        </w:rPr>
        <w:t>%；项目支出</w:t>
      </w:r>
      <w:r>
        <w:rPr>
          <w:rFonts w:hint="default" w:ascii="Times New Roman" w:hAnsi="Times New Roman" w:eastAsia="仿宋_GB2312" w:cs="Times New Roman"/>
          <w:color w:val="auto"/>
          <w:sz w:val="32"/>
          <w:szCs w:val="32"/>
          <w:highlight w:val="none"/>
          <w:lang w:val="en-US" w:eastAsia="zh-CN"/>
        </w:rPr>
        <w:t>142.04</w:t>
      </w:r>
      <w:r>
        <w:rPr>
          <w:rFonts w:hint="default"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lang w:val="en-US" w:eastAsia="zh-CN"/>
        </w:rPr>
        <w:t>12.19</w:t>
      </w:r>
      <w:r>
        <w:rPr>
          <w:rFonts w:hint="default" w:ascii="Times New Roman" w:hAnsi="Times New Roman" w:eastAsia="仿宋_GB2312" w:cs="Times New Roman"/>
          <w:color w:val="auto"/>
          <w:sz w:val="32"/>
          <w:szCs w:val="32"/>
          <w:highlight w:val="none"/>
        </w:rPr>
        <w:t>%。</w:t>
      </w:r>
      <w:bookmarkEnd w:id="36"/>
      <w:bookmarkEnd w:id="37"/>
    </w:p>
    <w:p w14:paraId="5BB9E127">
      <w:pPr>
        <w:keepNext w:val="0"/>
        <w:keepLines w:val="0"/>
        <w:pageBreakBefore w:val="0"/>
        <w:widowControl w:val="0"/>
        <w:kinsoku/>
        <w:wordWrap/>
        <w:overflowPunct/>
        <w:topLinePunct w:val="0"/>
        <w:bidi w:val="0"/>
        <w:spacing w:line="576" w:lineRule="exact"/>
        <w:ind w:firstLine="630" w:firstLineChars="300"/>
        <w:jc w:val="both"/>
        <w:textAlignment w:val="auto"/>
        <w:outlineLvl w:val="1"/>
        <w:rPr>
          <w:rStyle w:val="31"/>
          <w:rFonts w:hint="default" w:ascii="Times New Roman" w:hAnsi="Times New Roman" w:eastAsia="黑体" w:cs="Times New Roman"/>
          <w:b w:val="0"/>
          <w:color w:val="auto"/>
          <w:highlight w:val="none"/>
        </w:rPr>
      </w:pPr>
      <w:bookmarkStart w:id="38" w:name="_Toc15377208"/>
      <w:bookmarkStart w:id="39" w:name="_Toc15396606"/>
      <w:bookmarkStart w:id="40" w:name="_Toc8327"/>
      <w:r>
        <w:rPr>
          <w:rFonts w:hint="default" w:ascii="Times New Roman" w:hAnsi="Times New Roman" w:cs="Times New Roman"/>
        </w:rPr>
        <w:drawing>
          <wp:anchor distT="0" distB="0" distL="114300" distR="114300" simplePos="0" relativeHeight="251660288" behindDoc="0" locked="0" layoutInCell="1" allowOverlap="1">
            <wp:simplePos x="0" y="0"/>
            <wp:positionH relativeFrom="column">
              <wp:posOffset>962025</wp:posOffset>
            </wp:positionH>
            <wp:positionV relativeFrom="paragraph">
              <wp:posOffset>107315</wp:posOffset>
            </wp:positionV>
            <wp:extent cx="3927475" cy="2065020"/>
            <wp:effectExtent l="0" t="0" r="15875" b="11430"/>
            <wp:wrapTopAndBottom/>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default" w:ascii="Times New Roman" w:hAnsi="Times New Roman" w:eastAsia="黑体" w:cs="Times New Roman"/>
          <w:color w:val="auto"/>
          <w:sz w:val="32"/>
          <w:szCs w:val="32"/>
          <w:highlight w:val="none"/>
        </w:rPr>
        <w:t>四、财</w:t>
      </w:r>
      <w:r>
        <w:rPr>
          <w:rStyle w:val="31"/>
          <w:rFonts w:hint="default" w:ascii="Times New Roman" w:hAnsi="Times New Roman" w:eastAsia="黑体" w:cs="Times New Roman"/>
          <w:b w:val="0"/>
          <w:color w:val="auto"/>
          <w:highlight w:val="none"/>
        </w:rPr>
        <w:t>政拨款收入支出决算总体情况说明</w:t>
      </w:r>
      <w:bookmarkEnd w:id="38"/>
      <w:bookmarkEnd w:id="39"/>
      <w:bookmarkEnd w:id="40"/>
    </w:p>
    <w:p w14:paraId="4573DA8D">
      <w:pPr>
        <w:keepNext w:val="0"/>
        <w:keepLines w:val="0"/>
        <w:pageBreakBefore w:val="0"/>
        <w:widowControl w:val="0"/>
        <w:kinsoku/>
        <w:wordWrap/>
        <w:overflowPunct/>
        <w:topLinePunct w:val="0"/>
        <w:bidi w:val="0"/>
        <w:spacing w:line="576"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年度收</w:t>
      </w:r>
      <w:r>
        <w:rPr>
          <w:rFonts w:hint="default" w:ascii="Times New Roman" w:hAnsi="Times New Roman" w:eastAsia="仿宋_GB2312" w:cs="Times New Roman"/>
          <w:color w:val="auto"/>
          <w:sz w:val="32"/>
          <w:szCs w:val="32"/>
          <w:lang w:val="en-US" w:eastAsia="zh-CN"/>
        </w:rPr>
        <w:t>入</w:t>
      </w:r>
      <w:r>
        <w:rPr>
          <w:rFonts w:hint="default" w:ascii="Times New Roman" w:hAnsi="Times New Roman" w:eastAsia="仿宋_GB2312" w:cs="Times New Roman"/>
          <w:color w:val="auto"/>
          <w:sz w:val="32"/>
          <w:szCs w:val="32"/>
        </w:rPr>
        <w:t>总计</w:t>
      </w:r>
      <w:r>
        <w:rPr>
          <w:rFonts w:hint="default" w:ascii="Times New Roman" w:hAnsi="Times New Roman" w:eastAsia="仿宋_GB2312" w:cs="Times New Roman"/>
          <w:color w:val="auto"/>
          <w:sz w:val="32"/>
          <w:szCs w:val="32"/>
          <w:lang w:val="en-US" w:eastAsia="zh-CN"/>
        </w:rPr>
        <w:t>1165.45</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000000"/>
          <w:sz w:val="32"/>
          <w:szCs w:val="32"/>
        </w:rPr>
        <w:t>与</w:t>
      </w:r>
      <w:r>
        <w:rPr>
          <w:rFonts w:hint="default" w:ascii="Times New Roman" w:hAnsi="Times New Roman" w:eastAsia="仿宋_GB2312" w:cs="Times New Roman"/>
          <w:color w:val="000000"/>
          <w:sz w:val="32"/>
          <w:szCs w:val="32"/>
          <w:lang w:val="en-US" w:eastAsia="zh-CN"/>
        </w:rPr>
        <w:t>2020</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1278.98万元</w:t>
      </w:r>
      <w:r>
        <w:rPr>
          <w:rFonts w:hint="default" w:ascii="Times New Roman" w:hAnsi="Times New Roman" w:eastAsia="仿宋_GB2312" w:cs="Times New Roman"/>
          <w:color w:val="000000"/>
          <w:sz w:val="32"/>
          <w:szCs w:val="32"/>
        </w:rPr>
        <w:t>相比，收</w:t>
      </w:r>
      <w:r>
        <w:rPr>
          <w:rFonts w:hint="default" w:ascii="Times New Roman" w:hAnsi="Times New Roman" w:eastAsia="仿宋_GB2312" w:cs="Times New Roman"/>
          <w:color w:val="000000"/>
          <w:sz w:val="32"/>
          <w:szCs w:val="32"/>
          <w:lang w:val="en-US" w:eastAsia="zh-CN"/>
        </w:rPr>
        <w:t>入</w:t>
      </w:r>
      <w:r>
        <w:rPr>
          <w:rFonts w:hint="default" w:ascii="Times New Roman" w:hAnsi="Times New Roman" w:eastAsia="仿宋_GB2312" w:cs="Times New Roman"/>
          <w:color w:val="000000"/>
          <w:sz w:val="32"/>
          <w:szCs w:val="32"/>
        </w:rPr>
        <w:t>总计</w:t>
      </w:r>
      <w:r>
        <w:rPr>
          <w:rFonts w:hint="default" w:ascii="Times New Roman" w:hAnsi="Times New Roman" w:eastAsia="仿宋_GB2312" w:cs="Times New Roman"/>
          <w:color w:val="000000"/>
          <w:sz w:val="32"/>
          <w:szCs w:val="32"/>
          <w:lang w:val="en-US" w:eastAsia="zh-CN"/>
        </w:rPr>
        <w:t>减少113.53</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val="en-US" w:eastAsia="zh-CN"/>
        </w:rPr>
        <w:t>下降8.87</w:t>
      </w: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年度</w:t>
      </w:r>
      <w:r>
        <w:rPr>
          <w:rFonts w:hint="default" w:ascii="Times New Roman" w:hAnsi="Times New Roman" w:eastAsia="仿宋_GB2312" w:cs="Times New Roman"/>
          <w:color w:val="000000"/>
          <w:sz w:val="32"/>
          <w:szCs w:val="32"/>
          <w:lang w:val="en-US" w:eastAsia="zh-CN"/>
        </w:rPr>
        <w:t>支出</w:t>
      </w:r>
      <w:r>
        <w:rPr>
          <w:rFonts w:hint="default" w:ascii="Times New Roman" w:hAnsi="Times New Roman" w:eastAsia="仿宋_GB2312" w:cs="Times New Roman"/>
          <w:color w:val="000000"/>
          <w:sz w:val="32"/>
          <w:szCs w:val="32"/>
        </w:rPr>
        <w:t>总计</w:t>
      </w:r>
      <w:r>
        <w:rPr>
          <w:rFonts w:hint="default" w:ascii="Times New Roman" w:hAnsi="Times New Roman" w:eastAsia="仿宋_GB2312" w:cs="Times New Roman"/>
          <w:color w:val="000000"/>
          <w:sz w:val="32"/>
          <w:szCs w:val="32"/>
          <w:lang w:val="en-US" w:eastAsia="zh-CN"/>
        </w:rPr>
        <w:t>1165.45</w:t>
      </w:r>
      <w:r>
        <w:rPr>
          <w:rFonts w:hint="default" w:ascii="Times New Roman" w:hAnsi="Times New Roman" w:eastAsia="仿宋_GB2312" w:cs="Times New Roman"/>
          <w:color w:val="000000"/>
          <w:sz w:val="32"/>
          <w:szCs w:val="32"/>
        </w:rPr>
        <w:t>万元。与20</w:t>
      </w:r>
      <w:r>
        <w:rPr>
          <w:rFonts w:hint="default" w:ascii="Times New Roman" w:hAnsi="Times New Roman"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1194.89万元</w:t>
      </w:r>
      <w:r>
        <w:rPr>
          <w:rFonts w:hint="default" w:ascii="Times New Roman" w:hAnsi="Times New Roman" w:eastAsia="仿宋_GB2312" w:cs="Times New Roman"/>
          <w:color w:val="000000"/>
          <w:sz w:val="32"/>
          <w:szCs w:val="32"/>
        </w:rPr>
        <w:t>相比，</w:t>
      </w:r>
      <w:r>
        <w:rPr>
          <w:rFonts w:hint="default" w:ascii="Times New Roman" w:hAnsi="Times New Roman" w:eastAsia="仿宋_GB2312" w:cs="Times New Roman"/>
          <w:color w:val="000000"/>
          <w:sz w:val="32"/>
          <w:szCs w:val="32"/>
          <w:lang w:val="en-US" w:eastAsia="zh-CN"/>
        </w:rPr>
        <w:t>支出</w:t>
      </w:r>
      <w:r>
        <w:rPr>
          <w:rFonts w:hint="default" w:ascii="Times New Roman" w:hAnsi="Times New Roman" w:eastAsia="仿宋_GB2312" w:cs="Times New Roman"/>
          <w:color w:val="000000"/>
          <w:sz w:val="32"/>
          <w:szCs w:val="32"/>
        </w:rPr>
        <w:t>总计</w:t>
      </w:r>
      <w:r>
        <w:rPr>
          <w:rFonts w:hint="default" w:ascii="Times New Roman" w:hAnsi="Times New Roman" w:eastAsia="仿宋_GB2312" w:cs="Times New Roman"/>
          <w:color w:val="000000"/>
          <w:sz w:val="32"/>
          <w:szCs w:val="32"/>
          <w:lang w:val="en-US" w:eastAsia="zh-CN"/>
        </w:rPr>
        <w:t>减少29.44</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val="en-US" w:eastAsia="zh-CN"/>
        </w:rPr>
        <w:t>下降2.46</w:t>
      </w:r>
      <w:r>
        <w:rPr>
          <w:rFonts w:hint="default" w:ascii="Times New Roman" w:hAnsi="Times New Roman" w:eastAsia="仿宋_GB2312" w:cs="Times New Roman"/>
          <w:color w:val="000000"/>
          <w:sz w:val="32"/>
          <w:szCs w:val="32"/>
        </w:rPr>
        <w:t>%。主要变动原因是:</w:t>
      </w:r>
      <w:r>
        <w:rPr>
          <w:rFonts w:hint="default" w:ascii="Times New Roman" w:hAnsi="Times New Roman" w:eastAsia="仿宋_GB2312" w:cs="Times New Roman"/>
          <w:color w:val="000000"/>
          <w:sz w:val="32"/>
          <w:szCs w:val="32"/>
          <w:lang w:val="en-US" w:eastAsia="zh-CN"/>
        </w:rPr>
        <w:t>1</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2021年减少品安全示范县区创建补助经费</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2</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2021年绩效目标奖及零星调资等未纳入预算调整</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3</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2020年专项资金结转。</w:t>
      </w:r>
    </w:p>
    <w:p w14:paraId="00149171">
      <w:pPr>
        <w:pStyle w:val="2"/>
        <w:rPr>
          <w:rStyle w:val="31"/>
          <w:rFonts w:hint="default" w:ascii="Times New Roman" w:hAnsi="Times New Roman" w:eastAsia="黑体" w:cs="Times New Roman"/>
          <w:b w:val="0"/>
          <w:color w:val="auto"/>
          <w:highlight w:val="none"/>
        </w:rPr>
      </w:pPr>
      <w:r>
        <w:drawing>
          <wp:anchor distT="0" distB="0" distL="114300" distR="114300" simplePos="0" relativeHeight="251661312" behindDoc="0" locked="0" layoutInCell="1" allowOverlap="1">
            <wp:simplePos x="0" y="0"/>
            <wp:positionH relativeFrom="column">
              <wp:posOffset>979170</wp:posOffset>
            </wp:positionH>
            <wp:positionV relativeFrom="paragraph">
              <wp:posOffset>166370</wp:posOffset>
            </wp:positionV>
            <wp:extent cx="3837940" cy="2311400"/>
            <wp:effectExtent l="4445" t="5080" r="5715" b="7620"/>
            <wp:wrapTopAndBottom/>
            <wp:docPr id="1038"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bookmarkStart w:id="41" w:name="_Toc23595"/>
      <w:bookmarkStart w:id="42" w:name="_Toc15377209"/>
      <w:bookmarkStart w:id="43" w:name="_Toc15396607"/>
      <w:r>
        <w:rPr>
          <w:rFonts w:hint="eastAsia"/>
          <w:sz w:val="32"/>
          <w:szCs w:val="32"/>
          <w:lang w:val="en-US" w:eastAsia="zh-CN"/>
        </w:rPr>
        <w:t xml:space="preserve">    </w:t>
      </w:r>
      <w:r>
        <w:rPr>
          <w:rFonts w:hint="default" w:ascii="Times New Roman" w:hAnsi="Times New Roman" w:eastAsia="黑体" w:cs="Times New Roman"/>
          <w:color w:val="auto"/>
          <w:sz w:val="32"/>
          <w:szCs w:val="32"/>
          <w:highlight w:val="none"/>
        </w:rPr>
        <w:t>五、</w:t>
      </w:r>
      <w:r>
        <w:rPr>
          <w:rFonts w:hint="default" w:ascii="Times New Roman" w:hAnsi="Times New Roman" w:eastAsia="黑体" w:cs="Times New Roman"/>
          <w:b/>
          <w:color w:val="auto"/>
          <w:sz w:val="32"/>
          <w:szCs w:val="32"/>
          <w:highlight w:val="none"/>
        </w:rPr>
        <w:t>一</w:t>
      </w:r>
      <w:r>
        <w:rPr>
          <w:rStyle w:val="31"/>
          <w:rFonts w:hint="default" w:ascii="Times New Roman" w:hAnsi="Times New Roman" w:eastAsia="黑体" w:cs="Times New Roman"/>
          <w:b w:val="0"/>
          <w:color w:val="auto"/>
          <w:highlight w:val="none"/>
        </w:rPr>
        <w:t>般公共预算财政拨款支出决算情况说明</w:t>
      </w:r>
      <w:bookmarkEnd w:id="41"/>
      <w:bookmarkEnd w:id="42"/>
      <w:bookmarkEnd w:id="43"/>
    </w:p>
    <w:p w14:paraId="19F7BFA0">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outlineLvl w:val="2"/>
        <w:rPr>
          <w:rFonts w:hint="eastAsia" w:ascii="楷体_GB2312" w:hAnsi="楷体_GB2312" w:eastAsia="楷体_GB2312" w:cs="楷体_GB2312"/>
          <w:b/>
          <w:color w:val="auto"/>
          <w:sz w:val="32"/>
          <w:szCs w:val="32"/>
          <w:highlight w:val="none"/>
        </w:rPr>
      </w:pPr>
      <w:bookmarkStart w:id="44" w:name="_Toc15377210"/>
      <w:r>
        <w:rPr>
          <w:rFonts w:hint="eastAsia" w:ascii="楷体_GB2312" w:hAnsi="楷体_GB2312" w:eastAsia="楷体_GB2312" w:cs="楷体_GB2312"/>
          <w:b/>
          <w:color w:val="auto"/>
          <w:sz w:val="32"/>
          <w:szCs w:val="32"/>
          <w:highlight w:val="none"/>
        </w:rPr>
        <w:t>（一）一般公共预算财政拨款支出决算总体情况</w:t>
      </w:r>
      <w:bookmarkEnd w:id="44"/>
    </w:p>
    <w:p w14:paraId="75F3B2CC">
      <w:pPr>
        <w:keepNext w:val="0"/>
        <w:keepLines w:val="0"/>
        <w:pageBreakBefore w:val="0"/>
        <w:widowControl w:val="0"/>
        <w:kinsoku/>
        <w:wordWrap/>
        <w:overflowPunct/>
        <w:topLinePunct w:val="0"/>
        <w:autoSpaceDE/>
        <w:autoSpaceDN/>
        <w:bidi w:val="0"/>
        <w:adjustRightInd/>
        <w:snapToGrid/>
        <w:spacing w:line="576" w:lineRule="exact"/>
        <w:ind w:firstLine="630" w:firstLineChars="300"/>
        <w:jc w:val="both"/>
        <w:textAlignment w:val="auto"/>
        <w:rPr>
          <w:rFonts w:hint="default" w:ascii="Times New Roman" w:hAnsi="Times New Roman" w:eastAsia="仿宋_GB2312" w:cs="Times New Roman"/>
          <w:color w:val="000000"/>
          <w:sz w:val="32"/>
          <w:szCs w:val="32"/>
          <w:lang w:val="en-US" w:eastAsia="zh-CN"/>
        </w:rPr>
      </w:pPr>
      <w:r>
        <w:drawing>
          <wp:anchor distT="0" distB="0" distL="114300" distR="114300" simplePos="0" relativeHeight="251662336" behindDoc="0" locked="0" layoutInCell="1" allowOverlap="1">
            <wp:simplePos x="0" y="0"/>
            <wp:positionH relativeFrom="column">
              <wp:posOffset>1163955</wp:posOffset>
            </wp:positionH>
            <wp:positionV relativeFrom="paragraph">
              <wp:posOffset>1911350</wp:posOffset>
            </wp:positionV>
            <wp:extent cx="3618865" cy="2405380"/>
            <wp:effectExtent l="4445" t="4445" r="15240" b="9525"/>
            <wp:wrapTopAndBottom/>
            <wp:docPr id="1042"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年一般公共预算财政拨款支出</w:t>
      </w:r>
      <w:r>
        <w:rPr>
          <w:rFonts w:hint="default" w:ascii="Times New Roman" w:hAnsi="Times New Roman" w:eastAsia="仿宋_GB2312" w:cs="Times New Roman"/>
          <w:color w:val="auto"/>
          <w:sz w:val="32"/>
          <w:szCs w:val="32"/>
          <w:highlight w:val="none"/>
          <w:lang w:val="en-US" w:eastAsia="zh-CN"/>
        </w:rPr>
        <w:t>1165.45</w:t>
      </w:r>
      <w:r>
        <w:rPr>
          <w:rFonts w:hint="default" w:ascii="Times New Roman" w:hAnsi="Times New Roman" w:eastAsia="仿宋_GB2312" w:cs="Times New Roman"/>
          <w:color w:val="auto"/>
          <w:sz w:val="32"/>
          <w:szCs w:val="32"/>
          <w:highlight w:val="none"/>
        </w:rPr>
        <w:t>万元，占本年支出合计的</w:t>
      </w:r>
      <w:r>
        <w:rPr>
          <w:rFonts w:hint="default" w:ascii="Times New Roman" w:hAnsi="Times New Roman"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%。与20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000000"/>
          <w:sz w:val="32"/>
          <w:szCs w:val="32"/>
          <w:lang w:val="en-US" w:eastAsia="zh-CN"/>
        </w:rPr>
        <w:t>1194.89</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auto"/>
          <w:sz w:val="32"/>
          <w:szCs w:val="32"/>
          <w:highlight w:val="none"/>
        </w:rPr>
        <w:t>相比，一般公共预算财政拨款</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000000"/>
          <w:sz w:val="32"/>
          <w:szCs w:val="32"/>
          <w:lang w:val="en-US" w:eastAsia="zh-CN"/>
        </w:rPr>
        <w:t>减少29.44</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val="en-US" w:eastAsia="zh-CN"/>
        </w:rPr>
        <w:t>下降2.46</w:t>
      </w:r>
      <w:r>
        <w:rPr>
          <w:rFonts w:hint="default" w:ascii="Times New Roman" w:hAnsi="Times New Roman" w:eastAsia="仿宋_GB2312" w:cs="Times New Roman"/>
          <w:color w:val="000000"/>
          <w:sz w:val="32"/>
          <w:szCs w:val="32"/>
        </w:rPr>
        <w:t>%。主要变动原因是:</w:t>
      </w:r>
      <w:r>
        <w:rPr>
          <w:rFonts w:hint="default" w:ascii="Times New Roman" w:hAnsi="Times New Roman" w:eastAsia="仿宋_GB2312" w:cs="Times New Roman"/>
          <w:color w:val="000000"/>
          <w:sz w:val="32"/>
          <w:szCs w:val="32"/>
          <w:lang w:val="en-US" w:eastAsia="zh-CN"/>
        </w:rPr>
        <w:t>1</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2021年减少品安全示范县区创建补助经费</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2</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2021年绩效目标奖及零星调资等未纳入预算调整</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3</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2020年专项资金结余。</w:t>
      </w:r>
    </w:p>
    <w:p w14:paraId="504F56AA">
      <w:pPr>
        <w:keepNext w:val="0"/>
        <w:keepLines w:val="0"/>
        <w:pageBreakBefore w:val="0"/>
        <w:widowControl w:val="0"/>
        <w:kinsoku/>
        <w:wordWrap/>
        <w:overflowPunct/>
        <w:topLinePunct w:val="0"/>
        <w:bidi w:val="0"/>
        <w:spacing w:line="576" w:lineRule="exact"/>
        <w:ind w:firstLine="643" w:firstLineChars="200"/>
        <w:jc w:val="both"/>
        <w:textAlignment w:val="auto"/>
        <w:outlineLvl w:val="2"/>
        <w:rPr>
          <w:rFonts w:hint="eastAsia" w:ascii="楷体_GB2312" w:hAnsi="楷体_GB2312" w:eastAsia="楷体_GB2312" w:cs="楷体_GB2312"/>
          <w:b/>
          <w:color w:val="auto"/>
          <w:sz w:val="32"/>
          <w:szCs w:val="32"/>
          <w:highlight w:val="none"/>
        </w:rPr>
      </w:pPr>
      <w:bookmarkStart w:id="45" w:name="_Toc15377211"/>
      <w:r>
        <w:rPr>
          <w:rFonts w:hint="eastAsia" w:ascii="楷体_GB2312" w:hAnsi="楷体_GB2312" w:eastAsia="楷体_GB2312" w:cs="楷体_GB2312"/>
          <w:b/>
          <w:color w:val="auto"/>
          <w:sz w:val="32"/>
          <w:szCs w:val="32"/>
          <w:highlight w:val="none"/>
        </w:rPr>
        <w:t>（二）一般公共预算财政拨款支出决算结构情况</w:t>
      </w:r>
      <w:bookmarkEnd w:id="45"/>
    </w:p>
    <w:p w14:paraId="4232D0D5">
      <w:pPr>
        <w:keepNext w:val="0"/>
        <w:keepLines w:val="0"/>
        <w:pageBreakBefore w:val="0"/>
        <w:widowControl w:val="0"/>
        <w:kinsoku/>
        <w:wordWrap/>
        <w:overflowPunct/>
        <w:topLinePunct w:val="0"/>
        <w:bidi w:val="0"/>
        <w:spacing w:line="240" w:lineRule="auto"/>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年一般公共预算财政拨款支出</w:t>
      </w:r>
      <w:r>
        <w:rPr>
          <w:rFonts w:hint="default" w:ascii="Times New Roman" w:hAnsi="Times New Roman" w:eastAsia="仿宋_GB2312" w:cs="Times New Roman"/>
          <w:color w:val="auto"/>
          <w:sz w:val="32"/>
          <w:szCs w:val="32"/>
          <w:highlight w:val="none"/>
          <w:lang w:val="en-US" w:eastAsia="zh-CN"/>
        </w:rPr>
        <w:t>1165.45</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000000"/>
          <w:sz w:val="32"/>
          <w:szCs w:val="32"/>
        </w:rPr>
        <w:t>主要用于以下方面</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b/>
          <w:color w:val="000000"/>
          <w:sz w:val="32"/>
          <w:szCs w:val="32"/>
        </w:rPr>
        <w:t>一般公共服务（类）</w:t>
      </w:r>
      <w:r>
        <w:rPr>
          <w:rFonts w:hint="default" w:ascii="Times New Roman" w:hAnsi="Times New Roman" w:eastAsia="仿宋_GB2312" w:cs="Times New Roman"/>
          <w:color w:val="000000"/>
          <w:sz w:val="32"/>
          <w:szCs w:val="32"/>
        </w:rPr>
        <w:t>支出</w:t>
      </w:r>
      <w:r>
        <w:rPr>
          <w:rFonts w:hint="default" w:ascii="Times New Roman" w:hAnsi="Times New Roman" w:eastAsia="仿宋_GB2312" w:cs="Times New Roman"/>
          <w:color w:val="000000"/>
          <w:sz w:val="32"/>
          <w:szCs w:val="32"/>
          <w:lang w:val="en-US" w:eastAsia="zh-CN"/>
        </w:rPr>
        <w:t>960.46</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82.0</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
          <w:color w:val="000000"/>
          <w:sz w:val="32"/>
          <w:szCs w:val="32"/>
        </w:rPr>
        <w:t>社会保障和就业（类）</w:t>
      </w:r>
      <w:r>
        <w:rPr>
          <w:rFonts w:hint="default" w:ascii="Times New Roman" w:hAnsi="Times New Roman" w:eastAsia="仿宋_GB2312" w:cs="Times New Roman"/>
          <w:color w:val="000000"/>
          <w:sz w:val="32"/>
          <w:szCs w:val="32"/>
        </w:rPr>
        <w:t>支出</w:t>
      </w:r>
      <w:r>
        <w:rPr>
          <w:rFonts w:hint="default" w:ascii="Times New Roman" w:hAnsi="Times New Roman" w:eastAsia="仿宋_GB2312" w:cs="Times New Roman"/>
          <w:color w:val="000000"/>
          <w:sz w:val="32"/>
          <w:szCs w:val="32"/>
          <w:lang w:val="en-US" w:eastAsia="zh-CN"/>
        </w:rPr>
        <w:t>78.78</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
          <w:bCs/>
          <w:color w:val="000000"/>
          <w:sz w:val="32"/>
          <w:szCs w:val="32"/>
        </w:rPr>
        <w:t>卫生健康</w:t>
      </w:r>
      <w:r>
        <w:rPr>
          <w:rFonts w:hint="default" w:ascii="Times New Roman" w:hAnsi="Times New Roman" w:eastAsia="仿宋_GB2312" w:cs="Times New Roman"/>
          <w:b/>
          <w:color w:val="000000"/>
          <w:sz w:val="32"/>
          <w:szCs w:val="32"/>
        </w:rPr>
        <w:t>（类）</w:t>
      </w:r>
      <w:r>
        <w:rPr>
          <w:rFonts w:hint="default" w:ascii="Times New Roman" w:hAnsi="Times New Roman" w:eastAsia="仿宋_GB2312" w:cs="Times New Roman"/>
          <w:b/>
          <w:bCs/>
          <w:color w:val="000000"/>
          <w:sz w:val="32"/>
          <w:szCs w:val="32"/>
        </w:rPr>
        <w:t>支出</w:t>
      </w:r>
      <w:r>
        <w:rPr>
          <w:rFonts w:hint="default" w:ascii="Times New Roman" w:hAnsi="Times New Roman" w:eastAsia="仿宋_GB2312" w:cs="Times New Roman"/>
          <w:color w:val="000000"/>
          <w:sz w:val="32"/>
          <w:szCs w:val="32"/>
          <w:lang w:val="en-US" w:eastAsia="zh-CN"/>
        </w:rPr>
        <w:t>43.56</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
          <w:color w:val="000000"/>
          <w:sz w:val="32"/>
          <w:szCs w:val="32"/>
        </w:rPr>
        <w:t>住房保障（类）</w:t>
      </w:r>
      <w:r>
        <w:rPr>
          <w:rFonts w:hint="default" w:ascii="Times New Roman" w:hAnsi="Times New Roman" w:eastAsia="仿宋_GB2312" w:cs="Times New Roman"/>
          <w:color w:val="000000"/>
          <w:sz w:val="32"/>
          <w:szCs w:val="32"/>
        </w:rPr>
        <w:t>支出</w:t>
      </w:r>
      <w:r>
        <w:rPr>
          <w:rFonts w:hint="default" w:ascii="Times New Roman" w:hAnsi="Times New Roman" w:eastAsia="仿宋_GB2312" w:cs="Times New Roman"/>
          <w:color w:val="000000"/>
          <w:sz w:val="32"/>
          <w:szCs w:val="32"/>
          <w:lang w:val="en-US" w:eastAsia="zh-CN"/>
        </w:rPr>
        <w:t>82.65</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w:t>
      </w:r>
    </w:p>
    <w:p w14:paraId="7C871C17">
      <w:pPr>
        <w:pStyle w:val="17"/>
        <w:keepNext w:val="0"/>
        <w:keepLines w:val="0"/>
        <w:pageBreakBefore w:val="0"/>
        <w:widowControl w:val="0"/>
        <w:kinsoku/>
        <w:wordWrap/>
        <w:overflowPunct/>
        <w:topLinePunct w:val="0"/>
        <w:bidi w:val="0"/>
        <w:spacing w:beforeLines="0" w:line="240" w:lineRule="auto"/>
        <w:ind w:left="0" w:leftChars="0" w:firstLine="838" w:firstLineChars="419"/>
        <w:jc w:val="both"/>
        <w:textAlignment w:val="auto"/>
        <w:rPr>
          <w:rFonts w:hint="default"/>
        </w:rPr>
      </w:pPr>
      <w:r>
        <w:drawing>
          <wp:inline distT="0" distB="0" distL="114300" distR="114300">
            <wp:extent cx="4191000" cy="2199640"/>
            <wp:effectExtent l="4445" t="4445" r="14605" b="5715"/>
            <wp:docPr id="1043"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08271AF">
      <w:pPr>
        <w:keepNext w:val="0"/>
        <w:keepLines w:val="0"/>
        <w:pageBreakBefore w:val="0"/>
        <w:widowControl w:val="0"/>
        <w:kinsoku/>
        <w:wordWrap/>
        <w:overflowPunct/>
        <w:topLinePunct w:val="0"/>
        <w:bidi w:val="0"/>
        <w:spacing w:line="240" w:lineRule="auto"/>
        <w:ind w:firstLine="643" w:firstLineChars="200"/>
        <w:jc w:val="both"/>
        <w:textAlignment w:val="auto"/>
        <w:outlineLvl w:val="2"/>
        <w:rPr>
          <w:rFonts w:hint="eastAsia" w:ascii="楷体_GB2312" w:hAnsi="楷体_GB2312" w:eastAsia="楷体_GB2312" w:cs="楷体_GB2312"/>
          <w:b/>
          <w:color w:val="auto"/>
          <w:sz w:val="32"/>
          <w:szCs w:val="32"/>
          <w:highlight w:val="none"/>
        </w:rPr>
      </w:pPr>
      <w:bookmarkStart w:id="46" w:name="_Toc15377212"/>
      <w:r>
        <w:rPr>
          <w:rFonts w:hint="eastAsia" w:ascii="楷体_GB2312" w:hAnsi="楷体_GB2312" w:eastAsia="楷体_GB2312" w:cs="楷体_GB2312"/>
          <w:b/>
          <w:color w:val="auto"/>
          <w:sz w:val="32"/>
          <w:szCs w:val="32"/>
          <w:highlight w:val="none"/>
        </w:rPr>
        <w:t>（三）一般公共预算财政拨款支出决算具体情况</w:t>
      </w:r>
      <w:bookmarkEnd w:id="46"/>
    </w:p>
    <w:p w14:paraId="5A8102DB">
      <w:pPr>
        <w:keepNext w:val="0"/>
        <w:keepLines w:val="0"/>
        <w:pageBreakBefore w:val="0"/>
        <w:widowControl w:val="0"/>
        <w:kinsoku/>
        <w:wordWrap/>
        <w:overflowPunct/>
        <w:topLinePunct w:val="0"/>
        <w:bidi w:val="0"/>
        <w:spacing w:line="576" w:lineRule="exact"/>
        <w:ind w:firstLine="643" w:firstLineChars="200"/>
        <w:jc w:val="both"/>
        <w:textAlignment w:val="auto"/>
        <w:outlineLvl w:val="2"/>
        <w:rPr>
          <w:rFonts w:hint="default" w:ascii="Times New Roman" w:hAnsi="Times New Roman" w:eastAsia="仿宋_GB2312" w:cs="Times New Roman"/>
          <w:color w:val="auto"/>
          <w:sz w:val="32"/>
          <w:szCs w:val="32"/>
          <w:highlight w:val="none"/>
        </w:rPr>
      </w:pPr>
      <w:bookmarkStart w:id="47" w:name="_Toc15377213"/>
      <w:bookmarkStart w:id="48" w:name="_Toc15378460"/>
      <w:bookmarkStart w:id="49" w:name="_Toc15377444"/>
      <w:r>
        <w:rPr>
          <w:rFonts w:hint="default" w:ascii="Times New Roman" w:hAnsi="Times New Roman" w:eastAsia="仿宋_GB2312" w:cs="Times New Roman"/>
          <w:b/>
          <w:color w:val="auto"/>
          <w:sz w:val="32"/>
          <w:szCs w:val="32"/>
          <w:highlight w:val="none"/>
        </w:rPr>
        <w:t>20</w:t>
      </w:r>
      <w:r>
        <w:rPr>
          <w:rFonts w:hint="default" w:ascii="Times New Roman" w:hAnsi="Times New Roman" w:eastAsia="仿宋_GB2312" w:cs="Times New Roman"/>
          <w:b/>
          <w:color w:val="auto"/>
          <w:sz w:val="32"/>
          <w:szCs w:val="32"/>
          <w:highlight w:val="none"/>
          <w:lang w:val="en-US" w:eastAsia="zh-CN"/>
        </w:rPr>
        <w:t>21</w:t>
      </w:r>
      <w:r>
        <w:rPr>
          <w:rFonts w:hint="default" w:ascii="Times New Roman" w:hAnsi="Times New Roman" w:eastAsia="仿宋_GB2312" w:cs="Times New Roman"/>
          <w:b/>
          <w:color w:val="auto"/>
          <w:sz w:val="32"/>
          <w:szCs w:val="32"/>
          <w:highlight w:val="none"/>
        </w:rPr>
        <w:t>年</w:t>
      </w:r>
      <w:r>
        <w:rPr>
          <w:rFonts w:hint="default" w:ascii="Times New Roman" w:hAnsi="Times New Roman" w:eastAsia="仿宋_GB2312" w:cs="Times New Roman"/>
          <w:b/>
          <w:color w:val="auto"/>
          <w:sz w:val="32"/>
          <w:szCs w:val="32"/>
          <w:highlight w:val="none"/>
          <w:lang w:eastAsia="zh-CN"/>
        </w:rPr>
        <w:t>一</w:t>
      </w:r>
      <w:r>
        <w:rPr>
          <w:rFonts w:hint="default" w:ascii="Times New Roman" w:hAnsi="Times New Roman" w:eastAsia="仿宋_GB2312" w:cs="Times New Roman"/>
          <w:b/>
          <w:color w:val="auto"/>
          <w:sz w:val="32"/>
          <w:szCs w:val="32"/>
          <w:highlight w:val="none"/>
        </w:rPr>
        <w:t>般公共预算支出决算数为</w:t>
      </w:r>
      <w:r>
        <w:rPr>
          <w:rFonts w:hint="default" w:ascii="Times New Roman" w:hAnsi="Times New Roman" w:eastAsia="仿宋_GB2312" w:cs="Times New Roman"/>
          <w:b/>
          <w:color w:val="auto"/>
          <w:sz w:val="32"/>
          <w:szCs w:val="32"/>
          <w:highlight w:val="none"/>
          <w:lang w:val="en-US" w:eastAsia="zh-CN"/>
        </w:rPr>
        <w:t>1165.45</w:t>
      </w:r>
      <w:r>
        <w:rPr>
          <w:rFonts w:hint="eastAsia" w:ascii="Times New Roman" w:hAnsi="Times New Roman" w:eastAsia="仿宋_GB2312" w:cs="Times New Roman"/>
          <w:b/>
          <w:color w:val="auto"/>
          <w:sz w:val="32"/>
          <w:szCs w:val="32"/>
          <w:highlight w:val="none"/>
          <w:lang w:val="en-US" w:eastAsia="zh-CN"/>
        </w:rPr>
        <w:t>万元</w:t>
      </w:r>
      <w:r>
        <w:rPr>
          <w:rFonts w:hint="default" w:ascii="Times New Roman" w:hAnsi="Times New Roman" w:eastAsia="仿宋_GB2312" w:cs="Times New Roman"/>
          <w:color w:val="auto"/>
          <w:sz w:val="32"/>
          <w:szCs w:val="32"/>
          <w:highlight w:val="none"/>
        </w:rPr>
        <w:t>，</w:t>
      </w:r>
      <w:r>
        <w:rPr>
          <w:rStyle w:val="20"/>
          <w:rFonts w:hint="default" w:ascii="Times New Roman" w:hAnsi="Times New Roman" w:eastAsia="仿宋_GB2312" w:cs="Times New Roman"/>
          <w:bCs/>
          <w:color w:val="auto"/>
          <w:sz w:val="32"/>
          <w:szCs w:val="32"/>
          <w:highlight w:val="none"/>
        </w:rPr>
        <w:t>完成预算</w:t>
      </w:r>
      <w:r>
        <w:rPr>
          <w:rStyle w:val="20"/>
          <w:rFonts w:hint="default" w:ascii="Times New Roman" w:hAnsi="Times New Roman" w:eastAsia="仿宋_GB2312" w:cs="Times New Roman"/>
          <w:bCs/>
          <w:color w:val="auto"/>
          <w:sz w:val="32"/>
          <w:szCs w:val="32"/>
          <w:highlight w:val="none"/>
          <w:lang w:val="en-US" w:eastAsia="zh-CN"/>
        </w:rPr>
        <w:t>100</w:t>
      </w:r>
      <w:r>
        <w:rPr>
          <w:rStyle w:val="20"/>
          <w:rFonts w:hint="default" w:ascii="Times New Roman" w:hAnsi="Times New Roman" w:eastAsia="仿宋_GB2312" w:cs="Times New Roman"/>
          <w:bCs/>
          <w:color w:val="auto"/>
          <w:sz w:val="32"/>
          <w:szCs w:val="32"/>
          <w:highlight w:val="none"/>
        </w:rPr>
        <w:t>%。其中：</w:t>
      </w:r>
      <w:bookmarkEnd w:id="47"/>
      <w:bookmarkEnd w:id="48"/>
      <w:bookmarkEnd w:id="49"/>
    </w:p>
    <w:p w14:paraId="7A8E8B07">
      <w:pPr>
        <w:keepNext w:val="0"/>
        <w:keepLines w:val="0"/>
        <w:pageBreakBefore w:val="0"/>
        <w:widowControl w:val="0"/>
        <w:kinsoku/>
        <w:wordWrap/>
        <w:overflowPunct/>
        <w:topLinePunct w:val="0"/>
        <w:bidi w:val="0"/>
        <w:spacing w:line="576" w:lineRule="exact"/>
        <w:ind w:firstLine="643" w:firstLineChars="200"/>
        <w:jc w:val="both"/>
        <w:textAlignment w:val="auto"/>
        <w:rPr>
          <w:rStyle w:val="20"/>
          <w:rFonts w:hint="default" w:ascii="Times New Roman" w:hAnsi="Times New Roman" w:eastAsia="仿宋_GB2312" w:cs="Times New Roman"/>
          <w:b w:val="0"/>
          <w:color w:val="auto"/>
          <w:sz w:val="32"/>
          <w:szCs w:val="32"/>
        </w:rPr>
      </w:pPr>
      <w:r>
        <w:rPr>
          <w:rStyle w:val="20"/>
          <w:rFonts w:hint="default" w:ascii="Times New Roman" w:hAnsi="Times New Roman" w:eastAsia="仿宋_GB2312" w:cs="Times New Roman"/>
          <w:color w:val="auto"/>
          <w:sz w:val="32"/>
          <w:szCs w:val="32"/>
        </w:rPr>
        <w:t>1.一般公共服务支出（类）</w:t>
      </w:r>
      <w:r>
        <w:rPr>
          <w:rStyle w:val="20"/>
          <w:rFonts w:hint="default" w:ascii="Times New Roman" w:hAnsi="Times New Roman" w:eastAsia="仿宋_GB2312" w:cs="Times New Roman"/>
          <w:color w:val="auto"/>
          <w:sz w:val="32"/>
          <w:szCs w:val="32"/>
          <w:lang w:eastAsia="zh-CN"/>
        </w:rPr>
        <w:t>市场监督管理事务</w:t>
      </w:r>
      <w:r>
        <w:rPr>
          <w:rStyle w:val="20"/>
          <w:rFonts w:hint="default" w:ascii="Times New Roman" w:hAnsi="Times New Roman" w:eastAsia="仿宋_GB2312" w:cs="Times New Roman"/>
          <w:color w:val="auto"/>
          <w:sz w:val="32"/>
          <w:szCs w:val="32"/>
        </w:rPr>
        <w:t>（款）行政运行:</w:t>
      </w:r>
      <w:r>
        <w:rPr>
          <w:rStyle w:val="20"/>
          <w:rFonts w:hint="default" w:ascii="Times New Roman" w:hAnsi="Times New Roman" w:eastAsia="仿宋_GB2312" w:cs="Times New Roman"/>
          <w:b w:val="0"/>
          <w:color w:val="auto"/>
          <w:sz w:val="32"/>
          <w:szCs w:val="32"/>
        </w:rPr>
        <w:t>支出决算为</w:t>
      </w:r>
      <w:r>
        <w:rPr>
          <w:rStyle w:val="20"/>
          <w:rFonts w:hint="default" w:ascii="Times New Roman" w:hAnsi="Times New Roman" w:eastAsia="仿宋_GB2312" w:cs="Times New Roman"/>
          <w:b w:val="0"/>
          <w:color w:val="auto"/>
          <w:sz w:val="32"/>
          <w:szCs w:val="32"/>
          <w:lang w:val="en-US" w:eastAsia="zh-CN"/>
        </w:rPr>
        <w:t>818.45</w:t>
      </w:r>
      <w:r>
        <w:rPr>
          <w:rStyle w:val="20"/>
          <w:rFonts w:hint="default" w:ascii="Times New Roman" w:hAnsi="Times New Roman" w:eastAsia="仿宋_GB2312" w:cs="Times New Roman"/>
          <w:b w:val="0"/>
          <w:color w:val="auto"/>
          <w:sz w:val="32"/>
          <w:szCs w:val="32"/>
        </w:rPr>
        <w:t>万元，</w:t>
      </w:r>
      <w:r>
        <w:rPr>
          <w:rStyle w:val="20"/>
          <w:rFonts w:hint="default" w:ascii="Times New Roman" w:hAnsi="Times New Roman" w:eastAsia="仿宋_GB2312" w:cs="Times New Roman"/>
          <w:b w:val="0"/>
          <w:color w:val="auto"/>
          <w:sz w:val="32"/>
          <w:szCs w:val="32"/>
          <w:lang w:val="en-US" w:eastAsia="zh-CN"/>
        </w:rPr>
        <w:t>预算数为818.45万元，</w:t>
      </w:r>
      <w:r>
        <w:rPr>
          <w:rStyle w:val="20"/>
          <w:rFonts w:hint="default" w:ascii="Times New Roman" w:hAnsi="Times New Roman" w:eastAsia="仿宋_GB2312" w:cs="Times New Roman"/>
          <w:b w:val="0"/>
          <w:color w:val="auto"/>
          <w:sz w:val="32"/>
          <w:szCs w:val="32"/>
        </w:rPr>
        <w:t>完成预算100%；</w:t>
      </w:r>
    </w:p>
    <w:p w14:paraId="3A59D673">
      <w:pPr>
        <w:keepNext w:val="0"/>
        <w:keepLines w:val="0"/>
        <w:pageBreakBefore w:val="0"/>
        <w:widowControl w:val="0"/>
        <w:kinsoku/>
        <w:wordWrap/>
        <w:overflowPunct/>
        <w:topLinePunct w:val="0"/>
        <w:bidi w:val="0"/>
        <w:spacing w:line="576" w:lineRule="exact"/>
        <w:ind w:firstLine="643" w:firstLineChars="200"/>
        <w:jc w:val="both"/>
        <w:textAlignment w:val="auto"/>
        <w:rPr>
          <w:rStyle w:val="20"/>
          <w:rFonts w:hint="default" w:ascii="Times New Roman" w:hAnsi="Times New Roman" w:eastAsia="仿宋_GB2312" w:cs="Times New Roman"/>
          <w:b w:val="0"/>
          <w:color w:val="auto"/>
          <w:sz w:val="32"/>
          <w:szCs w:val="32"/>
          <w:lang w:eastAsia="zh-CN"/>
        </w:rPr>
      </w:pPr>
      <w:r>
        <w:rPr>
          <w:rStyle w:val="20"/>
          <w:rFonts w:hint="default" w:ascii="Times New Roman" w:hAnsi="Times New Roman" w:eastAsia="仿宋_GB2312" w:cs="Times New Roman"/>
          <w:color w:val="auto"/>
          <w:sz w:val="32"/>
          <w:szCs w:val="32"/>
          <w:lang w:val="en-US" w:eastAsia="zh-CN"/>
        </w:rPr>
        <w:t>2</w:t>
      </w:r>
      <w:r>
        <w:rPr>
          <w:rStyle w:val="20"/>
          <w:rFonts w:hint="default" w:ascii="Times New Roman" w:hAnsi="Times New Roman" w:eastAsia="仿宋_GB2312" w:cs="Times New Roman"/>
          <w:color w:val="auto"/>
          <w:sz w:val="32"/>
          <w:szCs w:val="32"/>
        </w:rPr>
        <w:t>.一般公共服务支出（类）</w:t>
      </w:r>
      <w:r>
        <w:rPr>
          <w:rStyle w:val="20"/>
          <w:rFonts w:hint="default" w:ascii="Times New Roman" w:hAnsi="Times New Roman" w:eastAsia="仿宋_GB2312" w:cs="Times New Roman"/>
          <w:color w:val="auto"/>
          <w:sz w:val="32"/>
          <w:szCs w:val="32"/>
          <w:lang w:eastAsia="zh-CN"/>
        </w:rPr>
        <w:t>市场监督管理事务</w:t>
      </w:r>
      <w:r>
        <w:rPr>
          <w:rStyle w:val="20"/>
          <w:rFonts w:hint="default" w:ascii="Times New Roman" w:hAnsi="Times New Roman" w:eastAsia="仿宋_GB2312" w:cs="Times New Roman"/>
          <w:color w:val="auto"/>
          <w:sz w:val="32"/>
          <w:szCs w:val="32"/>
        </w:rPr>
        <w:t>（款）</w:t>
      </w:r>
      <w:r>
        <w:rPr>
          <w:rStyle w:val="20"/>
          <w:rFonts w:hint="default" w:ascii="Times New Roman" w:hAnsi="Times New Roman" w:eastAsia="仿宋_GB2312" w:cs="Times New Roman"/>
          <w:color w:val="auto"/>
          <w:sz w:val="32"/>
          <w:szCs w:val="32"/>
          <w:lang w:eastAsia="zh-CN"/>
        </w:rPr>
        <w:t>市场主体管理</w:t>
      </w:r>
      <w:r>
        <w:rPr>
          <w:rStyle w:val="20"/>
          <w:rFonts w:hint="default" w:ascii="Times New Roman" w:hAnsi="Times New Roman" w:eastAsia="仿宋_GB2312" w:cs="Times New Roman"/>
          <w:color w:val="auto"/>
          <w:sz w:val="32"/>
          <w:szCs w:val="32"/>
        </w:rPr>
        <w:t>：</w:t>
      </w:r>
      <w:r>
        <w:rPr>
          <w:rStyle w:val="20"/>
          <w:rFonts w:hint="default" w:ascii="Times New Roman" w:hAnsi="Times New Roman" w:eastAsia="仿宋_GB2312" w:cs="Times New Roman"/>
          <w:b w:val="0"/>
          <w:color w:val="auto"/>
          <w:sz w:val="32"/>
          <w:szCs w:val="32"/>
        </w:rPr>
        <w:t>支出决算为</w:t>
      </w:r>
      <w:r>
        <w:rPr>
          <w:rStyle w:val="20"/>
          <w:rFonts w:hint="default" w:ascii="Times New Roman" w:hAnsi="Times New Roman" w:eastAsia="仿宋_GB2312" w:cs="Times New Roman"/>
          <w:b w:val="0"/>
          <w:color w:val="auto"/>
          <w:sz w:val="32"/>
          <w:szCs w:val="32"/>
          <w:lang w:val="en-US" w:eastAsia="zh-CN"/>
        </w:rPr>
        <w:t>42.09</w:t>
      </w:r>
      <w:r>
        <w:rPr>
          <w:rStyle w:val="20"/>
          <w:rFonts w:hint="default" w:ascii="Times New Roman" w:hAnsi="Times New Roman" w:eastAsia="仿宋_GB2312" w:cs="Times New Roman"/>
          <w:b w:val="0"/>
          <w:color w:val="auto"/>
          <w:sz w:val="32"/>
          <w:szCs w:val="32"/>
        </w:rPr>
        <w:t>万元，</w:t>
      </w:r>
      <w:r>
        <w:rPr>
          <w:rStyle w:val="20"/>
          <w:rFonts w:hint="default" w:ascii="Times New Roman" w:hAnsi="Times New Roman" w:eastAsia="仿宋_GB2312" w:cs="Times New Roman"/>
          <w:b w:val="0"/>
          <w:color w:val="auto"/>
          <w:sz w:val="32"/>
          <w:szCs w:val="32"/>
          <w:lang w:val="en-US" w:eastAsia="zh-CN"/>
        </w:rPr>
        <w:t>预算数为42.09万元，</w:t>
      </w:r>
      <w:r>
        <w:rPr>
          <w:rStyle w:val="20"/>
          <w:rFonts w:hint="default" w:ascii="Times New Roman" w:hAnsi="Times New Roman" w:eastAsia="仿宋_GB2312" w:cs="Times New Roman"/>
          <w:b w:val="0"/>
          <w:color w:val="auto"/>
          <w:sz w:val="32"/>
          <w:szCs w:val="32"/>
        </w:rPr>
        <w:t>完成预算</w:t>
      </w:r>
      <w:r>
        <w:rPr>
          <w:rStyle w:val="20"/>
          <w:rFonts w:hint="default" w:ascii="Times New Roman" w:hAnsi="Times New Roman" w:eastAsia="仿宋_GB2312" w:cs="Times New Roman"/>
          <w:b w:val="0"/>
          <w:color w:val="auto"/>
          <w:sz w:val="32"/>
          <w:szCs w:val="32"/>
          <w:lang w:val="en-US" w:eastAsia="zh-CN"/>
        </w:rPr>
        <w:t>100</w:t>
      </w:r>
      <w:r>
        <w:rPr>
          <w:rStyle w:val="20"/>
          <w:rFonts w:hint="default" w:ascii="Times New Roman" w:hAnsi="Times New Roman" w:eastAsia="仿宋_GB2312" w:cs="Times New Roman"/>
          <w:b w:val="0"/>
          <w:color w:val="auto"/>
          <w:sz w:val="32"/>
          <w:szCs w:val="32"/>
        </w:rPr>
        <w:t>%</w:t>
      </w:r>
      <w:r>
        <w:rPr>
          <w:rStyle w:val="20"/>
          <w:rFonts w:hint="default" w:ascii="Times New Roman" w:hAnsi="Times New Roman" w:eastAsia="仿宋_GB2312" w:cs="Times New Roman"/>
          <w:b w:val="0"/>
          <w:color w:val="auto"/>
          <w:sz w:val="32"/>
          <w:szCs w:val="32"/>
          <w:lang w:eastAsia="zh-CN"/>
        </w:rPr>
        <w:t>。</w:t>
      </w:r>
    </w:p>
    <w:p w14:paraId="2C08E8BD">
      <w:pPr>
        <w:keepNext w:val="0"/>
        <w:keepLines w:val="0"/>
        <w:pageBreakBefore w:val="0"/>
        <w:widowControl w:val="0"/>
        <w:kinsoku/>
        <w:wordWrap/>
        <w:overflowPunct/>
        <w:topLinePunct w:val="0"/>
        <w:bidi w:val="0"/>
        <w:spacing w:line="576" w:lineRule="exact"/>
        <w:ind w:firstLine="643" w:firstLineChars="200"/>
        <w:jc w:val="both"/>
        <w:textAlignment w:val="auto"/>
        <w:rPr>
          <w:rStyle w:val="20"/>
          <w:rFonts w:hint="default" w:ascii="Times New Roman" w:hAnsi="Times New Roman" w:eastAsia="仿宋_GB2312" w:cs="Times New Roman"/>
          <w:b w:val="0"/>
          <w:color w:val="auto"/>
          <w:sz w:val="32"/>
          <w:szCs w:val="32"/>
        </w:rPr>
      </w:pPr>
      <w:r>
        <w:rPr>
          <w:rStyle w:val="20"/>
          <w:rFonts w:hint="default" w:ascii="Times New Roman" w:hAnsi="Times New Roman" w:eastAsia="仿宋_GB2312" w:cs="Times New Roman"/>
          <w:color w:val="auto"/>
          <w:sz w:val="32"/>
          <w:szCs w:val="32"/>
          <w:lang w:val="en-US" w:eastAsia="zh-CN"/>
        </w:rPr>
        <w:t>3</w:t>
      </w:r>
      <w:r>
        <w:rPr>
          <w:rStyle w:val="20"/>
          <w:rFonts w:hint="eastAsia" w:ascii="Times New Roman" w:hAnsi="Times New Roman" w:eastAsia="仿宋_GB2312" w:cs="Times New Roman"/>
          <w:color w:val="auto"/>
          <w:sz w:val="32"/>
          <w:szCs w:val="32"/>
          <w:lang w:val="en-US" w:eastAsia="zh-CN"/>
        </w:rPr>
        <w:t>.</w:t>
      </w:r>
      <w:r>
        <w:rPr>
          <w:rStyle w:val="20"/>
          <w:rFonts w:hint="default" w:ascii="Times New Roman" w:hAnsi="Times New Roman" w:eastAsia="仿宋_GB2312" w:cs="Times New Roman"/>
          <w:color w:val="auto"/>
          <w:sz w:val="32"/>
          <w:szCs w:val="32"/>
        </w:rPr>
        <w:t>一般公共服务支出（类）</w:t>
      </w:r>
      <w:r>
        <w:rPr>
          <w:rStyle w:val="20"/>
          <w:rFonts w:hint="default" w:ascii="Times New Roman" w:hAnsi="Times New Roman" w:eastAsia="仿宋_GB2312" w:cs="Times New Roman"/>
          <w:color w:val="auto"/>
          <w:sz w:val="32"/>
          <w:szCs w:val="32"/>
          <w:lang w:eastAsia="zh-CN"/>
        </w:rPr>
        <w:t>市场监督管理事务</w:t>
      </w:r>
      <w:r>
        <w:rPr>
          <w:rStyle w:val="20"/>
          <w:rFonts w:hint="default" w:ascii="Times New Roman" w:hAnsi="Times New Roman" w:eastAsia="仿宋_GB2312" w:cs="Times New Roman"/>
          <w:color w:val="auto"/>
          <w:sz w:val="32"/>
          <w:szCs w:val="32"/>
        </w:rPr>
        <w:t>（款）</w:t>
      </w:r>
      <w:r>
        <w:rPr>
          <w:rStyle w:val="20"/>
          <w:rFonts w:hint="default" w:ascii="Times New Roman" w:hAnsi="Times New Roman" w:eastAsia="仿宋_GB2312" w:cs="Times New Roman"/>
          <w:color w:val="auto"/>
          <w:sz w:val="32"/>
          <w:szCs w:val="32"/>
          <w:lang w:eastAsia="zh-CN"/>
        </w:rPr>
        <w:t>药品事务：</w:t>
      </w:r>
      <w:r>
        <w:rPr>
          <w:rStyle w:val="20"/>
          <w:rFonts w:hint="default" w:ascii="Times New Roman" w:hAnsi="Times New Roman" w:eastAsia="仿宋_GB2312" w:cs="Times New Roman"/>
          <w:b w:val="0"/>
          <w:color w:val="auto"/>
          <w:sz w:val="32"/>
          <w:szCs w:val="32"/>
        </w:rPr>
        <w:t>支出决算为</w:t>
      </w:r>
      <w:r>
        <w:rPr>
          <w:rStyle w:val="20"/>
          <w:rFonts w:hint="default" w:ascii="Times New Roman" w:hAnsi="Times New Roman" w:eastAsia="仿宋_GB2312" w:cs="Times New Roman"/>
          <w:b w:val="0"/>
          <w:color w:val="auto"/>
          <w:sz w:val="32"/>
          <w:szCs w:val="32"/>
          <w:lang w:val="en-US" w:eastAsia="zh-CN"/>
        </w:rPr>
        <w:t>33.8</w:t>
      </w:r>
      <w:r>
        <w:rPr>
          <w:rStyle w:val="20"/>
          <w:rFonts w:hint="default" w:ascii="Times New Roman" w:hAnsi="Times New Roman" w:eastAsia="仿宋_GB2312" w:cs="Times New Roman"/>
          <w:b w:val="0"/>
          <w:color w:val="auto"/>
          <w:sz w:val="32"/>
          <w:szCs w:val="32"/>
        </w:rPr>
        <w:t>万元，完成预算</w:t>
      </w:r>
      <w:r>
        <w:rPr>
          <w:rStyle w:val="20"/>
          <w:rFonts w:hint="default" w:ascii="Times New Roman" w:hAnsi="Times New Roman" w:eastAsia="仿宋_GB2312" w:cs="Times New Roman"/>
          <w:b w:val="0"/>
          <w:color w:val="auto"/>
          <w:sz w:val="32"/>
          <w:szCs w:val="32"/>
          <w:lang w:val="en-US" w:eastAsia="zh-CN"/>
        </w:rPr>
        <w:t>100</w:t>
      </w:r>
      <w:r>
        <w:rPr>
          <w:rStyle w:val="20"/>
          <w:rFonts w:hint="default" w:ascii="Times New Roman" w:hAnsi="Times New Roman" w:eastAsia="仿宋_GB2312" w:cs="Times New Roman"/>
          <w:b w:val="0"/>
          <w:color w:val="auto"/>
          <w:sz w:val="32"/>
          <w:szCs w:val="32"/>
        </w:rPr>
        <w:t>%</w:t>
      </w:r>
    </w:p>
    <w:p w14:paraId="4973A9DE">
      <w:pPr>
        <w:keepNext w:val="0"/>
        <w:keepLines w:val="0"/>
        <w:pageBreakBefore w:val="0"/>
        <w:widowControl w:val="0"/>
        <w:kinsoku/>
        <w:wordWrap/>
        <w:overflowPunct/>
        <w:topLinePunct w:val="0"/>
        <w:bidi w:val="0"/>
        <w:spacing w:line="576" w:lineRule="exact"/>
        <w:ind w:firstLine="643" w:firstLineChars="200"/>
        <w:jc w:val="both"/>
        <w:textAlignment w:val="auto"/>
        <w:rPr>
          <w:rStyle w:val="20"/>
          <w:rFonts w:hint="default" w:ascii="Times New Roman" w:hAnsi="Times New Roman" w:eastAsia="仿宋_GB2312" w:cs="Times New Roman"/>
          <w:b w:val="0"/>
          <w:color w:val="auto"/>
          <w:sz w:val="32"/>
          <w:szCs w:val="32"/>
        </w:rPr>
      </w:pPr>
      <w:r>
        <w:rPr>
          <w:rStyle w:val="20"/>
          <w:rFonts w:hint="default" w:ascii="Times New Roman" w:hAnsi="Times New Roman" w:eastAsia="仿宋_GB2312" w:cs="Times New Roman"/>
          <w:color w:val="auto"/>
          <w:sz w:val="32"/>
          <w:szCs w:val="32"/>
          <w:lang w:val="en-US" w:eastAsia="zh-CN"/>
        </w:rPr>
        <w:t>4.其他市场监督管理事务201（类）38（款）99（项）药品事务</w:t>
      </w:r>
      <w:r>
        <w:rPr>
          <w:rStyle w:val="20"/>
          <w:rFonts w:hint="default" w:ascii="Times New Roman" w:hAnsi="Times New Roman" w:eastAsia="仿宋_GB2312" w:cs="Times New Roman"/>
          <w:color w:val="auto"/>
          <w:sz w:val="32"/>
          <w:szCs w:val="32"/>
          <w:lang w:eastAsia="zh-CN"/>
        </w:rPr>
        <w:t>：</w:t>
      </w:r>
      <w:r>
        <w:rPr>
          <w:rStyle w:val="20"/>
          <w:rFonts w:hint="default" w:ascii="Times New Roman" w:hAnsi="Times New Roman" w:eastAsia="仿宋_GB2312" w:cs="Times New Roman"/>
          <w:b w:val="0"/>
          <w:color w:val="auto"/>
          <w:sz w:val="32"/>
          <w:szCs w:val="32"/>
        </w:rPr>
        <w:t>支出决算为</w:t>
      </w:r>
      <w:r>
        <w:rPr>
          <w:rStyle w:val="20"/>
          <w:rFonts w:hint="default" w:ascii="Times New Roman" w:hAnsi="Times New Roman" w:eastAsia="仿宋_GB2312" w:cs="Times New Roman"/>
          <w:b w:val="0"/>
          <w:color w:val="auto"/>
          <w:sz w:val="32"/>
          <w:szCs w:val="32"/>
          <w:lang w:val="en-US" w:eastAsia="zh-CN"/>
        </w:rPr>
        <w:t>66.12</w:t>
      </w:r>
      <w:r>
        <w:rPr>
          <w:rStyle w:val="20"/>
          <w:rFonts w:hint="default" w:ascii="Times New Roman" w:hAnsi="Times New Roman" w:eastAsia="仿宋_GB2312" w:cs="Times New Roman"/>
          <w:b w:val="0"/>
          <w:color w:val="auto"/>
          <w:sz w:val="32"/>
          <w:szCs w:val="32"/>
        </w:rPr>
        <w:t>万元，</w:t>
      </w:r>
      <w:r>
        <w:rPr>
          <w:rStyle w:val="20"/>
          <w:rFonts w:hint="default" w:ascii="Times New Roman" w:hAnsi="Times New Roman" w:eastAsia="仿宋_GB2312" w:cs="Times New Roman"/>
          <w:b w:val="0"/>
          <w:color w:val="auto"/>
          <w:sz w:val="32"/>
          <w:szCs w:val="32"/>
          <w:lang w:val="en-US" w:eastAsia="zh-CN"/>
        </w:rPr>
        <w:t>预算数为66.12万元，</w:t>
      </w:r>
      <w:r>
        <w:rPr>
          <w:rStyle w:val="20"/>
          <w:rFonts w:hint="default" w:ascii="Times New Roman" w:hAnsi="Times New Roman" w:eastAsia="仿宋_GB2312" w:cs="Times New Roman"/>
          <w:b w:val="0"/>
          <w:color w:val="auto"/>
          <w:sz w:val="32"/>
          <w:szCs w:val="32"/>
        </w:rPr>
        <w:t>完成预算</w:t>
      </w:r>
      <w:r>
        <w:rPr>
          <w:rStyle w:val="20"/>
          <w:rFonts w:hint="default" w:ascii="Times New Roman" w:hAnsi="Times New Roman" w:eastAsia="仿宋_GB2312" w:cs="Times New Roman"/>
          <w:b w:val="0"/>
          <w:color w:val="auto"/>
          <w:sz w:val="32"/>
          <w:szCs w:val="32"/>
          <w:lang w:val="en-US" w:eastAsia="zh-CN"/>
        </w:rPr>
        <w:t>100</w:t>
      </w:r>
      <w:r>
        <w:rPr>
          <w:rStyle w:val="20"/>
          <w:rFonts w:hint="default" w:ascii="Times New Roman" w:hAnsi="Times New Roman" w:eastAsia="仿宋_GB2312" w:cs="Times New Roman"/>
          <w:b w:val="0"/>
          <w:color w:val="auto"/>
          <w:sz w:val="32"/>
          <w:szCs w:val="32"/>
        </w:rPr>
        <w:t>%</w:t>
      </w:r>
    </w:p>
    <w:p w14:paraId="29D4D053">
      <w:pPr>
        <w:keepNext w:val="0"/>
        <w:keepLines w:val="0"/>
        <w:pageBreakBefore w:val="0"/>
        <w:widowControl w:val="0"/>
        <w:kinsoku/>
        <w:wordWrap/>
        <w:overflowPunct/>
        <w:topLinePunct w:val="0"/>
        <w:bidi w:val="0"/>
        <w:spacing w:line="576" w:lineRule="exact"/>
        <w:ind w:firstLine="643" w:firstLineChars="200"/>
        <w:jc w:val="both"/>
        <w:textAlignment w:val="auto"/>
        <w:rPr>
          <w:rStyle w:val="20"/>
          <w:rFonts w:hint="default" w:ascii="Times New Roman" w:hAnsi="Times New Roman" w:eastAsia="仿宋_GB2312" w:cs="Times New Roman"/>
          <w:bCs w:val="0"/>
          <w:color w:val="auto"/>
          <w:sz w:val="32"/>
          <w:szCs w:val="32"/>
        </w:rPr>
      </w:pPr>
      <w:r>
        <w:rPr>
          <w:rStyle w:val="20"/>
          <w:rFonts w:hint="default" w:ascii="Times New Roman" w:hAnsi="Times New Roman" w:eastAsia="仿宋_GB2312" w:cs="Times New Roman"/>
          <w:color w:val="auto"/>
          <w:sz w:val="32"/>
          <w:szCs w:val="32"/>
          <w:lang w:val="en-US" w:eastAsia="zh-CN"/>
        </w:rPr>
        <w:t>5</w:t>
      </w:r>
      <w:r>
        <w:rPr>
          <w:rStyle w:val="20"/>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社会保障和就业（类）</w:t>
      </w:r>
      <w:r>
        <w:rPr>
          <w:rFonts w:hint="eastAsia" w:eastAsia="仿宋_GB2312" w:cs="Times New Roman"/>
          <w:color w:val="auto"/>
          <w:sz w:val="32"/>
          <w:szCs w:val="32"/>
          <w:lang w:eastAsia="zh-CN"/>
        </w:rPr>
        <w:t>行政事业单位</w:t>
      </w:r>
      <w:r>
        <w:rPr>
          <w:rFonts w:hint="default" w:ascii="Times New Roman" w:hAnsi="Times New Roman" w:eastAsia="仿宋_GB2312" w:cs="Times New Roman"/>
          <w:color w:val="auto"/>
          <w:sz w:val="32"/>
          <w:szCs w:val="32"/>
        </w:rPr>
        <w:t>养老保险支出（款）机关失业单位基本</w:t>
      </w:r>
      <w:r>
        <w:rPr>
          <w:rFonts w:hint="eastAsia" w:ascii="Times New Roman" w:hAnsi="Times New Roman" w:eastAsia="仿宋_GB2312" w:cs="Times New Roman"/>
          <w:color w:val="auto"/>
          <w:sz w:val="32"/>
          <w:szCs w:val="32"/>
          <w:lang w:eastAsia="zh-CN"/>
        </w:rPr>
        <w:t>养老</w:t>
      </w:r>
      <w:r>
        <w:rPr>
          <w:rFonts w:hint="default" w:ascii="Times New Roman" w:hAnsi="Times New Roman" w:eastAsia="仿宋_GB2312" w:cs="Times New Roman"/>
          <w:color w:val="auto"/>
          <w:sz w:val="32"/>
          <w:szCs w:val="32"/>
        </w:rPr>
        <w:t>保险缴费支出（项）</w:t>
      </w:r>
      <w:r>
        <w:rPr>
          <w:rStyle w:val="20"/>
          <w:rFonts w:hint="default" w:ascii="Times New Roman" w:hAnsi="Times New Roman" w:eastAsia="仿宋_GB2312" w:cs="Times New Roman"/>
          <w:color w:val="auto"/>
          <w:sz w:val="32"/>
          <w:szCs w:val="32"/>
        </w:rPr>
        <w:t>:</w:t>
      </w:r>
      <w:r>
        <w:rPr>
          <w:rStyle w:val="20"/>
          <w:rFonts w:hint="default" w:ascii="Times New Roman" w:hAnsi="Times New Roman" w:eastAsia="仿宋_GB2312" w:cs="Times New Roman"/>
          <w:b w:val="0"/>
          <w:color w:val="auto"/>
          <w:sz w:val="32"/>
          <w:szCs w:val="32"/>
        </w:rPr>
        <w:t xml:space="preserve"> 支出决算为</w:t>
      </w:r>
      <w:r>
        <w:rPr>
          <w:rStyle w:val="20"/>
          <w:rFonts w:hint="default" w:ascii="Times New Roman" w:hAnsi="Times New Roman" w:eastAsia="仿宋_GB2312" w:cs="Times New Roman"/>
          <w:b w:val="0"/>
          <w:color w:val="auto"/>
          <w:sz w:val="32"/>
          <w:szCs w:val="32"/>
          <w:lang w:val="en-US" w:eastAsia="zh-CN"/>
        </w:rPr>
        <w:t>78.78</w:t>
      </w:r>
      <w:r>
        <w:rPr>
          <w:rStyle w:val="20"/>
          <w:rFonts w:hint="default" w:ascii="Times New Roman" w:hAnsi="Times New Roman" w:eastAsia="仿宋_GB2312" w:cs="Times New Roman"/>
          <w:b w:val="0"/>
          <w:color w:val="auto"/>
          <w:sz w:val="32"/>
          <w:szCs w:val="32"/>
        </w:rPr>
        <w:t>万元，</w:t>
      </w:r>
      <w:r>
        <w:rPr>
          <w:rStyle w:val="20"/>
          <w:rFonts w:hint="default" w:ascii="Times New Roman" w:hAnsi="Times New Roman" w:eastAsia="仿宋_GB2312" w:cs="Times New Roman"/>
          <w:b w:val="0"/>
          <w:color w:val="auto"/>
          <w:sz w:val="32"/>
          <w:szCs w:val="32"/>
          <w:lang w:val="en-US" w:eastAsia="zh-CN"/>
        </w:rPr>
        <w:t>预算数为78.78万元，</w:t>
      </w:r>
      <w:r>
        <w:rPr>
          <w:rStyle w:val="20"/>
          <w:rFonts w:hint="default" w:ascii="Times New Roman" w:hAnsi="Times New Roman" w:eastAsia="仿宋_GB2312" w:cs="Times New Roman"/>
          <w:b w:val="0"/>
          <w:color w:val="auto"/>
          <w:sz w:val="32"/>
          <w:szCs w:val="32"/>
        </w:rPr>
        <w:t>完成预算100%。</w:t>
      </w:r>
    </w:p>
    <w:p w14:paraId="7097240D">
      <w:pPr>
        <w:keepNext w:val="0"/>
        <w:keepLines w:val="0"/>
        <w:pageBreakBefore w:val="0"/>
        <w:widowControl w:val="0"/>
        <w:kinsoku/>
        <w:wordWrap/>
        <w:overflowPunct/>
        <w:topLinePunct w:val="0"/>
        <w:bidi w:val="0"/>
        <w:spacing w:line="576" w:lineRule="exact"/>
        <w:ind w:firstLine="643" w:firstLineChars="200"/>
        <w:jc w:val="both"/>
        <w:textAlignment w:val="auto"/>
        <w:rPr>
          <w:rStyle w:val="20"/>
          <w:rFonts w:hint="default" w:ascii="Times New Roman" w:hAnsi="Times New Roman" w:eastAsia="仿宋_GB2312" w:cs="Times New Roman"/>
          <w:b w:val="0"/>
          <w:color w:val="auto"/>
          <w:sz w:val="32"/>
          <w:szCs w:val="32"/>
        </w:rPr>
      </w:pPr>
      <w:r>
        <w:rPr>
          <w:rStyle w:val="20"/>
          <w:rFonts w:hint="default" w:ascii="Times New Roman" w:hAnsi="Times New Roman" w:eastAsia="仿宋_GB2312" w:cs="Times New Roman"/>
          <w:color w:val="auto"/>
          <w:sz w:val="32"/>
          <w:szCs w:val="32"/>
          <w:lang w:val="en-US" w:eastAsia="zh-CN"/>
        </w:rPr>
        <w:t>6</w:t>
      </w:r>
      <w:r>
        <w:rPr>
          <w:rStyle w:val="20"/>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卫生健康（类）行政事业单位医疗（款）行政单位医疗（项）</w:t>
      </w:r>
      <w:r>
        <w:rPr>
          <w:rStyle w:val="20"/>
          <w:rFonts w:hint="default" w:ascii="Times New Roman" w:hAnsi="Times New Roman" w:eastAsia="仿宋_GB2312" w:cs="Times New Roman"/>
          <w:color w:val="auto"/>
          <w:sz w:val="32"/>
          <w:szCs w:val="32"/>
        </w:rPr>
        <w:t>:</w:t>
      </w:r>
      <w:r>
        <w:rPr>
          <w:rStyle w:val="20"/>
          <w:rFonts w:hint="default" w:ascii="Times New Roman" w:hAnsi="Times New Roman" w:eastAsia="仿宋_GB2312" w:cs="Times New Roman"/>
          <w:b w:val="0"/>
          <w:color w:val="auto"/>
          <w:sz w:val="32"/>
          <w:szCs w:val="32"/>
        </w:rPr>
        <w:t>支出决算为</w:t>
      </w:r>
      <w:r>
        <w:rPr>
          <w:rStyle w:val="20"/>
          <w:rFonts w:hint="default" w:ascii="Times New Roman" w:hAnsi="Times New Roman" w:eastAsia="仿宋_GB2312" w:cs="Times New Roman"/>
          <w:b w:val="0"/>
          <w:color w:val="auto"/>
          <w:sz w:val="32"/>
          <w:szCs w:val="32"/>
          <w:lang w:val="en-US" w:eastAsia="zh-CN"/>
        </w:rPr>
        <w:t>43.56</w:t>
      </w:r>
      <w:r>
        <w:rPr>
          <w:rStyle w:val="20"/>
          <w:rFonts w:hint="default" w:ascii="Times New Roman" w:hAnsi="Times New Roman" w:eastAsia="仿宋_GB2312" w:cs="Times New Roman"/>
          <w:b w:val="0"/>
          <w:color w:val="auto"/>
          <w:sz w:val="32"/>
          <w:szCs w:val="32"/>
        </w:rPr>
        <w:t>万元，</w:t>
      </w:r>
      <w:r>
        <w:rPr>
          <w:rStyle w:val="20"/>
          <w:rFonts w:hint="default" w:ascii="Times New Roman" w:hAnsi="Times New Roman" w:eastAsia="仿宋_GB2312" w:cs="Times New Roman"/>
          <w:b w:val="0"/>
          <w:color w:val="auto"/>
          <w:sz w:val="32"/>
          <w:szCs w:val="32"/>
          <w:lang w:val="en-US" w:eastAsia="zh-CN"/>
        </w:rPr>
        <w:t>预算数为43.56万元，</w:t>
      </w:r>
      <w:r>
        <w:rPr>
          <w:rStyle w:val="20"/>
          <w:rFonts w:hint="default" w:ascii="Times New Roman" w:hAnsi="Times New Roman" w:eastAsia="仿宋_GB2312" w:cs="Times New Roman"/>
          <w:b w:val="0"/>
          <w:color w:val="auto"/>
          <w:sz w:val="32"/>
          <w:szCs w:val="32"/>
        </w:rPr>
        <w:t>完成预算100%。</w:t>
      </w:r>
    </w:p>
    <w:p w14:paraId="3F628D8E">
      <w:pPr>
        <w:keepNext w:val="0"/>
        <w:keepLines w:val="0"/>
        <w:pageBreakBefore w:val="0"/>
        <w:widowControl w:val="0"/>
        <w:kinsoku/>
        <w:wordWrap/>
        <w:overflowPunct/>
        <w:topLinePunct w:val="0"/>
        <w:bidi w:val="0"/>
        <w:spacing w:line="576" w:lineRule="exact"/>
        <w:ind w:firstLine="640" w:firstLineChars="200"/>
        <w:jc w:val="both"/>
        <w:textAlignment w:val="auto"/>
        <w:rPr>
          <w:rFonts w:hint="default" w:ascii="Times New Roman" w:hAnsi="Times New Roman" w:eastAsia="仿宋_GB2312" w:cs="Times New Roman"/>
          <w:bCs/>
          <w:color w:val="000000"/>
          <w:sz w:val="32"/>
          <w:szCs w:val="32"/>
        </w:rPr>
      </w:pPr>
      <w:r>
        <w:rPr>
          <w:rStyle w:val="20"/>
          <w:rFonts w:hint="default" w:ascii="Times New Roman" w:hAnsi="Times New Roman" w:eastAsia="仿宋_GB2312" w:cs="Times New Roman"/>
          <w:b w:val="0"/>
          <w:color w:val="auto"/>
          <w:sz w:val="32"/>
          <w:szCs w:val="32"/>
          <w:lang w:val="en-US" w:eastAsia="zh-CN"/>
        </w:rPr>
        <w:t>7</w:t>
      </w:r>
      <w:r>
        <w:rPr>
          <w:rStyle w:val="20"/>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住房保障支出（类）住房改革支出（款）住房公积金</w:t>
      </w:r>
      <w:r>
        <w:rPr>
          <w:rStyle w:val="20"/>
          <w:rFonts w:hint="default" w:ascii="Times New Roman" w:hAnsi="Times New Roman" w:eastAsia="仿宋_GB2312" w:cs="Times New Roman"/>
          <w:color w:val="000000"/>
          <w:sz w:val="32"/>
          <w:szCs w:val="32"/>
        </w:rPr>
        <w:t>：</w:t>
      </w:r>
      <w:r>
        <w:rPr>
          <w:rStyle w:val="20"/>
          <w:rFonts w:hint="default" w:ascii="Times New Roman" w:hAnsi="Times New Roman" w:eastAsia="仿宋_GB2312" w:cs="Times New Roman"/>
          <w:b w:val="0"/>
          <w:color w:val="000000"/>
          <w:sz w:val="32"/>
          <w:szCs w:val="32"/>
        </w:rPr>
        <w:t>支出决算为</w:t>
      </w:r>
      <w:r>
        <w:rPr>
          <w:rStyle w:val="20"/>
          <w:rFonts w:hint="default" w:ascii="Times New Roman" w:hAnsi="Times New Roman" w:eastAsia="仿宋_GB2312" w:cs="Times New Roman"/>
          <w:b w:val="0"/>
          <w:color w:val="000000"/>
          <w:sz w:val="32"/>
          <w:szCs w:val="32"/>
          <w:lang w:val="en-US" w:eastAsia="zh-CN"/>
        </w:rPr>
        <w:t>82.65</w:t>
      </w:r>
      <w:r>
        <w:rPr>
          <w:rStyle w:val="20"/>
          <w:rFonts w:hint="default" w:ascii="Times New Roman" w:hAnsi="Times New Roman" w:eastAsia="仿宋_GB2312" w:cs="Times New Roman"/>
          <w:b w:val="0"/>
          <w:color w:val="000000"/>
          <w:sz w:val="32"/>
          <w:szCs w:val="32"/>
        </w:rPr>
        <w:t>万元，</w:t>
      </w:r>
      <w:r>
        <w:rPr>
          <w:rStyle w:val="20"/>
          <w:rFonts w:hint="default" w:ascii="Times New Roman" w:hAnsi="Times New Roman" w:eastAsia="仿宋_GB2312" w:cs="Times New Roman"/>
          <w:b w:val="0"/>
          <w:color w:val="000000"/>
          <w:sz w:val="32"/>
          <w:szCs w:val="32"/>
          <w:lang w:val="en-US" w:eastAsia="zh-CN"/>
        </w:rPr>
        <w:t>预算数为82.65万元，</w:t>
      </w:r>
      <w:r>
        <w:rPr>
          <w:rStyle w:val="20"/>
          <w:rFonts w:hint="default" w:ascii="Times New Roman" w:hAnsi="Times New Roman" w:eastAsia="仿宋_GB2312" w:cs="Times New Roman"/>
          <w:b w:val="0"/>
          <w:color w:val="000000"/>
          <w:sz w:val="32"/>
          <w:szCs w:val="32"/>
        </w:rPr>
        <w:t>完成预算100%</w:t>
      </w:r>
    </w:p>
    <w:p w14:paraId="5C50A1E8">
      <w:pPr>
        <w:keepNext w:val="0"/>
        <w:keepLines w:val="0"/>
        <w:pageBreakBefore w:val="0"/>
        <w:widowControl w:val="0"/>
        <w:tabs>
          <w:tab w:val="right" w:pos="8306"/>
        </w:tabs>
        <w:kinsoku/>
        <w:wordWrap/>
        <w:overflowPunct/>
        <w:topLinePunct w:val="0"/>
        <w:bidi w:val="0"/>
        <w:spacing w:line="576" w:lineRule="exact"/>
        <w:ind w:firstLine="640"/>
        <w:jc w:val="both"/>
        <w:textAlignment w:val="auto"/>
        <w:outlineLvl w:val="1"/>
        <w:rPr>
          <w:rStyle w:val="31"/>
          <w:rFonts w:hint="default" w:ascii="Times New Roman" w:hAnsi="Times New Roman" w:cs="Times New Roman"/>
          <w:color w:val="auto"/>
          <w:highlight w:val="none"/>
        </w:rPr>
      </w:pPr>
      <w:bookmarkStart w:id="50" w:name="_Toc1333"/>
      <w:bookmarkStart w:id="51" w:name="_Toc15377214"/>
      <w:bookmarkStart w:id="52" w:name="_Toc15396608"/>
      <w:r>
        <w:rPr>
          <w:rFonts w:hint="default" w:ascii="Times New Roman" w:hAnsi="Times New Roman" w:eastAsia="黑体" w:cs="Times New Roman"/>
          <w:color w:val="auto"/>
          <w:sz w:val="32"/>
          <w:szCs w:val="32"/>
          <w:highlight w:val="none"/>
        </w:rPr>
        <w:t>六</w:t>
      </w:r>
      <w:r>
        <w:rPr>
          <w:rFonts w:hint="default" w:ascii="Times New Roman" w:hAnsi="Times New Roman" w:eastAsia="黑体" w:cs="Times New Roman"/>
          <w:b/>
          <w:color w:val="auto"/>
          <w:sz w:val="32"/>
          <w:szCs w:val="32"/>
          <w:highlight w:val="none"/>
        </w:rPr>
        <w:t>、一</w:t>
      </w:r>
      <w:r>
        <w:rPr>
          <w:rStyle w:val="31"/>
          <w:rFonts w:hint="default" w:ascii="Times New Roman" w:hAnsi="Times New Roman" w:eastAsia="黑体" w:cs="Times New Roman"/>
          <w:b w:val="0"/>
          <w:color w:val="auto"/>
          <w:highlight w:val="none"/>
        </w:rPr>
        <w:t>般公共预算财政拨款基本支出决算情况说明</w:t>
      </w:r>
      <w:bookmarkEnd w:id="50"/>
      <w:bookmarkEnd w:id="51"/>
      <w:bookmarkEnd w:id="52"/>
      <w:r>
        <w:rPr>
          <w:rStyle w:val="31"/>
          <w:rFonts w:hint="default" w:ascii="Times New Roman" w:hAnsi="Times New Roman" w:eastAsia="黑体" w:cs="Times New Roman"/>
          <w:b w:val="0"/>
          <w:color w:val="auto"/>
          <w:highlight w:val="none"/>
        </w:rPr>
        <w:tab/>
      </w:r>
    </w:p>
    <w:p w14:paraId="50074985">
      <w:pPr>
        <w:keepNext w:val="0"/>
        <w:keepLines w:val="0"/>
        <w:pageBreakBefore w:val="0"/>
        <w:widowControl w:val="0"/>
        <w:kinsoku/>
        <w:wordWrap/>
        <w:overflowPunct/>
        <w:topLinePunct w:val="0"/>
        <w:bidi w:val="0"/>
        <w:spacing w:line="576" w:lineRule="exact"/>
        <w:ind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000000"/>
          <w:sz w:val="32"/>
          <w:szCs w:val="32"/>
        </w:rPr>
        <w:t>20</w:t>
      </w:r>
      <w:r>
        <w:rPr>
          <w:rFonts w:hint="default" w:ascii="Times New Roman" w:hAnsi="Times New Roman" w:eastAsia="仿宋_GB2312" w:cs="Times New Roman"/>
          <w:color w:val="000000"/>
          <w:sz w:val="32"/>
          <w:szCs w:val="32"/>
          <w:lang w:val="en-US" w:eastAsia="zh-CN"/>
        </w:rPr>
        <w:t>21</w:t>
      </w:r>
      <w:r>
        <w:rPr>
          <w:rFonts w:hint="default" w:ascii="Times New Roman" w:hAnsi="Times New Roman" w:eastAsia="仿宋_GB2312" w:cs="Times New Roman"/>
          <w:color w:val="000000"/>
          <w:sz w:val="32"/>
          <w:szCs w:val="32"/>
        </w:rPr>
        <w:t>年度一般公共预算财政拨款基</w:t>
      </w:r>
      <w:r>
        <w:rPr>
          <w:rFonts w:hint="default" w:ascii="Times New Roman" w:hAnsi="Times New Roman" w:eastAsia="仿宋_GB2312" w:cs="Times New Roman"/>
          <w:color w:val="auto"/>
          <w:sz w:val="32"/>
          <w:szCs w:val="32"/>
        </w:rPr>
        <w:t>本支出</w:t>
      </w:r>
      <w:r>
        <w:rPr>
          <w:rFonts w:hint="default" w:ascii="Times New Roman" w:hAnsi="Times New Roman" w:eastAsia="仿宋_GB2312" w:cs="Times New Roman"/>
          <w:color w:val="auto"/>
          <w:sz w:val="32"/>
          <w:szCs w:val="32"/>
          <w:lang w:val="en-US" w:eastAsia="zh-CN"/>
        </w:rPr>
        <w:t>1023.41</w:t>
      </w:r>
      <w:r>
        <w:rPr>
          <w:rFonts w:hint="default" w:ascii="Times New Roman" w:hAnsi="Times New Roman" w:eastAsia="仿宋_GB2312" w:cs="Times New Roman"/>
          <w:color w:val="auto"/>
          <w:sz w:val="32"/>
          <w:szCs w:val="32"/>
        </w:rPr>
        <w:t>万元，其中：</w:t>
      </w:r>
    </w:p>
    <w:p w14:paraId="5E0B63C6">
      <w:pPr>
        <w:keepNext w:val="0"/>
        <w:keepLines w:val="0"/>
        <w:pageBreakBefore w:val="0"/>
        <w:widowControl w:val="0"/>
        <w:kinsoku/>
        <w:wordWrap/>
        <w:overflowPunct/>
        <w:topLinePunct w:val="0"/>
        <w:bidi w:val="0"/>
        <w:spacing w:line="576" w:lineRule="exact"/>
        <w:ind w:firstLine="645"/>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人员经费</w:t>
      </w:r>
      <w:r>
        <w:rPr>
          <w:rFonts w:hint="default" w:ascii="Times New Roman" w:hAnsi="Times New Roman" w:eastAsia="仿宋_GB2312" w:cs="Times New Roman"/>
          <w:color w:val="auto"/>
          <w:sz w:val="32"/>
          <w:szCs w:val="32"/>
          <w:lang w:val="en-US" w:eastAsia="zh-CN"/>
        </w:rPr>
        <w:t>891.73</w:t>
      </w:r>
      <w:r>
        <w:rPr>
          <w:rFonts w:hint="default" w:ascii="Times New Roman" w:hAnsi="Times New Roman" w:eastAsia="仿宋_GB2312" w:cs="Times New Roman"/>
          <w:color w:val="auto"/>
          <w:sz w:val="32"/>
          <w:szCs w:val="32"/>
        </w:rPr>
        <w:t>万元，主要包括：基本工资、津贴补贴、奖金、绩效工资、机关事业单位基本养老保险缴费、其他社会保障缴费、其他工资福利支出、医疗费、奖励金、住房公积金、其他对个人和家庭的补助支出等。</w:t>
      </w:r>
    </w:p>
    <w:p w14:paraId="4A85F141">
      <w:pPr>
        <w:keepNext w:val="0"/>
        <w:keepLines w:val="0"/>
        <w:pageBreakBefore w:val="0"/>
        <w:widowControl w:val="0"/>
        <w:kinsoku/>
        <w:wordWrap/>
        <w:overflowPunct/>
        <w:topLinePunct w:val="0"/>
        <w:bidi w:val="0"/>
        <w:spacing w:line="576" w:lineRule="exact"/>
        <w:ind w:firstLine="645"/>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auto"/>
          <w:sz w:val="32"/>
          <w:szCs w:val="32"/>
        </w:rPr>
        <w:t>公用经费</w:t>
      </w:r>
      <w:r>
        <w:rPr>
          <w:rFonts w:hint="default" w:ascii="Times New Roman" w:hAnsi="Times New Roman" w:eastAsia="仿宋_GB2312" w:cs="Times New Roman"/>
          <w:color w:val="auto"/>
          <w:sz w:val="32"/>
          <w:szCs w:val="32"/>
          <w:lang w:val="en-US" w:eastAsia="zh-CN"/>
        </w:rPr>
        <w:t>131.68</w:t>
      </w:r>
      <w:r>
        <w:rPr>
          <w:rFonts w:hint="default" w:ascii="Times New Roman" w:hAnsi="Times New Roman" w:eastAsia="仿宋_GB2312" w:cs="Times New Roman"/>
          <w:color w:val="auto"/>
          <w:sz w:val="32"/>
          <w:szCs w:val="32"/>
        </w:rPr>
        <w:t>万元，主要包括：办公费、印刷</w:t>
      </w:r>
      <w:r>
        <w:rPr>
          <w:rFonts w:hint="default" w:ascii="Times New Roman" w:hAnsi="Times New Roman" w:eastAsia="仿宋_GB2312" w:cs="Times New Roman"/>
          <w:color w:val="000000"/>
          <w:sz w:val="32"/>
          <w:szCs w:val="32"/>
        </w:rPr>
        <w:t>费、咨询费、手续费、水费、电费、邮电费、物业管理费、差旅费、职工交通补助、因公出国（境）费用、维修（护）费、租赁费、会议费、培训费、公务接待费、劳务费、委托业务费、工会经费、福利费、公务用车运行维护费、其他交通费、其他商品和服务支出、信息网络</w:t>
      </w:r>
      <w:r>
        <w:rPr>
          <w:rFonts w:hint="default" w:ascii="Times New Roman" w:hAnsi="Times New Roman" w:eastAsia="仿宋_GB2312" w:cs="Times New Roman"/>
          <w:color w:val="000000"/>
          <w:sz w:val="32"/>
          <w:szCs w:val="32"/>
          <w:lang w:val="en-US" w:eastAsia="zh-CN"/>
        </w:rPr>
        <w:t>维护</w:t>
      </w:r>
      <w:r>
        <w:rPr>
          <w:rFonts w:hint="default" w:ascii="Times New Roman" w:hAnsi="Times New Roman" w:eastAsia="仿宋_GB2312" w:cs="Times New Roman"/>
          <w:color w:val="000000"/>
          <w:sz w:val="32"/>
          <w:szCs w:val="32"/>
        </w:rPr>
        <w:t>等。</w:t>
      </w:r>
    </w:p>
    <w:p w14:paraId="6E51784D">
      <w:pPr>
        <w:keepNext w:val="0"/>
        <w:keepLines w:val="0"/>
        <w:pageBreakBefore w:val="0"/>
        <w:widowControl w:val="0"/>
        <w:kinsoku/>
        <w:wordWrap/>
        <w:overflowPunct/>
        <w:topLinePunct w:val="0"/>
        <w:bidi w:val="0"/>
        <w:spacing w:line="576" w:lineRule="exact"/>
        <w:ind w:firstLine="640"/>
        <w:jc w:val="both"/>
        <w:textAlignment w:val="auto"/>
        <w:outlineLvl w:val="1"/>
        <w:rPr>
          <w:rStyle w:val="31"/>
          <w:rFonts w:hint="default" w:ascii="Times New Roman" w:hAnsi="Times New Roman" w:eastAsia="黑体" w:cs="Times New Roman"/>
          <w:b w:val="0"/>
          <w:color w:val="auto"/>
          <w:highlight w:val="none"/>
        </w:rPr>
      </w:pPr>
      <w:bookmarkStart w:id="53" w:name="_Toc15377215"/>
      <w:bookmarkStart w:id="54" w:name="_Toc15396609"/>
      <w:bookmarkStart w:id="55" w:name="_Toc20651"/>
      <w:r>
        <w:rPr>
          <w:rFonts w:hint="default" w:ascii="Times New Roman" w:hAnsi="Times New Roman" w:eastAsia="黑体" w:cs="Times New Roman"/>
          <w:color w:val="auto"/>
          <w:sz w:val="32"/>
          <w:szCs w:val="32"/>
          <w:highlight w:val="none"/>
        </w:rPr>
        <w:t>七、</w:t>
      </w:r>
      <w:r>
        <w:rPr>
          <w:rStyle w:val="31"/>
          <w:rFonts w:hint="default" w:ascii="Times New Roman" w:hAnsi="Times New Roman" w:eastAsia="黑体" w:cs="Times New Roman"/>
          <w:color w:val="auto"/>
          <w:highlight w:val="none"/>
        </w:rPr>
        <w:t>“</w:t>
      </w:r>
      <w:r>
        <w:rPr>
          <w:rStyle w:val="31"/>
          <w:rFonts w:hint="default" w:ascii="Times New Roman" w:hAnsi="Times New Roman" w:eastAsia="黑体" w:cs="Times New Roman"/>
          <w:b w:val="0"/>
          <w:color w:val="auto"/>
          <w:highlight w:val="none"/>
        </w:rPr>
        <w:t>三公”经费财政拨款支出决算情况说明</w:t>
      </w:r>
      <w:bookmarkEnd w:id="53"/>
      <w:bookmarkEnd w:id="54"/>
      <w:bookmarkEnd w:id="55"/>
    </w:p>
    <w:p w14:paraId="2099BD64">
      <w:pPr>
        <w:keepNext w:val="0"/>
        <w:keepLines w:val="0"/>
        <w:pageBreakBefore w:val="0"/>
        <w:widowControl w:val="0"/>
        <w:kinsoku/>
        <w:wordWrap/>
        <w:overflowPunct/>
        <w:topLinePunct w:val="0"/>
        <w:bidi w:val="0"/>
        <w:spacing w:line="576" w:lineRule="exact"/>
        <w:ind w:firstLine="640"/>
        <w:jc w:val="both"/>
        <w:textAlignment w:val="auto"/>
        <w:outlineLvl w:val="2"/>
        <w:rPr>
          <w:rFonts w:hint="eastAsia" w:ascii="楷体_GB2312" w:hAnsi="楷体_GB2312" w:eastAsia="楷体_GB2312" w:cs="楷体_GB2312"/>
          <w:b/>
          <w:color w:val="auto"/>
          <w:sz w:val="32"/>
          <w:szCs w:val="32"/>
          <w:highlight w:val="none"/>
        </w:rPr>
      </w:pPr>
      <w:bookmarkStart w:id="56" w:name="_Toc15377216"/>
      <w:r>
        <w:rPr>
          <w:rFonts w:hint="eastAsia" w:ascii="楷体_GB2312" w:hAnsi="楷体_GB2312" w:eastAsia="楷体_GB2312" w:cs="楷体_GB2312"/>
          <w:b/>
          <w:color w:val="auto"/>
          <w:sz w:val="32"/>
          <w:szCs w:val="32"/>
          <w:highlight w:val="none"/>
        </w:rPr>
        <w:t>（一）“三公”经费财政拨款支出决算总体情况说明</w:t>
      </w:r>
      <w:bookmarkEnd w:id="56"/>
    </w:p>
    <w:p w14:paraId="36367996">
      <w:pPr>
        <w:keepNext w:val="0"/>
        <w:keepLines w:val="0"/>
        <w:pageBreakBefore w:val="0"/>
        <w:widowControl w:val="0"/>
        <w:kinsoku/>
        <w:wordWrap/>
        <w:overflowPunct/>
        <w:topLinePunct w:val="0"/>
        <w:bidi w:val="0"/>
        <w:spacing w:line="576" w:lineRule="exact"/>
        <w:ind w:firstLine="640" w:firstLineChars="200"/>
        <w:jc w:val="both"/>
        <w:textAlignment w:val="auto"/>
        <w:rPr>
          <w:rFonts w:hint="default" w:ascii="Times New Roman" w:hAnsi="Times New Roman" w:eastAsia="仿宋_GB2312" w:cs="Times New Roman"/>
          <w:color w:val="000000"/>
          <w:sz w:val="32"/>
          <w:szCs w:val="32"/>
          <w:lang w:val="en-US"/>
        </w:rPr>
      </w:pPr>
      <w:r>
        <w:rPr>
          <w:rFonts w:hint="default" w:ascii="Times New Roman" w:hAnsi="Times New Roman" w:eastAsia="仿宋_GB2312" w:cs="Times New Roman"/>
          <w:color w:val="000000"/>
          <w:sz w:val="32"/>
          <w:szCs w:val="32"/>
        </w:rPr>
        <w:t>20</w:t>
      </w:r>
      <w:r>
        <w:rPr>
          <w:rFonts w:hint="default" w:ascii="Times New Roman" w:hAnsi="Times New Roman" w:eastAsia="仿宋_GB2312" w:cs="Times New Roman"/>
          <w:color w:val="000000"/>
          <w:sz w:val="32"/>
          <w:szCs w:val="32"/>
          <w:lang w:val="en-US" w:eastAsia="zh-CN"/>
        </w:rPr>
        <w:t>21</w:t>
      </w:r>
      <w:r>
        <w:rPr>
          <w:rFonts w:hint="default" w:ascii="Times New Roman" w:hAnsi="Times New Roman" w:eastAsia="仿宋_GB2312" w:cs="Times New Roman"/>
          <w:color w:val="000000"/>
          <w:sz w:val="32"/>
          <w:szCs w:val="32"/>
        </w:rPr>
        <w:t>年度“三公”经费财政拨款支出决算为</w:t>
      </w:r>
      <w:r>
        <w:rPr>
          <w:rFonts w:hint="default" w:ascii="Times New Roman" w:hAnsi="Times New Roman" w:eastAsia="仿宋_GB2312" w:cs="Times New Roman"/>
          <w:color w:val="000000"/>
          <w:sz w:val="32"/>
          <w:szCs w:val="32"/>
          <w:lang w:val="en-US" w:eastAsia="zh-CN"/>
        </w:rPr>
        <w:t>11.89</w:t>
      </w:r>
      <w:r>
        <w:rPr>
          <w:rFonts w:hint="default" w:ascii="Times New Roman" w:hAnsi="Times New Roman" w:eastAsia="仿宋_GB2312" w:cs="Times New Roman"/>
          <w:color w:val="000000"/>
          <w:sz w:val="32"/>
          <w:szCs w:val="32"/>
        </w:rPr>
        <w:t>万元，完成预算</w:t>
      </w:r>
      <w:r>
        <w:rPr>
          <w:rFonts w:hint="default" w:ascii="Times New Roman" w:hAnsi="Times New Roman" w:eastAsia="仿宋_GB2312" w:cs="Times New Roman"/>
          <w:color w:val="000000"/>
          <w:sz w:val="32"/>
          <w:szCs w:val="32"/>
          <w:lang w:val="en-US" w:eastAsia="zh-CN"/>
        </w:rPr>
        <w:t>99</w:t>
      </w:r>
      <w:r>
        <w:rPr>
          <w:rFonts w:hint="default" w:ascii="Times New Roman" w:hAnsi="Times New Roman" w:eastAsia="仿宋_GB2312" w:cs="Times New Roman"/>
          <w:color w:val="000000"/>
          <w:sz w:val="32"/>
          <w:szCs w:val="32"/>
        </w:rPr>
        <w:t>%。决算数小于预算数的主要原因是</w:t>
      </w:r>
      <w:r>
        <w:rPr>
          <w:rFonts w:hint="default" w:ascii="Times New Roman" w:hAnsi="Times New Roman" w:eastAsia="仿宋_GB2312" w:cs="Times New Roman"/>
          <w:sz w:val="32"/>
          <w:szCs w:val="32"/>
          <w:lang w:eastAsia="zh-CN"/>
        </w:rPr>
        <w:t>按照党中央、国务院关于过“紧日子”和坚持厉行节约反对浪费的要求，进一步减少“</w:t>
      </w:r>
      <w:r>
        <w:rPr>
          <w:rFonts w:hint="default" w:ascii="Times New Roman" w:hAnsi="Times New Roman" w:eastAsia="仿宋_GB2312" w:cs="Times New Roman"/>
          <w:sz w:val="32"/>
          <w:szCs w:val="32"/>
          <w:lang w:val="en-US" w:eastAsia="zh-CN"/>
        </w:rPr>
        <w:t>三公</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经费</w:t>
      </w:r>
      <w:r>
        <w:rPr>
          <w:rFonts w:hint="default" w:ascii="Times New Roman" w:hAnsi="Times New Roman" w:eastAsia="仿宋_GB2312" w:cs="Times New Roman"/>
          <w:sz w:val="32"/>
          <w:szCs w:val="32"/>
          <w:lang w:eastAsia="zh-CN"/>
        </w:rPr>
        <w:t>支出。</w:t>
      </w:r>
    </w:p>
    <w:p w14:paraId="2AFF6595">
      <w:pPr>
        <w:keepNext w:val="0"/>
        <w:keepLines w:val="0"/>
        <w:pageBreakBefore w:val="0"/>
        <w:widowControl w:val="0"/>
        <w:kinsoku/>
        <w:wordWrap/>
        <w:overflowPunct/>
        <w:topLinePunct w:val="0"/>
        <w:bidi w:val="0"/>
        <w:spacing w:line="576" w:lineRule="exact"/>
        <w:ind w:firstLine="640"/>
        <w:jc w:val="both"/>
        <w:textAlignment w:val="auto"/>
        <w:outlineLvl w:val="2"/>
        <w:rPr>
          <w:rFonts w:hint="default" w:ascii="楷体_GB2312" w:hAnsi="楷体_GB2312" w:eastAsia="楷体_GB2312" w:cs="楷体_GB2312"/>
          <w:b/>
          <w:color w:val="auto"/>
          <w:sz w:val="32"/>
          <w:szCs w:val="32"/>
          <w:highlight w:val="none"/>
        </w:rPr>
      </w:pPr>
      <w:bookmarkStart w:id="57" w:name="_Toc15377217"/>
      <w:r>
        <w:rPr>
          <w:rFonts w:hint="default" w:ascii="楷体_GB2312" w:hAnsi="楷体_GB2312" w:eastAsia="楷体_GB2312" w:cs="楷体_GB2312"/>
          <w:b/>
          <w:color w:val="auto"/>
          <w:sz w:val="32"/>
          <w:szCs w:val="32"/>
          <w:highlight w:val="none"/>
        </w:rPr>
        <w:t>（二）“三公”经费财政拨款支出决算具体情况说明</w:t>
      </w:r>
      <w:bookmarkEnd w:id="57"/>
    </w:p>
    <w:p w14:paraId="0EAEBEF5">
      <w:pPr>
        <w:keepNext w:val="0"/>
        <w:keepLines w:val="0"/>
        <w:pageBreakBefore w:val="0"/>
        <w:widowControl w:val="0"/>
        <w:kinsoku/>
        <w:wordWrap/>
        <w:overflowPunct/>
        <w:topLinePunct w:val="0"/>
        <w:bidi w:val="0"/>
        <w:spacing w:line="576" w:lineRule="exact"/>
        <w:ind w:firstLine="64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000000"/>
          <w:sz w:val="32"/>
          <w:szCs w:val="32"/>
        </w:rPr>
        <w:t>20</w:t>
      </w:r>
      <w:r>
        <w:rPr>
          <w:rFonts w:hint="default" w:ascii="Times New Roman" w:hAnsi="Times New Roman" w:eastAsia="仿宋_GB2312" w:cs="Times New Roman"/>
          <w:color w:val="000000"/>
          <w:sz w:val="32"/>
          <w:szCs w:val="32"/>
          <w:lang w:val="en-US" w:eastAsia="zh-CN"/>
        </w:rPr>
        <w:t>21</w:t>
      </w:r>
      <w:r>
        <w:rPr>
          <w:rFonts w:hint="default" w:ascii="Times New Roman" w:hAnsi="Times New Roman" w:eastAsia="仿宋_GB2312" w:cs="Times New Roman"/>
          <w:color w:val="000000"/>
          <w:sz w:val="32"/>
          <w:szCs w:val="32"/>
        </w:rPr>
        <w:t>年度“三公”经费财政拨款支出决算中，因公出国（境）费支出</w:t>
      </w:r>
      <w:r>
        <w:rPr>
          <w:rFonts w:hint="default" w:ascii="Times New Roman" w:hAnsi="Times New Roman" w:eastAsia="仿宋_GB2312" w:cs="Times New Roman"/>
          <w:color w:val="auto"/>
          <w:sz w:val="32"/>
          <w:szCs w:val="32"/>
        </w:rPr>
        <w:t>决算0万元；公务用车购置及运行维护费支出决算</w:t>
      </w:r>
      <w:r>
        <w:rPr>
          <w:rFonts w:hint="default" w:ascii="Times New Roman" w:hAnsi="Times New Roman" w:eastAsia="仿宋_GB2312" w:cs="Times New Roman"/>
          <w:color w:val="auto"/>
          <w:sz w:val="32"/>
          <w:szCs w:val="32"/>
          <w:lang w:val="en-US" w:eastAsia="zh-CN"/>
        </w:rPr>
        <w:t>7.99</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，占</w:t>
      </w:r>
      <w:r>
        <w:rPr>
          <w:rFonts w:hint="default" w:ascii="Times New Roman" w:hAnsi="Times New Roman" w:eastAsia="仿宋_GB2312" w:cs="Times New Roman"/>
          <w:color w:val="auto"/>
          <w:sz w:val="32"/>
          <w:szCs w:val="32"/>
          <w:lang w:val="en-US" w:eastAsia="zh-CN"/>
        </w:rPr>
        <w:t>67%</w:t>
      </w:r>
      <w:r>
        <w:rPr>
          <w:rFonts w:hint="default" w:ascii="Times New Roman" w:hAnsi="Times New Roman" w:eastAsia="仿宋_GB2312" w:cs="Times New Roman"/>
          <w:color w:val="auto"/>
          <w:sz w:val="32"/>
          <w:szCs w:val="32"/>
        </w:rPr>
        <w:t>；公务接待费支出决算</w:t>
      </w:r>
      <w:r>
        <w:rPr>
          <w:rFonts w:hint="default" w:ascii="Times New Roman" w:hAnsi="Times New Roman" w:eastAsia="仿宋_GB2312" w:cs="Times New Roman"/>
          <w:color w:val="auto"/>
          <w:sz w:val="32"/>
          <w:szCs w:val="32"/>
          <w:lang w:val="en-US" w:eastAsia="zh-CN"/>
        </w:rPr>
        <w:t>3.9</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lang w:val="en-US" w:eastAsia="zh-CN"/>
        </w:rPr>
        <w:t>33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000000"/>
          <w:sz w:val="32"/>
          <w:szCs w:val="32"/>
        </w:rPr>
        <w:t>具体情况如下：</w:t>
      </w:r>
    </w:p>
    <w:p w14:paraId="31DE6954">
      <w:pPr>
        <w:keepNext w:val="0"/>
        <w:keepLines w:val="0"/>
        <w:pageBreakBefore w:val="0"/>
        <w:widowControl w:val="0"/>
        <w:numPr>
          <w:ilvl w:val="-1"/>
          <w:numId w:val="0"/>
        </w:numPr>
        <w:kinsoku/>
        <w:wordWrap/>
        <w:overflowPunct/>
        <w:topLinePunct w:val="0"/>
        <w:bidi w:val="0"/>
        <w:spacing w:line="576"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lang w:val="en-US" w:eastAsia="zh-CN"/>
        </w:rPr>
        <w:t>1.因公出国</w:t>
      </w:r>
      <w:r>
        <w:rPr>
          <w:rFonts w:hint="default" w:ascii="Times New Roman" w:hAnsi="Times New Roman" w:eastAsia="仿宋_GB2312" w:cs="Times New Roman"/>
          <w:b/>
          <w:color w:val="auto"/>
          <w:sz w:val="32"/>
          <w:szCs w:val="32"/>
          <w:highlight w:val="none"/>
        </w:rPr>
        <w:t>（境）</w:t>
      </w:r>
      <w:r>
        <w:rPr>
          <w:rFonts w:hint="default" w:ascii="Times New Roman" w:hAnsi="Times New Roman" w:eastAsia="仿宋_GB2312" w:cs="Times New Roman"/>
          <w:b/>
          <w:color w:val="auto"/>
          <w:sz w:val="32"/>
          <w:szCs w:val="32"/>
          <w:highlight w:val="none"/>
          <w:lang w:val="en-US" w:eastAsia="zh-CN"/>
        </w:rPr>
        <w:t>经费支出0万元。</w:t>
      </w:r>
      <w:r>
        <w:rPr>
          <w:rFonts w:hint="default" w:ascii="Times New Roman" w:hAnsi="Times New Roman" w:eastAsia="仿宋_GB2312" w:cs="Times New Roman"/>
          <w:color w:val="auto"/>
          <w:sz w:val="32"/>
          <w:szCs w:val="32"/>
          <w:highlight w:val="none"/>
          <w:lang w:val="en-US" w:eastAsia="zh-CN"/>
        </w:rPr>
        <w:t>年初未安排预算，因公出国</w:t>
      </w:r>
      <w:r>
        <w:rPr>
          <w:rFonts w:hint="default" w:ascii="Times New Roman" w:hAnsi="Times New Roman" w:eastAsia="仿宋_GB2312" w:cs="Times New Roman"/>
          <w:color w:val="auto"/>
          <w:sz w:val="32"/>
          <w:szCs w:val="32"/>
          <w:highlight w:val="none"/>
        </w:rPr>
        <w:t>（境）</w:t>
      </w:r>
      <w:r>
        <w:rPr>
          <w:rFonts w:hint="default" w:ascii="Times New Roman" w:hAnsi="Times New Roman" w:eastAsia="仿宋_GB2312" w:cs="Times New Roman"/>
          <w:color w:val="auto"/>
          <w:sz w:val="32"/>
          <w:szCs w:val="32"/>
          <w:highlight w:val="none"/>
          <w:lang w:val="en-US" w:eastAsia="zh-CN"/>
        </w:rPr>
        <w:t>支出决算较2020年无变化</w:t>
      </w:r>
      <w:r>
        <w:rPr>
          <w:rFonts w:hint="eastAsia" w:ascii="Times New Roman" w:hAnsi="Times New Roman" w:eastAsia="仿宋_GB2312" w:cs="Times New Roman"/>
          <w:color w:val="auto"/>
          <w:sz w:val="32"/>
          <w:szCs w:val="32"/>
          <w:highlight w:val="none"/>
          <w:lang w:val="en-US" w:eastAsia="zh-CN"/>
        </w:rPr>
        <w:t>。</w:t>
      </w:r>
    </w:p>
    <w:p w14:paraId="5E9262DA">
      <w:pPr>
        <w:keepNext w:val="0"/>
        <w:keepLines w:val="0"/>
        <w:pageBreakBefore w:val="0"/>
        <w:widowControl w:val="0"/>
        <w:kinsoku/>
        <w:wordWrap/>
        <w:overflowPunct/>
        <w:topLinePunct w:val="0"/>
        <w:bidi w:val="0"/>
        <w:spacing w:line="576" w:lineRule="exact"/>
        <w:ind w:firstLine="64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2.公务用车购置及运行维护费支出</w:t>
      </w:r>
      <w:r>
        <w:rPr>
          <w:rFonts w:hint="default" w:ascii="Times New Roman" w:hAnsi="Times New Roman" w:eastAsia="仿宋_GB2312" w:cs="Times New Roman"/>
          <w:color w:val="auto"/>
          <w:sz w:val="32"/>
          <w:szCs w:val="32"/>
          <w:highlight w:val="none"/>
          <w:lang w:val="en-US" w:eastAsia="zh-CN"/>
        </w:rPr>
        <w:t>7.99</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w:t>
      </w:r>
      <w:r>
        <w:rPr>
          <w:rStyle w:val="20"/>
          <w:rFonts w:hint="default" w:ascii="Times New Roman" w:hAnsi="Times New Roman" w:eastAsia="仿宋_GB2312" w:cs="Times New Roman"/>
          <w:b w:val="0"/>
          <w:bCs/>
          <w:color w:val="auto"/>
          <w:sz w:val="32"/>
          <w:szCs w:val="32"/>
          <w:highlight w:val="none"/>
        </w:rPr>
        <w:t>完成预算</w:t>
      </w:r>
      <w:r>
        <w:rPr>
          <w:rStyle w:val="20"/>
          <w:rFonts w:hint="default" w:ascii="Times New Roman" w:hAnsi="Times New Roman" w:eastAsia="仿宋_GB2312" w:cs="Times New Roman"/>
          <w:b w:val="0"/>
          <w:bCs/>
          <w:color w:val="auto"/>
          <w:sz w:val="32"/>
          <w:szCs w:val="32"/>
          <w:highlight w:val="none"/>
          <w:lang w:val="en-US" w:eastAsia="zh-CN"/>
        </w:rPr>
        <w:t>99.8</w:t>
      </w:r>
      <w:r>
        <w:rPr>
          <w:rStyle w:val="20"/>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color w:val="auto"/>
          <w:sz w:val="32"/>
          <w:szCs w:val="32"/>
          <w:highlight w:val="none"/>
        </w:rPr>
        <w:t>公务用车购置及运行维护费支出决算比20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7.22万元</w:t>
      </w:r>
      <w:r>
        <w:rPr>
          <w:rFonts w:hint="default" w:ascii="Times New Roman" w:hAnsi="Times New Roman" w:eastAsia="仿宋_GB2312" w:cs="Times New Roman"/>
          <w:color w:val="auto"/>
          <w:sz w:val="32"/>
          <w:szCs w:val="32"/>
          <w:highlight w:val="none"/>
        </w:rPr>
        <w:t>增加</w:t>
      </w:r>
      <w:r>
        <w:rPr>
          <w:rFonts w:hint="default" w:ascii="Times New Roman" w:hAnsi="Times New Roman" w:eastAsia="仿宋_GB2312" w:cs="Times New Roman"/>
          <w:color w:val="auto"/>
          <w:sz w:val="32"/>
          <w:szCs w:val="32"/>
          <w:highlight w:val="none"/>
          <w:lang w:val="en-US" w:eastAsia="zh-CN"/>
        </w:rPr>
        <w:t>0.77</w:t>
      </w:r>
      <w:r>
        <w:rPr>
          <w:rFonts w:hint="default" w:ascii="Times New Roman" w:hAnsi="Times New Roman" w:eastAsia="仿宋_GB2312" w:cs="Times New Roman"/>
          <w:color w:val="auto"/>
          <w:sz w:val="32"/>
          <w:szCs w:val="32"/>
          <w:highlight w:val="none"/>
        </w:rPr>
        <w:t>万元，增长</w:t>
      </w:r>
      <w:r>
        <w:rPr>
          <w:rFonts w:hint="default" w:ascii="Times New Roman" w:hAnsi="Times New Roman" w:eastAsia="仿宋_GB2312" w:cs="Times New Roman"/>
          <w:color w:val="auto"/>
          <w:sz w:val="32"/>
          <w:szCs w:val="32"/>
          <w:highlight w:val="none"/>
          <w:lang w:val="en-US" w:eastAsia="zh-CN"/>
        </w:rPr>
        <w:t>10.6</w:t>
      </w:r>
      <w:r>
        <w:rPr>
          <w:rFonts w:hint="default" w:ascii="Times New Roman" w:hAnsi="Times New Roman" w:eastAsia="仿宋_GB2312" w:cs="Times New Roman"/>
          <w:color w:val="auto"/>
          <w:sz w:val="32"/>
          <w:szCs w:val="32"/>
          <w:highlight w:val="none"/>
        </w:rPr>
        <w:t>%。主要原因是</w:t>
      </w:r>
      <w:r>
        <w:rPr>
          <w:rFonts w:hint="default" w:ascii="Times New Roman" w:hAnsi="Times New Roman" w:eastAsia="仿宋_GB2312" w:cs="Times New Roman"/>
          <w:color w:val="000000"/>
          <w:sz w:val="32"/>
          <w:szCs w:val="32"/>
          <w:lang w:val="en-US" w:eastAsia="zh-CN"/>
        </w:rPr>
        <w:t>2021年疫情严重，节假日加班时间多，食品药品医疗器械及化妆品、特种设备等工作专项检查多。</w:t>
      </w:r>
    </w:p>
    <w:p w14:paraId="4CD58E38">
      <w:pPr>
        <w:keepNext w:val="0"/>
        <w:keepLines w:val="0"/>
        <w:pageBreakBefore w:val="0"/>
        <w:widowControl w:val="0"/>
        <w:kinsoku/>
        <w:wordWrap/>
        <w:overflowPunct/>
        <w:topLinePunct w:val="0"/>
        <w:bidi w:val="0"/>
        <w:snapToGrid/>
        <w:spacing w:line="576" w:lineRule="exact"/>
        <w:ind w:firstLine="640"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其中：</w:t>
      </w:r>
      <w:r>
        <w:rPr>
          <w:rFonts w:hint="default" w:ascii="Times New Roman" w:hAnsi="Times New Roman" w:eastAsia="仿宋_GB2312" w:cs="Times New Roman"/>
          <w:b/>
          <w:color w:val="auto"/>
          <w:sz w:val="32"/>
          <w:szCs w:val="32"/>
          <w:highlight w:val="none"/>
        </w:rPr>
        <w:t>公务用车购置支出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万元。全年按规定更新购置公务用车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w:t>
      </w:r>
      <w:r>
        <w:rPr>
          <w:rFonts w:hint="default" w:ascii="Times New Roman" w:hAnsi="Times New Roman" w:eastAsia="仿宋_GB2312" w:cs="Times New Roman"/>
          <w:color w:val="auto"/>
          <w:sz w:val="32"/>
          <w:szCs w:val="32"/>
          <w:highlight w:val="none"/>
          <w:lang w:val="en-US" w:eastAsia="zh-CN"/>
        </w:rPr>
        <w:t>在公务用车制度改革后，不允许单位购买公务用车。因公出差向机关事务局申请公务用车，公务用车有保障。</w:t>
      </w:r>
      <w:r>
        <w:rPr>
          <w:rFonts w:hint="default" w:ascii="Times New Roman" w:hAnsi="Times New Roman" w:eastAsia="仿宋_GB2312" w:cs="Times New Roman"/>
          <w:color w:val="auto"/>
          <w:sz w:val="32"/>
          <w:szCs w:val="32"/>
          <w:highlight w:val="none"/>
        </w:rPr>
        <w:t>截至20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年12月底，单位共有公务用车</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辆，其中：轿车</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辆、越野车</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辆、</w:t>
      </w:r>
      <w:r>
        <w:rPr>
          <w:rFonts w:hint="default" w:ascii="Times New Roman" w:hAnsi="Times New Roman" w:eastAsia="仿宋_GB2312" w:cs="Times New Roman"/>
          <w:color w:val="000000"/>
          <w:sz w:val="32"/>
          <w:szCs w:val="32"/>
          <w:lang w:val="en-US" w:eastAsia="zh-CN"/>
        </w:rPr>
        <w:t>食品安全监测车1辆</w:t>
      </w:r>
      <w:r>
        <w:rPr>
          <w:rFonts w:hint="default" w:ascii="Times New Roman" w:hAnsi="Times New Roman" w:eastAsia="仿宋_GB2312" w:cs="Times New Roman"/>
          <w:color w:val="auto"/>
          <w:sz w:val="32"/>
          <w:szCs w:val="32"/>
          <w:highlight w:val="none"/>
        </w:rPr>
        <w:t>。</w:t>
      </w:r>
    </w:p>
    <w:p w14:paraId="276F6F77">
      <w:pPr>
        <w:keepNext w:val="0"/>
        <w:keepLines w:val="0"/>
        <w:pageBreakBefore w:val="0"/>
        <w:widowControl w:val="0"/>
        <w:kinsoku/>
        <w:wordWrap/>
        <w:overflowPunct/>
        <w:topLinePunct w:val="0"/>
        <w:bidi w:val="0"/>
        <w:spacing w:line="576" w:lineRule="exact"/>
        <w:ind w:firstLine="64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color w:val="auto"/>
          <w:sz w:val="32"/>
          <w:szCs w:val="32"/>
          <w:highlight w:val="none"/>
        </w:rPr>
        <w:t>公务用车运行维护费支出</w:t>
      </w:r>
      <w:r>
        <w:rPr>
          <w:rFonts w:hint="default" w:ascii="Times New Roman" w:hAnsi="Times New Roman" w:eastAsia="仿宋_GB2312" w:cs="Times New Roman"/>
          <w:color w:val="auto"/>
          <w:sz w:val="32"/>
          <w:szCs w:val="32"/>
          <w:highlight w:val="none"/>
          <w:lang w:val="en-US" w:eastAsia="zh-CN"/>
        </w:rPr>
        <w:t>7.99</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000000"/>
          <w:sz w:val="32"/>
          <w:szCs w:val="32"/>
        </w:rPr>
        <w:t>主要用于</w:t>
      </w:r>
      <w:r>
        <w:rPr>
          <w:rFonts w:hint="default" w:ascii="Times New Roman" w:hAnsi="Times New Roman" w:eastAsia="仿宋_GB2312" w:cs="Times New Roman"/>
          <w:color w:val="000000"/>
          <w:sz w:val="32"/>
          <w:szCs w:val="32"/>
          <w:lang w:val="en-US" w:eastAsia="zh-CN"/>
        </w:rPr>
        <w:t>食品安全保障、药品安全保障、特种设备保障疫情防控、冷链</w:t>
      </w:r>
      <w:r>
        <w:rPr>
          <w:rFonts w:hint="default" w:ascii="Times New Roman" w:hAnsi="Times New Roman" w:eastAsia="仿宋_GB2312" w:cs="Times New Roman"/>
          <w:color w:val="000000"/>
          <w:sz w:val="32"/>
          <w:szCs w:val="32"/>
        </w:rPr>
        <w:t>等所需的公务用车燃料费、维修费、过路过桥费、保险费等支出</w:t>
      </w:r>
      <w:r>
        <w:rPr>
          <w:rFonts w:hint="default" w:ascii="Times New Roman" w:hAnsi="Times New Roman" w:eastAsia="仿宋_GB2312" w:cs="Times New Roman"/>
          <w:color w:val="000000"/>
          <w:sz w:val="32"/>
          <w:szCs w:val="32"/>
          <w:lang w:eastAsia="zh-CN"/>
        </w:rPr>
        <w:t>。</w:t>
      </w:r>
    </w:p>
    <w:p w14:paraId="3804716C">
      <w:pPr>
        <w:keepNext w:val="0"/>
        <w:keepLines w:val="0"/>
        <w:pageBreakBefore w:val="0"/>
        <w:widowControl w:val="0"/>
        <w:kinsoku/>
        <w:wordWrap/>
        <w:overflowPunct/>
        <w:topLinePunct w:val="0"/>
        <w:bidi w:val="0"/>
        <w:spacing w:line="576" w:lineRule="exact"/>
        <w:ind w:firstLine="64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3.公务接待费支出</w:t>
      </w:r>
      <w:r>
        <w:rPr>
          <w:rFonts w:hint="default" w:ascii="Times New Roman" w:hAnsi="Times New Roman" w:eastAsia="仿宋_GB2312" w:cs="Times New Roman"/>
          <w:color w:val="auto"/>
          <w:sz w:val="32"/>
          <w:szCs w:val="32"/>
          <w:highlight w:val="none"/>
          <w:lang w:val="en-US" w:eastAsia="zh-CN"/>
        </w:rPr>
        <w:t>3.9</w:t>
      </w:r>
      <w:r>
        <w:rPr>
          <w:rFonts w:hint="default" w:ascii="Times New Roman" w:hAnsi="Times New Roman" w:eastAsia="仿宋_GB2312" w:cs="Times New Roman"/>
          <w:color w:val="auto"/>
          <w:sz w:val="32"/>
          <w:szCs w:val="32"/>
          <w:highlight w:val="none"/>
        </w:rPr>
        <w:t>万元，</w:t>
      </w:r>
      <w:r>
        <w:rPr>
          <w:rStyle w:val="20"/>
          <w:rFonts w:hint="default" w:ascii="Times New Roman" w:hAnsi="Times New Roman" w:eastAsia="仿宋_GB2312" w:cs="Times New Roman"/>
          <w:b w:val="0"/>
          <w:bCs/>
          <w:color w:val="auto"/>
          <w:sz w:val="32"/>
          <w:szCs w:val="32"/>
          <w:highlight w:val="none"/>
        </w:rPr>
        <w:t>完成预算</w:t>
      </w:r>
      <w:r>
        <w:rPr>
          <w:rStyle w:val="20"/>
          <w:rFonts w:hint="default" w:ascii="Times New Roman" w:hAnsi="Times New Roman" w:eastAsia="仿宋_GB2312" w:cs="Times New Roman"/>
          <w:b w:val="0"/>
          <w:bCs/>
          <w:color w:val="auto"/>
          <w:sz w:val="32"/>
          <w:szCs w:val="32"/>
          <w:highlight w:val="none"/>
          <w:lang w:val="en-US" w:eastAsia="zh-CN"/>
        </w:rPr>
        <w:t>97.5</w:t>
      </w:r>
      <w:r>
        <w:rPr>
          <w:rStyle w:val="20"/>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color w:val="auto"/>
          <w:sz w:val="32"/>
          <w:szCs w:val="32"/>
          <w:highlight w:val="none"/>
        </w:rPr>
        <w:t>公务接待费支出决算比20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年增加</w:t>
      </w:r>
      <w:r>
        <w:rPr>
          <w:rFonts w:hint="default" w:ascii="Times New Roman" w:hAnsi="Times New Roman" w:eastAsia="仿宋_GB2312" w:cs="Times New Roman"/>
          <w:color w:val="auto"/>
          <w:sz w:val="32"/>
          <w:szCs w:val="32"/>
          <w:highlight w:val="none"/>
          <w:lang w:val="en-US" w:eastAsia="zh-CN"/>
        </w:rPr>
        <w:t>0.58</w:t>
      </w:r>
      <w:r>
        <w:rPr>
          <w:rFonts w:hint="default" w:ascii="Times New Roman" w:hAnsi="Times New Roman" w:eastAsia="仿宋_GB2312" w:cs="Times New Roman"/>
          <w:color w:val="auto"/>
          <w:sz w:val="32"/>
          <w:szCs w:val="32"/>
          <w:highlight w:val="none"/>
        </w:rPr>
        <w:t>万元，增长</w:t>
      </w:r>
      <w:r>
        <w:rPr>
          <w:rFonts w:hint="default" w:ascii="Times New Roman" w:hAnsi="Times New Roman" w:eastAsia="仿宋_GB2312" w:cs="Times New Roman"/>
          <w:color w:val="auto"/>
          <w:sz w:val="32"/>
          <w:szCs w:val="32"/>
          <w:highlight w:val="none"/>
          <w:lang w:val="en-US" w:eastAsia="zh-CN"/>
        </w:rPr>
        <w:t>17.46</w:t>
      </w:r>
      <w:r>
        <w:rPr>
          <w:rFonts w:hint="default" w:ascii="Times New Roman" w:hAnsi="Times New Roman" w:eastAsia="仿宋_GB2312" w:cs="Times New Roman"/>
          <w:color w:val="auto"/>
          <w:sz w:val="32"/>
          <w:szCs w:val="32"/>
          <w:highlight w:val="none"/>
        </w:rPr>
        <w:t>%。主要原因是</w:t>
      </w:r>
      <w:r>
        <w:rPr>
          <w:rFonts w:hint="default" w:ascii="Times New Roman" w:hAnsi="Times New Roman" w:eastAsia="仿宋_GB2312" w:cs="Times New Roman"/>
          <w:color w:val="000000"/>
          <w:sz w:val="32"/>
          <w:szCs w:val="32"/>
          <w:lang w:val="en-US" w:eastAsia="zh-CN"/>
        </w:rPr>
        <w:t>2021年疫情严重，节假日加班时间多，食品药品医疗器械及化妆品、特种设备等工作专项检查多</w:t>
      </w:r>
      <w:r>
        <w:rPr>
          <w:rFonts w:hint="default" w:ascii="Times New Roman" w:hAnsi="Times New Roman" w:eastAsia="仿宋_GB2312" w:cs="Times New Roman"/>
          <w:color w:val="auto"/>
          <w:sz w:val="32"/>
          <w:szCs w:val="32"/>
          <w:highlight w:val="none"/>
        </w:rPr>
        <w:t>。其中：</w:t>
      </w:r>
    </w:p>
    <w:p w14:paraId="21B22A06">
      <w:pPr>
        <w:keepNext w:val="0"/>
        <w:keepLines w:val="0"/>
        <w:pageBreakBefore w:val="0"/>
        <w:widowControl w:val="0"/>
        <w:kinsoku/>
        <w:wordWrap/>
        <w:overflowPunct/>
        <w:topLinePunct w:val="0"/>
        <w:bidi w:val="0"/>
        <w:spacing w:line="576" w:lineRule="exact"/>
        <w:ind w:firstLine="64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auto"/>
          <w:sz w:val="32"/>
          <w:szCs w:val="32"/>
          <w:highlight w:val="none"/>
        </w:rPr>
        <w:t>国内公务接待支出</w:t>
      </w:r>
      <w:r>
        <w:rPr>
          <w:rFonts w:hint="default" w:ascii="Times New Roman" w:hAnsi="Times New Roman" w:eastAsia="仿宋_GB2312" w:cs="Times New Roman"/>
          <w:color w:val="auto"/>
          <w:sz w:val="32"/>
          <w:szCs w:val="32"/>
          <w:highlight w:val="none"/>
          <w:lang w:val="en-US" w:eastAsia="zh-CN"/>
        </w:rPr>
        <w:t>3.9</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000000"/>
          <w:sz w:val="32"/>
          <w:szCs w:val="32"/>
        </w:rPr>
        <w:t>主要用于</w:t>
      </w:r>
      <w:r>
        <w:rPr>
          <w:rFonts w:hint="default" w:ascii="Times New Roman" w:hAnsi="Times New Roman" w:eastAsia="仿宋_GB2312" w:cs="Times New Roman"/>
          <w:color w:val="000000"/>
          <w:sz w:val="32"/>
          <w:szCs w:val="32"/>
          <w:lang w:val="en-US" w:eastAsia="zh-CN"/>
        </w:rPr>
        <w:t>疫情防控、</w:t>
      </w:r>
      <w:r>
        <w:rPr>
          <w:rFonts w:hint="default" w:ascii="Times New Roman" w:hAnsi="Times New Roman" w:eastAsia="仿宋_GB2312" w:cs="Times New Roman"/>
          <w:color w:val="000000"/>
          <w:sz w:val="32"/>
          <w:szCs w:val="32"/>
        </w:rPr>
        <w:t>食品药品医疗器械及化妆品、特种设备等安全检查等(执行公务、开展业务活动开支的交通费、住宿费、用餐费等)。国内公务接待</w:t>
      </w:r>
      <w:r>
        <w:rPr>
          <w:rFonts w:hint="default" w:ascii="Times New Roman" w:hAnsi="Times New Roman" w:eastAsia="仿宋_GB2312" w:cs="Times New Roman"/>
          <w:color w:val="000000"/>
          <w:sz w:val="32"/>
          <w:szCs w:val="32"/>
          <w:lang w:val="en-US" w:eastAsia="zh-CN"/>
        </w:rPr>
        <w:t>84</w:t>
      </w:r>
      <w:r>
        <w:rPr>
          <w:rFonts w:hint="default" w:ascii="Times New Roman" w:hAnsi="Times New Roman" w:eastAsia="仿宋_GB2312" w:cs="Times New Roman"/>
          <w:color w:val="000000"/>
          <w:sz w:val="32"/>
          <w:szCs w:val="32"/>
        </w:rPr>
        <w:t>批次，</w:t>
      </w:r>
      <w:r>
        <w:rPr>
          <w:rFonts w:hint="default" w:ascii="Times New Roman" w:hAnsi="Times New Roman" w:eastAsia="仿宋_GB2312" w:cs="Times New Roman"/>
          <w:color w:val="000000"/>
          <w:sz w:val="32"/>
          <w:szCs w:val="32"/>
          <w:lang w:val="en-US" w:eastAsia="zh-CN"/>
        </w:rPr>
        <w:t>620</w:t>
      </w:r>
      <w:r>
        <w:rPr>
          <w:rFonts w:hint="default" w:ascii="Times New Roman" w:hAnsi="Times New Roman" w:eastAsia="仿宋_GB2312" w:cs="Times New Roman"/>
          <w:color w:val="000000"/>
          <w:sz w:val="32"/>
          <w:szCs w:val="32"/>
        </w:rPr>
        <w:t>人次，共计支</w:t>
      </w:r>
      <w:r>
        <w:rPr>
          <w:rFonts w:hint="default" w:ascii="Times New Roman" w:hAnsi="Times New Roman" w:eastAsia="仿宋_GB2312" w:cs="Times New Roman"/>
          <w:color w:val="000000"/>
          <w:sz w:val="32"/>
          <w:szCs w:val="32"/>
          <w:lang w:val="en-US" w:eastAsia="zh-CN"/>
        </w:rPr>
        <w:t>3.9</w:t>
      </w:r>
      <w:r>
        <w:rPr>
          <w:rFonts w:hint="default" w:ascii="Times New Roman" w:hAnsi="Times New Roman" w:eastAsia="仿宋_GB2312" w:cs="Times New Roman"/>
          <w:color w:val="000000"/>
          <w:sz w:val="32"/>
          <w:szCs w:val="32"/>
        </w:rPr>
        <w:t>万元。</w:t>
      </w:r>
    </w:p>
    <w:p w14:paraId="52D0CF3B">
      <w:pPr>
        <w:keepNext w:val="0"/>
        <w:keepLines w:val="0"/>
        <w:pageBreakBefore w:val="0"/>
        <w:widowControl w:val="0"/>
        <w:kinsoku/>
        <w:wordWrap/>
        <w:overflowPunct/>
        <w:topLinePunct w:val="0"/>
        <w:bidi w:val="0"/>
        <w:spacing w:line="576"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000000"/>
          <w:sz w:val="32"/>
          <w:szCs w:val="32"/>
        </w:rPr>
        <w:t>外事接待支出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万元，外事接待</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批次，</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人，共计支出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bookmarkStart w:id="58" w:name="_Toc15396610"/>
      <w:bookmarkStart w:id="59" w:name="_Toc15377218"/>
    </w:p>
    <w:p w14:paraId="110FB062">
      <w:pPr>
        <w:keepNext w:val="0"/>
        <w:keepLines w:val="0"/>
        <w:pageBreakBefore w:val="0"/>
        <w:widowControl w:val="0"/>
        <w:kinsoku/>
        <w:wordWrap/>
        <w:overflowPunct/>
        <w:topLinePunct w:val="0"/>
        <w:bidi w:val="0"/>
        <w:spacing w:line="576" w:lineRule="exact"/>
        <w:ind w:firstLine="640"/>
        <w:jc w:val="both"/>
        <w:textAlignment w:val="auto"/>
        <w:outlineLvl w:val="1"/>
        <w:rPr>
          <w:rStyle w:val="31"/>
          <w:rFonts w:hint="default" w:ascii="Times New Roman" w:hAnsi="Times New Roman" w:eastAsia="黑体" w:cs="Times New Roman"/>
          <w:color w:val="auto"/>
          <w:highlight w:val="none"/>
        </w:rPr>
      </w:pPr>
      <w:bookmarkStart w:id="60" w:name="_Toc19258"/>
      <w:r>
        <w:rPr>
          <w:rFonts w:hint="default" w:ascii="Times New Roman" w:hAnsi="Times New Roman" w:eastAsia="黑体" w:cs="Times New Roman"/>
          <w:color w:val="auto"/>
          <w:sz w:val="32"/>
          <w:szCs w:val="32"/>
          <w:highlight w:val="none"/>
        </w:rPr>
        <w:t>八、</w:t>
      </w:r>
      <w:r>
        <w:rPr>
          <w:rStyle w:val="31"/>
          <w:rFonts w:hint="default" w:ascii="Times New Roman" w:hAnsi="Times New Roman" w:eastAsia="黑体" w:cs="Times New Roman"/>
          <w:b w:val="0"/>
          <w:color w:val="auto"/>
          <w:highlight w:val="none"/>
        </w:rPr>
        <w:t>政府性基金预算支出决算情况说明</w:t>
      </w:r>
      <w:bookmarkEnd w:id="58"/>
      <w:bookmarkEnd w:id="59"/>
      <w:bookmarkEnd w:id="60"/>
    </w:p>
    <w:p w14:paraId="7CD4757F">
      <w:pPr>
        <w:keepNext w:val="0"/>
        <w:keepLines w:val="0"/>
        <w:pageBreakBefore w:val="0"/>
        <w:widowControl w:val="0"/>
        <w:kinsoku/>
        <w:wordWrap/>
        <w:overflowPunct/>
        <w:topLinePunct w:val="0"/>
        <w:bidi w:val="0"/>
        <w:spacing w:line="576" w:lineRule="exact"/>
        <w:ind w:firstLine="64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年政府性基金预算</w:t>
      </w:r>
      <w:r>
        <w:rPr>
          <w:rFonts w:hint="default"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拨款支出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val="en-US" w:eastAsia="zh-CN"/>
        </w:rPr>
        <w:t>2021年本单位未在政府性基金预算拨款安排</w:t>
      </w:r>
      <w:bookmarkStart w:id="109" w:name="_GoBack"/>
      <w:bookmarkEnd w:id="109"/>
      <w:r>
        <w:rPr>
          <w:rFonts w:hint="eastAsia" w:eastAsia="仿宋_GB2312" w:cs="Times New Roman"/>
          <w:color w:val="auto"/>
          <w:sz w:val="32"/>
          <w:szCs w:val="32"/>
          <w:highlight w:val="none"/>
          <w:lang w:val="en-US" w:eastAsia="zh-CN"/>
        </w:rPr>
        <w:t>“三公”经费</w:t>
      </w:r>
      <w:r>
        <w:rPr>
          <w:rFonts w:hint="default" w:ascii="Times New Roman" w:hAnsi="Times New Roman" w:eastAsia="仿宋_GB2312" w:cs="Times New Roman"/>
          <w:color w:val="auto"/>
          <w:sz w:val="32"/>
          <w:szCs w:val="32"/>
          <w:highlight w:val="none"/>
          <w:lang w:val="en-US" w:eastAsia="zh-CN"/>
        </w:rPr>
        <w:t>支出</w:t>
      </w:r>
      <w:r>
        <w:rPr>
          <w:rFonts w:hint="eastAsia" w:eastAsia="仿宋_GB2312" w:cs="Times New Roman"/>
          <w:color w:val="auto"/>
          <w:sz w:val="32"/>
          <w:szCs w:val="32"/>
          <w:highlight w:val="none"/>
          <w:lang w:val="en-US" w:eastAsia="zh-CN"/>
        </w:rPr>
        <w:t>。</w:t>
      </w:r>
    </w:p>
    <w:p w14:paraId="5F16297B">
      <w:pPr>
        <w:keepNext w:val="0"/>
        <w:keepLines w:val="0"/>
        <w:pageBreakBefore w:val="0"/>
        <w:widowControl w:val="0"/>
        <w:numPr>
          <w:ilvl w:val="0"/>
          <w:numId w:val="2"/>
        </w:numPr>
        <w:kinsoku/>
        <w:wordWrap/>
        <w:overflowPunct/>
        <w:topLinePunct w:val="0"/>
        <w:bidi w:val="0"/>
        <w:spacing w:line="576" w:lineRule="exact"/>
        <w:ind w:firstLine="640"/>
        <w:jc w:val="both"/>
        <w:textAlignment w:val="auto"/>
        <w:outlineLvl w:val="1"/>
        <w:rPr>
          <w:rStyle w:val="31"/>
          <w:rFonts w:hint="default" w:ascii="Times New Roman" w:hAnsi="Times New Roman" w:eastAsia="黑体" w:cs="Times New Roman"/>
          <w:b w:val="0"/>
          <w:color w:val="auto"/>
          <w:highlight w:val="none"/>
        </w:rPr>
      </w:pPr>
      <w:bookmarkStart w:id="61" w:name="_Toc15396611"/>
      <w:bookmarkStart w:id="62" w:name="_Toc29350"/>
      <w:bookmarkStart w:id="63" w:name="_Toc15377219"/>
      <w:r>
        <w:rPr>
          <w:rStyle w:val="31"/>
          <w:rFonts w:hint="default" w:ascii="Times New Roman" w:hAnsi="Times New Roman" w:eastAsia="黑体" w:cs="Times New Roman"/>
          <w:b w:val="0"/>
          <w:color w:val="auto"/>
          <w:highlight w:val="none"/>
        </w:rPr>
        <w:t>国有资本经营预算支出决算情况说明</w:t>
      </w:r>
      <w:bookmarkEnd w:id="61"/>
      <w:bookmarkEnd w:id="62"/>
      <w:bookmarkEnd w:id="63"/>
    </w:p>
    <w:p w14:paraId="23BDFF08">
      <w:pPr>
        <w:keepNext w:val="0"/>
        <w:keepLines w:val="0"/>
        <w:pageBreakBefore w:val="0"/>
        <w:widowControl w:val="0"/>
        <w:kinsoku/>
        <w:wordWrap/>
        <w:overflowPunct/>
        <w:topLinePunct w:val="0"/>
        <w:bidi w:val="0"/>
        <w:spacing w:line="576" w:lineRule="exact"/>
        <w:ind w:firstLine="640"/>
        <w:jc w:val="both"/>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年国有资本经营预算</w:t>
      </w:r>
      <w:r>
        <w:rPr>
          <w:rFonts w:hint="default"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拨款支出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14:paraId="4DF4FFE6">
      <w:pPr>
        <w:keepNext w:val="0"/>
        <w:keepLines w:val="0"/>
        <w:pageBreakBefore w:val="0"/>
        <w:widowControl w:val="0"/>
        <w:numPr>
          <w:ilvl w:val="0"/>
          <w:numId w:val="2"/>
        </w:numPr>
        <w:kinsoku/>
        <w:wordWrap/>
        <w:overflowPunct/>
        <w:topLinePunct w:val="0"/>
        <w:bidi w:val="0"/>
        <w:spacing w:line="576" w:lineRule="exact"/>
        <w:ind w:firstLine="640"/>
        <w:jc w:val="both"/>
        <w:textAlignment w:val="auto"/>
        <w:outlineLvl w:val="1"/>
        <w:rPr>
          <w:rStyle w:val="31"/>
          <w:rFonts w:hint="default" w:ascii="Times New Roman" w:hAnsi="Times New Roman" w:eastAsia="黑体" w:cs="Times New Roman"/>
          <w:b w:val="0"/>
          <w:color w:val="auto"/>
          <w:highlight w:val="none"/>
        </w:rPr>
      </w:pPr>
      <w:bookmarkStart w:id="64" w:name="_Toc27977"/>
      <w:bookmarkStart w:id="65" w:name="_Toc15396612"/>
      <w:bookmarkStart w:id="66" w:name="_Toc15377221"/>
      <w:r>
        <w:rPr>
          <w:rStyle w:val="31"/>
          <w:rFonts w:hint="default" w:ascii="Times New Roman" w:hAnsi="Times New Roman" w:eastAsia="黑体" w:cs="Times New Roman"/>
          <w:b w:val="0"/>
          <w:color w:val="auto"/>
          <w:highlight w:val="none"/>
          <w:lang w:val="en-US" w:eastAsia="zh-CN"/>
        </w:rPr>
        <w:t>预算绩效管理情况</w:t>
      </w:r>
      <w:bookmarkEnd w:id="64"/>
    </w:p>
    <w:p w14:paraId="20AFD085">
      <w:pPr>
        <w:keepNext w:val="0"/>
        <w:keepLines w:val="0"/>
        <w:pageBreakBefore w:val="0"/>
        <w:widowControl w:val="0"/>
        <w:kinsoku/>
        <w:wordWrap/>
        <w:overflowPunct/>
        <w:topLinePunct w:val="0"/>
        <w:bidi w:val="0"/>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根据预算绩效管理要求，本单位在</w:t>
      </w:r>
      <w:r>
        <w:rPr>
          <w:rFonts w:hint="default" w:ascii="Times New Roman" w:hAnsi="Times New Roman" w:eastAsia="仿宋_GB2312" w:cs="Times New Roman"/>
          <w:color w:val="auto"/>
          <w:sz w:val="32"/>
          <w:szCs w:val="32"/>
          <w:highlight w:val="none"/>
          <w:lang w:val="en-US" w:eastAsia="zh-CN"/>
        </w:rPr>
        <w:t>2021年度</w:t>
      </w:r>
      <w:r>
        <w:rPr>
          <w:rFonts w:hint="default" w:ascii="Times New Roman" w:hAnsi="Times New Roman" w:eastAsia="仿宋_GB2312" w:cs="Times New Roman"/>
          <w:color w:val="auto"/>
          <w:sz w:val="32"/>
          <w:szCs w:val="32"/>
          <w:highlight w:val="none"/>
        </w:rPr>
        <w:t>预算编制阶段，组织对</w:t>
      </w:r>
      <w:r>
        <w:rPr>
          <w:rFonts w:hint="default" w:ascii="Times New Roman" w:hAnsi="Times New Roman" w:eastAsia="仿宋_GB2312" w:cs="Times New Roman"/>
          <w:color w:val="auto"/>
          <w:sz w:val="32"/>
          <w:szCs w:val="32"/>
          <w:highlight w:val="none"/>
          <w:lang w:val="en-US" w:eastAsia="zh-CN"/>
        </w:rPr>
        <w:t>食品药品医疗器械化妆品及地方有机产品认证企业补助经费2个项目</w:t>
      </w:r>
      <w:r>
        <w:rPr>
          <w:rFonts w:hint="default" w:ascii="Times New Roman" w:hAnsi="Times New Roman" w:eastAsia="仿宋_GB2312" w:cs="Times New Roman"/>
          <w:color w:val="auto"/>
          <w:sz w:val="32"/>
          <w:szCs w:val="32"/>
          <w:highlight w:val="none"/>
        </w:rPr>
        <w:t>开展了预算事前绩效评估，对</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个项目编制了绩效目标，预算执行过程中，选取</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个项目开展绩效监控，年终执行完毕后，对</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个项目开展了绩效自评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2021年部门预算项目绩效目标自评表见附件（第四部分）</w:t>
      </w:r>
      <w:r>
        <w:rPr>
          <w:rFonts w:hint="default" w:ascii="Times New Roman" w:hAnsi="Times New Roman" w:eastAsia="仿宋_GB2312" w:cs="Times New Roman"/>
          <w:color w:val="auto"/>
          <w:sz w:val="32"/>
          <w:szCs w:val="32"/>
          <w:highlight w:val="none"/>
        </w:rPr>
        <w:t>。</w:t>
      </w:r>
    </w:p>
    <w:p w14:paraId="44D3A418">
      <w:pPr>
        <w:keepNext w:val="0"/>
        <w:keepLines w:val="0"/>
        <w:pageBreakBefore w:val="0"/>
        <w:widowControl w:val="0"/>
        <w:numPr>
          <w:ilvl w:val="0"/>
          <w:numId w:val="2"/>
        </w:numPr>
        <w:kinsoku/>
        <w:wordWrap/>
        <w:overflowPunct/>
        <w:topLinePunct w:val="0"/>
        <w:bidi w:val="0"/>
        <w:spacing w:line="576" w:lineRule="exact"/>
        <w:ind w:firstLine="640" w:firstLineChars="200"/>
        <w:jc w:val="both"/>
        <w:textAlignment w:val="auto"/>
        <w:outlineLvl w:val="1"/>
        <w:rPr>
          <w:rStyle w:val="31"/>
          <w:rFonts w:hint="default" w:ascii="Times New Roman" w:hAnsi="Times New Roman" w:eastAsia="黑体" w:cs="Times New Roman"/>
          <w:b w:val="0"/>
          <w:color w:val="auto"/>
          <w:highlight w:val="none"/>
        </w:rPr>
      </w:pPr>
      <w:bookmarkStart w:id="67" w:name="_Toc18454"/>
      <w:r>
        <w:rPr>
          <w:rStyle w:val="31"/>
          <w:rFonts w:hint="default" w:ascii="Times New Roman" w:hAnsi="Times New Roman" w:eastAsia="黑体" w:cs="Times New Roman"/>
          <w:b w:val="0"/>
          <w:color w:val="auto"/>
          <w:highlight w:val="none"/>
        </w:rPr>
        <w:t>其他重要事项的情况说明</w:t>
      </w:r>
      <w:bookmarkEnd w:id="65"/>
      <w:bookmarkEnd w:id="66"/>
      <w:bookmarkEnd w:id="67"/>
    </w:p>
    <w:p w14:paraId="028F0ECF">
      <w:pPr>
        <w:keepNext w:val="0"/>
        <w:keepLines w:val="0"/>
        <w:pageBreakBefore w:val="0"/>
        <w:widowControl w:val="0"/>
        <w:kinsoku/>
        <w:wordWrap/>
        <w:overflowPunct/>
        <w:topLinePunct w:val="0"/>
        <w:bidi w:val="0"/>
        <w:spacing w:line="576" w:lineRule="exact"/>
        <w:ind w:firstLine="640"/>
        <w:jc w:val="both"/>
        <w:textAlignment w:val="auto"/>
        <w:outlineLvl w:val="2"/>
        <w:rPr>
          <w:rFonts w:hint="default" w:ascii="楷体_GB2312" w:hAnsi="楷体_GB2312" w:eastAsia="楷体_GB2312" w:cs="楷体_GB2312"/>
          <w:b/>
          <w:color w:val="auto"/>
          <w:sz w:val="32"/>
          <w:szCs w:val="32"/>
          <w:highlight w:val="none"/>
        </w:rPr>
      </w:pPr>
      <w:bookmarkStart w:id="68" w:name="_Toc15377222"/>
      <w:r>
        <w:rPr>
          <w:rFonts w:hint="default" w:ascii="楷体_GB2312" w:hAnsi="楷体_GB2312" w:eastAsia="楷体_GB2312" w:cs="楷体_GB2312"/>
          <w:b/>
          <w:color w:val="auto"/>
          <w:sz w:val="32"/>
          <w:szCs w:val="32"/>
          <w:highlight w:val="none"/>
        </w:rPr>
        <w:t>（一）机关运行经费支出情况</w:t>
      </w:r>
      <w:bookmarkEnd w:id="68"/>
    </w:p>
    <w:p w14:paraId="779E574B">
      <w:pPr>
        <w:keepNext w:val="0"/>
        <w:keepLines w:val="0"/>
        <w:pageBreakBefore w:val="0"/>
        <w:widowControl w:val="0"/>
        <w:kinsoku/>
        <w:wordWrap/>
        <w:overflowPunct/>
        <w:topLinePunct w:val="0"/>
        <w:bidi w:val="0"/>
        <w:spacing w:line="576" w:lineRule="exact"/>
        <w:ind w:firstLine="640" w:firstLineChars="200"/>
        <w:jc w:val="both"/>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color w:val="000000"/>
          <w:sz w:val="32"/>
          <w:szCs w:val="32"/>
        </w:rPr>
        <w:t>20</w:t>
      </w:r>
      <w:r>
        <w:rPr>
          <w:rFonts w:hint="default" w:ascii="Times New Roman" w:hAnsi="Times New Roman" w:eastAsia="仿宋_GB2312" w:cs="Times New Roman"/>
          <w:color w:val="000000"/>
          <w:sz w:val="32"/>
          <w:szCs w:val="32"/>
          <w:lang w:val="en-US" w:eastAsia="zh-CN"/>
        </w:rPr>
        <w:t>21</w:t>
      </w:r>
      <w:r>
        <w:rPr>
          <w:rFonts w:hint="default" w:ascii="Times New Roman" w:hAnsi="Times New Roman" w:eastAsia="仿宋_GB2312" w:cs="Times New Roman"/>
          <w:color w:val="000000"/>
          <w:sz w:val="32"/>
          <w:szCs w:val="32"/>
        </w:rPr>
        <w:t>年度，区</w:t>
      </w:r>
      <w:r>
        <w:rPr>
          <w:rFonts w:hint="default" w:ascii="Times New Roman" w:hAnsi="Times New Roman" w:eastAsia="仿宋_GB2312" w:cs="Times New Roman"/>
          <w:color w:val="000000"/>
          <w:sz w:val="32"/>
          <w:szCs w:val="32"/>
          <w:lang w:eastAsia="zh-CN"/>
        </w:rPr>
        <w:t>市场监督管理局</w:t>
      </w:r>
      <w:r>
        <w:rPr>
          <w:rFonts w:hint="default" w:ascii="Times New Roman" w:hAnsi="Times New Roman" w:eastAsia="仿宋_GB2312" w:cs="Times New Roman"/>
          <w:color w:val="000000"/>
          <w:sz w:val="32"/>
          <w:szCs w:val="32"/>
        </w:rPr>
        <w:t>机关运行经费支出</w:t>
      </w:r>
      <w:r>
        <w:rPr>
          <w:rFonts w:hint="default" w:ascii="Times New Roman" w:hAnsi="Times New Roman" w:eastAsia="仿宋_GB2312" w:cs="Times New Roman"/>
          <w:color w:val="000000"/>
          <w:sz w:val="32"/>
          <w:szCs w:val="32"/>
          <w:lang w:val="en-US" w:eastAsia="zh-CN"/>
        </w:rPr>
        <w:t>135.03</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bCs/>
          <w:color w:val="000000"/>
          <w:sz w:val="32"/>
          <w:szCs w:val="32"/>
        </w:rPr>
        <w:t>比上年</w:t>
      </w:r>
      <w:r>
        <w:rPr>
          <w:rFonts w:hint="default" w:ascii="Times New Roman" w:hAnsi="Times New Roman" w:eastAsia="仿宋_GB2312" w:cs="Times New Roman"/>
          <w:bCs/>
          <w:color w:val="000000"/>
          <w:sz w:val="32"/>
          <w:szCs w:val="32"/>
          <w:lang w:eastAsia="zh-CN"/>
        </w:rPr>
        <w:t>增加</w:t>
      </w:r>
      <w:r>
        <w:rPr>
          <w:rFonts w:hint="default" w:ascii="Times New Roman" w:hAnsi="Times New Roman" w:eastAsia="仿宋_GB2312" w:cs="Times New Roman"/>
          <w:bCs/>
          <w:color w:val="000000"/>
          <w:sz w:val="32"/>
          <w:szCs w:val="32"/>
          <w:lang w:val="en-US" w:eastAsia="zh-CN"/>
        </w:rPr>
        <w:t>38.8</w:t>
      </w:r>
      <w:r>
        <w:rPr>
          <w:rFonts w:hint="default" w:ascii="Times New Roman" w:hAnsi="Times New Roman" w:eastAsia="仿宋_GB2312" w:cs="Times New Roman"/>
          <w:bCs/>
          <w:color w:val="000000"/>
          <w:sz w:val="32"/>
          <w:szCs w:val="32"/>
        </w:rPr>
        <w:t>万元，</w:t>
      </w:r>
      <w:r>
        <w:rPr>
          <w:rFonts w:hint="default" w:ascii="Times New Roman" w:hAnsi="Times New Roman" w:eastAsia="仿宋_GB2312" w:cs="Times New Roman"/>
          <w:bCs/>
          <w:color w:val="000000"/>
          <w:sz w:val="32"/>
          <w:szCs w:val="32"/>
          <w:lang w:eastAsia="zh-CN"/>
        </w:rPr>
        <w:t>增加</w:t>
      </w:r>
      <w:r>
        <w:rPr>
          <w:rFonts w:hint="default" w:ascii="Times New Roman" w:hAnsi="Times New Roman" w:eastAsia="仿宋_GB2312" w:cs="Times New Roman"/>
          <w:bCs/>
          <w:color w:val="000000"/>
          <w:sz w:val="32"/>
          <w:szCs w:val="32"/>
        </w:rPr>
        <w:t>的主要原因是</w:t>
      </w:r>
      <w:r>
        <w:rPr>
          <w:rFonts w:hint="default" w:ascii="Times New Roman" w:hAnsi="Times New Roman" w:eastAsia="仿宋_GB2312" w:cs="Times New Roman"/>
          <w:bCs/>
          <w:color w:val="000000"/>
          <w:sz w:val="32"/>
          <w:szCs w:val="32"/>
          <w:lang w:eastAsia="zh-CN"/>
        </w:rPr>
        <w:t>机构合并</w:t>
      </w:r>
      <w:r>
        <w:rPr>
          <w:rFonts w:hint="default" w:ascii="Times New Roman" w:hAnsi="Times New Roman" w:eastAsia="仿宋_GB2312" w:cs="Times New Roman"/>
          <w:bCs/>
          <w:color w:val="000000"/>
          <w:sz w:val="32"/>
          <w:szCs w:val="32"/>
        </w:rPr>
        <w:t>人员</w:t>
      </w:r>
      <w:r>
        <w:rPr>
          <w:rFonts w:hint="default" w:ascii="Times New Roman" w:hAnsi="Times New Roman" w:eastAsia="仿宋_GB2312" w:cs="Times New Roman"/>
          <w:bCs/>
          <w:color w:val="000000"/>
          <w:sz w:val="32"/>
          <w:szCs w:val="32"/>
          <w:lang w:eastAsia="zh-CN"/>
        </w:rPr>
        <w:t>经费及公业务费增加。</w:t>
      </w:r>
    </w:p>
    <w:p w14:paraId="69FE341C">
      <w:pPr>
        <w:keepNext w:val="0"/>
        <w:keepLines w:val="0"/>
        <w:pageBreakBefore w:val="0"/>
        <w:widowControl w:val="0"/>
        <w:kinsoku/>
        <w:wordWrap/>
        <w:overflowPunct/>
        <w:topLinePunct w:val="0"/>
        <w:bidi w:val="0"/>
        <w:spacing w:line="576" w:lineRule="exact"/>
        <w:ind w:firstLine="640"/>
        <w:jc w:val="both"/>
        <w:textAlignment w:val="auto"/>
        <w:outlineLvl w:val="2"/>
        <w:rPr>
          <w:rFonts w:hint="eastAsia" w:ascii="楷体_GB2312" w:hAnsi="楷体_GB2312" w:eastAsia="楷体_GB2312" w:cs="楷体_GB2312"/>
          <w:b/>
          <w:color w:val="auto"/>
          <w:sz w:val="32"/>
          <w:szCs w:val="32"/>
          <w:highlight w:val="none"/>
        </w:rPr>
      </w:pPr>
      <w:bookmarkStart w:id="69" w:name="_Toc15377223"/>
      <w:r>
        <w:rPr>
          <w:rFonts w:hint="eastAsia" w:ascii="楷体_GB2312" w:hAnsi="楷体_GB2312" w:eastAsia="楷体_GB2312" w:cs="楷体_GB2312"/>
          <w:b/>
          <w:color w:val="auto"/>
          <w:sz w:val="32"/>
          <w:szCs w:val="32"/>
          <w:highlight w:val="none"/>
        </w:rPr>
        <w:t>（二）政府采购支出情况</w:t>
      </w:r>
      <w:bookmarkEnd w:id="69"/>
    </w:p>
    <w:p w14:paraId="5E6CFCE0">
      <w:pPr>
        <w:keepNext w:val="0"/>
        <w:keepLines w:val="0"/>
        <w:pageBreakBefore w:val="0"/>
        <w:widowControl w:val="0"/>
        <w:kinsoku/>
        <w:wordWrap/>
        <w:overflowPunct/>
        <w:topLinePunct w:val="0"/>
        <w:bidi w:val="0"/>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000000"/>
          <w:sz w:val="32"/>
          <w:szCs w:val="32"/>
          <w:lang w:val="en-US" w:eastAsia="zh-CN"/>
        </w:rPr>
        <w:t>区市场监督管理局</w:t>
      </w:r>
      <w:r>
        <w:rPr>
          <w:rFonts w:hint="default" w:ascii="Times New Roman" w:hAnsi="Times New Roman" w:eastAsia="仿宋_GB2312" w:cs="Times New Roman"/>
          <w:color w:val="000000"/>
          <w:sz w:val="32"/>
          <w:szCs w:val="32"/>
        </w:rPr>
        <w:t>政府采购支出总额</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万元，其中：政府采购货物支出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万元、政府采购工程支出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万元、政府采购服务支出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万元。授予中小企业合同金额</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万元，占政府采购支出总额的</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%，其中：授予小微企业合同金额</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万元，占政府采购支出总额的</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w:t>
      </w:r>
    </w:p>
    <w:p w14:paraId="5BF1FEFE">
      <w:pPr>
        <w:keepNext w:val="0"/>
        <w:keepLines w:val="0"/>
        <w:pageBreakBefore w:val="0"/>
        <w:widowControl w:val="0"/>
        <w:kinsoku/>
        <w:wordWrap/>
        <w:overflowPunct/>
        <w:topLinePunct w:val="0"/>
        <w:bidi w:val="0"/>
        <w:spacing w:line="576" w:lineRule="exact"/>
        <w:ind w:firstLine="640"/>
        <w:jc w:val="both"/>
        <w:textAlignment w:val="auto"/>
        <w:outlineLvl w:val="2"/>
        <w:rPr>
          <w:rFonts w:hint="eastAsia" w:ascii="楷体_GB2312" w:hAnsi="楷体_GB2312" w:eastAsia="楷体_GB2312" w:cs="楷体_GB2312"/>
          <w:b/>
          <w:color w:val="auto"/>
          <w:sz w:val="32"/>
          <w:szCs w:val="32"/>
          <w:highlight w:val="none"/>
        </w:rPr>
      </w:pPr>
      <w:bookmarkStart w:id="70" w:name="_Toc15377224"/>
      <w:r>
        <w:rPr>
          <w:rFonts w:hint="eastAsia" w:ascii="楷体_GB2312" w:hAnsi="楷体_GB2312" w:eastAsia="楷体_GB2312" w:cs="楷体_GB2312"/>
          <w:b/>
          <w:color w:val="auto"/>
          <w:sz w:val="32"/>
          <w:szCs w:val="32"/>
          <w:highlight w:val="none"/>
        </w:rPr>
        <w:t>（三）国有资产占有使用情况</w:t>
      </w:r>
      <w:bookmarkEnd w:id="70"/>
    </w:p>
    <w:p w14:paraId="497BA29E">
      <w:pPr>
        <w:keepNext w:val="0"/>
        <w:keepLines w:val="0"/>
        <w:pageBreakBefore w:val="0"/>
        <w:widowControl w:val="0"/>
        <w:kinsoku/>
        <w:wordWrap/>
        <w:overflowPunct/>
        <w:topLinePunct w:val="0"/>
        <w:autoSpaceDE w:val="0"/>
        <w:autoSpaceDN w:val="0"/>
        <w:bidi w:val="0"/>
        <w:adjustRightInd w:val="0"/>
        <w:spacing w:line="576" w:lineRule="exact"/>
        <w:ind w:firstLine="640" w:firstLineChars="200"/>
        <w:jc w:val="both"/>
        <w:textAlignment w:val="auto"/>
        <w:rPr>
          <w:rFonts w:hint="default" w:ascii="Times New Roman" w:hAnsi="Times New Roman" w:eastAsia="仿宋_GB2312" w:cs="Times New Roman"/>
          <w:b/>
          <w:color w:val="FF0000"/>
          <w:sz w:val="32"/>
          <w:szCs w:val="32"/>
          <w:lang w:eastAsia="zh-CN"/>
        </w:rPr>
      </w:pPr>
      <w:r>
        <w:rPr>
          <w:rFonts w:hint="default" w:ascii="Times New Roman" w:hAnsi="Times New Roman" w:eastAsia="仿宋_GB2312" w:cs="Times New Roman"/>
          <w:color w:val="auto"/>
          <w:sz w:val="32"/>
          <w:szCs w:val="32"/>
          <w:highlight w:val="none"/>
        </w:rPr>
        <w:t>截至20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年12月31日，</w:t>
      </w:r>
      <w:r>
        <w:rPr>
          <w:rFonts w:hint="default" w:ascii="Times New Roman" w:hAnsi="Times New Roman" w:eastAsia="仿宋_GB2312" w:cs="Times New Roman"/>
          <w:color w:val="000000"/>
          <w:sz w:val="32"/>
          <w:szCs w:val="32"/>
        </w:rPr>
        <w:t>市场监督管理局共有车辆5辆，其中：主要领导干部用车0辆、机要通信用车0辆、应急保障用车0辆、其他用车0辆、执法执勤车辆5辆。车辆主要是用于食品</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药品</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医疗器械及化妆品、特</w:t>
      </w:r>
      <w:r>
        <w:rPr>
          <w:rFonts w:hint="default" w:ascii="Times New Roman" w:hAnsi="Times New Roman" w:eastAsia="仿宋_GB2312" w:cs="Times New Roman"/>
          <w:color w:val="000000"/>
          <w:sz w:val="32"/>
          <w:szCs w:val="32"/>
          <w:lang w:eastAsia="zh-CN"/>
        </w:rPr>
        <w:t>种</w:t>
      </w:r>
      <w:r>
        <w:rPr>
          <w:rFonts w:hint="default" w:ascii="Times New Roman" w:hAnsi="Times New Roman" w:eastAsia="仿宋_GB2312" w:cs="Times New Roman"/>
          <w:color w:val="000000"/>
          <w:sz w:val="32"/>
          <w:szCs w:val="32"/>
        </w:rPr>
        <w:t>设备</w:t>
      </w:r>
      <w:r>
        <w:rPr>
          <w:rFonts w:hint="default" w:ascii="Times New Roman" w:hAnsi="Times New Roman" w:eastAsia="仿宋_GB2312" w:cs="Times New Roman"/>
          <w:color w:val="000000"/>
          <w:sz w:val="32"/>
          <w:szCs w:val="32"/>
          <w:lang w:eastAsia="zh-CN"/>
        </w:rPr>
        <w:t>监管和市场秩序整治</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行政</w:t>
      </w:r>
      <w:r>
        <w:rPr>
          <w:rFonts w:hint="default" w:ascii="Times New Roman" w:hAnsi="Times New Roman" w:eastAsia="仿宋_GB2312" w:cs="Times New Roman"/>
          <w:color w:val="000000"/>
          <w:sz w:val="32"/>
          <w:szCs w:val="32"/>
        </w:rPr>
        <w:t>执法等</w:t>
      </w:r>
      <w:r>
        <w:rPr>
          <w:rFonts w:hint="default" w:ascii="Times New Roman" w:hAnsi="Times New Roman" w:eastAsia="仿宋_GB2312" w:cs="Times New Roman"/>
          <w:color w:val="000000"/>
          <w:sz w:val="32"/>
          <w:szCs w:val="32"/>
          <w:lang w:eastAsia="zh-CN"/>
        </w:rPr>
        <w:t>工作</w:t>
      </w:r>
      <w:r>
        <w:rPr>
          <w:rFonts w:hint="default" w:ascii="Times New Roman" w:hAnsi="Times New Roman" w:eastAsia="仿宋_GB2312" w:cs="Times New Roman"/>
          <w:color w:val="000000"/>
          <w:sz w:val="32"/>
          <w:szCs w:val="32"/>
        </w:rPr>
        <w:t>。单价50万元以上通用设备</w:t>
      </w:r>
      <w:r>
        <w:rPr>
          <w:rFonts w:hint="default"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rPr>
        <w:t>台</w:t>
      </w:r>
      <w:r>
        <w:rPr>
          <w:rFonts w:hint="default" w:ascii="Times New Roman" w:hAnsi="Times New Roman" w:eastAsia="仿宋_GB2312" w:cs="Times New Roman"/>
          <w:color w:val="000000"/>
          <w:sz w:val="32"/>
          <w:szCs w:val="32"/>
        </w:rPr>
        <w:t>（套），单价100万元以上专用设备0台（套）。</w:t>
      </w:r>
    </w:p>
    <w:p w14:paraId="218B05B3">
      <w:pPr>
        <w:keepNext w:val="0"/>
        <w:keepLines w:val="0"/>
        <w:pageBreakBefore w:val="0"/>
        <w:widowControl w:val="0"/>
        <w:kinsoku/>
        <w:wordWrap/>
        <w:overflowPunct/>
        <w:topLinePunct w:val="0"/>
        <w:autoSpaceDE w:val="0"/>
        <w:autoSpaceDN w:val="0"/>
        <w:bidi w:val="0"/>
        <w:adjustRightInd w:val="0"/>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6C978FD9">
      <w:pPr>
        <w:pStyle w:val="6"/>
        <w:keepNext w:val="0"/>
        <w:keepLines w:val="0"/>
        <w:pageBreakBefore w:val="0"/>
        <w:widowControl w:val="0"/>
        <w:kinsoku/>
        <w:wordWrap/>
        <w:overflowPunct/>
        <w:topLinePunct w:val="0"/>
        <w:bidi w:val="0"/>
        <w:spacing w:beforeLines="0" w:line="576" w:lineRule="exact"/>
        <w:jc w:val="both"/>
        <w:textAlignment w:val="auto"/>
        <w:rPr>
          <w:rFonts w:hint="default" w:ascii="Times New Roman" w:hAnsi="Times New Roman" w:cs="Times New Roman"/>
          <w:highlight w:val="yellow"/>
        </w:rPr>
      </w:pPr>
    </w:p>
    <w:p w14:paraId="4987ECDC">
      <w:pPr>
        <w:keepNext w:val="0"/>
        <w:keepLines w:val="0"/>
        <w:pageBreakBefore w:val="0"/>
        <w:widowControl w:val="0"/>
        <w:kinsoku/>
        <w:wordWrap/>
        <w:overflowPunct/>
        <w:topLinePunct w:val="0"/>
        <w:bidi w:val="0"/>
        <w:spacing w:line="576" w:lineRule="exact"/>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br w:type="page"/>
      </w:r>
    </w:p>
    <w:p w14:paraId="57604C07">
      <w:pPr>
        <w:keepNext w:val="0"/>
        <w:keepLines w:val="0"/>
        <w:pageBreakBefore w:val="0"/>
        <w:widowControl w:val="0"/>
        <w:numPr>
          <w:ilvl w:val="0"/>
          <w:numId w:val="0"/>
        </w:numPr>
        <w:kinsoku/>
        <w:wordWrap/>
        <w:overflowPunct/>
        <w:topLinePunct w:val="0"/>
        <w:bidi w:val="0"/>
        <w:spacing w:line="576" w:lineRule="exact"/>
        <w:ind w:leftChars="0"/>
        <w:jc w:val="center"/>
        <w:textAlignment w:val="auto"/>
        <w:outlineLvl w:val="0"/>
        <w:rPr>
          <w:rFonts w:hint="eastAsia" w:ascii="方正小标宋简体" w:hAnsi="方正小标宋简体" w:eastAsia="方正小标宋简体" w:cs="方正小标宋简体"/>
          <w:color w:val="auto"/>
          <w:sz w:val="44"/>
          <w:szCs w:val="44"/>
          <w:highlight w:val="none"/>
          <w:lang w:eastAsia="zh-CN"/>
        </w:rPr>
      </w:pPr>
      <w:bookmarkStart w:id="71" w:name="_Toc16188"/>
      <w:bookmarkStart w:id="72" w:name="_Toc15396613"/>
      <w:bookmarkStart w:id="73" w:name="_Toc15377225"/>
    </w:p>
    <w:p w14:paraId="6E24E8E4">
      <w:pPr>
        <w:keepNext w:val="0"/>
        <w:keepLines w:val="0"/>
        <w:pageBreakBefore w:val="0"/>
        <w:widowControl w:val="0"/>
        <w:numPr>
          <w:ilvl w:val="0"/>
          <w:numId w:val="0"/>
        </w:numPr>
        <w:kinsoku/>
        <w:wordWrap/>
        <w:overflowPunct/>
        <w:topLinePunct w:val="0"/>
        <w:bidi w:val="0"/>
        <w:spacing w:line="576" w:lineRule="exact"/>
        <w:ind w:leftChars="0"/>
        <w:jc w:val="center"/>
        <w:textAlignment w:val="auto"/>
        <w:outlineLvl w:val="0"/>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第三部分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名</w:t>
      </w:r>
      <w:r>
        <w:rPr>
          <w:rStyle w:val="23"/>
          <w:rFonts w:hint="eastAsia" w:ascii="方正小标宋简体" w:hAnsi="方正小标宋简体" w:eastAsia="方正小标宋简体" w:cs="方正小标宋简体"/>
          <w:b w:val="0"/>
          <w:color w:val="auto"/>
          <w:highlight w:val="none"/>
        </w:rPr>
        <w:t>词解释</w:t>
      </w:r>
      <w:bookmarkEnd w:id="71"/>
      <w:bookmarkEnd w:id="72"/>
      <w:bookmarkEnd w:id="73"/>
    </w:p>
    <w:p w14:paraId="4D25B57F">
      <w:pPr>
        <w:pStyle w:val="16"/>
        <w:keepNext w:val="0"/>
        <w:keepLines w:val="0"/>
        <w:pageBreakBefore w:val="0"/>
        <w:widowControl w:val="0"/>
        <w:kinsoku/>
        <w:wordWrap/>
        <w:overflowPunct/>
        <w:topLinePunct w:val="0"/>
        <w:bidi w:val="0"/>
        <w:spacing w:line="576"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p>
    <w:p w14:paraId="714F63F7">
      <w:pPr>
        <w:pStyle w:val="16"/>
        <w:keepNext w:val="0"/>
        <w:keepLines w:val="0"/>
        <w:pageBreakBefore w:val="0"/>
        <w:widowControl w:val="0"/>
        <w:kinsoku/>
        <w:wordWrap/>
        <w:overflowPunct/>
        <w:topLinePunct w:val="0"/>
        <w:bidi w:val="0"/>
        <w:spacing w:line="576"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1.一般公共预算拨款收入：指本级财政当年拨付的资金。　</w:t>
      </w:r>
    </w:p>
    <w:p w14:paraId="4EC218EE">
      <w:pPr>
        <w:pStyle w:val="16"/>
        <w:keepNext w:val="0"/>
        <w:keepLines w:val="0"/>
        <w:pageBreakBefore w:val="0"/>
        <w:widowControl w:val="0"/>
        <w:kinsoku/>
        <w:wordWrap/>
        <w:overflowPunct/>
        <w:topLinePunct w:val="0"/>
        <w:bidi w:val="0"/>
        <w:spacing w:line="576"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2.一般公共服务（类）市场监督管理（款）行政运行（项）：指市场监监管理机关单位用于保障机构正常运行、开展日常工作的基本支出。</w:t>
      </w:r>
    </w:p>
    <w:p w14:paraId="5399035F">
      <w:pPr>
        <w:pStyle w:val="16"/>
        <w:keepNext w:val="0"/>
        <w:keepLines w:val="0"/>
        <w:pageBreakBefore w:val="0"/>
        <w:widowControl w:val="0"/>
        <w:kinsoku/>
        <w:wordWrap/>
        <w:overflowPunct/>
        <w:topLinePunct w:val="0"/>
        <w:bidi w:val="0"/>
        <w:spacing w:line="576"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3.一般公共服务（类）市场监督管理（</w:t>
      </w:r>
      <w:r>
        <w:rPr>
          <w:rFonts w:hint="eastAsia" w:eastAsia="仿宋_GB2312" w:cs="Times New Roman"/>
          <w:color w:val="000000"/>
          <w:kern w:val="2"/>
          <w:sz w:val="32"/>
          <w:szCs w:val="32"/>
          <w:lang w:val="en-US" w:eastAsia="zh-CN" w:bidi="ar-SA"/>
        </w:rPr>
        <w:t xml:space="preserve"> </w:t>
      </w:r>
      <w:r>
        <w:rPr>
          <w:rFonts w:hint="default" w:ascii="Times New Roman" w:hAnsi="Times New Roman" w:eastAsia="仿宋_GB2312" w:cs="Times New Roman"/>
          <w:color w:val="000000"/>
          <w:kern w:val="2"/>
          <w:sz w:val="32"/>
          <w:szCs w:val="32"/>
          <w:lang w:val="en-US" w:eastAsia="zh-CN" w:bidi="ar-SA"/>
        </w:rPr>
        <w:t>款）药品事务（项）：指药品（含中药、民族药）监督管理方面的支出</w:t>
      </w:r>
    </w:p>
    <w:p w14:paraId="3C3C3702">
      <w:pPr>
        <w:pStyle w:val="16"/>
        <w:keepNext w:val="0"/>
        <w:keepLines w:val="0"/>
        <w:pageBreakBefore w:val="0"/>
        <w:widowControl w:val="0"/>
        <w:kinsoku/>
        <w:wordWrap/>
        <w:overflowPunct/>
        <w:topLinePunct w:val="0"/>
        <w:bidi w:val="0"/>
        <w:spacing w:line="576"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4.一般公共服务（类）市场监督管理（款）食品安全监管（项）：指食品安全监管等专项工作支出。</w:t>
      </w:r>
    </w:p>
    <w:p w14:paraId="40A509B5">
      <w:pPr>
        <w:pStyle w:val="16"/>
        <w:keepNext w:val="0"/>
        <w:keepLines w:val="0"/>
        <w:pageBreakBefore w:val="0"/>
        <w:widowControl w:val="0"/>
        <w:kinsoku/>
        <w:wordWrap/>
        <w:overflowPunct/>
        <w:topLinePunct w:val="0"/>
        <w:bidi w:val="0"/>
        <w:spacing w:line="576"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5.一般公共服务（类）市场监督管理（款）事业运行（项）：广元市昭化区市场监督</w:t>
      </w:r>
      <w:r>
        <w:rPr>
          <w:rFonts w:hint="eastAsia" w:eastAsia="仿宋_GB2312" w:cs="Times New Roman"/>
          <w:color w:val="000000"/>
          <w:kern w:val="2"/>
          <w:sz w:val="32"/>
          <w:szCs w:val="32"/>
          <w:lang w:val="en-US" w:eastAsia="zh-CN" w:bidi="ar-SA"/>
        </w:rPr>
        <w:t>服</w:t>
      </w:r>
      <w:r>
        <w:rPr>
          <w:rFonts w:hint="default" w:ascii="Times New Roman" w:hAnsi="Times New Roman" w:eastAsia="仿宋_GB2312" w:cs="Times New Roman"/>
          <w:color w:val="000000"/>
          <w:kern w:val="2"/>
          <w:sz w:val="32"/>
          <w:szCs w:val="32"/>
          <w:lang w:val="en-US" w:eastAsia="zh-CN" w:bidi="ar-SA"/>
        </w:rPr>
        <w:t>务中心、广元市昭化区消费者权益服务中心、广元市昭化区市场监督信息中心用于保障机构正常运行、开展日常工作的基本支出。</w:t>
      </w:r>
    </w:p>
    <w:p w14:paraId="2F0BD094">
      <w:pPr>
        <w:pStyle w:val="16"/>
        <w:keepNext w:val="0"/>
        <w:keepLines w:val="0"/>
        <w:pageBreakBefore w:val="0"/>
        <w:widowControl w:val="0"/>
        <w:kinsoku/>
        <w:wordWrap/>
        <w:overflowPunct/>
        <w:topLinePunct w:val="0"/>
        <w:bidi w:val="0"/>
        <w:spacing w:line="576"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6.一般公共服务（类）市场监督管理（款）其他市场监督管理（项）：指市场监督管理除上述项目外，开展其他市场监督方面专门性工作任务的项目支出，如争取资金、招商引资等的相关支出。</w:t>
      </w:r>
    </w:p>
    <w:p w14:paraId="40C88767">
      <w:pPr>
        <w:pStyle w:val="16"/>
        <w:keepNext w:val="0"/>
        <w:keepLines w:val="0"/>
        <w:pageBreakBefore w:val="0"/>
        <w:widowControl w:val="0"/>
        <w:kinsoku/>
        <w:wordWrap/>
        <w:overflowPunct/>
        <w:topLinePunct w:val="0"/>
        <w:bidi w:val="0"/>
        <w:spacing w:line="576"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7.社会保障和就业（类）行政事业单位养老支出（款）机关事业单位基本养老保险缴费支出（项）：指部门实施养老保险制度由单位缴纳的养老保险费的支出。</w:t>
      </w:r>
    </w:p>
    <w:p w14:paraId="45ED986A">
      <w:pPr>
        <w:pStyle w:val="16"/>
        <w:keepNext w:val="0"/>
        <w:keepLines w:val="0"/>
        <w:pageBreakBefore w:val="0"/>
        <w:widowControl w:val="0"/>
        <w:kinsoku/>
        <w:wordWrap/>
        <w:overflowPunct/>
        <w:topLinePunct w:val="0"/>
        <w:bidi w:val="0"/>
        <w:spacing w:line="576" w:lineRule="exact"/>
        <w:ind w:firstLine="640" w:firstLineChars="200"/>
        <w:jc w:val="both"/>
        <w:textAlignment w:val="auto"/>
        <w:rPr>
          <w:rFonts w:hint="default" w:ascii="Times New Roman" w:hAnsi="Times New Roman" w:eastAsia="仿宋_GB2312" w:cs="Times New Roman"/>
          <w:color w:val="000000"/>
          <w:spacing w:val="-6"/>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8.</w:t>
      </w:r>
      <w:r>
        <w:rPr>
          <w:rFonts w:hint="default" w:ascii="Times New Roman" w:hAnsi="Times New Roman" w:eastAsia="仿宋_GB2312" w:cs="Times New Roman"/>
          <w:color w:val="000000"/>
          <w:spacing w:val="-6"/>
          <w:kern w:val="2"/>
          <w:sz w:val="32"/>
          <w:szCs w:val="32"/>
          <w:lang w:val="en-US" w:eastAsia="zh-CN" w:bidi="ar-SA"/>
        </w:rPr>
        <w:t>卫生健康（类）行政事业单位医疗（款）行政单位医疗（项）：指市场监督管理机关事业单位用于单位应缴纳基本医疗保险支出。</w:t>
      </w:r>
    </w:p>
    <w:p w14:paraId="34BF3C30">
      <w:pPr>
        <w:pStyle w:val="16"/>
        <w:keepNext w:val="0"/>
        <w:keepLines w:val="0"/>
        <w:pageBreakBefore w:val="0"/>
        <w:widowControl w:val="0"/>
        <w:kinsoku/>
        <w:wordWrap/>
        <w:overflowPunct/>
        <w:topLinePunct w:val="0"/>
        <w:bidi w:val="0"/>
        <w:spacing w:line="576"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9.卫生健康（类）行政事业单位医疗（款）事业单位医疗（项）：指事业单位用于单位应缴纳基本医疗保险支出。</w:t>
      </w:r>
    </w:p>
    <w:p w14:paraId="458F1661">
      <w:pPr>
        <w:pStyle w:val="16"/>
        <w:keepNext w:val="0"/>
        <w:keepLines w:val="0"/>
        <w:pageBreakBefore w:val="0"/>
        <w:widowControl w:val="0"/>
        <w:kinsoku/>
        <w:wordWrap/>
        <w:overflowPunct/>
        <w:topLinePunct w:val="0"/>
        <w:bidi w:val="0"/>
        <w:spacing w:line="576"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10.住房保障（类）住房改革支出（款）住房公积金（项）：指按照《住房公积金管理条例》的规定，由单位及其在职职工缴存的长期住房储金。</w:t>
      </w:r>
    </w:p>
    <w:p w14:paraId="4DE7241D">
      <w:pPr>
        <w:pStyle w:val="16"/>
        <w:keepNext w:val="0"/>
        <w:keepLines w:val="0"/>
        <w:pageBreakBefore w:val="0"/>
        <w:widowControl w:val="0"/>
        <w:kinsoku/>
        <w:wordWrap/>
        <w:overflowPunct/>
        <w:topLinePunct w:val="0"/>
        <w:bidi w:val="0"/>
        <w:spacing w:line="576"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11.基本支出：指为保证机构正常运转，完成日常工作任务而发生的人员支出和公用支出。</w:t>
      </w:r>
    </w:p>
    <w:p w14:paraId="760C4F7D">
      <w:pPr>
        <w:pStyle w:val="16"/>
        <w:keepNext w:val="0"/>
        <w:keepLines w:val="0"/>
        <w:pageBreakBefore w:val="0"/>
        <w:widowControl w:val="0"/>
        <w:kinsoku/>
        <w:wordWrap/>
        <w:overflowPunct/>
        <w:topLinePunct w:val="0"/>
        <w:bidi w:val="0"/>
        <w:spacing w:line="576"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12.项目支出：指在基本支出之外为完成特定行政任务和事业发展目标所发生的支出。</w:t>
      </w:r>
    </w:p>
    <w:p w14:paraId="0CBD5619">
      <w:pPr>
        <w:pStyle w:val="16"/>
        <w:keepNext w:val="0"/>
        <w:keepLines w:val="0"/>
        <w:pageBreakBefore w:val="0"/>
        <w:widowControl w:val="0"/>
        <w:kinsoku/>
        <w:wordWrap/>
        <w:overflowPunct/>
        <w:topLinePunct w:val="0"/>
        <w:bidi w:val="0"/>
        <w:spacing w:line="576"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13.“三公”经费：纳入昭化区市场监督管理局预算管理的“三公”经费，是指部门用财政拨款安排的公务用车购置及运行费和公务接待费。其中公务用车购置及运行费反映单位公务用车车辆购置支出（含车辆购置税）及租用费、燃料费、维修费、过路过桥费、保险费等支出；公务接待费反映单位按规定开支的各类公务接待（含外宾接待）支出。</w:t>
      </w:r>
    </w:p>
    <w:p w14:paraId="017220D7">
      <w:pPr>
        <w:pStyle w:val="16"/>
        <w:keepNext w:val="0"/>
        <w:keepLines w:val="0"/>
        <w:pageBreakBefore w:val="0"/>
        <w:widowControl w:val="0"/>
        <w:kinsoku/>
        <w:wordWrap/>
        <w:overflowPunct/>
        <w:topLinePunct w:val="0"/>
        <w:bidi w:val="0"/>
        <w:spacing w:line="576"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14.机关运行经费：为保障行政事业单位运行用于购买货物和服务的各项资金，包括办公及印刷费、邮电费、差旅费、会议费、培训费、日常维修费、专用材料及一般设备购置费、办公用房水电费、办公用房物业管理费、公务用车运行维护费以及其他费用。</w:t>
      </w:r>
    </w:p>
    <w:p w14:paraId="5F147E03">
      <w:pPr>
        <w:pStyle w:val="2"/>
        <w:spacing w:line="560" w:lineRule="exact"/>
        <w:ind w:firstLine="883" w:firstLineChars="200"/>
        <w:rPr>
          <w:rFonts w:hint="default" w:ascii="Times New Roman" w:hAnsi="Times New Roman" w:eastAsia="仿宋_GB2312" w:cs="Times New Roman"/>
          <w:color w:val="auto"/>
          <w:sz w:val="32"/>
          <w:szCs w:val="32"/>
          <w:highlight w:val="none"/>
        </w:rPr>
      </w:pPr>
      <w:r>
        <w:rPr>
          <w:rFonts w:hint="default" w:ascii="Times New Roman" w:hAnsi="Times New Roman" w:cs="Times New Roman"/>
          <w:b/>
          <w:color w:val="000000"/>
          <w:sz w:val="44"/>
          <w:szCs w:val="44"/>
        </w:rPr>
        <w:br w:type="page"/>
      </w:r>
    </w:p>
    <w:p w14:paraId="7E459B1B">
      <w:pPr>
        <w:spacing w:line="600" w:lineRule="exact"/>
        <w:jc w:val="center"/>
        <w:outlineLvl w:val="0"/>
        <w:rPr>
          <w:rStyle w:val="23"/>
          <w:rFonts w:hint="eastAsia" w:ascii="方正小标宋简体" w:hAnsi="方正小标宋简体" w:eastAsia="方正小标宋简体" w:cs="方正小标宋简体"/>
          <w:b w:val="0"/>
          <w:color w:val="auto"/>
          <w:highlight w:val="none"/>
        </w:rPr>
      </w:pPr>
      <w:bookmarkStart w:id="74" w:name="_Toc15396614"/>
      <w:bookmarkStart w:id="75" w:name="_Toc19474"/>
      <w:bookmarkStart w:id="76" w:name="_Toc15377226"/>
      <w:r>
        <w:rPr>
          <w:rFonts w:hint="eastAsia" w:ascii="方正小标宋简体" w:hAnsi="方正小标宋简体" w:eastAsia="方正小标宋简体" w:cs="方正小标宋简体"/>
          <w:color w:val="auto"/>
          <w:sz w:val="44"/>
          <w:szCs w:val="44"/>
          <w:highlight w:val="none"/>
        </w:rPr>
        <w:t>第</w:t>
      </w:r>
      <w:r>
        <w:rPr>
          <w:rStyle w:val="23"/>
          <w:rFonts w:hint="eastAsia" w:ascii="方正小标宋简体" w:hAnsi="方正小标宋简体" w:eastAsia="方正小标宋简体" w:cs="方正小标宋简体"/>
          <w:b w:val="0"/>
          <w:color w:val="auto"/>
          <w:highlight w:val="none"/>
        </w:rPr>
        <w:t>四部分 附件</w:t>
      </w:r>
      <w:bookmarkEnd w:id="74"/>
      <w:bookmarkEnd w:id="75"/>
    </w:p>
    <w:p w14:paraId="0650F829">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Times New Roman"/>
          <w:color w:val="auto"/>
          <w:sz w:val="32"/>
          <w:szCs w:val="32"/>
          <w:highlight w:val="none"/>
          <w:lang w:val="en-US" w:eastAsia="zh-CN"/>
        </w:rPr>
      </w:pPr>
      <w:bookmarkStart w:id="77" w:name="_Toc11981"/>
      <w:bookmarkStart w:id="78" w:name="_Toc29674"/>
      <w:r>
        <w:rPr>
          <w:rFonts w:hint="default" w:ascii="Times New Roman" w:hAnsi="Times New Roman" w:eastAsia="黑体" w:cs="Times New Roman"/>
          <w:color w:val="auto"/>
          <w:sz w:val="32"/>
          <w:szCs w:val="32"/>
          <w:highlight w:val="none"/>
        </w:rPr>
        <w:t>附件</w:t>
      </w:r>
      <w:bookmarkEnd w:id="77"/>
      <w:r>
        <w:rPr>
          <w:rFonts w:hint="eastAsia" w:eastAsia="黑体" w:cs="Times New Roman"/>
          <w:color w:val="auto"/>
          <w:sz w:val="32"/>
          <w:szCs w:val="32"/>
          <w:highlight w:val="none"/>
          <w:lang w:val="en-US" w:eastAsia="zh-CN"/>
        </w:rPr>
        <w:t>1</w:t>
      </w:r>
      <w:bookmarkEnd w:id="78"/>
    </w:p>
    <w:p w14:paraId="14BA8F94">
      <w:pPr>
        <w:keepNext w:val="0"/>
        <w:keepLines w:val="0"/>
        <w:widowControl/>
        <w:suppressLineNumbers w:val="0"/>
        <w:tabs>
          <w:tab w:val="left" w:pos="9103"/>
        </w:tabs>
        <w:jc w:val="center"/>
        <w:textAlignment w:val="center"/>
        <w:rPr>
          <w:rFonts w:hint="eastAsia" w:ascii="方正小标宋简体" w:hAnsi="方正小标宋简体" w:eastAsia="方正小标宋简体" w:cs="方正小标宋简体"/>
          <w:b w:val="0"/>
          <w:bCs/>
          <w:i w:val="0"/>
          <w:color w:val="auto"/>
          <w:kern w:val="0"/>
          <w:sz w:val="36"/>
          <w:szCs w:val="36"/>
          <w:u w:val="none"/>
          <w:lang w:val="en-US" w:eastAsia="zh-CN" w:bidi="ar"/>
        </w:rPr>
      </w:pPr>
      <w:bookmarkStart w:id="79" w:name="_Toc15396618"/>
      <w:r>
        <w:rPr>
          <w:rFonts w:hint="eastAsia" w:ascii="方正小标宋简体" w:hAnsi="方正小标宋简体" w:eastAsia="方正小标宋简体" w:cs="方正小标宋简体"/>
          <w:b w:val="0"/>
          <w:bCs/>
          <w:i w:val="0"/>
          <w:color w:val="auto"/>
          <w:sz w:val="36"/>
          <w:szCs w:val="36"/>
          <w:highlight w:val="none"/>
          <w:u w:val="none"/>
          <w:lang w:val="en-US" w:eastAsia="zh-CN"/>
        </w:rPr>
        <w:t>2021年部门预算项目绩效目标自评</w:t>
      </w:r>
    </w:p>
    <w:tbl>
      <w:tblPr>
        <w:tblStyle w:val="18"/>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977"/>
        <w:gridCol w:w="1142"/>
        <w:gridCol w:w="1635"/>
        <w:gridCol w:w="1894"/>
        <w:gridCol w:w="1368"/>
        <w:gridCol w:w="1632"/>
      </w:tblGrid>
      <w:tr w14:paraId="733C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3119" w:type="dxa"/>
            <w:gridSpan w:val="2"/>
            <w:shd w:val="clear" w:color="auto" w:fill="auto"/>
            <w:vAlign w:val="center"/>
          </w:tcPr>
          <w:p w14:paraId="71BACE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主管部门及代码</w:t>
            </w:r>
          </w:p>
        </w:tc>
        <w:tc>
          <w:tcPr>
            <w:tcW w:w="3529" w:type="dxa"/>
            <w:gridSpan w:val="2"/>
            <w:shd w:val="clear" w:color="auto" w:fill="auto"/>
            <w:vAlign w:val="center"/>
          </w:tcPr>
          <w:p w14:paraId="1BF18B0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广元市昭化区市场监督管理局</w:t>
            </w:r>
          </w:p>
        </w:tc>
        <w:tc>
          <w:tcPr>
            <w:tcW w:w="1368" w:type="dxa"/>
            <w:shd w:val="clear" w:color="auto" w:fill="auto"/>
            <w:vAlign w:val="center"/>
          </w:tcPr>
          <w:p w14:paraId="1B9B68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实施单位</w:t>
            </w:r>
          </w:p>
        </w:tc>
        <w:tc>
          <w:tcPr>
            <w:tcW w:w="1632" w:type="dxa"/>
            <w:shd w:val="clear" w:color="auto" w:fill="auto"/>
            <w:vAlign w:val="center"/>
          </w:tcPr>
          <w:p w14:paraId="28F363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lang w:val="en-US" w:eastAsia="zh-CN"/>
              </w:rPr>
              <w:t>广元市昭化区市场监督管理局</w:t>
            </w:r>
          </w:p>
        </w:tc>
      </w:tr>
      <w:tr w14:paraId="0D27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19" w:type="dxa"/>
            <w:gridSpan w:val="2"/>
            <w:vMerge w:val="restart"/>
            <w:shd w:val="clear" w:color="auto" w:fill="auto"/>
            <w:vAlign w:val="center"/>
          </w:tcPr>
          <w:p w14:paraId="2A8E7E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项目预算</w:t>
            </w:r>
          </w:p>
          <w:p w14:paraId="26939A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执行情况</w:t>
            </w:r>
          </w:p>
          <w:p w14:paraId="5D02A8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（万元）</w:t>
            </w:r>
          </w:p>
        </w:tc>
        <w:tc>
          <w:tcPr>
            <w:tcW w:w="1635" w:type="dxa"/>
            <w:shd w:val="clear" w:color="auto" w:fill="auto"/>
            <w:vAlign w:val="center"/>
          </w:tcPr>
          <w:p w14:paraId="6D26DA6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 xml:space="preserve"> 预算数：</w:t>
            </w:r>
          </w:p>
        </w:tc>
        <w:tc>
          <w:tcPr>
            <w:tcW w:w="1894" w:type="dxa"/>
            <w:shd w:val="clear" w:color="auto" w:fill="auto"/>
            <w:vAlign w:val="center"/>
          </w:tcPr>
          <w:p w14:paraId="3947FD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22.92</w:t>
            </w:r>
          </w:p>
        </w:tc>
        <w:tc>
          <w:tcPr>
            <w:tcW w:w="1368" w:type="dxa"/>
            <w:shd w:val="clear" w:color="auto" w:fill="auto"/>
            <w:vAlign w:val="center"/>
          </w:tcPr>
          <w:p w14:paraId="6026710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执行数：</w:t>
            </w:r>
          </w:p>
        </w:tc>
        <w:tc>
          <w:tcPr>
            <w:tcW w:w="1632" w:type="dxa"/>
            <w:shd w:val="clear" w:color="auto" w:fill="auto"/>
            <w:vAlign w:val="center"/>
          </w:tcPr>
          <w:p w14:paraId="0AFCF2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9.12</w:t>
            </w:r>
          </w:p>
        </w:tc>
      </w:tr>
      <w:tr w14:paraId="0B32F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19" w:type="dxa"/>
            <w:gridSpan w:val="2"/>
            <w:vMerge w:val="continue"/>
            <w:shd w:val="clear" w:color="auto" w:fill="auto"/>
            <w:vAlign w:val="center"/>
          </w:tcPr>
          <w:p w14:paraId="0857DA01">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1635" w:type="dxa"/>
            <w:shd w:val="clear" w:color="auto" w:fill="auto"/>
            <w:vAlign w:val="center"/>
          </w:tcPr>
          <w:p w14:paraId="403CE03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其中：</w:t>
            </w:r>
          </w:p>
          <w:p w14:paraId="608A2C6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财政拨款</w:t>
            </w:r>
          </w:p>
        </w:tc>
        <w:tc>
          <w:tcPr>
            <w:tcW w:w="1894" w:type="dxa"/>
            <w:shd w:val="clear" w:color="auto" w:fill="auto"/>
            <w:vAlign w:val="center"/>
          </w:tcPr>
          <w:p w14:paraId="05CCB9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22.92</w:t>
            </w:r>
          </w:p>
        </w:tc>
        <w:tc>
          <w:tcPr>
            <w:tcW w:w="1368" w:type="dxa"/>
            <w:shd w:val="clear" w:color="auto" w:fill="auto"/>
            <w:vAlign w:val="center"/>
          </w:tcPr>
          <w:p w14:paraId="570C151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其中：</w:t>
            </w:r>
          </w:p>
          <w:p w14:paraId="52C41DB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财政拨款</w:t>
            </w:r>
          </w:p>
        </w:tc>
        <w:tc>
          <w:tcPr>
            <w:tcW w:w="1632" w:type="dxa"/>
            <w:shd w:val="clear" w:color="auto" w:fill="auto"/>
            <w:vAlign w:val="center"/>
          </w:tcPr>
          <w:p w14:paraId="26C449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9.12</w:t>
            </w:r>
          </w:p>
        </w:tc>
      </w:tr>
      <w:tr w14:paraId="5AD5E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19" w:type="dxa"/>
            <w:gridSpan w:val="2"/>
            <w:vMerge w:val="continue"/>
            <w:shd w:val="clear" w:color="auto" w:fill="auto"/>
            <w:vAlign w:val="center"/>
          </w:tcPr>
          <w:p w14:paraId="71CF8E97">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1635" w:type="dxa"/>
            <w:shd w:val="clear" w:color="auto" w:fill="auto"/>
            <w:vAlign w:val="center"/>
          </w:tcPr>
          <w:p w14:paraId="41DE6C2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其他资金</w:t>
            </w:r>
          </w:p>
        </w:tc>
        <w:tc>
          <w:tcPr>
            <w:tcW w:w="1894" w:type="dxa"/>
            <w:shd w:val="clear" w:color="auto" w:fill="auto"/>
            <w:vAlign w:val="center"/>
          </w:tcPr>
          <w:p w14:paraId="1B43CA0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sz w:val="24"/>
                <w:szCs w:val="24"/>
                <w:u w:val="none"/>
              </w:rPr>
            </w:pPr>
          </w:p>
        </w:tc>
        <w:tc>
          <w:tcPr>
            <w:tcW w:w="1368" w:type="dxa"/>
            <w:shd w:val="clear" w:color="auto" w:fill="auto"/>
            <w:vAlign w:val="center"/>
          </w:tcPr>
          <w:p w14:paraId="6E1786A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其他资金</w:t>
            </w:r>
          </w:p>
        </w:tc>
        <w:tc>
          <w:tcPr>
            <w:tcW w:w="1632" w:type="dxa"/>
            <w:shd w:val="clear" w:color="auto" w:fill="auto"/>
            <w:vAlign w:val="center"/>
          </w:tcPr>
          <w:p w14:paraId="2FB42B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p>
        </w:tc>
      </w:tr>
      <w:tr w14:paraId="34389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7" w:type="dxa"/>
            <w:vMerge w:val="restart"/>
            <w:shd w:val="clear" w:color="auto" w:fill="auto"/>
            <w:vAlign w:val="center"/>
          </w:tcPr>
          <w:p w14:paraId="1A23D0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年度总体目标</w:t>
            </w:r>
          </w:p>
          <w:p w14:paraId="255269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完成情况</w:t>
            </w:r>
          </w:p>
        </w:tc>
        <w:tc>
          <w:tcPr>
            <w:tcW w:w="4671" w:type="dxa"/>
            <w:gridSpan w:val="3"/>
            <w:shd w:val="clear" w:color="auto" w:fill="auto"/>
            <w:vAlign w:val="center"/>
          </w:tcPr>
          <w:p w14:paraId="26EED8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预期目标</w:t>
            </w:r>
          </w:p>
        </w:tc>
        <w:tc>
          <w:tcPr>
            <w:tcW w:w="3000" w:type="dxa"/>
            <w:gridSpan w:val="2"/>
            <w:shd w:val="clear" w:color="auto" w:fill="auto"/>
            <w:vAlign w:val="center"/>
          </w:tcPr>
          <w:p w14:paraId="3EEB66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目标实际完成情况</w:t>
            </w:r>
          </w:p>
        </w:tc>
      </w:tr>
      <w:tr w14:paraId="2859C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1977" w:type="dxa"/>
            <w:vMerge w:val="continue"/>
            <w:shd w:val="clear" w:color="auto" w:fill="auto"/>
            <w:vAlign w:val="center"/>
          </w:tcPr>
          <w:p w14:paraId="6456B8B3">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4671" w:type="dxa"/>
            <w:gridSpan w:val="3"/>
            <w:shd w:val="clear" w:color="auto" w:fill="auto"/>
            <w:vAlign w:val="center"/>
          </w:tcPr>
          <w:p w14:paraId="6610A68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巩固“省级有机产品认证示范区”成果，取得29张有机产品认证证书。</w:t>
            </w:r>
          </w:p>
        </w:tc>
        <w:tc>
          <w:tcPr>
            <w:tcW w:w="3000" w:type="dxa"/>
            <w:gridSpan w:val="2"/>
            <w:shd w:val="clear" w:color="auto" w:fill="auto"/>
            <w:vAlign w:val="top"/>
          </w:tcPr>
          <w:p w14:paraId="2E981FD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27个公司（专合社）取得猕猴桃、青脆李、车厘子、水稻、小麦、蓝莓、灵芝等39个产品29张有机产品认证证书。</w:t>
            </w:r>
          </w:p>
        </w:tc>
      </w:tr>
      <w:tr w14:paraId="7E10B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7" w:type="dxa"/>
            <w:vMerge w:val="restart"/>
            <w:shd w:val="clear" w:color="auto" w:fill="auto"/>
            <w:vAlign w:val="center"/>
          </w:tcPr>
          <w:p w14:paraId="588337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年度绩效指标完成情况</w:t>
            </w:r>
          </w:p>
        </w:tc>
        <w:tc>
          <w:tcPr>
            <w:tcW w:w="1142" w:type="dxa"/>
            <w:shd w:val="clear" w:color="auto" w:fill="auto"/>
            <w:vAlign w:val="center"/>
          </w:tcPr>
          <w:p w14:paraId="35CE70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一级</w:t>
            </w:r>
          </w:p>
          <w:p w14:paraId="5EFA0E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指标</w:t>
            </w:r>
          </w:p>
        </w:tc>
        <w:tc>
          <w:tcPr>
            <w:tcW w:w="1635" w:type="dxa"/>
            <w:shd w:val="clear" w:color="auto" w:fill="auto"/>
            <w:vAlign w:val="center"/>
          </w:tcPr>
          <w:p w14:paraId="4674ED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二级</w:t>
            </w:r>
          </w:p>
          <w:p w14:paraId="4082E8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指标</w:t>
            </w:r>
          </w:p>
        </w:tc>
        <w:tc>
          <w:tcPr>
            <w:tcW w:w="1894" w:type="dxa"/>
            <w:shd w:val="clear" w:color="auto" w:fill="auto"/>
            <w:vAlign w:val="center"/>
          </w:tcPr>
          <w:p w14:paraId="0FFE3D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三级</w:t>
            </w:r>
          </w:p>
          <w:p w14:paraId="2183DA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指标</w:t>
            </w:r>
          </w:p>
        </w:tc>
        <w:tc>
          <w:tcPr>
            <w:tcW w:w="1368" w:type="dxa"/>
            <w:shd w:val="clear" w:color="auto" w:fill="auto"/>
            <w:vAlign w:val="center"/>
          </w:tcPr>
          <w:p w14:paraId="37FA38BF">
            <w:pPr>
              <w:keepNext w:val="0"/>
              <w:keepLines w:val="0"/>
              <w:pageBreakBefore w:val="0"/>
              <w:widowControl/>
              <w:suppressLineNumbers w:val="0"/>
              <w:kinsoku/>
              <w:wordWrap/>
              <w:overflowPunct/>
              <w:topLinePunct w:val="0"/>
              <w:autoSpaceDE/>
              <w:autoSpaceDN/>
              <w:bidi w:val="0"/>
              <w:adjustRightInd/>
              <w:snapToGrid/>
              <w:spacing w:line="320" w:lineRule="exact"/>
              <w:ind w:left="-105" w:leftChars="-50" w:right="-105" w:rightChars="-5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预期指标值</w:t>
            </w:r>
          </w:p>
        </w:tc>
        <w:tc>
          <w:tcPr>
            <w:tcW w:w="1632" w:type="dxa"/>
            <w:shd w:val="clear" w:color="auto" w:fill="auto"/>
            <w:vAlign w:val="center"/>
          </w:tcPr>
          <w:p w14:paraId="272E82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实际完成指标值</w:t>
            </w:r>
          </w:p>
        </w:tc>
      </w:tr>
      <w:tr w14:paraId="08490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1977" w:type="dxa"/>
            <w:vMerge w:val="continue"/>
            <w:shd w:val="clear" w:color="auto" w:fill="auto"/>
            <w:vAlign w:val="center"/>
          </w:tcPr>
          <w:p w14:paraId="145D1638">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1142" w:type="dxa"/>
            <w:vMerge w:val="restart"/>
            <w:shd w:val="clear" w:color="auto" w:fill="auto"/>
            <w:vAlign w:val="center"/>
          </w:tcPr>
          <w:p w14:paraId="491223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完成</w:t>
            </w:r>
          </w:p>
          <w:p w14:paraId="5AA638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指标</w:t>
            </w:r>
          </w:p>
        </w:tc>
        <w:tc>
          <w:tcPr>
            <w:tcW w:w="1635" w:type="dxa"/>
            <w:shd w:val="clear" w:color="auto" w:fill="auto"/>
            <w:vAlign w:val="center"/>
          </w:tcPr>
          <w:p w14:paraId="4FACA4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数量指标</w:t>
            </w:r>
          </w:p>
        </w:tc>
        <w:tc>
          <w:tcPr>
            <w:tcW w:w="1894" w:type="dxa"/>
            <w:shd w:val="clear" w:color="auto" w:fill="auto"/>
            <w:vAlign w:val="center"/>
          </w:tcPr>
          <w:p w14:paraId="118431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获得有机产品认证企业有机产品认证书</w:t>
            </w:r>
          </w:p>
        </w:tc>
        <w:tc>
          <w:tcPr>
            <w:tcW w:w="1368" w:type="dxa"/>
            <w:shd w:val="clear" w:color="auto" w:fill="auto"/>
            <w:vAlign w:val="center"/>
          </w:tcPr>
          <w:p w14:paraId="4F0B53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≥29张</w:t>
            </w:r>
          </w:p>
        </w:tc>
        <w:tc>
          <w:tcPr>
            <w:tcW w:w="1632" w:type="dxa"/>
            <w:shd w:val="clear" w:color="auto" w:fill="auto"/>
            <w:vAlign w:val="center"/>
          </w:tcPr>
          <w:p w14:paraId="000672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29张</w:t>
            </w:r>
          </w:p>
        </w:tc>
      </w:tr>
      <w:tr w14:paraId="784F5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977" w:type="dxa"/>
            <w:vMerge w:val="continue"/>
            <w:shd w:val="clear" w:color="auto" w:fill="auto"/>
            <w:vAlign w:val="center"/>
          </w:tcPr>
          <w:p w14:paraId="1E8BD04C">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1142" w:type="dxa"/>
            <w:vMerge w:val="continue"/>
            <w:shd w:val="clear" w:color="auto" w:fill="auto"/>
            <w:vAlign w:val="bottom"/>
          </w:tcPr>
          <w:p w14:paraId="68F5F340">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1635" w:type="dxa"/>
            <w:shd w:val="clear" w:color="auto" w:fill="auto"/>
            <w:vAlign w:val="center"/>
          </w:tcPr>
          <w:p w14:paraId="048895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质量指标</w:t>
            </w:r>
          </w:p>
        </w:tc>
        <w:tc>
          <w:tcPr>
            <w:tcW w:w="1894" w:type="dxa"/>
            <w:shd w:val="clear" w:color="auto" w:fill="auto"/>
            <w:vAlign w:val="center"/>
          </w:tcPr>
          <w:p w14:paraId="64ACCC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39个产品29张有机产品认证证书完成率</w:t>
            </w:r>
          </w:p>
        </w:tc>
        <w:tc>
          <w:tcPr>
            <w:tcW w:w="1368" w:type="dxa"/>
            <w:shd w:val="clear" w:color="auto" w:fill="auto"/>
            <w:vAlign w:val="center"/>
          </w:tcPr>
          <w:p w14:paraId="36E37A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90%</w:t>
            </w:r>
          </w:p>
        </w:tc>
        <w:tc>
          <w:tcPr>
            <w:tcW w:w="1632" w:type="dxa"/>
            <w:shd w:val="clear" w:color="auto" w:fill="auto"/>
            <w:vAlign w:val="center"/>
          </w:tcPr>
          <w:p w14:paraId="7311C7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100%</w:t>
            </w:r>
          </w:p>
        </w:tc>
      </w:tr>
      <w:tr w14:paraId="2F123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7" w:type="dxa"/>
            <w:vMerge w:val="continue"/>
            <w:shd w:val="clear" w:color="auto" w:fill="auto"/>
            <w:vAlign w:val="center"/>
          </w:tcPr>
          <w:p w14:paraId="5D054537">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1142" w:type="dxa"/>
            <w:vMerge w:val="continue"/>
            <w:shd w:val="clear" w:color="auto" w:fill="auto"/>
            <w:vAlign w:val="bottom"/>
          </w:tcPr>
          <w:p w14:paraId="38616E12">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1635" w:type="dxa"/>
            <w:shd w:val="clear" w:color="auto" w:fill="auto"/>
            <w:vAlign w:val="center"/>
          </w:tcPr>
          <w:p w14:paraId="0AC5F1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时效指标</w:t>
            </w:r>
          </w:p>
        </w:tc>
        <w:tc>
          <w:tcPr>
            <w:tcW w:w="1894" w:type="dxa"/>
            <w:shd w:val="clear" w:color="auto" w:fill="auto"/>
            <w:vAlign w:val="center"/>
          </w:tcPr>
          <w:p w14:paraId="60FD47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任务完成时限</w:t>
            </w:r>
          </w:p>
        </w:tc>
        <w:tc>
          <w:tcPr>
            <w:tcW w:w="1368" w:type="dxa"/>
            <w:shd w:val="clear" w:color="auto" w:fill="auto"/>
            <w:vAlign w:val="center"/>
          </w:tcPr>
          <w:p w14:paraId="764BBA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2020年1月-2021年12月</w:t>
            </w:r>
          </w:p>
        </w:tc>
        <w:tc>
          <w:tcPr>
            <w:tcW w:w="1632" w:type="dxa"/>
            <w:shd w:val="clear" w:color="auto" w:fill="auto"/>
            <w:vAlign w:val="center"/>
          </w:tcPr>
          <w:p w14:paraId="418686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2020年1月-2021年12月</w:t>
            </w:r>
          </w:p>
        </w:tc>
      </w:tr>
      <w:tr w14:paraId="38886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977" w:type="dxa"/>
            <w:vMerge w:val="continue"/>
            <w:shd w:val="clear" w:color="auto" w:fill="auto"/>
            <w:vAlign w:val="center"/>
          </w:tcPr>
          <w:p w14:paraId="7A7C39C5">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8"/>
                <w:szCs w:val="28"/>
                <w:u w:val="none"/>
              </w:rPr>
            </w:pPr>
          </w:p>
        </w:tc>
        <w:tc>
          <w:tcPr>
            <w:tcW w:w="1142" w:type="dxa"/>
            <w:vMerge w:val="continue"/>
            <w:shd w:val="clear" w:color="auto" w:fill="auto"/>
            <w:vAlign w:val="bottom"/>
          </w:tcPr>
          <w:p w14:paraId="3477BEE7">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8"/>
                <w:szCs w:val="28"/>
                <w:u w:val="none"/>
              </w:rPr>
            </w:pPr>
          </w:p>
        </w:tc>
        <w:tc>
          <w:tcPr>
            <w:tcW w:w="1635" w:type="dxa"/>
            <w:shd w:val="clear" w:color="auto" w:fill="auto"/>
            <w:vAlign w:val="center"/>
          </w:tcPr>
          <w:p w14:paraId="3800F0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成本指标</w:t>
            </w:r>
          </w:p>
        </w:tc>
        <w:tc>
          <w:tcPr>
            <w:tcW w:w="1894" w:type="dxa"/>
            <w:shd w:val="clear" w:color="auto" w:fill="auto"/>
            <w:vAlign w:val="center"/>
          </w:tcPr>
          <w:p w14:paraId="41FDC5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获得有机产品认证企业有机产品认证补助</w:t>
            </w:r>
          </w:p>
        </w:tc>
        <w:tc>
          <w:tcPr>
            <w:tcW w:w="1368" w:type="dxa"/>
            <w:shd w:val="clear" w:color="auto" w:fill="auto"/>
            <w:vAlign w:val="center"/>
          </w:tcPr>
          <w:p w14:paraId="5BB008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22.92万元</w:t>
            </w:r>
          </w:p>
        </w:tc>
        <w:tc>
          <w:tcPr>
            <w:tcW w:w="1632" w:type="dxa"/>
            <w:shd w:val="clear" w:color="auto" w:fill="auto"/>
            <w:vAlign w:val="center"/>
          </w:tcPr>
          <w:p w14:paraId="10C919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9.12万元</w:t>
            </w:r>
          </w:p>
        </w:tc>
      </w:tr>
      <w:tr w14:paraId="1F477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7" w:type="dxa"/>
            <w:vMerge w:val="continue"/>
            <w:shd w:val="clear" w:color="auto" w:fill="auto"/>
            <w:vAlign w:val="center"/>
          </w:tcPr>
          <w:p w14:paraId="043C51C2">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8"/>
                <w:szCs w:val="28"/>
                <w:u w:val="none"/>
              </w:rPr>
            </w:pPr>
          </w:p>
        </w:tc>
        <w:tc>
          <w:tcPr>
            <w:tcW w:w="1142" w:type="dxa"/>
            <w:vMerge w:val="restart"/>
            <w:shd w:val="clear" w:color="auto" w:fill="auto"/>
            <w:vAlign w:val="center"/>
          </w:tcPr>
          <w:p w14:paraId="7EA3A0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效益</w:t>
            </w:r>
          </w:p>
          <w:p w14:paraId="6F3D51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指标</w:t>
            </w:r>
          </w:p>
        </w:tc>
        <w:tc>
          <w:tcPr>
            <w:tcW w:w="1635" w:type="dxa"/>
            <w:shd w:val="clear" w:color="auto" w:fill="auto"/>
            <w:vAlign w:val="bottom"/>
          </w:tcPr>
          <w:p w14:paraId="7D09B9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经济效益  指标</w:t>
            </w:r>
          </w:p>
        </w:tc>
        <w:tc>
          <w:tcPr>
            <w:tcW w:w="1894" w:type="dxa"/>
            <w:shd w:val="clear" w:color="auto" w:fill="auto"/>
            <w:vAlign w:val="bottom"/>
          </w:tcPr>
          <w:p w14:paraId="56EF4A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人均年增收入</w:t>
            </w:r>
          </w:p>
        </w:tc>
        <w:tc>
          <w:tcPr>
            <w:tcW w:w="1368" w:type="dxa"/>
            <w:shd w:val="clear" w:color="auto" w:fill="auto"/>
            <w:vAlign w:val="center"/>
          </w:tcPr>
          <w:p w14:paraId="479E70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≥3000元/人</w:t>
            </w:r>
          </w:p>
        </w:tc>
        <w:tc>
          <w:tcPr>
            <w:tcW w:w="1632" w:type="dxa"/>
            <w:shd w:val="clear" w:color="auto" w:fill="auto"/>
            <w:vAlign w:val="center"/>
          </w:tcPr>
          <w:p w14:paraId="635E01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3000元/人</w:t>
            </w:r>
          </w:p>
        </w:tc>
      </w:tr>
      <w:tr w14:paraId="6CB9A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7" w:type="dxa"/>
            <w:vMerge w:val="continue"/>
            <w:shd w:val="clear" w:color="auto" w:fill="auto"/>
            <w:vAlign w:val="center"/>
          </w:tcPr>
          <w:p w14:paraId="7B36CEBF">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8"/>
                <w:szCs w:val="28"/>
                <w:u w:val="none"/>
              </w:rPr>
            </w:pPr>
          </w:p>
        </w:tc>
        <w:tc>
          <w:tcPr>
            <w:tcW w:w="1142" w:type="dxa"/>
            <w:vMerge w:val="continue"/>
            <w:shd w:val="clear" w:color="auto" w:fill="auto"/>
            <w:vAlign w:val="bottom"/>
          </w:tcPr>
          <w:p w14:paraId="5B052718">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8"/>
                <w:szCs w:val="28"/>
                <w:u w:val="none"/>
              </w:rPr>
            </w:pPr>
          </w:p>
        </w:tc>
        <w:tc>
          <w:tcPr>
            <w:tcW w:w="1635" w:type="dxa"/>
            <w:shd w:val="clear" w:color="auto" w:fill="auto"/>
            <w:vAlign w:val="center"/>
          </w:tcPr>
          <w:p w14:paraId="58ADCC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社会效益  指标</w:t>
            </w:r>
          </w:p>
        </w:tc>
        <w:tc>
          <w:tcPr>
            <w:tcW w:w="1894" w:type="dxa"/>
            <w:shd w:val="clear" w:color="auto" w:fill="auto"/>
            <w:vAlign w:val="center"/>
          </w:tcPr>
          <w:p w14:paraId="46B304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夯实全区有机产业发展基础，加快发展昭化特色有机水果种植，促进有机产品向精品化、标准化、品牌化发展</w:t>
            </w:r>
          </w:p>
        </w:tc>
        <w:tc>
          <w:tcPr>
            <w:tcW w:w="1368" w:type="dxa"/>
            <w:shd w:val="clear" w:color="auto" w:fill="auto"/>
            <w:vAlign w:val="center"/>
          </w:tcPr>
          <w:p w14:paraId="312BF3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≥90%</w:t>
            </w:r>
          </w:p>
        </w:tc>
        <w:tc>
          <w:tcPr>
            <w:tcW w:w="1632" w:type="dxa"/>
            <w:shd w:val="clear" w:color="auto" w:fill="auto"/>
            <w:vAlign w:val="center"/>
          </w:tcPr>
          <w:p w14:paraId="5A5B75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95%</w:t>
            </w:r>
          </w:p>
        </w:tc>
      </w:tr>
      <w:tr w14:paraId="3F794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5" w:hRule="atLeast"/>
          <w:jc w:val="center"/>
        </w:trPr>
        <w:tc>
          <w:tcPr>
            <w:tcW w:w="1977" w:type="dxa"/>
            <w:vMerge w:val="continue"/>
            <w:shd w:val="clear" w:color="auto" w:fill="auto"/>
            <w:vAlign w:val="center"/>
          </w:tcPr>
          <w:p w14:paraId="512A1CDC">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8"/>
                <w:szCs w:val="28"/>
                <w:u w:val="none"/>
              </w:rPr>
            </w:pPr>
          </w:p>
        </w:tc>
        <w:tc>
          <w:tcPr>
            <w:tcW w:w="1142" w:type="dxa"/>
            <w:vMerge w:val="continue"/>
            <w:shd w:val="clear" w:color="auto" w:fill="auto"/>
            <w:vAlign w:val="bottom"/>
          </w:tcPr>
          <w:p w14:paraId="4B4F1BEC">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8"/>
                <w:szCs w:val="28"/>
                <w:u w:val="none"/>
              </w:rPr>
            </w:pPr>
          </w:p>
        </w:tc>
        <w:tc>
          <w:tcPr>
            <w:tcW w:w="1635" w:type="dxa"/>
            <w:shd w:val="clear" w:color="auto" w:fill="auto"/>
            <w:vAlign w:val="center"/>
          </w:tcPr>
          <w:p w14:paraId="75AE4695">
            <w:pPr>
              <w:keepNext w:val="0"/>
              <w:keepLines w:val="0"/>
              <w:pageBreakBefore w:val="0"/>
              <w:widowControl/>
              <w:suppressLineNumbers w:val="0"/>
              <w:kinsoku/>
              <w:wordWrap/>
              <w:overflowPunct/>
              <w:topLinePunct w:val="0"/>
              <w:autoSpaceDE/>
              <w:autoSpaceDN/>
              <w:bidi w:val="0"/>
              <w:adjustRightInd/>
              <w:snapToGrid/>
              <w:spacing w:line="320" w:lineRule="exact"/>
              <w:ind w:left="183" w:leftChars="87" w:firstLine="0" w:firstLineChars="0"/>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生态效益  指标</w:t>
            </w:r>
          </w:p>
        </w:tc>
        <w:tc>
          <w:tcPr>
            <w:tcW w:w="1894" w:type="dxa"/>
            <w:shd w:val="clear" w:color="auto" w:fill="auto"/>
            <w:vAlign w:val="center"/>
          </w:tcPr>
          <w:p w14:paraId="589F43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加大产地及周边生态环境保护和污染治理，开展现代农业园区建设，高标准打造有机示范基地</w:t>
            </w:r>
          </w:p>
        </w:tc>
        <w:tc>
          <w:tcPr>
            <w:tcW w:w="1368" w:type="dxa"/>
            <w:shd w:val="clear" w:color="auto" w:fill="auto"/>
            <w:vAlign w:val="center"/>
          </w:tcPr>
          <w:p w14:paraId="06DD91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≥90%</w:t>
            </w:r>
          </w:p>
        </w:tc>
        <w:tc>
          <w:tcPr>
            <w:tcW w:w="1632" w:type="dxa"/>
            <w:shd w:val="clear" w:color="auto" w:fill="auto"/>
            <w:vAlign w:val="center"/>
          </w:tcPr>
          <w:p w14:paraId="19895A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95%</w:t>
            </w:r>
          </w:p>
        </w:tc>
      </w:tr>
      <w:tr w14:paraId="3FB28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7" w:type="dxa"/>
            <w:vMerge w:val="continue"/>
            <w:shd w:val="clear" w:color="auto" w:fill="auto"/>
            <w:vAlign w:val="center"/>
          </w:tcPr>
          <w:p w14:paraId="5B915974">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8"/>
                <w:szCs w:val="28"/>
                <w:u w:val="none"/>
              </w:rPr>
            </w:pPr>
          </w:p>
        </w:tc>
        <w:tc>
          <w:tcPr>
            <w:tcW w:w="1142" w:type="dxa"/>
            <w:vMerge w:val="continue"/>
            <w:shd w:val="clear" w:color="auto" w:fill="auto"/>
            <w:vAlign w:val="bottom"/>
          </w:tcPr>
          <w:p w14:paraId="1DF0C9D1">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8"/>
                <w:szCs w:val="28"/>
                <w:u w:val="none"/>
              </w:rPr>
            </w:pPr>
          </w:p>
        </w:tc>
        <w:tc>
          <w:tcPr>
            <w:tcW w:w="1635" w:type="dxa"/>
            <w:shd w:val="clear" w:color="auto" w:fill="auto"/>
            <w:vAlign w:val="center"/>
          </w:tcPr>
          <w:p w14:paraId="0320A2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可持续影响 指标</w:t>
            </w:r>
          </w:p>
        </w:tc>
        <w:tc>
          <w:tcPr>
            <w:tcW w:w="1894" w:type="dxa"/>
            <w:shd w:val="clear" w:color="auto" w:fill="auto"/>
            <w:vAlign w:val="center"/>
          </w:tcPr>
          <w:p w14:paraId="196286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加快发展昭化特色有机水果种植，促进有机产品向精品化、标准化、品牌化发展</w:t>
            </w:r>
          </w:p>
        </w:tc>
        <w:tc>
          <w:tcPr>
            <w:tcW w:w="1368" w:type="dxa"/>
            <w:shd w:val="clear" w:color="auto" w:fill="auto"/>
            <w:vAlign w:val="center"/>
          </w:tcPr>
          <w:p w14:paraId="6AD98D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≥90%</w:t>
            </w:r>
          </w:p>
        </w:tc>
        <w:tc>
          <w:tcPr>
            <w:tcW w:w="1632" w:type="dxa"/>
            <w:shd w:val="clear" w:color="auto" w:fill="auto"/>
            <w:vAlign w:val="center"/>
          </w:tcPr>
          <w:p w14:paraId="5EEFEA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95%</w:t>
            </w:r>
          </w:p>
        </w:tc>
      </w:tr>
      <w:tr w14:paraId="4A51B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7" w:type="dxa"/>
            <w:vMerge w:val="continue"/>
            <w:shd w:val="clear" w:color="auto" w:fill="auto"/>
            <w:vAlign w:val="center"/>
          </w:tcPr>
          <w:p w14:paraId="0584FCCB">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8"/>
                <w:szCs w:val="28"/>
                <w:u w:val="none"/>
              </w:rPr>
            </w:pPr>
          </w:p>
        </w:tc>
        <w:tc>
          <w:tcPr>
            <w:tcW w:w="1142" w:type="dxa"/>
            <w:shd w:val="clear" w:color="auto" w:fill="auto"/>
            <w:vAlign w:val="center"/>
          </w:tcPr>
          <w:p w14:paraId="50D4E1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满意</w:t>
            </w:r>
          </w:p>
          <w:p w14:paraId="3DAD9F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度指标</w:t>
            </w:r>
          </w:p>
        </w:tc>
        <w:tc>
          <w:tcPr>
            <w:tcW w:w="1635" w:type="dxa"/>
            <w:shd w:val="clear" w:color="auto" w:fill="auto"/>
            <w:vAlign w:val="center"/>
          </w:tcPr>
          <w:p w14:paraId="6761DB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满意度</w:t>
            </w:r>
          </w:p>
          <w:p w14:paraId="7B7583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指标</w:t>
            </w:r>
          </w:p>
        </w:tc>
        <w:tc>
          <w:tcPr>
            <w:tcW w:w="1894" w:type="dxa"/>
            <w:shd w:val="clear" w:color="auto" w:fill="auto"/>
            <w:vAlign w:val="center"/>
          </w:tcPr>
          <w:p w14:paraId="3CD99E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指公司（专合社）对有机认证满意度</w:t>
            </w:r>
          </w:p>
        </w:tc>
        <w:tc>
          <w:tcPr>
            <w:tcW w:w="1368" w:type="dxa"/>
            <w:shd w:val="clear" w:color="auto" w:fill="auto"/>
            <w:vAlign w:val="center"/>
          </w:tcPr>
          <w:p w14:paraId="079C3A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≥95%</w:t>
            </w:r>
          </w:p>
        </w:tc>
        <w:tc>
          <w:tcPr>
            <w:tcW w:w="1632" w:type="dxa"/>
            <w:shd w:val="clear" w:color="auto" w:fill="auto"/>
            <w:vAlign w:val="center"/>
          </w:tcPr>
          <w:p w14:paraId="57CD9E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100%</w:t>
            </w:r>
          </w:p>
        </w:tc>
      </w:tr>
    </w:tbl>
    <w:p w14:paraId="22757A42">
      <w:pPr>
        <w:spacing w:line="600" w:lineRule="exact"/>
        <w:jc w:val="both"/>
        <w:outlineLvl w:val="9"/>
        <w:rPr>
          <w:rFonts w:hint="default" w:ascii="Times New Roman" w:hAnsi="Times New Roman" w:eastAsia="仿宋_GB2312" w:cs="Times New Roman"/>
          <w:color w:val="auto"/>
          <w:sz w:val="44"/>
          <w:szCs w:val="44"/>
          <w:highlight w:val="none"/>
        </w:rPr>
      </w:pPr>
    </w:p>
    <w:p w14:paraId="482328D0">
      <w:pPr>
        <w:pStyle w:val="17"/>
        <w:ind w:left="0" w:leftChars="0" w:firstLine="0" w:firstLineChars="0"/>
        <w:rPr>
          <w:rFonts w:hint="default" w:ascii="Times New Roman" w:hAnsi="Times New Roman" w:eastAsia="仿宋_GB2312" w:cs="Times New Roman"/>
          <w:color w:val="auto"/>
          <w:sz w:val="44"/>
          <w:szCs w:val="44"/>
          <w:highlight w:val="none"/>
        </w:rPr>
      </w:pPr>
    </w:p>
    <w:p w14:paraId="66975D63">
      <w:pPr>
        <w:rPr>
          <w:rFonts w:hint="default" w:ascii="Times New Roman" w:hAnsi="Times New Roman" w:eastAsia="黑体" w:cs="Times New Roman"/>
          <w:color w:val="auto"/>
          <w:sz w:val="32"/>
          <w:szCs w:val="32"/>
          <w:highlight w:val="none"/>
        </w:rPr>
      </w:pPr>
      <w:bookmarkStart w:id="80" w:name="_Toc25029"/>
      <w:r>
        <w:rPr>
          <w:rFonts w:hint="default" w:ascii="Times New Roman" w:hAnsi="Times New Roman" w:eastAsia="黑体" w:cs="Times New Roman"/>
          <w:color w:val="auto"/>
          <w:sz w:val="32"/>
          <w:szCs w:val="32"/>
          <w:highlight w:val="none"/>
        </w:rPr>
        <w:br w:type="page"/>
      </w:r>
    </w:p>
    <w:p w14:paraId="0198AA19">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仿宋_GB2312" w:cs="Times New Roman"/>
          <w:color w:val="auto"/>
          <w:sz w:val="44"/>
          <w:szCs w:val="44"/>
          <w:highlight w:val="none"/>
        </w:rPr>
      </w:pPr>
      <w:r>
        <w:rPr>
          <w:rFonts w:hint="default" w:ascii="Times New Roman" w:hAnsi="Times New Roman" w:eastAsia="黑体" w:cs="Times New Roman"/>
          <w:color w:val="auto"/>
          <w:sz w:val="32"/>
          <w:szCs w:val="32"/>
          <w:highlight w:val="none"/>
        </w:rPr>
        <w:t>附件</w:t>
      </w:r>
      <w:r>
        <w:rPr>
          <w:rFonts w:hint="eastAsia" w:eastAsia="黑体" w:cs="Times New Roman"/>
          <w:color w:val="auto"/>
          <w:sz w:val="32"/>
          <w:szCs w:val="32"/>
          <w:highlight w:val="none"/>
          <w:lang w:val="en-US" w:eastAsia="zh-CN"/>
        </w:rPr>
        <w:t>2</w:t>
      </w:r>
      <w:bookmarkEnd w:id="80"/>
    </w:p>
    <w:p w14:paraId="5711A9C9">
      <w:pPr>
        <w:keepNext w:val="0"/>
        <w:keepLines w:val="0"/>
        <w:widowControl/>
        <w:suppressLineNumbers w:val="0"/>
        <w:tabs>
          <w:tab w:val="left" w:pos="9778"/>
        </w:tabs>
        <w:jc w:val="center"/>
        <w:textAlignment w:val="center"/>
        <w:rPr>
          <w:rFonts w:hint="default" w:ascii="Times New Roman" w:hAnsi="Times New Roman" w:eastAsia="仿宋_GB2312" w:cs="Times New Roman"/>
          <w:b/>
          <w:i w:val="0"/>
          <w:color w:val="auto"/>
          <w:kern w:val="0"/>
          <w:sz w:val="36"/>
          <w:szCs w:val="36"/>
          <w:u w:val="none"/>
          <w:lang w:val="en-US" w:eastAsia="zh-CN" w:bidi="ar"/>
        </w:rPr>
      </w:pPr>
      <w:r>
        <w:rPr>
          <w:rFonts w:hint="eastAsia" w:ascii="方正小标宋简体" w:hAnsi="方正小标宋简体" w:eastAsia="方正小标宋简体" w:cs="方正小标宋简体"/>
          <w:b w:val="0"/>
          <w:bCs/>
          <w:i w:val="0"/>
          <w:color w:val="auto"/>
          <w:sz w:val="36"/>
          <w:szCs w:val="36"/>
          <w:highlight w:val="none"/>
          <w:u w:val="none"/>
          <w:lang w:val="en-US" w:eastAsia="zh-CN"/>
        </w:rPr>
        <w:t>2021年部门预算项目绩效目标自评</w:t>
      </w:r>
    </w:p>
    <w:tbl>
      <w:tblPr>
        <w:tblStyle w:val="18"/>
        <w:tblW w:w="9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977"/>
        <w:gridCol w:w="963"/>
        <w:gridCol w:w="1511"/>
        <w:gridCol w:w="1492"/>
        <w:gridCol w:w="1224"/>
        <w:gridCol w:w="2611"/>
      </w:tblGrid>
      <w:tr w14:paraId="38E97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2940" w:type="dxa"/>
            <w:gridSpan w:val="2"/>
            <w:shd w:val="clear" w:color="auto" w:fill="auto"/>
            <w:vAlign w:val="center"/>
          </w:tcPr>
          <w:p w14:paraId="5BB91E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主管部门及代码</w:t>
            </w:r>
          </w:p>
        </w:tc>
        <w:tc>
          <w:tcPr>
            <w:tcW w:w="3003" w:type="dxa"/>
            <w:gridSpan w:val="2"/>
            <w:shd w:val="clear" w:color="auto" w:fill="auto"/>
            <w:vAlign w:val="center"/>
          </w:tcPr>
          <w:p w14:paraId="79B147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广元市昭化区市场监督管理局</w:t>
            </w:r>
          </w:p>
        </w:tc>
        <w:tc>
          <w:tcPr>
            <w:tcW w:w="1224" w:type="dxa"/>
            <w:shd w:val="clear" w:color="auto" w:fill="auto"/>
            <w:vAlign w:val="center"/>
          </w:tcPr>
          <w:p w14:paraId="7436EA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实施单位</w:t>
            </w:r>
          </w:p>
        </w:tc>
        <w:tc>
          <w:tcPr>
            <w:tcW w:w="2611" w:type="dxa"/>
            <w:shd w:val="clear" w:color="auto" w:fill="auto"/>
            <w:vAlign w:val="center"/>
          </w:tcPr>
          <w:p w14:paraId="35785D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lang w:val="en-US" w:eastAsia="zh-CN"/>
              </w:rPr>
              <w:t>广元市昭化区市场监督管理局</w:t>
            </w:r>
          </w:p>
        </w:tc>
      </w:tr>
      <w:tr w14:paraId="0E3FB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40" w:type="dxa"/>
            <w:gridSpan w:val="2"/>
            <w:vMerge w:val="restart"/>
            <w:shd w:val="clear" w:color="auto" w:fill="auto"/>
            <w:vAlign w:val="center"/>
          </w:tcPr>
          <w:p w14:paraId="761ECB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项目预算</w:t>
            </w:r>
          </w:p>
          <w:p w14:paraId="4D8303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执行情况</w:t>
            </w:r>
          </w:p>
          <w:p w14:paraId="351F14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（万元）</w:t>
            </w:r>
          </w:p>
        </w:tc>
        <w:tc>
          <w:tcPr>
            <w:tcW w:w="1511" w:type="dxa"/>
            <w:shd w:val="clear" w:color="auto" w:fill="auto"/>
            <w:vAlign w:val="center"/>
          </w:tcPr>
          <w:p w14:paraId="6D7DD7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预算数：</w:t>
            </w:r>
          </w:p>
        </w:tc>
        <w:tc>
          <w:tcPr>
            <w:tcW w:w="1492" w:type="dxa"/>
            <w:shd w:val="clear" w:color="auto" w:fill="auto"/>
            <w:vAlign w:val="center"/>
          </w:tcPr>
          <w:p w14:paraId="64DB08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15</w:t>
            </w:r>
          </w:p>
        </w:tc>
        <w:tc>
          <w:tcPr>
            <w:tcW w:w="1224" w:type="dxa"/>
            <w:shd w:val="clear" w:color="auto" w:fill="auto"/>
            <w:vAlign w:val="center"/>
          </w:tcPr>
          <w:p w14:paraId="778591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执行数：</w:t>
            </w:r>
          </w:p>
        </w:tc>
        <w:tc>
          <w:tcPr>
            <w:tcW w:w="2611" w:type="dxa"/>
            <w:shd w:val="clear" w:color="auto" w:fill="auto"/>
            <w:vAlign w:val="center"/>
          </w:tcPr>
          <w:p w14:paraId="2EE62C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15</w:t>
            </w:r>
          </w:p>
        </w:tc>
      </w:tr>
      <w:tr w14:paraId="7F7E1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40" w:type="dxa"/>
            <w:gridSpan w:val="2"/>
            <w:vMerge w:val="continue"/>
            <w:shd w:val="clear" w:color="auto" w:fill="auto"/>
            <w:vAlign w:val="center"/>
          </w:tcPr>
          <w:p w14:paraId="03B33908">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1511" w:type="dxa"/>
            <w:shd w:val="clear" w:color="auto" w:fill="auto"/>
            <w:vAlign w:val="center"/>
          </w:tcPr>
          <w:p w14:paraId="716B81C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其他资金</w:t>
            </w:r>
          </w:p>
        </w:tc>
        <w:tc>
          <w:tcPr>
            <w:tcW w:w="1492" w:type="dxa"/>
            <w:shd w:val="clear" w:color="auto" w:fill="auto"/>
            <w:vAlign w:val="center"/>
          </w:tcPr>
          <w:p w14:paraId="0BAD067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sz w:val="24"/>
                <w:szCs w:val="24"/>
                <w:u w:val="none"/>
              </w:rPr>
            </w:pPr>
          </w:p>
        </w:tc>
        <w:tc>
          <w:tcPr>
            <w:tcW w:w="1224" w:type="dxa"/>
            <w:shd w:val="clear" w:color="auto" w:fill="auto"/>
            <w:vAlign w:val="center"/>
          </w:tcPr>
          <w:p w14:paraId="4658D06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其他资金</w:t>
            </w:r>
          </w:p>
        </w:tc>
        <w:tc>
          <w:tcPr>
            <w:tcW w:w="2611" w:type="dxa"/>
            <w:shd w:val="clear" w:color="auto" w:fill="auto"/>
            <w:vAlign w:val="center"/>
          </w:tcPr>
          <w:p w14:paraId="2A449A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p>
        </w:tc>
      </w:tr>
      <w:tr w14:paraId="1D2CD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7" w:type="dxa"/>
            <w:vMerge w:val="restart"/>
            <w:shd w:val="clear" w:color="auto" w:fill="auto"/>
            <w:vAlign w:val="center"/>
          </w:tcPr>
          <w:p w14:paraId="03800E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年度总体目标</w:t>
            </w:r>
          </w:p>
          <w:p w14:paraId="3CA2C8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完成情况</w:t>
            </w:r>
          </w:p>
        </w:tc>
        <w:tc>
          <w:tcPr>
            <w:tcW w:w="3966" w:type="dxa"/>
            <w:gridSpan w:val="3"/>
            <w:shd w:val="clear" w:color="auto" w:fill="auto"/>
            <w:vAlign w:val="center"/>
          </w:tcPr>
          <w:p w14:paraId="03747B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预期目标</w:t>
            </w:r>
          </w:p>
        </w:tc>
        <w:tc>
          <w:tcPr>
            <w:tcW w:w="3835" w:type="dxa"/>
            <w:gridSpan w:val="2"/>
            <w:shd w:val="clear" w:color="auto" w:fill="auto"/>
            <w:vAlign w:val="center"/>
          </w:tcPr>
          <w:p w14:paraId="53B8FD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目标实际完成情况</w:t>
            </w:r>
          </w:p>
        </w:tc>
      </w:tr>
      <w:tr w14:paraId="6FAE7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0" w:hRule="atLeast"/>
          <w:jc w:val="center"/>
        </w:trPr>
        <w:tc>
          <w:tcPr>
            <w:tcW w:w="1977" w:type="dxa"/>
            <w:vMerge w:val="continue"/>
            <w:shd w:val="clear" w:color="auto" w:fill="auto"/>
            <w:vAlign w:val="center"/>
          </w:tcPr>
          <w:p w14:paraId="2331A6B2">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3966" w:type="dxa"/>
            <w:gridSpan w:val="3"/>
            <w:shd w:val="clear" w:color="auto" w:fill="auto"/>
            <w:vAlign w:val="center"/>
          </w:tcPr>
          <w:p w14:paraId="449F561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1、开展药械化抽检批次14；2、开展药械化安全监管业务培训会3次；3、开展药械化经营使用单位监督检查230家；4、查办药械化相关案件21次；5、开展药械化相关法律法规及科普知识宣传5次。6、食品生产加工企业（小作坊）170家、餐饮服务单位300家、食品销售单位检查数量300家；7、食品监管人员2次、市场主体4次、群众宣传培训1次。开展集中培训5次，重点对&lt;&lt;中华人民共和国疫苗管理法&gt;&gt;《中华人民共和国药品管理法》进行宣贯、培训。</w:t>
            </w:r>
          </w:p>
        </w:tc>
        <w:tc>
          <w:tcPr>
            <w:tcW w:w="3835" w:type="dxa"/>
            <w:gridSpan w:val="2"/>
            <w:shd w:val="clear" w:color="auto" w:fill="auto"/>
            <w:vAlign w:val="center"/>
          </w:tcPr>
          <w:p w14:paraId="72A9D28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top"/>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1、维护校园食品安全，检查学校、幼儿园食堂362家次、以及周边食品餐饮单位285家，2、加强重点品种、重点区域的食品专项整治13次，监督检查食品流通单位1553家次，餐饮服务单位872家次，3、强化要化管理，以日常检查为主，结合飞行检查、GSP跟踪检查，重点开展专项整治行动11次，药械经营使用单位517家，组织监管人员、区级医疗机构、格乡镇卫生院、诊所、民营医疗机构开展集中培训5次，重点对&lt;&lt;中华人民共和国疫苗管理法&gt;&gt;《中华人民共和国药品管理法》进行宣贯、培训。</w:t>
            </w:r>
          </w:p>
        </w:tc>
      </w:tr>
      <w:tr w14:paraId="2BACA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940" w:type="dxa"/>
            <w:gridSpan w:val="2"/>
            <w:shd w:val="clear" w:color="auto" w:fill="auto"/>
            <w:vAlign w:val="center"/>
          </w:tcPr>
          <w:p w14:paraId="32380A04">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1511" w:type="dxa"/>
            <w:shd w:val="clear" w:color="auto" w:fill="auto"/>
            <w:vAlign w:val="center"/>
          </w:tcPr>
          <w:p w14:paraId="35914A2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其中：</w:t>
            </w:r>
          </w:p>
          <w:p w14:paraId="12D21A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财政拨款</w:t>
            </w:r>
          </w:p>
        </w:tc>
        <w:tc>
          <w:tcPr>
            <w:tcW w:w="1492" w:type="dxa"/>
            <w:shd w:val="clear" w:color="auto" w:fill="auto"/>
            <w:vAlign w:val="center"/>
          </w:tcPr>
          <w:p w14:paraId="7F0F56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15</w:t>
            </w:r>
          </w:p>
        </w:tc>
        <w:tc>
          <w:tcPr>
            <w:tcW w:w="1224" w:type="dxa"/>
            <w:shd w:val="clear" w:color="auto" w:fill="auto"/>
            <w:vAlign w:val="center"/>
          </w:tcPr>
          <w:p w14:paraId="06602C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其中：</w:t>
            </w:r>
          </w:p>
          <w:p w14:paraId="568631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财政拨款</w:t>
            </w:r>
          </w:p>
        </w:tc>
        <w:tc>
          <w:tcPr>
            <w:tcW w:w="2611" w:type="dxa"/>
            <w:shd w:val="clear" w:color="auto" w:fill="auto"/>
            <w:vAlign w:val="center"/>
          </w:tcPr>
          <w:p w14:paraId="3F26AC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15</w:t>
            </w:r>
          </w:p>
        </w:tc>
      </w:tr>
      <w:tr w14:paraId="11BF3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977" w:type="dxa"/>
            <w:vMerge w:val="restart"/>
            <w:shd w:val="clear" w:color="auto" w:fill="auto"/>
            <w:vAlign w:val="center"/>
          </w:tcPr>
          <w:p w14:paraId="556435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年度绩效指标完成情况</w:t>
            </w:r>
          </w:p>
        </w:tc>
        <w:tc>
          <w:tcPr>
            <w:tcW w:w="963" w:type="dxa"/>
            <w:shd w:val="clear" w:color="auto" w:fill="auto"/>
            <w:vAlign w:val="center"/>
          </w:tcPr>
          <w:p w14:paraId="1B3CFA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一级</w:t>
            </w:r>
          </w:p>
          <w:p w14:paraId="1A67B6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指标</w:t>
            </w:r>
          </w:p>
        </w:tc>
        <w:tc>
          <w:tcPr>
            <w:tcW w:w="1511" w:type="dxa"/>
            <w:shd w:val="clear" w:color="auto" w:fill="auto"/>
            <w:vAlign w:val="center"/>
          </w:tcPr>
          <w:p w14:paraId="4277DF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二级</w:t>
            </w:r>
          </w:p>
          <w:p w14:paraId="525EB9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指标</w:t>
            </w:r>
          </w:p>
        </w:tc>
        <w:tc>
          <w:tcPr>
            <w:tcW w:w="1492" w:type="dxa"/>
            <w:shd w:val="clear" w:color="auto" w:fill="auto"/>
            <w:vAlign w:val="center"/>
          </w:tcPr>
          <w:p w14:paraId="4D9D39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三级</w:t>
            </w:r>
          </w:p>
          <w:p w14:paraId="50C04E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指标</w:t>
            </w:r>
          </w:p>
        </w:tc>
        <w:tc>
          <w:tcPr>
            <w:tcW w:w="1224" w:type="dxa"/>
            <w:shd w:val="clear" w:color="auto" w:fill="auto"/>
            <w:vAlign w:val="center"/>
          </w:tcPr>
          <w:p w14:paraId="1C0639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预期指标值</w:t>
            </w:r>
          </w:p>
        </w:tc>
        <w:tc>
          <w:tcPr>
            <w:tcW w:w="2611" w:type="dxa"/>
            <w:shd w:val="clear" w:color="auto" w:fill="auto"/>
            <w:vAlign w:val="center"/>
          </w:tcPr>
          <w:p w14:paraId="07D974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实际完成指标值</w:t>
            </w:r>
          </w:p>
        </w:tc>
      </w:tr>
      <w:tr w14:paraId="6D9EE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977" w:type="dxa"/>
            <w:vMerge w:val="continue"/>
            <w:shd w:val="clear" w:color="auto" w:fill="auto"/>
            <w:vAlign w:val="center"/>
          </w:tcPr>
          <w:p w14:paraId="211D1FE3">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963" w:type="dxa"/>
            <w:vMerge w:val="restart"/>
            <w:shd w:val="clear" w:color="auto" w:fill="auto"/>
            <w:vAlign w:val="center"/>
          </w:tcPr>
          <w:p w14:paraId="5A6B67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完成</w:t>
            </w:r>
          </w:p>
          <w:p w14:paraId="6D66A8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指标</w:t>
            </w:r>
          </w:p>
        </w:tc>
        <w:tc>
          <w:tcPr>
            <w:tcW w:w="1511" w:type="dxa"/>
            <w:vMerge w:val="restart"/>
            <w:shd w:val="clear" w:color="auto" w:fill="auto"/>
            <w:vAlign w:val="center"/>
          </w:tcPr>
          <w:p w14:paraId="07E0CF10">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数量指标</w:t>
            </w:r>
          </w:p>
        </w:tc>
        <w:tc>
          <w:tcPr>
            <w:tcW w:w="1492" w:type="dxa"/>
            <w:shd w:val="clear" w:color="auto" w:fill="auto"/>
            <w:vAlign w:val="center"/>
          </w:tcPr>
          <w:p w14:paraId="6844A3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食品生产加工环节企业数</w:t>
            </w:r>
          </w:p>
        </w:tc>
        <w:tc>
          <w:tcPr>
            <w:tcW w:w="1224" w:type="dxa"/>
            <w:shd w:val="clear" w:color="auto" w:fill="auto"/>
            <w:vAlign w:val="center"/>
          </w:tcPr>
          <w:p w14:paraId="462D4A33">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≥9家</w:t>
            </w:r>
          </w:p>
        </w:tc>
        <w:tc>
          <w:tcPr>
            <w:tcW w:w="2611" w:type="dxa"/>
            <w:shd w:val="clear" w:color="auto" w:fill="auto"/>
            <w:vAlign w:val="center"/>
          </w:tcPr>
          <w:p w14:paraId="7AD5093D">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9家</w:t>
            </w:r>
          </w:p>
        </w:tc>
      </w:tr>
      <w:tr w14:paraId="4E2E7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77" w:type="dxa"/>
            <w:vMerge w:val="continue"/>
            <w:shd w:val="clear" w:color="auto" w:fill="auto"/>
            <w:vAlign w:val="center"/>
          </w:tcPr>
          <w:p w14:paraId="6017D668">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963" w:type="dxa"/>
            <w:vMerge w:val="continue"/>
            <w:shd w:val="clear" w:color="auto" w:fill="auto"/>
            <w:vAlign w:val="center"/>
          </w:tcPr>
          <w:p w14:paraId="6AFEA1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kern w:val="0"/>
                <w:sz w:val="24"/>
                <w:szCs w:val="24"/>
                <w:u w:val="none"/>
                <w:lang w:val="en-US" w:eastAsia="zh-CN" w:bidi="ar"/>
              </w:rPr>
            </w:pPr>
          </w:p>
        </w:tc>
        <w:tc>
          <w:tcPr>
            <w:tcW w:w="1511" w:type="dxa"/>
            <w:vMerge w:val="continue"/>
            <w:shd w:val="clear" w:color="auto" w:fill="auto"/>
            <w:vAlign w:val="center"/>
          </w:tcPr>
          <w:p w14:paraId="4CDA249C">
            <w:pPr>
              <w:jc w:val="center"/>
              <w:rPr>
                <w:rFonts w:hint="default" w:ascii="Times New Roman" w:hAnsi="Times New Roman" w:eastAsia="仿宋_GB2312" w:cs="Times New Roman"/>
                <w:sz w:val="24"/>
                <w:szCs w:val="24"/>
                <w:lang w:val="en-US" w:eastAsia="zh-CN"/>
              </w:rPr>
            </w:pPr>
          </w:p>
        </w:tc>
        <w:tc>
          <w:tcPr>
            <w:tcW w:w="1492" w:type="dxa"/>
            <w:shd w:val="clear" w:color="auto" w:fill="auto"/>
            <w:vAlign w:val="center"/>
          </w:tcPr>
          <w:p w14:paraId="147316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药品流通环节企业数</w:t>
            </w:r>
          </w:p>
        </w:tc>
        <w:tc>
          <w:tcPr>
            <w:tcW w:w="1224" w:type="dxa"/>
            <w:shd w:val="clear" w:color="auto" w:fill="auto"/>
            <w:vAlign w:val="center"/>
          </w:tcPr>
          <w:p w14:paraId="32B626E9">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≥101家</w:t>
            </w:r>
          </w:p>
        </w:tc>
        <w:tc>
          <w:tcPr>
            <w:tcW w:w="2611" w:type="dxa"/>
            <w:shd w:val="clear" w:color="auto" w:fill="auto"/>
            <w:vAlign w:val="center"/>
          </w:tcPr>
          <w:p w14:paraId="29C9864D">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101家</w:t>
            </w:r>
          </w:p>
        </w:tc>
      </w:tr>
      <w:tr w14:paraId="31021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77" w:type="dxa"/>
            <w:vMerge w:val="continue"/>
            <w:shd w:val="clear" w:color="auto" w:fill="auto"/>
            <w:vAlign w:val="center"/>
          </w:tcPr>
          <w:p w14:paraId="6FFB7CFF">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963" w:type="dxa"/>
            <w:vMerge w:val="continue"/>
            <w:shd w:val="clear" w:color="auto" w:fill="auto"/>
            <w:vAlign w:val="center"/>
          </w:tcPr>
          <w:p w14:paraId="3E44CB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kern w:val="0"/>
                <w:sz w:val="24"/>
                <w:szCs w:val="24"/>
                <w:u w:val="none"/>
                <w:lang w:val="en-US" w:eastAsia="zh-CN" w:bidi="ar"/>
              </w:rPr>
            </w:pPr>
          </w:p>
        </w:tc>
        <w:tc>
          <w:tcPr>
            <w:tcW w:w="1511" w:type="dxa"/>
            <w:vMerge w:val="continue"/>
            <w:shd w:val="clear" w:color="auto" w:fill="auto"/>
            <w:vAlign w:val="center"/>
          </w:tcPr>
          <w:p w14:paraId="7406975F">
            <w:pPr>
              <w:jc w:val="center"/>
              <w:rPr>
                <w:rFonts w:hint="default" w:ascii="Times New Roman" w:hAnsi="Times New Roman" w:eastAsia="仿宋_GB2312" w:cs="Times New Roman"/>
                <w:sz w:val="24"/>
                <w:lang w:val="en-US" w:eastAsia="zh-CN"/>
              </w:rPr>
            </w:pPr>
          </w:p>
        </w:tc>
        <w:tc>
          <w:tcPr>
            <w:tcW w:w="1492" w:type="dxa"/>
            <w:shd w:val="clear" w:color="auto" w:fill="auto"/>
            <w:vAlign w:val="center"/>
          </w:tcPr>
          <w:p w14:paraId="519496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医疗器械不良事件检测品种</w:t>
            </w:r>
          </w:p>
        </w:tc>
        <w:tc>
          <w:tcPr>
            <w:tcW w:w="1224" w:type="dxa"/>
            <w:shd w:val="clear" w:color="auto" w:fill="auto"/>
            <w:vAlign w:val="center"/>
          </w:tcPr>
          <w:p w14:paraId="068AF636">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无</w:t>
            </w:r>
          </w:p>
        </w:tc>
        <w:tc>
          <w:tcPr>
            <w:tcW w:w="2611" w:type="dxa"/>
            <w:shd w:val="clear" w:color="auto" w:fill="auto"/>
            <w:vAlign w:val="center"/>
          </w:tcPr>
          <w:p w14:paraId="4DAAF95C">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无</w:t>
            </w:r>
          </w:p>
        </w:tc>
      </w:tr>
      <w:tr w14:paraId="3E457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77" w:type="dxa"/>
            <w:vMerge w:val="continue"/>
            <w:shd w:val="clear" w:color="auto" w:fill="auto"/>
            <w:vAlign w:val="center"/>
          </w:tcPr>
          <w:p w14:paraId="202A9501">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963" w:type="dxa"/>
            <w:vMerge w:val="continue"/>
            <w:shd w:val="clear" w:color="auto" w:fill="auto"/>
            <w:vAlign w:val="center"/>
          </w:tcPr>
          <w:p w14:paraId="33F42E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kern w:val="0"/>
                <w:sz w:val="24"/>
                <w:szCs w:val="24"/>
                <w:u w:val="none"/>
                <w:lang w:val="en-US" w:eastAsia="zh-CN" w:bidi="ar"/>
              </w:rPr>
            </w:pPr>
          </w:p>
        </w:tc>
        <w:tc>
          <w:tcPr>
            <w:tcW w:w="1511" w:type="dxa"/>
            <w:vMerge w:val="continue"/>
            <w:shd w:val="clear" w:color="auto" w:fill="auto"/>
            <w:vAlign w:val="center"/>
          </w:tcPr>
          <w:p w14:paraId="74D934F7">
            <w:pPr>
              <w:jc w:val="center"/>
              <w:rPr>
                <w:rFonts w:hint="default" w:ascii="Times New Roman" w:hAnsi="Times New Roman" w:eastAsia="仿宋_GB2312" w:cs="Times New Roman"/>
                <w:sz w:val="24"/>
                <w:lang w:val="en-US" w:eastAsia="zh-CN"/>
              </w:rPr>
            </w:pPr>
          </w:p>
        </w:tc>
        <w:tc>
          <w:tcPr>
            <w:tcW w:w="1492" w:type="dxa"/>
            <w:shd w:val="clear" w:color="auto" w:fill="auto"/>
            <w:vAlign w:val="center"/>
          </w:tcPr>
          <w:p w14:paraId="1A360B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食品药品监管行政人员培训覆盖率</w:t>
            </w:r>
          </w:p>
        </w:tc>
        <w:tc>
          <w:tcPr>
            <w:tcW w:w="1224" w:type="dxa"/>
            <w:shd w:val="clear" w:color="auto" w:fill="auto"/>
            <w:vAlign w:val="center"/>
          </w:tcPr>
          <w:p w14:paraId="131AB5D2">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≥80﹪</w:t>
            </w:r>
          </w:p>
        </w:tc>
        <w:tc>
          <w:tcPr>
            <w:tcW w:w="2611" w:type="dxa"/>
            <w:shd w:val="clear" w:color="auto" w:fill="auto"/>
            <w:vAlign w:val="center"/>
          </w:tcPr>
          <w:p w14:paraId="7218B0D9">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≥95﹪</w:t>
            </w:r>
          </w:p>
        </w:tc>
      </w:tr>
      <w:tr w14:paraId="44546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77" w:type="dxa"/>
            <w:vMerge w:val="continue"/>
            <w:shd w:val="clear" w:color="auto" w:fill="auto"/>
            <w:vAlign w:val="center"/>
          </w:tcPr>
          <w:p w14:paraId="6B917A1F">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963" w:type="dxa"/>
            <w:vMerge w:val="continue"/>
            <w:shd w:val="clear" w:color="auto" w:fill="auto"/>
            <w:vAlign w:val="center"/>
          </w:tcPr>
          <w:p w14:paraId="7F2911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kern w:val="0"/>
                <w:sz w:val="24"/>
                <w:szCs w:val="24"/>
                <w:u w:val="none"/>
                <w:lang w:val="en-US" w:eastAsia="zh-CN" w:bidi="ar"/>
              </w:rPr>
            </w:pPr>
          </w:p>
        </w:tc>
        <w:tc>
          <w:tcPr>
            <w:tcW w:w="1511" w:type="dxa"/>
            <w:vMerge w:val="continue"/>
            <w:shd w:val="clear" w:color="auto" w:fill="auto"/>
            <w:vAlign w:val="center"/>
          </w:tcPr>
          <w:p w14:paraId="554047F1">
            <w:pPr>
              <w:jc w:val="center"/>
              <w:rPr>
                <w:rFonts w:hint="default" w:ascii="Times New Roman" w:hAnsi="Times New Roman" w:eastAsia="仿宋_GB2312" w:cs="Times New Roman"/>
                <w:sz w:val="24"/>
                <w:lang w:val="en-US" w:eastAsia="zh-CN"/>
              </w:rPr>
            </w:pPr>
          </w:p>
        </w:tc>
        <w:tc>
          <w:tcPr>
            <w:tcW w:w="1492" w:type="dxa"/>
            <w:shd w:val="clear" w:color="auto" w:fill="auto"/>
            <w:vAlign w:val="center"/>
          </w:tcPr>
          <w:p w14:paraId="5A38FF59">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药品生产企业监测检查覆盖率(%)</w:t>
            </w:r>
          </w:p>
        </w:tc>
        <w:tc>
          <w:tcPr>
            <w:tcW w:w="1224" w:type="dxa"/>
            <w:shd w:val="clear" w:color="auto" w:fill="auto"/>
            <w:vAlign w:val="center"/>
          </w:tcPr>
          <w:p w14:paraId="746E0C3A">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≥95﹪</w:t>
            </w:r>
          </w:p>
        </w:tc>
        <w:tc>
          <w:tcPr>
            <w:tcW w:w="2611" w:type="dxa"/>
            <w:shd w:val="clear" w:color="auto" w:fill="auto"/>
            <w:vAlign w:val="center"/>
          </w:tcPr>
          <w:p w14:paraId="204C9D65">
            <w:pPr>
              <w:keepNext w:val="0"/>
              <w:keepLines w:val="0"/>
              <w:widowControl/>
              <w:suppressLineNumbers w:val="0"/>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≥95﹪</w:t>
            </w:r>
          </w:p>
        </w:tc>
      </w:tr>
      <w:tr w14:paraId="24D48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977" w:type="dxa"/>
            <w:vMerge w:val="continue"/>
            <w:shd w:val="clear" w:color="auto" w:fill="auto"/>
            <w:vAlign w:val="center"/>
          </w:tcPr>
          <w:p w14:paraId="59077838">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963" w:type="dxa"/>
            <w:vMerge w:val="continue"/>
            <w:shd w:val="clear" w:color="auto" w:fill="auto"/>
            <w:vAlign w:val="center"/>
          </w:tcPr>
          <w:p w14:paraId="7EDEB08A">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1511" w:type="dxa"/>
            <w:vMerge w:val="restart"/>
            <w:shd w:val="clear" w:color="auto" w:fill="auto"/>
            <w:vAlign w:val="center"/>
          </w:tcPr>
          <w:p w14:paraId="5253E8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质量指标</w:t>
            </w:r>
          </w:p>
        </w:tc>
        <w:tc>
          <w:tcPr>
            <w:tcW w:w="1492" w:type="dxa"/>
            <w:shd w:val="clear" w:color="auto" w:fill="auto"/>
            <w:vAlign w:val="center"/>
          </w:tcPr>
          <w:p w14:paraId="2E6C18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重大案件查办率</w:t>
            </w:r>
          </w:p>
        </w:tc>
        <w:tc>
          <w:tcPr>
            <w:tcW w:w="1224" w:type="dxa"/>
            <w:shd w:val="clear" w:color="auto" w:fill="auto"/>
            <w:vAlign w:val="center"/>
          </w:tcPr>
          <w:p w14:paraId="1DB724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≥75﹪</w:t>
            </w:r>
          </w:p>
        </w:tc>
        <w:tc>
          <w:tcPr>
            <w:tcW w:w="2611" w:type="dxa"/>
            <w:shd w:val="clear" w:color="auto" w:fill="auto"/>
            <w:vAlign w:val="center"/>
          </w:tcPr>
          <w:p w14:paraId="6B8468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≥80﹪</w:t>
            </w:r>
          </w:p>
        </w:tc>
      </w:tr>
      <w:tr w14:paraId="1B169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77" w:type="dxa"/>
            <w:vMerge w:val="continue"/>
            <w:shd w:val="clear" w:color="auto" w:fill="auto"/>
            <w:vAlign w:val="center"/>
          </w:tcPr>
          <w:p w14:paraId="0CC53686">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963" w:type="dxa"/>
            <w:vMerge w:val="continue"/>
            <w:shd w:val="clear" w:color="auto" w:fill="auto"/>
            <w:vAlign w:val="center"/>
          </w:tcPr>
          <w:p w14:paraId="25F6D0D4">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1511" w:type="dxa"/>
            <w:vMerge w:val="continue"/>
            <w:shd w:val="clear" w:color="auto" w:fill="auto"/>
            <w:vAlign w:val="center"/>
          </w:tcPr>
          <w:p w14:paraId="60270F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kern w:val="0"/>
                <w:sz w:val="24"/>
                <w:szCs w:val="24"/>
                <w:u w:val="none"/>
                <w:lang w:val="en-US" w:eastAsia="zh-CN" w:bidi="ar"/>
              </w:rPr>
            </w:pPr>
          </w:p>
        </w:tc>
        <w:tc>
          <w:tcPr>
            <w:tcW w:w="1492" w:type="dxa"/>
            <w:shd w:val="clear" w:color="auto" w:fill="auto"/>
            <w:vAlign w:val="center"/>
          </w:tcPr>
          <w:p w14:paraId="60E69F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食品生产加工企业监管覆盖率</w:t>
            </w:r>
          </w:p>
        </w:tc>
        <w:tc>
          <w:tcPr>
            <w:tcW w:w="1224" w:type="dxa"/>
            <w:shd w:val="clear" w:color="auto" w:fill="auto"/>
            <w:vAlign w:val="center"/>
          </w:tcPr>
          <w:p w14:paraId="78E6CC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≥80﹪</w:t>
            </w:r>
          </w:p>
        </w:tc>
        <w:tc>
          <w:tcPr>
            <w:tcW w:w="2611" w:type="dxa"/>
            <w:shd w:val="clear" w:color="auto" w:fill="auto"/>
            <w:vAlign w:val="center"/>
          </w:tcPr>
          <w:p w14:paraId="400DED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≥95﹪</w:t>
            </w:r>
          </w:p>
        </w:tc>
      </w:tr>
      <w:tr w14:paraId="2BECD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77" w:type="dxa"/>
            <w:vMerge w:val="continue"/>
            <w:shd w:val="clear" w:color="auto" w:fill="auto"/>
            <w:vAlign w:val="center"/>
          </w:tcPr>
          <w:p w14:paraId="4E2CFB03">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963" w:type="dxa"/>
            <w:vMerge w:val="continue"/>
            <w:shd w:val="clear" w:color="auto" w:fill="auto"/>
            <w:vAlign w:val="center"/>
          </w:tcPr>
          <w:p w14:paraId="7F601176">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1511" w:type="dxa"/>
            <w:vMerge w:val="continue"/>
            <w:shd w:val="clear" w:color="auto" w:fill="auto"/>
            <w:vAlign w:val="center"/>
          </w:tcPr>
          <w:p w14:paraId="5D368C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kern w:val="0"/>
                <w:sz w:val="24"/>
                <w:szCs w:val="24"/>
                <w:u w:val="none"/>
                <w:lang w:val="en-US" w:eastAsia="zh-CN" w:bidi="ar"/>
              </w:rPr>
            </w:pPr>
          </w:p>
        </w:tc>
        <w:tc>
          <w:tcPr>
            <w:tcW w:w="1492" w:type="dxa"/>
            <w:shd w:val="clear" w:color="auto" w:fill="auto"/>
            <w:vAlign w:val="center"/>
          </w:tcPr>
          <w:p w14:paraId="41153D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不合格药品处置率</w:t>
            </w:r>
          </w:p>
        </w:tc>
        <w:tc>
          <w:tcPr>
            <w:tcW w:w="1224" w:type="dxa"/>
            <w:shd w:val="clear" w:color="auto" w:fill="auto"/>
            <w:vAlign w:val="center"/>
          </w:tcPr>
          <w:p w14:paraId="7A16A7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≥80﹪</w:t>
            </w:r>
          </w:p>
        </w:tc>
        <w:tc>
          <w:tcPr>
            <w:tcW w:w="2611" w:type="dxa"/>
            <w:shd w:val="clear" w:color="auto" w:fill="auto"/>
            <w:vAlign w:val="center"/>
          </w:tcPr>
          <w:p w14:paraId="71B3F5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≥95﹪</w:t>
            </w:r>
          </w:p>
        </w:tc>
      </w:tr>
      <w:tr w14:paraId="354E5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exact"/>
          <w:jc w:val="center"/>
        </w:trPr>
        <w:tc>
          <w:tcPr>
            <w:tcW w:w="1977" w:type="dxa"/>
            <w:vMerge w:val="continue"/>
            <w:shd w:val="clear" w:color="auto" w:fill="auto"/>
            <w:vAlign w:val="center"/>
          </w:tcPr>
          <w:p w14:paraId="22B71FC8">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963" w:type="dxa"/>
            <w:vMerge w:val="continue"/>
            <w:shd w:val="clear" w:color="auto" w:fill="auto"/>
            <w:vAlign w:val="center"/>
          </w:tcPr>
          <w:p w14:paraId="6DCE4B68">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1511" w:type="dxa"/>
            <w:shd w:val="clear" w:color="auto" w:fill="auto"/>
            <w:vAlign w:val="center"/>
          </w:tcPr>
          <w:p w14:paraId="10A045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时效指标</w:t>
            </w:r>
          </w:p>
        </w:tc>
        <w:tc>
          <w:tcPr>
            <w:tcW w:w="1492" w:type="dxa"/>
            <w:shd w:val="clear" w:color="auto" w:fill="auto"/>
            <w:vAlign w:val="center"/>
          </w:tcPr>
          <w:p w14:paraId="0DECA7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任务完成时限</w:t>
            </w:r>
          </w:p>
        </w:tc>
        <w:tc>
          <w:tcPr>
            <w:tcW w:w="1224" w:type="dxa"/>
            <w:shd w:val="clear" w:color="auto" w:fill="auto"/>
            <w:vAlign w:val="center"/>
          </w:tcPr>
          <w:p w14:paraId="76C361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202</w:t>
            </w:r>
            <w:r>
              <w:rPr>
                <w:rFonts w:hint="default" w:ascii="Times New Roman" w:hAnsi="Times New Roman" w:eastAsia="仿宋_GB2312" w:cs="Times New Roman"/>
                <w:i w:val="0"/>
                <w:color w:val="auto"/>
                <w:sz w:val="24"/>
                <w:szCs w:val="24"/>
                <w:u w:val="none"/>
                <w:lang w:val="en-US" w:eastAsia="zh-CN"/>
              </w:rPr>
              <w:t>1</w:t>
            </w:r>
            <w:r>
              <w:rPr>
                <w:rFonts w:hint="default" w:ascii="Times New Roman" w:hAnsi="Times New Roman" w:eastAsia="仿宋_GB2312" w:cs="Times New Roman"/>
                <w:i w:val="0"/>
                <w:color w:val="auto"/>
                <w:sz w:val="24"/>
                <w:szCs w:val="24"/>
                <w:u w:val="none"/>
              </w:rPr>
              <w:t>年1月-2021年12月</w:t>
            </w:r>
          </w:p>
        </w:tc>
        <w:tc>
          <w:tcPr>
            <w:tcW w:w="2611" w:type="dxa"/>
            <w:shd w:val="clear" w:color="auto" w:fill="auto"/>
            <w:vAlign w:val="center"/>
          </w:tcPr>
          <w:p w14:paraId="57610E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202</w:t>
            </w:r>
            <w:r>
              <w:rPr>
                <w:rFonts w:hint="default" w:ascii="Times New Roman" w:hAnsi="Times New Roman" w:eastAsia="仿宋_GB2312" w:cs="Times New Roman"/>
                <w:i w:val="0"/>
                <w:color w:val="auto"/>
                <w:sz w:val="24"/>
                <w:szCs w:val="24"/>
                <w:u w:val="none"/>
                <w:lang w:val="en-US" w:eastAsia="zh-CN"/>
              </w:rPr>
              <w:t>1</w:t>
            </w:r>
            <w:r>
              <w:rPr>
                <w:rFonts w:hint="default" w:ascii="Times New Roman" w:hAnsi="Times New Roman" w:eastAsia="仿宋_GB2312" w:cs="Times New Roman"/>
                <w:i w:val="0"/>
                <w:color w:val="auto"/>
                <w:sz w:val="24"/>
                <w:szCs w:val="24"/>
                <w:u w:val="none"/>
              </w:rPr>
              <w:t>年1月-2021年12月</w:t>
            </w:r>
          </w:p>
        </w:tc>
      </w:tr>
      <w:tr w14:paraId="0083B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77" w:type="dxa"/>
            <w:vMerge w:val="continue"/>
            <w:shd w:val="clear" w:color="auto" w:fill="auto"/>
            <w:vAlign w:val="center"/>
          </w:tcPr>
          <w:p w14:paraId="7896AD92">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963" w:type="dxa"/>
            <w:vMerge w:val="continue"/>
            <w:shd w:val="clear" w:color="auto" w:fill="auto"/>
            <w:vAlign w:val="center"/>
          </w:tcPr>
          <w:p w14:paraId="73AEC678">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1511" w:type="dxa"/>
            <w:shd w:val="clear" w:color="auto" w:fill="auto"/>
            <w:vAlign w:val="center"/>
          </w:tcPr>
          <w:p w14:paraId="6D5D75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成本指标</w:t>
            </w:r>
          </w:p>
        </w:tc>
        <w:tc>
          <w:tcPr>
            <w:tcW w:w="1492" w:type="dxa"/>
            <w:shd w:val="clear" w:color="auto" w:fill="auto"/>
            <w:vAlign w:val="center"/>
          </w:tcPr>
          <w:p w14:paraId="302410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食品药品医疗器械监管成本</w:t>
            </w:r>
          </w:p>
        </w:tc>
        <w:tc>
          <w:tcPr>
            <w:tcW w:w="1224" w:type="dxa"/>
            <w:shd w:val="clear" w:color="auto" w:fill="auto"/>
            <w:vAlign w:val="center"/>
          </w:tcPr>
          <w:p w14:paraId="6D7870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差旅费、印刷费、交通等成本15万元</w:t>
            </w:r>
          </w:p>
        </w:tc>
        <w:tc>
          <w:tcPr>
            <w:tcW w:w="2611" w:type="dxa"/>
            <w:shd w:val="clear" w:color="auto" w:fill="auto"/>
            <w:vAlign w:val="center"/>
          </w:tcPr>
          <w:p w14:paraId="3F3439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差旅费、印刷费、交通等成本15万元</w:t>
            </w:r>
          </w:p>
        </w:tc>
      </w:tr>
      <w:tr w14:paraId="44448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77" w:type="dxa"/>
            <w:vMerge w:val="continue"/>
            <w:shd w:val="clear" w:color="auto" w:fill="auto"/>
            <w:vAlign w:val="center"/>
          </w:tcPr>
          <w:p w14:paraId="61EA6210">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963" w:type="dxa"/>
            <w:vMerge w:val="continue"/>
            <w:shd w:val="clear" w:color="auto" w:fill="auto"/>
            <w:vAlign w:val="center"/>
          </w:tcPr>
          <w:p w14:paraId="0FD86DC2">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1511" w:type="dxa"/>
            <w:vMerge w:val="restart"/>
            <w:shd w:val="clear" w:color="auto" w:fill="auto"/>
            <w:vAlign w:val="center"/>
          </w:tcPr>
          <w:p w14:paraId="32719A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社会效益  指标</w:t>
            </w:r>
          </w:p>
        </w:tc>
        <w:tc>
          <w:tcPr>
            <w:tcW w:w="1492" w:type="dxa"/>
            <w:shd w:val="clear" w:color="auto" w:fill="auto"/>
            <w:vAlign w:val="center"/>
          </w:tcPr>
          <w:p w14:paraId="7CA591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人民群众饮食用药安全水平</w:t>
            </w:r>
          </w:p>
        </w:tc>
        <w:tc>
          <w:tcPr>
            <w:tcW w:w="1224" w:type="dxa"/>
            <w:shd w:val="clear" w:color="auto" w:fill="auto"/>
            <w:vAlign w:val="center"/>
          </w:tcPr>
          <w:p w14:paraId="71C7C9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逐渐提高%</w:t>
            </w:r>
          </w:p>
        </w:tc>
        <w:tc>
          <w:tcPr>
            <w:tcW w:w="2611" w:type="dxa"/>
            <w:shd w:val="clear" w:color="auto" w:fill="auto"/>
            <w:vAlign w:val="center"/>
          </w:tcPr>
          <w:p w14:paraId="7A08AC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逐渐提高</w:t>
            </w:r>
          </w:p>
        </w:tc>
      </w:tr>
      <w:tr w14:paraId="54A08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77" w:type="dxa"/>
            <w:vMerge w:val="continue"/>
            <w:shd w:val="clear" w:color="auto" w:fill="auto"/>
            <w:vAlign w:val="center"/>
          </w:tcPr>
          <w:p w14:paraId="77B35737">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963" w:type="dxa"/>
            <w:vMerge w:val="continue"/>
            <w:shd w:val="clear" w:color="auto" w:fill="auto"/>
            <w:vAlign w:val="center"/>
          </w:tcPr>
          <w:p w14:paraId="3911C5A0">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1511" w:type="dxa"/>
            <w:vMerge w:val="continue"/>
            <w:shd w:val="clear" w:color="auto" w:fill="auto"/>
            <w:vAlign w:val="center"/>
          </w:tcPr>
          <w:p w14:paraId="0D9EF7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kern w:val="0"/>
                <w:sz w:val="24"/>
                <w:szCs w:val="24"/>
                <w:u w:val="none"/>
                <w:lang w:val="en-US" w:eastAsia="zh-CN" w:bidi="ar"/>
              </w:rPr>
            </w:pPr>
          </w:p>
        </w:tc>
        <w:tc>
          <w:tcPr>
            <w:tcW w:w="1492" w:type="dxa"/>
            <w:shd w:val="clear" w:color="auto" w:fill="auto"/>
            <w:vAlign w:val="center"/>
          </w:tcPr>
          <w:p w14:paraId="5C44D1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认知度(%)</w:t>
            </w:r>
          </w:p>
        </w:tc>
        <w:tc>
          <w:tcPr>
            <w:tcW w:w="1224" w:type="dxa"/>
            <w:shd w:val="clear" w:color="auto" w:fill="auto"/>
            <w:vAlign w:val="center"/>
          </w:tcPr>
          <w:p w14:paraId="257B20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≥95﹪</w:t>
            </w:r>
          </w:p>
        </w:tc>
        <w:tc>
          <w:tcPr>
            <w:tcW w:w="2611" w:type="dxa"/>
            <w:shd w:val="clear" w:color="auto" w:fill="auto"/>
            <w:vAlign w:val="center"/>
          </w:tcPr>
          <w:p w14:paraId="66108B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≥95﹪</w:t>
            </w:r>
          </w:p>
        </w:tc>
      </w:tr>
      <w:tr w14:paraId="4C01A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77" w:type="dxa"/>
            <w:vMerge w:val="continue"/>
            <w:shd w:val="clear" w:color="auto" w:fill="auto"/>
            <w:vAlign w:val="center"/>
          </w:tcPr>
          <w:p w14:paraId="05FC2371">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963" w:type="dxa"/>
            <w:vMerge w:val="continue"/>
            <w:shd w:val="clear" w:color="auto" w:fill="auto"/>
            <w:vAlign w:val="center"/>
          </w:tcPr>
          <w:p w14:paraId="6FE65468">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1511" w:type="dxa"/>
            <w:shd w:val="clear" w:color="auto" w:fill="auto"/>
            <w:vAlign w:val="center"/>
          </w:tcPr>
          <w:p w14:paraId="6CA495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生态效益  指标</w:t>
            </w:r>
          </w:p>
        </w:tc>
        <w:tc>
          <w:tcPr>
            <w:tcW w:w="1492" w:type="dxa"/>
            <w:shd w:val="clear" w:color="auto" w:fill="auto"/>
            <w:vAlign w:val="center"/>
          </w:tcPr>
          <w:p w14:paraId="08B39D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kern w:val="0"/>
                <w:sz w:val="24"/>
                <w:szCs w:val="24"/>
                <w:u w:val="none"/>
                <w:lang w:val="en-US" w:eastAsia="zh-CN" w:bidi="ar"/>
              </w:rPr>
            </w:pPr>
          </w:p>
        </w:tc>
        <w:tc>
          <w:tcPr>
            <w:tcW w:w="1224" w:type="dxa"/>
            <w:shd w:val="clear" w:color="auto" w:fill="auto"/>
            <w:vAlign w:val="center"/>
          </w:tcPr>
          <w:p w14:paraId="7C81AC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p>
        </w:tc>
        <w:tc>
          <w:tcPr>
            <w:tcW w:w="2611" w:type="dxa"/>
            <w:shd w:val="clear" w:color="auto" w:fill="auto"/>
            <w:vAlign w:val="center"/>
          </w:tcPr>
          <w:p w14:paraId="7FEA13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p>
        </w:tc>
      </w:tr>
      <w:tr w14:paraId="524D0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77" w:type="dxa"/>
            <w:vMerge w:val="continue"/>
            <w:shd w:val="clear" w:color="auto" w:fill="auto"/>
            <w:vAlign w:val="center"/>
          </w:tcPr>
          <w:p w14:paraId="544447D6">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963" w:type="dxa"/>
            <w:vMerge w:val="continue"/>
            <w:shd w:val="clear" w:color="auto" w:fill="auto"/>
            <w:vAlign w:val="center"/>
          </w:tcPr>
          <w:p w14:paraId="6E858C1D">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1511" w:type="dxa"/>
            <w:shd w:val="clear" w:color="auto" w:fill="auto"/>
            <w:vAlign w:val="center"/>
          </w:tcPr>
          <w:p w14:paraId="67C223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可持续影响 指标</w:t>
            </w:r>
          </w:p>
        </w:tc>
        <w:tc>
          <w:tcPr>
            <w:tcW w:w="1492" w:type="dxa"/>
            <w:shd w:val="clear" w:color="auto" w:fill="auto"/>
            <w:vAlign w:val="center"/>
          </w:tcPr>
          <w:p w14:paraId="74FD34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食品药品监管水平能力提升</w:t>
            </w:r>
          </w:p>
        </w:tc>
        <w:tc>
          <w:tcPr>
            <w:tcW w:w="1224" w:type="dxa"/>
            <w:shd w:val="clear" w:color="auto" w:fill="auto"/>
            <w:vAlign w:val="center"/>
          </w:tcPr>
          <w:p w14:paraId="761DD3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长期</w:t>
            </w:r>
          </w:p>
        </w:tc>
        <w:tc>
          <w:tcPr>
            <w:tcW w:w="2611" w:type="dxa"/>
            <w:shd w:val="clear" w:color="auto" w:fill="auto"/>
            <w:vAlign w:val="center"/>
          </w:tcPr>
          <w:p w14:paraId="4A360B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长期</w:t>
            </w:r>
          </w:p>
        </w:tc>
      </w:tr>
      <w:tr w14:paraId="319F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77" w:type="dxa"/>
            <w:vMerge w:val="continue"/>
            <w:shd w:val="clear" w:color="auto" w:fill="auto"/>
            <w:vAlign w:val="center"/>
          </w:tcPr>
          <w:p w14:paraId="31016F2F">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color w:val="auto"/>
                <w:sz w:val="24"/>
                <w:szCs w:val="24"/>
                <w:u w:val="none"/>
              </w:rPr>
            </w:pPr>
          </w:p>
        </w:tc>
        <w:tc>
          <w:tcPr>
            <w:tcW w:w="963" w:type="dxa"/>
            <w:shd w:val="clear" w:color="auto" w:fill="auto"/>
            <w:vAlign w:val="center"/>
          </w:tcPr>
          <w:p w14:paraId="2A144E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满意</w:t>
            </w:r>
          </w:p>
          <w:p w14:paraId="0E8E9B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度指标</w:t>
            </w:r>
          </w:p>
        </w:tc>
        <w:tc>
          <w:tcPr>
            <w:tcW w:w="1511" w:type="dxa"/>
            <w:shd w:val="clear" w:color="auto" w:fill="auto"/>
            <w:vAlign w:val="center"/>
          </w:tcPr>
          <w:p w14:paraId="5DFD44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满意度</w:t>
            </w:r>
          </w:p>
          <w:p w14:paraId="72D237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指标</w:t>
            </w:r>
          </w:p>
        </w:tc>
        <w:tc>
          <w:tcPr>
            <w:tcW w:w="1492" w:type="dxa"/>
            <w:shd w:val="clear" w:color="auto" w:fill="auto"/>
            <w:vAlign w:val="center"/>
          </w:tcPr>
          <w:p w14:paraId="5B3B28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群众满意度</w:t>
            </w:r>
          </w:p>
        </w:tc>
        <w:tc>
          <w:tcPr>
            <w:tcW w:w="1224" w:type="dxa"/>
            <w:shd w:val="clear" w:color="auto" w:fill="auto"/>
            <w:vAlign w:val="center"/>
          </w:tcPr>
          <w:p w14:paraId="4BC463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≥95%</w:t>
            </w:r>
          </w:p>
        </w:tc>
        <w:tc>
          <w:tcPr>
            <w:tcW w:w="2611" w:type="dxa"/>
            <w:shd w:val="clear" w:color="auto" w:fill="auto"/>
            <w:vAlign w:val="center"/>
          </w:tcPr>
          <w:p w14:paraId="099254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sz w:val="24"/>
                <w:szCs w:val="24"/>
                <w:u w:val="none"/>
              </w:rPr>
              <w:t>≥95%</w:t>
            </w:r>
          </w:p>
        </w:tc>
      </w:tr>
    </w:tbl>
    <w:p w14:paraId="3832E40F">
      <w:pPr>
        <w:rPr>
          <w:rFonts w:hint="default" w:ascii="Times New Roman" w:hAnsi="Times New Roman" w:eastAsia="黑体" w:cs="Times New Roman"/>
          <w:color w:val="auto"/>
          <w:sz w:val="44"/>
          <w:szCs w:val="44"/>
          <w:highlight w:val="none"/>
        </w:rPr>
      </w:pPr>
      <w:r>
        <w:rPr>
          <w:rFonts w:hint="default" w:ascii="Times New Roman" w:hAnsi="Times New Roman" w:eastAsia="仿宋_GB2312" w:cs="Times New Roman"/>
          <w:color w:val="auto"/>
          <w:sz w:val="24"/>
          <w:szCs w:val="24"/>
          <w:highlight w:val="none"/>
        </w:rPr>
        <w:br w:type="page"/>
      </w:r>
    </w:p>
    <w:p w14:paraId="2B4ACDA8">
      <w:pPr>
        <w:spacing w:line="600" w:lineRule="exact"/>
        <w:jc w:val="center"/>
        <w:outlineLvl w:val="0"/>
        <w:rPr>
          <w:rStyle w:val="23"/>
          <w:rFonts w:hint="eastAsia" w:ascii="方正小标宋简体" w:hAnsi="方正小标宋简体" w:eastAsia="方正小标宋简体" w:cs="方正小标宋简体"/>
          <w:b w:val="0"/>
          <w:color w:val="auto"/>
          <w:highlight w:val="none"/>
        </w:rPr>
      </w:pPr>
      <w:bookmarkStart w:id="81" w:name="_Toc14009"/>
      <w:r>
        <w:rPr>
          <w:rFonts w:hint="eastAsia" w:ascii="方正小标宋简体" w:hAnsi="方正小标宋简体" w:eastAsia="方正小标宋简体" w:cs="方正小标宋简体"/>
          <w:color w:val="auto"/>
          <w:sz w:val="44"/>
          <w:szCs w:val="44"/>
          <w:highlight w:val="none"/>
        </w:rPr>
        <w:t>第</w:t>
      </w:r>
      <w:r>
        <w:rPr>
          <w:rStyle w:val="23"/>
          <w:rFonts w:hint="eastAsia" w:ascii="方正小标宋简体" w:hAnsi="方正小标宋简体" w:eastAsia="方正小标宋简体" w:cs="方正小标宋简体"/>
          <w:b w:val="0"/>
          <w:color w:val="auto"/>
          <w:highlight w:val="none"/>
        </w:rPr>
        <w:t>五部分 附表</w:t>
      </w:r>
      <w:bookmarkEnd w:id="76"/>
      <w:bookmarkEnd w:id="79"/>
      <w:bookmarkEnd w:id="81"/>
      <w:bookmarkStart w:id="82" w:name="_Toc15396619"/>
    </w:p>
    <w:p w14:paraId="0811CEF7">
      <w:pPr>
        <w:pStyle w:val="17"/>
        <w:rPr>
          <w:rFonts w:hint="default"/>
        </w:rPr>
      </w:pPr>
    </w:p>
    <w:p w14:paraId="7105BAF6">
      <w:pPr>
        <w:spacing w:line="576" w:lineRule="exact"/>
        <w:ind w:firstLine="640" w:firstLineChars="200"/>
        <w:jc w:val="both"/>
        <w:outlineLvl w:val="0"/>
        <w:rPr>
          <w:rFonts w:hint="default" w:ascii="Times New Roman" w:hAnsi="Times New Roman" w:eastAsia="仿宋_GB2312" w:cs="Times New Roman"/>
          <w:b w:val="0"/>
          <w:bCs/>
          <w:color w:val="auto"/>
          <w:kern w:val="2"/>
          <w:sz w:val="32"/>
          <w:szCs w:val="32"/>
          <w:highlight w:val="none"/>
          <w:lang w:val="en-US" w:eastAsia="zh-CN" w:bidi="ar-SA"/>
        </w:rPr>
      </w:pPr>
      <w:bookmarkStart w:id="83" w:name="_Toc12354"/>
      <w:r>
        <w:rPr>
          <w:rFonts w:hint="default" w:ascii="Times New Roman" w:hAnsi="Times New Roman" w:eastAsia="仿宋_GB2312" w:cs="Times New Roman"/>
          <w:b w:val="0"/>
          <w:bCs/>
          <w:color w:val="auto"/>
          <w:kern w:val="2"/>
          <w:sz w:val="32"/>
          <w:szCs w:val="32"/>
          <w:highlight w:val="none"/>
          <w:lang w:val="en-US" w:eastAsia="zh-CN" w:bidi="ar-SA"/>
        </w:rPr>
        <w:t>一、收入支出决算总表</w:t>
      </w:r>
      <w:bookmarkEnd w:id="82"/>
      <w:bookmarkEnd w:id="83"/>
    </w:p>
    <w:p w14:paraId="4B5D8566">
      <w:pPr>
        <w:pStyle w:val="4"/>
        <w:spacing w:line="576" w:lineRule="exact"/>
        <w:ind w:firstLine="640" w:firstLineChars="200"/>
        <w:rPr>
          <w:rFonts w:hint="default" w:ascii="Times New Roman" w:hAnsi="Times New Roman" w:eastAsia="仿宋_GB2312" w:cs="Times New Roman"/>
          <w:b w:val="0"/>
          <w:color w:val="auto"/>
          <w:highlight w:val="none"/>
        </w:rPr>
      </w:pPr>
      <w:bookmarkStart w:id="84" w:name="_Toc7852"/>
      <w:bookmarkStart w:id="85" w:name="_Toc15396620"/>
      <w:r>
        <w:rPr>
          <w:rFonts w:hint="default" w:ascii="Times New Roman" w:hAnsi="Times New Roman" w:eastAsia="仿宋_GB2312" w:cs="Times New Roman"/>
          <w:b w:val="0"/>
          <w:color w:val="auto"/>
          <w:highlight w:val="none"/>
        </w:rPr>
        <w:t>二、收入决算表</w:t>
      </w:r>
      <w:bookmarkEnd w:id="84"/>
      <w:bookmarkEnd w:id="85"/>
    </w:p>
    <w:p w14:paraId="719DB5AF">
      <w:pPr>
        <w:pStyle w:val="4"/>
        <w:spacing w:line="576" w:lineRule="exact"/>
        <w:ind w:firstLine="640" w:firstLineChars="200"/>
        <w:rPr>
          <w:rFonts w:hint="default" w:ascii="Times New Roman" w:hAnsi="Times New Roman" w:eastAsia="仿宋_GB2312" w:cs="Times New Roman"/>
          <w:b w:val="0"/>
          <w:color w:val="auto"/>
          <w:highlight w:val="none"/>
        </w:rPr>
      </w:pPr>
      <w:bookmarkStart w:id="86" w:name="_Toc13772"/>
      <w:bookmarkStart w:id="87" w:name="_Toc15396621"/>
      <w:r>
        <w:rPr>
          <w:rFonts w:hint="default" w:ascii="Times New Roman" w:hAnsi="Times New Roman" w:eastAsia="仿宋_GB2312" w:cs="Times New Roman"/>
          <w:b w:val="0"/>
          <w:color w:val="auto"/>
          <w:highlight w:val="none"/>
        </w:rPr>
        <w:t>三、支出决算表</w:t>
      </w:r>
      <w:bookmarkEnd w:id="86"/>
      <w:bookmarkEnd w:id="87"/>
    </w:p>
    <w:p w14:paraId="634D57E5">
      <w:pPr>
        <w:pStyle w:val="4"/>
        <w:spacing w:line="576" w:lineRule="exact"/>
        <w:ind w:firstLine="640" w:firstLineChars="200"/>
        <w:rPr>
          <w:rFonts w:hint="default" w:ascii="Times New Roman" w:hAnsi="Times New Roman" w:eastAsia="仿宋_GB2312" w:cs="Times New Roman"/>
          <w:b w:val="0"/>
          <w:color w:val="auto"/>
          <w:highlight w:val="none"/>
        </w:rPr>
      </w:pPr>
      <w:bookmarkStart w:id="88" w:name="_Toc15396622"/>
      <w:bookmarkStart w:id="89" w:name="_Toc12034"/>
      <w:r>
        <w:rPr>
          <w:rFonts w:hint="default" w:ascii="Times New Roman" w:hAnsi="Times New Roman" w:eastAsia="仿宋_GB2312" w:cs="Times New Roman"/>
          <w:b w:val="0"/>
          <w:color w:val="auto"/>
          <w:highlight w:val="none"/>
        </w:rPr>
        <w:t>四、财政拨款收入支出决算总表</w:t>
      </w:r>
      <w:bookmarkEnd w:id="88"/>
      <w:bookmarkEnd w:id="89"/>
    </w:p>
    <w:p w14:paraId="020BF3F6">
      <w:pPr>
        <w:pStyle w:val="4"/>
        <w:spacing w:line="576" w:lineRule="exact"/>
        <w:ind w:firstLine="640" w:firstLineChars="200"/>
        <w:rPr>
          <w:rFonts w:hint="default" w:ascii="Times New Roman" w:hAnsi="Times New Roman" w:eastAsia="仿宋_GB2312" w:cs="Times New Roman"/>
          <w:b w:val="0"/>
          <w:color w:val="auto"/>
          <w:highlight w:val="none"/>
        </w:rPr>
      </w:pPr>
      <w:bookmarkStart w:id="90" w:name="_Toc5772"/>
      <w:bookmarkStart w:id="91" w:name="_Toc15396623"/>
      <w:r>
        <w:rPr>
          <w:rFonts w:hint="default" w:ascii="Times New Roman" w:hAnsi="Times New Roman" w:eastAsia="仿宋_GB2312" w:cs="Times New Roman"/>
          <w:b w:val="0"/>
          <w:color w:val="auto"/>
          <w:highlight w:val="none"/>
        </w:rPr>
        <w:t>五、财政拨款支出决算明细表</w:t>
      </w:r>
      <w:bookmarkEnd w:id="90"/>
      <w:bookmarkEnd w:id="91"/>
      <w:bookmarkStart w:id="92" w:name="_Toc15396624"/>
    </w:p>
    <w:p w14:paraId="38D5E273">
      <w:pPr>
        <w:pStyle w:val="4"/>
        <w:spacing w:line="576" w:lineRule="exact"/>
        <w:ind w:firstLine="640" w:firstLineChars="200"/>
        <w:rPr>
          <w:rFonts w:hint="default" w:ascii="Times New Roman" w:hAnsi="Times New Roman" w:eastAsia="仿宋_GB2312" w:cs="Times New Roman"/>
          <w:b w:val="0"/>
          <w:color w:val="auto"/>
          <w:highlight w:val="none"/>
        </w:rPr>
      </w:pPr>
      <w:bookmarkStart w:id="93" w:name="_Toc31134"/>
      <w:r>
        <w:rPr>
          <w:rFonts w:hint="default" w:ascii="Times New Roman" w:hAnsi="Times New Roman" w:eastAsia="仿宋_GB2312" w:cs="Times New Roman"/>
          <w:b w:val="0"/>
          <w:color w:val="auto"/>
          <w:highlight w:val="none"/>
        </w:rPr>
        <w:t>六、一般公共预算财政拨款支出决算表</w:t>
      </w:r>
      <w:bookmarkEnd w:id="92"/>
      <w:bookmarkEnd w:id="93"/>
    </w:p>
    <w:p w14:paraId="6F970B1F">
      <w:pPr>
        <w:pStyle w:val="4"/>
        <w:spacing w:line="576" w:lineRule="exact"/>
        <w:ind w:firstLine="640" w:firstLineChars="200"/>
        <w:rPr>
          <w:rFonts w:hint="default" w:ascii="Times New Roman" w:hAnsi="Times New Roman" w:eastAsia="仿宋_GB2312" w:cs="Times New Roman"/>
          <w:b w:val="0"/>
          <w:color w:val="auto"/>
          <w:highlight w:val="none"/>
        </w:rPr>
      </w:pPr>
      <w:bookmarkStart w:id="94" w:name="_Toc2507"/>
      <w:bookmarkStart w:id="95" w:name="_Toc15396625"/>
      <w:r>
        <w:rPr>
          <w:rFonts w:hint="default" w:ascii="Times New Roman" w:hAnsi="Times New Roman" w:eastAsia="仿宋_GB2312" w:cs="Times New Roman"/>
          <w:b w:val="0"/>
          <w:color w:val="auto"/>
          <w:highlight w:val="none"/>
        </w:rPr>
        <w:t>七、一般公共预算财政拨款支出决算明细表</w:t>
      </w:r>
      <w:bookmarkEnd w:id="94"/>
      <w:bookmarkEnd w:id="95"/>
    </w:p>
    <w:p w14:paraId="2CCC4989">
      <w:pPr>
        <w:pStyle w:val="4"/>
        <w:spacing w:line="576" w:lineRule="exact"/>
        <w:ind w:firstLine="640" w:firstLineChars="200"/>
        <w:rPr>
          <w:rFonts w:hint="default" w:ascii="Times New Roman" w:hAnsi="Times New Roman" w:eastAsia="仿宋_GB2312" w:cs="Times New Roman"/>
          <w:b w:val="0"/>
          <w:color w:val="auto"/>
          <w:highlight w:val="none"/>
        </w:rPr>
      </w:pPr>
      <w:bookmarkStart w:id="96" w:name="_Toc22987"/>
      <w:bookmarkStart w:id="97" w:name="_Toc15396626"/>
      <w:r>
        <w:rPr>
          <w:rFonts w:hint="default" w:ascii="Times New Roman" w:hAnsi="Times New Roman" w:eastAsia="仿宋_GB2312" w:cs="Times New Roman"/>
          <w:b w:val="0"/>
          <w:color w:val="auto"/>
          <w:highlight w:val="none"/>
        </w:rPr>
        <w:t>八、一般公共预算财政拨款基本支出决算表</w:t>
      </w:r>
      <w:bookmarkEnd w:id="96"/>
      <w:bookmarkEnd w:id="97"/>
    </w:p>
    <w:p w14:paraId="25DD40B7">
      <w:pPr>
        <w:pStyle w:val="4"/>
        <w:spacing w:line="576" w:lineRule="exact"/>
        <w:ind w:firstLine="640" w:firstLineChars="200"/>
        <w:rPr>
          <w:rFonts w:hint="default" w:ascii="Times New Roman" w:hAnsi="Times New Roman" w:eastAsia="仿宋_GB2312" w:cs="Times New Roman"/>
          <w:b w:val="0"/>
          <w:color w:val="auto"/>
          <w:highlight w:val="none"/>
        </w:rPr>
      </w:pPr>
      <w:bookmarkStart w:id="98" w:name="_Toc15396627"/>
      <w:bookmarkStart w:id="99" w:name="_Toc8745"/>
      <w:r>
        <w:rPr>
          <w:rFonts w:hint="default" w:ascii="Times New Roman" w:hAnsi="Times New Roman" w:eastAsia="仿宋_GB2312" w:cs="Times New Roman"/>
          <w:b w:val="0"/>
          <w:color w:val="auto"/>
          <w:highlight w:val="none"/>
        </w:rPr>
        <w:t>九、一般公共预算财政拨款项目支出决算表</w:t>
      </w:r>
      <w:bookmarkEnd w:id="98"/>
      <w:bookmarkEnd w:id="99"/>
    </w:p>
    <w:p w14:paraId="6BE1800B">
      <w:pPr>
        <w:pStyle w:val="4"/>
        <w:spacing w:line="576" w:lineRule="exact"/>
        <w:ind w:firstLine="640" w:firstLineChars="200"/>
        <w:rPr>
          <w:rFonts w:hint="default" w:ascii="Times New Roman" w:hAnsi="Times New Roman" w:eastAsia="仿宋_GB2312" w:cs="Times New Roman"/>
          <w:b w:val="0"/>
          <w:color w:val="auto"/>
          <w:highlight w:val="none"/>
        </w:rPr>
      </w:pPr>
      <w:bookmarkStart w:id="100" w:name="_Toc12833"/>
      <w:bookmarkStart w:id="101" w:name="_Toc15396628"/>
      <w:r>
        <w:rPr>
          <w:rFonts w:hint="default" w:ascii="Times New Roman" w:hAnsi="Times New Roman" w:eastAsia="仿宋_GB2312" w:cs="Times New Roman"/>
          <w:b w:val="0"/>
          <w:color w:val="auto"/>
          <w:highlight w:val="none"/>
        </w:rPr>
        <w:t>十、一般公共预算财政拨款“三公”经费支出决算表</w:t>
      </w:r>
      <w:bookmarkEnd w:id="100"/>
      <w:bookmarkEnd w:id="101"/>
    </w:p>
    <w:p w14:paraId="526E00E2">
      <w:pPr>
        <w:pStyle w:val="4"/>
        <w:spacing w:line="576" w:lineRule="exact"/>
        <w:ind w:firstLine="640" w:firstLineChars="200"/>
        <w:rPr>
          <w:rFonts w:hint="default" w:ascii="Times New Roman" w:hAnsi="Times New Roman" w:eastAsia="仿宋_GB2312" w:cs="Times New Roman"/>
          <w:b w:val="0"/>
          <w:color w:val="auto"/>
          <w:highlight w:val="none"/>
        </w:rPr>
      </w:pPr>
      <w:bookmarkStart w:id="102" w:name="_Toc20591"/>
      <w:bookmarkStart w:id="103" w:name="_Toc15396629"/>
      <w:r>
        <w:rPr>
          <w:rFonts w:hint="default" w:ascii="Times New Roman" w:hAnsi="Times New Roman" w:eastAsia="仿宋_GB2312" w:cs="Times New Roman"/>
          <w:b w:val="0"/>
          <w:color w:val="auto"/>
          <w:highlight w:val="none"/>
        </w:rPr>
        <w:t>十一、政府性基金预算财政拨款收入支出决算表</w:t>
      </w:r>
      <w:bookmarkEnd w:id="102"/>
      <w:bookmarkEnd w:id="103"/>
    </w:p>
    <w:p w14:paraId="3B20957E">
      <w:pPr>
        <w:pStyle w:val="4"/>
        <w:spacing w:line="576" w:lineRule="exact"/>
        <w:ind w:firstLine="640" w:firstLineChars="200"/>
        <w:rPr>
          <w:rFonts w:hint="default" w:ascii="Times New Roman" w:hAnsi="Times New Roman" w:eastAsia="仿宋_GB2312" w:cs="Times New Roman"/>
          <w:b w:val="0"/>
          <w:color w:val="auto"/>
          <w:highlight w:val="none"/>
        </w:rPr>
      </w:pPr>
      <w:bookmarkStart w:id="104" w:name="_Toc15396630"/>
      <w:bookmarkStart w:id="105" w:name="_Toc11926"/>
      <w:r>
        <w:rPr>
          <w:rFonts w:hint="default" w:ascii="Times New Roman" w:hAnsi="Times New Roman" w:eastAsia="仿宋_GB2312" w:cs="Times New Roman"/>
          <w:b w:val="0"/>
          <w:color w:val="auto"/>
          <w:highlight w:val="none"/>
        </w:rPr>
        <w:t>十二、政府性基金预算财政拨款“三公”经费支出决算表</w:t>
      </w:r>
      <w:bookmarkEnd w:id="104"/>
      <w:bookmarkEnd w:id="105"/>
    </w:p>
    <w:p w14:paraId="2CE4A688">
      <w:pPr>
        <w:pStyle w:val="4"/>
        <w:spacing w:line="576" w:lineRule="exact"/>
        <w:ind w:firstLine="640" w:firstLineChars="200"/>
        <w:rPr>
          <w:rFonts w:hint="default" w:ascii="Times New Roman" w:hAnsi="Times New Roman" w:eastAsia="仿宋_GB2312" w:cs="Times New Roman"/>
          <w:b w:val="0"/>
          <w:color w:val="auto"/>
          <w:highlight w:val="none"/>
        </w:rPr>
      </w:pPr>
      <w:bookmarkStart w:id="106" w:name="_Toc15838"/>
      <w:bookmarkStart w:id="107" w:name="_Toc15396631"/>
      <w:r>
        <w:rPr>
          <w:rFonts w:hint="default" w:ascii="Times New Roman" w:hAnsi="Times New Roman" w:eastAsia="仿宋_GB2312" w:cs="Times New Roman"/>
          <w:b w:val="0"/>
          <w:color w:val="auto"/>
          <w:highlight w:val="none"/>
        </w:rPr>
        <w:t>十三、国有资本经营预算</w:t>
      </w:r>
      <w:r>
        <w:rPr>
          <w:rFonts w:hint="default" w:ascii="Times New Roman" w:hAnsi="Times New Roman" w:eastAsia="仿宋_GB2312" w:cs="Times New Roman"/>
          <w:b w:val="0"/>
          <w:color w:val="auto"/>
          <w:highlight w:val="none"/>
          <w:lang w:eastAsia="zh-CN"/>
        </w:rPr>
        <w:t>财政拨款收入</w:t>
      </w:r>
      <w:r>
        <w:rPr>
          <w:rFonts w:hint="default" w:ascii="Times New Roman" w:hAnsi="Times New Roman" w:eastAsia="仿宋_GB2312" w:cs="Times New Roman"/>
          <w:b w:val="0"/>
          <w:color w:val="auto"/>
          <w:highlight w:val="none"/>
        </w:rPr>
        <w:t>支出决算表</w:t>
      </w:r>
      <w:bookmarkEnd w:id="106"/>
      <w:bookmarkEnd w:id="107"/>
    </w:p>
    <w:p w14:paraId="449BDB3B">
      <w:pPr>
        <w:pStyle w:val="4"/>
        <w:spacing w:line="576" w:lineRule="exact"/>
        <w:ind w:firstLine="640" w:firstLineChars="200"/>
        <w:rPr>
          <w:rFonts w:hint="default" w:ascii="Times New Roman" w:hAnsi="Times New Roman" w:eastAsia="仿宋_GB2312" w:cs="Times New Roman"/>
          <w:b w:val="0"/>
          <w:color w:val="auto"/>
          <w:highlight w:val="none"/>
          <w:lang w:eastAsia="zh-CN"/>
        </w:rPr>
      </w:pPr>
      <w:bookmarkStart w:id="108" w:name="_Toc21498"/>
      <w:r>
        <w:rPr>
          <w:rFonts w:hint="default" w:ascii="Times New Roman" w:hAnsi="Times New Roman" w:eastAsia="仿宋_GB2312" w:cs="Times New Roman"/>
          <w:b w:val="0"/>
          <w:color w:val="auto"/>
          <w:highlight w:val="none"/>
          <w:lang w:eastAsia="zh-CN"/>
        </w:rPr>
        <w:t>十四、国有资本经营预算财政拨款支出决算表</w:t>
      </w:r>
      <w:bookmarkEnd w:id="108"/>
    </w:p>
    <w:sectPr>
      <w:footerReference r:id="rId5" w:type="default"/>
      <w:pgSz w:w="11906" w:h="16838"/>
      <w:pgMar w:top="2098" w:right="1474" w:bottom="1984" w:left="1587" w:header="851" w:footer="1559"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09E8D2-1B63-459D-8D8F-3B6C0EF9D57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2" w:fontKey="{0CE24D4D-EC88-4761-89BE-AA9053A31901}"/>
  </w:font>
  <w:font w:name="仿宋_GB2312">
    <w:panose1 w:val="02010609030101010101"/>
    <w:charset w:val="86"/>
    <w:family w:val="modern"/>
    <w:pitch w:val="default"/>
    <w:sig w:usb0="00000001" w:usb1="080E0000" w:usb2="00000000" w:usb3="00000000" w:csb0="00040000" w:csb1="00000000"/>
    <w:embedRegular r:id="rId3" w:fontKey="{F78629B3-1971-496B-81C7-383412AB19F8}"/>
  </w:font>
  <w:font w:name="方正小标宋简体">
    <w:panose1 w:val="02000000000000000000"/>
    <w:charset w:val="86"/>
    <w:family w:val="auto"/>
    <w:pitch w:val="default"/>
    <w:sig w:usb0="00000001" w:usb1="08000000" w:usb2="00000000" w:usb3="00000000" w:csb0="00040000" w:csb1="00000000"/>
    <w:embedRegular r:id="rId4" w:fontKey="{82F7BC94-85C6-4112-BAFF-44461FDFFD71}"/>
  </w:font>
  <w:font w:name="方正舒体">
    <w:panose1 w:val="02010601030101010101"/>
    <w:charset w:val="86"/>
    <w:family w:val="auto"/>
    <w:pitch w:val="default"/>
    <w:sig w:usb0="00000003" w:usb1="080E0000" w:usb2="00000000" w:usb3="00000000" w:csb0="00040000" w:csb1="00000000"/>
    <w:embedRegular r:id="rId5" w:fontKey="{79D1D632-74B2-4CCC-9A66-48B3DCD4E705}"/>
  </w:font>
  <w:font w:name="楷体_GB2312">
    <w:panose1 w:val="02010609030101010101"/>
    <w:charset w:val="86"/>
    <w:family w:val="modern"/>
    <w:pitch w:val="default"/>
    <w:sig w:usb0="00000001" w:usb1="080E0000" w:usb2="00000000" w:usb3="00000000" w:csb0="00040000" w:csb1="00000000"/>
    <w:embedRegular r:id="rId6" w:fontKey="{04F82951-082E-4F95-B929-FFE3A3A387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5A7E0">
    <w:pPr>
      <w:pStyle w:val="12"/>
      <w:ind w:firstLine="280" w:firstLineChars="100"/>
    </w:pPr>
    <w:r>
      <w:rPr>
        <w:rStyle w:val="21"/>
        <w:rFonts w:hint="eastAsia" w:ascii="宋体" w:hAnsi="宋体"/>
        <w:sz w:val="28"/>
        <w:szCs w:val="28"/>
      </w:rPr>
      <w:t xml:space="preserve">— </w:t>
    </w:r>
    <w:r>
      <w:rPr>
        <w:rFonts w:ascii="宋体" w:hAnsi="宋体"/>
        <w:sz w:val="28"/>
        <w:szCs w:val="28"/>
      </w:rPr>
      <w:fldChar w:fldCharType="begin"/>
    </w:r>
    <w:r>
      <w:rPr>
        <w:rStyle w:val="21"/>
        <w:rFonts w:ascii="宋体" w:hAnsi="宋体"/>
        <w:sz w:val="28"/>
        <w:szCs w:val="28"/>
      </w:rPr>
      <w:instrText xml:space="preserve">PAGE  </w:instrText>
    </w:r>
    <w:r>
      <w:rPr>
        <w:rFonts w:ascii="宋体" w:hAnsi="宋体"/>
        <w:sz w:val="28"/>
        <w:szCs w:val="28"/>
      </w:rPr>
      <w:fldChar w:fldCharType="separate"/>
    </w:r>
    <w:r>
      <w:rPr>
        <w:rStyle w:val="21"/>
        <w:rFonts w:ascii="宋体" w:hAnsi="宋体"/>
        <w:sz w:val="28"/>
        <w:szCs w:val="28"/>
      </w:rPr>
      <w:t>2</w:t>
    </w:r>
    <w:r>
      <w:rPr>
        <w:rFonts w:ascii="宋体" w:hAnsi="宋体"/>
        <w:sz w:val="28"/>
        <w:szCs w:val="28"/>
      </w:rPr>
      <w:fldChar w:fldCharType="end"/>
    </w:r>
    <w:r>
      <w:rPr>
        <w:rStyle w:val="21"/>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DA6F9">
    <w:pPr>
      <w:pStyle w:val="12"/>
      <w:ind w:right="225" w:rightChars="107" w:firstLine="280" w:firstLineChars="100"/>
      <w:jc w:val="right"/>
      <w:rPr>
        <w:sz w:val="28"/>
        <w:szCs w:val="28"/>
      </w:rPr>
    </w:pPr>
    <w:r>
      <w:rPr>
        <w:rStyle w:val="21"/>
        <w:rFonts w:hint="eastAsia" w:ascii="宋体" w:hAnsi="宋体"/>
        <w:sz w:val="28"/>
        <w:szCs w:val="28"/>
      </w:rPr>
      <w:t xml:space="preserve">— </w:t>
    </w:r>
    <w:r>
      <w:rPr>
        <w:rFonts w:ascii="宋体" w:hAnsi="宋体"/>
        <w:sz w:val="28"/>
        <w:szCs w:val="28"/>
      </w:rPr>
      <w:fldChar w:fldCharType="begin"/>
    </w:r>
    <w:r>
      <w:rPr>
        <w:rStyle w:val="21"/>
        <w:rFonts w:ascii="宋体" w:hAnsi="宋体"/>
        <w:sz w:val="28"/>
        <w:szCs w:val="28"/>
      </w:rPr>
      <w:instrText xml:space="preserve">PAGE  </w:instrText>
    </w:r>
    <w:r>
      <w:rPr>
        <w:rFonts w:ascii="宋体" w:hAnsi="宋体"/>
        <w:sz w:val="28"/>
        <w:szCs w:val="28"/>
      </w:rPr>
      <w:fldChar w:fldCharType="separate"/>
    </w:r>
    <w:r>
      <w:rPr>
        <w:rStyle w:val="21"/>
        <w:rFonts w:ascii="宋体" w:hAnsi="宋体"/>
        <w:sz w:val="28"/>
        <w:szCs w:val="28"/>
      </w:rPr>
      <w:t>2</w:t>
    </w:r>
    <w:r>
      <w:rPr>
        <w:rFonts w:ascii="宋体" w:hAnsi="宋体"/>
        <w:sz w:val="28"/>
        <w:szCs w:val="28"/>
      </w:rPr>
      <w:fldChar w:fldCharType="end"/>
    </w:r>
    <w:r>
      <w:rPr>
        <w:rStyle w:val="21"/>
        <w:rFonts w:hint="eastAsia" w:ascii="宋体" w:hAnsi="宋体"/>
        <w:sz w:val="28"/>
        <w:szCs w:val="28"/>
      </w:rPr>
      <w:t xml:space="preserve"> —</w:t>
    </w:r>
    <w:sdt>
      <w:sdtPr>
        <w:rPr>
          <w:rFonts w:ascii="Times New Roman" w:hAnsi="Times New Roman" w:cs="Times New Roman"/>
        </w:rPr>
        <w:id w:val="-1994781956"/>
      </w:sdtPr>
      <w:sdtEndPr>
        <w:rPr>
          <w:rFonts w:ascii="Times New Roman" w:hAnsi="Times New Roman" w:cs="Times New Roman"/>
          <w:sz w:val="28"/>
          <w:szCs w:val="28"/>
        </w:rPr>
      </w:sdtEndPr>
      <w:sdtContent>
        <w:r>
          <w:rPr>
            <w:rFonts w:hint="eastAsia" w:ascii="Times New Roman" w:hAnsi="Times New Roman" w:cs="Times New Roman"/>
            <w:lang w:val="en-US" w:eastAsia="zh-CN"/>
          </w:rPr>
          <w:t xml:space="preserve">  </w:t>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AC233">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55DC7"/>
    <w:rsid w:val="0A2032A3"/>
    <w:rsid w:val="0B8A37D8"/>
    <w:rsid w:val="0F366F63"/>
    <w:rsid w:val="10C055FF"/>
    <w:rsid w:val="117569DD"/>
    <w:rsid w:val="118107EC"/>
    <w:rsid w:val="11DD6519"/>
    <w:rsid w:val="12A522BE"/>
    <w:rsid w:val="15543EE9"/>
    <w:rsid w:val="16BB723D"/>
    <w:rsid w:val="18015F3F"/>
    <w:rsid w:val="18E46CAA"/>
    <w:rsid w:val="198949C4"/>
    <w:rsid w:val="1BE8440E"/>
    <w:rsid w:val="1C9E65E5"/>
    <w:rsid w:val="1CB3762C"/>
    <w:rsid w:val="1D155CEE"/>
    <w:rsid w:val="1E780AAB"/>
    <w:rsid w:val="1F0423C1"/>
    <w:rsid w:val="20F57F95"/>
    <w:rsid w:val="234C6907"/>
    <w:rsid w:val="240371BF"/>
    <w:rsid w:val="25310628"/>
    <w:rsid w:val="25C741E6"/>
    <w:rsid w:val="27842671"/>
    <w:rsid w:val="29280136"/>
    <w:rsid w:val="29FD04D3"/>
    <w:rsid w:val="2A803D5E"/>
    <w:rsid w:val="2ABE7A3E"/>
    <w:rsid w:val="2AC670C5"/>
    <w:rsid w:val="2E0B0704"/>
    <w:rsid w:val="2E890145"/>
    <w:rsid w:val="2EFA178C"/>
    <w:rsid w:val="2F246A7E"/>
    <w:rsid w:val="30B46D73"/>
    <w:rsid w:val="315304DD"/>
    <w:rsid w:val="319F7F4E"/>
    <w:rsid w:val="38A5540A"/>
    <w:rsid w:val="39AE70AB"/>
    <w:rsid w:val="3C0C0783"/>
    <w:rsid w:val="3D565C1B"/>
    <w:rsid w:val="3DB629FF"/>
    <w:rsid w:val="3E8D5125"/>
    <w:rsid w:val="3EF65D35"/>
    <w:rsid w:val="3F795B0E"/>
    <w:rsid w:val="3F9F3A96"/>
    <w:rsid w:val="41E2636B"/>
    <w:rsid w:val="428D226A"/>
    <w:rsid w:val="43345C75"/>
    <w:rsid w:val="43C9212D"/>
    <w:rsid w:val="46E32B88"/>
    <w:rsid w:val="476E221E"/>
    <w:rsid w:val="49100D80"/>
    <w:rsid w:val="493C27E9"/>
    <w:rsid w:val="496F39ED"/>
    <w:rsid w:val="49FF41D3"/>
    <w:rsid w:val="4A185DC8"/>
    <w:rsid w:val="4B865D88"/>
    <w:rsid w:val="4BE068DB"/>
    <w:rsid w:val="4BF6002B"/>
    <w:rsid w:val="4CCF268D"/>
    <w:rsid w:val="4D14242C"/>
    <w:rsid w:val="4ECE2238"/>
    <w:rsid w:val="4FD67B4D"/>
    <w:rsid w:val="51DB4B86"/>
    <w:rsid w:val="55333C3E"/>
    <w:rsid w:val="57D74B50"/>
    <w:rsid w:val="581A7B88"/>
    <w:rsid w:val="5AF9413F"/>
    <w:rsid w:val="5B0B2DB1"/>
    <w:rsid w:val="60117ACB"/>
    <w:rsid w:val="6056206C"/>
    <w:rsid w:val="60654A7A"/>
    <w:rsid w:val="6338365B"/>
    <w:rsid w:val="63763D3C"/>
    <w:rsid w:val="645C7186"/>
    <w:rsid w:val="64707860"/>
    <w:rsid w:val="64931D9D"/>
    <w:rsid w:val="64BE32C5"/>
    <w:rsid w:val="64CA39A1"/>
    <w:rsid w:val="68D403CA"/>
    <w:rsid w:val="69114723"/>
    <w:rsid w:val="6C4A05C8"/>
    <w:rsid w:val="6DCA3B30"/>
    <w:rsid w:val="703161B2"/>
    <w:rsid w:val="71A62431"/>
    <w:rsid w:val="72536086"/>
    <w:rsid w:val="72734D90"/>
    <w:rsid w:val="74262989"/>
    <w:rsid w:val="74E366CA"/>
    <w:rsid w:val="75A41F2E"/>
    <w:rsid w:val="776F4D5C"/>
    <w:rsid w:val="78B8009D"/>
    <w:rsid w:val="79E7B28D"/>
    <w:rsid w:val="7A98664D"/>
    <w:rsid w:val="7B14272F"/>
    <w:rsid w:val="7CA8125B"/>
    <w:rsid w:val="7DD93797"/>
    <w:rsid w:val="7F3C3D81"/>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6">
    <w:name w:val="Body Text"/>
    <w:basedOn w:val="1"/>
    <w:link w:val="29"/>
    <w:qFormat/>
    <w:uiPriority w:val="99"/>
    <w:pPr>
      <w:spacing w:beforeLines="30"/>
    </w:pPr>
    <w:rPr>
      <w:rFonts w:ascii="仿宋_GB2312" w:eastAsia="仿宋_GB2312"/>
      <w:kern w:val="0"/>
      <w:sz w:val="30"/>
    </w:rPr>
  </w:style>
  <w:style w:type="paragraph" w:styleId="7">
    <w:name w:val="Body Text Indent"/>
    <w:basedOn w:val="1"/>
    <w:next w:val="8"/>
    <w:qFormat/>
    <w:uiPriority w:val="0"/>
    <w:pPr>
      <w:ind w:left="420" w:leftChars="200"/>
    </w:pPr>
  </w:style>
  <w:style w:type="paragraph" w:styleId="8">
    <w:name w:val="Body Text First Indent 2"/>
    <w:basedOn w:val="7"/>
    <w:next w:val="1"/>
    <w:qFormat/>
    <w:uiPriority w:val="0"/>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qFormat/>
    <w:uiPriority w:val="99"/>
    <w:rPr>
      <w:rFonts w:ascii="宋体" w:hAnsi="Courier New" w:cs="Courier New"/>
      <w:sz w:val="21"/>
      <w:szCs w:val="21"/>
    </w:rPr>
  </w:style>
  <w:style w:type="paragraph" w:styleId="11">
    <w:name w:val="Balloon Text"/>
    <w:basedOn w:val="1"/>
    <w:link w:val="33"/>
    <w:semiHidden/>
    <w:unhideWhenUsed/>
    <w:qFormat/>
    <w:uiPriority w:val="99"/>
    <w:rPr>
      <w:sz w:val="18"/>
      <w:szCs w:val="18"/>
    </w:rPr>
  </w:style>
  <w:style w:type="paragraph" w:styleId="12">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jc w:val="left"/>
    </w:pPr>
    <w:rPr>
      <w:kern w:val="0"/>
      <w:sz w:val="24"/>
    </w:rPr>
  </w:style>
  <w:style w:type="paragraph" w:styleId="17">
    <w:name w:val="Body Text First Indent"/>
    <w:basedOn w:val="6"/>
    <w:unhideWhenUsed/>
    <w:qFormat/>
    <w:uiPriority w:val="99"/>
    <w:pPr>
      <w:ind w:firstLine="420" w:firstLineChars="100"/>
    </w:pPr>
    <w:rPr>
      <w:kern w:val="0"/>
      <w:sz w:val="20"/>
      <w:szCs w:val="20"/>
    </w:rPr>
  </w:style>
  <w:style w:type="character" w:styleId="20">
    <w:name w:val="Strong"/>
    <w:basedOn w:val="19"/>
    <w:qFormat/>
    <w:uiPriority w:val="99"/>
    <w:rPr>
      <w:b/>
    </w:rPr>
  </w:style>
  <w:style w:type="character" w:styleId="21">
    <w:name w:val="page number"/>
    <w:basedOn w:val="19"/>
    <w:qFormat/>
    <w:uiPriority w:val="0"/>
  </w:style>
  <w:style w:type="character" w:styleId="22">
    <w:name w:val="Hyperlink"/>
    <w:basedOn w:val="19"/>
    <w:unhideWhenUsed/>
    <w:qFormat/>
    <w:uiPriority w:val="99"/>
    <w:rPr>
      <w:color w:val="0000FF" w:themeColor="hyperlink"/>
      <w:u w:val="single"/>
      <w14:textFill>
        <w14:solidFill>
          <w14:schemeClr w14:val="hlink"/>
        </w14:solidFill>
      </w14:textFill>
    </w:rPr>
  </w:style>
  <w:style w:type="character" w:customStyle="1" w:styleId="23">
    <w:name w:val="标题 1 Char"/>
    <w:basedOn w:val="19"/>
    <w:link w:val="3"/>
    <w:qFormat/>
    <w:uiPriority w:val="9"/>
    <w:rPr>
      <w:rFonts w:ascii="Times New Roman" w:hAnsi="Times New Roman"/>
      <w:b/>
      <w:bCs/>
      <w:kern w:val="44"/>
      <w:sz w:val="44"/>
      <w:szCs w:val="44"/>
    </w:rPr>
  </w:style>
  <w:style w:type="character" w:customStyle="1" w:styleId="24">
    <w:name w:val="Header Char"/>
    <w:basedOn w:val="19"/>
    <w:semiHidden/>
    <w:qFormat/>
    <w:uiPriority w:val="99"/>
    <w:rPr>
      <w:rFonts w:ascii="Times New Roman" w:hAnsi="Times New Roman"/>
      <w:sz w:val="18"/>
      <w:szCs w:val="18"/>
    </w:rPr>
  </w:style>
  <w:style w:type="character" w:customStyle="1" w:styleId="25">
    <w:name w:val="页眉 Char"/>
    <w:link w:val="13"/>
    <w:semiHidden/>
    <w:qFormat/>
    <w:locked/>
    <w:uiPriority w:val="99"/>
    <w:rPr>
      <w:sz w:val="18"/>
    </w:rPr>
  </w:style>
  <w:style w:type="character" w:customStyle="1" w:styleId="26">
    <w:name w:val="Footer Char"/>
    <w:basedOn w:val="19"/>
    <w:semiHidden/>
    <w:qFormat/>
    <w:uiPriority w:val="99"/>
    <w:rPr>
      <w:rFonts w:ascii="Times New Roman" w:hAnsi="Times New Roman"/>
      <w:sz w:val="18"/>
      <w:szCs w:val="18"/>
    </w:rPr>
  </w:style>
  <w:style w:type="character" w:customStyle="1" w:styleId="27">
    <w:name w:val="页脚 Char"/>
    <w:link w:val="12"/>
    <w:qFormat/>
    <w:locked/>
    <w:uiPriority w:val="99"/>
    <w:rPr>
      <w:sz w:val="18"/>
    </w:rPr>
  </w:style>
  <w:style w:type="character" w:customStyle="1" w:styleId="28">
    <w:name w:val="Body Text Char"/>
    <w:basedOn w:val="19"/>
    <w:semiHidden/>
    <w:qFormat/>
    <w:uiPriority w:val="99"/>
    <w:rPr>
      <w:rFonts w:ascii="Times New Roman" w:hAnsi="Times New Roman"/>
      <w:szCs w:val="24"/>
    </w:rPr>
  </w:style>
  <w:style w:type="character" w:customStyle="1" w:styleId="29">
    <w:name w:val="正文文本 Char"/>
    <w:link w:val="6"/>
    <w:qFormat/>
    <w:locked/>
    <w:uiPriority w:val="99"/>
    <w:rPr>
      <w:rFonts w:ascii="仿宋_GB2312" w:hAnsi="Times New Roman" w:eastAsia="仿宋_GB2312"/>
      <w:sz w:val="24"/>
    </w:rPr>
  </w:style>
  <w:style w:type="paragraph" w:styleId="30">
    <w:name w:val="List Paragraph"/>
    <w:basedOn w:val="1"/>
    <w:qFormat/>
    <w:uiPriority w:val="34"/>
    <w:pPr>
      <w:ind w:firstLine="420" w:firstLineChars="200"/>
    </w:pPr>
  </w:style>
  <w:style w:type="character" w:customStyle="1" w:styleId="31">
    <w:name w:val="标题 2 Char"/>
    <w:basedOn w:val="19"/>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9"/>
    <w:link w:val="11"/>
    <w:semiHidden/>
    <w:qFormat/>
    <w:uiPriority w:val="99"/>
    <w:rPr>
      <w:rFonts w:ascii="Times New Roman" w:hAnsi="Times New Roman"/>
      <w:kern w:val="2"/>
      <w:sz w:val="18"/>
      <w:szCs w:val="18"/>
    </w:rPr>
  </w:style>
  <w:style w:type="character" w:customStyle="1" w:styleId="34">
    <w:name w:val="标题 3 Char"/>
    <w:basedOn w:val="19"/>
    <w:link w:val="5"/>
    <w:qFormat/>
    <w:uiPriority w:val="9"/>
    <w:rPr>
      <w:rFonts w:ascii="Times New Roman" w:hAnsi="Times New Roman"/>
      <w:b/>
      <w:bCs/>
      <w:kern w:val="2"/>
      <w:sz w:val="32"/>
      <w:szCs w:val="32"/>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BodyText1I2"/>
    <w:basedOn w:val="37"/>
    <w:next w:val="1"/>
    <w:qFormat/>
    <w:uiPriority w:val="0"/>
    <w:pPr>
      <w:ind w:left="420" w:leftChars="200" w:firstLine="420" w:firstLineChars="200"/>
      <w:jc w:val="both"/>
      <w:textAlignment w:val="baseline"/>
    </w:pPr>
  </w:style>
  <w:style w:type="paragraph" w:customStyle="1" w:styleId="37">
    <w:name w:val="BodyTextIndent"/>
    <w:basedOn w:val="1"/>
    <w:next w:val="36"/>
    <w:qFormat/>
    <w:uiPriority w:val="0"/>
    <w:pPr>
      <w:ind w:left="420" w:leftChars="200"/>
      <w:jc w:val="both"/>
      <w:textAlignment w:val="baseline"/>
    </w:p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customStyle="1" w:styleId="39">
    <w:name w:val="WPSOffice手动目录 2"/>
    <w:qFormat/>
    <w:uiPriority w:val="0"/>
    <w:pPr>
      <w:ind w:leftChars="200"/>
    </w:pPr>
    <w:rPr>
      <w:rFonts w:ascii="Times New Roman" w:hAnsi="Times New Roman" w:eastAsia="宋体" w:cs="Times New Roman"/>
      <w:sz w:val="20"/>
      <w:szCs w:val="20"/>
    </w:rPr>
  </w:style>
  <w:style w:type="character" w:customStyle="1" w:styleId="40">
    <w:name w:val="NormalCharacter"/>
    <w:qFormat/>
    <w:uiPriority w:val="0"/>
    <w:rPr>
      <w:rFonts w:ascii="Times New Roman" w:hAnsi="Times New Roman"/>
      <w:kern w:val="2"/>
      <w:sz w:val="21"/>
      <w:szCs w:val="24"/>
      <w:lang w:val="en-US" w:eastAsia="zh-CN" w:bidi="ar-SA"/>
    </w:rPr>
  </w:style>
  <w:style w:type="paragraph" w:customStyle="1" w:styleId="41">
    <w:name w:val="_Style 4"/>
    <w:basedOn w:val="1"/>
    <w:qFormat/>
    <w:uiPriority w:val="0"/>
    <w:pPr>
      <w:widowControl/>
      <w:spacing w:after="160" w:line="240" w:lineRule="exact"/>
      <w:jc w:val="left"/>
    </w:pPr>
    <w:rPr>
      <w:rFonts w:ascii="Times New Roman" w:hAnsi="Times New Roman"/>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Administrator\&#26700;&#38754;\&#30417;&#31649;&#23616;2021&#24180;&#24230;&#20915;&#31639;&#20844;&#24320;&#35828;&#26126;&#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Administrator\&#26700;&#38754;\&#30417;&#31649;&#23616;2021&#24180;&#24230;&#20915;&#31639;&#20844;&#24320;&#35828;&#26126;&#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Administrator\&#26700;&#38754;\&#30417;&#31649;&#23616;2021&#24180;&#24230;&#20915;&#31639;&#20844;&#24320;&#35828;&#26126;&#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200">
                <a:latin typeface="Times New Roman" panose="02020603050405020304" charset="0"/>
                <a:ea typeface="仿宋_GB2312" panose="02010609030101010101" pitchFamily="3" charset="-122"/>
                <a:cs typeface="Times New Roman" panose="02020603050405020304" charset="0"/>
              </a:rPr>
              <a:t>图1：收、支决算总计变动情况图</a:t>
            </a:r>
            <a:endParaRPr sz="1200">
              <a:latin typeface="Times New Roman" panose="02020603050405020304" charset="0"/>
              <a:ea typeface="仿宋_GB2312" panose="02010609030101010101" pitchFamily="3" charset="-122"/>
              <a:cs typeface="Times New Roman" panose="02020603050405020304" charset="0"/>
            </a:endParaRPr>
          </a:p>
        </c:rich>
      </c:tx>
      <c:layout>
        <c:manualLayout>
          <c:xMode val="edge"/>
          <c:yMode val="edge"/>
          <c:x val="0.243781887755102"/>
          <c:y val="0.0286859962985811"/>
        </c:manualLayout>
      </c:layout>
      <c:overlay val="0"/>
      <c:spPr>
        <a:noFill/>
        <a:ln>
          <a:noFill/>
        </a:ln>
        <a:effectLst/>
      </c:spPr>
    </c:title>
    <c:autoTitleDeleted val="0"/>
    <c:plotArea>
      <c:layout/>
      <c:barChart>
        <c:barDir val="col"/>
        <c:grouping val="clustered"/>
        <c:varyColors val="0"/>
        <c:ser>
          <c:idx val="0"/>
          <c:order val="0"/>
          <c:tx>
            <c:strRef>
              <c:f>"收入"</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[工作簿1]Sheet1!$B$2:$C$2</c:f>
              <c:strCache>
                <c:ptCount val="2"/>
                <c:pt idx="0">
                  <c:v>2020年</c:v>
                </c:pt>
                <c:pt idx="1">
                  <c:v>2021年</c:v>
                </c:pt>
              </c:strCache>
            </c:strRef>
          </c:cat>
          <c:val>
            <c:numRef>
              <c:f>[工作簿1]Sheet1!$B$3:$C$3</c:f>
              <c:numCache>
                <c:formatCode>General</c:formatCode>
                <c:ptCount val="2"/>
                <c:pt idx="0">
                  <c:v>1278.98</c:v>
                </c:pt>
                <c:pt idx="1">
                  <c:v>1081.35</c:v>
                </c:pt>
              </c:numCache>
            </c:numRef>
          </c:val>
        </c:ser>
        <c:ser>
          <c:idx val="1"/>
          <c:order val="1"/>
          <c:tx>
            <c:strRef>
              <c:f>"支出"</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[工作簿1]Sheet1!$B$2:$C$2</c:f>
              <c:strCache>
                <c:ptCount val="2"/>
                <c:pt idx="0">
                  <c:v>2020年</c:v>
                </c:pt>
                <c:pt idx="1">
                  <c:v>2021年</c:v>
                </c:pt>
              </c:strCache>
            </c:strRef>
          </c:cat>
          <c:val>
            <c:numRef>
              <c:f>[工作簿1]Sheet1!$B$4:$C$4</c:f>
              <c:numCache>
                <c:formatCode>General</c:formatCode>
                <c:ptCount val="2"/>
                <c:pt idx="0">
                  <c:v>1194.89</c:v>
                </c:pt>
                <c:pt idx="1">
                  <c:v>1165.45</c:v>
                </c:pt>
              </c:numCache>
            </c:numRef>
          </c:val>
        </c:ser>
        <c:dLbls>
          <c:showLegendKey val="0"/>
          <c:showVal val="1"/>
          <c:showCatName val="0"/>
          <c:showSerName val="0"/>
          <c:showPercent val="0"/>
          <c:showBubbleSize val="0"/>
        </c:dLbls>
        <c:gapWidth val="219"/>
        <c:overlap val="-27"/>
        <c:axId val="160881759"/>
        <c:axId val="226123677"/>
      </c:barChart>
      <c:catAx>
        <c:axId val="160881759"/>
        <c:scaling>
          <c:orientation val="minMax"/>
        </c:scaling>
        <c:delete val="0"/>
        <c:axPos val="b"/>
        <c:majorTickMark val="none"/>
        <c:minorTickMark val="in"/>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226123677"/>
        <c:crosses val="autoZero"/>
        <c:auto val="1"/>
        <c:lblAlgn val="ctr"/>
        <c:lblOffset val="100"/>
        <c:noMultiLvlLbl val="0"/>
      </c:catAx>
      <c:valAx>
        <c:axId val="22612367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a:latin typeface="Times New Roman" panose="02020603050405020304" charset="0"/>
                    <a:ea typeface="Times New Roman" panose="02020603050405020304" charset="0"/>
                    <a:cs typeface="Times New Roman" panose="02020603050405020304" charset="0"/>
                    <a:sym typeface="Times New Roman" panose="02020603050405020304" charset="0"/>
                  </a:rPr>
                  <a:t>金额（万元）</a:t>
                </a:r>
                <a:endParaRPr>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overlay val="0"/>
          <c:spPr>
            <a:noFill/>
            <a:ln>
              <a:noFill/>
            </a:ln>
            <a:effectLst/>
          </c:spPr>
        </c:title>
        <c:numFmt formatCode="General" sourceLinked="1"/>
        <c:majorTickMark val="in"/>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60881759"/>
        <c:crosses val="autoZero"/>
        <c:crossBetween val="between"/>
        <c:majorUnit val="50"/>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d1602e8-fb16-4aeb-97a9-69f066ed586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chemeClr val="tx1">
                    <a:lumMod val="65000"/>
                    <a:lumOff val="35000"/>
                  </a:schemeClr>
                </a:solidFill>
                <a:latin typeface="+mn-lt"/>
                <a:ea typeface="+mn-ea"/>
                <a:cs typeface="+mn-cs"/>
              </a:defRPr>
            </a:pPr>
            <a:r>
              <a:rPr sz="1200">
                <a:latin typeface="Times New Roman" panose="02020603050405020304" charset="0"/>
                <a:ea typeface="仿宋_GB2312" panose="02010609030101010101" pitchFamily="3" charset="-122"/>
                <a:cs typeface="Times New Roman" panose="02020603050405020304" charset="0"/>
              </a:rPr>
              <a:t>图2</a:t>
            </a:r>
            <a:r>
              <a:rPr altLang="en-US" sz="1200">
                <a:latin typeface="Times New Roman" panose="02020603050405020304" charset="0"/>
                <a:ea typeface="仿宋_GB2312" panose="02010609030101010101" pitchFamily="3" charset="-122"/>
                <a:cs typeface="Times New Roman" panose="02020603050405020304" charset="0"/>
              </a:rPr>
              <a:t>：</a:t>
            </a:r>
            <a:r>
              <a:rPr sz="1200">
                <a:latin typeface="Times New Roman" panose="02020603050405020304" charset="0"/>
                <a:ea typeface="仿宋_GB2312" panose="02010609030101010101" pitchFamily="3" charset="-122"/>
                <a:cs typeface="Times New Roman" panose="02020603050405020304" charset="0"/>
              </a:rPr>
              <a:t>收入决算结构图</a:t>
            </a:r>
            <a:endParaRPr sz="1200">
              <a:latin typeface="Times New Roman" panose="02020603050405020304" charset="0"/>
              <a:ea typeface="仿宋_GB2312" panose="02010609030101010101" pitchFamily="3" charset="-122"/>
              <a:cs typeface="Times New Roman" panose="02020603050405020304" charset="0"/>
            </a:endParaRPr>
          </a:p>
        </c:rich>
      </c:tx>
      <c:layout>
        <c:manualLayout>
          <c:xMode val="edge"/>
          <c:yMode val="edge"/>
          <c:x val="0.313019390581717"/>
          <c:y val="0.033974358974359"/>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delete val="1"/>
          </c:dLbls>
          <c:cat>
            <c:strRef>
              <c:f>[工作簿1]Sheet1!$F$2:$M$2</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[工作簿1]Sheet1!$F$3:$M$3</c:f>
              <c:numCache>
                <c:formatCode>General</c:formatCode>
                <c:ptCount val="8"/>
                <c:pt idx="0">
                  <c:v>1081.35</c:v>
                </c:pt>
                <c:pt idx="1">
                  <c:v>0</c:v>
                </c:pt>
                <c:pt idx="2">
                  <c:v>0</c:v>
                </c:pt>
                <c:pt idx="3">
                  <c:v>0</c:v>
                </c:pt>
                <c:pt idx="4">
                  <c:v>0</c:v>
                </c:pt>
                <c:pt idx="5">
                  <c:v>0</c:v>
                </c:pt>
                <c:pt idx="6">
                  <c:v>0</c:v>
                </c:pt>
                <c:pt idx="7">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p>
        </c:txPr>
      </c:legendEntry>
      <c:legendEntry>
        <c:idx val="1"/>
        <c:delete val="1"/>
      </c:legendEntry>
      <c:legendEntry>
        <c:idx val="2"/>
        <c:delete val="1"/>
      </c:legendEntry>
      <c:legendEntry>
        <c:idx val="3"/>
        <c:delete val="1"/>
      </c:legendEntry>
      <c:legendEntry>
        <c:idx val="4"/>
        <c:delete val="1"/>
      </c:legendEntry>
      <c:legendEntry>
        <c:idx val="5"/>
        <c:delete val="1"/>
      </c:legendEntry>
      <c:legendEntry>
        <c:idx val="6"/>
        <c:delete val="1"/>
      </c:legendEntry>
      <c:legendEntry>
        <c:idx val="7"/>
        <c:delete val="1"/>
      </c:legendEntry>
      <c:layout>
        <c:manualLayout>
          <c:xMode val="edge"/>
          <c:yMode val="edge"/>
          <c:x val="0.304464722176959"/>
          <c:y val="0.88365384615384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p>
      </c:txPr>
    </c:legend>
    <c:plotVisOnly val="1"/>
    <c:dispBlanksAs val="gap"/>
    <c:showDLblsOverMax val="0"/>
    <c:extLst>
      <c:ext uri="{0b15fc19-7d7d-44ad-8c2d-2c3a37ce22c3}">
        <chartProps xmlns="https://web.wps.cn/et/2018/main" chartId="{af8ca184-c6b9-4c6c-86e4-c2d7f93109cc}"/>
      </c:ext>
    </c:extLst>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40" b="0" i="0" u="none" strike="noStrike" kern="1200" spc="0" baseline="0">
                <a:solidFill>
                  <a:schemeClr val="tx1">
                    <a:lumMod val="65000"/>
                    <a:lumOff val="35000"/>
                  </a:schemeClr>
                </a:solidFill>
                <a:latin typeface="+mn-lt"/>
                <a:ea typeface="+mn-ea"/>
                <a:cs typeface="+mn-cs"/>
              </a:defRPr>
            </a:pPr>
            <a:r>
              <a:rPr sz="1200">
                <a:latin typeface="Times New Roman" panose="02020603050405020304" charset="0"/>
                <a:ea typeface="仿宋_GB2312" panose="02010609030101010101" pitchFamily="3" charset="-122"/>
                <a:cs typeface="Times New Roman" panose="02020603050405020304" charset="0"/>
              </a:rPr>
              <a:t>图3：支出决算结构图</a:t>
            </a:r>
            <a:endParaRPr sz="1200">
              <a:latin typeface="Times New Roman" panose="02020603050405020304" charset="0"/>
              <a:ea typeface="仿宋_GB2312" panose="02010609030101010101" pitchFamily="3" charset="-122"/>
              <a:cs typeface="Times New Roman" panose="02020603050405020304" charset="0"/>
            </a:endParaRPr>
          </a:p>
        </c:rich>
      </c:tx>
      <c:layout>
        <c:manualLayout>
          <c:xMode val="edge"/>
          <c:yMode val="edge"/>
          <c:x val="0.337006203068887"/>
          <c:y val="0.0417457305502846"/>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elete val="1"/>
          </c:dLbls>
          <c:cat>
            <c:strRef>
              <c:f>[工作簿1]Sheet1!$A$24:$E$24</c:f>
              <c:strCache>
                <c:ptCount val="5"/>
                <c:pt idx="0">
                  <c:v>基本支出</c:v>
                </c:pt>
                <c:pt idx="1">
                  <c:v>项目支出</c:v>
                </c:pt>
                <c:pt idx="2">
                  <c:v>上缴上级支出</c:v>
                </c:pt>
                <c:pt idx="3">
                  <c:v>经营支出</c:v>
                </c:pt>
                <c:pt idx="4">
                  <c:v>对附属单位补助支出</c:v>
                </c:pt>
              </c:strCache>
            </c:strRef>
          </c:cat>
          <c:val>
            <c:numRef>
              <c:f>[工作簿1]Sheet1!$A$25:$E$25</c:f>
              <c:numCache>
                <c:formatCode>General</c:formatCode>
                <c:ptCount val="5"/>
                <c:pt idx="0">
                  <c:v>1023.41</c:v>
                </c:pt>
                <c:pt idx="1">
                  <c:v>142.04</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p>
        </c:txPr>
      </c:legendEntry>
      <c:legendEntry>
        <c:idx val="2"/>
        <c:delete val="1"/>
      </c:legendEntry>
      <c:legendEntry>
        <c:idx val="3"/>
        <c:delete val="1"/>
      </c:legendEntry>
      <c:legendEntry>
        <c:idx val="4"/>
        <c:delete val="1"/>
      </c:legendEntry>
      <c:layout>
        <c:manualLayout>
          <c:xMode val="edge"/>
          <c:yMode val="edge"/>
          <c:x val="0.348188050930461"/>
          <c:y val="0.81593927893738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21ddc69-4cdd-4821-a319-9884c017fe7f}"/>
      </c:ext>
    </c:extLst>
  </c:chart>
  <c:spPr>
    <a:solidFill>
      <a:schemeClr val="bg1"/>
    </a:solidFill>
    <a:ln w="9525" cap="flat" cmpd="sng" algn="ctr">
      <a:noFill/>
      <a:round/>
    </a:ln>
    <a:effectLst/>
  </c:spPr>
  <c:txPr>
    <a:bodyPr/>
    <a:lstStyle/>
    <a:p>
      <a:pPr>
        <a:defRPr lang="zh-CN" sz="1200"/>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40" b="0" i="0" u="none" strike="noStrike" kern="1200" spc="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sz="1200" b="0" i="0" u="none" strike="noStrike" baseline="0">
                <a:solidFill>
                  <a:srgbClr val="595959">
                    <a:alpha val="100000"/>
                  </a:srgbClr>
                </a:solidFill>
                <a:latin typeface="仿宋_GB2312" panose="02010609030101010101" pitchFamily="3" charset="-122"/>
                <a:ea typeface="仿宋_GB2312" panose="02010609030101010101" pitchFamily="3" charset="-122"/>
                <a:cs typeface="仿宋_GB2312" panose="02010609030101010101" pitchFamily="3" charset="-122"/>
                <a:sym typeface="Times New Roman" panose="02020603050405020304" charset="0"/>
              </a:rPr>
              <a:t>图</a:t>
            </a:r>
            <a:r>
              <a:rPr sz="1200" b="0" i="0" u="none" strike="noStrike" baseline="0">
                <a:solidFill>
                  <a:srgbClr val="595959">
                    <a:alpha val="100000"/>
                  </a:srgbClr>
                </a:solidFill>
                <a:ea typeface="仿宋_GB2312" panose="02010609030101010101" pitchFamily="3" charset="-122"/>
                <a:sym typeface="Times New Roman" panose="02020603050405020304" charset="0"/>
              </a:rPr>
              <a:t>4</a:t>
            </a:r>
            <a:r>
              <a:rPr sz="1200" b="0" i="0" u="none" strike="noStrike" baseline="0">
                <a:solidFill>
                  <a:srgbClr val="595959">
                    <a:alpha val="100000"/>
                  </a:srgbClr>
                </a:solidFill>
                <a:latin typeface="仿宋_GB2312" panose="02010609030101010101" pitchFamily="3" charset="-122"/>
                <a:ea typeface="仿宋_GB2312" panose="02010609030101010101" pitchFamily="3" charset="-122"/>
                <a:cs typeface="仿宋_GB2312" panose="02010609030101010101" pitchFamily="3" charset="-122"/>
                <a:sym typeface="Times New Roman" panose="02020603050405020304" charset="0"/>
              </a:rPr>
              <a:t>：财政拨款收、支决算总计变动情况</a:t>
            </a:r>
            <a:endParaRPr sz="1200" b="0" i="0" u="none" strike="noStrike" baseline="0">
              <a:solidFill>
                <a:srgbClr val="595959">
                  <a:alpha val="100000"/>
                </a:srgbClr>
              </a:solidFill>
              <a:latin typeface="仿宋_GB2312" panose="02010609030101010101" pitchFamily="3" charset="-122"/>
              <a:ea typeface="仿宋_GB2312" panose="02010609030101010101" pitchFamily="3" charset="-122"/>
              <a:cs typeface="仿宋_GB2312" panose="02010609030101010101" pitchFamily="3" charset="-122"/>
              <a:sym typeface="Times New Roman" panose="02020603050405020304" charset="0"/>
            </a:endParaRPr>
          </a:p>
        </c:rich>
      </c:tx>
      <c:layout>
        <c:manualLayout>
          <c:xMode val="edge"/>
          <c:yMode val="edge"/>
          <c:x val="0.200633356790992"/>
          <c:y val="0.0410316044348159"/>
        </c:manualLayout>
      </c:layout>
      <c:overlay val="0"/>
      <c:spPr>
        <a:noFill/>
        <a:ln>
          <a:noFill/>
        </a:ln>
        <a:effectLst/>
      </c:spPr>
    </c:title>
    <c:autoTitleDeleted val="0"/>
    <c:plotArea>
      <c:layout/>
      <c:barChart>
        <c:barDir val="col"/>
        <c:grouping val="clustered"/>
        <c:varyColors val="0"/>
        <c:ser>
          <c:idx val="0"/>
          <c:order val="0"/>
          <c:tx>
            <c:strRef>
              <c:f>[监管局2021年度决算公开说明图表.xls]Sheet1!$A$5</c:f>
              <c:strCache>
                <c:ptCount val="1"/>
                <c:pt idx="0">
                  <c:v>收入</c:v>
                </c:pt>
              </c:strCache>
            </c:strRef>
          </c:tx>
          <c:spPr>
            <a:solidFill>
              <a:schemeClr val="accent1"/>
            </a:solidFill>
            <a:ln>
              <a:noFill/>
            </a:ln>
            <a:effectLst/>
          </c:spPr>
          <c:invertIfNegative val="0"/>
          <c:dLbls>
            <c:delete val="1"/>
          </c:dLbls>
          <c:cat>
            <c:strRef>
              <c:f>[监管局2021年度决算公开说明图表.xls]Sheet1!$B$4:$C$4</c:f>
              <c:strCache>
                <c:ptCount val="2"/>
                <c:pt idx="0">
                  <c:v>2020年（万元）</c:v>
                </c:pt>
                <c:pt idx="1">
                  <c:v>2021年（万元）</c:v>
                </c:pt>
              </c:strCache>
            </c:strRef>
          </c:cat>
          <c:val>
            <c:numRef>
              <c:f>[监管局2021年度决算公开说明图表.xls]Sheet1!$B$5:$C$5</c:f>
              <c:numCache>
                <c:formatCode>General</c:formatCode>
                <c:ptCount val="2"/>
                <c:pt idx="0">
                  <c:v>1278.98</c:v>
                </c:pt>
                <c:pt idx="1">
                  <c:v>1081.35</c:v>
                </c:pt>
              </c:numCache>
            </c:numRef>
          </c:val>
        </c:ser>
        <c:ser>
          <c:idx val="1"/>
          <c:order val="1"/>
          <c:tx>
            <c:strRef>
              <c:f>[监管局2021年度决算公开说明图表.xls]Sheet1!$A$6</c:f>
              <c:strCache>
                <c:ptCount val="1"/>
                <c:pt idx="0">
                  <c:v>支出</c:v>
                </c:pt>
              </c:strCache>
            </c:strRef>
          </c:tx>
          <c:spPr>
            <a:solidFill>
              <a:schemeClr val="accent2"/>
            </a:solidFill>
            <a:ln>
              <a:noFill/>
            </a:ln>
            <a:effectLst/>
          </c:spPr>
          <c:invertIfNegative val="0"/>
          <c:dLbls>
            <c:delete val="1"/>
          </c:dLbls>
          <c:cat>
            <c:strRef>
              <c:f>[监管局2021年度决算公开说明图表.xls]Sheet1!$B$4:$C$4</c:f>
              <c:strCache>
                <c:ptCount val="2"/>
                <c:pt idx="0">
                  <c:v>2020年（万元）</c:v>
                </c:pt>
                <c:pt idx="1">
                  <c:v>2021年（万元）</c:v>
                </c:pt>
              </c:strCache>
            </c:strRef>
          </c:cat>
          <c:val>
            <c:numRef>
              <c:f>[监管局2021年度决算公开说明图表.xls]Sheet1!$B$6:$C$6</c:f>
              <c:numCache>
                <c:formatCode>General</c:formatCode>
                <c:ptCount val="2"/>
                <c:pt idx="0">
                  <c:v>1194.89</c:v>
                </c:pt>
                <c:pt idx="1">
                  <c:v>1165.45</c:v>
                </c:pt>
              </c:numCache>
            </c:numRef>
          </c:val>
        </c:ser>
        <c:dLbls>
          <c:showLegendKey val="0"/>
          <c:showVal val="0"/>
          <c:showCatName val="0"/>
          <c:showSerName val="0"/>
          <c:showPercent val="0"/>
          <c:showBubbleSize val="0"/>
        </c:dLbls>
        <c:gapWidth val="219"/>
        <c:overlap val="-27"/>
        <c:axId val="904004105"/>
        <c:axId val="635137490"/>
      </c:barChart>
      <c:catAx>
        <c:axId val="904004105"/>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10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635137490"/>
        <c:crosses val="autoZero"/>
        <c:auto val="1"/>
        <c:lblAlgn val="ctr"/>
        <c:lblOffset val="100"/>
        <c:noMultiLvlLbl val="0"/>
      </c:catAx>
      <c:valAx>
        <c:axId val="63513749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12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904004105"/>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p>
      </c:txPr>
    </c:legend>
    <c:plotVisOnly val="1"/>
    <c:dispBlanksAs val="gap"/>
    <c:showDLblsOverMax val="0"/>
    <c:extLst>
      <c:ext uri="{0b15fc19-7d7d-44ad-8c2d-2c3a37ce22c3}">
        <chartProps xmlns="https://web.wps.cn/et/2018/main" chartId="{98fc77e9-90c4-4713-bb26-4d88e69cb1ef}"/>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sz="1200">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sz="1200" b="0" i="0" u="none" strike="noStrike" baseline="0">
                <a:solidFill>
                  <a:srgbClr val="595959">
                    <a:alpha val="100000"/>
                  </a:srgbClr>
                </a:solidFill>
                <a:latin typeface="仿宋_GB2312" panose="02010609030101010101" pitchFamily="3" charset="-122"/>
                <a:ea typeface="仿宋_GB2312" panose="02010609030101010101" pitchFamily="3" charset="-122"/>
                <a:cs typeface="仿宋_GB2312" panose="02010609030101010101" pitchFamily="3" charset="-122"/>
                <a:sym typeface="Times New Roman" panose="02020603050405020304" charset="0"/>
              </a:rPr>
              <a:t>图</a:t>
            </a:r>
            <a:r>
              <a:rPr sz="1200" b="0" i="0" u="none" strike="noStrike" baseline="0">
                <a:solidFill>
                  <a:srgbClr val="595959">
                    <a:alpha val="100000"/>
                  </a:srgbClr>
                </a:solidFill>
                <a:ea typeface="仿宋_GB2312" panose="02010609030101010101" pitchFamily="3" charset="-122"/>
                <a:sym typeface="Times New Roman" panose="02020603050405020304" charset="0"/>
              </a:rPr>
              <a:t>5</a:t>
            </a:r>
            <a:r>
              <a:rPr sz="1200" b="0" i="0" u="none" strike="noStrike" baseline="0">
                <a:solidFill>
                  <a:srgbClr val="595959">
                    <a:alpha val="100000"/>
                  </a:srgbClr>
                </a:solidFill>
                <a:latin typeface="仿宋_GB2312" panose="02010609030101010101" pitchFamily="3" charset="-122"/>
                <a:ea typeface="仿宋_GB2312" panose="02010609030101010101" pitchFamily="3" charset="-122"/>
                <a:cs typeface="仿宋_GB2312" panose="02010609030101010101" pitchFamily="3" charset="-122"/>
                <a:sym typeface="Times New Roman" panose="02020603050405020304" charset="0"/>
              </a:rPr>
              <a:t>：一般公共预算财政拨款支出决算变动情况</a:t>
            </a:r>
            <a:endParaRPr sz="1200" b="0" i="0" u="none" strike="noStrike" baseline="0">
              <a:solidFill>
                <a:srgbClr val="595959">
                  <a:alpha val="100000"/>
                </a:srgbClr>
              </a:solidFill>
              <a:latin typeface="仿宋_GB2312" panose="02010609030101010101" pitchFamily="3" charset="-122"/>
              <a:ea typeface="仿宋_GB2312" panose="02010609030101010101" pitchFamily="3" charset="-122"/>
              <a:cs typeface="仿宋_GB2312" panose="02010609030101010101" pitchFamily="3" charset="-122"/>
              <a:sym typeface="Times New Roman" panose="02020603050405020304" charset="0"/>
            </a:endParaRPr>
          </a:p>
        </c:rich>
      </c:tx>
      <c:layout>
        <c:manualLayout>
          <c:xMode val="edge"/>
          <c:yMode val="edge"/>
          <c:x val="0.164678013686612"/>
          <c:y val="0.0208553326293559"/>
        </c:manualLayout>
      </c:layout>
      <c:overlay val="0"/>
      <c:spPr>
        <a:noFill/>
        <a:ln>
          <a:noFill/>
        </a:ln>
        <a:effectLst/>
      </c:spPr>
    </c:title>
    <c:autoTitleDeleted val="0"/>
    <c:plotArea>
      <c:layout/>
      <c:barChart>
        <c:barDir val="col"/>
        <c:grouping val="clustered"/>
        <c:varyColors val="0"/>
        <c:ser>
          <c:idx val="0"/>
          <c:order val="0"/>
          <c:tx>
            <c:strRef>
              <c:f>[监管局2021年度决算公开说明图表.xls]Sheet1!$A$47</c:f>
              <c:strCache>
                <c:ptCount val="1"/>
                <c:pt idx="0">
                  <c:v>支出</c:v>
                </c:pt>
              </c:strCache>
            </c:strRef>
          </c:tx>
          <c:spPr>
            <a:solidFill>
              <a:schemeClr val="accent1"/>
            </a:solidFill>
            <a:ln>
              <a:noFill/>
            </a:ln>
            <a:effectLst/>
          </c:spPr>
          <c:invertIfNegative val="0"/>
          <c:dLbls>
            <c:delete val="1"/>
          </c:dLbls>
          <c:cat>
            <c:strRef>
              <c:f>[监管局2021年度决算公开说明图表.xls]Sheet1!$B$46:$C$46</c:f>
              <c:strCache>
                <c:ptCount val="2"/>
                <c:pt idx="0">
                  <c:v>2020年（万元）</c:v>
                </c:pt>
                <c:pt idx="1">
                  <c:v>2021年（万元）</c:v>
                </c:pt>
              </c:strCache>
            </c:strRef>
          </c:cat>
          <c:val>
            <c:numRef>
              <c:f>[监管局2021年度决算公开说明图表.xls]Sheet1!$B$47:$C$47</c:f>
              <c:numCache>
                <c:formatCode>General</c:formatCode>
                <c:ptCount val="2"/>
                <c:pt idx="0">
                  <c:v>1194.89</c:v>
                </c:pt>
                <c:pt idx="1">
                  <c:v>1165.45</c:v>
                </c:pt>
              </c:numCache>
            </c:numRef>
          </c:val>
        </c:ser>
        <c:dLbls>
          <c:showLegendKey val="0"/>
          <c:showVal val="0"/>
          <c:showCatName val="0"/>
          <c:showSerName val="0"/>
          <c:showPercent val="0"/>
          <c:showBubbleSize val="0"/>
        </c:dLbls>
        <c:gapWidth val="219"/>
        <c:overlap val="-27"/>
        <c:axId val="792508284"/>
        <c:axId val="126336478"/>
      </c:barChart>
      <c:catAx>
        <c:axId val="79250828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10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126336478"/>
        <c:crosses val="autoZero"/>
        <c:auto val="1"/>
        <c:lblAlgn val="ctr"/>
        <c:lblOffset val="100"/>
        <c:noMultiLvlLbl val="0"/>
      </c:catAx>
      <c:valAx>
        <c:axId val="12633647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12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92508284"/>
        <c:crosses val="autoZero"/>
        <c:crossBetween val="between"/>
      </c:valAx>
      <c:spPr>
        <a:noFill/>
        <a:ln>
          <a:noFill/>
        </a:ln>
        <a:effectLst/>
      </c:spPr>
    </c:plotArea>
    <c:plotVisOnly val="1"/>
    <c:dispBlanksAs val="gap"/>
    <c:showDLblsOverMax val="0"/>
    <c:extLst>
      <c:ext uri="{0b15fc19-7d7d-44ad-8c2d-2c3a37ce22c3}">
        <chartProps xmlns="https://web.wps.cn/et/2018/main" chartId="{8b4b2cc0-fc83-4330-b668-d01ed44ee835}"/>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sz="1200"/>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200">
                <a:latin typeface="仿宋_GB2312" panose="02010609030101010101" pitchFamily="3" charset="-122"/>
                <a:ea typeface="仿宋_GB2312" panose="02010609030101010101" pitchFamily="3" charset="-122"/>
                <a:cs typeface="仿宋_GB2312" panose="02010609030101010101" pitchFamily="3" charset="-122"/>
              </a:rPr>
              <a:t>图</a:t>
            </a:r>
            <a:r>
              <a:rPr sz="1200">
                <a:latin typeface="Times New Roman" panose="02020603050405020304" charset="0"/>
                <a:ea typeface="仿宋_GB2312" panose="02010609030101010101" pitchFamily="3" charset="-122"/>
                <a:cs typeface="Times New Roman" panose="02020603050405020304" charset="0"/>
              </a:rPr>
              <a:t>6</a:t>
            </a:r>
            <a:r>
              <a:rPr sz="1200">
                <a:latin typeface="仿宋_GB2312" panose="02010609030101010101" pitchFamily="3" charset="-122"/>
                <a:ea typeface="仿宋_GB2312" panose="02010609030101010101" pitchFamily="3" charset="-122"/>
                <a:cs typeface="仿宋_GB2312" panose="02010609030101010101" pitchFamily="3" charset="-122"/>
              </a:rPr>
              <a:t>：一般公共预算财政拨款支出决算结构</a:t>
            </a:r>
            <a:endParaRPr sz="1200" b="0" i="0" u="none" strike="noStrike" baseline="0">
              <a:solidFill>
                <a:srgbClr val="595959">
                  <a:alpha val="100000"/>
                </a:srgbClr>
              </a:solidFill>
              <a:latin typeface="仿宋_GB2312" panose="02010609030101010101" pitchFamily="3" charset="-122"/>
              <a:ea typeface="仿宋_GB2312" panose="02010609030101010101" pitchFamily="3" charset="-122"/>
              <a:cs typeface="仿宋_GB2312" panose="02010609030101010101" pitchFamily="3"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[监管局2021年度决算公开说明图表.xls]Sheet1!$A$60:$A$63</c:f>
              <c:strCache>
                <c:ptCount val="4"/>
                <c:pt idx="0">
                  <c:v>一般公共服务（类）支出</c:v>
                </c:pt>
                <c:pt idx="1">
                  <c:v>社会保障和就业（类）支出</c:v>
                </c:pt>
                <c:pt idx="2">
                  <c:v>卫生健康支出</c:v>
                </c:pt>
                <c:pt idx="3">
                  <c:v>住房保障支出</c:v>
                </c:pt>
              </c:strCache>
            </c:strRef>
          </c:cat>
          <c:val>
            <c:numRef>
              <c:f>[监管局2021年度决算公开说明图表.xls]Sheet1!$B$60:$B$63</c:f>
              <c:numCache>
                <c:formatCode>0.00%</c:formatCode>
                <c:ptCount val="4"/>
                <c:pt idx="0">
                  <c:v>0.8241</c:v>
                </c:pt>
                <c:pt idx="1">
                  <c:v>0.0676</c:v>
                </c:pt>
                <c:pt idx="2">
                  <c:v>0.0373</c:v>
                </c:pt>
                <c:pt idx="3">
                  <c:v>0.071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p>
        </c:txPr>
      </c:legendEntry>
      <c:legendEntry>
        <c:idx val="2"/>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p>
        </c:txPr>
      </c:legendEntry>
      <c:legendEntry>
        <c:idx val="3"/>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p>
      </c:txPr>
    </c:legend>
    <c:plotVisOnly val="1"/>
    <c:dispBlanksAs val="gap"/>
    <c:showDLblsOverMax val="0"/>
    <c:extLst>
      <c:ext uri="{0b15fc19-7d7d-44ad-8c2d-2c3a37ce22c3}">
        <chartProps xmlns="https://web.wps.cn/et/2018/main" chartId="{1efb1af0-c7f3-4cda-8487-0d8312736cf7}"/>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28</Pages>
  <Words>7715</Words>
  <Characters>8471</Characters>
  <Lines>61</Lines>
  <Paragraphs>17</Paragraphs>
  <TotalTime>0</TotalTime>
  <ScaleCrop>false</ScaleCrop>
  <LinksUpToDate>false</LinksUpToDate>
  <CharactersWithSpaces>8586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昭化融媒体</cp:lastModifiedBy>
  <cp:lastPrinted>2022-09-30T06:51:00Z</cp:lastPrinted>
  <dcterms:modified xsi:type="dcterms:W3CDTF">2024-12-25T09:14:11Z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5DF96526E2BF4AF68AB0302F4D86C12B_13</vt:lpwstr>
  </property>
  <property fmtid="{D5CDD505-2E9C-101B-9397-08002B2CF9AE}" pid="4" name="KSOTemplateDocerSaveRecord">
    <vt:lpwstr>eyJoZGlkIjoiMGVhYTg4NGNkZWJkODFjNzcyZDRjM2M4Y2UzNjI5ZmUiLCJ1c2VySWQiOiI2MTE2MzEwMDYifQ==</vt:lpwstr>
  </property>
</Properties>
</file>