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6FDA">
      <w:pPr>
        <w:spacing w:line="600" w:lineRule="exact"/>
        <w:jc w:val="center"/>
        <w:outlineLvl w:val="0"/>
        <w:rPr>
          <w:rFonts w:ascii="方正小标宋简体" w:hAnsi="宋体" w:eastAsia="方正小标宋简体"/>
          <w:color w:val="000000"/>
          <w:sz w:val="72"/>
          <w:szCs w:val="72"/>
        </w:rPr>
      </w:pPr>
      <w:bookmarkStart w:id="0" w:name="_Toc15306267"/>
    </w:p>
    <w:p w14:paraId="4137F4D6">
      <w:pPr>
        <w:spacing w:line="600" w:lineRule="exact"/>
        <w:jc w:val="center"/>
        <w:outlineLvl w:val="0"/>
        <w:rPr>
          <w:rFonts w:ascii="方正小标宋简体" w:hAnsi="宋体" w:eastAsia="方正小标宋简体"/>
          <w:color w:val="000000"/>
          <w:sz w:val="72"/>
          <w:szCs w:val="72"/>
        </w:rPr>
      </w:pPr>
    </w:p>
    <w:p w14:paraId="6CD49A1C">
      <w:pPr>
        <w:spacing w:line="600" w:lineRule="exact"/>
        <w:jc w:val="center"/>
        <w:outlineLvl w:val="0"/>
        <w:rPr>
          <w:rFonts w:ascii="方正小标宋简体" w:hAnsi="宋体" w:eastAsia="方正小标宋简体"/>
          <w:color w:val="000000"/>
          <w:sz w:val="72"/>
          <w:szCs w:val="72"/>
        </w:rPr>
      </w:pPr>
    </w:p>
    <w:p w14:paraId="37EB470A">
      <w:pPr>
        <w:spacing w:line="600" w:lineRule="exact"/>
        <w:jc w:val="center"/>
        <w:outlineLvl w:val="0"/>
        <w:rPr>
          <w:rFonts w:ascii="方正小标宋简体" w:hAnsi="宋体" w:eastAsia="方正小标宋简体"/>
          <w:color w:val="000000"/>
          <w:sz w:val="72"/>
          <w:szCs w:val="72"/>
        </w:rPr>
      </w:pPr>
    </w:p>
    <w:p w14:paraId="5BD2F56E">
      <w:pPr>
        <w:adjustRightInd w:val="0"/>
        <w:snapToGrid w:val="0"/>
        <w:spacing w:line="1000" w:lineRule="exact"/>
        <w:jc w:val="center"/>
        <w:outlineLvl w:val="0"/>
        <w:rPr>
          <w:rFonts w:ascii="方正小标宋简体" w:hAnsi="宋体" w:eastAsia="方正小标宋简体"/>
          <w:color w:val="000000"/>
          <w:sz w:val="72"/>
          <w:szCs w:val="72"/>
        </w:rPr>
      </w:pPr>
      <w:bookmarkStart w:id="1" w:name="_Toc15377425"/>
      <w:bookmarkStart w:id="2" w:name="_Toc15396475"/>
      <w:bookmarkStart w:id="3" w:name="_Toc15396597"/>
      <w:bookmarkStart w:id="4" w:name="_Toc15378441"/>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4FB051EF">
      <w:pPr>
        <w:adjustRightInd w:val="0"/>
        <w:snapToGrid w:val="0"/>
        <w:spacing w:line="1000" w:lineRule="exact"/>
        <w:jc w:val="center"/>
        <w:outlineLvl w:val="0"/>
        <w:rPr>
          <w:rFonts w:ascii="方正小标宋简体" w:hAnsi="宋体" w:eastAsia="方正小标宋简体"/>
          <w:color w:val="000000"/>
          <w:sz w:val="72"/>
          <w:szCs w:val="72"/>
        </w:rPr>
      </w:pPr>
      <w:bookmarkStart w:id="6" w:name="_Toc15396476"/>
      <w:bookmarkStart w:id="7" w:name="_Toc15377426"/>
      <w:bookmarkStart w:id="8" w:name="_Toc15396598"/>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广元市昭化区</w:t>
      </w:r>
    </w:p>
    <w:p w14:paraId="1EDB7C61">
      <w:pPr>
        <w:adjustRightInd w:val="0"/>
        <w:snapToGrid w:val="0"/>
        <w:spacing w:line="1000" w:lineRule="exact"/>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市场监督管理局部门决算</w:t>
      </w:r>
      <w:bookmarkEnd w:id="6"/>
      <w:bookmarkEnd w:id="7"/>
      <w:bookmarkEnd w:id="8"/>
      <w:bookmarkEnd w:id="9"/>
      <w:bookmarkEnd w:id="10"/>
      <w:bookmarkEnd w:id="11"/>
    </w:p>
    <w:p w14:paraId="736E42C0">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5D1FA065">
      <w:pPr>
        <w:widowControl/>
        <w:jc w:val="center"/>
        <w:rPr>
          <w:rFonts w:ascii="黑体" w:hAnsi="黑体" w:eastAsia="黑体" w:cstheme="minorBidi"/>
          <w:sz w:val="28"/>
          <w:szCs w:val="28"/>
        </w:rPr>
      </w:pPr>
    </w:p>
    <w:p w14:paraId="3FF1DF4D"/>
    <w:p w14:paraId="719F05E8">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34FD4618">
      <w:pPr>
        <w:pStyle w:val="14"/>
        <w:adjustRightInd w:val="0"/>
        <w:snapToGrid w:val="0"/>
        <w:spacing w:line="440" w:lineRule="exact"/>
        <w:jc w:val="left"/>
        <w:rPr>
          <w:rFonts w:hint="default"/>
          <w:lang w:val="en-US" w:eastAsia="zh-CN"/>
        </w:rPr>
      </w:pPr>
      <w:r>
        <w:rPr>
          <w:rFonts w:hint="eastAsia"/>
          <w:sz w:val="24"/>
        </w:rPr>
        <w:t>一、基本职能及主要工作</w:t>
      </w:r>
      <w:r>
        <w:rPr>
          <w:rFonts w:hint="eastAsia"/>
          <w:sz w:val="24"/>
          <w:lang w:val="en-US" w:eastAsia="zh-CN"/>
        </w:rPr>
        <w:t xml:space="preserve">  ...................................................................4</w:t>
      </w:r>
    </w:p>
    <w:p w14:paraId="3132D92F">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 xml:space="preserve">  .......................................................................................5</w:t>
      </w:r>
    </w:p>
    <w:p w14:paraId="06A0A187">
      <w:pPr>
        <w:pStyle w:val="13"/>
        <w:adjustRightInd w:val="0"/>
        <w:snapToGrid w:val="0"/>
        <w:spacing w:before="0" w:line="440" w:lineRule="exact"/>
        <w:jc w:val="left"/>
        <w:rPr>
          <w:sz w:val="24"/>
          <w:szCs w:val="24"/>
        </w:rPr>
      </w:pPr>
      <w:r>
        <w:rPr>
          <w:rFonts w:hint="eastAsia"/>
          <w:sz w:val="24"/>
        </w:rPr>
        <w:t>第二部分</w:t>
      </w:r>
      <w:r>
        <w:rPr>
          <w:rFonts w:hint="eastAsia"/>
          <w:sz w:val="24"/>
          <w:lang w:val="en-US" w:eastAsia="zh-CN"/>
        </w:rPr>
        <w:t xml:space="preserve"> </w:t>
      </w:r>
      <w:bookmarkStart w:id="73" w:name="_GoBack"/>
      <w:bookmarkEnd w:id="73"/>
      <w:r>
        <w:rPr>
          <w:rFonts w:hint="eastAsia"/>
          <w:sz w:val="24"/>
        </w:rPr>
        <w:t>部门决算情况说明</w:t>
      </w:r>
    </w:p>
    <w:p w14:paraId="230F0D90">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 xml:space="preserve">  .......................................................5</w:t>
      </w:r>
    </w:p>
    <w:p w14:paraId="4F4BDA00">
      <w:pPr>
        <w:pStyle w:val="14"/>
        <w:adjustRightInd w:val="0"/>
        <w:snapToGrid w:val="0"/>
        <w:spacing w:line="440" w:lineRule="exact"/>
        <w:jc w:val="left"/>
        <w:rPr>
          <w:rFonts w:hint="eastAsia"/>
          <w:sz w:val="24"/>
          <w:lang w:val="en-US" w:eastAsia="zh-CN"/>
        </w:rPr>
      </w:pPr>
      <w:r>
        <w:rPr>
          <w:rFonts w:hint="eastAsia"/>
          <w:sz w:val="24"/>
        </w:rPr>
        <w:t>二、收入决算情况说明</w:t>
      </w:r>
      <w:r>
        <w:rPr>
          <w:rFonts w:hint="eastAsia"/>
          <w:sz w:val="24"/>
          <w:lang w:val="en-US" w:eastAsia="zh-CN"/>
        </w:rPr>
        <w:t xml:space="preserve">  .......................................................................6</w:t>
      </w:r>
    </w:p>
    <w:p w14:paraId="3F448BA3">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 xml:space="preserve">  .......................................................................6</w:t>
      </w:r>
    </w:p>
    <w:p w14:paraId="0612AEAB">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 xml:space="preserve">  .......................................6</w:t>
      </w:r>
    </w:p>
    <w:p w14:paraId="3EA3F410">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 xml:space="preserve">  ...............................6</w:t>
      </w:r>
    </w:p>
    <w:p w14:paraId="747C37C6">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 xml:space="preserve">  .. ....................8</w:t>
      </w:r>
    </w:p>
    <w:p w14:paraId="37D6D574">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 xml:space="preserve">  .................................8</w:t>
      </w:r>
    </w:p>
    <w:p w14:paraId="25FBEA8B">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 xml:space="preserve">  ..........................................10</w:t>
      </w:r>
    </w:p>
    <w:p w14:paraId="4979C6CF">
      <w:pPr>
        <w:pStyle w:val="14"/>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val="en-US" w:eastAsia="zh-CN"/>
        </w:rPr>
        <w:t xml:space="preserve">  ....................................10</w:t>
      </w:r>
    </w:p>
    <w:p w14:paraId="0526CA8D">
      <w:pPr>
        <w:adjustRightInd w:val="0"/>
        <w:snapToGrid w:val="0"/>
        <w:spacing w:line="440" w:lineRule="exact"/>
        <w:ind w:firstLine="480" w:firstLineChars="200"/>
        <w:jc w:val="left"/>
        <w:rPr>
          <w:rFonts w:hint="default" w:ascii="仿宋" w:hAnsi="仿宋" w:eastAsia="仿宋" w:cstheme="minorBidi"/>
          <w:sz w:val="24"/>
          <w:lang w:val="en-US" w:eastAsia="zh-CN"/>
        </w:rPr>
      </w:pPr>
      <w:r>
        <w:rPr>
          <w:rStyle w:val="20"/>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lang w:val="en-US" w:eastAsia="zh-CN"/>
        </w:rPr>
        <w:t xml:space="preserve">  </w:t>
      </w:r>
      <w:r>
        <w:rPr>
          <w:rFonts w:hint="eastAsia"/>
          <w:sz w:val="24"/>
          <w:lang w:val="en-US" w:eastAsia="zh-CN"/>
        </w:rPr>
        <w:t>......................................................10</w:t>
      </w:r>
    </w:p>
    <w:p w14:paraId="60FDA313">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 xml:space="preserve">  </w:t>
      </w:r>
      <w:r>
        <w:rPr>
          <w:rFonts w:hint="eastAsia" w:ascii="Times New Roman" w:hAnsi="Times New Roman" w:eastAsia="宋体" w:cs="Times New Roman"/>
          <w:kern w:val="2"/>
          <w:sz w:val="24"/>
          <w:szCs w:val="24"/>
          <w:lang w:val="en-US" w:eastAsia="zh-CN" w:bidi="ar-SA"/>
        </w:rPr>
        <w:t>...................................................................................15</w:t>
      </w:r>
    </w:p>
    <w:p w14:paraId="4DE6C99D">
      <w:pPr>
        <w:pStyle w:val="13"/>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79F77B27">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rPr>
          <w:rFonts w:hint="eastAsia"/>
          <w:sz w:val="24"/>
          <w:lang w:val="en-US" w:eastAsia="zh-CN"/>
        </w:rPr>
        <w:t xml:space="preserve">   .................................................................................................20</w:t>
      </w:r>
    </w:p>
    <w:p w14:paraId="5C55AD1F">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rPr>
          <w:rFonts w:hint="eastAsia"/>
          <w:sz w:val="24"/>
          <w:lang w:val="en-US" w:eastAsia="zh-CN"/>
        </w:rPr>
        <w:t xml:space="preserve">   .................................................................................................25</w:t>
      </w:r>
    </w:p>
    <w:p w14:paraId="7F8C45EB">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 xml:space="preserve">   ..................................................................................34</w:t>
      </w:r>
    </w:p>
    <w:p w14:paraId="3AB6A1CD">
      <w:pPr>
        <w:pStyle w:val="13"/>
        <w:adjustRightInd w:val="0"/>
        <w:snapToGrid w:val="0"/>
        <w:spacing w:before="0" w:line="440" w:lineRule="exact"/>
        <w:jc w:val="left"/>
        <w:rPr>
          <w:rFonts w:hint="default" w:eastAsia="仿宋" w:cstheme="minorBidi"/>
          <w:sz w:val="24"/>
          <w:szCs w:val="24"/>
          <w:lang w:val="en-US" w:eastAsia="zh-CN"/>
        </w:rPr>
      </w:pPr>
    </w:p>
    <w:p w14:paraId="2AFCED75">
      <w:pPr>
        <w:pStyle w:val="14"/>
        <w:adjustRightInd w:val="0"/>
        <w:snapToGrid w:val="0"/>
        <w:spacing w:line="440" w:lineRule="exact"/>
        <w:jc w:val="left"/>
        <w:rPr>
          <w:rFonts w:hint="eastAsia"/>
          <w:sz w:val="24"/>
        </w:rPr>
      </w:pPr>
      <w:r>
        <w:rPr>
          <w:rFonts w:hint="eastAsia"/>
          <w:sz w:val="24"/>
        </w:rPr>
        <w:t>一、收入支出决算总表</w:t>
      </w:r>
    </w:p>
    <w:p w14:paraId="596C01C3">
      <w:pPr>
        <w:pStyle w:val="14"/>
        <w:adjustRightInd w:val="0"/>
        <w:snapToGrid w:val="0"/>
        <w:spacing w:line="440" w:lineRule="exact"/>
        <w:jc w:val="left"/>
        <w:rPr>
          <w:rFonts w:hint="eastAsia"/>
          <w:sz w:val="24"/>
        </w:rPr>
      </w:pPr>
      <w:r>
        <w:rPr>
          <w:rFonts w:hint="eastAsia"/>
          <w:sz w:val="24"/>
        </w:rPr>
        <w:t>二、收入决算表</w:t>
      </w:r>
    </w:p>
    <w:p w14:paraId="31CBFBFB">
      <w:pPr>
        <w:pStyle w:val="14"/>
        <w:adjustRightInd w:val="0"/>
        <w:snapToGrid w:val="0"/>
        <w:spacing w:line="440" w:lineRule="exact"/>
        <w:jc w:val="left"/>
        <w:rPr>
          <w:rFonts w:hint="eastAsia"/>
          <w:sz w:val="24"/>
        </w:rPr>
      </w:pPr>
      <w:r>
        <w:rPr>
          <w:rFonts w:hint="eastAsia"/>
          <w:sz w:val="24"/>
        </w:rPr>
        <w:t>三、支出决算表</w:t>
      </w:r>
    </w:p>
    <w:p w14:paraId="6DDDDB38">
      <w:pPr>
        <w:pStyle w:val="14"/>
        <w:adjustRightInd w:val="0"/>
        <w:snapToGrid w:val="0"/>
        <w:spacing w:line="440" w:lineRule="exact"/>
        <w:jc w:val="left"/>
        <w:rPr>
          <w:rFonts w:hint="eastAsia"/>
          <w:sz w:val="24"/>
        </w:rPr>
      </w:pPr>
      <w:r>
        <w:rPr>
          <w:rFonts w:hint="eastAsia"/>
          <w:sz w:val="24"/>
        </w:rPr>
        <w:t>四、财政拨款收入支出决算总表</w:t>
      </w:r>
    </w:p>
    <w:p w14:paraId="5CD58008">
      <w:pPr>
        <w:pStyle w:val="14"/>
        <w:adjustRightInd w:val="0"/>
        <w:snapToGrid w:val="0"/>
        <w:spacing w:line="440" w:lineRule="exact"/>
        <w:jc w:val="left"/>
        <w:rPr>
          <w:rFonts w:hint="eastAsia"/>
          <w:sz w:val="24"/>
        </w:rPr>
      </w:pPr>
      <w:r>
        <w:rPr>
          <w:rFonts w:hint="eastAsia"/>
          <w:sz w:val="24"/>
        </w:rPr>
        <w:t>五、财政拨款支出决算明细表</w:t>
      </w:r>
    </w:p>
    <w:p w14:paraId="2B5704B9">
      <w:pPr>
        <w:pStyle w:val="14"/>
        <w:adjustRightInd w:val="0"/>
        <w:snapToGrid w:val="0"/>
        <w:spacing w:line="440" w:lineRule="exact"/>
        <w:jc w:val="left"/>
        <w:rPr>
          <w:rFonts w:hint="eastAsia"/>
          <w:sz w:val="24"/>
        </w:rPr>
      </w:pPr>
      <w:r>
        <w:rPr>
          <w:rFonts w:hint="eastAsia"/>
          <w:sz w:val="24"/>
        </w:rPr>
        <w:t>六、一般公共预算财政拨款支出决算表</w:t>
      </w:r>
    </w:p>
    <w:p w14:paraId="76FCBAD7">
      <w:pPr>
        <w:pStyle w:val="14"/>
        <w:adjustRightInd w:val="0"/>
        <w:snapToGrid w:val="0"/>
        <w:spacing w:line="440" w:lineRule="exact"/>
        <w:jc w:val="left"/>
        <w:rPr>
          <w:rFonts w:ascii="仿宋" w:hAnsi="仿宋" w:eastAsia="仿宋" w:cstheme="minorBidi"/>
          <w:sz w:val="24"/>
        </w:rPr>
      </w:pPr>
      <w:r>
        <w:rPr>
          <w:rFonts w:hint="eastAsia"/>
          <w:sz w:val="24"/>
        </w:rPr>
        <w:t>七、一般公共预算财政拨款支出决算明细表</w:t>
      </w:r>
    </w:p>
    <w:p w14:paraId="018E80F8">
      <w:pPr>
        <w:pStyle w:val="14"/>
        <w:adjustRightInd w:val="0"/>
        <w:snapToGrid w:val="0"/>
        <w:spacing w:line="440" w:lineRule="exact"/>
        <w:jc w:val="left"/>
        <w:rPr>
          <w:rFonts w:hint="eastAsia"/>
          <w:sz w:val="24"/>
        </w:rPr>
      </w:pPr>
      <w:r>
        <w:rPr>
          <w:rFonts w:hint="eastAsia"/>
          <w:sz w:val="24"/>
        </w:rPr>
        <w:t>八、一般公共预算财政拨款基本支出决算表</w:t>
      </w:r>
    </w:p>
    <w:p w14:paraId="2DB9E94D">
      <w:pPr>
        <w:pStyle w:val="14"/>
        <w:adjustRightInd w:val="0"/>
        <w:snapToGrid w:val="0"/>
        <w:spacing w:line="440" w:lineRule="exact"/>
        <w:jc w:val="left"/>
        <w:rPr>
          <w:rFonts w:hint="eastAsia"/>
          <w:sz w:val="24"/>
        </w:rPr>
      </w:pPr>
      <w:r>
        <w:rPr>
          <w:rFonts w:hint="eastAsia"/>
          <w:sz w:val="24"/>
        </w:rPr>
        <w:t>九、一般公共预算财政拨款项目支出决算表</w:t>
      </w:r>
    </w:p>
    <w:p w14:paraId="2E584BF2">
      <w:pPr>
        <w:pStyle w:val="14"/>
        <w:adjustRightInd w:val="0"/>
        <w:snapToGrid w:val="0"/>
        <w:spacing w:line="440" w:lineRule="exact"/>
        <w:jc w:val="left"/>
        <w:rPr>
          <w:rFonts w:hint="eastAsia"/>
          <w:sz w:val="24"/>
        </w:rPr>
      </w:pPr>
      <w:r>
        <w:rPr>
          <w:rFonts w:hint="eastAsia"/>
          <w:sz w:val="24"/>
        </w:rPr>
        <w:t>十、一般公共预算财政拨款“三公”经费支出决算表</w:t>
      </w:r>
    </w:p>
    <w:p w14:paraId="303C5D3C">
      <w:pPr>
        <w:pStyle w:val="14"/>
        <w:adjustRightInd w:val="0"/>
        <w:snapToGrid w:val="0"/>
        <w:spacing w:line="440" w:lineRule="exact"/>
        <w:jc w:val="left"/>
        <w:rPr>
          <w:rFonts w:hint="eastAsia"/>
          <w:sz w:val="24"/>
        </w:rPr>
      </w:pPr>
      <w:r>
        <w:rPr>
          <w:rFonts w:hint="eastAsia"/>
          <w:sz w:val="24"/>
        </w:rPr>
        <w:t>十一、政府性基金预算财政拨款收入支出决算表</w:t>
      </w:r>
    </w:p>
    <w:p w14:paraId="7A217A29">
      <w:pPr>
        <w:pStyle w:val="14"/>
        <w:adjustRightInd w:val="0"/>
        <w:snapToGrid w:val="0"/>
        <w:spacing w:line="440" w:lineRule="exact"/>
        <w:jc w:val="left"/>
        <w:rPr>
          <w:rFonts w:hint="eastAsia"/>
          <w:sz w:val="24"/>
        </w:rPr>
      </w:pPr>
      <w:r>
        <w:rPr>
          <w:rFonts w:hint="eastAsia"/>
          <w:sz w:val="24"/>
        </w:rPr>
        <w:t>十二、政府性基金预算财政拨款“三公”经费支出决算表</w:t>
      </w:r>
    </w:p>
    <w:p w14:paraId="0B6CBB16">
      <w:pPr>
        <w:pStyle w:val="14"/>
        <w:adjustRightInd w:val="0"/>
        <w:snapToGrid w:val="0"/>
        <w:spacing w:line="440" w:lineRule="exact"/>
        <w:jc w:val="left"/>
        <w:rPr>
          <w:rFonts w:hint="eastAsia"/>
          <w:sz w:val="24"/>
        </w:rPr>
      </w:pPr>
      <w:r>
        <w:rPr>
          <w:rFonts w:hint="eastAsia"/>
          <w:sz w:val="24"/>
        </w:rPr>
        <w:t>十三、国有资本经营预算支出决算表</w:t>
      </w:r>
    </w:p>
    <w:p w14:paraId="4E56723C">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731E585A">
      <w:pPr>
        <w:pStyle w:val="4"/>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14:paraId="2381AD1D">
      <w:pPr>
        <w:widowControl/>
        <w:jc w:val="left"/>
        <w:rPr>
          <w:rFonts w:ascii="黑体" w:eastAsia="黑体"/>
          <w:color w:val="000000"/>
          <w:sz w:val="32"/>
          <w:szCs w:val="32"/>
        </w:rPr>
      </w:pPr>
    </w:p>
    <w:p w14:paraId="1ACF2388">
      <w:pPr>
        <w:pStyle w:val="5"/>
        <w:rPr>
          <w:rStyle w:val="31"/>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31"/>
          <w:rFonts w:hint="eastAsia" w:ascii="黑体" w:hAnsi="黑体" w:eastAsia="黑体"/>
          <w:b w:val="0"/>
          <w:bCs w:val="0"/>
        </w:rPr>
        <w:t>本职能及主要工作</w:t>
      </w:r>
      <w:bookmarkEnd w:id="14"/>
      <w:bookmarkEnd w:id="15"/>
    </w:p>
    <w:p w14:paraId="4B7967C6">
      <w:pPr>
        <w:snapToGrid w:val="0"/>
        <w:spacing w:line="540" w:lineRule="exact"/>
        <w:ind w:firstLine="640" w:firstLineChars="200"/>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r>
        <w:rPr>
          <w:rFonts w:hint="eastAsia" w:ascii="仿宋_GB2312" w:hAnsi="仿宋_GB2312" w:eastAsia="仿宋_GB2312" w:cs="仿宋_GB2312"/>
          <w:kern w:val="0"/>
          <w:sz w:val="32"/>
          <w:szCs w:val="32"/>
        </w:rPr>
        <w:t>区市场监管局贯彻落实党中央关于市场监督管理工作的方针政策和省委、市委、区委的决策部署，在履行职责过程中加强对市场监督管理工作的集中统一领导 。其主要职能有：</w:t>
      </w:r>
      <w:r>
        <w:rPr>
          <w:rFonts w:hint="eastAsia" w:ascii="仿宋_GB2312" w:hAnsi="仿宋_GB2312" w:eastAsia="仿宋_GB2312" w:cs="仿宋_GB2312"/>
          <w:sz w:val="32"/>
          <w:szCs w:val="32"/>
        </w:rPr>
        <w:t xml:space="preserve">1、负责全区市场综合监督管理工作；2.负责全区市场主体统一登记注册；3.负责组织和指导全区市场监管综合执法工作；4.负责全区反垄断统一执法，；5.负责监督管理全区市场秩序；6.负责全区宏观质量管理；7.负责全区食品质量安全监督管理；8.负责全区特种设备安全监督管理；9.负责全区食品安全监督管理综合协调；10、负责全区食品安全监督管理；11、负责统一管理全区计量工作；12、负责统一管理全区标准化工作；13、负责统一管理全区检验检测工作；14、负责统一管理全区认证认可工作；15、负责市场监督管理科技和信息化建设；16负责全区药品、医疗器械和化妆品安全监督管理；17、负责全区知识产权战略和规划的制定，负责知识产权的保护，负责组织指导商标、专利执法工作；18、贯彻落实中央、省委、市委和区委关于加强民营经济党组织建设有关要求、19、负责职责范围内的安全生产和职业健康、生态环境保护、审批服务便民等工作；20、完成区委区政府交办的其他任务。 </w:t>
      </w:r>
    </w:p>
    <w:p w14:paraId="331857C3">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bookmarkStart w:id="20" w:name="_Toc15377200"/>
      <w:bookmarkStart w:id="21" w:name="_Toc15396601"/>
      <w:r>
        <w:rPr>
          <w:rFonts w:hint="eastAsia" w:ascii="仿宋" w:hAnsi="仿宋" w:eastAsia="仿宋"/>
          <w:bCs/>
          <w:color w:val="000000"/>
          <w:sz w:val="32"/>
          <w:szCs w:val="32"/>
        </w:rPr>
        <w:t>2019年，在区委、区政府的坚强领导和区人大、区政协的监督支持下，在省、市</w:t>
      </w:r>
      <w:r>
        <w:rPr>
          <w:rFonts w:hint="eastAsia" w:ascii="仿宋" w:hAnsi="仿宋" w:eastAsia="仿宋"/>
          <w:bCs/>
          <w:color w:val="000000"/>
          <w:sz w:val="32"/>
          <w:szCs w:val="32"/>
          <w:lang w:eastAsia="zh-CN"/>
        </w:rPr>
        <w:t>市场监管</w:t>
      </w:r>
      <w:r>
        <w:rPr>
          <w:rFonts w:hint="eastAsia" w:ascii="仿宋" w:hAnsi="仿宋" w:eastAsia="仿宋"/>
          <w:bCs/>
          <w:color w:val="000000"/>
          <w:sz w:val="32"/>
          <w:szCs w:val="32"/>
        </w:rPr>
        <w:t>部门的精心指导和区级各部门的积极配合下，我局认真贯彻落实中央、省、市、区各项决策部署，科学谋划，精心统筹，克难攻坚，全区市场监督管理各项工作取得了新成效，圆满完成了省、市、区下达的各项目标任务。</w:t>
      </w:r>
    </w:p>
    <w:p w14:paraId="5CB8AA4D">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2019年度，区下达我局招商引资任务6000万，已超额完成，全年向上争取共60万元。机关管理及项目实施监管全年无安全事故，干部职工当年无违规违纪行为发生。</w:t>
      </w:r>
    </w:p>
    <w:p w14:paraId="1A3EC008">
      <w:pPr>
        <w:pStyle w:val="8"/>
        <w:adjustRightInd w:val="0"/>
        <w:snapToGrid w:val="0"/>
        <w:spacing w:before="93" w:line="600" w:lineRule="exact"/>
        <w:ind w:firstLine="630" w:firstLineChars="210"/>
        <w:outlineLvl w:val="2"/>
        <w:rPr>
          <w:rStyle w:val="31"/>
          <w:b w:val="0"/>
          <w:bCs w:val="0"/>
        </w:rPr>
      </w:pPr>
      <w:r>
        <w:rPr>
          <w:rFonts w:hint="eastAsia" w:ascii="黑体" w:eastAsia="黑体"/>
          <w:color w:val="000000"/>
        </w:rPr>
        <w:t>二、</w:t>
      </w:r>
      <w:r>
        <w:rPr>
          <w:rFonts w:hint="eastAsia" w:ascii="黑体" w:hAnsi="黑体" w:eastAsia="黑体"/>
          <w:color w:val="000000"/>
        </w:rPr>
        <w:t>机</w:t>
      </w:r>
      <w:r>
        <w:rPr>
          <w:rStyle w:val="31"/>
          <w:rFonts w:hint="eastAsia" w:ascii="黑体" w:hAnsi="黑体" w:eastAsia="黑体"/>
          <w:b w:val="0"/>
          <w:bCs w:val="0"/>
        </w:rPr>
        <w:t>构设置</w:t>
      </w:r>
      <w:bookmarkEnd w:id="20"/>
      <w:bookmarkEnd w:id="21"/>
    </w:p>
    <w:p w14:paraId="62E070E0">
      <w:pPr>
        <w:pStyle w:val="15"/>
        <w:widowControl/>
        <w:spacing w:before="120" w:line="600" w:lineRule="atLeast"/>
        <w:ind w:firstLine="660"/>
        <w:rPr>
          <w:rFonts w:ascii="仿宋" w:hAnsi="仿宋" w:eastAsia="仿宋"/>
          <w:bCs/>
          <w:color w:val="000000"/>
          <w:sz w:val="32"/>
          <w:szCs w:val="32"/>
        </w:rPr>
      </w:pPr>
      <w:r>
        <w:rPr>
          <w:rFonts w:hint="eastAsia" w:ascii="仿宋" w:hAnsi="仿宋" w:eastAsia="仿宋"/>
          <w:bCs/>
          <w:color w:val="000000"/>
          <w:sz w:val="32"/>
          <w:szCs w:val="32"/>
        </w:rPr>
        <w:t>昭化区市场监督管理局无</w:t>
      </w:r>
      <w:r>
        <w:rPr>
          <w:rFonts w:ascii="仿宋" w:hAnsi="仿宋" w:eastAsia="仿宋"/>
          <w:bCs/>
          <w:color w:val="000000"/>
          <w:sz w:val="32"/>
          <w:szCs w:val="32"/>
        </w:rPr>
        <w:t>下属二级预算</w:t>
      </w:r>
      <w:r>
        <w:rPr>
          <w:rFonts w:hint="eastAsia" w:ascii="仿宋" w:hAnsi="仿宋" w:eastAsia="仿宋"/>
          <w:bCs/>
          <w:color w:val="000000"/>
          <w:sz w:val="32"/>
          <w:szCs w:val="32"/>
        </w:rPr>
        <w:t>单位</w:t>
      </w:r>
      <w:r>
        <w:rPr>
          <w:rFonts w:ascii="仿宋" w:hAnsi="仿宋" w:eastAsia="仿宋"/>
          <w:bCs/>
          <w:color w:val="000000"/>
          <w:sz w:val="32"/>
          <w:szCs w:val="32"/>
        </w:rPr>
        <w:t>，行政单位1个，其他事业单位</w:t>
      </w:r>
      <w:r>
        <w:rPr>
          <w:rFonts w:hint="eastAsia" w:ascii="仿宋" w:hAnsi="仿宋" w:eastAsia="仿宋"/>
          <w:bCs/>
          <w:color w:val="000000"/>
          <w:sz w:val="32"/>
          <w:szCs w:val="32"/>
        </w:rPr>
        <w:t>3</w:t>
      </w:r>
      <w:r>
        <w:rPr>
          <w:rFonts w:ascii="仿宋" w:hAnsi="仿宋" w:eastAsia="仿宋"/>
          <w:bCs/>
          <w:color w:val="000000"/>
          <w:sz w:val="32"/>
          <w:szCs w:val="32"/>
        </w:rPr>
        <w:t>个：</w:t>
      </w:r>
      <w:r>
        <w:rPr>
          <w:rFonts w:hint="eastAsia" w:ascii="仿宋" w:hAnsi="仿宋" w:eastAsia="仿宋"/>
          <w:bCs/>
          <w:color w:val="000000"/>
          <w:sz w:val="32"/>
          <w:szCs w:val="32"/>
        </w:rPr>
        <w:t>广元市昭化区市场监督事务中心、广元市昭化区消费者权益服务中心、广元市昭化区市场监督信息中心</w:t>
      </w:r>
      <w:r>
        <w:rPr>
          <w:rFonts w:ascii="仿宋" w:hAnsi="仿宋" w:eastAsia="仿宋"/>
          <w:bCs/>
          <w:color w:val="000000"/>
          <w:sz w:val="32"/>
          <w:szCs w:val="32"/>
        </w:rPr>
        <w:t>。</w:t>
      </w:r>
    </w:p>
    <w:p w14:paraId="0C77BCD1">
      <w:pPr>
        <w:pStyle w:val="8"/>
        <w:adjustRightInd w:val="0"/>
        <w:snapToGrid w:val="0"/>
        <w:spacing w:before="93" w:line="600" w:lineRule="exact"/>
        <w:ind w:firstLine="672" w:firstLineChars="210"/>
        <w:rPr>
          <w:rFonts w:ascii="仿宋" w:hAnsi="仿宋" w:eastAsia="仿宋"/>
          <w:bCs/>
          <w:color w:val="000000"/>
          <w:sz w:val="32"/>
          <w:szCs w:val="32"/>
        </w:rPr>
      </w:pPr>
      <w:r>
        <w:rPr>
          <w:rFonts w:hint="eastAsia" w:ascii="仿宋" w:hAnsi="仿宋" w:eastAsia="仿宋"/>
          <w:bCs/>
          <w:color w:val="000000"/>
          <w:sz w:val="32"/>
          <w:szCs w:val="32"/>
        </w:rPr>
        <w:t>无纳入2019年度部门决算编制范围的二级预算单位。</w:t>
      </w:r>
    </w:p>
    <w:p w14:paraId="59A9AEA9">
      <w:pPr>
        <w:pStyle w:val="8"/>
        <w:adjustRightInd w:val="0"/>
        <w:snapToGrid w:val="0"/>
        <w:spacing w:before="93" w:line="600" w:lineRule="exact"/>
        <w:ind w:firstLine="672" w:firstLineChars="210"/>
        <w:rPr>
          <w:rFonts w:ascii="仿宋" w:hAnsi="仿宋" w:eastAsia="仿宋"/>
          <w:bCs/>
          <w:color w:val="000000"/>
          <w:sz w:val="32"/>
          <w:szCs w:val="32"/>
        </w:rPr>
      </w:pPr>
    </w:p>
    <w:p w14:paraId="3C9D7DB3">
      <w:pPr>
        <w:pStyle w:val="4"/>
        <w:ind w:right="440"/>
        <w:jc w:val="right"/>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30"/>
          <w:rFonts w:hint="eastAsia" w:ascii="黑体" w:hAnsi="黑体" w:eastAsia="黑体"/>
          <w:b w:val="0"/>
          <w:bCs w:val="0"/>
        </w:rPr>
        <w:t>2019年度部门决算情况说明</w:t>
      </w:r>
      <w:bookmarkEnd w:id="22"/>
      <w:bookmarkEnd w:id="23"/>
    </w:p>
    <w:p w14:paraId="202481EF">
      <w:pPr>
        <w:pStyle w:val="29"/>
        <w:numPr>
          <w:ilvl w:val="0"/>
          <w:numId w:val="1"/>
        </w:numPr>
        <w:spacing w:line="600" w:lineRule="exact"/>
        <w:ind w:firstLineChars="0"/>
        <w:outlineLvl w:val="1"/>
        <w:rPr>
          <w:rStyle w:val="31"/>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31"/>
          <w:rFonts w:hint="eastAsia" w:ascii="黑体" w:hAnsi="黑体" w:eastAsia="黑体"/>
          <w:b w:val="0"/>
        </w:rPr>
        <w:t>入支出决算总体情况说明</w:t>
      </w:r>
      <w:bookmarkEnd w:id="24"/>
      <w:bookmarkEnd w:id="25"/>
    </w:p>
    <w:p w14:paraId="29FCE458">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2019年度收、支总计795.10万元。与2018年</w:t>
      </w:r>
      <w:r>
        <w:rPr>
          <w:rFonts w:hint="eastAsia" w:ascii="仿宋" w:hAnsi="仿宋" w:eastAsia="仿宋"/>
          <w:color w:val="000000"/>
          <w:sz w:val="32"/>
          <w:szCs w:val="32"/>
          <w:lang w:val="en-US" w:eastAsia="zh-CN"/>
        </w:rPr>
        <w:t>932.88万元</w:t>
      </w:r>
      <w:r>
        <w:rPr>
          <w:rFonts w:hint="eastAsia" w:ascii="仿宋" w:hAnsi="仿宋" w:eastAsia="仿宋"/>
          <w:color w:val="000000"/>
          <w:sz w:val="32"/>
          <w:szCs w:val="32"/>
        </w:rPr>
        <w:t>相比，收、支总计各减少137.78万元，下降14.76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1、2018年中央配套快检车专项资金；2、2019年省市补助年专项</w:t>
      </w:r>
      <w:r>
        <w:rPr>
          <w:rFonts w:hint="eastAsia" w:ascii="仿宋" w:hAnsi="仿宋" w:eastAsia="仿宋"/>
          <w:color w:val="000000"/>
          <w:sz w:val="32"/>
          <w:szCs w:val="32"/>
        </w:rPr>
        <w:t>经费减少。</w:t>
      </w:r>
    </w:p>
    <w:p w14:paraId="4218847A">
      <w:pPr>
        <w:pStyle w:val="29"/>
        <w:numPr>
          <w:ilvl w:val="0"/>
          <w:numId w:val="1"/>
        </w:numPr>
        <w:spacing w:line="600" w:lineRule="exact"/>
        <w:ind w:firstLineChars="0"/>
        <w:outlineLvl w:val="1"/>
        <w:rPr>
          <w:rStyle w:val="31"/>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31"/>
          <w:rFonts w:hint="eastAsia" w:ascii="黑体" w:hAnsi="黑体" w:eastAsia="黑体"/>
          <w:b w:val="0"/>
        </w:rPr>
        <w:t>入决算情况说明</w:t>
      </w:r>
      <w:bookmarkEnd w:id="26"/>
      <w:bookmarkEnd w:id="27"/>
    </w:p>
    <w:p w14:paraId="0C9AD9BF">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9年本年收入合计795.10万元，其中：一般公共预算财政拨款收入795.10万元，占100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0F9FB73F">
      <w:pPr>
        <w:pStyle w:val="29"/>
        <w:numPr>
          <w:ilvl w:val="0"/>
          <w:numId w:val="1"/>
        </w:numPr>
        <w:spacing w:line="600" w:lineRule="exact"/>
        <w:ind w:firstLineChars="0"/>
        <w:outlineLvl w:val="1"/>
        <w:rPr>
          <w:rStyle w:val="31"/>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31"/>
          <w:rFonts w:hint="eastAsia" w:ascii="黑体" w:hAnsi="黑体" w:eastAsia="黑体"/>
          <w:b w:val="0"/>
        </w:rPr>
        <w:t>出决算情况说明</w:t>
      </w:r>
      <w:bookmarkEnd w:id="28"/>
      <w:bookmarkEnd w:id="29"/>
    </w:p>
    <w:p w14:paraId="2E5B1687">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9年本年支出合计795.10万元，其中：基本支出711.10万元，占</w:t>
      </w:r>
      <w:r>
        <w:rPr>
          <w:rFonts w:hint="eastAsia" w:ascii="仿宋" w:hAnsi="仿宋" w:eastAsia="仿宋"/>
          <w:color w:val="000000"/>
          <w:sz w:val="32"/>
          <w:szCs w:val="32"/>
          <w:lang w:val="en-US" w:eastAsia="zh-CN"/>
        </w:rPr>
        <w:t>89.4%</w:t>
      </w:r>
      <w:r>
        <w:rPr>
          <w:rFonts w:hint="eastAsia" w:ascii="仿宋" w:hAnsi="仿宋" w:eastAsia="仿宋"/>
          <w:color w:val="000000"/>
          <w:sz w:val="32"/>
          <w:szCs w:val="32"/>
          <w:lang w:eastAsia="zh-CN"/>
        </w:rPr>
        <w:t>；</w:t>
      </w:r>
      <w:r>
        <w:rPr>
          <w:rFonts w:hint="eastAsia" w:ascii="仿宋" w:hAnsi="仿宋" w:eastAsia="仿宋"/>
          <w:color w:val="000000"/>
          <w:sz w:val="32"/>
          <w:szCs w:val="32"/>
        </w:rPr>
        <w:t>项目支出84万元，占</w:t>
      </w:r>
      <w:r>
        <w:rPr>
          <w:rFonts w:hint="eastAsia" w:ascii="仿宋" w:hAnsi="仿宋" w:eastAsia="仿宋"/>
          <w:color w:val="000000"/>
          <w:sz w:val="32"/>
          <w:szCs w:val="32"/>
          <w:lang w:val="en-US" w:eastAsia="zh-CN"/>
        </w:rPr>
        <w:t>10.6%</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564ED4E9">
      <w:pPr>
        <w:spacing w:line="600" w:lineRule="exact"/>
        <w:ind w:firstLine="640" w:firstLineChars="200"/>
        <w:outlineLvl w:val="1"/>
        <w:rPr>
          <w:rStyle w:val="31"/>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31"/>
          <w:rFonts w:hint="eastAsia" w:ascii="黑体" w:hAnsi="黑体" w:eastAsia="黑体"/>
          <w:b w:val="0"/>
        </w:rPr>
        <w:t>政拨款收入支出决算总体情况说明</w:t>
      </w:r>
      <w:bookmarkEnd w:id="30"/>
      <w:bookmarkEnd w:id="31"/>
    </w:p>
    <w:p w14:paraId="4CF2BF2D">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9年财政拨款收、支总计795.10万元。与</w:t>
      </w:r>
      <w:r>
        <w:rPr>
          <w:rFonts w:ascii="仿宋" w:hAnsi="仿宋" w:eastAsia="仿宋"/>
          <w:color w:val="000000"/>
          <w:sz w:val="32"/>
          <w:szCs w:val="32"/>
        </w:rPr>
        <w:t>201</w:t>
      </w:r>
      <w:r>
        <w:rPr>
          <w:rFonts w:hint="eastAsia" w:ascii="仿宋" w:hAnsi="仿宋" w:eastAsia="仿宋"/>
          <w:color w:val="000000"/>
          <w:sz w:val="32"/>
          <w:szCs w:val="32"/>
        </w:rPr>
        <w:t>8年</w:t>
      </w:r>
      <w:r>
        <w:rPr>
          <w:rFonts w:hint="eastAsia" w:ascii="仿宋" w:hAnsi="仿宋" w:eastAsia="仿宋"/>
          <w:color w:val="000000"/>
          <w:sz w:val="32"/>
          <w:szCs w:val="32"/>
          <w:lang w:val="en-US" w:eastAsia="zh-CN"/>
        </w:rPr>
        <w:t>932.88万</w:t>
      </w:r>
      <w:r>
        <w:rPr>
          <w:rFonts w:hint="eastAsia" w:ascii="仿宋" w:hAnsi="仿宋" w:eastAsia="仿宋"/>
          <w:color w:val="000000"/>
          <w:sz w:val="32"/>
          <w:szCs w:val="32"/>
        </w:rPr>
        <w:t>相比，财政拨款收、支总计各减少137.78万元，下降14.76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1、2018年中央配套快检车专项资金；2、2019年省市补助年专项</w:t>
      </w:r>
      <w:r>
        <w:rPr>
          <w:rFonts w:hint="eastAsia" w:ascii="仿宋" w:hAnsi="仿宋" w:eastAsia="仿宋"/>
          <w:color w:val="000000"/>
          <w:sz w:val="32"/>
          <w:szCs w:val="32"/>
        </w:rPr>
        <w:t>经费减少。</w:t>
      </w:r>
    </w:p>
    <w:p w14:paraId="0016F629">
      <w:pPr>
        <w:spacing w:line="600" w:lineRule="exact"/>
        <w:ind w:firstLine="640"/>
        <w:rPr>
          <w:rFonts w:ascii="仿宋" w:hAnsi="仿宋" w:eastAsia="仿宋"/>
          <w:b/>
          <w:color w:val="00B050"/>
          <w:sz w:val="32"/>
          <w:szCs w:val="32"/>
        </w:rPr>
      </w:pPr>
      <w:r>
        <w:rPr>
          <w:rFonts w:hint="eastAsia" w:ascii="仿宋" w:hAnsi="仿宋" w:eastAsia="仿宋"/>
          <w:color w:val="000000"/>
          <w:sz w:val="32"/>
          <w:szCs w:val="32"/>
        </w:rPr>
        <w:t>。</w:t>
      </w:r>
    </w:p>
    <w:p w14:paraId="25160AFC">
      <w:pPr>
        <w:spacing w:line="600" w:lineRule="exact"/>
        <w:ind w:firstLine="640" w:firstLineChars="200"/>
        <w:outlineLvl w:val="1"/>
        <w:rPr>
          <w:rStyle w:val="31"/>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1"/>
          <w:rFonts w:hint="eastAsia" w:ascii="黑体" w:hAnsi="黑体" w:eastAsia="黑体"/>
          <w:b w:val="0"/>
        </w:rPr>
        <w:t>般公共预算财政拨款支出决算情况说明</w:t>
      </w:r>
      <w:bookmarkEnd w:id="32"/>
      <w:bookmarkEnd w:id="33"/>
    </w:p>
    <w:p w14:paraId="7D3FE00C">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6E308C5E">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9年一般公共预算财政拨款支出795.10万元，占本年支出合计的100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w:t>
      </w:r>
      <w:r>
        <w:rPr>
          <w:rFonts w:hint="eastAsia" w:ascii="仿宋" w:hAnsi="仿宋" w:eastAsia="仿宋"/>
          <w:color w:val="000000"/>
          <w:sz w:val="32"/>
          <w:szCs w:val="32"/>
          <w:lang w:val="en-US" w:eastAsia="zh-CN"/>
        </w:rPr>
        <w:t>932.88万</w:t>
      </w:r>
      <w:r>
        <w:rPr>
          <w:rFonts w:hint="eastAsia" w:ascii="仿宋" w:hAnsi="仿宋" w:eastAsia="仿宋"/>
          <w:color w:val="000000"/>
          <w:sz w:val="32"/>
          <w:szCs w:val="32"/>
        </w:rPr>
        <w:t>相比，一般公共预算财政拨减少137.78万元，下降14.76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1、2018年中央配套快检车专项资金；2、2019年省市补助年专项</w:t>
      </w:r>
      <w:r>
        <w:rPr>
          <w:rFonts w:hint="eastAsia" w:ascii="仿宋" w:hAnsi="仿宋" w:eastAsia="仿宋"/>
          <w:color w:val="000000"/>
          <w:sz w:val="32"/>
          <w:szCs w:val="32"/>
        </w:rPr>
        <w:t>经费减少。</w:t>
      </w:r>
    </w:p>
    <w:p w14:paraId="3D2AD70E">
      <w:pPr>
        <w:spacing w:line="600" w:lineRule="exact"/>
        <w:ind w:firstLine="640" w:firstLineChars="200"/>
        <w:rPr>
          <w:rFonts w:ascii="仿宋" w:hAnsi="仿宋" w:eastAsia="仿宋"/>
          <w:color w:val="000000" w:themeColor="text1"/>
          <w:sz w:val="32"/>
          <w:szCs w:val="32"/>
        </w:rPr>
      </w:pPr>
    </w:p>
    <w:p w14:paraId="43164D0B">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3D8F3058">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政拨款支出795.10万元，主要用于以下方面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支出646.93万元，占81.5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支出67.60万元，占8.5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32.21万元，占4</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；住房保障支出48.36万元，占6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6B91D5C5">
      <w:pPr>
        <w:spacing w:line="600" w:lineRule="exact"/>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0BC055D0">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rPr>
        <w:t>2019年般公共预算支出决算数为795.10</w:t>
      </w:r>
      <w:r>
        <w:rPr>
          <w:rFonts w:hint="eastAsia" w:ascii="仿宋" w:hAnsi="仿宋" w:eastAsia="仿宋"/>
          <w:color w:val="000000" w:themeColor="text1"/>
          <w:sz w:val="32"/>
          <w:szCs w:val="32"/>
        </w:rPr>
        <w:t>，</w:t>
      </w:r>
      <w:r>
        <w:rPr>
          <w:rStyle w:val="19"/>
          <w:rFonts w:hint="eastAsia" w:ascii="仿宋" w:hAnsi="仿宋" w:eastAsia="仿宋"/>
          <w:bCs/>
          <w:color w:val="000000" w:themeColor="text1"/>
          <w:sz w:val="32"/>
          <w:szCs w:val="32"/>
        </w:rPr>
        <w:t>完成</w:t>
      </w:r>
      <w:r>
        <w:rPr>
          <w:rStyle w:val="19"/>
          <w:rFonts w:hint="eastAsia" w:ascii="仿宋" w:hAnsi="仿宋" w:eastAsia="仿宋"/>
          <w:bCs/>
          <w:color w:val="000000"/>
          <w:sz w:val="32"/>
          <w:szCs w:val="32"/>
        </w:rPr>
        <w:t>预算100</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。其中：</w:t>
      </w:r>
      <w:bookmarkEnd w:id="37"/>
      <w:bookmarkEnd w:id="38"/>
      <w:bookmarkEnd w:id="39"/>
    </w:p>
    <w:p w14:paraId="7C617F1B">
      <w:pPr>
        <w:spacing w:line="600" w:lineRule="exact"/>
        <w:ind w:firstLine="643" w:firstLineChars="200"/>
        <w:rPr>
          <w:rFonts w:ascii="仿宋" w:hAnsi="仿宋" w:eastAsia="仿宋"/>
          <w:b/>
          <w:color w:val="000000"/>
          <w:sz w:val="32"/>
          <w:szCs w:val="32"/>
        </w:rPr>
      </w:pPr>
      <w:r>
        <w:rPr>
          <w:rStyle w:val="19"/>
          <w:rFonts w:ascii="仿宋" w:hAnsi="仿宋" w:eastAsia="仿宋"/>
          <w:bCs/>
          <w:color w:val="000000"/>
          <w:sz w:val="32"/>
          <w:szCs w:val="32"/>
        </w:rPr>
        <w:t>1.</w:t>
      </w:r>
      <w:r>
        <w:rPr>
          <w:rStyle w:val="19"/>
          <w:rFonts w:hint="eastAsia" w:ascii="仿宋" w:hAnsi="仿宋" w:eastAsia="仿宋"/>
          <w:bCs/>
          <w:color w:val="000000"/>
          <w:sz w:val="32"/>
          <w:szCs w:val="32"/>
        </w:rPr>
        <w:t>一般公共服务（类）市场监督管理事务（款） 行政运行（项）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支出决算为525.58万元，完成预算100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1618DCB7">
      <w:pPr>
        <w:spacing w:line="600" w:lineRule="exact"/>
        <w:ind w:firstLine="643" w:firstLineChars="200"/>
        <w:rPr>
          <w:rStyle w:val="19"/>
          <w:rFonts w:ascii="仿宋" w:hAnsi="仿宋" w:eastAsia="仿宋"/>
          <w:b w:val="0"/>
          <w:bCs/>
          <w:color w:val="000000"/>
          <w:sz w:val="32"/>
          <w:szCs w:val="32"/>
        </w:rPr>
      </w:pPr>
      <w:r>
        <w:rPr>
          <w:rStyle w:val="19"/>
          <w:rFonts w:ascii="仿宋" w:hAnsi="仿宋" w:eastAsia="仿宋"/>
          <w:bCs/>
          <w:color w:val="000000"/>
          <w:sz w:val="32"/>
          <w:szCs w:val="32"/>
        </w:rPr>
        <w:t>2.</w:t>
      </w:r>
      <w:r>
        <w:rPr>
          <w:rStyle w:val="19"/>
          <w:rFonts w:hint="eastAsia" w:ascii="仿宋" w:hAnsi="仿宋" w:eastAsia="仿宋"/>
          <w:bCs/>
          <w:color w:val="000000"/>
          <w:sz w:val="32"/>
          <w:szCs w:val="32"/>
        </w:rPr>
        <w:t>一般公共服务（类）市场监督管理事务（款） 一般行政管理事务（项）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支出决算为37.35万元，完成预算100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 xml:space="preserve">。 </w:t>
      </w:r>
    </w:p>
    <w:p w14:paraId="4FA77A17">
      <w:pPr>
        <w:spacing w:line="600" w:lineRule="exact"/>
        <w:ind w:firstLine="643" w:firstLineChars="200"/>
        <w:rPr>
          <w:rStyle w:val="19"/>
          <w:rFonts w:ascii="仿宋" w:hAnsi="仿宋" w:eastAsia="仿宋"/>
          <w:b w:val="0"/>
          <w:bCs/>
          <w:color w:val="000000"/>
          <w:sz w:val="32"/>
          <w:szCs w:val="32"/>
        </w:rPr>
      </w:pPr>
      <w:r>
        <w:rPr>
          <w:rStyle w:val="19"/>
          <w:rFonts w:hint="eastAsia" w:ascii="仿宋" w:hAnsi="仿宋" w:eastAsia="仿宋"/>
          <w:bCs/>
          <w:color w:val="000000"/>
          <w:sz w:val="32"/>
          <w:szCs w:val="32"/>
        </w:rPr>
        <w:t>3、一般公共服务（类）市场监督管理事务（款） 市场监督管理专项（项）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支出决算为74万元，完成预算100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379785E6">
      <w:pPr>
        <w:spacing w:line="600" w:lineRule="exact"/>
        <w:ind w:firstLine="643" w:firstLineChars="200"/>
        <w:rPr>
          <w:rStyle w:val="19"/>
          <w:rFonts w:ascii="仿宋" w:hAnsi="仿宋" w:eastAsia="仿宋"/>
          <w:b w:val="0"/>
          <w:bCs/>
          <w:color w:val="000000"/>
          <w:sz w:val="32"/>
          <w:szCs w:val="32"/>
        </w:rPr>
      </w:pPr>
      <w:r>
        <w:rPr>
          <w:rStyle w:val="19"/>
          <w:rFonts w:ascii="仿宋" w:hAnsi="仿宋" w:eastAsia="仿宋"/>
          <w:bCs/>
          <w:color w:val="000000"/>
          <w:sz w:val="32"/>
          <w:szCs w:val="32"/>
        </w:rPr>
        <w:t>4.</w:t>
      </w:r>
      <w:r>
        <w:rPr>
          <w:rStyle w:val="19"/>
          <w:rFonts w:hint="eastAsia" w:ascii="仿宋" w:hAnsi="仿宋" w:eastAsia="仿宋"/>
          <w:bCs/>
          <w:color w:val="000000"/>
          <w:sz w:val="32"/>
          <w:szCs w:val="32"/>
        </w:rPr>
        <w:t>一般公共服务（类）市场监督管理事务（款） 药品事务（项）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支出决算为10万元，完成预算100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0FDE138E">
      <w:pPr>
        <w:spacing w:line="600" w:lineRule="exact"/>
        <w:ind w:firstLine="643" w:firstLineChars="200"/>
        <w:rPr>
          <w:rFonts w:ascii="仿宋" w:hAnsi="仿宋" w:eastAsia="仿宋"/>
          <w:b/>
          <w:color w:val="000000"/>
          <w:sz w:val="32"/>
          <w:szCs w:val="32"/>
        </w:rPr>
      </w:pPr>
      <w:r>
        <w:rPr>
          <w:rStyle w:val="19"/>
          <w:rFonts w:ascii="仿宋" w:hAnsi="仿宋" w:eastAsia="仿宋"/>
          <w:bCs/>
          <w:color w:val="000000"/>
          <w:sz w:val="32"/>
          <w:szCs w:val="32"/>
        </w:rPr>
        <w:t>5.</w:t>
      </w:r>
      <w:r>
        <w:rPr>
          <w:rStyle w:val="19"/>
          <w:rFonts w:hint="eastAsia" w:ascii="仿宋" w:hAnsi="仿宋" w:eastAsia="仿宋"/>
          <w:bCs/>
          <w:color w:val="000000"/>
          <w:sz w:val="32"/>
          <w:szCs w:val="32"/>
        </w:rPr>
        <w:t>社会保障和就业（类）行政事业单位离退休（款）机关事业单位基本养老保险缴费支出（项）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支出决算为67.6万元，完成预算100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2E96B995">
      <w:pPr>
        <w:spacing w:line="600" w:lineRule="exact"/>
        <w:ind w:firstLine="643" w:firstLineChars="200"/>
        <w:rPr>
          <w:rFonts w:ascii="仿宋" w:hAnsi="仿宋" w:eastAsia="仿宋"/>
          <w:b/>
          <w:color w:val="000000"/>
          <w:sz w:val="32"/>
          <w:szCs w:val="32"/>
        </w:rPr>
      </w:pPr>
      <w:r>
        <w:rPr>
          <w:rStyle w:val="19"/>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9"/>
          <w:rFonts w:hint="eastAsia" w:ascii="仿宋" w:hAnsi="仿宋" w:eastAsia="仿宋"/>
          <w:bCs/>
          <w:color w:val="000000"/>
          <w:sz w:val="32"/>
          <w:szCs w:val="32"/>
        </w:rPr>
        <w:t>（类）行政事业单位医疗（款）行政单位医疗（项）</w:t>
      </w:r>
      <w:r>
        <w:rPr>
          <w:rStyle w:val="19"/>
          <w:rFonts w:ascii="仿宋" w:hAnsi="仿宋" w:eastAsia="仿宋"/>
          <w:bCs/>
          <w:color w:val="000000"/>
          <w:sz w:val="32"/>
          <w:szCs w:val="32"/>
        </w:rPr>
        <w:t>:</w:t>
      </w:r>
      <w:r>
        <w:rPr>
          <w:rStyle w:val="19"/>
          <w:rFonts w:hint="eastAsia" w:ascii="仿宋" w:hAnsi="仿宋" w:eastAsia="仿宋"/>
          <w:b w:val="0"/>
          <w:bCs/>
          <w:color w:val="000000"/>
          <w:sz w:val="32"/>
          <w:szCs w:val="32"/>
        </w:rPr>
        <w:t>支出决算为32.21万元，完成预算100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2A289EED">
      <w:pPr>
        <w:spacing w:line="600" w:lineRule="exact"/>
        <w:ind w:firstLine="643" w:firstLineChars="200"/>
        <w:rPr>
          <w:rFonts w:ascii="仿宋" w:hAnsi="仿宋" w:eastAsia="仿宋"/>
          <w:b/>
          <w:color w:val="000000"/>
          <w:sz w:val="32"/>
          <w:szCs w:val="32"/>
        </w:rPr>
      </w:pPr>
      <w:r>
        <w:rPr>
          <w:rFonts w:hint="eastAsia" w:ascii="仿宋" w:hAnsi="仿宋" w:eastAsia="仿宋"/>
          <w:b/>
          <w:bCs/>
          <w:color w:val="000000" w:themeColor="text1"/>
          <w:sz w:val="32"/>
          <w:szCs w:val="32"/>
        </w:rPr>
        <w:t>7、住房保障支出（类）住房改革支出（款）住房公积金（项）：</w:t>
      </w:r>
      <w:r>
        <w:rPr>
          <w:rStyle w:val="19"/>
          <w:rFonts w:hint="eastAsia" w:ascii="仿宋" w:hAnsi="仿宋" w:eastAsia="仿宋"/>
          <w:b w:val="0"/>
          <w:bCs/>
          <w:color w:val="000000"/>
          <w:sz w:val="32"/>
          <w:szCs w:val="32"/>
        </w:rPr>
        <w:t>支出决算为48.36万元，完成预算100</w:t>
      </w:r>
      <w:r>
        <w:rPr>
          <w:rStyle w:val="19"/>
          <w:rFonts w:ascii="仿宋" w:hAnsi="仿宋" w:eastAsia="仿宋"/>
          <w:b w:val="0"/>
          <w:bCs/>
          <w:color w:val="000000"/>
          <w:sz w:val="32"/>
          <w:szCs w:val="32"/>
        </w:rPr>
        <w:t>%</w:t>
      </w:r>
    </w:p>
    <w:p w14:paraId="1ED0E635">
      <w:pPr>
        <w:tabs>
          <w:tab w:val="right" w:pos="8306"/>
        </w:tabs>
        <w:spacing w:line="600" w:lineRule="exact"/>
        <w:ind w:firstLine="640"/>
        <w:outlineLvl w:val="1"/>
        <w:rPr>
          <w:rStyle w:val="31"/>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1"/>
          <w:rFonts w:hint="eastAsia" w:ascii="黑体" w:hAnsi="黑体" w:eastAsia="黑体"/>
          <w:b w:val="0"/>
        </w:rPr>
        <w:t>般公共预算财政拨款基本支出决算情况说明</w:t>
      </w:r>
      <w:bookmarkEnd w:id="40"/>
      <w:bookmarkEnd w:id="41"/>
      <w:r>
        <w:rPr>
          <w:rStyle w:val="31"/>
          <w:rFonts w:ascii="黑体" w:hAnsi="黑体" w:eastAsia="黑体"/>
          <w:b w:val="0"/>
        </w:rPr>
        <w:tab/>
      </w:r>
    </w:p>
    <w:p w14:paraId="4AA8DFC9">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9年一般公共预算财政拨款基本支出795.10万元，其中：</w:t>
      </w:r>
    </w:p>
    <w:p w14:paraId="0FED256F">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614.87万元，主要包括：基本工资、津贴补贴、奖金、绩效工资、机关事业单位基本养老保险缴费、其他社会保障缴费、其他工资福利支出、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96.23万元，主要包括：办公费、印刷费、咨询费、手续费、水费、电费、邮电费、物业管理费、差旅费、维修（护）费、租赁费、会议费、培训费、公务接待费、劳务费、委托业务费、工会经费、福利费、公务用车运行维护费、其他交通费、其他商品和服务支出等。</w:t>
      </w:r>
    </w:p>
    <w:p w14:paraId="1F534BC4">
      <w:pPr>
        <w:spacing w:line="600" w:lineRule="exact"/>
        <w:ind w:firstLine="640"/>
        <w:outlineLvl w:val="1"/>
        <w:rPr>
          <w:rStyle w:val="31"/>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42"/>
      <w:bookmarkEnd w:id="43"/>
    </w:p>
    <w:p w14:paraId="03131AF3">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14E8308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9年“三公”经费财政拨款支出决算为11.25万元，完成预算93.75</w:t>
      </w:r>
      <w:r>
        <w:rPr>
          <w:rFonts w:ascii="仿宋" w:hAnsi="仿宋" w:eastAsia="仿宋"/>
          <w:color w:val="000000"/>
          <w:sz w:val="32"/>
          <w:szCs w:val="32"/>
        </w:rPr>
        <w:t>%</w:t>
      </w:r>
      <w:r>
        <w:rPr>
          <w:rFonts w:hint="eastAsia" w:ascii="仿宋" w:hAnsi="仿宋" w:eastAsia="仿宋"/>
          <w:color w:val="000000"/>
          <w:sz w:val="32"/>
          <w:szCs w:val="32"/>
        </w:rPr>
        <w:t>，决算数小于预算数的</w:t>
      </w:r>
      <w:r>
        <w:rPr>
          <w:rFonts w:hint="default" w:ascii="Times New Roman" w:hAnsi="Times New Roman" w:eastAsia="仿宋_GB2312" w:cs="Times New Roman"/>
          <w:sz w:val="32"/>
          <w:szCs w:val="32"/>
          <w:lang w:eastAsia="zh-CN"/>
        </w:rPr>
        <w:t>主要原因是按照党中央、国务院关于过“紧日子”和坚持厉行节约反对浪费的要求，进一步减少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三公</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lang w:eastAsia="zh-CN"/>
        </w:rPr>
        <w:t>支出。</w:t>
      </w:r>
    </w:p>
    <w:p w14:paraId="289DA658">
      <w:pPr>
        <w:spacing w:line="600" w:lineRule="exact"/>
        <w:ind w:firstLine="640"/>
        <w:rPr>
          <w:rFonts w:ascii="仿宋" w:hAnsi="仿宋" w:eastAsia="仿宋"/>
          <w:b/>
          <w:color w:val="FF0000"/>
          <w:sz w:val="32"/>
          <w:szCs w:val="32"/>
        </w:rPr>
      </w:pPr>
    </w:p>
    <w:p w14:paraId="4E93103A">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0CD7AEA8">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；公务用车购置及运行维护费支出决算7.5万元，占66.7</w:t>
      </w:r>
      <w:r>
        <w:rPr>
          <w:rFonts w:ascii="仿宋" w:hAnsi="仿宋" w:eastAsia="仿宋"/>
          <w:color w:val="000000"/>
          <w:sz w:val="32"/>
          <w:szCs w:val="32"/>
        </w:rPr>
        <w:t>%</w:t>
      </w:r>
      <w:r>
        <w:rPr>
          <w:rFonts w:hint="eastAsia" w:ascii="仿宋" w:hAnsi="仿宋" w:eastAsia="仿宋"/>
          <w:color w:val="000000"/>
          <w:sz w:val="32"/>
          <w:szCs w:val="32"/>
        </w:rPr>
        <w:t>；公务接待费支出决算3.75万元，占33.3</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F312CBB">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因公出国（境）经费支出0</w:t>
      </w:r>
      <w:r>
        <w:rPr>
          <w:rFonts w:hint="eastAsia" w:ascii="仿宋_GB2312" w:eastAsia="仿宋_GB2312"/>
          <w:color w:val="000000"/>
          <w:sz w:val="32"/>
          <w:szCs w:val="32"/>
        </w:rPr>
        <w:t>万元，</w:t>
      </w:r>
      <w:r>
        <w:rPr>
          <w:rStyle w:val="19"/>
          <w:rFonts w:hint="eastAsia" w:ascii="仿宋" w:hAnsi="仿宋" w:eastAsia="仿宋"/>
          <w:b w:val="0"/>
          <w:bCs/>
          <w:color w:val="000000"/>
          <w:sz w:val="32"/>
          <w:szCs w:val="32"/>
        </w:rPr>
        <w:t>完成预算0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val="en-US" w:eastAsia="zh-CN"/>
        </w:rPr>
        <w:t>持平</w:t>
      </w:r>
      <w:r>
        <w:rPr>
          <w:rFonts w:hint="eastAsia" w:ascii="仿宋_GB2312" w:eastAsia="仿宋_GB2312"/>
          <w:color w:val="000000"/>
          <w:sz w:val="32"/>
          <w:szCs w:val="32"/>
        </w:rPr>
        <w:t>。</w:t>
      </w:r>
    </w:p>
    <w:p w14:paraId="0A1EC99A">
      <w:pPr>
        <w:spacing w:line="600" w:lineRule="exact"/>
        <w:ind w:firstLine="640"/>
        <w:rPr>
          <w:rFonts w:hint="default" w:ascii="仿宋_GB2312" w:eastAsia="仿宋_GB2312"/>
          <w:b/>
          <w:color w:val="000000"/>
          <w:sz w:val="32"/>
          <w:szCs w:val="32"/>
          <w:lang w:val="en-US"/>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7.5万元,</w:t>
      </w:r>
      <w:r>
        <w:rPr>
          <w:rStyle w:val="19"/>
          <w:rFonts w:hint="eastAsia" w:ascii="仿宋" w:hAnsi="仿宋" w:eastAsia="仿宋"/>
          <w:b w:val="0"/>
          <w:bCs/>
          <w:color w:val="000000"/>
          <w:sz w:val="32"/>
          <w:szCs w:val="32"/>
        </w:rPr>
        <w:t>完成预算93.75</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8年增加0.45万元，增长6.38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机构改革原质监局合并到市场监督管理局，专项检查项目增大，业务量增加，车辆运行费用成本相应增加。</w:t>
      </w:r>
    </w:p>
    <w:p w14:paraId="364724CC">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月底，单位共有公务用车5辆，其中：主要领导干部用车0辆、机要通信用车0辆、应急保障用车0辆、 执法执勤用车5辆。</w:t>
      </w:r>
    </w:p>
    <w:p w14:paraId="27A52640">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7.5万元。主要用于食品药品医疗器械及化妆品、特种设备等安全检查等所需的公务用车燃料费、维修费、过路过桥费、保险费等支出。</w:t>
      </w:r>
    </w:p>
    <w:p w14:paraId="2E4DBE94">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黑体"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3.75万元，</w:t>
      </w:r>
      <w:r>
        <w:rPr>
          <w:rStyle w:val="19"/>
          <w:rFonts w:hint="eastAsia" w:ascii="仿宋" w:hAnsi="仿宋" w:eastAsia="仿宋"/>
          <w:b w:val="0"/>
          <w:bCs/>
          <w:color w:val="000000"/>
          <w:sz w:val="32"/>
          <w:szCs w:val="32"/>
        </w:rPr>
        <w:t>完成预算93.75</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8年减少0.17万元，下降4.33</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default" w:ascii="Times New Roman" w:hAnsi="Times New Roman" w:eastAsia="仿宋_GB2312" w:cs="Times New Roman"/>
          <w:sz w:val="32"/>
          <w:szCs w:val="32"/>
          <w:lang w:eastAsia="zh-CN"/>
        </w:rPr>
        <w:t>按照党中央、国务院关于过“紧日子”和坚持厉行节约反对浪费的要求，进一步减少</w:t>
      </w:r>
      <w:r>
        <w:rPr>
          <w:rFonts w:hint="eastAsia" w:eastAsia="仿宋_GB2312" w:cs="Times New Roman"/>
          <w:sz w:val="32"/>
          <w:szCs w:val="32"/>
          <w:lang w:val="en-US" w:eastAsia="zh-CN"/>
        </w:rPr>
        <w:t>公务接待</w:t>
      </w:r>
      <w:r>
        <w:rPr>
          <w:rFonts w:hint="eastAsia"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lang w:eastAsia="zh-CN"/>
        </w:rPr>
        <w:t>支出。</w:t>
      </w:r>
      <w:r>
        <w:rPr>
          <w:rFonts w:hint="eastAsia" w:ascii="仿宋" w:hAnsi="仿宋" w:eastAsia="仿宋"/>
          <w:b/>
          <w:color w:val="000000"/>
          <w:sz w:val="32"/>
          <w:szCs w:val="32"/>
        </w:rPr>
        <w:t>国内公务接待支出</w:t>
      </w:r>
      <w:r>
        <w:rPr>
          <w:rFonts w:hint="eastAsia" w:ascii="仿宋" w:hAnsi="仿宋" w:eastAsia="仿宋"/>
          <w:color w:val="000000"/>
          <w:sz w:val="32"/>
          <w:szCs w:val="32"/>
        </w:rPr>
        <w:t>3.75</w:t>
      </w:r>
      <w:r>
        <w:rPr>
          <w:rFonts w:hint="eastAsia" w:ascii="仿宋_GB2312" w:eastAsia="仿宋_GB2312"/>
          <w:color w:val="000000"/>
          <w:sz w:val="32"/>
          <w:szCs w:val="32"/>
        </w:rPr>
        <w:t>万元，主要用于食品药品医疗器械及化妆品、特种设备等安全检查等(执行公务、开展业务活动开支的交通费、住宿费、用餐费等)。国内公务接待,265批次，3650人次（不包括陪同人员），共计支出3.75万元，具体内容包括：食品药品医疗器械及化妆品、特种设备等安全检查。</w:t>
      </w:r>
      <w:r>
        <w:rPr>
          <w:rFonts w:hint="eastAsia" w:ascii="仿宋" w:hAnsi="仿宋" w:eastAsia="仿宋"/>
          <w:b/>
          <w:color w:val="000000"/>
          <w:sz w:val="32"/>
          <w:szCs w:val="32"/>
        </w:rPr>
        <w:t>外事接待支出0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bookmarkStart w:id="46" w:name="_Toc15396610"/>
      <w:bookmarkStart w:id="47" w:name="_Toc15377218"/>
      <w:r>
        <w:rPr>
          <w:rFonts w:hint="eastAsia" w:ascii="仿宋_GB2312" w:eastAsia="仿宋_GB2312"/>
          <w:color w:val="000000" w:themeColor="text1"/>
          <w:sz w:val="32"/>
          <w:szCs w:val="32"/>
        </w:rPr>
        <w:t>。</w:t>
      </w:r>
    </w:p>
    <w:p w14:paraId="02313922">
      <w:pPr>
        <w:spacing w:line="600" w:lineRule="exact"/>
        <w:ind w:firstLine="640"/>
        <w:outlineLvl w:val="1"/>
        <w:rPr>
          <w:rStyle w:val="31"/>
          <w:rFonts w:ascii="黑体" w:hAnsi="黑体" w:eastAsia="黑体"/>
        </w:rPr>
      </w:pPr>
      <w:r>
        <w:rPr>
          <w:rFonts w:hint="eastAsia" w:ascii="黑体" w:eastAsia="黑体"/>
          <w:color w:val="000000"/>
          <w:sz w:val="32"/>
          <w:szCs w:val="32"/>
        </w:rPr>
        <w:t>八、</w:t>
      </w:r>
      <w:r>
        <w:rPr>
          <w:rStyle w:val="31"/>
          <w:rFonts w:hint="eastAsia" w:ascii="黑体" w:hAnsi="黑体" w:eastAsia="黑体"/>
          <w:b w:val="0"/>
        </w:rPr>
        <w:t>政府性基金预算支出决算情况说明</w:t>
      </w:r>
      <w:bookmarkEnd w:id="46"/>
      <w:bookmarkEnd w:id="47"/>
    </w:p>
    <w:p w14:paraId="306AB2A2">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58A4772F">
      <w:pPr>
        <w:numPr>
          <w:ilvl w:val="0"/>
          <w:numId w:val="2"/>
        </w:numPr>
        <w:spacing w:line="600" w:lineRule="exact"/>
        <w:ind w:firstLine="640"/>
        <w:outlineLvl w:val="1"/>
        <w:rPr>
          <w:rStyle w:val="31"/>
          <w:rFonts w:ascii="黑体" w:hAnsi="黑体" w:eastAsia="黑体"/>
          <w:b w:val="0"/>
        </w:rPr>
      </w:pPr>
      <w:bookmarkStart w:id="48" w:name="_Toc15396611"/>
      <w:bookmarkStart w:id="49" w:name="_Toc15377219"/>
      <w:r>
        <w:rPr>
          <w:rStyle w:val="31"/>
          <w:rFonts w:hint="eastAsia" w:ascii="黑体" w:hAnsi="黑体" w:eastAsia="黑体"/>
          <w:b w:val="0"/>
        </w:rPr>
        <w:t>国有资本经营预算支出决算情况说明</w:t>
      </w:r>
      <w:bookmarkEnd w:id="48"/>
      <w:bookmarkEnd w:id="49"/>
    </w:p>
    <w:p w14:paraId="374890EE">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3866163E">
      <w:pPr>
        <w:spacing w:line="600" w:lineRule="exact"/>
        <w:ind w:firstLine="800" w:firstLineChars="250"/>
        <w:outlineLvl w:val="1"/>
        <w:rPr>
          <w:rStyle w:val="31"/>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31"/>
          <w:rFonts w:hint="eastAsia" w:ascii="黑体" w:hAnsi="黑体" w:eastAsia="黑体"/>
        </w:rPr>
        <w:t>、</w:t>
      </w:r>
      <w:r>
        <w:rPr>
          <w:rStyle w:val="31"/>
          <w:rFonts w:hint="eastAsia" w:ascii="黑体" w:hAnsi="黑体" w:eastAsia="黑体"/>
          <w:b w:val="0"/>
        </w:rPr>
        <w:t>其他重要事项的情况说明</w:t>
      </w:r>
      <w:bookmarkEnd w:id="50"/>
      <w:bookmarkEnd w:id="51"/>
    </w:p>
    <w:p w14:paraId="68339A7C">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11470208">
      <w:pPr>
        <w:spacing w:line="600" w:lineRule="exact"/>
        <w:ind w:firstLine="640" w:firstLineChars="200"/>
        <w:rPr>
          <w:rFonts w:ascii="仿宋" w:hAnsi="仿宋" w:eastAsia="仿宋"/>
          <w:b/>
          <w:color w:val="FF0000"/>
          <w:sz w:val="32"/>
          <w:szCs w:val="32"/>
          <w:highlight w:val="none"/>
        </w:rPr>
      </w:pPr>
      <w:r>
        <w:rPr>
          <w:rFonts w:ascii="仿宋_GB2312" w:eastAsia="仿宋_GB2312"/>
          <w:color w:val="000000"/>
          <w:sz w:val="32"/>
          <w:szCs w:val="32"/>
        </w:rPr>
        <w:t>201</w:t>
      </w:r>
      <w:r>
        <w:rPr>
          <w:rFonts w:hint="eastAsia" w:ascii="仿宋_GB2312" w:eastAsia="仿宋_GB2312"/>
          <w:color w:val="000000"/>
          <w:sz w:val="32"/>
          <w:szCs w:val="32"/>
        </w:rPr>
        <w:t>9年，市场监督管理局机关运行经费支出96.23万元，比</w:t>
      </w:r>
      <w:r>
        <w:rPr>
          <w:rFonts w:ascii="仿宋_GB2312" w:eastAsia="仿宋_GB2312"/>
          <w:color w:val="000000"/>
          <w:sz w:val="32"/>
          <w:szCs w:val="32"/>
        </w:rPr>
        <w:t>201</w:t>
      </w:r>
      <w:r>
        <w:rPr>
          <w:rFonts w:hint="eastAsia" w:ascii="仿宋_GB2312" w:eastAsia="仿宋_GB2312"/>
          <w:color w:val="000000"/>
          <w:sz w:val="32"/>
          <w:szCs w:val="32"/>
        </w:rPr>
        <w:t>8年减少26.76万元，下降21.75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highlight w:val="none"/>
          <w:lang w:eastAsia="zh-CN"/>
        </w:rPr>
        <w:t>人员变动致使经费相应减少</w:t>
      </w:r>
      <w:r>
        <w:rPr>
          <w:rFonts w:hint="eastAsia" w:ascii="仿宋_GB2312" w:eastAsia="仿宋_GB2312"/>
          <w:color w:val="000000" w:themeColor="text1"/>
          <w:sz w:val="32"/>
          <w:szCs w:val="32"/>
          <w:highlight w:val="none"/>
        </w:rPr>
        <w:t>。</w:t>
      </w:r>
    </w:p>
    <w:p w14:paraId="704A79F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560F74F2">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9年，市场监督管理局政府采购支出总额0万元，其中：政府采购货物支出0万元、政府采购工程支出0万元、政府采购服务支出0万元。授予中小企业合同金额0万元，占政府采购支出总额的0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75AC04C1">
      <w:pPr>
        <w:spacing w:line="600" w:lineRule="exact"/>
        <w:ind w:firstLine="643" w:firstLineChars="200"/>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14B716B8">
      <w:pPr>
        <w:autoSpaceDE w:val="0"/>
        <w:autoSpaceDN w:val="0"/>
        <w:adjustRightInd w:val="0"/>
        <w:spacing w:line="600" w:lineRule="exact"/>
        <w:ind w:firstLine="640" w:firstLineChars="200"/>
        <w:jc w:val="left"/>
        <w:rPr>
          <w:rFonts w:hint="eastAsia" w:ascii="仿宋" w:hAns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日，市场监督管理局共有车辆5辆，其中：主要领导干部用车0辆、机要通信用车0辆、应急保障用车0辆、其他用车0辆、执法执勤车辆5辆</w:t>
      </w:r>
      <w:r>
        <w:rPr>
          <w:rFonts w:hint="eastAsia" w:ascii="仿宋_GB2312" w:eastAsia="仿宋_GB2312"/>
          <w:color w:val="000000" w:themeColor="text1"/>
          <w:sz w:val="32"/>
          <w:szCs w:val="32"/>
        </w:rPr>
        <w:t>。车辆主要是用于食品</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药品</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医疗器械及化妆品、特</w:t>
      </w:r>
      <w:r>
        <w:rPr>
          <w:rFonts w:hint="eastAsia" w:ascii="仿宋_GB2312" w:eastAsia="仿宋_GB2312"/>
          <w:color w:val="000000" w:themeColor="text1"/>
          <w:sz w:val="32"/>
          <w:szCs w:val="32"/>
          <w:lang w:eastAsia="zh-CN"/>
        </w:rPr>
        <w:t>种</w:t>
      </w:r>
      <w:r>
        <w:rPr>
          <w:rFonts w:hint="eastAsia" w:ascii="仿宋_GB2312" w:eastAsia="仿宋_GB2312"/>
          <w:color w:val="000000" w:themeColor="text1"/>
          <w:sz w:val="32"/>
          <w:szCs w:val="32"/>
        </w:rPr>
        <w:t>设备</w:t>
      </w:r>
      <w:r>
        <w:rPr>
          <w:rFonts w:hint="eastAsia" w:ascii="仿宋_GB2312" w:eastAsia="仿宋_GB2312"/>
          <w:color w:val="000000" w:themeColor="text1"/>
          <w:sz w:val="32"/>
          <w:szCs w:val="32"/>
          <w:lang w:eastAsia="zh-CN"/>
        </w:rPr>
        <w:t>监管和市场</w:t>
      </w:r>
      <w:r>
        <w:rPr>
          <w:rFonts w:hint="eastAsia" w:ascii="仿宋_GB2312" w:eastAsia="仿宋_GB2312"/>
          <w:color w:val="000000"/>
          <w:sz w:val="32"/>
          <w:szCs w:val="32"/>
          <w:lang w:eastAsia="zh-CN"/>
        </w:rPr>
        <w:t>秩序整治</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eastAsia="zh-CN"/>
        </w:rPr>
        <w:t>行政</w:t>
      </w:r>
      <w:r>
        <w:rPr>
          <w:rFonts w:hint="eastAsia" w:ascii="仿宋_GB2312" w:eastAsia="仿宋_GB2312"/>
          <w:color w:val="000000" w:themeColor="text1"/>
          <w:sz w:val="32"/>
          <w:szCs w:val="32"/>
        </w:rPr>
        <w:t>执法等</w:t>
      </w:r>
      <w:r>
        <w:rPr>
          <w:rFonts w:hint="eastAsia" w:ascii="仿宋_GB2312" w:eastAsia="仿宋_GB2312"/>
          <w:color w:val="000000" w:themeColor="text1"/>
          <w:sz w:val="32"/>
          <w:szCs w:val="32"/>
          <w:lang w:eastAsia="zh-CN"/>
        </w:rPr>
        <w:t>工作</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highlight w:val="none"/>
          <w:lang w:val="en-US" w:eastAsia="zh-CN"/>
        </w:rPr>
        <w:t>1</w:t>
      </w:r>
      <w:r>
        <w:rPr>
          <w:rFonts w:hint="eastAsia" w:ascii="仿宋_GB2312" w:eastAsia="仿宋_GB2312"/>
          <w:color w:val="000000" w:themeColor="text1"/>
          <w:sz w:val="32"/>
          <w:szCs w:val="32"/>
          <w:highlight w:val="none"/>
        </w:rPr>
        <w:t>台</w:t>
      </w:r>
      <w:r>
        <w:rPr>
          <w:rFonts w:hint="eastAsia" w:ascii="仿宋_GB2312" w:eastAsia="仿宋_GB2312"/>
          <w:color w:val="000000" w:themeColor="text1"/>
          <w:sz w:val="32"/>
          <w:szCs w:val="32"/>
        </w:rPr>
        <w:t>（套），单价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14:paraId="1B4AD69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711E0DF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食品药品医疗器械及化妆品监管项目开展了预算事前绩效评估，对1个项目编制了绩效目标，预算执行过程中，选取1个项目开展绩效监控，年终执行完毕后，对1个项目开展了绩效目标完成情况自评。</w:t>
      </w:r>
    </w:p>
    <w:p w14:paraId="6B239317">
      <w:pPr>
        <w:spacing w:line="55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楷体_GB2312" w:hAnsi="楷体_GB2312" w:eastAsia="楷体_GB2312" w:cs="楷体_GB2312"/>
          <w:color w:val="000000" w:themeColor="text1"/>
          <w:sz w:val="32"/>
          <w:szCs w:val="32"/>
        </w:rPr>
        <w:t xml:space="preserve">  </w:t>
      </w:r>
      <w:r>
        <w:rPr>
          <w:rFonts w:hint="eastAsia" w:ascii="仿宋_GB2312" w:hAnsi="仿宋_GB2312" w:eastAsia="仿宋_GB2312" w:cs="仿宋_GB2312"/>
          <w:sz w:val="32"/>
          <w:szCs w:val="32"/>
        </w:rPr>
        <w:t xml:space="preserve">2019年市场监督管理局财务支出符合国家财经法规和财务管理制度规定以及有关专项资金管理办法的规定，资金拨付有完整的审批过程和手续，支出基本符合部门预算批复的用途，资金使用无截留、挤占、虚列支出等现象。根据区政府绩效考核文件精神，绩效目标2019年基本完成，在保障机关运作、履行职能职责上整体情况良好。  本部门2019年度组织了1个项目绩效评价，从评价情况来看；该项目在决策方面，依据充分，资金分配合理；在项目管理方面，资金到位及时，资金支持的依据、使用范围、开支标准符合规定，财务制度、会计核算健全规范；在项目完成方面，实现总体目标 ，在项目开展方面取得了良好效果。 </w:t>
      </w:r>
      <w:r>
        <w:rPr>
          <w:rFonts w:hint="eastAsia" w:ascii="楷体_GB2312" w:hAnsi="楷体_GB2312" w:eastAsia="楷体_GB2312" w:cs="楷体_GB2312"/>
          <w:color w:val="000000" w:themeColor="text1"/>
          <w:sz w:val="32"/>
          <w:szCs w:val="32"/>
        </w:rPr>
        <w:t xml:space="preserve">                                                                                            </w:t>
      </w:r>
    </w:p>
    <w:p w14:paraId="33514D8D">
      <w:pPr>
        <w:numPr>
          <w:ilvl w:val="0"/>
          <w:numId w:val="3"/>
        </w:num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本部门在2019年度部门决算中反映“食品药品医疗器械及化妆品监管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14:paraId="5B3DBA0C">
      <w:pPr>
        <w:spacing w:line="576"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食品药品医疗器械及化妆品监管项目绩效目标完成情况综述。项目全年预算数10万元，执行数为10万元，完成预算的100%。2019年度食品药品、医疗器械及保健品监管工作，我局做到了资金与项目方案相符，严格按照方案要求进行实施，加强了资金管理，做到了专款专用，确保了资金的安全，提高了资金使用效率。</w:t>
      </w:r>
      <w:r>
        <w:rPr>
          <w:rFonts w:hint="default" w:ascii="Calibri" w:hAnsi="Calibri" w:eastAsia="仿宋_GB2312" w:cs="Calibri"/>
          <w:sz w:val="32"/>
          <w:szCs w:val="32"/>
        </w:rPr>
        <w:t>①</w:t>
      </w:r>
      <w:r>
        <w:rPr>
          <w:rFonts w:hint="eastAsia" w:ascii="仿宋_GB2312" w:hAnsi="仿宋_GB2312" w:eastAsia="仿宋_GB2312" w:cs="仿宋_GB2312"/>
          <w:sz w:val="32"/>
          <w:szCs w:val="32"/>
        </w:rPr>
        <w:t>做好旅游市场散装食品安全整治工作。一是深入现场查。在制定规范整治方案前，深入昭化古城旅游市场，走访散装食品销售经营户26户次，现场了解存在的问题，与经营者沟通规范提升的措施。督促经营者落实食品安全主体责任。二是试点先行探。在广泛调研，多方讨论的基础上形成昭化古城散装食品规范提升工作方案，选取两家散装食品经营店，开展试点先行。通过试运行，一方面对方案进行检验，便于发现问题以便完善；另一方面起到示范引领作用，为全面推开打好基础。三是加强示范培训。加强现场整改指导培训，通过耐心细致的讲解，让经营者既明白问题在哪，更清楚如何改正。切实做到化监管为服务。四是增强诚信自律行。建立诚信档案，探索推行信用积分管理和“黑名单”公示制度，提升经营者诚信意识，最终实现行业自律。</w:t>
      </w:r>
      <w:r>
        <w:rPr>
          <w:rFonts w:hint="default" w:ascii="Calibri" w:hAnsi="Calibri" w:eastAsia="仿宋_GB2312" w:cs="Calibri"/>
          <w:sz w:val="32"/>
          <w:szCs w:val="32"/>
        </w:rPr>
        <w:t>②</w:t>
      </w:r>
      <w:r>
        <w:rPr>
          <w:rFonts w:hint="eastAsia" w:ascii="仿宋_GB2312" w:hAnsi="仿宋_GB2312" w:eastAsia="仿宋_GB2312" w:cs="仿宋_GB2312"/>
          <w:sz w:val="32"/>
          <w:szCs w:val="32"/>
        </w:rPr>
        <w:t>加强辖区内疫苗安全监督检查。一是开展监督检查。对辖区内31家疫苗储存使用单位进行全面监督检查工作。在高温季节重点检查疫苗和接种用注射器储存条件是否符合储存要求，疫苗购进运输环节是否采取冷链措施，并按规定记录运输过程中温湿度。二是加强新《疫苗管理法》宣传落实。开展医疗机构《疫苗管理法》宣贯会，全面讲解新法的紧张性、严肃性，要求各单位回去做好本单位职工的宣传贯彻落实，确保疫苗安全管理。三是严厉打击违法违规行为。对现场检查过程中发现的违法违规行为，一经查实，严格按照法律法规查处，绝不姑息。</w:t>
      </w:r>
    </w:p>
    <w:p w14:paraId="06CB7E56">
      <w:pPr>
        <w:spacing w:line="55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lang w:eastAsia="zh-CN"/>
        </w:rPr>
        <w:t>十一</w:t>
      </w:r>
      <w:r>
        <w:rPr>
          <w:rFonts w:hint="eastAsia" w:ascii="黑体" w:hAnsi="黑体" w:eastAsia="黑体" w:cs="黑体"/>
          <w:bCs/>
          <w:sz w:val="32"/>
          <w:szCs w:val="32"/>
        </w:rPr>
        <w:t>、主要问题及建议</w:t>
      </w:r>
    </w:p>
    <w:p w14:paraId="125E86F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目前工作中存在工作开展不平衡，部分工作滞后，监管手段有待提高，以后将主要从以下几个方面开展工作：</w:t>
      </w:r>
    </w:p>
    <w:p w14:paraId="49735FAA">
      <w:pPr>
        <w:numPr>
          <w:ilvl w:val="0"/>
          <w:numId w:val="0"/>
        </w:numPr>
        <w:spacing w:line="576"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狠抓重点难点亮点工作。</w:t>
      </w:r>
      <w:r>
        <w:rPr>
          <w:rFonts w:hint="eastAsia" w:ascii="仿宋_GB2312" w:hAnsi="仿宋_GB2312" w:eastAsia="仿宋_GB2312" w:cs="仿宋_GB2312"/>
          <w:sz w:val="32"/>
          <w:szCs w:val="32"/>
        </w:rPr>
        <w:t>将非洲猪瘟防控、校园及周边和学校食堂食材配送单位的食品安全等作为重点工作要持续抓，将新增企业、“三小”行业的监督管理等作为难点工作要</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力抓，将示范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创建、旅游市场的食品安全规范管理等作为亮点工作要仔细抓。</w:t>
      </w:r>
    </w:p>
    <w:p w14:paraId="7FD62C70">
      <w:pPr>
        <w:numPr>
          <w:ilvl w:val="0"/>
          <w:numId w:val="0"/>
        </w:numPr>
        <w:spacing w:line="576"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完善食品生产企业、学校食堂食品安全信用档案建设。</w:t>
      </w:r>
      <w:r>
        <w:rPr>
          <w:rFonts w:hint="eastAsia" w:ascii="仿宋_GB2312" w:hAnsi="仿宋_GB2312" w:eastAsia="仿宋_GB2312" w:cs="仿宋_GB2312"/>
          <w:bCs/>
          <w:sz w:val="32"/>
          <w:szCs w:val="32"/>
        </w:rPr>
        <w:t>实现一企（校）一档，建立企业（学校）从申请到注销全生命周期档案。将每一次监督检查信息都记入管理档案，实现档案信息可追溯。</w:t>
      </w:r>
    </w:p>
    <w:p w14:paraId="3C628824">
      <w:pPr>
        <w:numPr>
          <w:ilvl w:val="0"/>
          <w:numId w:val="0"/>
        </w:numPr>
        <w:spacing w:line="576"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建立药械化监管单位“一户一档”。</w:t>
      </w:r>
      <w:r>
        <w:rPr>
          <w:rFonts w:hint="eastAsia" w:ascii="仿宋_GB2312" w:hAnsi="仿宋_GB2312" w:eastAsia="仿宋_GB2312" w:cs="仿宋_GB2312"/>
          <w:bCs/>
          <w:sz w:val="32"/>
          <w:szCs w:val="32"/>
        </w:rPr>
        <w:t>将日常工作中可以留存的材料形成纸质和电子档案，定期保存，及时移交。监管档案包含药械化经营使用单位的许可登记信息、监督管理信息、社会监督信息、投诉举报信息等内容。实现监管服务有章可循、责任追究有据可查、奖罚分明有据可依，助推药械化安全监管提质增效。</w:t>
      </w:r>
    </w:p>
    <w:p w14:paraId="378C1438">
      <w:pPr>
        <w:spacing w:line="576"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（四）进一步强化风险分级管理的应用。</w:t>
      </w:r>
      <w:r>
        <w:rPr>
          <w:rFonts w:hint="eastAsia" w:ascii="仿宋_GB2312" w:hAnsi="仿宋_GB2312" w:eastAsia="仿宋_GB2312" w:cs="仿宋_GB2312"/>
          <w:bCs/>
          <w:sz w:val="32"/>
          <w:szCs w:val="32"/>
        </w:rPr>
        <w:t>根据风险分级的结果制定年度监督计划，确定监管频次。将每次监管工作信息录入管理档案，并根据年度监管情况动态调整下一年度风险分级结果。</w:t>
      </w:r>
    </w:p>
    <w:p w14:paraId="412EA1D4">
      <w:pPr>
        <w:spacing w:line="576"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（五）加强网络食品药品医疗器械安全的监管。</w:t>
      </w:r>
      <w:r>
        <w:rPr>
          <w:rFonts w:hint="eastAsia" w:ascii="仿宋_GB2312" w:hAnsi="仿宋_GB2312" w:eastAsia="仿宋_GB2312" w:cs="仿宋_GB2312"/>
          <w:bCs/>
          <w:sz w:val="32"/>
          <w:szCs w:val="32"/>
        </w:rPr>
        <w:t>目前，我区网络供餐食品生产经营单位、网络订餐食品、网络销售药品医疗器械的第三方平台、从事网络食品药品医疗器械经营单位数量持续增加。要加大网络食品药品医疗器械安全监督检查力度，加强对食品药品经营许可证和经营现场核查把关，加强第三方平台网络订餐食品安全监管和网络销售药品医疗器械安全监管，落实经营主体食品药品医疗器械安全主体责任，严打网络订餐和未经许可网络销售药品医疗器械等违法违规行为。</w:t>
      </w:r>
    </w:p>
    <w:p w14:paraId="6F078597">
      <w:pPr>
        <w:spacing w:line="360" w:lineRule="auto"/>
        <w:ind w:firstLine="643"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（六）学习先进监管经验，提高监管水平。</w:t>
      </w:r>
      <w:r>
        <w:rPr>
          <w:rFonts w:hint="eastAsia" w:ascii="仿宋_GB2312" w:hAnsi="仿宋_GB2312" w:eastAsia="仿宋_GB2312" w:cs="仿宋_GB2312"/>
          <w:bCs/>
          <w:sz w:val="32"/>
          <w:szCs w:val="32"/>
        </w:rPr>
        <w:t>努力学习借鉴其他市场监管局先进监管经验，结合自身实际，</w:t>
      </w:r>
      <w:r>
        <w:rPr>
          <w:rFonts w:hint="eastAsia" w:ascii="仿宋_GB2312" w:hAnsi="仿宋_GB2312" w:eastAsia="仿宋_GB2312" w:cs="仿宋_GB2312"/>
          <w:bCs/>
          <w:sz w:val="32"/>
          <w:szCs w:val="32"/>
          <w:lang w:eastAsia="zh-CN"/>
        </w:rPr>
        <w:t>全面推行</w:t>
      </w:r>
      <w:r>
        <w:rPr>
          <w:rFonts w:hint="eastAsia" w:ascii="仿宋_GB2312" w:hAnsi="仿宋_GB2312" w:eastAsia="仿宋_GB2312" w:cs="仿宋_GB2312"/>
          <w:bCs/>
          <w:sz w:val="32"/>
          <w:szCs w:val="32"/>
        </w:rPr>
        <w:t>“双随机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一公开”</w:t>
      </w:r>
      <w:r>
        <w:rPr>
          <w:rFonts w:hint="eastAsia" w:ascii="仿宋_GB2312" w:hAnsi="仿宋_GB2312" w:eastAsia="仿宋_GB2312" w:cs="仿宋_GB2312"/>
          <w:bCs/>
          <w:sz w:val="32"/>
          <w:szCs w:val="32"/>
          <w:lang w:eastAsia="zh-CN"/>
        </w:rPr>
        <w:t>监管</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有效降低食品药品医疗器械安全风险。</w:t>
      </w:r>
    </w:p>
    <w:p w14:paraId="07C7E5CD">
      <w:pPr>
        <w:spacing w:line="580" w:lineRule="exact"/>
        <w:ind w:firstLine="640" w:firstLineChars="200"/>
        <w:rPr>
          <w:rFonts w:ascii="仿宋_GB2312" w:hAnsi="仿宋_GB2312" w:eastAsia="仿宋_GB2312" w:cs="仿宋_GB2312"/>
          <w:sz w:val="32"/>
          <w:szCs w:val="32"/>
        </w:rPr>
      </w:pPr>
    </w:p>
    <w:p w14:paraId="16E111B2">
      <w:pPr>
        <w:spacing w:line="580" w:lineRule="exact"/>
        <w:ind w:firstLine="640" w:firstLineChars="200"/>
        <w:rPr>
          <w:rFonts w:ascii="仿宋_GB2312" w:hAnsi="仿宋_GB2312" w:eastAsia="仿宋_GB2312" w:cs="仿宋_GB2312"/>
          <w:sz w:val="32"/>
          <w:szCs w:val="32"/>
        </w:rPr>
      </w:pPr>
    </w:p>
    <w:p w14:paraId="7791402B">
      <w:pPr>
        <w:spacing w:line="580" w:lineRule="exact"/>
        <w:ind w:firstLine="640" w:firstLineChars="200"/>
        <w:rPr>
          <w:rFonts w:ascii="仿宋_GB2312" w:hAnsi="仿宋_GB2312" w:eastAsia="仿宋_GB2312" w:cs="仿宋_GB2312"/>
          <w:sz w:val="32"/>
          <w:szCs w:val="32"/>
        </w:rPr>
      </w:pPr>
    </w:p>
    <w:p w14:paraId="1B2A49FD">
      <w:pPr>
        <w:pStyle w:val="2"/>
      </w:pPr>
    </w:p>
    <w:tbl>
      <w:tblPr>
        <w:tblStyle w:val="17"/>
        <w:tblpPr w:leftFromText="180" w:rightFromText="180" w:vertAnchor="text" w:horzAnchor="page" w:tblpXSpec="center" w:tblpY="423"/>
        <w:tblOverlap w:val="never"/>
        <w:tblW w:w="10401" w:type="dxa"/>
        <w:jc w:val="center"/>
        <w:tblLayout w:type="fixed"/>
        <w:tblCellMar>
          <w:top w:w="0" w:type="dxa"/>
          <w:left w:w="0" w:type="dxa"/>
          <w:bottom w:w="0" w:type="dxa"/>
          <w:right w:w="0" w:type="dxa"/>
        </w:tblCellMar>
      </w:tblPr>
      <w:tblGrid>
        <w:gridCol w:w="390"/>
        <w:gridCol w:w="1367"/>
        <w:gridCol w:w="1025"/>
        <w:gridCol w:w="2392"/>
        <w:gridCol w:w="2394"/>
        <w:gridCol w:w="2833"/>
      </w:tblGrid>
      <w:tr w14:paraId="235B3F2F">
        <w:tblPrEx>
          <w:tblCellMar>
            <w:top w:w="0" w:type="dxa"/>
            <w:left w:w="0" w:type="dxa"/>
            <w:bottom w:w="0" w:type="dxa"/>
            <w:right w:w="0" w:type="dxa"/>
          </w:tblCellMar>
        </w:tblPrEx>
        <w:trPr>
          <w:trHeight w:val="1034" w:hRule="atLeast"/>
          <w:jc w:val="center"/>
        </w:trPr>
        <w:tc>
          <w:tcPr>
            <w:tcW w:w="10401" w:type="dxa"/>
            <w:gridSpan w:val="6"/>
            <w:tcBorders>
              <w:top w:val="nil"/>
              <w:left w:val="nil"/>
              <w:bottom w:val="nil"/>
              <w:right w:val="nil"/>
            </w:tcBorders>
            <w:tcMar>
              <w:top w:w="15" w:type="dxa"/>
              <w:left w:w="15" w:type="dxa"/>
              <w:right w:w="15" w:type="dxa"/>
            </w:tcMar>
            <w:vAlign w:val="center"/>
          </w:tcPr>
          <w:p w14:paraId="401BD624">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7829E67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8F93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6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40882">
            <w:pPr>
              <w:widowControl/>
              <w:jc w:val="center"/>
              <w:textAlignment w:val="center"/>
              <w:rPr>
                <w:rFonts w:ascii="宋体" w:hAnsi="宋体" w:cs="宋体"/>
                <w:color w:val="000000"/>
                <w:sz w:val="24"/>
              </w:rPr>
            </w:pPr>
            <w:r>
              <w:rPr>
                <w:rFonts w:hint="eastAsia" w:ascii="宋体" w:hAnsi="宋体" w:cs="宋体"/>
                <w:color w:val="000000"/>
                <w:sz w:val="24"/>
              </w:rPr>
              <w:t>食品药品医疗器械及化妆品监管</w:t>
            </w:r>
          </w:p>
        </w:tc>
      </w:tr>
      <w:tr w14:paraId="1A1CBD7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BBDC4">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6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BB176">
            <w:pPr>
              <w:widowControl/>
              <w:jc w:val="center"/>
              <w:textAlignment w:val="center"/>
              <w:rPr>
                <w:rFonts w:ascii="宋体" w:hAnsi="宋体" w:cs="宋体"/>
                <w:color w:val="000000"/>
                <w:sz w:val="24"/>
              </w:rPr>
            </w:pPr>
            <w:r>
              <w:rPr>
                <w:rFonts w:hint="eastAsia" w:ascii="宋体" w:hAnsi="宋体" w:cs="宋体"/>
                <w:color w:val="000000"/>
                <w:sz w:val="24"/>
              </w:rPr>
              <w:t>广元市昭化区市场监督管理局</w:t>
            </w:r>
          </w:p>
        </w:tc>
      </w:tr>
      <w:tr w14:paraId="76E8686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32D4C">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B4CC9">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5FBEE">
            <w:pPr>
              <w:widowControl/>
              <w:jc w:val="center"/>
              <w:textAlignment w:val="center"/>
              <w:rPr>
                <w:rFonts w:ascii="宋体" w:hAnsi="宋体" w:cs="宋体"/>
                <w:color w:val="000000"/>
                <w:sz w:val="24"/>
              </w:rPr>
            </w:pPr>
            <w:r>
              <w:rPr>
                <w:rFonts w:hint="eastAsia" w:ascii="宋体" w:hAns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82D21">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8190B">
            <w:pPr>
              <w:widowControl/>
              <w:jc w:val="center"/>
              <w:textAlignment w:val="center"/>
              <w:rPr>
                <w:rFonts w:ascii="宋体" w:hAnsi="宋体" w:cs="宋体"/>
                <w:color w:val="000000"/>
                <w:sz w:val="24"/>
              </w:rPr>
            </w:pPr>
            <w:r>
              <w:rPr>
                <w:rFonts w:hint="eastAsia" w:ascii="宋体" w:hAnsi="宋体" w:cs="宋体"/>
                <w:color w:val="000000"/>
                <w:sz w:val="24"/>
              </w:rPr>
              <w:t>10</w:t>
            </w:r>
          </w:p>
        </w:tc>
      </w:tr>
      <w:tr w14:paraId="13E45C4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8CDD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C885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3CD7F">
            <w:pPr>
              <w:widowControl/>
              <w:jc w:val="center"/>
              <w:textAlignment w:val="center"/>
              <w:rPr>
                <w:rFonts w:ascii="宋体" w:hAnsi="宋体" w:cs="宋体"/>
                <w:color w:val="000000"/>
                <w:sz w:val="24"/>
              </w:rPr>
            </w:pPr>
            <w:r>
              <w:rPr>
                <w:rFonts w:hint="eastAsia" w:ascii="宋体" w:hAns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7DD0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3DE1C">
            <w:pPr>
              <w:widowControl/>
              <w:jc w:val="center"/>
              <w:textAlignment w:val="center"/>
              <w:rPr>
                <w:rFonts w:ascii="宋体" w:hAnsi="宋体" w:cs="宋体"/>
                <w:color w:val="000000"/>
                <w:sz w:val="24"/>
              </w:rPr>
            </w:pPr>
            <w:r>
              <w:rPr>
                <w:rFonts w:hint="eastAsia" w:ascii="宋体" w:hAnsi="宋体" w:cs="宋体"/>
                <w:color w:val="000000"/>
                <w:sz w:val="24"/>
              </w:rPr>
              <w:t>10</w:t>
            </w:r>
          </w:p>
        </w:tc>
      </w:tr>
      <w:tr w14:paraId="748C3568">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6AE64">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C140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85B3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E4766">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B7555">
            <w:pPr>
              <w:jc w:val="center"/>
              <w:rPr>
                <w:rFonts w:ascii="宋体" w:hAnsi="宋体" w:cs="宋体"/>
                <w:color w:val="000000"/>
                <w:sz w:val="24"/>
              </w:rPr>
            </w:pPr>
          </w:p>
        </w:tc>
      </w:tr>
      <w:tr w14:paraId="164556C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03854">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F5E32">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ACF23">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3A0A2DD">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0E2D2">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2F56A">
            <w:pPr>
              <w:widowControl/>
              <w:jc w:val="left"/>
              <w:textAlignment w:val="center"/>
              <w:rPr>
                <w:rFonts w:ascii="宋体" w:hAnsi="宋体" w:cs="宋体"/>
                <w:color w:val="000000"/>
                <w:sz w:val="24"/>
              </w:rPr>
            </w:pPr>
            <w:r>
              <w:rPr>
                <w:rFonts w:hint="eastAsia" w:ascii="宋体" w:hAnsi="宋体" w:cs="宋体"/>
                <w:color w:val="000000"/>
                <w:sz w:val="24"/>
              </w:rPr>
              <w:t>食品安全监管实现全面覆盖，药品的研发、生产、经营、使用秩序得到改善，医疗器械安全、质量全覆盖，加强不良反应检测、禁毒、重大传染病的管理。”</w:t>
            </w:r>
          </w:p>
        </w:tc>
        <w:tc>
          <w:tcPr>
            <w:tcW w:w="5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02E93">
            <w:pPr>
              <w:widowControl/>
              <w:jc w:val="left"/>
              <w:textAlignment w:val="center"/>
              <w:rPr>
                <w:rFonts w:ascii="宋体" w:hAnsi="宋体" w:cs="宋体"/>
                <w:color w:val="000000"/>
                <w:sz w:val="24"/>
              </w:rPr>
            </w:pPr>
            <w:r>
              <w:rPr>
                <w:rFonts w:hint="eastAsia" w:ascii="宋体" w:hAnsi="宋体" w:cs="宋体"/>
                <w:color w:val="000000"/>
                <w:sz w:val="24"/>
              </w:rPr>
              <w:t>食品安全监管实现全面覆盖，药品的研发、生产、经营、使用秩序得到改善，医疗器械安全、质量全覆盖，加强不良反应检测、禁毒、重大传染病的管理。</w:t>
            </w:r>
          </w:p>
        </w:tc>
      </w:tr>
      <w:tr w14:paraId="2DE34077">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6C4F819">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1B569">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715DD">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FD0BA">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81731">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DB0D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3C7DB8B">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B60DCA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928C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D8ABE">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4501" w:type="dxa"/>
              <w:tblInd w:w="0" w:type="dxa"/>
              <w:tblLayout w:type="fixed"/>
              <w:tblCellMar>
                <w:top w:w="0" w:type="dxa"/>
                <w:left w:w="0" w:type="dxa"/>
                <w:bottom w:w="0" w:type="dxa"/>
                <w:right w:w="0" w:type="dxa"/>
              </w:tblCellMar>
            </w:tblPr>
            <w:tblGrid>
              <w:gridCol w:w="4501"/>
            </w:tblGrid>
            <w:tr w14:paraId="456CF558">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0F6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食品生产加工环节监管企业数</w:t>
                  </w:r>
                </w:p>
              </w:tc>
            </w:tr>
            <w:tr w14:paraId="51D56EFA">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9A8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药品流通环节监管企业数</w:t>
                  </w:r>
                </w:p>
              </w:tc>
            </w:tr>
            <w:tr w14:paraId="5DD23FB6">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ED3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医疗器械不良事件监测品种</w:t>
                  </w:r>
                </w:p>
              </w:tc>
            </w:tr>
            <w:tr w14:paraId="3B1D0463">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AAD5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食品药品监管行政事业人员培训覆盖率</w:t>
                  </w:r>
                </w:p>
              </w:tc>
            </w:tr>
          </w:tbl>
          <w:p w14:paraId="0AD0527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24CF742C">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51C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≥9家</w:t>
                  </w:r>
                </w:p>
              </w:tc>
            </w:tr>
            <w:tr w14:paraId="3E177CCB">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544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≥101家</w:t>
                  </w:r>
                </w:p>
              </w:tc>
            </w:tr>
            <w:tr w14:paraId="3BEE7443">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74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14:paraId="1E5FFDD8">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675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bl>
          <w:p w14:paraId="322A9334">
            <w:pPr>
              <w:widowControl/>
              <w:jc w:val="center"/>
              <w:textAlignment w:val="center"/>
              <w:rPr>
                <w:rFonts w:ascii="宋体" w:hAnsi="宋体" w:cs="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28482912">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9F9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≥9家</w:t>
                  </w:r>
                </w:p>
              </w:tc>
            </w:tr>
            <w:tr w14:paraId="5F994C05">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A1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≥101家</w:t>
                  </w:r>
                </w:p>
              </w:tc>
            </w:tr>
            <w:tr w14:paraId="53064521">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46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14:paraId="3B1A328F">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543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bl>
          <w:p w14:paraId="4A09ED6A">
            <w:pPr>
              <w:widowControl/>
              <w:jc w:val="center"/>
              <w:textAlignment w:val="center"/>
              <w:rPr>
                <w:rFonts w:ascii="宋体" w:hAnsi="宋体" w:cs="宋体"/>
                <w:color w:val="000000"/>
                <w:sz w:val="24"/>
              </w:rPr>
            </w:pPr>
          </w:p>
        </w:tc>
      </w:tr>
      <w:tr w14:paraId="2DB4289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78BD66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F5F8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731BC">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4501" w:type="dxa"/>
              <w:tblInd w:w="0" w:type="dxa"/>
              <w:tblLayout w:type="fixed"/>
              <w:tblCellMar>
                <w:top w:w="0" w:type="dxa"/>
                <w:left w:w="0" w:type="dxa"/>
                <w:bottom w:w="0" w:type="dxa"/>
                <w:right w:w="0" w:type="dxa"/>
              </w:tblCellMar>
            </w:tblPr>
            <w:tblGrid>
              <w:gridCol w:w="4501"/>
            </w:tblGrid>
            <w:tr w14:paraId="2CD28C6B">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847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国家食品抽检不合格食品核查处置率</w:t>
                  </w:r>
                </w:p>
              </w:tc>
            </w:tr>
            <w:tr w14:paraId="1B95DE30">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5BF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食品生产加工环节监管企业覆盖率</w:t>
                  </w:r>
                </w:p>
              </w:tc>
            </w:tr>
            <w:tr w14:paraId="2A81348E">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458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不合格药品处置率</w:t>
                  </w:r>
                </w:p>
              </w:tc>
            </w:tr>
            <w:tr w14:paraId="7B502E38">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690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重大案件查办率</w:t>
                  </w:r>
                </w:p>
              </w:tc>
            </w:tr>
            <w:tr w14:paraId="39838DB0">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D2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涉刑案件移送率</w:t>
                  </w:r>
                </w:p>
              </w:tc>
            </w:tr>
          </w:tbl>
          <w:p w14:paraId="6D255B3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73D5E586">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DBB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4E07C75A">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02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522A39F6">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25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1913A8E2">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03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10C269D5">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E0A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bl>
          <w:p w14:paraId="7467EEB0">
            <w:pPr>
              <w:widowControl/>
              <w:jc w:val="center"/>
              <w:textAlignment w:val="center"/>
              <w:rPr>
                <w:rFonts w:ascii="宋体" w:hAnsi="宋体" w:cs="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5CE1165F">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6E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497B2386">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A2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7F0B73C1">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9B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7A0AAB3B">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47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11E64D2E">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690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bl>
          <w:p w14:paraId="2A0CAF4E">
            <w:pPr>
              <w:widowControl/>
              <w:jc w:val="center"/>
              <w:textAlignment w:val="center"/>
              <w:rPr>
                <w:rFonts w:ascii="宋体" w:hAnsi="宋体" w:cs="宋体"/>
                <w:color w:val="000000"/>
                <w:sz w:val="24"/>
              </w:rPr>
            </w:pPr>
          </w:p>
        </w:tc>
      </w:tr>
      <w:tr w14:paraId="626517F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E4DAB5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8DAD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F60CF">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4501" w:type="dxa"/>
              <w:tblInd w:w="0" w:type="dxa"/>
              <w:tblLayout w:type="fixed"/>
              <w:tblCellMar>
                <w:top w:w="0" w:type="dxa"/>
                <w:left w:w="0" w:type="dxa"/>
                <w:bottom w:w="0" w:type="dxa"/>
                <w:right w:w="0" w:type="dxa"/>
              </w:tblCellMar>
            </w:tblPr>
            <w:tblGrid>
              <w:gridCol w:w="4501"/>
            </w:tblGrid>
            <w:tr w14:paraId="117751FF">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705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启动时间</w:t>
                  </w:r>
                </w:p>
              </w:tc>
            </w:tr>
            <w:tr w14:paraId="3F2E31DA">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6BE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完成时间</w:t>
                  </w:r>
                </w:p>
              </w:tc>
            </w:tr>
          </w:tbl>
          <w:p w14:paraId="59A37BB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6DF3D937">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96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2019年1月1日</w:t>
                  </w:r>
                </w:p>
              </w:tc>
            </w:tr>
            <w:tr w14:paraId="0F9B7C47">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940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2019年12月31日</w:t>
                  </w:r>
                </w:p>
              </w:tc>
            </w:tr>
          </w:tbl>
          <w:p w14:paraId="29633ACA">
            <w:pPr>
              <w:widowControl/>
              <w:jc w:val="center"/>
              <w:textAlignment w:val="center"/>
              <w:rPr>
                <w:rFonts w:ascii="宋体" w:hAnsi="宋体" w:cs="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04822068">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22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2019年1月1日</w:t>
                  </w:r>
                </w:p>
              </w:tc>
            </w:tr>
            <w:tr w14:paraId="04C157CD">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573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2019年12月31日</w:t>
                  </w:r>
                </w:p>
              </w:tc>
            </w:tr>
          </w:tbl>
          <w:p w14:paraId="15C2ACAD">
            <w:pPr>
              <w:widowControl/>
              <w:jc w:val="center"/>
              <w:textAlignment w:val="center"/>
              <w:rPr>
                <w:rFonts w:ascii="宋体" w:hAnsi="宋体" w:cs="宋体"/>
                <w:color w:val="000000"/>
                <w:sz w:val="24"/>
              </w:rPr>
            </w:pPr>
          </w:p>
        </w:tc>
      </w:tr>
      <w:tr w14:paraId="1ABE697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4D7778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BB57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565F7">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25559">
            <w:pPr>
              <w:widowControl/>
              <w:jc w:val="center"/>
              <w:textAlignment w:val="center"/>
              <w:rPr>
                <w:rFonts w:ascii="宋体" w:hAnsi="宋体" w:cs="宋体"/>
                <w:color w:val="000000"/>
                <w:sz w:val="24"/>
              </w:rPr>
            </w:pPr>
            <w:r>
              <w:rPr>
                <w:rFonts w:hint="eastAsia" w:ascii="宋体" w:hAnsi="宋体" w:cs="宋体"/>
                <w:color w:val="000000"/>
                <w:sz w:val="24"/>
              </w:rPr>
              <w:t>指标：培训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75BA45E9">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5D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≤100元/人·天</w:t>
                  </w:r>
                </w:p>
              </w:tc>
            </w:tr>
          </w:tbl>
          <w:p w14:paraId="4CFC435B">
            <w:pPr>
              <w:widowControl/>
              <w:jc w:val="center"/>
              <w:textAlignment w:val="center"/>
              <w:rPr>
                <w:rFonts w:ascii="宋体" w:hAnsi="宋体" w:cs="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36AED04B">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A1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≤100元/人·天</w:t>
                  </w:r>
                </w:p>
              </w:tc>
            </w:tr>
          </w:tbl>
          <w:p w14:paraId="5C1B73C9">
            <w:pPr>
              <w:widowControl/>
              <w:jc w:val="center"/>
              <w:textAlignment w:val="center"/>
              <w:rPr>
                <w:rFonts w:ascii="宋体" w:hAnsi="宋体" w:cs="宋体"/>
                <w:color w:val="000000"/>
                <w:sz w:val="24"/>
              </w:rPr>
            </w:pPr>
          </w:p>
        </w:tc>
      </w:tr>
      <w:tr w14:paraId="294D38C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6A74C5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9A90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D7750">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4501" w:type="dxa"/>
              <w:tblInd w:w="0" w:type="dxa"/>
              <w:tblLayout w:type="fixed"/>
              <w:tblCellMar>
                <w:top w:w="0" w:type="dxa"/>
                <w:left w:w="0" w:type="dxa"/>
                <w:bottom w:w="0" w:type="dxa"/>
                <w:right w:w="0" w:type="dxa"/>
              </w:tblCellMar>
            </w:tblPr>
            <w:tblGrid>
              <w:gridCol w:w="4501"/>
            </w:tblGrid>
            <w:tr w14:paraId="206DFE5D">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7DF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人民群众饮食用药安全水平</w:t>
                  </w:r>
                </w:p>
              </w:tc>
            </w:tr>
          </w:tbl>
          <w:p w14:paraId="1E064C8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50174E87">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80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逐步提高</w:t>
                  </w:r>
                </w:p>
              </w:tc>
            </w:tr>
          </w:tbl>
          <w:p w14:paraId="5045715C">
            <w:pPr>
              <w:widowControl/>
              <w:jc w:val="center"/>
              <w:textAlignment w:val="center"/>
              <w:rPr>
                <w:rFonts w:ascii="宋体" w:hAnsi="宋体" w:cs="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58514524">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19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逐步提高</w:t>
                  </w:r>
                </w:p>
              </w:tc>
            </w:tr>
          </w:tbl>
          <w:p w14:paraId="4AA60B1A">
            <w:pPr>
              <w:widowControl/>
              <w:jc w:val="center"/>
              <w:textAlignment w:val="center"/>
              <w:rPr>
                <w:rFonts w:ascii="宋体" w:hAnsi="宋体" w:cs="宋体"/>
                <w:color w:val="000000"/>
                <w:sz w:val="24"/>
              </w:rPr>
            </w:pPr>
          </w:p>
        </w:tc>
      </w:tr>
      <w:tr w14:paraId="70AA6618">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7781AC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36118">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3F6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4501" w:type="dxa"/>
              <w:tblInd w:w="0" w:type="dxa"/>
              <w:tblLayout w:type="fixed"/>
              <w:tblCellMar>
                <w:top w:w="0" w:type="dxa"/>
                <w:left w:w="0" w:type="dxa"/>
                <w:bottom w:w="0" w:type="dxa"/>
                <w:right w:w="0" w:type="dxa"/>
              </w:tblCellMar>
            </w:tblPr>
            <w:tblGrid>
              <w:gridCol w:w="4501"/>
            </w:tblGrid>
            <w:tr w14:paraId="40582DCA">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DD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食品药品监管水平能力提升</w:t>
                  </w:r>
                </w:p>
              </w:tc>
            </w:tr>
          </w:tbl>
          <w:p w14:paraId="6DBAED0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08850C89">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F7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长期</w:t>
                  </w:r>
                </w:p>
              </w:tc>
            </w:tr>
          </w:tbl>
          <w:p w14:paraId="64DF6390">
            <w:pPr>
              <w:widowControl/>
              <w:jc w:val="center"/>
              <w:textAlignment w:val="center"/>
              <w:rPr>
                <w:rFonts w:ascii="宋体" w:hAnsi="宋体" w:cs="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37C35FA5">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0F9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长期</w:t>
                  </w:r>
                </w:p>
              </w:tc>
            </w:tr>
          </w:tbl>
          <w:p w14:paraId="6C00FE19">
            <w:pPr>
              <w:widowControl/>
              <w:jc w:val="center"/>
              <w:textAlignment w:val="center"/>
              <w:rPr>
                <w:rFonts w:ascii="宋体" w:hAnsi="宋体" w:cs="宋体"/>
                <w:color w:val="000000"/>
                <w:sz w:val="24"/>
              </w:rPr>
            </w:pPr>
          </w:p>
        </w:tc>
      </w:tr>
      <w:tr w14:paraId="441D4796">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36CCC7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970C3">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E9058">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4501" w:type="dxa"/>
              <w:tblInd w:w="0" w:type="dxa"/>
              <w:tblLayout w:type="fixed"/>
              <w:tblCellMar>
                <w:top w:w="0" w:type="dxa"/>
                <w:left w:w="0" w:type="dxa"/>
                <w:bottom w:w="0" w:type="dxa"/>
                <w:right w:w="0" w:type="dxa"/>
              </w:tblCellMar>
            </w:tblPr>
            <w:tblGrid>
              <w:gridCol w:w="4501"/>
            </w:tblGrid>
            <w:tr w14:paraId="66012DE8">
              <w:tblPrEx>
                <w:tblCellMar>
                  <w:top w:w="0" w:type="dxa"/>
                  <w:left w:w="0" w:type="dxa"/>
                  <w:bottom w:w="0" w:type="dxa"/>
                  <w:right w:w="0" w:type="dxa"/>
                </w:tblCellMar>
              </w:tblPrEx>
              <w:trPr>
                <w:trHeight w:val="36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303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政府满意度</w:t>
                  </w:r>
                </w:p>
              </w:tc>
            </w:tr>
            <w:tr w14:paraId="59472B6E">
              <w:tblPrEx>
                <w:tblCellMar>
                  <w:top w:w="0" w:type="dxa"/>
                  <w:left w:w="0" w:type="dxa"/>
                  <w:bottom w:w="0" w:type="dxa"/>
                  <w:right w:w="0" w:type="dxa"/>
                </w:tblCellMar>
              </w:tblPrEx>
              <w:trPr>
                <w:trHeight w:val="300" w:hRule="atLeast"/>
              </w:trPr>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068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社会公众满意度</w:t>
                  </w:r>
                </w:p>
              </w:tc>
            </w:tr>
          </w:tbl>
          <w:p w14:paraId="728F7CB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5C4F06C3">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28B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r w14:paraId="67DD0D3C">
              <w:tblPrEx>
                <w:tblCellMar>
                  <w:top w:w="0" w:type="dxa"/>
                  <w:left w:w="0" w:type="dxa"/>
                  <w:bottom w:w="0" w:type="dxa"/>
                  <w:right w:w="0" w:type="dxa"/>
                </w:tblCellMar>
              </w:tblPrEx>
              <w:trPr>
                <w:trHeight w:val="30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DE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bl>
          <w:p w14:paraId="22A99BBC">
            <w:pPr>
              <w:widowControl/>
              <w:jc w:val="center"/>
              <w:textAlignment w:val="center"/>
              <w:rPr>
                <w:rFonts w:ascii="宋体" w:hAnsi="宋体" w:cs="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7"/>
              <w:tblW w:w="2611" w:type="dxa"/>
              <w:tblInd w:w="0" w:type="dxa"/>
              <w:tblLayout w:type="fixed"/>
              <w:tblCellMar>
                <w:top w:w="0" w:type="dxa"/>
                <w:left w:w="0" w:type="dxa"/>
                <w:bottom w:w="0" w:type="dxa"/>
                <w:right w:w="0" w:type="dxa"/>
              </w:tblCellMar>
            </w:tblPr>
            <w:tblGrid>
              <w:gridCol w:w="2611"/>
            </w:tblGrid>
            <w:tr w14:paraId="15542633">
              <w:tblPrEx>
                <w:tblCellMar>
                  <w:top w:w="0" w:type="dxa"/>
                  <w:left w:w="0" w:type="dxa"/>
                  <w:bottom w:w="0" w:type="dxa"/>
                  <w:right w:w="0" w:type="dxa"/>
                </w:tblCellMar>
              </w:tblPrEx>
              <w:trPr>
                <w:trHeight w:val="36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7D5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r w14:paraId="7DBDE9D9">
              <w:tblPrEx>
                <w:tblCellMar>
                  <w:top w:w="0" w:type="dxa"/>
                  <w:left w:w="0" w:type="dxa"/>
                  <w:bottom w:w="0" w:type="dxa"/>
                  <w:right w:w="0" w:type="dxa"/>
                </w:tblCellMar>
              </w:tblPrEx>
              <w:trPr>
                <w:trHeight w:val="300" w:hRule="atLeast"/>
              </w:trPr>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CD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bl>
          <w:p w14:paraId="083B7F70">
            <w:pPr>
              <w:widowControl/>
              <w:jc w:val="center"/>
              <w:textAlignment w:val="center"/>
              <w:rPr>
                <w:rFonts w:ascii="宋体" w:hAnsi="宋体" w:cs="宋体"/>
                <w:color w:val="000000"/>
                <w:sz w:val="24"/>
              </w:rPr>
            </w:pPr>
          </w:p>
        </w:tc>
      </w:tr>
    </w:tbl>
    <w:p w14:paraId="1A810C54">
      <w:pPr>
        <w:spacing w:line="580" w:lineRule="exact"/>
        <w:rPr>
          <w:rFonts w:ascii="仿宋_GB2312" w:hAnsi="仿宋_GB2312" w:eastAsia="仿宋_GB2312" w:cs="仿宋_GB2312"/>
          <w:sz w:val="32"/>
          <w:szCs w:val="32"/>
        </w:rPr>
      </w:pPr>
    </w:p>
    <w:p w14:paraId="33627A39">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33F0424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本部门按要求对2019年部门整体支出绩效评价情况开展自评，《市场监督管理局2019年部门整体支出绩效评价报告》见附件（附件1）。</w:t>
      </w:r>
    </w:p>
    <w:p w14:paraId="56496CDD">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本部门自行组织对食品药品医疗器械及化妆品监管项目、开展了绩效评价，《食品药品医疗气质及化妆品监管项目2019年绩效评价报告》见附件（附件2）。</w:t>
      </w:r>
    </w:p>
    <w:p w14:paraId="624BAAAD">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74820446">
      <w:pPr>
        <w:numPr>
          <w:ilvl w:val="0"/>
          <w:numId w:val="4"/>
        </w:numPr>
        <w:spacing w:line="600" w:lineRule="exact"/>
        <w:ind w:firstLine="660" w:firstLineChars="150"/>
        <w:jc w:val="center"/>
        <w:outlineLvl w:val="0"/>
        <w:rPr>
          <w:rStyle w:val="30"/>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30"/>
          <w:rFonts w:hint="eastAsia" w:ascii="黑体" w:hAnsi="黑体" w:eastAsia="黑体"/>
          <w:b w:val="0"/>
        </w:rPr>
        <w:t>词解释</w:t>
      </w:r>
      <w:bookmarkEnd w:id="55"/>
      <w:bookmarkEnd w:id="56"/>
    </w:p>
    <w:p w14:paraId="09FB1CBD">
      <w:pPr>
        <w:spacing w:line="600" w:lineRule="exact"/>
        <w:jc w:val="left"/>
        <w:rPr>
          <w:rFonts w:ascii="宋体"/>
          <w:b/>
          <w:color w:val="000000"/>
          <w:sz w:val="44"/>
          <w:szCs w:val="44"/>
        </w:rPr>
      </w:pPr>
    </w:p>
    <w:p w14:paraId="2C323220">
      <w:pPr>
        <w:pStyle w:val="15"/>
        <w:widowControl/>
        <w:spacing w:before="120" w:line="600" w:lineRule="atLeast"/>
        <w:ind w:left="309" w:leftChars="147" w:firstLine="229" w:firstLineChars="74"/>
        <w:rPr>
          <w:rFonts w:ascii="仿宋_GB2312" w:hAnsi="微软雅黑" w:eastAsia="仿宋_GB2312" w:cs="仿宋_GB2312"/>
          <w:color w:val="666666"/>
          <w:sz w:val="31"/>
          <w:szCs w:val="31"/>
        </w:rPr>
      </w:pPr>
      <w:r>
        <w:rPr>
          <w:rFonts w:ascii="仿宋_GB2312" w:hAnsi="微软雅黑" w:eastAsia="仿宋_GB2312" w:cs="仿宋_GB2312"/>
          <w:color w:val="666666"/>
          <w:sz w:val="31"/>
          <w:szCs w:val="31"/>
        </w:rPr>
        <w:t>（一）一般公共预算拨款收入：指</w:t>
      </w:r>
      <w:r>
        <w:rPr>
          <w:rFonts w:hint="eastAsia" w:ascii="仿宋_GB2312" w:hAnsi="微软雅黑" w:eastAsia="仿宋_GB2312" w:cs="仿宋_GB2312"/>
          <w:color w:val="666666"/>
          <w:sz w:val="31"/>
          <w:szCs w:val="31"/>
        </w:rPr>
        <w:t>本级财政当</w:t>
      </w:r>
      <w:r>
        <w:rPr>
          <w:rFonts w:ascii="仿宋_GB2312" w:hAnsi="微软雅黑" w:eastAsia="仿宋_GB2312" w:cs="仿宋_GB2312"/>
          <w:color w:val="666666"/>
          <w:sz w:val="31"/>
          <w:szCs w:val="31"/>
        </w:rPr>
        <w:t>年拨付的资金。</w:t>
      </w:r>
      <w:r>
        <w:rPr>
          <w:rFonts w:hint="eastAsia" w:ascii="仿宋_GB2312" w:hAnsi="微软雅黑" w:eastAsia="仿宋_GB2312" w:cs="仿宋_GB2312"/>
          <w:color w:val="666666"/>
          <w:sz w:val="31"/>
          <w:szCs w:val="31"/>
        </w:rPr>
        <w:t xml:space="preserve"> </w:t>
      </w:r>
      <w:r>
        <w:rPr>
          <w:rFonts w:ascii="仿宋_GB2312" w:hAnsi="微软雅黑" w:eastAsia="仿宋_GB2312" w:cs="仿宋_GB2312"/>
          <w:color w:val="666666"/>
          <w:sz w:val="31"/>
          <w:szCs w:val="31"/>
        </w:rPr>
        <w:t>　</w:t>
      </w:r>
    </w:p>
    <w:p w14:paraId="6FA62576">
      <w:pPr>
        <w:pStyle w:val="15"/>
        <w:widowControl/>
        <w:spacing w:before="120" w:line="600" w:lineRule="atLeast"/>
        <w:ind w:left="309" w:leftChars="147" w:firstLine="229" w:firstLineChars="74"/>
        <w:rPr>
          <w:rFonts w:ascii="仿宋_GB2312" w:hAnsi="微软雅黑" w:eastAsia="仿宋_GB2312" w:cs="仿宋_GB2312"/>
          <w:color w:val="666666"/>
          <w:sz w:val="31"/>
          <w:szCs w:val="31"/>
        </w:rPr>
      </w:pPr>
      <w:r>
        <w:rPr>
          <w:rFonts w:ascii="仿宋_GB2312" w:hAnsi="微软雅黑" w:eastAsia="仿宋_GB2312" w:cs="仿宋_GB2312"/>
          <w:color w:val="666666"/>
          <w:sz w:val="31"/>
          <w:szCs w:val="31"/>
        </w:rPr>
        <w:t>（</w:t>
      </w:r>
      <w:r>
        <w:rPr>
          <w:rFonts w:hint="eastAsia" w:ascii="仿宋_GB2312" w:hAnsi="微软雅黑" w:eastAsia="仿宋_GB2312" w:cs="仿宋_GB2312"/>
          <w:color w:val="666666"/>
          <w:sz w:val="31"/>
          <w:szCs w:val="31"/>
        </w:rPr>
        <w:t>二</w:t>
      </w:r>
      <w:r>
        <w:rPr>
          <w:rFonts w:ascii="仿宋_GB2312" w:hAnsi="微软雅黑" w:eastAsia="仿宋_GB2312" w:cs="仿宋_GB2312"/>
          <w:color w:val="666666"/>
          <w:sz w:val="31"/>
          <w:szCs w:val="31"/>
        </w:rPr>
        <w:t>）一般公共服务（类）</w:t>
      </w:r>
      <w:r>
        <w:rPr>
          <w:rFonts w:hint="eastAsia" w:ascii="仿宋_GB2312" w:hAnsi="微软雅黑" w:eastAsia="仿宋_GB2312" w:cs="仿宋_GB2312"/>
          <w:color w:val="666666"/>
          <w:sz w:val="31"/>
          <w:szCs w:val="31"/>
        </w:rPr>
        <w:t xml:space="preserve">市场监督管理 </w:t>
      </w:r>
      <w:r>
        <w:rPr>
          <w:rFonts w:ascii="仿宋_GB2312" w:hAnsi="微软雅黑" w:eastAsia="仿宋_GB2312" w:cs="仿宋_GB2312"/>
          <w:color w:val="666666"/>
          <w:sz w:val="31"/>
          <w:szCs w:val="31"/>
        </w:rPr>
        <w:t>（款）行政运行（项）：指</w:t>
      </w:r>
      <w:r>
        <w:rPr>
          <w:rFonts w:hint="eastAsia" w:ascii="仿宋_GB2312" w:hAnsi="微软雅黑" w:eastAsia="仿宋_GB2312" w:cs="仿宋_GB2312"/>
          <w:color w:val="666666"/>
          <w:sz w:val="31"/>
          <w:szCs w:val="31"/>
        </w:rPr>
        <w:t>市场监监管理机关</w:t>
      </w:r>
      <w:r>
        <w:rPr>
          <w:rFonts w:ascii="仿宋_GB2312" w:hAnsi="微软雅黑" w:eastAsia="仿宋_GB2312" w:cs="仿宋_GB2312"/>
          <w:color w:val="666666"/>
          <w:sz w:val="31"/>
          <w:szCs w:val="31"/>
        </w:rPr>
        <w:t>单位用于保障机构正常运行、开展日常工作的基本支出。</w:t>
      </w:r>
      <w:r>
        <w:rPr>
          <w:rFonts w:hint="eastAsia" w:ascii="微软雅黑" w:hAnsi="微软雅黑" w:eastAsia="微软雅黑" w:cs="微软雅黑"/>
          <w:color w:val="666666"/>
          <w:sz w:val="27"/>
          <w:szCs w:val="27"/>
        </w:rPr>
        <w:br w:type="textWrapping"/>
      </w:r>
      <w:r>
        <w:rPr>
          <w:rFonts w:ascii="仿宋_GB2312" w:hAnsi="微软雅黑" w:eastAsia="仿宋_GB2312" w:cs="仿宋_GB2312"/>
          <w:color w:val="666666"/>
          <w:sz w:val="31"/>
          <w:szCs w:val="31"/>
        </w:rPr>
        <w:t>　（</w:t>
      </w:r>
      <w:r>
        <w:rPr>
          <w:rFonts w:hint="eastAsia" w:ascii="仿宋_GB2312" w:hAnsi="微软雅黑" w:eastAsia="仿宋_GB2312" w:cs="仿宋_GB2312"/>
          <w:color w:val="666666"/>
          <w:sz w:val="31"/>
          <w:szCs w:val="31"/>
        </w:rPr>
        <w:t>三</w:t>
      </w:r>
      <w:r>
        <w:rPr>
          <w:rFonts w:ascii="仿宋_GB2312" w:hAnsi="微软雅黑" w:eastAsia="仿宋_GB2312" w:cs="仿宋_GB2312"/>
          <w:color w:val="666666"/>
          <w:sz w:val="31"/>
          <w:szCs w:val="31"/>
        </w:rPr>
        <w:t>）一般公共服务（类）</w:t>
      </w:r>
      <w:r>
        <w:rPr>
          <w:rFonts w:hint="eastAsia" w:ascii="仿宋_GB2312" w:hAnsi="微软雅黑" w:eastAsia="仿宋_GB2312" w:cs="仿宋_GB2312"/>
          <w:color w:val="666666"/>
          <w:sz w:val="31"/>
          <w:szCs w:val="31"/>
        </w:rPr>
        <w:t>市场监督管理</w:t>
      </w:r>
      <w:r>
        <w:rPr>
          <w:rFonts w:ascii="仿宋_GB2312" w:hAnsi="微软雅黑" w:eastAsia="仿宋_GB2312" w:cs="仿宋_GB2312"/>
          <w:color w:val="666666"/>
          <w:sz w:val="31"/>
          <w:szCs w:val="31"/>
        </w:rPr>
        <w:t>（款）</w:t>
      </w:r>
      <w:r>
        <w:rPr>
          <w:rFonts w:hint="eastAsia" w:ascii="仿宋_GB2312" w:hAnsi="微软雅黑" w:eastAsia="仿宋_GB2312" w:cs="仿宋_GB2312"/>
          <w:color w:val="666666"/>
          <w:sz w:val="31"/>
          <w:szCs w:val="31"/>
        </w:rPr>
        <w:t>药品事务</w:t>
      </w:r>
      <w:r>
        <w:rPr>
          <w:rFonts w:ascii="仿宋_GB2312" w:hAnsi="微软雅黑" w:eastAsia="仿宋_GB2312" w:cs="仿宋_GB2312"/>
          <w:color w:val="666666"/>
          <w:sz w:val="31"/>
          <w:szCs w:val="31"/>
        </w:rPr>
        <w:t>（项）：指</w:t>
      </w:r>
      <w:r>
        <w:rPr>
          <w:rFonts w:hint="eastAsia" w:ascii="仿宋_GB2312" w:hAnsi="微软雅黑" w:eastAsia="仿宋_GB2312" w:cs="仿宋_GB2312"/>
          <w:color w:val="666666"/>
          <w:sz w:val="31"/>
          <w:szCs w:val="31"/>
        </w:rPr>
        <w:t>药品（含中药、民族药）</w:t>
      </w:r>
      <w:r>
        <w:rPr>
          <w:rFonts w:ascii="仿宋_GB2312" w:hAnsi="微软雅黑" w:eastAsia="仿宋_GB2312" w:cs="仿宋_GB2312"/>
          <w:color w:val="666666"/>
          <w:sz w:val="31"/>
          <w:szCs w:val="31"/>
        </w:rPr>
        <w:t>　</w:t>
      </w:r>
      <w:r>
        <w:rPr>
          <w:rFonts w:hint="eastAsia" w:ascii="仿宋_GB2312" w:hAnsi="微软雅黑" w:eastAsia="仿宋_GB2312" w:cs="仿宋_GB2312"/>
          <w:color w:val="666666"/>
          <w:sz w:val="31"/>
          <w:szCs w:val="31"/>
        </w:rPr>
        <w:t>监督管理方面的支出</w:t>
      </w:r>
    </w:p>
    <w:p w14:paraId="3B36A1DB">
      <w:pPr>
        <w:pStyle w:val="15"/>
        <w:widowControl/>
        <w:spacing w:before="120" w:line="600" w:lineRule="atLeast"/>
        <w:ind w:firstLine="366"/>
      </w:pPr>
      <w:r>
        <w:rPr>
          <w:rFonts w:ascii="仿宋_GB2312" w:hAnsi="微软雅黑" w:eastAsia="仿宋_GB2312" w:cs="仿宋_GB2312"/>
          <w:color w:val="666666"/>
          <w:sz w:val="31"/>
          <w:szCs w:val="31"/>
        </w:rPr>
        <w:t>　（</w:t>
      </w:r>
      <w:r>
        <w:rPr>
          <w:rFonts w:hint="eastAsia" w:ascii="仿宋_GB2312" w:hAnsi="微软雅黑" w:eastAsia="仿宋_GB2312" w:cs="仿宋_GB2312"/>
          <w:color w:val="666666"/>
          <w:sz w:val="31"/>
          <w:szCs w:val="31"/>
        </w:rPr>
        <w:t>四</w:t>
      </w:r>
      <w:r>
        <w:rPr>
          <w:rFonts w:ascii="仿宋_GB2312" w:hAnsi="微软雅黑" w:eastAsia="仿宋_GB2312" w:cs="仿宋_GB2312"/>
          <w:color w:val="666666"/>
          <w:sz w:val="31"/>
          <w:szCs w:val="31"/>
        </w:rPr>
        <w:t>）一般公共服务（类）</w:t>
      </w:r>
      <w:r>
        <w:rPr>
          <w:rFonts w:hint="eastAsia" w:ascii="仿宋_GB2312" w:hAnsi="微软雅黑" w:eastAsia="仿宋_GB2312" w:cs="仿宋_GB2312"/>
          <w:color w:val="666666"/>
          <w:sz w:val="31"/>
          <w:szCs w:val="31"/>
        </w:rPr>
        <w:t>市场监督管理</w:t>
      </w:r>
      <w:r>
        <w:rPr>
          <w:rFonts w:ascii="仿宋_GB2312" w:hAnsi="微软雅黑" w:eastAsia="仿宋_GB2312" w:cs="仿宋_GB2312"/>
          <w:color w:val="666666"/>
          <w:sz w:val="31"/>
          <w:szCs w:val="31"/>
        </w:rPr>
        <w:t>（款）</w:t>
      </w:r>
      <w:r>
        <w:rPr>
          <w:rFonts w:hint="eastAsia" w:ascii="仿宋_GB2312" w:hAnsi="微软雅黑" w:eastAsia="仿宋_GB2312" w:cs="仿宋_GB2312"/>
          <w:color w:val="666666"/>
          <w:sz w:val="31"/>
          <w:szCs w:val="31"/>
        </w:rPr>
        <w:t>食品安全监管</w:t>
      </w:r>
      <w:r>
        <w:rPr>
          <w:rFonts w:ascii="仿宋_GB2312" w:hAnsi="微软雅黑" w:eastAsia="仿宋_GB2312" w:cs="仿宋_GB2312"/>
          <w:color w:val="666666"/>
          <w:sz w:val="31"/>
          <w:szCs w:val="31"/>
        </w:rPr>
        <w:t>（项）：指</w:t>
      </w:r>
      <w:r>
        <w:rPr>
          <w:rFonts w:hint="eastAsia" w:ascii="仿宋_GB2312" w:hAnsi="微软雅黑" w:eastAsia="仿宋_GB2312" w:cs="仿宋_GB2312"/>
          <w:color w:val="666666"/>
          <w:sz w:val="31"/>
          <w:szCs w:val="31"/>
        </w:rPr>
        <w:t>食品安全监管等专项工作支出</w:t>
      </w:r>
      <w:r>
        <w:rPr>
          <w:rFonts w:ascii="仿宋_GB2312" w:hAnsi="微软雅黑" w:eastAsia="仿宋_GB2312" w:cs="仿宋_GB2312"/>
          <w:color w:val="666666"/>
          <w:sz w:val="31"/>
          <w:szCs w:val="31"/>
        </w:rPr>
        <w:t>。</w:t>
      </w:r>
      <w:r>
        <w:rPr>
          <w:rFonts w:hint="eastAsia" w:ascii="微软雅黑" w:hAnsi="微软雅黑" w:eastAsia="微软雅黑" w:cs="微软雅黑"/>
          <w:color w:val="666666"/>
          <w:sz w:val="27"/>
          <w:szCs w:val="27"/>
        </w:rPr>
        <w:br w:type="textWrapping"/>
      </w:r>
      <w:r>
        <w:rPr>
          <w:rFonts w:ascii="仿宋_GB2312" w:hAnsi="微软雅黑" w:eastAsia="仿宋_GB2312" w:cs="仿宋_GB2312"/>
          <w:color w:val="666666"/>
          <w:sz w:val="31"/>
          <w:szCs w:val="31"/>
        </w:rPr>
        <w:t>　　（</w:t>
      </w:r>
      <w:r>
        <w:rPr>
          <w:rFonts w:hint="eastAsia" w:ascii="仿宋_GB2312" w:hAnsi="微软雅黑" w:eastAsia="仿宋_GB2312" w:cs="仿宋_GB2312"/>
          <w:color w:val="666666"/>
          <w:sz w:val="31"/>
          <w:szCs w:val="31"/>
        </w:rPr>
        <w:t>五</w:t>
      </w:r>
      <w:r>
        <w:rPr>
          <w:rFonts w:ascii="仿宋_GB2312" w:hAnsi="微软雅黑" w:eastAsia="仿宋_GB2312" w:cs="仿宋_GB2312"/>
          <w:color w:val="666666"/>
          <w:sz w:val="31"/>
          <w:szCs w:val="31"/>
        </w:rPr>
        <w:t>）一般公共服务（类）</w:t>
      </w:r>
      <w:r>
        <w:rPr>
          <w:rFonts w:hint="eastAsia" w:ascii="仿宋_GB2312" w:hAnsi="微软雅黑" w:eastAsia="仿宋_GB2312" w:cs="仿宋_GB2312"/>
          <w:color w:val="666666"/>
          <w:sz w:val="31"/>
          <w:szCs w:val="31"/>
        </w:rPr>
        <w:t>市场监督管理</w:t>
      </w:r>
      <w:r>
        <w:rPr>
          <w:rFonts w:ascii="仿宋_GB2312" w:hAnsi="微软雅黑" w:eastAsia="仿宋_GB2312" w:cs="仿宋_GB2312"/>
          <w:color w:val="666666"/>
          <w:sz w:val="31"/>
          <w:szCs w:val="31"/>
        </w:rPr>
        <w:t>（款）</w:t>
      </w:r>
      <w:r>
        <w:rPr>
          <w:rFonts w:hint="eastAsia" w:ascii="仿宋_GB2312" w:hAnsi="微软雅黑" w:eastAsia="仿宋_GB2312" w:cs="仿宋_GB2312"/>
          <w:color w:val="666666"/>
          <w:sz w:val="31"/>
          <w:szCs w:val="31"/>
        </w:rPr>
        <w:t>事业运行</w:t>
      </w:r>
      <w:r>
        <w:rPr>
          <w:rFonts w:ascii="仿宋_GB2312" w:hAnsi="微软雅黑" w:eastAsia="仿宋_GB2312" w:cs="仿宋_GB2312"/>
          <w:color w:val="666666"/>
          <w:sz w:val="31"/>
          <w:szCs w:val="31"/>
        </w:rPr>
        <w:t>（项）：</w:t>
      </w:r>
      <w:r>
        <w:rPr>
          <w:rFonts w:hint="eastAsia" w:ascii="仿宋_GB2312" w:hAnsi="微软雅黑" w:eastAsia="仿宋_GB2312" w:cs="仿宋_GB2312"/>
          <w:color w:val="666666"/>
          <w:sz w:val="31"/>
          <w:szCs w:val="31"/>
        </w:rPr>
        <w:t>广元市昭化区市场监度督务中心、广元市昭化区消费者权益服务中心、广元市昭化区市场监督信息中心</w:t>
      </w:r>
      <w:r>
        <w:rPr>
          <w:rFonts w:ascii="仿宋_GB2312" w:hAnsi="微软雅黑" w:eastAsia="仿宋_GB2312" w:cs="仿宋_GB2312"/>
          <w:color w:val="666666"/>
          <w:sz w:val="31"/>
          <w:szCs w:val="31"/>
        </w:rPr>
        <w:t>用于保障机构正常运行、开展日常工作的基本支出。</w:t>
      </w:r>
      <w:r>
        <w:rPr>
          <w:rFonts w:hint="eastAsia" w:ascii="微软雅黑" w:hAnsi="微软雅黑" w:eastAsia="微软雅黑" w:cs="微软雅黑"/>
          <w:color w:val="666666"/>
          <w:sz w:val="27"/>
          <w:szCs w:val="27"/>
        </w:rPr>
        <w:br w:type="textWrapping"/>
      </w:r>
      <w:r>
        <w:rPr>
          <w:rFonts w:ascii="仿宋_GB2312" w:hAnsi="微软雅黑" w:eastAsia="仿宋_GB2312" w:cs="仿宋_GB2312"/>
          <w:color w:val="666666"/>
          <w:sz w:val="31"/>
          <w:szCs w:val="31"/>
        </w:rPr>
        <w:t>　　（</w:t>
      </w:r>
      <w:r>
        <w:rPr>
          <w:rFonts w:hint="eastAsia" w:ascii="仿宋_GB2312" w:hAnsi="微软雅黑" w:eastAsia="仿宋_GB2312" w:cs="仿宋_GB2312"/>
          <w:color w:val="666666"/>
          <w:sz w:val="31"/>
          <w:szCs w:val="31"/>
        </w:rPr>
        <w:t>六</w:t>
      </w:r>
      <w:r>
        <w:rPr>
          <w:rFonts w:ascii="仿宋_GB2312" w:hAnsi="微软雅黑" w:eastAsia="仿宋_GB2312" w:cs="仿宋_GB2312"/>
          <w:color w:val="666666"/>
          <w:sz w:val="31"/>
          <w:szCs w:val="31"/>
        </w:rPr>
        <w:t>）一般公共服务（类）</w:t>
      </w:r>
      <w:r>
        <w:rPr>
          <w:rFonts w:hint="eastAsia" w:ascii="仿宋_GB2312" w:hAnsi="微软雅黑" w:eastAsia="仿宋_GB2312" w:cs="仿宋_GB2312"/>
          <w:color w:val="666666"/>
          <w:sz w:val="31"/>
          <w:szCs w:val="31"/>
        </w:rPr>
        <w:t>市场监督管理</w:t>
      </w:r>
      <w:r>
        <w:rPr>
          <w:rFonts w:ascii="仿宋_GB2312" w:hAnsi="微软雅黑" w:eastAsia="仿宋_GB2312" w:cs="仿宋_GB2312"/>
          <w:color w:val="666666"/>
          <w:sz w:val="31"/>
          <w:szCs w:val="31"/>
        </w:rPr>
        <w:t>（款）其他</w:t>
      </w:r>
      <w:r>
        <w:rPr>
          <w:rFonts w:hint="eastAsia" w:ascii="仿宋_GB2312" w:hAnsi="微软雅黑" w:eastAsia="仿宋_GB2312" w:cs="仿宋_GB2312"/>
          <w:color w:val="666666"/>
          <w:sz w:val="31"/>
          <w:szCs w:val="31"/>
        </w:rPr>
        <w:t>市场监督管理</w:t>
      </w:r>
      <w:r>
        <w:rPr>
          <w:rFonts w:ascii="仿宋_GB2312" w:hAnsi="微软雅黑" w:eastAsia="仿宋_GB2312" w:cs="仿宋_GB2312"/>
          <w:color w:val="666666"/>
          <w:sz w:val="31"/>
          <w:szCs w:val="31"/>
        </w:rPr>
        <w:t>（项）：指</w:t>
      </w:r>
      <w:r>
        <w:rPr>
          <w:rFonts w:hint="eastAsia" w:ascii="仿宋_GB2312" w:hAnsi="微软雅黑" w:eastAsia="仿宋_GB2312" w:cs="仿宋_GB2312"/>
          <w:color w:val="666666"/>
          <w:sz w:val="31"/>
          <w:szCs w:val="31"/>
        </w:rPr>
        <w:t>市场监督管理</w:t>
      </w:r>
      <w:r>
        <w:rPr>
          <w:rFonts w:ascii="仿宋_GB2312" w:hAnsi="微软雅黑" w:eastAsia="仿宋_GB2312" w:cs="仿宋_GB2312"/>
          <w:color w:val="666666"/>
          <w:sz w:val="31"/>
          <w:szCs w:val="31"/>
        </w:rPr>
        <w:t>除上述项目外，开展其他</w:t>
      </w:r>
      <w:r>
        <w:rPr>
          <w:rFonts w:hint="eastAsia" w:ascii="仿宋_GB2312" w:hAnsi="微软雅黑" w:eastAsia="仿宋_GB2312" w:cs="仿宋_GB2312"/>
          <w:color w:val="666666"/>
          <w:sz w:val="31"/>
          <w:szCs w:val="31"/>
        </w:rPr>
        <w:t>市场监督</w:t>
      </w:r>
      <w:r>
        <w:rPr>
          <w:rFonts w:ascii="仿宋_GB2312" w:hAnsi="微软雅黑" w:eastAsia="仿宋_GB2312" w:cs="仿宋_GB2312"/>
          <w:color w:val="666666"/>
          <w:sz w:val="31"/>
          <w:szCs w:val="31"/>
        </w:rPr>
        <w:t>方面专门性工作任务的项目支出，如</w:t>
      </w:r>
      <w:r>
        <w:rPr>
          <w:rFonts w:hint="eastAsia" w:ascii="仿宋_GB2312" w:hAnsi="微软雅黑" w:eastAsia="仿宋_GB2312" w:cs="仿宋_GB2312"/>
          <w:color w:val="666666"/>
          <w:sz w:val="31"/>
          <w:szCs w:val="31"/>
        </w:rPr>
        <w:t>争取资金、招商引资等</w:t>
      </w:r>
      <w:r>
        <w:rPr>
          <w:rFonts w:ascii="仿宋_GB2312" w:hAnsi="微软雅黑" w:eastAsia="仿宋_GB2312" w:cs="仿宋_GB2312"/>
          <w:color w:val="666666"/>
          <w:sz w:val="31"/>
          <w:szCs w:val="31"/>
        </w:rPr>
        <w:t>的相关支出。</w:t>
      </w:r>
      <w:r>
        <w:rPr>
          <w:rFonts w:hint="eastAsia" w:ascii="微软雅黑" w:hAnsi="微软雅黑" w:eastAsia="微软雅黑" w:cs="微软雅黑"/>
          <w:color w:val="666666"/>
          <w:sz w:val="27"/>
          <w:szCs w:val="27"/>
        </w:rPr>
        <w:br w:type="textWrapping"/>
      </w:r>
      <w:r>
        <w:rPr>
          <w:rFonts w:ascii="仿宋_GB2312" w:hAnsi="微软雅黑" w:eastAsia="仿宋_GB2312" w:cs="仿宋_GB2312"/>
          <w:color w:val="666666"/>
          <w:sz w:val="31"/>
          <w:szCs w:val="31"/>
        </w:rPr>
        <w:t>　　（</w:t>
      </w:r>
      <w:r>
        <w:rPr>
          <w:rFonts w:hint="eastAsia" w:ascii="仿宋_GB2312" w:hAnsi="微软雅黑" w:eastAsia="仿宋_GB2312" w:cs="仿宋_GB2312"/>
          <w:color w:val="666666"/>
          <w:sz w:val="31"/>
          <w:szCs w:val="31"/>
        </w:rPr>
        <w:t>七</w:t>
      </w:r>
      <w:r>
        <w:rPr>
          <w:rFonts w:ascii="仿宋_GB2312" w:hAnsi="微软雅黑" w:eastAsia="仿宋_GB2312" w:cs="仿宋_GB2312"/>
          <w:color w:val="666666"/>
          <w:sz w:val="31"/>
          <w:szCs w:val="31"/>
        </w:rPr>
        <w:t>）社会保障和就业（类）行政事业单位养老支出（款）机关事业单位基本养老保险缴费支出（项）：指部门实施养老保险制度由单位缴纳的养老保险费的支出。</w:t>
      </w:r>
      <w:r>
        <w:rPr>
          <w:rFonts w:hint="eastAsia" w:ascii="微软雅黑" w:hAnsi="微软雅黑" w:eastAsia="微软雅黑" w:cs="微软雅黑"/>
          <w:color w:val="666666"/>
          <w:sz w:val="27"/>
          <w:szCs w:val="27"/>
        </w:rPr>
        <w:br w:type="textWrapping"/>
      </w:r>
      <w:r>
        <w:rPr>
          <w:rFonts w:ascii="仿宋_GB2312" w:hAnsi="微软雅黑" w:eastAsia="仿宋_GB2312" w:cs="仿宋_GB2312"/>
          <w:color w:val="666666"/>
          <w:sz w:val="31"/>
          <w:szCs w:val="31"/>
        </w:rPr>
        <w:t>　　（</w:t>
      </w:r>
      <w:r>
        <w:rPr>
          <w:rFonts w:hint="eastAsia" w:ascii="仿宋_GB2312" w:hAnsi="微软雅黑" w:eastAsia="仿宋_GB2312" w:cs="仿宋_GB2312"/>
          <w:color w:val="666666"/>
          <w:sz w:val="31"/>
          <w:szCs w:val="31"/>
        </w:rPr>
        <w:t>八</w:t>
      </w:r>
      <w:r>
        <w:rPr>
          <w:rFonts w:ascii="仿宋_GB2312" w:hAnsi="微软雅黑" w:eastAsia="仿宋_GB2312" w:cs="仿宋_GB2312"/>
          <w:color w:val="666666"/>
          <w:sz w:val="31"/>
          <w:szCs w:val="31"/>
        </w:rPr>
        <w:t>）卫生健康（类）行政事业单位医疗（款）行政单位医疗（项）：指</w:t>
      </w:r>
      <w:r>
        <w:rPr>
          <w:rFonts w:hint="eastAsia" w:ascii="仿宋_GB2312" w:hAnsi="微软雅黑" w:eastAsia="仿宋_GB2312" w:cs="仿宋_GB2312"/>
          <w:color w:val="666666"/>
          <w:sz w:val="31"/>
          <w:szCs w:val="31"/>
        </w:rPr>
        <w:t xml:space="preserve">市场监督管理机关事业 </w:t>
      </w:r>
      <w:r>
        <w:rPr>
          <w:rFonts w:ascii="仿宋_GB2312" w:hAnsi="微软雅黑" w:eastAsia="仿宋_GB2312" w:cs="仿宋_GB2312"/>
          <w:color w:val="666666"/>
          <w:sz w:val="31"/>
          <w:szCs w:val="31"/>
        </w:rPr>
        <w:t>单位用于单位应缴纳基本医疗保险支出。</w:t>
      </w:r>
      <w:r>
        <w:rPr>
          <w:rFonts w:hint="eastAsia" w:ascii="微软雅黑" w:hAnsi="微软雅黑" w:eastAsia="微软雅黑" w:cs="微软雅黑"/>
          <w:color w:val="666666"/>
          <w:sz w:val="27"/>
          <w:szCs w:val="27"/>
        </w:rPr>
        <w:br w:type="textWrapping"/>
      </w:r>
      <w:r>
        <w:rPr>
          <w:rFonts w:ascii="仿宋_GB2312" w:hAnsi="微软雅黑" w:eastAsia="仿宋_GB2312" w:cs="仿宋_GB2312"/>
          <w:color w:val="666666"/>
          <w:sz w:val="31"/>
          <w:szCs w:val="31"/>
        </w:rPr>
        <w:t>　　（</w:t>
      </w:r>
      <w:r>
        <w:rPr>
          <w:rFonts w:hint="eastAsia" w:ascii="仿宋_GB2312" w:hAnsi="微软雅黑" w:eastAsia="仿宋_GB2312" w:cs="仿宋_GB2312"/>
          <w:color w:val="666666"/>
          <w:sz w:val="31"/>
          <w:szCs w:val="31"/>
        </w:rPr>
        <w:t>九</w:t>
      </w:r>
      <w:r>
        <w:rPr>
          <w:rFonts w:ascii="仿宋_GB2312" w:hAnsi="微软雅黑" w:eastAsia="仿宋_GB2312" w:cs="仿宋_GB2312"/>
          <w:color w:val="666666"/>
          <w:sz w:val="31"/>
          <w:szCs w:val="31"/>
        </w:rPr>
        <w:t>）卫生健康（类）行政事业单位医疗（款）事业单位医疗（项）：指事业单位用于单位应缴纳基本医疗保险支出。</w:t>
      </w:r>
    </w:p>
    <w:p w14:paraId="272EEACE">
      <w:pPr>
        <w:pStyle w:val="15"/>
        <w:widowControl/>
        <w:spacing w:before="120" w:line="600" w:lineRule="atLeast"/>
      </w:pPr>
      <w:r>
        <w:rPr>
          <w:rFonts w:ascii="仿宋_GB2312" w:hAnsi="微软雅黑" w:eastAsia="仿宋_GB2312" w:cs="仿宋_GB2312"/>
          <w:color w:val="666666"/>
          <w:sz w:val="31"/>
          <w:szCs w:val="31"/>
        </w:rPr>
        <w:t>　　（十）住房保障（类）住房改革支出（款）住房公积金（项）：指按照《住房公积金管理条例》的规定，由单位及其在职职工缴存的长期住房储金。</w:t>
      </w:r>
      <w:r>
        <w:rPr>
          <w:rFonts w:hint="eastAsia" w:ascii="微软雅黑" w:hAnsi="微软雅黑" w:eastAsia="微软雅黑" w:cs="微软雅黑"/>
          <w:color w:val="666666"/>
          <w:sz w:val="27"/>
          <w:szCs w:val="27"/>
        </w:rPr>
        <w:br w:type="textWrapping"/>
      </w:r>
      <w:r>
        <w:rPr>
          <w:rFonts w:ascii="仿宋_GB2312" w:hAnsi="微软雅黑" w:eastAsia="仿宋_GB2312" w:cs="仿宋_GB2312"/>
          <w:color w:val="666666"/>
          <w:sz w:val="31"/>
          <w:szCs w:val="31"/>
        </w:rPr>
        <w:t>　　（十</w:t>
      </w:r>
      <w:r>
        <w:rPr>
          <w:rFonts w:hint="eastAsia" w:ascii="仿宋_GB2312" w:hAnsi="微软雅黑" w:eastAsia="仿宋_GB2312" w:cs="仿宋_GB2312"/>
          <w:color w:val="666666"/>
          <w:sz w:val="31"/>
          <w:szCs w:val="31"/>
        </w:rPr>
        <w:t>一</w:t>
      </w:r>
      <w:r>
        <w:rPr>
          <w:rFonts w:ascii="仿宋_GB2312" w:hAnsi="微软雅黑" w:eastAsia="仿宋_GB2312" w:cs="仿宋_GB2312"/>
          <w:color w:val="666666"/>
          <w:sz w:val="31"/>
          <w:szCs w:val="31"/>
        </w:rPr>
        <w:t>）基本支出：指为保证机构正常运转，完成日常工作任务而发生的人员支出和公用支出。</w:t>
      </w:r>
      <w:r>
        <w:rPr>
          <w:rFonts w:hint="eastAsia" w:ascii="微软雅黑" w:hAnsi="微软雅黑" w:eastAsia="微软雅黑" w:cs="微软雅黑"/>
          <w:color w:val="666666"/>
          <w:sz w:val="27"/>
          <w:szCs w:val="27"/>
        </w:rPr>
        <w:br w:type="textWrapping"/>
      </w:r>
      <w:r>
        <w:rPr>
          <w:rFonts w:ascii="仿宋_GB2312" w:hAnsi="微软雅黑" w:eastAsia="仿宋_GB2312" w:cs="仿宋_GB2312"/>
          <w:color w:val="666666"/>
          <w:sz w:val="31"/>
          <w:szCs w:val="31"/>
        </w:rPr>
        <w:t>　　（十</w:t>
      </w:r>
      <w:r>
        <w:rPr>
          <w:rFonts w:hint="eastAsia" w:ascii="仿宋_GB2312" w:hAnsi="微软雅黑" w:eastAsia="仿宋_GB2312" w:cs="仿宋_GB2312"/>
          <w:color w:val="666666"/>
          <w:sz w:val="31"/>
          <w:szCs w:val="31"/>
        </w:rPr>
        <w:t>二</w:t>
      </w:r>
      <w:r>
        <w:rPr>
          <w:rFonts w:ascii="仿宋_GB2312" w:hAnsi="微软雅黑" w:eastAsia="仿宋_GB2312" w:cs="仿宋_GB2312"/>
          <w:color w:val="666666"/>
          <w:sz w:val="31"/>
          <w:szCs w:val="31"/>
        </w:rPr>
        <w:t>）项目支出：指在基本支出之外为完成特定行政任务和事业发展目标所发生的支出。</w:t>
      </w:r>
    </w:p>
    <w:p w14:paraId="3D00EAE8">
      <w:pPr>
        <w:pStyle w:val="15"/>
        <w:widowControl/>
        <w:spacing w:before="120" w:line="600" w:lineRule="atLeast"/>
      </w:pPr>
      <w:r>
        <w:rPr>
          <w:rFonts w:ascii="仿宋_GB2312" w:hAnsi="微软雅黑" w:eastAsia="仿宋_GB2312" w:cs="仿宋_GB2312"/>
          <w:color w:val="666666"/>
          <w:sz w:val="31"/>
          <w:szCs w:val="31"/>
        </w:rPr>
        <w:t>　　（十</w:t>
      </w:r>
      <w:r>
        <w:rPr>
          <w:rFonts w:hint="eastAsia" w:ascii="仿宋_GB2312" w:hAnsi="微软雅黑" w:eastAsia="仿宋_GB2312" w:cs="仿宋_GB2312"/>
          <w:color w:val="666666"/>
          <w:sz w:val="31"/>
          <w:szCs w:val="31"/>
        </w:rPr>
        <w:t>三</w:t>
      </w:r>
      <w:r>
        <w:rPr>
          <w:rFonts w:ascii="仿宋_GB2312" w:hAnsi="微软雅黑" w:eastAsia="仿宋_GB2312" w:cs="仿宋_GB2312"/>
          <w:color w:val="666666"/>
          <w:sz w:val="31"/>
          <w:szCs w:val="31"/>
        </w:rPr>
        <w:t>）“三公”经费：纳入</w:t>
      </w:r>
      <w:r>
        <w:rPr>
          <w:rFonts w:hint="eastAsia" w:ascii="仿宋_GB2312" w:hAnsi="微软雅黑" w:eastAsia="仿宋_GB2312" w:cs="仿宋_GB2312"/>
          <w:color w:val="666666"/>
          <w:sz w:val="31"/>
          <w:szCs w:val="31"/>
        </w:rPr>
        <w:t xml:space="preserve">昭化区市场监督管理局 </w:t>
      </w:r>
      <w:r>
        <w:rPr>
          <w:rFonts w:ascii="仿宋_GB2312" w:hAnsi="微软雅黑" w:eastAsia="仿宋_GB2312" w:cs="仿宋_GB2312"/>
          <w:color w:val="666666"/>
          <w:sz w:val="31"/>
          <w:szCs w:val="31"/>
        </w:rPr>
        <w:t>预算管理的“三公”经费，是指部门用财政拨款安排的</w:t>
      </w:r>
      <w:r>
        <w:rPr>
          <w:rFonts w:hint="eastAsia" w:ascii="仿宋_GB2312" w:hAnsi="微软雅黑" w:eastAsia="仿宋_GB2312" w:cs="仿宋_GB2312"/>
          <w:color w:val="666666"/>
          <w:sz w:val="31"/>
          <w:szCs w:val="31"/>
        </w:rPr>
        <w:t xml:space="preserve"> </w:t>
      </w:r>
      <w:r>
        <w:rPr>
          <w:rFonts w:ascii="仿宋_GB2312" w:hAnsi="微软雅黑" w:eastAsia="仿宋_GB2312" w:cs="仿宋_GB2312"/>
          <w:color w:val="666666"/>
          <w:sz w:val="31"/>
          <w:szCs w:val="31"/>
        </w:rPr>
        <w:t>公务用车购置及运行费和公务接待费。其中公务用车购置及运行费反映单位公务用车车辆购置支出（含车辆购置税）及租用费、燃料费、维修费、过路过桥费、保险费等支出；公务接待费反映单位按规定开支的各类公务接待（含外宾接待）支出。</w:t>
      </w:r>
      <w:r>
        <w:rPr>
          <w:rFonts w:hint="eastAsia" w:ascii="微软雅黑" w:hAnsi="微软雅黑" w:eastAsia="微软雅黑" w:cs="微软雅黑"/>
          <w:color w:val="666666"/>
          <w:sz w:val="27"/>
          <w:szCs w:val="27"/>
        </w:rPr>
        <w:br w:type="textWrapping"/>
      </w:r>
      <w:r>
        <w:rPr>
          <w:rFonts w:ascii="仿宋_GB2312" w:hAnsi="微软雅黑" w:eastAsia="仿宋_GB2312" w:cs="仿宋_GB2312"/>
          <w:color w:val="666666"/>
          <w:sz w:val="31"/>
          <w:szCs w:val="31"/>
        </w:rPr>
        <w:t>　　（十</w:t>
      </w:r>
      <w:r>
        <w:rPr>
          <w:rFonts w:hint="eastAsia" w:ascii="仿宋_GB2312" w:hAnsi="微软雅黑" w:eastAsia="仿宋_GB2312" w:cs="仿宋_GB2312"/>
          <w:color w:val="666666"/>
          <w:sz w:val="31"/>
          <w:szCs w:val="31"/>
        </w:rPr>
        <w:t>四</w:t>
      </w:r>
      <w:r>
        <w:rPr>
          <w:rFonts w:ascii="仿宋_GB2312" w:hAnsi="微软雅黑" w:eastAsia="仿宋_GB2312" w:cs="仿宋_GB2312"/>
          <w:color w:val="666666"/>
          <w:sz w:val="31"/>
          <w:szCs w:val="31"/>
        </w:rPr>
        <w:t>）机关运行经费：为保障行政</w:t>
      </w:r>
      <w:r>
        <w:rPr>
          <w:rFonts w:hint="eastAsia" w:ascii="仿宋_GB2312" w:hAnsi="微软雅黑" w:eastAsia="仿宋_GB2312" w:cs="仿宋_GB2312"/>
          <w:color w:val="666666"/>
          <w:sz w:val="31"/>
          <w:szCs w:val="31"/>
        </w:rPr>
        <w:t>事业</w:t>
      </w:r>
      <w:r>
        <w:rPr>
          <w:rFonts w:ascii="仿宋_GB2312" w:hAnsi="微软雅黑" w:eastAsia="仿宋_GB2312" w:cs="仿宋_GB2312"/>
          <w:color w:val="666666"/>
          <w:sz w:val="31"/>
          <w:szCs w:val="31"/>
        </w:rPr>
        <w:t>单位运行用于购买货物和服务的各项资金，包括办公及印刷费、邮电费、差旅费、会议费、培训费、日常维修费、专用材料及一般设备购置费、办公用房水电费、办公用房物业管理费、公务用车运行维护费以及其他费用。</w:t>
      </w:r>
    </w:p>
    <w:p w14:paraId="5B5F075F">
      <w:pPr>
        <w:spacing w:line="600" w:lineRule="exact"/>
        <w:jc w:val="center"/>
        <w:outlineLvl w:val="0"/>
        <w:rPr>
          <w:rStyle w:val="30"/>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30"/>
          <w:rFonts w:hint="eastAsia" w:ascii="黑体" w:hAnsi="黑体" w:eastAsia="黑体"/>
          <w:b w:val="0"/>
        </w:rPr>
        <w:t>四部分 附件</w:t>
      </w:r>
      <w:bookmarkEnd w:id="58"/>
    </w:p>
    <w:p w14:paraId="1E5ACE5F">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24395EBB">
      <w:pPr>
        <w:spacing w:line="580" w:lineRule="exact"/>
        <w:jc w:val="center"/>
        <w:rPr>
          <w:rFonts w:ascii="方正小标宋简体" w:hAnsi="方正小标宋简体" w:eastAsia="方正小标宋简体" w:cs="方正小标宋简体"/>
          <w:sz w:val="44"/>
          <w:szCs w:val="44"/>
        </w:rPr>
      </w:pPr>
    </w:p>
    <w:p w14:paraId="5A5C6133">
      <w:pPr>
        <w:jc w:val="center"/>
        <w:rPr>
          <w:rFonts w:ascii="楷体_GB2312" w:hAnsi="楷体_GB2312" w:eastAsia="楷体_GB2312" w:cs="楷体_GB2312"/>
          <w:b/>
          <w:bCs/>
          <w:sz w:val="36"/>
          <w:szCs w:val="36"/>
        </w:rPr>
      </w:pPr>
      <w:r>
        <w:rPr>
          <w:rFonts w:hint="eastAsia" w:ascii="楷体_GB2312" w:hAnsi="楷体_GB2312" w:eastAsia="楷体_GB2312" w:cs="楷体_GB2312"/>
          <w:b/>
          <w:bCs/>
          <w:sz w:val="36"/>
          <w:szCs w:val="36"/>
        </w:rPr>
        <w:t>广元市昭化区市场监督管理局</w:t>
      </w:r>
    </w:p>
    <w:p w14:paraId="53CC93C8">
      <w:pPr>
        <w:jc w:val="center"/>
        <w:rPr>
          <w:rFonts w:ascii="楷体_GB2312" w:hAnsi="楷体_GB2312" w:eastAsia="楷体_GB2312" w:cs="楷体_GB2312"/>
          <w:b/>
          <w:bCs/>
          <w:sz w:val="36"/>
          <w:szCs w:val="36"/>
        </w:rPr>
      </w:pPr>
      <w:r>
        <w:rPr>
          <w:rFonts w:hint="eastAsia" w:ascii="楷体_GB2312" w:hAnsi="楷体_GB2312" w:eastAsia="楷体_GB2312" w:cs="楷体_GB2312"/>
          <w:b/>
          <w:bCs/>
          <w:sz w:val="36"/>
          <w:szCs w:val="36"/>
        </w:rPr>
        <w:t>关于2019年度部门预算综合绩效自评报告</w:t>
      </w:r>
    </w:p>
    <w:p w14:paraId="1BA660C3">
      <w:pPr>
        <w:rPr>
          <w:rFonts w:ascii="楷体_GB2312" w:hAnsi="楷体_GB2312" w:eastAsia="楷体_GB2312" w:cs="楷体_GB2312"/>
          <w:sz w:val="32"/>
          <w:szCs w:val="32"/>
        </w:rPr>
      </w:pPr>
      <w:r>
        <w:rPr>
          <w:rFonts w:hint="eastAsia" w:ascii="楷体_GB2312" w:hAnsi="楷体_GB2312" w:eastAsia="楷体_GB2312" w:cs="楷体_GB2312"/>
          <w:sz w:val="32"/>
          <w:szCs w:val="32"/>
        </w:rPr>
        <w:t>区财政局：</w:t>
      </w:r>
    </w:p>
    <w:p w14:paraId="5D30C46C">
      <w:pPr>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为了进一步加强财政支付预算管理，提高财政资金使用效益，根据《关于开展2018年财政绩效评价工作的通知》（昭财发【2018】17号）和区人民政府关于印发《广元市昭化区财政预算绩效管理实施细则》的要求，结合我局2019年部门预算管理、重点项目的实施情况等，现将我局2019年开展绩效自评情况报告如下：</w:t>
      </w:r>
    </w:p>
    <w:p w14:paraId="70C9916D">
      <w:pPr>
        <w:numPr>
          <w:ilvl w:val="0"/>
          <w:numId w:val="5"/>
        </w:numP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基本概况</w:t>
      </w:r>
    </w:p>
    <w:p w14:paraId="407FC27B">
      <w:pPr>
        <w:numPr>
          <w:ilvl w:val="0"/>
          <w:numId w:val="6"/>
        </w:numPr>
        <w:ind w:left="48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职能配置、机构设置、人员编制及资产情况  </w:t>
      </w:r>
    </w:p>
    <w:p w14:paraId="65AF4947">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1．主要职能。</w:t>
      </w:r>
    </w:p>
    <w:p w14:paraId="57BB9064">
      <w:pPr>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区市场监管局贯彻落实党中央关于市场监督管理工作的方针政策和省委、市委、区委的决策部署，在履行职责过程中加强对市场监督管理工作的集中统一领导 。其主要职能有：</w:t>
      </w:r>
      <w:r>
        <w:rPr>
          <w:rFonts w:hint="eastAsia" w:ascii="仿宋_GB2312" w:hAnsi="仿宋_GB2312" w:eastAsia="仿宋_GB2312" w:cs="仿宋_GB2312"/>
          <w:sz w:val="32"/>
          <w:szCs w:val="32"/>
        </w:rPr>
        <w:t>1、负责全区市场综合监督管理工作；2.负责全区市场主体统一登记注册；3.负责组织和指导全区市场监管综合执法工作；4.负责全区反垄断统一执法，；5.负责监督管理全区市场秩序；6.负责全区宏观质量管理；7.负责全区食品质量安全监督管理；8.负责全区特种设备安全监督管理；9.负责全区食品安全监督管理综合协调；10、负责全区食品安全监督管理；11、负责统一管理全区计量工作；12、负责统一管理全区标准化工作；13、负责统一管理全区检验检测工作；14、负责统一管理全区认证认可工作；15、负责市场监督管理科技和信息化建设；16负责全区药品、医疗器械和化妆品安全监督管理；17、负责全区知识产权战略和规划的制定，负责知识产权的保护，负责组织指导商标、专利执法工作；18、贯彻落实中央、省委、市委和区委关于加强民营经济党组织建设有关要求、19、负责职责范围内的安全生产和职业健康、生态环境保护、审批服务便民等工作；20、完成区委区政府交办的其他任务。</w:t>
      </w:r>
    </w:p>
    <w:p w14:paraId="74E21C67">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机构人员情况。区市场监督管理局属一级单位，无下属单位。总编制50名，其中行政编制21名，其他事业编制27名（由于机构合并，现事业编制未落实，及27人是2019年以前的编制数），工勤编制2名。在职人员总数73人，其中行政人员42人，其他事业人员15人，工勤人员4人；退休人员21人。固定资产总额1183.21万元，固定资产净值844.80万元。</w:t>
      </w:r>
    </w:p>
    <w:p w14:paraId="2CA4D27D">
      <w:pPr>
        <w:numPr>
          <w:ilvl w:val="0"/>
          <w:numId w:val="6"/>
        </w:numPr>
        <w:spacing w:line="556" w:lineRule="exact"/>
        <w:ind w:left="480"/>
        <w:rPr>
          <w:rFonts w:ascii="楷体_GB2312" w:hAnsi="楷体_GB2312" w:eastAsia="楷体_GB2312" w:cs="楷体_GB2312"/>
          <w:color w:val="000000" w:themeColor="text1"/>
          <w:kern w:val="0"/>
          <w:sz w:val="32"/>
          <w:szCs w:val="32"/>
          <w:lang w:bidi="ar"/>
        </w:rPr>
      </w:pPr>
      <w:r>
        <w:rPr>
          <w:rFonts w:hint="eastAsia" w:ascii="楷体_GB2312" w:hAnsi="楷体_GB2312" w:eastAsia="楷体_GB2312" w:cs="楷体_GB2312"/>
          <w:color w:val="000000" w:themeColor="text1"/>
          <w:kern w:val="0"/>
          <w:sz w:val="32"/>
          <w:szCs w:val="32"/>
          <w:lang w:bidi="ar"/>
        </w:rPr>
        <w:t>自评步骤及方法</w:t>
      </w:r>
    </w:p>
    <w:p w14:paraId="0AFF7FE5">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自评步骤：一是前期准备，二是组织人员实施，三是分析评价。</w:t>
      </w:r>
    </w:p>
    <w:p w14:paraId="11C4313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自评方法：以相关资料为基础，经过认真审核和核对，分析得出自评结果，形成自评结论。</w:t>
      </w:r>
    </w:p>
    <w:p w14:paraId="20F474BB">
      <w:pPr>
        <w:numPr>
          <w:ilvl w:val="0"/>
          <w:numId w:val="5"/>
        </w:numPr>
        <w:spacing w:line="556" w:lineRule="exact"/>
        <w:rPr>
          <w:rFonts w:ascii="楷体_GB2312" w:hAnsi="楷体_GB2312" w:eastAsia="楷体_GB2312" w:cs="楷体_GB2312"/>
          <w:b/>
          <w:bCs/>
          <w:color w:val="000000" w:themeColor="text1"/>
          <w:kern w:val="0"/>
          <w:sz w:val="32"/>
          <w:szCs w:val="32"/>
          <w:lang w:bidi="ar"/>
        </w:rPr>
      </w:pPr>
      <w:r>
        <w:rPr>
          <w:rFonts w:hint="eastAsia" w:ascii="楷体_GB2312" w:hAnsi="楷体_GB2312" w:eastAsia="楷体_GB2312" w:cs="楷体_GB2312"/>
          <w:b/>
          <w:bCs/>
          <w:color w:val="000000" w:themeColor="text1"/>
          <w:kern w:val="0"/>
          <w:sz w:val="32"/>
          <w:szCs w:val="32"/>
          <w:lang w:bidi="ar"/>
        </w:rPr>
        <w:t>部门财政支出管理情况</w:t>
      </w:r>
    </w:p>
    <w:p w14:paraId="3B8A3FC7">
      <w:pPr>
        <w:numPr>
          <w:ilvl w:val="0"/>
          <w:numId w:val="7"/>
        </w:numPr>
        <w:spacing w:line="556" w:lineRule="exact"/>
        <w:ind w:left="480"/>
        <w:rPr>
          <w:rFonts w:ascii="楷体_GB2312" w:hAnsi="楷体_GB2312" w:eastAsia="楷体_GB2312" w:cs="楷体_GB2312"/>
          <w:color w:val="000000" w:themeColor="text1"/>
          <w:kern w:val="0"/>
          <w:sz w:val="32"/>
          <w:szCs w:val="32"/>
          <w:lang w:bidi="ar"/>
        </w:rPr>
      </w:pPr>
      <w:r>
        <w:rPr>
          <w:rFonts w:hint="eastAsia" w:ascii="楷体_GB2312" w:hAnsi="楷体_GB2312" w:eastAsia="楷体_GB2312" w:cs="楷体_GB2312"/>
          <w:color w:val="000000" w:themeColor="text1"/>
          <w:kern w:val="0"/>
          <w:sz w:val="32"/>
          <w:szCs w:val="32"/>
          <w:lang w:bidi="ar"/>
        </w:rPr>
        <w:t>年度任务目标</w:t>
      </w:r>
    </w:p>
    <w:p w14:paraId="1BF256D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在区委、区政府的坚强领导和区人大、区政协的监督支持下，在省、市主管部门的精心指导和区级各部门的积极配合下，我局认真贯彻落实中央、省、市、区各项决策部署，科学谋划、精细统筹，克难攻坚，全区市场监督管理局各项工作取得了新成效，圆满完成省、市、区下达的各项目标任务。</w:t>
      </w:r>
    </w:p>
    <w:p w14:paraId="258A16B5">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区下达我局招商引资6000万，超额完成任务；全年向上级争取资金共60万元。机关管理及项目实施监管全年安全无事故，干部职工当年无违纪违规行为发生。</w:t>
      </w:r>
    </w:p>
    <w:p w14:paraId="48517F3E">
      <w:pPr>
        <w:numPr>
          <w:ilvl w:val="0"/>
          <w:numId w:val="8"/>
        </w:numPr>
        <w:tabs>
          <w:tab w:val="left" w:pos="1146"/>
          <w:tab w:val="clear" w:pos="312"/>
        </w:tabs>
        <w:spacing w:line="556" w:lineRule="exact"/>
        <w:ind w:firstLine="640" w:firstLineChars="200"/>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预算编制和执行情况</w:t>
      </w:r>
    </w:p>
    <w:p w14:paraId="2196BBEA">
      <w:pPr>
        <w:numPr>
          <w:ilvl w:val="0"/>
          <w:numId w:val="0"/>
        </w:numPr>
        <w:tabs>
          <w:tab w:val="left" w:pos="1146"/>
        </w:tabs>
        <w:spacing w:line="55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预算编制情况。我局严格按照规定编制收入预算、支出预算（含基本支出、项目支出）、三公经费预算等。编制准确，正确使用功能科目和经济科目、准确编列资金性质和资金级次、按政府审定的方案规范编制项目支出，不漏报、错报，及时报送区财政局。2019年，我局预算收入795.10万元,其中：公共预算基本支出795.10万元、项目支出0元；基金预算项目支出0元。</w:t>
      </w:r>
    </w:p>
    <w:p w14:paraId="1CFF125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高质量的完成。</w:t>
      </w:r>
    </w:p>
    <w:p w14:paraId="36C8C04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决算编制情况。严格按照区级部门决算编制按规定口径填列，表内标间数据衔接一致，上下年衔接一致，决算和其他上报报表一致，结转清晰准确合理，决算内容完整，报表及时。2019年预算收入795.10万元，本年支出795.10万元。</w:t>
      </w:r>
    </w:p>
    <w:p w14:paraId="7F044875">
      <w:pPr>
        <w:spacing w:line="556"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（三）财政综合管理情况</w:t>
      </w:r>
    </w:p>
    <w:p w14:paraId="2B5FECEF">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1.债务管理。无新增债务。</w:t>
      </w:r>
    </w:p>
    <w:p w14:paraId="4161242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2.政府采购。严格按采购管理办法，填制政府采购审批表，并按规定程序申报采购项目，进行财政评审、需求论证等采购方式进行。</w:t>
      </w:r>
    </w:p>
    <w:p w14:paraId="5C5E2C6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3.信息公开。财政部门批复后 ，按要求公开本部门的预算、决算（含所有财政资金安排的“三公”经费、机构运行经费的安排、使用情况等）。对纳入政府采购的项目在政府采购网公开。</w:t>
      </w:r>
    </w:p>
    <w:p w14:paraId="7801D54A">
      <w:pPr>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三、评价结论及建议</w:t>
      </w:r>
    </w:p>
    <w:p w14:paraId="53EAEF7F">
      <w:pPr>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一）评价结论</w:t>
      </w:r>
    </w:p>
    <w:p w14:paraId="6D1109C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市场监督管理局2019年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2019年基本完成，在保障机关运转、履行职能职责上整体情况良好。综合评价结果为良级。</w:t>
      </w:r>
    </w:p>
    <w:p w14:paraId="7E7A8A8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2、项目绩效总评价结果</w:t>
      </w:r>
    </w:p>
    <w:p w14:paraId="25BCBB8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14:paraId="01C4CF19">
      <w:pPr>
        <w:numPr>
          <w:ilvl w:val="0"/>
          <w:numId w:val="9"/>
        </w:num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存在的问题</w:t>
      </w:r>
    </w:p>
    <w:p w14:paraId="1D14822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1、公务卡使用率低。</w:t>
      </w:r>
    </w:p>
    <w:p w14:paraId="7025428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2、账和决算不合。</w:t>
      </w:r>
    </w:p>
    <w:p w14:paraId="2377202D">
      <w:pPr>
        <w:spacing w:line="54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3、固定资产管理不规范。</w:t>
      </w:r>
    </w:p>
    <w:p w14:paraId="2C673F8E">
      <w:pPr>
        <w:numPr>
          <w:ilvl w:val="0"/>
          <w:numId w:val="9"/>
        </w:num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整改措施</w:t>
      </w:r>
    </w:p>
    <w:p w14:paraId="11C562D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与区财政、国有资产管理部门沟通协调，处理好账面与报表之间的差异。规范和完善固定资产管理，确定实物资产管理人，根据实物资产建立固定资产卡片，如存在划拨资产、盘盈盘亏情况，应根据相关划拨单、盘点表及相关内部盘点结果处理情况进行账务处理。同时，尽快取得国有资产管理部门相关批复，尽量保持账表相符，账账相符，账卡相符，账实相符。</w:t>
      </w:r>
    </w:p>
    <w:p w14:paraId="341EA408">
      <w:pPr>
        <w:spacing w:line="540" w:lineRule="exact"/>
        <w:ind w:firstLine="640" w:firstLineChars="200"/>
        <w:rPr>
          <w:rFonts w:ascii="仿宋_GB2312" w:hAnsi="仿宋_GB2312" w:eastAsia="仿宋_GB2312" w:cs="仿宋_GB2312"/>
          <w:sz w:val="32"/>
          <w:szCs w:val="32"/>
        </w:rPr>
      </w:pPr>
    </w:p>
    <w:p w14:paraId="455B4158">
      <w:pPr>
        <w:spacing w:line="540" w:lineRule="exact"/>
        <w:ind w:left="4478" w:leftChars="304" w:hanging="3840" w:hangingChars="1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广元市昭化区市场监督管理局                 2020年2月12日</w:t>
      </w:r>
    </w:p>
    <w:p w14:paraId="49B5E4DE">
      <w:pPr>
        <w:spacing w:line="580" w:lineRule="exact"/>
        <w:ind w:firstLine="640" w:firstLineChars="200"/>
        <w:rPr>
          <w:rFonts w:ascii="仿宋_GB2312" w:hAnsi="仿宋_GB2312" w:eastAsia="仿宋_GB2312" w:cs="仿宋_GB2312"/>
          <w:sz w:val="32"/>
          <w:szCs w:val="32"/>
        </w:rPr>
      </w:pPr>
    </w:p>
    <w:p w14:paraId="4ED828CF">
      <w:pPr>
        <w:spacing w:line="580" w:lineRule="exact"/>
        <w:rPr>
          <w:rFonts w:ascii="黑体" w:hAnsi="黑体" w:eastAsia="黑体" w:cs="黑体"/>
          <w:sz w:val="32"/>
          <w:szCs w:val="32"/>
        </w:rPr>
      </w:pPr>
    </w:p>
    <w:p w14:paraId="47715E6B">
      <w:pPr>
        <w:spacing w:line="580" w:lineRule="exact"/>
        <w:rPr>
          <w:rFonts w:ascii="黑体" w:hAnsi="黑体" w:eastAsia="黑体" w:cs="黑体"/>
          <w:sz w:val="32"/>
          <w:szCs w:val="32"/>
        </w:rPr>
      </w:pPr>
    </w:p>
    <w:p w14:paraId="761BD5E3">
      <w:pPr>
        <w:spacing w:line="580" w:lineRule="exact"/>
        <w:rPr>
          <w:rFonts w:ascii="黑体" w:hAnsi="黑体" w:eastAsia="黑体" w:cs="黑体"/>
          <w:sz w:val="32"/>
          <w:szCs w:val="32"/>
        </w:rPr>
      </w:pPr>
    </w:p>
    <w:p w14:paraId="00D73944">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70BB1CBA">
      <w:pPr>
        <w:spacing w:line="580" w:lineRule="exact"/>
        <w:ind w:firstLine="640" w:firstLineChars="200"/>
        <w:rPr>
          <w:rFonts w:ascii="仿宋_GB2312" w:hAnsi="仿宋_GB2312" w:eastAsia="仿宋_GB2312" w:cs="仿宋_GB2312"/>
          <w:sz w:val="32"/>
          <w:szCs w:val="32"/>
        </w:rPr>
      </w:pPr>
    </w:p>
    <w:p w14:paraId="6431AAFF">
      <w:pPr>
        <w:spacing w:line="550" w:lineRule="exact"/>
        <w:jc w:val="center"/>
        <w:rPr>
          <w:rFonts w:eastAsia="方正小标宋简体"/>
          <w:bCs/>
          <w:sz w:val="44"/>
          <w:szCs w:val="44"/>
        </w:rPr>
      </w:pPr>
      <w:bookmarkStart w:id="59" w:name="_Toc15396618"/>
      <w:r>
        <w:rPr>
          <w:rFonts w:eastAsia="方正小标宋简体"/>
          <w:bCs/>
          <w:sz w:val="44"/>
          <w:szCs w:val="44"/>
        </w:rPr>
        <w:t>广元市昭化区</w:t>
      </w:r>
      <w:r>
        <w:rPr>
          <w:rFonts w:hint="eastAsia" w:eastAsia="方正小标宋简体"/>
          <w:bCs/>
          <w:sz w:val="44"/>
          <w:szCs w:val="44"/>
        </w:rPr>
        <w:t>市场监督管理局</w:t>
      </w:r>
    </w:p>
    <w:p w14:paraId="6D00CC29">
      <w:pPr>
        <w:spacing w:line="550" w:lineRule="exact"/>
        <w:jc w:val="center"/>
        <w:rPr>
          <w:rFonts w:eastAsia="方正小标宋简体"/>
          <w:bCs/>
          <w:sz w:val="44"/>
          <w:szCs w:val="44"/>
        </w:rPr>
      </w:pPr>
      <w:r>
        <w:rPr>
          <w:rFonts w:hint="eastAsia" w:eastAsia="方正小标宋简体"/>
          <w:bCs/>
          <w:sz w:val="44"/>
          <w:szCs w:val="44"/>
        </w:rPr>
        <w:t>关于2019年食品药品医疗器械及化妆品项目支出绩效自评</w:t>
      </w:r>
    </w:p>
    <w:p w14:paraId="68A77218">
      <w:pPr>
        <w:spacing w:line="550" w:lineRule="exact"/>
        <w:jc w:val="center"/>
        <w:rPr>
          <w:rFonts w:eastAsia="方正小标宋简体"/>
          <w:bCs/>
          <w:sz w:val="44"/>
          <w:szCs w:val="44"/>
        </w:rPr>
      </w:pPr>
      <w:r>
        <w:rPr>
          <w:rFonts w:hint="eastAsia" w:eastAsia="方正小标宋简体"/>
          <w:bCs/>
          <w:sz w:val="44"/>
          <w:szCs w:val="44"/>
        </w:rPr>
        <w:t>报   告</w:t>
      </w:r>
    </w:p>
    <w:p w14:paraId="7846E0E5">
      <w:pPr>
        <w:spacing w:line="550" w:lineRule="exact"/>
        <w:rPr>
          <w:rFonts w:ascii="仿宋" w:hAnsi="仿宋" w:eastAsia="仿宋"/>
          <w:sz w:val="32"/>
          <w:szCs w:val="32"/>
        </w:rPr>
      </w:pPr>
    </w:p>
    <w:p w14:paraId="2120BC27">
      <w:pPr>
        <w:spacing w:line="550" w:lineRule="exact"/>
        <w:rPr>
          <w:rFonts w:ascii="仿宋" w:hAnsi="仿宋" w:eastAsia="仿宋"/>
          <w:sz w:val="32"/>
          <w:szCs w:val="32"/>
        </w:rPr>
      </w:pPr>
      <w:r>
        <w:rPr>
          <w:rFonts w:hint="eastAsia" w:ascii="仿宋_GB2312" w:hAnsi="仿宋_GB2312" w:eastAsia="仿宋_GB2312" w:cs="仿宋_GB2312"/>
          <w:sz w:val="32"/>
          <w:szCs w:val="32"/>
        </w:rPr>
        <w:t>区财政局：</w:t>
      </w:r>
    </w:p>
    <w:p w14:paraId="08EDBAE5">
      <w:pPr>
        <w:spacing w:line="550" w:lineRule="exact"/>
        <w:ind w:firstLine="640" w:firstLineChars="200"/>
        <w:rPr>
          <w:rFonts w:ascii="黑体" w:hAnsi="黑体" w:eastAsia="黑体"/>
          <w:bCs/>
          <w:sz w:val="32"/>
          <w:szCs w:val="32"/>
        </w:rPr>
      </w:pPr>
      <w:r>
        <w:rPr>
          <w:rFonts w:hint="eastAsia" w:ascii="黑体" w:hAnsi="黑体" w:eastAsia="黑体"/>
          <w:bCs/>
          <w:sz w:val="32"/>
          <w:szCs w:val="32"/>
        </w:rPr>
        <w:t>一、项目概况</w:t>
      </w:r>
    </w:p>
    <w:p w14:paraId="00AC60E6">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（一）项目资金申报及批复情况。我局2019年度区财政局预算食品药品、医疗器械及保健品监管专项资金10万元。</w:t>
      </w:r>
    </w:p>
    <w:p w14:paraId="2B6483AE">
      <w:pPr>
        <w:spacing w:line="550" w:lineRule="exact"/>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 xml:space="preserve">    （二）项目绩效目标。根据全年专项工作安排，按照专项资金管理办法和专款专用的原则，确保食品药品、医疗器械及保健品监管工作顺利完成。切实做到“六个严禁”“四个严格，”确保食品药品、医疗器械及保健品监管工作顺利完成。通过开展食品药品、医疗器械及保健品全面监管，净化食品药品、医疗器械及保健品市场，保障市场健康发展，为确保全区广大人民群众饮食用药安全尽职尽责。</w:t>
      </w:r>
    </w:p>
    <w:p w14:paraId="53815AB5">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资金申报相符性。资金申报完全按照项目实施内容及年度内计划方案实施，资金申报合理，操作性强，可行性高。我局结合资金性质及用途，有预见性、前瞻性地开展工作，对项目实施未产生任何影响。</w:t>
      </w:r>
    </w:p>
    <w:p w14:paraId="6B24FC8C">
      <w:pPr>
        <w:spacing w:line="55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二、项目实施及管理情况</w:t>
      </w:r>
    </w:p>
    <w:p w14:paraId="5A84216A">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（一）资金计划、到位及使用情况。2019年食品药品、医疗器械及保健品监管资金计划及资金能按时到位，我局严格按照各类项目资金使用要求支出，落实专款专用，无任何违规使用的情况。</w:t>
      </w:r>
    </w:p>
    <w:p w14:paraId="04BC1C57">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1.资金计划和到位及时。</w:t>
      </w:r>
      <w:r>
        <w:rPr>
          <w:rFonts w:hint="eastAsia" w:ascii="仿宋_GB2312" w:hAnsi="仿宋_GB2312" w:eastAsia="仿宋_GB2312" w:cs="仿宋_GB2312"/>
          <w:sz w:val="32"/>
          <w:szCs w:val="32"/>
        </w:rPr>
        <w:t>2019年度区财政局在有效时限内将食品药品、医疗器械及保健品监管资金指标下达我局，我局根据资金用途制定了详细的项目实施方案及资金使用计划，确保了专项资金的专款专用。</w:t>
      </w:r>
    </w:p>
    <w:p w14:paraId="0E9B815F">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2.资金使用符合要求。</w:t>
      </w:r>
      <w:r>
        <w:rPr>
          <w:rFonts w:hint="eastAsia" w:ascii="仿宋_GB2312" w:hAnsi="仿宋_GB2312" w:eastAsia="仿宋_GB2312" w:cs="仿宋_GB2312"/>
          <w:sz w:val="32"/>
          <w:szCs w:val="32"/>
        </w:rPr>
        <w:t>我局项目资金的实际支出完全符合资金开支范围、标准及支付要求，支付依据合规合法，资金支付与预算相符。</w:t>
      </w:r>
    </w:p>
    <w:p w14:paraId="3B9864C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食品药品、医疗器械及保健品监管资金到位10万元。按项目要求开展工作，支出10万元，支出其中宣传费0.51万元，差差旅费3.42万元，交通0.78万元，网络维护5.17万元，培训费0.12万元，（1）</w:t>
      </w:r>
      <w:r>
        <w:rPr>
          <w:rFonts w:eastAsia="仿宋_GB2312"/>
          <w:b/>
          <w:bCs/>
          <w:sz w:val="32"/>
          <w:szCs w:val="32"/>
        </w:rPr>
        <w:t>积极维护校园及周边食品安全。</w:t>
      </w:r>
      <w:r>
        <w:rPr>
          <w:rFonts w:hint="eastAsia" w:ascii="仿宋_GB2312" w:hAnsi="仿宋_GB2312" w:eastAsia="仿宋_GB2312" w:cs="仿宋_GB2312"/>
          <w:sz w:val="32"/>
          <w:szCs w:val="32"/>
        </w:rPr>
        <w:t>2019年学校及周边食品安全各项检查中，</w:t>
      </w:r>
      <w:r>
        <w:rPr>
          <w:rFonts w:hint="eastAsia" w:eastAsia="仿宋_GB2312"/>
          <w:sz w:val="32"/>
          <w:szCs w:val="44"/>
        </w:rPr>
        <w:t>共出动人员305人次，车辆131台次，</w:t>
      </w:r>
      <w:r>
        <w:rPr>
          <w:rFonts w:hint="eastAsia" w:ascii="仿宋_GB2312" w:hAnsi="仿宋_GB2312" w:eastAsia="仿宋_GB2312" w:cs="仿宋_GB2312"/>
          <w:sz w:val="32"/>
          <w:szCs w:val="32"/>
        </w:rPr>
        <w:t>检查学校、幼儿园食堂362家次，周边食品经营单位285家次。检查中发现问题456个，发《责令整改通知书》96份，开展行政约谈3次，被约谈单位3家。立案5件，结案5件，处罚款3900元。</w:t>
      </w:r>
      <w:r>
        <w:rPr>
          <w:rFonts w:hint="eastAsia" w:eastAsia="仿宋_GB2312"/>
          <w:b/>
          <w:bCs/>
          <w:sz w:val="32"/>
          <w:szCs w:val="32"/>
        </w:rPr>
        <w:t>（2）</w:t>
      </w:r>
      <w:r>
        <w:rPr>
          <w:rFonts w:eastAsia="仿宋_GB2312"/>
          <w:b/>
          <w:bCs/>
          <w:sz w:val="32"/>
          <w:szCs w:val="32"/>
        </w:rPr>
        <w:t>积极推进“明厨亮灶”</w:t>
      </w:r>
      <w:r>
        <w:rPr>
          <w:rFonts w:hint="eastAsia" w:eastAsia="仿宋_GB2312"/>
          <w:b/>
          <w:bCs/>
          <w:sz w:val="32"/>
          <w:szCs w:val="32"/>
        </w:rPr>
        <w:t>，全面落实“食品安全投诉举报箱”</w:t>
      </w:r>
      <w:r>
        <w:rPr>
          <w:rFonts w:eastAsia="仿宋_GB2312"/>
          <w:b/>
          <w:bCs/>
          <w:sz w:val="32"/>
          <w:szCs w:val="32"/>
        </w:rPr>
        <w:t>。</w:t>
      </w:r>
      <w:r>
        <w:rPr>
          <w:rFonts w:eastAsia="仿宋_GB2312"/>
          <w:sz w:val="32"/>
          <w:szCs w:val="32"/>
        </w:rPr>
        <w:t>引导学校食堂、大型餐饮、重要活动接待单位等积极开展“明厨亮灶”创建，严格落实进货查验、生产控制、餐厨废弃物管理等各项制度。截</w:t>
      </w:r>
      <w:r>
        <w:rPr>
          <w:rFonts w:hint="eastAsia" w:eastAsia="仿宋_GB2312"/>
          <w:sz w:val="32"/>
          <w:szCs w:val="32"/>
          <w:lang w:val="en-US" w:eastAsia="zh-CN"/>
        </w:rPr>
        <w:t>至</w:t>
      </w:r>
      <w:r>
        <w:rPr>
          <w:rFonts w:eastAsia="仿宋_GB2312"/>
          <w:sz w:val="32"/>
          <w:szCs w:val="32"/>
        </w:rPr>
        <w:t>目前</w:t>
      </w:r>
      <w:r>
        <w:rPr>
          <w:rFonts w:hint="eastAsia" w:eastAsia="仿宋_GB2312"/>
          <w:sz w:val="32"/>
          <w:szCs w:val="32"/>
        </w:rPr>
        <w:t>，昭化区餐饮服务单位</w:t>
      </w:r>
      <w:r>
        <w:rPr>
          <w:rFonts w:eastAsia="仿宋_GB2312"/>
          <w:sz w:val="32"/>
          <w:szCs w:val="32"/>
        </w:rPr>
        <w:t>“明厨亮灶”</w:t>
      </w:r>
      <w:r>
        <w:rPr>
          <w:rFonts w:hint="eastAsia" w:eastAsia="仿宋_GB2312"/>
          <w:sz w:val="32"/>
          <w:szCs w:val="32"/>
        </w:rPr>
        <w:t>完成率达75%，学校及幼儿园</w:t>
      </w:r>
      <w:r>
        <w:rPr>
          <w:rFonts w:eastAsia="仿宋_GB2312"/>
          <w:sz w:val="32"/>
          <w:szCs w:val="32"/>
        </w:rPr>
        <w:t>“明厨亮灶”</w:t>
      </w:r>
      <w:r>
        <w:rPr>
          <w:rFonts w:hint="eastAsia" w:eastAsia="仿宋_GB2312"/>
          <w:sz w:val="32"/>
          <w:szCs w:val="32"/>
        </w:rPr>
        <w:t>率90%，其中学校食堂</w:t>
      </w:r>
      <w:r>
        <w:rPr>
          <w:rFonts w:eastAsia="仿宋_GB2312"/>
          <w:sz w:val="32"/>
          <w:szCs w:val="32"/>
        </w:rPr>
        <w:t>“明厨亮灶”</w:t>
      </w:r>
      <w:r>
        <w:rPr>
          <w:rFonts w:hint="eastAsia" w:eastAsia="仿宋_GB2312"/>
          <w:sz w:val="32"/>
          <w:szCs w:val="32"/>
        </w:rPr>
        <w:t>率100%</w:t>
      </w:r>
      <w:r>
        <w:rPr>
          <w:rFonts w:eastAsia="仿宋_GB2312"/>
          <w:sz w:val="32"/>
          <w:szCs w:val="32"/>
        </w:rPr>
        <w:t>。</w:t>
      </w:r>
      <w:r>
        <w:rPr>
          <w:rFonts w:hint="eastAsia" w:eastAsia="仿宋_GB2312"/>
          <w:b/>
          <w:bCs/>
          <w:sz w:val="32"/>
          <w:szCs w:val="32"/>
        </w:rPr>
        <w:t>（3）加强食品生产企业监管。</w:t>
      </w:r>
      <w:r>
        <w:rPr>
          <w:rFonts w:hint="eastAsia" w:ascii="仿宋" w:hAnsi="仿宋" w:eastAsia="仿宋" w:cs="仿宋"/>
          <w:sz w:val="32"/>
          <w:szCs w:val="32"/>
        </w:rPr>
        <w:t>一是</w:t>
      </w:r>
      <w:r>
        <w:rPr>
          <w:rFonts w:hint="eastAsia" w:ascii="仿宋_GB2312" w:hAnsi="no value" w:eastAsia="仿宋_GB2312"/>
          <w:color w:val="000000"/>
          <w:sz w:val="32"/>
          <w:szCs w:val="32"/>
        </w:rPr>
        <w:t>强化风险分级管理。二是</w:t>
      </w:r>
      <w:r>
        <w:rPr>
          <w:rFonts w:hint="eastAsia" w:ascii="仿宋_GB2312" w:hAnsi="仿宋_GB2312" w:eastAsia="仿宋_GB2312" w:cs="仿宋_GB2312"/>
          <w:sz w:val="32"/>
          <w:szCs w:val="32"/>
        </w:rPr>
        <w:t>继续强化企业质量管理体系建设。目前昭化区已有5家企业完成认证，其中HACCP认证企业2家，ISO22000认证企业2家，ISO9000认证企业2家。三是全面推进企业开展食品安全自查和质量安全授权人制度，主动公示自查结果和整改情况。通过召开培训会、开展约谈等方式帮助企业强化食品安全主体责任意识，自觉主动落实食品安全管理的各项制度，严把原辅材料查验、生产过程控制、产品出厂检验、运输及交付控制等关口。鼓励和提倡企业参加食品安全责任险，不断提升食品安全风险的防控能力。四是落实食品安全信息公示制度。制定统一食品安全信息公示栏模板，要求企业对证照信息、人员健康证、食品安全管理人员、食品安全管理制度、食品原料信息、风险等级评定、食品安全自查、日常监督检查信息进行公示，接受社会监督。</w:t>
      </w:r>
      <w:r>
        <w:rPr>
          <w:rFonts w:hint="eastAsia" w:ascii="仿宋_GB2312" w:hAnsi="no value" w:eastAsia="仿宋_GB2312"/>
          <w:color w:val="000000"/>
          <w:sz w:val="32"/>
          <w:szCs w:val="32"/>
        </w:rPr>
        <w:t>五是进一步推进“双随机</w:t>
      </w:r>
      <w:r>
        <w:rPr>
          <w:rFonts w:hint="eastAsia" w:ascii="仿宋_GB2312" w:hAnsi="no value" w:eastAsia="仿宋_GB2312"/>
          <w:color w:val="000000"/>
          <w:sz w:val="32"/>
          <w:szCs w:val="32"/>
          <w:lang w:eastAsia="zh-CN"/>
        </w:rPr>
        <w:t>、</w:t>
      </w:r>
      <w:r>
        <w:rPr>
          <w:rFonts w:hint="eastAsia" w:ascii="仿宋_GB2312" w:hAnsi="no value" w:eastAsia="仿宋_GB2312"/>
          <w:color w:val="000000"/>
          <w:sz w:val="32"/>
          <w:szCs w:val="32"/>
        </w:rPr>
        <w:t>一公开”检查常态化。开展了2019年食品生产企业“双随机</w:t>
      </w:r>
      <w:r>
        <w:rPr>
          <w:rFonts w:hint="eastAsia" w:ascii="仿宋_GB2312" w:hAnsi="no value" w:eastAsia="仿宋_GB2312"/>
          <w:color w:val="000000"/>
          <w:sz w:val="32"/>
          <w:szCs w:val="32"/>
          <w:lang w:eastAsia="zh-CN"/>
        </w:rPr>
        <w:t>、</w:t>
      </w:r>
      <w:r>
        <w:rPr>
          <w:rFonts w:hint="eastAsia" w:ascii="仿宋_GB2312" w:hAnsi="no value" w:eastAsia="仿宋_GB2312"/>
          <w:color w:val="000000"/>
          <w:sz w:val="32"/>
          <w:szCs w:val="32"/>
        </w:rPr>
        <w:t>一公开”检查，随机抽取了香香嘴等四家食品生产企业和检查人员，共发现问题10个，发出责令整改通知书1份。检查及整改情况及时通过信用信息平台进行公示。</w:t>
      </w:r>
      <w:r>
        <w:rPr>
          <w:rFonts w:hint="eastAsia" w:ascii="仿宋_GB2312" w:hAnsi="仿宋_GB2312" w:eastAsia="仿宋_GB2312" w:cs="仿宋_GB2312"/>
          <w:sz w:val="32"/>
          <w:szCs w:val="32"/>
        </w:rPr>
        <w:t>（4）深化</w:t>
      </w:r>
      <w:r>
        <w:rPr>
          <w:rFonts w:hint="eastAsia" w:ascii="仿宋_GB2312" w:hAnsi="仿宋_GB2312" w:eastAsia="仿宋_GB2312" w:cs="仿宋_GB2312"/>
          <w:color w:val="000000"/>
          <w:sz w:val="32"/>
          <w:szCs w:val="32"/>
        </w:rPr>
        <w:t>餐饮服务食品安全量化管理。对获取食品经营</w:t>
      </w:r>
      <w:r>
        <w:rPr>
          <w:rFonts w:hint="eastAsia" w:ascii="仿宋_GB2312" w:hAnsi="仿宋_GB2312" w:eastAsia="仿宋_GB2312" w:cs="仿宋_GB2312"/>
          <w:sz w:val="32"/>
          <w:szCs w:val="32"/>
        </w:rPr>
        <w:t>许</w:t>
      </w:r>
      <w:r>
        <w:rPr>
          <w:rFonts w:hint="eastAsia" w:eastAsia="仿宋_GB2312"/>
          <w:sz w:val="32"/>
          <w:szCs w:val="32"/>
        </w:rPr>
        <w:t>可证的各类餐饮服务单位深入开展食品安全监督量化分级管理，监督人员严格要求对餐饮服务单位进行监督检查和动态等级评定。我区等级信息公示率100%。推进学校食堂量化等级评定“灭C行动”，督促完善经营条件，提升经营水平。</w:t>
      </w:r>
      <w:r>
        <w:rPr>
          <w:rFonts w:hint="eastAsia" w:eastAsia="仿宋_GB2312"/>
          <w:sz w:val="32"/>
          <w:szCs w:val="32"/>
          <w:lang w:eastAsia="zh-CN"/>
        </w:rPr>
        <w:t xml:space="preserve">截至目前 </w:t>
      </w:r>
      <w:r>
        <w:rPr>
          <w:rFonts w:hint="eastAsia" w:eastAsia="仿宋_GB2312"/>
          <w:sz w:val="32"/>
          <w:szCs w:val="32"/>
        </w:rPr>
        <w:t>，学校及幼儿园食堂B级及以上达到89%，6家C级幼儿园食堂正在整改提升中。</w:t>
      </w:r>
      <w:r>
        <w:rPr>
          <w:rFonts w:hint="eastAsia" w:ascii="仿宋_GB2312" w:hAnsi="仿宋_GB2312" w:eastAsia="仿宋_GB2312" w:cs="仿宋_GB2312"/>
          <w:b/>
          <w:bCs/>
          <w:sz w:val="32"/>
          <w:szCs w:val="32"/>
        </w:rPr>
        <w:t>（5）加强</w:t>
      </w:r>
      <w:r>
        <w:rPr>
          <w:rFonts w:hint="eastAsia" w:ascii="仿宋_GB2312" w:hAnsi="仿宋_GB2312" w:eastAsia="仿宋_GB2312" w:cs="仿宋_GB2312"/>
          <w:b/>
          <w:bCs/>
          <w:color w:val="000000"/>
          <w:sz w:val="32"/>
          <w:szCs w:val="32"/>
        </w:rPr>
        <w:t>农村食品经营监管。</w:t>
      </w:r>
      <w:r>
        <w:rPr>
          <w:rFonts w:hint="eastAsia" w:ascii="仿宋_GB2312" w:hAnsi="仿宋_GB2312" w:eastAsia="仿宋_GB2312" w:cs="仿宋_GB2312"/>
          <w:sz w:val="32"/>
          <w:szCs w:val="32"/>
        </w:rPr>
        <w:t>以农村小商店、小摊点、小餐馆、小商贩等为重点，</w:t>
      </w:r>
      <w:r>
        <w:rPr>
          <w:rFonts w:hint="eastAsia" w:ascii="仿宋_GB2312" w:hAnsi="仿宋_GB2312" w:eastAsia="仿宋_GB2312" w:cs="仿宋_GB2312"/>
          <w:color w:val="000000"/>
          <w:sz w:val="32"/>
          <w:szCs w:val="32"/>
        </w:rPr>
        <w:t>严厉打击无证无照经营行为，销售、使用无合法来源食品和原料、生产经营侵权仿冒和“五无”食品违法行为，进一步规范农村食品经营市场。年初，</w:t>
      </w:r>
      <w:r>
        <w:rPr>
          <w:rFonts w:hint="eastAsia" w:ascii="仿宋_GB2312" w:hAnsi="仿宋_GB2312" w:eastAsia="仿宋_GB2312" w:cs="仿宋_GB2312"/>
          <w:sz w:val="32"/>
          <w:szCs w:val="32"/>
        </w:rPr>
        <w:t>区局联合农业农村局、商务局、公安局等部门在我区开展了农村假冒伪劣食品专项整治行动，对87家食品经营主体进行了集中检查，查获过期变质的食品数量约40公斤。（6）大力开展药械安全专项整治。2019年开展中药饮片专项整治、疫苗安全整治、处方药暨执业药师“挂证”等药品安全专项整治工作，开展定制式义齿、无菌和植入性医疗器械、彩色平光隐形眼镜等医疗器械专项整治。将专项检查与日常督查相结合，确保全区人民用药用械安全。 （7） 做好药械安全宣传。结合“3.15”、“6.5”和药品安全宣传月等宣传活动，印制药品医疗器械安全常识宣传单2000余份，局机关和各基层所联合开展宣传活动，确保宣传取得实效。（8）做好新法宣传活动。召开辖区内医疗机构药械安全监管暨药械安全监测工作会议，学习宣贯新《药品管理法》和《疫苗管理法》，通报日常监督检查过程中发现的问题，督促各单位整改落实。（9）做好特药监管。对辖区内6家麻醉药品和精神药品使用单位和71家含麻黄碱复方制剂经营单位进行监督检查，确保无特殊药品流弊事件发生， 资金使用率达100%，充分发挥了专项资金的使用效益。</w:t>
      </w:r>
    </w:p>
    <w:p w14:paraId="78CA2ABA">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财务管理情况。为强化专项资金管理，发挥资金的最大使用绩效，我局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充分发挥了资金使用效益。</w:t>
      </w:r>
    </w:p>
    <w:p w14:paraId="4235CF46">
      <w:pPr>
        <w:spacing w:line="55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项目组织实施情况。局党组高度重视，成立了以局党组书记、局长王蓉任组长，党组成员、分管副局长冯子东任副组长，各业务分管领导、相关股室（队、所、中心）负责人为成员的领导小组，将责任落实到人头，制定了切实可行的工作实施方案，为专项资金的使用提供了坚强的组织保障。项目资金的使用严格按照程序化、制度化、公开化、透明化实施。</w:t>
      </w:r>
    </w:p>
    <w:p w14:paraId="7A03F8DF">
      <w:pPr>
        <w:spacing w:line="550" w:lineRule="exact"/>
        <w:ind w:firstLine="640" w:firstLineChars="200"/>
        <w:rPr>
          <w:rFonts w:ascii="黑体" w:hAnsi="黑体" w:eastAsia="黑体" w:cs="黑体"/>
          <w:b/>
          <w:sz w:val="32"/>
          <w:szCs w:val="32"/>
        </w:rPr>
      </w:pPr>
      <w:r>
        <w:rPr>
          <w:rFonts w:hint="eastAsia" w:ascii="黑体" w:hAnsi="黑体" w:eastAsia="黑体" w:cs="黑体"/>
          <w:bCs/>
          <w:sz w:val="32"/>
          <w:szCs w:val="32"/>
        </w:rPr>
        <w:t>三、项目绩效情况</w:t>
      </w:r>
      <w:r>
        <w:rPr>
          <w:rFonts w:hint="eastAsia" w:ascii="黑体" w:hAnsi="黑体" w:eastAsia="黑体" w:cs="黑体"/>
          <w:b/>
          <w:sz w:val="32"/>
          <w:szCs w:val="32"/>
        </w:rPr>
        <w:tab/>
      </w:r>
    </w:p>
    <w:p w14:paraId="43C6A217">
      <w:pPr>
        <w:spacing w:line="576"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一）2019年度食品药品、医疗器械及保健品监管工作，我局做到了资金与项目方案相符，严格按照方案要求进行实施，加强了资金管理，做到了专款专用，确保了资金的安全，提高了资金使用效率。（1）做好旅游市场散装食品安全整治工作。一是深入现场查。在制定规范整治方案前，深入昭化古城旅游市场，走访散装食品销售经营户26户次，现场了解存在的问题，与经营者沟通规范提升的措施。督促经营者落实食品安全主体责任。二是试点先行探。在广泛调研，多方讨论的基础上形成昭化古城散装食品规范提升工作方案，选取两家散装食品经营店，开展试点先行。通过试运行，一方面对方案进行检验，便于发现问题以便完善；另一方面起到示范引领作用，为全面推开打好基础。三是加强示范培训。加强现场整改指导培训，通过耐心细致的讲解，让经营者既明白问题在哪，更清楚如何改正。切实做到化监管为服务。四是增强诚信自律行。建立诚信档案，探索推行信用积分管理和“黑名单”公示制度，倒逼经营者提升诚信意识，最终实现行业自律。（2）加强辖区内疫苗安全监督检查。一是开展监督检查。对辖区内31家疫苗储存使用单位进行全面监督检查工作。在高温季节重点检查疫苗和接种用注射器储存条件是否符合储存要求，疫苗购进运输环节是否采取冷链措施，并按规定记录运输过程中温湿度。二是加强新《疫苗管理法》宣传落实。开展医疗机构《疫苗管理法》宣贯会，全面讲解新法的紧张性、严肃性，要求各单位回去做好本单位职工的宣传贯彻落实，确保疫苗安全管理。三是严厉打击违法违规行为。对现场检查过程中发现的违法违规行为，一经查实，严格按照法律法规查处，绝不姑息。</w:t>
      </w:r>
    </w:p>
    <w:p w14:paraId="7FECA46F">
      <w:pPr>
        <w:spacing w:line="55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四、主要问题及建议</w:t>
      </w:r>
    </w:p>
    <w:p w14:paraId="04674D5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目前工作中存在工作开展不平衡，部分重点工作滞后，监管手段有待提高，以后将主要从以下几个方面开展工作：</w:t>
      </w:r>
    </w:p>
    <w:p w14:paraId="6F16955F">
      <w:pPr>
        <w:numPr>
          <w:ilvl w:val="0"/>
          <w:numId w:val="10"/>
        </w:numPr>
        <w:spacing w:line="576"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狠抓重点难点亮点工作。</w:t>
      </w:r>
      <w:r>
        <w:rPr>
          <w:rFonts w:hint="eastAsia" w:ascii="仿宋_GB2312" w:hAnsi="仿宋_GB2312" w:eastAsia="仿宋_GB2312" w:cs="仿宋_GB2312"/>
          <w:sz w:val="32"/>
          <w:szCs w:val="32"/>
        </w:rPr>
        <w:t>将非洲猪瘟防控、校园及周边和学校食堂食材配送单位的食品安全等作为重点工作要持续抓，将新增企业、“三小”行业的监督管理等作为难点工作要大力抓，将示范创建、旅游市场的食品安全规范管理等作为亮点工作要仔细抓。</w:t>
      </w:r>
    </w:p>
    <w:p w14:paraId="31052BC1">
      <w:pPr>
        <w:numPr>
          <w:ilvl w:val="0"/>
          <w:numId w:val="10"/>
        </w:numPr>
        <w:spacing w:line="576"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完善食品生产企业、学校食堂食品安全信用档案建设。</w:t>
      </w:r>
      <w:r>
        <w:rPr>
          <w:rFonts w:hint="eastAsia" w:ascii="仿宋_GB2312" w:hAnsi="仿宋_GB2312" w:eastAsia="仿宋_GB2312" w:cs="仿宋_GB2312"/>
          <w:bCs/>
          <w:sz w:val="32"/>
          <w:szCs w:val="32"/>
        </w:rPr>
        <w:t>实现一企（校）一档，建立企业（学校）从申请到注销全生命周期档案。将每一次监督检查信息都记入管理档案，实现档案信息电子化可追溯。</w:t>
      </w:r>
    </w:p>
    <w:p w14:paraId="36593353">
      <w:pPr>
        <w:numPr>
          <w:ilvl w:val="0"/>
          <w:numId w:val="10"/>
        </w:numPr>
        <w:spacing w:line="576"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建立药械化监管单位“一户一档”。</w:t>
      </w:r>
      <w:r>
        <w:rPr>
          <w:rFonts w:hint="eastAsia" w:ascii="仿宋_GB2312" w:hAnsi="仿宋_GB2312" w:eastAsia="仿宋_GB2312" w:cs="仿宋_GB2312"/>
          <w:bCs/>
          <w:sz w:val="32"/>
          <w:szCs w:val="32"/>
        </w:rPr>
        <w:t>将日常工作中可以留存的材料形成纸介质和电子档案，定期保存，及时移交。监管档案包含药械化经营使用单位的许可登记信息、监督管理信息、社会监督信息、投诉举报信息等内容。实现监管服务有章可循、责任追究有据可查、奖罚分明有据可依，助推药械化安全监管提质增效。</w:t>
      </w:r>
    </w:p>
    <w:p w14:paraId="21E539E7">
      <w:pPr>
        <w:spacing w:line="576" w:lineRule="exact"/>
        <w:ind w:firstLine="421" w:firstLineChars="131"/>
        <w:rPr>
          <w:rFonts w:ascii="仿宋_GB2312" w:hAnsi="仿宋_GB2312" w:eastAsia="仿宋_GB2312" w:cs="仿宋_GB2312"/>
          <w:bCs/>
          <w:sz w:val="32"/>
          <w:szCs w:val="32"/>
        </w:rPr>
      </w:pPr>
      <w:r>
        <w:rPr>
          <w:rFonts w:hint="eastAsia" w:ascii="仿宋_GB2312" w:hAnsi="仿宋_GB2312" w:eastAsia="仿宋_GB2312" w:cs="仿宋_GB2312"/>
          <w:b/>
          <w:sz w:val="32"/>
          <w:szCs w:val="32"/>
        </w:rPr>
        <w:t>（四）进一步强化风险分级管理的应用。</w:t>
      </w:r>
      <w:r>
        <w:rPr>
          <w:rFonts w:hint="eastAsia" w:ascii="仿宋_GB2312" w:hAnsi="仿宋_GB2312" w:eastAsia="仿宋_GB2312" w:cs="仿宋_GB2312"/>
          <w:bCs/>
          <w:sz w:val="32"/>
          <w:szCs w:val="32"/>
        </w:rPr>
        <w:t>根据风险分级的结果制定年度监督计划，确定监管频次。将每次监管工作信息录入管理档案，并根据年度监管情况动态调整下一年度风险分级结果。</w:t>
      </w:r>
    </w:p>
    <w:p w14:paraId="00C1597B">
      <w:pPr>
        <w:spacing w:line="576"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（五）加强网络食品药品医疗器械安全的监管。</w:t>
      </w:r>
      <w:r>
        <w:rPr>
          <w:rFonts w:hint="eastAsia" w:ascii="仿宋_GB2312" w:hAnsi="仿宋_GB2312" w:eastAsia="仿宋_GB2312" w:cs="仿宋_GB2312"/>
          <w:bCs/>
          <w:sz w:val="32"/>
          <w:szCs w:val="32"/>
        </w:rPr>
        <w:t>目前，我区网络供餐食品生产经营单位、网络订餐食品、网络销售药品医疗器械的第三方平台、从事网络食品药品医疗器械经营单位数量持续增加。要加大网络食品药品医疗器械安全监督检查力度，加强对食品药品经营许可证和经营现场核查把关，加强第三方平台网络订餐食品安全监管和网络销售药品医疗器械安全监管，落实经营主体食品药品医疗器械安全主体责任，严打网络订餐和未经许可网络销售药品医疗器械等违法违规行为。</w:t>
      </w:r>
    </w:p>
    <w:p w14:paraId="69768C29">
      <w:pPr>
        <w:spacing w:line="360" w:lineRule="auto"/>
        <w:ind w:firstLine="643"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（六）学习先进监管经验，提高监管水平。</w:t>
      </w:r>
      <w:r>
        <w:rPr>
          <w:rFonts w:hint="eastAsia" w:ascii="仿宋_GB2312" w:hAnsi="仿宋_GB2312" w:eastAsia="仿宋_GB2312" w:cs="仿宋_GB2312"/>
          <w:bCs/>
          <w:sz w:val="32"/>
          <w:szCs w:val="32"/>
        </w:rPr>
        <w:t>努力学习借鉴其他市场监管局先进监管经验，结合自身实际，认真落实“双随机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一公开”、飞行检查、日常监督检查监管要求，</w:t>
      </w:r>
      <w:r>
        <w:rPr>
          <w:rFonts w:hint="eastAsia" w:ascii="仿宋_GB2312" w:hAnsi="仿宋_GB2312" w:eastAsia="仿宋_GB2312" w:cs="仿宋_GB2312"/>
          <w:sz w:val="32"/>
          <w:szCs w:val="32"/>
        </w:rPr>
        <w:t>有效降低食品药品医疗器械安全风险。</w:t>
      </w:r>
    </w:p>
    <w:p w14:paraId="5C311403">
      <w:pPr>
        <w:spacing w:line="550" w:lineRule="exact"/>
        <w:ind w:firstLine="640" w:firstLineChars="200"/>
        <w:rPr>
          <w:rFonts w:ascii="仿宋_GB2312" w:hAnsi="仿宋_GB2312" w:eastAsia="仿宋_GB2312" w:cs="仿宋_GB2312"/>
          <w:color w:val="FF0000"/>
          <w:sz w:val="32"/>
          <w:szCs w:val="32"/>
        </w:rPr>
      </w:pPr>
    </w:p>
    <w:p w14:paraId="74FA00ED">
      <w:pPr>
        <w:wordWrap w:val="0"/>
        <w:spacing w:line="55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广元市昭化区市场监督管理局    </w:t>
      </w:r>
    </w:p>
    <w:p w14:paraId="05FB8EBF">
      <w:pPr>
        <w:spacing w:line="55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2019年10月9日</w:t>
      </w:r>
    </w:p>
    <w:p w14:paraId="214337AF">
      <w:pPr>
        <w:spacing w:line="576" w:lineRule="exact"/>
        <w:rPr>
          <w:rFonts w:ascii="仿宋_GB2312"/>
        </w:rPr>
      </w:pPr>
    </w:p>
    <w:p w14:paraId="3B8E8C9C">
      <w:pPr>
        <w:spacing w:line="576" w:lineRule="exact"/>
        <w:rPr>
          <w:rFonts w:ascii="仿宋" w:hAnsi="仿宋" w:eastAsia="仿宋"/>
          <w:sz w:val="32"/>
          <w:szCs w:val="32"/>
        </w:rPr>
      </w:pPr>
    </w:p>
    <w:p w14:paraId="13FF7309">
      <w:pPr>
        <w:spacing w:line="600" w:lineRule="exact"/>
        <w:jc w:val="center"/>
        <w:outlineLvl w:val="0"/>
        <w:rPr>
          <w:rFonts w:ascii="黑体" w:hAnsi="黑体" w:eastAsia="黑体"/>
          <w:color w:val="000000"/>
          <w:sz w:val="44"/>
          <w:szCs w:val="44"/>
        </w:rPr>
      </w:pPr>
    </w:p>
    <w:p w14:paraId="54F09EAC">
      <w:pPr>
        <w:spacing w:line="600" w:lineRule="exact"/>
        <w:jc w:val="center"/>
        <w:outlineLvl w:val="0"/>
        <w:rPr>
          <w:rFonts w:ascii="黑体" w:hAnsi="黑体" w:eastAsia="黑体"/>
          <w:color w:val="000000"/>
          <w:sz w:val="44"/>
          <w:szCs w:val="44"/>
        </w:rPr>
      </w:pPr>
    </w:p>
    <w:p w14:paraId="705C34D9">
      <w:pPr>
        <w:spacing w:line="600" w:lineRule="exact"/>
        <w:jc w:val="center"/>
        <w:outlineLvl w:val="0"/>
        <w:rPr>
          <w:rFonts w:ascii="黑体" w:hAnsi="黑体" w:eastAsia="黑体"/>
          <w:color w:val="000000"/>
          <w:sz w:val="44"/>
          <w:szCs w:val="44"/>
        </w:rPr>
      </w:pPr>
    </w:p>
    <w:p w14:paraId="11EC7616">
      <w:pPr>
        <w:spacing w:line="600" w:lineRule="exact"/>
        <w:jc w:val="center"/>
        <w:outlineLvl w:val="0"/>
        <w:rPr>
          <w:rFonts w:ascii="黑体" w:hAnsi="黑体" w:eastAsia="黑体"/>
          <w:color w:val="000000"/>
          <w:sz w:val="44"/>
          <w:szCs w:val="44"/>
        </w:rPr>
      </w:pPr>
    </w:p>
    <w:p w14:paraId="4BDB1D5B">
      <w:pPr>
        <w:spacing w:line="600" w:lineRule="exact"/>
        <w:jc w:val="center"/>
        <w:outlineLvl w:val="0"/>
        <w:rPr>
          <w:rFonts w:ascii="黑体" w:hAnsi="黑体" w:eastAsia="黑体"/>
          <w:color w:val="000000"/>
          <w:sz w:val="44"/>
          <w:szCs w:val="44"/>
        </w:rPr>
      </w:pPr>
    </w:p>
    <w:p w14:paraId="07D2F00C">
      <w:pPr>
        <w:spacing w:line="600" w:lineRule="exact"/>
        <w:jc w:val="center"/>
        <w:outlineLvl w:val="0"/>
        <w:rPr>
          <w:rFonts w:ascii="黑体" w:hAnsi="黑体" w:eastAsia="黑体"/>
          <w:color w:val="000000"/>
          <w:sz w:val="44"/>
          <w:szCs w:val="44"/>
        </w:rPr>
      </w:pPr>
    </w:p>
    <w:p w14:paraId="25B3D8FC">
      <w:pPr>
        <w:spacing w:line="600" w:lineRule="exact"/>
        <w:jc w:val="center"/>
        <w:outlineLvl w:val="0"/>
        <w:rPr>
          <w:rFonts w:ascii="黑体" w:hAnsi="黑体" w:eastAsia="黑体"/>
          <w:color w:val="000000"/>
          <w:sz w:val="44"/>
          <w:szCs w:val="44"/>
        </w:rPr>
      </w:pPr>
    </w:p>
    <w:p w14:paraId="533781CA">
      <w:pPr>
        <w:spacing w:line="600" w:lineRule="exact"/>
        <w:jc w:val="center"/>
        <w:outlineLvl w:val="0"/>
        <w:rPr>
          <w:rFonts w:ascii="黑体" w:hAnsi="黑体" w:eastAsia="黑体"/>
          <w:color w:val="000000"/>
          <w:sz w:val="44"/>
          <w:szCs w:val="44"/>
        </w:rPr>
      </w:pPr>
    </w:p>
    <w:p w14:paraId="2FD7902C">
      <w:pPr>
        <w:spacing w:line="600" w:lineRule="exact"/>
        <w:jc w:val="center"/>
        <w:outlineLvl w:val="0"/>
        <w:rPr>
          <w:rFonts w:ascii="黑体" w:hAnsi="黑体" w:eastAsia="黑体"/>
          <w:color w:val="000000"/>
          <w:sz w:val="44"/>
          <w:szCs w:val="44"/>
        </w:rPr>
      </w:pPr>
    </w:p>
    <w:p w14:paraId="0CE50E89">
      <w:pPr>
        <w:spacing w:line="600" w:lineRule="exact"/>
        <w:jc w:val="center"/>
        <w:outlineLvl w:val="0"/>
        <w:rPr>
          <w:rFonts w:ascii="黑体" w:hAnsi="黑体" w:eastAsia="黑体"/>
          <w:color w:val="000000"/>
          <w:sz w:val="44"/>
          <w:szCs w:val="44"/>
        </w:rPr>
      </w:pPr>
    </w:p>
    <w:p w14:paraId="74877EC6">
      <w:pPr>
        <w:spacing w:line="600" w:lineRule="exact"/>
        <w:jc w:val="center"/>
        <w:outlineLvl w:val="0"/>
        <w:rPr>
          <w:rFonts w:ascii="黑体" w:hAnsi="黑体" w:eastAsia="黑体"/>
          <w:color w:val="000000"/>
          <w:sz w:val="44"/>
          <w:szCs w:val="44"/>
        </w:rPr>
      </w:pPr>
    </w:p>
    <w:p w14:paraId="564C6EBF">
      <w:pPr>
        <w:spacing w:line="600" w:lineRule="exact"/>
        <w:jc w:val="center"/>
        <w:outlineLvl w:val="0"/>
        <w:rPr>
          <w:rFonts w:ascii="黑体" w:hAnsi="黑体" w:eastAsia="黑体"/>
          <w:color w:val="000000"/>
          <w:sz w:val="44"/>
          <w:szCs w:val="44"/>
        </w:rPr>
      </w:pPr>
    </w:p>
    <w:p w14:paraId="354C3BB6">
      <w:pPr>
        <w:spacing w:line="600" w:lineRule="exact"/>
        <w:jc w:val="center"/>
        <w:outlineLvl w:val="0"/>
        <w:rPr>
          <w:rFonts w:ascii="黑体" w:hAnsi="黑体" w:eastAsia="黑体"/>
          <w:color w:val="000000"/>
          <w:sz w:val="44"/>
          <w:szCs w:val="44"/>
        </w:rPr>
      </w:pPr>
    </w:p>
    <w:p w14:paraId="7ABDA38F">
      <w:pPr>
        <w:spacing w:line="600" w:lineRule="exact"/>
        <w:jc w:val="center"/>
        <w:outlineLvl w:val="0"/>
        <w:rPr>
          <w:rFonts w:ascii="黑体" w:hAnsi="黑体" w:eastAsia="黑体"/>
          <w:color w:val="000000"/>
          <w:sz w:val="44"/>
          <w:szCs w:val="44"/>
        </w:rPr>
      </w:pPr>
    </w:p>
    <w:p w14:paraId="3FC0464F">
      <w:pPr>
        <w:spacing w:line="600" w:lineRule="exact"/>
        <w:jc w:val="center"/>
        <w:outlineLvl w:val="0"/>
        <w:rPr>
          <w:rFonts w:ascii="黑体" w:hAnsi="黑体" w:eastAsia="黑体"/>
          <w:color w:val="000000"/>
          <w:sz w:val="44"/>
          <w:szCs w:val="44"/>
        </w:rPr>
      </w:pPr>
    </w:p>
    <w:p w14:paraId="63811CA8">
      <w:pPr>
        <w:spacing w:line="600" w:lineRule="exact"/>
        <w:jc w:val="center"/>
        <w:outlineLvl w:val="0"/>
        <w:rPr>
          <w:rStyle w:val="30"/>
          <w:rFonts w:ascii="黑体" w:hAnsi="黑体" w:eastAsia="黑体"/>
          <w:b w:val="0"/>
        </w:rPr>
      </w:pPr>
      <w:r>
        <w:rPr>
          <w:rFonts w:hint="eastAsia" w:ascii="黑体" w:hAnsi="黑体" w:eastAsia="黑体"/>
          <w:color w:val="000000"/>
          <w:sz w:val="44"/>
          <w:szCs w:val="44"/>
        </w:rPr>
        <w:t>第</w:t>
      </w:r>
      <w:r>
        <w:rPr>
          <w:rStyle w:val="30"/>
          <w:rFonts w:hint="eastAsia" w:ascii="黑体" w:hAnsi="黑体" w:eastAsia="黑体"/>
          <w:b w:val="0"/>
        </w:rPr>
        <w:t>五部分 附表</w:t>
      </w:r>
      <w:bookmarkEnd w:id="57"/>
      <w:bookmarkEnd w:id="59"/>
    </w:p>
    <w:p w14:paraId="749A131A">
      <w:pPr>
        <w:spacing w:line="600" w:lineRule="exact"/>
        <w:jc w:val="center"/>
        <w:outlineLvl w:val="0"/>
        <w:rPr>
          <w:rFonts w:ascii="仿宋" w:hAnsi="仿宋" w:eastAsia="仿宋"/>
          <w:b/>
          <w:color w:val="000000"/>
          <w:sz w:val="44"/>
          <w:szCs w:val="44"/>
        </w:rPr>
      </w:pPr>
    </w:p>
    <w:p w14:paraId="0EB9BBCA">
      <w:pPr>
        <w:pStyle w:val="5"/>
        <w:rPr>
          <w:rFonts w:ascii="仿宋" w:hAnsi="仿宋" w:eastAsia="仿宋"/>
          <w:color w:val="000000"/>
        </w:rPr>
      </w:pPr>
      <w:bookmarkStart w:id="60" w:name="_Toc15396619"/>
      <w:r>
        <w:rPr>
          <w:rFonts w:hint="eastAsia" w:ascii="仿宋" w:hAnsi="仿宋" w:eastAsia="仿宋"/>
          <w:b w:val="0"/>
          <w:color w:val="000000"/>
        </w:rPr>
        <w:t>一、收</w:t>
      </w:r>
      <w:r>
        <w:rPr>
          <w:rStyle w:val="31"/>
          <w:rFonts w:hint="eastAsia" w:ascii="仿宋" w:hAnsi="仿宋" w:eastAsia="仿宋"/>
          <w:b w:val="0"/>
          <w:bCs w:val="0"/>
        </w:rPr>
        <w:t>入支出决算总表</w:t>
      </w:r>
      <w:bookmarkEnd w:id="60"/>
    </w:p>
    <w:p w14:paraId="21BDC912">
      <w:pPr>
        <w:pStyle w:val="5"/>
        <w:rPr>
          <w:rFonts w:ascii="仿宋" w:hAnsi="仿宋" w:eastAsia="仿宋"/>
          <w:color w:val="000000"/>
        </w:rPr>
      </w:pPr>
      <w:bookmarkStart w:id="61" w:name="_Toc15396620"/>
      <w:r>
        <w:rPr>
          <w:rFonts w:hint="eastAsia" w:ascii="仿宋" w:hAnsi="仿宋" w:eastAsia="仿宋"/>
          <w:b w:val="0"/>
          <w:color w:val="000000"/>
        </w:rPr>
        <w:t>二、收</w:t>
      </w:r>
      <w:r>
        <w:rPr>
          <w:rStyle w:val="31"/>
          <w:rFonts w:hint="eastAsia" w:ascii="仿宋" w:hAnsi="仿宋" w:eastAsia="仿宋"/>
          <w:b w:val="0"/>
          <w:bCs w:val="0"/>
        </w:rPr>
        <w:t>入决算表</w:t>
      </w:r>
      <w:bookmarkEnd w:id="61"/>
    </w:p>
    <w:p w14:paraId="4059167F">
      <w:pPr>
        <w:pStyle w:val="5"/>
        <w:rPr>
          <w:rFonts w:ascii="仿宋" w:hAnsi="仿宋" w:eastAsia="仿宋"/>
          <w:color w:val="000000"/>
        </w:rPr>
      </w:pPr>
      <w:bookmarkStart w:id="62" w:name="_Toc15396621"/>
      <w:r>
        <w:rPr>
          <w:rStyle w:val="31"/>
          <w:rFonts w:hint="eastAsia" w:ascii="仿宋" w:hAnsi="仿宋" w:eastAsia="仿宋"/>
          <w:b w:val="0"/>
          <w:bCs w:val="0"/>
        </w:rPr>
        <w:t>三、</w:t>
      </w:r>
      <w:r>
        <w:rPr>
          <w:rFonts w:hint="eastAsia" w:ascii="仿宋" w:hAnsi="仿宋" w:eastAsia="仿宋"/>
          <w:b w:val="0"/>
          <w:color w:val="000000"/>
        </w:rPr>
        <w:t>支</w:t>
      </w:r>
      <w:r>
        <w:rPr>
          <w:rStyle w:val="31"/>
          <w:rFonts w:hint="eastAsia" w:ascii="仿宋" w:hAnsi="仿宋" w:eastAsia="仿宋"/>
          <w:b w:val="0"/>
          <w:bCs w:val="0"/>
        </w:rPr>
        <w:t>出决算表</w:t>
      </w:r>
      <w:bookmarkEnd w:id="62"/>
    </w:p>
    <w:p w14:paraId="200DF380">
      <w:pPr>
        <w:pStyle w:val="5"/>
        <w:rPr>
          <w:rFonts w:ascii="仿宋" w:hAnsi="仿宋" w:eastAsia="仿宋"/>
          <w:b w:val="0"/>
          <w:color w:val="000000"/>
        </w:rPr>
      </w:pPr>
      <w:bookmarkStart w:id="63" w:name="_Toc15396622"/>
      <w:r>
        <w:rPr>
          <w:rStyle w:val="31"/>
          <w:rFonts w:hint="eastAsia" w:ascii="仿宋" w:hAnsi="仿宋" w:eastAsia="仿宋"/>
          <w:b w:val="0"/>
          <w:bCs w:val="0"/>
        </w:rPr>
        <w:t>四、</w:t>
      </w:r>
      <w:r>
        <w:rPr>
          <w:rFonts w:hint="eastAsia" w:ascii="仿宋" w:hAnsi="仿宋" w:eastAsia="仿宋"/>
          <w:b w:val="0"/>
          <w:color w:val="000000"/>
        </w:rPr>
        <w:t>财</w:t>
      </w:r>
      <w:r>
        <w:rPr>
          <w:rStyle w:val="31"/>
          <w:rFonts w:hint="eastAsia" w:ascii="仿宋" w:hAnsi="仿宋" w:eastAsia="仿宋"/>
          <w:b w:val="0"/>
          <w:bCs w:val="0"/>
        </w:rPr>
        <w:t>政拨款收入支出决算总表</w:t>
      </w:r>
      <w:bookmarkEnd w:id="63"/>
    </w:p>
    <w:p w14:paraId="25A741D8">
      <w:pPr>
        <w:pStyle w:val="5"/>
        <w:rPr>
          <w:rStyle w:val="31"/>
          <w:rFonts w:ascii="仿宋" w:hAnsi="仿宋" w:eastAsia="仿宋"/>
          <w:b w:val="0"/>
          <w:bCs w:val="0"/>
        </w:rPr>
      </w:pPr>
      <w:bookmarkStart w:id="64" w:name="_Toc15396623"/>
      <w:r>
        <w:rPr>
          <w:rStyle w:val="31"/>
          <w:rFonts w:hint="eastAsia" w:ascii="仿宋" w:hAnsi="仿宋" w:eastAsia="仿宋"/>
          <w:b w:val="0"/>
          <w:bCs w:val="0"/>
        </w:rPr>
        <w:t>五、</w:t>
      </w:r>
      <w:r>
        <w:rPr>
          <w:rFonts w:hint="eastAsia" w:ascii="仿宋" w:hAnsi="仿宋" w:eastAsia="仿宋"/>
          <w:b w:val="0"/>
          <w:color w:val="000000"/>
        </w:rPr>
        <w:t>财</w:t>
      </w:r>
      <w:r>
        <w:rPr>
          <w:rStyle w:val="31"/>
          <w:rFonts w:hint="eastAsia" w:ascii="仿宋" w:hAnsi="仿宋" w:eastAsia="仿宋"/>
          <w:b w:val="0"/>
          <w:bCs w:val="0"/>
        </w:rPr>
        <w:t>政拨款支出决算明细表</w:t>
      </w:r>
      <w:bookmarkEnd w:id="64"/>
      <w:bookmarkStart w:id="65" w:name="_Toc15396624"/>
    </w:p>
    <w:p w14:paraId="599B2512">
      <w:pPr>
        <w:pStyle w:val="5"/>
        <w:rPr>
          <w:rFonts w:ascii="仿宋" w:hAnsi="仿宋" w:eastAsia="仿宋"/>
          <w:color w:val="000000"/>
        </w:rPr>
      </w:pPr>
      <w:r>
        <w:rPr>
          <w:rStyle w:val="31"/>
          <w:rFonts w:hint="eastAsia" w:ascii="仿宋" w:hAnsi="仿宋" w:eastAsia="仿宋"/>
          <w:b w:val="0"/>
          <w:bCs w:val="0"/>
        </w:rPr>
        <w:t>六、</w:t>
      </w:r>
      <w:r>
        <w:rPr>
          <w:rFonts w:hint="eastAsia" w:ascii="仿宋" w:hAnsi="仿宋" w:eastAsia="仿宋"/>
          <w:b w:val="0"/>
          <w:color w:val="000000"/>
        </w:rPr>
        <w:t>一</w:t>
      </w:r>
      <w:r>
        <w:rPr>
          <w:rStyle w:val="31"/>
          <w:rFonts w:hint="eastAsia" w:ascii="仿宋" w:hAnsi="仿宋" w:eastAsia="仿宋"/>
          <w:b w:val="0"/>
          <w:bCs w:val="0"/>
        </w:rPr>
        <w:t>般公共预算财政拨款支出决算表</w:t>
      </w:r>
      <w:bookmarkEnd w:id="65"/>
    </w:p>
    <w:p w14:paraId="683CC695">
      <w:pPr>
        <w:pStyle w:val="5"/>
        <w:rPr>
          <w:rFonts w:ascii="仿宋" w:hAnsi="仿宋" w:eastAsia="仿宋"/>
          <w:color w:val="000000"/>
        </w:rPr>
      </w:pPr>
      <w:bookmarkStart w:id="66" w:name="_Toc15396625"/>
      <w:r>
        <w:rPr>
          <w:rStyle w:val="31"/>
          <w:rFonts w:hint="eastAsia" w:ascii="仿宋" w:hAnsi="仿宋" w:eastAsia="仿宋"/>
          <w:b w:val="0"/>
          <w:bCs w:val="0"/>
        </w:rPr>
        <w:t>七、</w:t>
      </w:r>
      <w:r>
        <w:rPr>
          <w:rFonts w:hint="eastAsia" w:ascii="仿宋" w:hAnsi="仿宋" w:eastAsia="仿宋"/>
          <w:b w:val="0"/>
          <w:color w:val="000000"/>
        </w:rPr>
        <w:t>一</w:t>
      </w:r>
      <w:r>
        <w:rPr>
          <w:rStyle w:val="31"/>
          <w:rFonts w:hint="eastAsia" w:ascii="仿宋" w:hAnsi="仿宋" w:eastAsia="仿宋"/>
          <w:b w:val="0"/>
          <w:bCs w:val="0"/>
        </w:rPr>
        <w:t>般公共预算财政拨款支出决算明细表</w:t>
      </w:r>
      <w:bookmarkEnd w:id="66"/>
    </w:p>
    <w:p w14:paraId="1395855B">
      <w:pPr>
        <w:pStyle w:val="5"/>
        <w:rPr>
          <w:rFonts w:ascii="仿宋" w:hAnsi="仿宋" w:eastAsia="仿宋"/>
          <w:color w:val="000000"/>
        </w:rPr>
      </w:pPr>
      <w:bookmarkStart w:id="67" w:name="_Toc15396626"/>
      <w:r>
        <w:rPr>
          <w:rStyle w:val="31"/>
          <w:rFonts w:hint="eastAsia" w:ascii="仿宋" w:hAnsi="仿宋" w:eastAsia="仿宋"/>
          <w:b w:val="0"/>
          <w:bCs w:val="0"/>
        </w:rPr>
        <w:t>八、</w:t>
      </w:r>
      <w:r>
        <w:rPr>
          <w:rFonts w:hint="eastAsia" w:ascii="仿宋" w:hAnsi="仿宋" w:eastAsia="仿宋"/>
          <w:b w:val="0"/>
          <w:color w:val="000000"/>
        </w:rPr>
        <w:t>一</w:t>
      </w:r>
      <w:r>
        <w:rPr>
          <w:rStyle w:val="31"/>
          <w:rFonts w:hint="eastAsia" w:ascii="仿宋" w:hAnsi="仿宋" w:eastAsia="仿宋"/>
          <w:b w:val="0"/>
          <w:bCs w:val="0"/>
        </w:rPr>
        <w:t>般公共预算财政拨款基本支出决算表</w:t>
      </w:r>
      <w:bookmarkEnd w:id="67"/>
    </w:p>
    <w:p w14:paraId="24E72238">
      <w:pPr>
        <w:pStyle w:val="5"/>
        <w:rPr>
          <w:rFonts w:ascii="仿宋" w:hAnsi="仿宋" w:eastAsia="仿宋"/>
          <w:color w:val="000000"/>
        </w:rPr>
      </w:pPr>
      <w:bookmarkStart w:id="68" w:name="_Toc15396627"/>
      <w:r>
        <w:rPr>
          <w:rStyle w:val="31"/>
          <w:rFonts w:hint="eastAsia" w:ascii="仿宋" w:hAnsi="仿宋" w:eastAsia="仿宋"/>
          <w:b w:val="0"/>
          <w:bCs w:val="0"/>
        </w:rPr>
        <w:t>九、</w:t>
      </w:r>
      <w:r>
        <w:rPr>
          <w:rFonts w:hint="eastAsia" w:ascii="仿宋" w:hAnsi="仿宋" w:eastAsia="仿宋"/>
          <w:b w:val="0"/>
          <w:color w:val="000000"/>
        </w:rPr>
        <w:t>一</w:t>
      </w:r>
      <w:r>
        <w:rPr>
          <w:rStyle w:val="31"/>
          <w:rFonts w:hint="eastAsia" w:ascii="仿宋" w:hAnsi="仿宋" w:eastAsia="仿宋"/>
          <w:b w:val="0"/>
          <w:bCs w:val="0"/>
        </w:rPr>
        <w:t>般公共预算财政拨款项目支出决算表</w:t>
      </w:r>
      <w:bookmarkEnd w:id="68"/>
    </w:p>
    <w:p w14:paraId="6E2F8F5A">
      <w:pPr>
        <w:pStyle w:val="5"/>
        <w:rPr>
          <w:rFonts w:ascii="仿宋" w:hAnsi="仿宋" w:eastAsia="仿宋"/>
          <w:color w:val="000000"/>
        </w:rPr>
      </w:pPr>
      <w:bookmarkStart w:id="69" w:name="_Toc15396628"/>
      <w:r>
        <w:rPr>
          <w:rStyle w:val="31"/>
          <w:rFonts w:hint="eastAsia" w:ascii="仿宋" w:hAnsi="仿宋" w:eastAsia="仿宋"/>
          <w:b w:val="0"/>
          <w:bCs w:val="0"/>
        </w:rPr>
        <w:t>十、</w:t>
      </w:r>
      <w:r>
        <w:rPr>
          <w:rFonts w:hint="eastAsia" w:ascii="仿宋" w:hAnsi="仿宋" w:eastAsia="仿宋"/>
          <w:b w:val="0"/>
          <w:color w:val="000000"/>
        </w:rPr>
        <w:t>一</w:t>
      </w:r>
      <w:r>
        <w:rPr>
          <w:rStyle w:val="31"/>
          <w:rFonts w:hint="eastAsia" w:ascii="仿宋" w:hAnsi="仿宋" w:eastAsia="仿宋"/>
          <w:b w:val="0"/>
          <w:bCs w:val="0"/>
        </w:rPr>
        <w:t>般公共预算财政拨款“三公”经费支出决算表</w:t>
      </w:r>
      <w:bookmarkEnd w:id="69"/>
    </w:p>
    <w:p w14:paraId="33DBD265">
      <w:pPr>
        <w:pStyle w:val="5"/>
        <w:rPr>
          <w:rFonts w:ascii="仿宋" w:hAnsi="仿宋" w:eastAsia="仿宋"/>
          <w:color w:val="000000"/>
        </w:rPr>
      </w:pPr>
      <w:bookmarkStart w:id="70" w:name="_Toc15396629"/>
      <w:r>
        <w:rPr>
          <w:rStyle w:val="31"/>
          <w:rFonts w:hint="eastAsia" w:ascii="仿宋" w:hAnsi="仿宋" w:eastAsia="仿宋"/>
          <w:b w:val="0"/>
          <w:bCs w:val="0"/>
        </w:rPr>
        <w:t>十一、</w:t>
      </w:r>
      <w:r>
        <w:rPr>
          <w:rFonts w:hint="eastAsia" w:ascii="仿宋" w:hAnsi="仿宋" w:eastAsia="仿宋"/>
          <w:b w:val="0"/>
          <w:color w:val="000000"/>
        </w:rPr>
        <w:t>政</w:t>
      </w:r>
      <w:r>
        <w:rPr>
          <w:rStyle w:val="31"/>
          <w:rFonts w:hint="eastAsia" w:ascii="仿宋" w:hAnsi="仿宋" w:eastAsia="仿宋"/>
          <w:b w:val="0"/>
          <w:bCs w:val="0"/>
        </w:rPr>
        <w:t>府性基金预算财政拨款收入支出决算表</w:t>
      </w:r>
      <w:bookmarkEnd w:id="70"/>
    </w:p>
    <w:p w14:paraId="543D714D">
      <w:pPr>
        <w:pStyle w:val="5"/>
        <w:rPr>
          <w:rFonts w:ascii="仿宋" w:hAnsi="仿宋" w:eastAsia="仿宋"/>
          <w:color w:val="000000"/>
        </w:rPr>
      </w:pPr>
      <w:bookmarkStart w:id="71" w:name="_Toc15396630"/>
      <w:r>
        <w:rPr>
          <w:rStyle w:val="31"/>
          <w:rFonts w:hint="eastAsia" w:ascii="仿宋" w:hAnsi="仿宋" w:eastAsia="仿宋"/>
          <w:b w:val="0"/>
          <w:bCs w:val="0"/>
        </w:rPr>
        <w:t>十二、</w:t>
      </w:r>
      <w:r>
        <w:rPr>
          <w:rFonts w:hint="eastAsia" w:ascii="仿宋" w:hAnsi="仿宋" w:eastAsia="仿宋"/>
          <w:b w:val="0"/>
          <w:color w:val="000000"/>
        </w:rPr>
        <w:t>政</w:t>
      </w:r>
      <w:r>
        <w:rPr>
          <w:rStyle w:val="31"/>
          <w:rFonts w:hint="eastAsia" w:ascii="仿宋" w:hAnsi="仿宋" w:eastAsia="仿宋"/>
          <w:b w:val="0"/>
          <w:bCs w:val="0"/>
        </w:rPr>
        <w:t>府性基金预算财政拨款“三公”经费支出决算表</w:t>
      </w:r>
      <w:bookmarkEnd w:id="71"/>
    </w:p>
    <w:p w14:paraId="73911CB0">
      <w:pPr>
        <w:pStyle w:val="5"/>
        <w:rPr>
          <w:rFonts w:ascii="仿宋" w:hAnsi="仿宋" w:eastAsia="仿宋"/>
          <w:color w:val="000000" w:themeColor="text1"/>
        </w:rPr>
      </w:pPr>
      <w:bookmarkStart w:id="72" w:name="_Toc15396631"/>
      <w:r>
        <w:rPr>
          <w:rStyle w:val="31"/>
          <w:rFonts w:hint="eastAsia" w:ascii="仿宋" w:hAnsi="仿宋" w:eastAsia="仿宋"/>
          <w:b w:val="0"/>
          <w:bCs w:val="0"/>
        </w:rPr>
        <w:t>十三、</w:t>
      </w:r>
      <w:r>
        <w:rPr>
          <w:rFonts w:hint="eastAsia" w:ascii="仿宋" w:hAnsi="仿宋" w:eastAsia="仿宋"/>
          <w:b w:val="0"/>
          <w:color w:val="000000"/>
        </w:rPr>
        <w:t>国</w:t>
      </w:r>
      <w:r>
        <w:rPr>
          <w:rStyle w:val="31"/>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EE264F-5021-4D32-A407-6685E519CB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29F05A-F8A4-4AC4-A395-0B34BD75BE62}"/>
  </w:font>
  <w:font w:name="Cambria">
    <w:panose1 w:val="02040503050406030204"/>
    <w:charset w:val="00"/>
    <w:family w:val="roman"/>
    <w:pitch w:val="default"/>
    <w:sig w:usb0="E00006FF" w:usb1="420024FF" w:usb2="02000000" w:usb3="00000000" w:csb0="2000019F" w:csb1="00000000"/>
    <w:embedRegular r:id="rId3" w:fontKey="{615DC8F9-46A7-4277-AAA8-8DC1F9D47E23}"/>
  </w:font>
  <w:font w:name="仿宋_GB2312">
    <w:panose1 w:val="02010609030101010101"/>
    <w:charset w:val="86"/>
    <w:family w:val="modern"/>
    <w:pitch w:val="default"/>
    <w:sig w:usb0="00000001" w:usb1="080E0000" w:usb2="00000000" w:usb3="00000000" w:csb0="00040000" w:csb1="00000000"/>
    <w:embedRegular r:id="rId4" w:fontKey="{86738873-66AB-4F41-B180-AE551BB1D488}"/>
  </w:font>
  <w:font w:name="仿宋">
    <w:panose1 w:val="02010609060101010101"/>
    <w:charset w:val="86"/>
    <w:family w:val="auto"/>
    <w:pitch w:val="default"/>
    <w:sig w:usb0="800002BF" w:usb1="38CF7CFA" w:usb2="00000016" w:usb3="00000000" w:csb0="00040001" w:csb1="00000000"/>
    <w:embedRegular r:id="rId5" w:fontKey="{B5896DB6-F776-406E-87E5-76FEC012C4D0}"/>
  </w:font>
  <w:font w:name="方正小标宋简体">
    <w:panose1 w:val="02000000000000000000"/>
    <w:charset w:val="86"/>
    <w:family w:val="script"/>
    <w:pitch w:val="default"/>
    <w:sig w:usb0="00000001" w:usb1="08000000" w:usb2="00000000" w:usb3="00000000" w:csb0="00040000" w:csb1="00000000"/>
    <w:embedRegular r:id="rId6" w:fontKey="{7BDE50BA-60B4-4E68-A0C7-EFB136B0B120}"/>
  </w:font>
  <w:font w:name="楷体_GB2312">
    <w:panose1 w:val="02010609030101010101"/>
    <w:charset w:val="86"/>
    <w:family w:val="modern"/>
    <w:pitch w:val="default"/>
    <w:sig w:usb0="00000001" w:usb1="080E0000" w:usb2="00000000" w:usb3="00000000" w:csb0="00040000" w:csb1="00000000"/>
    <w:embedRegular r:id="rId7" w:fontKey="{1E663415-496E-4C70-B1ED-D54C5736B03E}"/>
  </w:font>
  <w:font w:name="微软雅黑">
    <w:panose1 w:val="020B0503020204020204"/>
    <w:charset w:val="86"/>
    <w:family w:val="swiss"/>
    <w:pitch w:val="default"/>
    <w:sig w:usb0="80000287" w:usb1="2ACF3C50" w:usb2="00000016" w:usb3="00000000" w:csb0="0004001F" w:csb1="00000000"/>
    <w:embedRegular r:id="rId8" w:fontKey="{FE2FABC6-FC7F-42A7-A24A-F69D95027177}"/>
  </w:font>
  <w:font w:name="no value">
    <w:altName w:val="Times New Roman"/>
    <w:panose1 w:val="00000000000000000000"/>
    <w:charset w:val="00"/>
    <w:family w:val="roman"/>
    <w:pitch w:val="default"/>
    <w:sig w:usb0="00000000" w:usb1="00000000" w:usb2="00000000" w:usb3="00000000" w:csb0="00040001" w:csb1="00000000"/>
    <w:embedRegular r:id="rId9" w:fontKey="{6F6060A3-1C15-450B-B1F7-D2CDAB4399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1C2F6C9">
        <w:pPr>
          <w:pStyle w:val="11"/>
          <w:jc w:val="center"/>
        </w:pPr>
        <w:r>
          <w:fldChar w:fldCharType="begin"/>
        </w:r>
        <w:r>
          <w:instrText xml:space="preserve">PAGE   \* MERGEFORMAT</w:instrText>
        </w:r>
        <w:r>
          <w:fldChar w:fldCharType="separate"/>
        </w:r>
        <w:r>
          <w:rPr>
            <w:lang w:val="zh-CN"/>
          </w:rPr>
          <w:t>2</w:t>
        </w:r>
        <w:r>
          <w:fldChar w:fldCharType="end"/>
        </w:r>
      </w:p>
    </w:sdtContent>
  </w:sdt>
  <w:p w14:paraId="65F9F3D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7A4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A480E"/>
    <w:multiLevelType w:val="singleLevel"/>
    <w:tmpl w:val="9EFA480E"/>
    <w:lvl w:ilvl="0" w:tentative="0">
      <w:start w:val="1"/>
      <w:numFmt w:val="chineseCounting"/>
      <w:suff w:val="nothing"/>
      <w:lvlText w:val="%1、"/>
      <w:lvlJc w:val="left"/>
      <w:pPr>
        <w:ind w:left="480" w:firstLine="0"/>
      </w:pPr>
      <w:rPr>
        <w:rFonts w:hint="eastAsia"/>
      </w:rPr>
    </w:lvl>
  </w:abstractNum>
  <w:abstractNum w:abstractNumId="1">
    <w:nsid w:val="B0B6D50B"/>
    <w:multiLevelType w:val="singleLevel"/>
    <w:tmpl w:val="B0B6D50B"/>
    <w:lvl w:ilvl="0" w:tentative="0">
      <w:start w:val="1"/>
      <w:numFmt w:val="chineseCounting"/>
      <w:suff w:val="nothing"/>
      <w:lvlText w:val="（%1）"/>
      <w:lvlJc w:val="left"/>
      <w:rPr>
        <w:rFonts w:hint="eastAsia"/>
      </w:rPr>
    </w:lvl>
  </w:abstractNum>
  <w:abstractNum w:abstractNumId="2">
    <w:nsid w:val="C28522D9"/>
    <w:multiLevelType w:val="singleLevel"/>
    <w:tmpl w:val="C28522D9"/>
    <w:lvl w:ilvl="0" w:tentative="0">
      <w:start w:val="2"/>
      <w:numFmt w:val="chineseCounting"/>
      <w:suff w:val="nothing"/>
      <w:lvlText w:val="（%1）"/>
      <w:lvlJc w:val="left"/>
      <w:rPr>
        <w:rFonts w:hint="eastAsia"/>
      </w:rPr>
    </w:lvl>
  </w:abstractNum>
  <w:abstractNum w:abstractNumId="3">
    <w:nsid w:val="C4A7F197"/>
    <w:multiLevelType w:val="singleLevel"/>
    <w:tmpl w:val="C4A7F197"/>
    <w:lvl w:ilvl="0" w:tentative="0">
      <w:start w:val="1"/>
      <w:numFmt w:val="chineseCounting"/>
      <w:suff w:val="nothing"/>
      <w:lvlText w:val="(%1）"/>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F1C2FB62"/>
    <w:multiLevelType w:val="singleLevel"/>
    <w:tmpl w:val="F1C2FB62"/>
    <w:lvl w:ilvl="0" w:tentative="0">
      <w:start w:val="1"/>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1FC213DA"/>
    <w:multiLevelType w:val="singleLevel"/>
    <w:tmpl w:val="1FC213DA"/>
    <w:lvl w:ilvl="0" w:tentative="0">
      <w:start w:val="2"/>
      <w:numFmt w:val="chineseCounting"/>
      <w:lvlText w:val="(%1)"/>
      <w:lvlJc w:val="left"/>
      <w:pPr>
        <w:tabs>
          <w:tab w:val="left" w:pos="312"/>
        </w:tabs>
      </w:pPr>
      <w:rPr>
        <w:rFonts w:hint="eastAsia"/>
      </w:rPr>
    </w:lvl>
  </w:abstractNum>
  <w:abstractNum w:abstractNumId="9">
    <w:nsid w:val="7E0B09EC"/>
    <w:multiLevelType w:val="singleLevel"/>
    <w:tmpl w:val="7E0B09EC"/>
    <w:lvl w:ilvl="0" w:tentative="0">
      <w:start w:val="1"/>
      <w:numFmt w:val="decimal"/>
      <w:lvlText w:val="%1."/>
      <w:lvlJc w:val="left"/>
      <w:pPr>
        <w:tabs>
          <w:tab w:val="left" w:pos="312"/>
        </w:tabs>
      </w:pPr>
    </w:lvl>
  </w:abstractNum>
  <w:num w:numId="1">
    <w:abstractNumId w:val="7"/>
  </w:num>
  <w:num w:numId="2">
    <w:abstractNumId w:val="4"/>
  </w:num>
  <w:num w:numId="3">
    <w:abstractNumId w:val="9"/>
  </w:num>
  <w:num w:numId="4">
    <w:abstractNumId w:val="5"/>
  </w:num>
  <w:num w:numId="5">
    <w:abstractNumId w:val="0"/>
  </w:num>
  <w:num w:numId="6">
    <w:abstractNumId w:val="1"/>
  </w:num>
  <w:num w:numId="7">
    <w:abstractNumId w:val="3"/>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VhYTg4NGNkZWJkODFjNzcyZDRjM2M4Y2UzNjI5ZmUifQ=="/>
  </w:docVars>
  <w:rsids>
    <w:rsidRoot w:val="00F1361C"/>
    <w:rsid w:val="000222C6"/>
    <w:rsid w:val="0002549F"/>
    <w:rsid w:val="00045D1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97AE0"/>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2B0D"/>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0E93"/>
    <w:rsid w:val="0097099F"/>
    <w:rsid w:val="00971997"/>
    <w:rsid w:val="00971FFC"/>
    <w:rsid w:val="0098660A"/>
    <w:rsid w:val="009931C3"/>
    <w:rsid w:val="009B2C43"/>
    <w:rsid w:val="009B4EAE"/>
    <w:rsid w:val="009B7573"/>
    <w:rsid w:val="009C22F4"/>
    <w:rsid w:val="009C2E98"/>
    <w:rsid w:val="009C37FB"/>
    <w:rsid w:val="009D3447"/>
    <w:rsid w:val="009D4711"/>
    <w:rsid w:val="009F0B6A"/>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57651"/>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2321"/>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32A9"/>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744AB"/>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15A"/>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96077"/>
    <w:rsid w:val="00EA010F"/>
    <w:rsid w:val="00ED1B63"/>
    <w:rsid w:val="00ED3C1F"/>
    <w:rsid w:val="00ED4085"/>
    <w:rsid w:val="00ED420E"/>
    <w:rsid w:val="00ED6FBE"/>
    <w:rsid w:val="00EE2F57"/>
    <w:rsid w:val="00EF4C34"/>
    <w:rsid w:val="00EF77C6"/>
    <w:rsid w:val="00F00198"/>
    <w:rsid w:val="00F05438"/>
    <w:rsid w:val="00F1361C"/>
    <w:rsid w:val="00F156F0"/>
    <w:rsid w:val="00F160C7"/>
    <w:rsid w:val="00F2408F"/>
    <w:rsid w:val="00F240E9"/>
    <w:rsid w:val="00F36D8F"/>
    <w:rsid w:val="00F417B1"/>
    <w:rsid w:val="00F45853"/>
    <w:rsid w:val="00F549DB"/>
    <w:rsid w:val="00F602DF"/>
    <w:rsid w:val="00F754A1"/>
    <w:rsid w:val="00F81FD9"/>
    <w:rsid w:val="00F841AA"/>
    <w:rsid w:val="00F84A94"/>
    <w:rsid w:val="00F87E96"/>
    <w:rsid w:val="00FA23E8"/>
    <w:rsid w:val="00FD3CC1"/>
    <w:rsid w:val="00FF1E02"/>
    <w:rsid w:val="00FF30B4"/>
    <w:rsid w:val="013B01C6"/>
    <w:rsid w:val="01CB5588"/>
    <w:rsid w:val="035F7C79"/>
    <w:rsid w:val="036F7663"/>
    <w:rsid w:val="04583E6C"/>
    <w:rsid w:val="04CC5456"/>
    <w:rsid w:val="05440AB9"/>
    <w:rsid w:val="07A055D4"/>
    <w:rsid w:val="09CA5CE5"/>
    <w:rsid w:val="0C4206F0"/>
    <w:rsid w:val="0C492AF3"/>
    <w:rsid w:val="0CE93DE9"/>
    <w:rsid w:val="0F561B50"/>
    <w:rsid w:val="0FD9399F"/>
    <w:rsid w:val="10221646"/>
    <w:rsid w:val="10C055FF"/>
    <w:rsid w:val="116C0795"/>
    <w:rsid w:val="12C27A8D"/>
    <w:rsid w:val="13DE1510"/>
    <w:rsid w:val="146B5664"/>
    <w:rsid w:val="14755B19"/>
    <w:rsid w:val="14A83509"/>
    <w:rsid w:val="15443C68"/>
    <w:rsid w:val="15532946"/>
    <w:rsid w:val="156F1656"/>
    <w:rsid w:val="15E87197"/>
    <w:rsid w:val="16BB723D"/>
    <w:rsid w:val="16CB39F7"/>
    <w:rsid w:val="17F67E1E"/>
    <w:rsid w:val="18F237BB"/>
    <w:rsid w:val="1A0A4051"/>
    <w:rsid w:val="1A592B6F"/>
    <w:rsid w:val="1B224512"/>
    <w:rsid w:val="1B8267A9"/>
    <w:rsid w:val="1D7A743B"/>
    <w:rsid w:val="1DFB2FF2"/>
    <w:rsid w:val="1E6E1B8A"/>
    <w:rsid w:val="1ED9456F"/>
    <w:rsid w:val="1EDB58F9"/>
    <w:rsid w:val="20027715"/>
    <w:rsid w:val="203A0B59"/>
    <w:rsid w:val="213B55DD"/>
    <w:rsid w:val="21526F18"/>
    <w:rsid w:val="235E4D9A"/>
    <w:rsid w:val="236349F2"/>
    <w:rsid w:val="240371BF"/>
    <w:rsid w:val="240C7CFE"/>
    <w:rsid w:val="245C06F7"/>
    <w:rsid w:val="27E95E7F"/>
    <w:rsid w:val="29FD04D3"/>
    <w:rsid w:val="2BAD3F2B"/>
    <w:rsid w:val="2CB24D7A"/>
    <w:rsid w:val="2D3A20C5"/>
    <w:rsid w:val="2D883131"/>
    <w:rsid w:val="2DDE4DFA"/>
    <w:rsid w:val="2F7928EE"/>
    <w:rsid w:val="305C6997"/>
    <w:rsid w:val="30875817"/>
    <w:rsid w:val="319F7F4E"/>
    <w:rsid w:val="31FE2D33"/>
    <w:rsid w:val="323A04A2"/>
    <w:rsid w:val="32525AFC"/>
    <w:rsid w:val="34EE7A6B"/>
    <w:rsid w:val="37754191"/>
    <w:rsid w:val="38836BDB"/>
    <w:rsid w:val="38A35A4B"/>
    <w:rsid w:val="3A402844"/>
    <w:rsid w:val="3B056B0C"/>
    <w:rsid w:val="3B3027A5"/>
    <w:rsid w:val="3B522D60"/>
    <w:rsid w:val="3B6966F6"/>
    <w:rsid w:val="3B73104A"/>
    <w:rsid w:val="3BFE5A30"/>
    <w:rsid w:val="3C6C6886"/>
    <w:rsid w:val="3C7726D9"/>
    <w:rsid w:val="3CB846B8"/>
    <w:rsid w:val="3CFA1967"/>
    <w:rsid w:val="3DEB57FC"/>
    <w:rsid w:val="3E61067D"/>
    <w:rsid w:val="3EBE3E76"/>
    <w:rsid w:val="3F583AC2"/>
    <w:rsid w:val="40374DB2"/>
    <w:rsid w:val="41774DFD"/>
    <w:rsid w:val="4429330A"/>
    <w:rsid w:val="44474918"/>
    <w:rsid w:val="44C9518E"/>
    <w:rsid w:val="46E461FA"/>
    <w:rsid w:val="47D12C12"/>
    <w:rsid w:val="486261A7"/>
    <w:rsid w:val="49483199"/>
    <w:rsid w:val="4AD104CA"/>
    <w:rsid w:val="4B7B0EE1"/>
    <w:rsid w:val="4C2D3B12"/>
    <w:rsid w:val="4C72322E"/>
    <w:rsid w:val="4CFC7AF2"/>
    <w:rsid w:val="4CFE484A"/>
    <w:rsid w:val="4E18368C"/>
    <w:rsid w:val="4E406C32"/>
    <w:rsid w:val="4ECE2238"/>
    <w:rsid w:val="516C4069"/>
    <w:rsid w:val="5460377A"/>
    <w:rsid w:val="55031C5F"/>
    <w:rsid w:val="57D539AF"/>
    <w:rsid w:val="580B1BC5"/>
    <w:rsid w:val="582B0690"/>
    <w:rsid w:val="59060E98"/>
    <w:rsid w:val="59461FC3"/>
    <w:rsid w:val="599D46A2"/>
    <w:rsid w:val="59D05CA4"/>
    <w:rsid w:val="59EF65B6"/>
    <w:rsid w:val="5AA80503"/>
    <w:rsid w:val="5B0C4E8F"/>
    <w:rsid w:val="5BAF12AC"/>
    <w:rsid w:val="5C8B00DC"/>
    <w:rsid w:val="5CC96D27"/>
    <w:rsid w:val="5D1F44DD"/>
    <w:rsid w:val="5D5A605A"/>
    <w:rsid w:val="5DA8331C"/>
    <w:rsid w:val="5F986CC8"/>
    <w:rsid w:val="5FBA0E61"/>
    <w:rsid w:val="61253D1A"/>
    <w:rsid w:val="61E23EA8"/>
    <w:rsid w:val="62DE2991"/>
    <w:rsid w:val="639A5BF8"/>
    <w:rsid w:val="68716D56"/>
    <w:rsid w:val="69C0769B"/>
    <w:rsid w:val="6A347670"/>
    <w:rsid w:val="6B422802"/>
    <w:rsid w:val="6C4422CF"/>
    <w:rsid w:val="6C8B00E4"/>
    <w:rsid w:val="6E7A7BB8"/>
    <w:rsid w:val="6EAE5F1A"/>
    <w:rsid w:val="6EC67B2A"/>
    <w:rsid w:val="6EEA5462"/>
    <w:rsid w:val="6F7C239F"/>
    <w:rsid w:val="6FA65E79"/>
    <w:rsid w:val="6FD624F5"/>
    <w:rsid w:val="6FDE60F3"/>
    <w:rsid w:val="6FE73B86"/>
    <w:rsid w:val="70EB30AA"/>
    <w:rsid w:val="710A5D9E"/>
    <w:rsid w:val="72734D90"/>
    <w:rsid w:val="73935098"/>
    <w:rsid w:val="74F02FA2"/>
    <w:rsid w:val="7638097A"/>
    <w:rsid w:val="765566D7"/>
    <w:rsid w:val="76915BC0"/>
    <w:rsid w:val="773D7138"/>
    <w:rsid w:val="77E17391"/>
    <w:rsid w:val="78FA36D3"/>
    <w:rsid w:val="7AAF2058"/>
    <w:rsid w:val="7BEA57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ind w:left="420" w:leftChars="200"/>
    </w:pPr>
  </w:style>
  <w:style w:type="paragraph" w:styleId="7">
    <w:name w:val="annotation text"/>
    <w:basedOn w:val="1"/>
    <w:link w:val="36"/>
    <w:semiHidden/>
    <w:unhideWhenUsed/>
    <w:qFormat/>
    <w:uiPriority w:val="99"/>
    <w:pPr>
      <w:jc w:val="left"/>
    </w:p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jc w:val="left"/>
    </w:pPr>
    <w:rPr>
      <w:kern w:val="0"/>
      <w:sz w:val="24"/>
    </w:rPr>
  </w:style>
  <w:style w:type="paragraph" w:styleId="16">
    <w:name w:val="annotation subject"/>
    <w:basedOn w:val="7"/>
    <w:next w:val="7"/>
    <w:link w:val="37"/>
    <w:semiHidden/>
    <w:unhideWhenUsed/>
    <w:qFormat/>
    <w:uiPriority w:val="99"/>
    <w:rPr>
      <w:b/>
      <w:bCs/>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character" w:styleId="21">
    <w:name w:val="annotation reference"/>
    <w:basedOn w:val="18"/>
    <w:semiHidden/>
    <w:unhideWhenUsed/>
    <w:qFormat/>
    <w:uiPriority w:val="99"/>
    <w:rPr>
      <w:sz w:val="21"/>
      <w:szCs w:val="21"/>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4"/>
    <w:qFormat/>
    <w:uiPriority w:val="9"/>
    <w:rPr>
      <w:rFonts w:ascii="Times New Roman" w:hAnsi="Times New Roman"/>
      <w:b/>
      <w:bCs/>
      <w:kern w:val="44"/>
      <w:sz w:val="44"/>
      <w:szCs w:val="44"/>
    </w:rPr>
  </w:style>
  <w:style w:type="character" w:customStyle="1" w:styleId="31">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6"/>
    <w:qFormat/>
    <w:uiPriority w:val="9"/>
    <w:rPr>
      <w:rFonts w:ascii="Times New Roman" w:hAnsi="Times New Roman"/>
      <w:b/>
      <w:bCs/>
      <w:kern w:val="2"/>
      <w:sz w:val="32"/>
      <w:szCs w:val="32"/>
    </w:rPr>
  </w:style>
  <w:style w:type="paragraph" w:customStyle="1" w:styleId="35">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文字 Char"/>
    <w:basedOn w:val="18"/>
    <w:link w:val="7"/>
    <w:semiHidden/>
    <w:qFormat/>
    <w:uiPriority w:val="99"/>
    <w:rPr>
      <w:kern w:val="2"/>
      <w:sz w:val="21"/>
      <w:szCs w:val="24"/>
    </w:rPr>
  </w:style>
  <w:style w:type="character" w:customStyle="1" w:styleId="37">
    <w:name w:val="批注主题 Char"/>
    <w:basedOn w:val="36"/>
    <w:link w:val="16"/>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12057</Words>
  <Characters>13769</Characters>
  <Lines>109</Lines>
  <Paragraphs>30</Paragraphs>
  <TotalTime>6</TotalTime>
  <ScaleCrop>false</ScaleCrop>
  <LinksUpToDate>false</LinksUpToDate>
  <CharactersWithSpaces>14023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2020-10-14T05:12:00Z</cp:lastPrinted>
  <dcterms:modified xsi:type="dcterms:W3CDTF">2024-12-25T09:08:54Z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90F6EA60180A42E095E60876DEDC15D8</vt:lpwstr>
  </property>
  <property fmtid="{D5CDD505-2E9C-101B-9397-08002B2CF9AE}" pid="4" name="KSOTemplateDocerSaveRecord">
    <vt:lpwstr>eyJoZGlkIjoiMGVhYTg4NGNkZWJkODFjNzcyZDRjM2M4Y2UzNjI5ZmUiLCJ1c2VySWQiOiI2MTE2MzEwMDYifQ==</vt:lpwstr>
  </property>
</Properties>
</file>