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38"/>
        <w:tblOverlap w:val="never"/>
        <w:tblW w:w="13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965"/>
        <w:gridCol w:w="1246"/>
        <w:gridCol w:w="1080"/>
        <w:gridCol w:w="1056"/>
        <w:gridCol w:w="4242"/>
        <w:gridCol w:w="1110"/>
        <w:gridCol w:w="120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3" w:hRule="exact"/>
          <w:tblHeader/>
          <w:jc w:val="center"/>
        </w:trPr>
        <w:tc>
          <w:tcPr>
            <w:tcW w:w="13758" w:type="dxa"/>
            <w:gridSpan w:val="9"/>
            <w:tcBorders>
              <w:top w:val="nil"/>
              <w:left w:val="nil"/>
              <w:right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afterLines="50" w:line="580" w:lineRule="exact"/>
              <w:jc w:val="center"/>
              <w:textAlignment w:val="auto"/>
              <w:rPr>
                <w:rFonts w:ascii="仿宋" w:hAnsi="仿宋" w:eastAsia="仿宋"/>
                <w:kern w:val="0"/>
                <w:sz w:val="44"/>
                <w:szCs w:val="44"/>
              </w:rPr>
            </w:pPr>
            <w:r>
              <w:rPr>
                <w:rFonts w:hint="eastAsia" w:ascii="方正小标宋简体" w:hAnsi="仿宋" w:eastAsia="方正小标宋简体"/>
                <w:kern w:val="0"/>
                <w:sz w:val="44"/>
                <w:szCs w:val="44"/>
              </w:rPr>
              <w:t>广元市</w:t>
            </w:r>
            <w:r>
              <w:rPr>
                <w:rFonts w:hint="eastAsia" w:ascii="方正小标宋简体" w:hAnsi="仿宋" w:eastAsia="方正小标宋简体"/>
                <w:kern w:val="0"/>
                <w:sz w:val="44"/>
                <w:szCs w:val="44"/>
                <w:lang w:eastAsia="zh-CN"/>
              </w:rPr>
              <w:t>昭化区</w:t>
            </w:r>
            <w:r>
              <w:rPr>
                <w:rFonts w:hint="eastAsia" w:ascii="方正小标宋简体" w:hAnsi="仿宋" w:eastAsia="方正小标宋简体"/>
                <w:kern w:val="0"/>
                <w:sz w:val="44"/>
                <w:szCs w:val="44"/>
              </w:rPr>
              <w:t>市场监管领域部门联合抽查事项清单（第一版）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tblHeader/>
          <w:jc w:val="center"/>
        </w:trPr>
        <w:tc>
          <w:tcPr>
            <w:tcW w:w="60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sz w:val="24"/>
                <w:szCs w:val="24"/>
              </w:rPr>
            </w:pPr>
            <w:r>
              <w:rPr>
                <w:rFonts w:hint="eastAsia" w:ascii="仿宋" w:hAnsi="仿宋" w:eastAsia="仿宋"/>
                <w:kern w:val="0"/>
                <w:sz w:val="24"/>
                <w:szCs w:val="24"/>
              </w:rPr>
              <w:t>序号</w:t>
            </w:r>
          </w:p>
        </w:tc>
        <w:tc>
          <w:tcPr>
            <w:tcW w:w="196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联合检查事项</w:t>
            </w:r>
          </w:p>
        </w:tc>
        <w:tc>
          <w:tcPr>
            <w:tcW w:w="1246"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检查对象</w:t>
            </w:r>
          </w:p>
        </w:tc>
        <w:tc>
          <w:tcPr>
            <w:tcW w:w="108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事项类别</w:t>
            </w:r>
          </w:p>
        </w:tc>
        <w:tc>
          <w:tcPr>
            <w:tcW w:w="7608" w:type="dxa"/>
            <w:gridSpan w:val="4"/>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发起部门</w:t>
            </w:r>
          </w:p>
        </w:tc>
        <w:tc>
          <w:tcPr>
            <w:tcW w:w="125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tblHeader/>
          <w:jc w:val="center"/>
        </w:trPr>
        <w:tc>
          <w:tcPr>
            <w:tcW w:w="60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sz w:val="24"/>
                <w:szCs w:val="24"/>
              </w:rPr>
            </w:pPr>
          </w:p>
        </w:tc>
        <w:tc>
          <w:tcPr>
            <w:tcW w:w="196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p>
        </w:tc>
        <w:tc>
          <w:tcPr>
            <w:tcW w:w="1246"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p>
        </w:tc>
        <w:tc>
          <w:tcPr>
            <w:tcW w:w="10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部门名称</w:t>
            </w:r>
          </w:p>
        </w:tc>
        <w:tc>
          <w:tcPr>
            <w:tcW w:w="424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检查内容</w:t>
            </w:r>
          </w:p>
        </w:tc>
        <w:tc>
          <w:tcPr>
            <w:tcW w:w="111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检查方式</w:t>
            </w:r>
          </w:p>
        </w:tc>
        <w:tc>
          <w:tcPr>
            <w:tcW w:w="120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实施层级</w:t>
            </w:r>
          </w:p>
        </w:tc>
        <w:tc>
          <w:tcPr>
            <w:tcW w:w="125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0"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面向中小学生的校外培训机构检查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全市校外培训机构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教育局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办学资质、办学行为。</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both"/>
              <w:textAlignment w:val="center"/>
              <w:rPr>
                <w:rFonts w:ascii="仿宋" w:hAnsi="仿宋" w:eastAsia="仿宋"/>
                <w:kern w:val="0"/>
                <w:sz w:val="24"/>
                <w:szCs w:val="24"/>
              </w:rPr>
            </w:pPr>
            <w:r>
              <w:rPr>
                <w:rFonts w:hint="eastAsia" w:ascii="仿宋" w:hAnsi="仿宋" w:eastAsia="仿宋"/>
                <w:kern w:val="0"/>
                <w:sz w:val="24"/>
                <w:szCs w:val="24"/>
              </w:rPr>
              <w:t>民政、公安、应急、市场监管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宾馆、旅店安装和应用旅馆业治安管理信息系统情况的检查；治安安全情况的检查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纳入旅馆业系统管理的宾馆、旅店</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仿宋" w:hAnsi="仿宋" w:eastAsia="仿宋"/>
                <w:kern w:val="0"/>
                <w:sz w:val="24"/>
                <w:szCs w:val="24"/>
                <w:lang w:val="en-US" w:eastAsia="zh-CN"/>
              </w:rPr>
            </w:pPr>
            <w:r>
              <w:rPr>
                <w:rFonts w:hint="eastAsia" w:ascii="仿宋" w:hAnsi="仿宋" w:eastAsia="仿宋"/>
                <w:kern w:val="0"/>
                <w:sz w:val="24"/>
                <w:szCs w:val="24"/>
              </w:rPr>
              <w:t>住宿人员登记情况，是否达到“四实”要求；治安防范情况</w:t>
            </w:r>
            <w:r>
              <w:rPr>
                <w:rFonts w:hint="eastAsia" w:ascii="仿宋" w:hAnsi="仿宋" w:eastAsia="仿宋"/>
                <w:kern w:val="0"/>
                <w:sz w:val="24"/>
                <w:szCs w:val="24"/>
                <w:lang w:eastAsia="zh-CN"/>
              </w:rPr>
              <w:t>。</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实地检查、网络检查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经营企业运输、燃放情况的检查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烟花爆竹生产经营企业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1</w:t>
            </w:r>
            <w:r>
              <w:rPr>
                <w:rFonts w:hint="eastAsia" w:ascii="仿宋" w:hAnsi="仿宋" w:eastAsia="仿宋"/>
                <w:kern w:val="0"/>
                <w:sz w:val="24"/>
                <w:szCs w:val="24"/>
              </w:rPr>
              <w:t>．《烟花爆竹道路运输许可证》是否合法有效，托运人、承运人、一次性运输有效期限、起始地点、行驶路线、经停地点、烟花爆竹的种类、规格和数量与许可证信息是否一致；</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．承运人、运输车辆、驾驶员、押运员是否具有危险货物运输资质、资格；</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．生产企业按规定粘贴烟花爆竹流向登记标签，应用信息系统采集、上报产品出入库信息落实情况；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4</w:t>
            </w:r>
            <w:r>
              <w:rPr>
                <w:rFonts w:hint="eastAsia" w:ascii="仿宋" w:hAnsi="仿宋" w:eastAsia="仿宋"/>
                <w:kern w:val="0"/>
                <w:sz w:val="24"/>
                <w:szCs w:val="24"/>
              </w:rPr>
              <w:t>．烟花爆竹的装载是否符合国家有关标准和规范。</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实地检查、网络检查</w:t>
            </w:r>
            <w:r>
              <w:rPr>
                <w:rFonts w:hint="eastAsia" w:ascii="仿宋" w:hAnsi="仿宋" w:eastAsia="仿宋"/>
                <w:kern w:val="0"/>
                <w:sz w:val="24"/>
                <w:szCs w:val="24"/>
                <w:lang w:eastAsia="zh-CN"/>
              </w:rPr>
              <w:t>、</w:t>
            </w:r>
            <w:r>
              <w:rPr>
                <w:rFonts w:hint="eastAsia" w:ascii="仿宋" w:hAnsi="仿宋" w:eastAsia="仿宋"/>
                <w:kern w:val="0"/>
                <w:sz w:val="24"/>
                <w:szCs w:val="24"/>
              </w:rPr>
              <w:t>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爆破作业单位的民用爆破物仓储情况的检查和爆破作业现场的检查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爆破作业单位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lang w:val="en-US" w:eastAsia="zh-CN"/>
              </w:rPr>
              <w:t xml:space="preserve">1 </w:t>
            </w:r>
            <w:r>
              <w:rPr>
                <w:rFonts w:ascii="仿宋" w:hAnsi="仿宋" w:eastAsia="仿宋"/>
                <w:kern w:val="0"/>
                <w:sz w:val="24"/>
                <w:szCs w:val="24"/>
              </w:rPr>
              <w:t>.</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爆破作业人员和民爆物品的品种、数量、来源与公安机关许可信息是否一致；</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lang w:val="en-US" w:eastAsia="zh-CN"/>
              </w:rPr>
              <w:t xml:space="preserve"> </w:t>
            </w:r>
            <w:r>
              <w:rPr>
                <w:rFonts w:ascii="仿宋" w:hAnsi="仿宋" w:eastAsia="仿宋"/>
                <w:kern w:val="0"/>
                <w:sz w:val="24"/>
                <w:szCs w:val="24"/>
              </w:rPr>
              <w:t>.</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爆破作业现场爆破作业单位、爆破作业人员和民爆物品的品种、数量、来源与公安机关许可信息是否一致；</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．民爆物品储存库技防、人防、物防、犬防等治安防范措施落实情况；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4</w:t>
            </w:r>
            <w:r>
              <w:rPr>
                <w:rFonts w:hint="eastAsia" w:ascii="仿宋" w:hAnsi="仿宋" w:eastAsia="仿宋"/>
                <w:kern w:val="0"/>
                <w:sz w:val="24"/>
                <w:szCs w:val="24"/>
              </w:rPr>
              <w:t>．民爆物品流向信息的查验、登记、备案、信息采集和报送情况；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5</w:t>
            </w:r>
            <w:r>
              <w:rPr>
                <w:rFonts w:hint="eastAsia" w:ascii="仿宋" w:hAnsi="仿宋" w:eastAsia="仿宋"/>
                <w:kern w:val="0"/>
                <w:sz w:val="24"/>
                <w:szCs w:val="24"/>
              </w:rPr>
              <w:t>．实有民爆物品的品种，数量、来源、登记标示与台账结存信息是否一致；</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6</w:t>
            </w:r>
            <w:r>
              <w:rPr>
                <w:rFonts w:hint="eastAsia" w:ascii="仿宋" w:hAnsi="仿宋" w:eastAsia="仿宋"/>
                <w:kern w:val="0"/>
                <w:sz w:val="24"/>
                <w:szCs w:val="24"/>
              </w:rPr>
              <w:t>．实有民爆物品的警示、登记标示质量是否可靠、信息是否准确。</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实地检查、网络检查、书面检查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民用枪支配置使用单位使用枪支情况的检查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民用枪支经营使用单位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w:t>
            </w:r>
          </w:p>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1</w:t>
            </w:r>
            <w:r>
              <w:rPr>
                <w:rFonts w:hint="eastAsia" w:ascii="仿宋" w:hAnsi="仿宋" w:eastAsia="仿宋"/>
                <w:kern w:val="0"/>
                <w:sz w:val="24"/>
                <w:szCs w:val="24"/>
              </w:rPr>
              <w:t>．枪弹库室值守情况；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．物防、技防设施建设情况；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．枪弹库存与领用登记情况。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w:t>
            </w:r>
          </w:p>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查、网络</w:t>
            </w:r>
          </w:p>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检查、书</w:t>
            </w:r>
          </w:p>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保安培训单位及其培训活动情况的检查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保安行业相关单位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w:t>
            </w:r>
          </w:p>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1</w:t>
            </w:r>
            <w:r>
              <w:rPr>
                <w:rFonts w:hint="eastAsia" w:ascii="仿宋" w:hAnsi="仿宋" w:eastAsia="仿宋"/>
                <w:kern w:val="0"/>
                <w:sz w:val="24"/>
                <w:szCs w:val="24"/>
              </w:rPr>
              <w:t>．保安培训单位基本情况；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．保安培训教学情况：</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．枪支使用培训单位备案情况和枪支安全管理挝虞与堤壁设施建设管理情况。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清理整顿人力资源市场秩序执法检查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人力资源服务机构、未经许可从事人力资源服务活动的机构和个人、用人单位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人力资源社会保障局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遵守人力资源服务法律法规情况。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现场检查、网络检查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各类用人单位（与劳动者建立劳动关系）工资支付情况检查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各类用人单位（与劳动者建立劳动关系）</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人力资源社会保障局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遵守工资支付有关法律法规情况。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现场检查、第三方机构审计</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市场监管领域相关部门及有关单位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劳务派遣用工检查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劳务派遣相关单位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人力资源社会保障厅</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遵守劳务派遣有关法律法规情况。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房地产开发企业经营行为抽查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房地产开发企业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按照《城市房地产开发法》《城市商品房预售管理办法》《房地产开发企业资质管理规定》等法律法规的要求实施。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实地核查、网络检查、书面检查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自然资源、市场监管、</w:t>
            </w:r>
            <w:r>
              <w:rPr>
                <w:rFonts w:hint="eastAsia" w:ascii="仿宋" w:hAnsi="仿宋" w:eastAsia="仿宋"/>
                <w:kern w:val="0"/>
                <w:sz w:val="24"/>
                <w:szCs w:val="24"/>
                <w:lang w:eastAsia="zh-CN"/>
              </w:rPr>
              <w:t>金融办、</w:t>
            </w:r>
            <w:r>
              <w:rPr>
                <w:rFonts w:hint="eastAsia" w:ascii="仿宋" w:hAnsi="仿宋" w:eastAsia="仿宋"/>
                <w:kern w:val="0"/>
                <w:sz w:val="24"/>
                <w:szCs w:val="24"/>
              </w:rPr>
              <w:t>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物业服务企业经营行为抽查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物业服务企业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按照《物业管理条例》《四川省物业管理条例》《四川省物业服务企业信用信息管理办法》等法律法规的要求实施。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实地核查、网络检查、书面检查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公安、应急、市场监管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房地产经纪机构、评估机构经营行为抽查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房地产经纪机构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按照《房地产经纪管理办法》《资产评估办法》《房地产估价机构管理办法》《租车房地产估价师管理办法》等法律法规的要求实施。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实地核查、网络检查、书面检查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公安、人社、市场监管、</w:t>
            </w:r>
            <w:r>
              <w:rPr>
                <w:rFonts w:hint="eastAsia" w:ascii="仿宋" w:hAnsi="仿宋" w:eastAsia="仿宋"/>
                <w:kern w:val="0"/>
                <w:sz w:val="24"/>
                <w:szCs w:val="24"/>
                <w:lang w:eastAsia="zh-CN"/>
              </w:rPr>
              <w:t>金融办、</w:t>
            </w:r>
            <w:r>
              <w:rPr>
                <w:rFonts w:hint="eastAsia" w:ascii="仿宋" w:hAnsi="仿宋" w:eastAsia="仿宋"/>
                <w:kern w:val="0"/>
                <w:sz w:val="24"/>
                <w:szCs w:val="24"/>
              </w:rPr>
              <w:t>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对勘察设计注册工程师执业资格的监督检查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注册结构工程师和其他专业勘察设计注册工程师</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执业活动是否存在《勘察设计注册工程师管理规定》第三十条规定的违法行为。</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网络检查、实地核查、书面检查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对注册建筑师执业资格的监督检查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注册建筑师</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执业活动中是否存在《注册建筑师条例》第二十九、三十、三十一、三十二条规定的违法行为。</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网络检查、实地核查、书面检查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对建筑工地租赁、安装、拆卸、使用建筑起重机械行为的监督检查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租赁、安装、拆卸、使用建筑起重机械的单位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建筑工地起重机械质量安全。</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实地核查、网络检测</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对监理工程师执业资格及执业活动的监督检查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监理工程师</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按照《注册监理工程师管理规定》的要求实施。</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现场检查、网络检查、书面检查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对建筑施工企业主要负责人、项目负责人、专职安全生产管理人员的监督检查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建筑施工企业主要负责人、项目负责人、专职安全生产管理人员</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按照《建筑施工企业主要负责人、项目负责人和专职安全生产管理人员安全生产管理规定》的要求实施。</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现场检查、网络检查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对建筑施工特种作业人员的监督检查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房屋建筑和市政工程建筑施工特种作业人员</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住房城乡建设局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按照《建筑施工特种作业人员管理规定》的要求实施。</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现场检查、网络检查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网约车平台公司的检查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网约车平台公司</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交通运输局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对网约车平台公司经营活动进行检查。</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实地核查、网络检查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车辆维修企业经营情况的检查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汽车维修企业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交通运输局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对车辆维修企业经营活动进行检查。</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实地核查、网络检查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生态环境、市场监管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旅游包车客运的检查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道路运输旅游客运企业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交通运输局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对道路运输旅游客运企业经营活动进行检查。</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实地核查、网络检查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公安、文旅、市场监管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农产品质量安全监督检查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农产品生产、经营、收储、运输企业，农民专业合作社，家庭农场。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主体资质；生产经营档案；农产品合格证使用情况；产品标签；制度建设和信用承诺情况；产品检疫情况；安全生产等。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对农产品地理标志的地域范围、标志使用的监督检查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地理标志使用人</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主体资质；地理标志核准情况；标志使用情况；产品标签；安全生产等。</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对绿色食品及绿色食品标志的监督检查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标志的使用人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主体资质；标志核准情况；绿色食品产地环境、产品质量、包装标识、标志使用等情况；安全生产等。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对农作物种子（含草种）生产、经营、质量的监督检查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种子生产、经营企业及个人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主体资质；是否依法备案登记；种子标签和使用说明是否规范；销售行为合法性及种子质量是否达标；安全生产等。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现场检查、书面检查、抽样检测</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对肥料的监督检查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肥料生产、经营企业及个人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主体资质；肥料产品质量、肥料登记及肥料标签；安全生产等。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对农药生产、经营、使用场所进行检查及对农药实施抽样</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农药生产、销售企业及个人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主体资质；农药登记、购销台账、农药标识标签；安全生产等。抽检农药产品质量。</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现场检查、书面检查、抽样检测</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对饲料、饲料添加剂进行监督检查和抽样</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饲料、饲料添加剂生产、销售企业及个人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主体资质；购销台账、标识标签；饲料、饲料添加剂产品质量；安全生产等。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现场检查、书面检查、抽样检测</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对生猪屠宰活动的监督检查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生猪定点屠宰企业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主体资质；产品检疫；人员资质；屠宰档案；屠宰场地、环保、无害化处置等情况；安全生产等。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现场检查、书面检查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市场监管、生态环境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对农业转基因生物安全管理的监督检查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农业转基因生产、加工、经营、进出口贸易企业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主体资质；农业转基因生物生产、加工、经营情况；产品标签；安全生产等。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对农业机械的安全监督检查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农业机械生产经营企业及个人；拖拉机、联合收割机的驾驶人员以及农业机械维修人员</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查验拖拉机、联合收割机证书、牌照及有关操作证件；检查危及人身财产安全的农业机械的安全状况；对农业机械维修者的从业资格、维修人员资格、维修质量、维修设备和检测仪器技术状态以及安全生产情况。</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对拖拉机驾驶培训机构的监督检查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从事拖拉机驾驶培训业务的机构</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营业执照、许可证件、场地、设施、人员资质、管理制度、培训档案；安全生产等。</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对兽药的监督检查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兽药生产、经营的企业及个人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主体资质；产品审批、购销台账、标识标签；产品质量；安全生产等。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现场检查、书面检查、抽样检测</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对渔业及渔业船舶的监督检查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水产品生产、经营企业及个人；渔船拥有者。</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主体资质；生产经营档案、生产经营设施设备、渔船拥有者的船舶证件以及渔船、渔具、渔获物和捕捞方法相关检查；安全生产等。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ascii="仿宋" w:hAnsi="仿宋" w:eastAsia="仿宋"/>
                <w:kern w:val="0"/>
                <w:sz w:val="24"/>
                <w:szCs w:val="24"/>
              </w:rPr>
            </w:pPr>
            <w:r>
              <w:rPr>
                <w:rFonts w:hint="eastAsia" w:ascii="仿宋" w:hAnsi="仿宋" w:eastAsia="仿宋"/>
                <w:kern w:val="0"/>
                <w:sz w:val="24"/>
                <w:szCs w:val="24"/>
              </w:rPr>
              <w:t>市场监管、交通运输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对水生野生动物及其产品的监督检查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水生野生动物养殖、经营利用企业及个人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主体资质；生产经营档案；水生野生动物产品、场地、运输工具及运输证件；安全生产等。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对动物防疫的监督检查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从事动物饲养、屠宰、经营、隔离、运输以及动物产品生产、经营、加工、贮藏、运输的企业及个人</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主体资质；生产经营档案；动物防疫情况；防疫制度建设情况；生产经营场地、无害化处置、运输工具等设施设备检查；安全生产等。</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植物检疫检查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种子、苗木和其他材料等繁育、生产、经营单位或个人</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主体资质；植物检疫证书、生产记录、生产基地、存放场所；安全生产等。</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对违反农村宅基地管理法律、法规行为的监督检查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宅基地的所有者</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农业农村局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建设规划许可、宅基地使用许可、宅基地使用面积、占用耕地或非耕地检查、房屋建筑面积等情况。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单用途商业预付卡业务检查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单用途商业预付卡发卡企业和售卡企业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商务局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卡面信息记载、章程协议公示、实名购卡、业务台账、预收资金归集与使用、业务报告、消费者权益保障。近三年发票使用情况比对、发票开具情况核查、近三年销售情况比对、近三年财务报表数据比对、上下游企业关联核查</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公安、市场监管、税务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娱乐场所检查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娱乐场所</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文化广电旅游局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依照《娱乐场所管理条例》开展。</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旅行社经营事项检查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旅行社及其分支机构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文化广电旅游局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经营信息、经营行为、旅行社管理、旅游安全、文明旅游</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互联网上网服务营业场所经营情况检查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互联网上网服务营业场所</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cs="Times New Roman"/>
                <w:kern w:val="0"/>
                <w:sz w:val="24"/>
              </w:rPr>
            </w:pPr>
            <w:r>
              <w:rPr>
                <w:rFonts w:hint="eastAsia" w:ascii="仿宋" w:hAnsi="仿宋" w:eastAsia="仿宋"/>
                <w:kern w:val="0"/>
                <w:sz w:val="24"/>
                <w:lang w:eastAsia="zh-CN"/>
              </w:rPr>
              <w:t>区</w:t>
            </w:r>
            <w:r>
              <w:rPr>
                <w:rFonts w:hint="eastAsia" w:ascii="仿宋" w:hAnsi="仿宋" w:eastAsia="仿宋"/>
                <w:kern w:val="0"/>
                <w:sz w:val="24"/>
              </w:rPr>
              <w:t>文化广电旅游局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依照《互联网上网服务营业场所管理条例》开展。</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艺术品经营单位检查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艺术品经营单位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pStyle w:val="8"/>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cs="Times New Roman"/>
                <w:kern w:val="0"/>
                <w:sz w:val="24"/>
              </w:rPr>
            </w:pPr>
            <w:r>
              <w:rPr>
                <w:rFonts w:hint="eastAsia" w:ascii="仿宋" w:hAnsi="仿宋" w:eastAsia="仿宋"/>
                <w:kern w:val="0"/>
                <w:sz w:val="24"/>
                <w:lang w:eastAsia="zh-CN"/>
              </w:rPr>
              <w:t>区</w:t>
            </w:r>
            <w:r>
              <w:rPr>
                <w:rFonts w:hint="eastAsia" w:ascii="仿宋" w:hAnsi="仿宋" w:eastAsia="仿宋"/>
                <w:kern w:val="0"/>
                <w:sz w:val="24"/>
              </w:rPr>
              <w:t>文化广电旅游局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从事艺术品经营活动的行政主体资质和条件、标准、范围、内容、方式以及履行法定义务</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宾馆、旅店取得卫生许可证、卫生情况的检查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宾馆、旅店</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卫生健康委</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按照《公共场所卫生管理条例》相关卫生管理要求实施。</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工业企业取得安全生产许可证情况的检查</w:t>
            </w:r>
          </w:p>
        </w:tc>
        <w:tc>
          <w:tcPr>
            <w:tcW w:w="124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依法应当取得安全生产许可证的工业企业</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应急</w:t>
            </w:r>
            <w:r>
              <w:rPr>
                <w:rFonts w:hint="eastAsia" w:ascii="仿宋" w:hAnsi="仿宋" w:eastAsia="仿宋"/>
                <w:kern w:val="0"/>
                <w:sz w:val="24"/>
                <w:szCs w:val="24"/>
                <w:lang w:eastAsia="zh-CN"/>
              </w:rPr>
              <w:t>管理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企业是否按规定取得相应许可证</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查阅安全生产资料、实地现场检查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ind w:firstLine="480" w:firstLineChars="200"/>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自然资源局、生态环境局、住建局、经济和信息化局、公安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企业安全生产有关制度设置、落实等情况的检查</w:t>
            </w:r>
          </w:p>
        </w:tc>
        <w:tc>
          <w:tcPr>
            <w:tcW w:w="124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非煤矿山（含地质勘探）、石油（炼化、成品油管道除外）、冶金、有色、建材、机械、纺织、烟草、商贸等工矿商贸行业的企业以及化工（含石油化工）、医药、危险化学品相关企业</w:t>
            </w:r>
          </w:p>
        </w:tc>
        <w:tc>
          <w:tcPr>
            <w:tcW w:w="10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应急</w:t>
            </w:r>
            <w:r>
              <w:rPr>
                <w:rFonts w:hint="eastAsia" w:ascii="仿宋" w:hAnsi="仿宋" w:eastAsia="仿宋"/>
                <w:kern w:val="0"/>
                <w:sz w:val="24"/>
                <w:szCs w:val="24"/>
                <w:lang w:eastAsia="zh-CN"/>
              </w:rPr>
              <w:t>管理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企业的安全生产主体责任、法律、法规、规章、制度等落实情况</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查阅安全生产资料、实地现场检查、抽样检测</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ind w:firstLine="240" w:firstLineChars="100"/>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自然资源局、生态环境局、经济和信息化局、公安</w:t>
            </w:r>
            <w:r>
              <w:rPr>
                <w:rFonts w:hint="eastAsia" w:ascii="仿宋" w:hAnsi="仿宋" w:eastAsia="仿宋"/>
                <w:kern w:val="0"/>
                <w:sz w:val="24"/>
                <w:szCs w:val="24"/>
                <w:lang w:eastAsia="zh-CN"/>
              </w:rPr>
              <w:t>分</w:t>
            </w:r>
            <w:r>
              <w:rPr>
                <w:rFonts w:hint="eastAsia" w:ascii="仿宋" w:hAnsi="仿宋" w:eastAsia="仿宋"/>
                <w:kern w:val="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地震安全性评价报告结果应用情况检查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核电、水利电力、房屋建筑及基础设施、油气储运、交通水运、通信等重大工程</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应急</w:t>
            </w:r>
            <w:r>
              <w:rPr>
                <w:rFonts w:hint="eastAsia" w:ascii="仿宋" w:hAnsi="仿宋" w:eastAsia="仿宋"/>
                <w:kern w:val="0"/>
                <w:sz w:val="24"/>
                <w:szCs w:val="24"/>
                <w:lang w:eastAsia="zh-CN"/>
              </w:rPr>
              <w:t>管理</w:t>
            </w:r>
            <w:r>
              <w:rPr>
                <w:rFonts w:hint="eastAsia" w:ascii="仿宋" w:hAnsi="仿宋" w:eastAsia="仿宋"/>
                <w:kern w:val="0"/>
                <w:sz w:val="24"/>
                <w:szCs w:val="24"/>
              </w:rPr>
              <w:t>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地震安全性评价报告结果应用情况。</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实地核查、书面检查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ind w:firstLine="240" w:firstLineChars="100"/>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住建、交通运输等相关部门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特定餐饮服务单位食品安全专项检查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学校、养老机构等食堂</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一般检查事项（学校、托幼机构、养老机构等食堂属于重点检查事项）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rPr>
                <w:rFonts w:ascii="仿宋" w:hAnsi="仿宋" w:eastAsia="仿宋"/>
                <w:kern w:val="0"/>
                <w:sz w:val="24"/>
                <w:szCs w:val="24"/>
              </w:rPr>
            </w:pPr>
            <w:r>
              <w:rPr>
                <w:rFonts w:hint="eastAsia" w:ascii="仿宋" w:hAnsi="仿宋" w:eastAsia="仿宋"/>
                <w:kern w:val="0"/>
                <w:sz w:val="24"/>
                <w:szCs w:val="24"/>
              </w:rPr>
              <w:t>经营资质、人员管理、过程控制等。</w:t>
            </w:r>
          </w:p>
        </w:tc>
        <w:tc>
          <w:tcPr>
            <w:tcW w:w="11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exact"/>
              <w:ind w:firstLine="480" w:firstLineChars="200"/>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教育、民政及相关单位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生态环境监测机构监督检查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生态环境监测机构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按照《检验检测机构资质认定管理办法》要求确定并实施。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建设及其他检测机构监督检查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建设及其他检测机构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按照《检验检测机构资质认定管理办法》要求确定并实施。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经信、公安、司法、住建、交通运输、水利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机动车检测机构监督检查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机动车检验机构</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按照《检验检测机构资质认定管理办法》要求确定并实施。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公安、交通运输、生态环境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工业企业中特种设备有关情况的检查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各类工业企业</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重点检查事项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三落实、两有证、一检验、一预案。</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实地核查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年度报告公示信息的检查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各类企业年报信息</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市场监管局</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1</w:t>
            </w:r>
            <w:r>
              <w:rPr>
                <w:rFonts w:hint="eastAsia" w:ascii="仿宋" w:hAnsi="仿宋" w:eastAsia="仿宋"/>
                <w:kern w:val="0"/>
                <w:sz w:val="24"/>
                <w:szCs w:val="24"/>
                <w:lang w:val="en-US" w:eastAsia="zh-CN"/>
              </w:rPr>
              <w:t xml:space="preserve"> </w:t>
            </w:r>
            <w:r>
              <w:rPr>
                <w:rFonts w:ascii="仿宋" w:hAnsi="仿宋" w:eastAsia="仿宋"/>
                <w:kern w:val="0"/>
                <w:sz w:val="24"/>
                <w:szCs w:val="24"/>
              </w:rPr>
              <w:t>.</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登记信息检查；</w:t>
            </w:r>
          </w:p>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lang w:val="en-US" w:eastAsia="zh-CN"/>
              </w:rPr>
              <w:t xml:space="preserve"> </w:t>
            </w:r>
            <w:r>
              <w:rPr>
                <w:rFonts w:ascii="仿宋" w:hAnsi="仿宋" w:eastAsia="仿宋"/>
                <w:kern w:val="0"/>
                <w:sz w:val="24"/>
                <w:szCs w:val="24"/>
              </w:rPr>
              <w:t>.</w:t>
            </w:r>
            <w:r>
              <w:rPr>
                <w:rFonts w:hint="eastAsia" w:ascii="仿宋" w:hAnsi="仿宋" w:eastAsia="仿宋"/>
                <w:kern w:val="0"/>
                <w:sz w:val="24"/>
                <w:szCs w:val="24"/>
                <w:lang w:val="en-US" w:eastAsia="zh-CN"/>
              </w:rPr>
              <w:t xml:space="preserve"> </w:t>
            </w:r>
            <w:bookmarkStart w:id="0" w:name="_GoBack"/>
            <w:bookmarkEnd w:id="0"/>
            <w:r>
              <w:rPr>
                <w:rFonts w:hint="eastAsia" w:ascii="仿宋" w:hAnsi="仿宋" w:eastAsia="仿宋"/>
                <w:kern w:val="0"/>
                <w:sz w:val="24"/>
                <w:szCs w:val="24"/>
              </w:rPr>
              <w:t>公示信息检查。</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现场检查、网络检查、专业机构核查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人社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宾馆、饭店消防情况的检查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各类宾馆、饭店</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消防救援</w:t>
            </w:r>
            <w:r>
              <w:rPr>
                <w:rFonts w:hint="eastAsia" w:ascii="仿宋" w:hAnsi="仿宋" w:eastAsia="仿宋"/>
                <w:kern w:val="0"/>
                <w:sz w:val="24"/>
                <w:szCs w:val="24"/>
                <w:lang w:eastAsia="zh-CN"/>
              </w:rPr>
              <w:t>大</w:t>
            </w:r>
            <w:r>
              <w:rPr>
                <w:rFonts w:hint="eastAsia" w:ascii="仿宋" w:hAnsi="仿宋" w:eastAsia="仿宋"/>
                <w:kern w:val="0"/>
                <w:sz w:val="24"/>
                <w:szCs w:val="24"/>
              </w:rPr>
              <w:t>队</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平面布置、防火分隔是否改变；安全疏散设施是否完好有效；客房管理是否符合要求；落实消防安全责任情况、消防安全制度建立、专兼职消防力量建设、防火巡查检查、消防教育培训、消防演练等情况。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使用领域消防产品质量监督检查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使用领域消防产品</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消防救援</w:t>
            </w:r>
            <w:r>
              <w:rPr>
                <w:rFonts w:hint="eastAsia" w:ascii="仿宋" w:hAnsi="仿宋" w:eastAsia="仿宋"/>
                <w:kern w:val="0"/>
                <w:sz w:val="24"/>
                <w:szCs w:val="24"/>
                <w:lang w:eastAsia="zh-CN"/>
              </w:rPr>
              <w:t>大</w:t>
            </w:r>
            <w:r>
              <w:rPr>
                <w:rFonts w:hint="eastAsia" w:ascii="仿宋" w:hAnsi="仿宋" w:eastAsia="仿宋"/>
                <w:kern w:val="0"/>
                <w:sz w:val="24"/>
                <w:szCs w:val="24"/>
              </w:rPr>
              <w:t>队</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市场准入检查、消防产品质量证明文件检查、查验消防产品关键性能。</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互联网上网服务经营单位消防情况的检查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互联网上网服务经营</w:t>
            </w:r>
            <w:r>
              <w:rPr>
                <w:rFonts w:ascii="仿宋" w:hAnsi="仿宋" w:eastAsia="仿宋"/>
                <w:kern w:val="0"/>
                <w:sz w:val="24"/>
                <w:szCs w:val="24"/>
              </w:rPr>
              <w:t xml:space="preserve"> </w:t>
            </w:r>
            <w:r>
              <w:rPr>
                <w:rFonts w:hint="eastAsia" w:ascii="仿宋" w:hAnsi="仿宋" w:eastAsia="仿宋"/>
                <w:kern w:val="0"/>
                <w:sz w:val="24"/>
                <w:szCs w:val="24"/>
              </w:rPr>
              <w:t>单位</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消防救援</w:t>
            </w:r>
            <w:r>
              <w:rPr>
                <w:rFonts w:hint="eastAsia" w:ascii="仿宋" w:hAnsi="仿宋" w:eastAsia="仿宋"/>
                <w:kern w:val="0"/>
                <w:sz w:val="24"/>
                <w:szCs w:val="24"/>
                <w:lang w:eastAsia="zh-CN"/>
              </w:rPr>
              <w:t>大</w:t>
            </w:r>
            <w:r>
              <w:rPr>
                <w:rFonts w:hint="eastAsia" w:ascii="仿宋" w:hAnsi="仿宋" w:eastAsia="仿宋"/>
                <w:kern w:val="0"/>
                <w:sz w:val="24"/>
                <w:szCs w:val="24"/>
              </w:rPr>
              <w:t>队</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是否无证照经营、违规用火用电、堵塞消防通道。</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 w:hRule="atLeast"/>
          <w:jc w:val="center"/>
        </w:trPr>
        <w:tc>
          <w:tcPr>
            <w:tcW w:w="602" w:type="dxa"/>
            <w:tcMar>
              <w:top w:w="15" w:type="dxa"/>
              <w:left w:w="15" w:type="dxa"/>
              <w:right w:w="15" w:type="dxa"/>
            </w:tcMar>
            <w:vAlign w:val="center"/>
          </w:tcPr>
          <w:p>
            <w:pPr>
              <w:pStyle w:val="7"/>
              <w:keepNext w:val="0"/>
              <w:keepLines w:val="0"/>
              <w:pageBreakBefore w:val="0"/>
              <w:widowControl/>
              <w:numPr>
                <w:ilvl w:val="0"/>
                <w:numId w:val="1"/>
              </w:numPr>
              <w:kinsoku/>
              <w:wordWrap/>
              <w:overflowPunct/>
              <w:topLinePunct w:val="0"/>
              <w:autoSpaceDE/>
              <w:autoSpaceDN/>
              <w:bidi w:val="0"/>
              <w:adjustRightInd/>
              <w:spacing w:line="360" w:lineRule="exact"/>
              <w:ind w:firstLineChars="0"/>
              <w:jc w:val="center"/>
              <w:textAlignment w:val="center"/>
              <w:rPr>
                <w:rFonts w:ascii="仿宋" w:hAnsi="仿宋" w:eastAsia="仿宋"/>
                <w:sz w:val="24"/>
              </w:rPr>
            </w:pPr>
          </w:p>
        </w:tc>
        <w:tc>
          <w:tcPr>
            <w:tcW w:w="196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公共娱乐场所消防情况检查</w:t>
            </w:r>
          </w:p>
        </w:tc>
        <w:tc>
          <w:tcPr>
            <w:tcW w:w="124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电影院及各类娱乐场所</w:t>
            </w:r>
          </w:p>
        </w:tc>
        <w:tc>
          <w:tcPr>
            <w:tcW w:w="10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一般检查事项</w:t>
            </w:r>
          </w:p>
        </w:tc>
        <w:tc>
          <w:tcPr>
            <w:tcW w:w="1056"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r>
              <w:rPr>
                <w:rFonts w:hint="eastAsia" w:ascii="仿宋" w:hAnsi="仿宋" w:eastAsia="仿宋"/>
                <w:kern w:val="0"/>
                <w:sz w:val="24"/>
                <w:szCs w:val="24"/>
              </w:rPr>
              <w:t>消防救援</w:t>
            </w:r>
            <w:r>
              <w:rPr>
                <w:rFonts w:hint="eastAsia" w:ascii="仿宋" w:hAnsi="仿宋" w:eastAsia="仿宋"/>
                <w:kern w:val="0"/>
                <w:sz w:val="24"/>
                <w:szCs w:val="24"/>
                <w:lang w:eastAsia="zh-CN"/>
              </w:rPr>
              <w:t>大</w:t>
            </w:r>
            <w:r>
              <w:rPr>
                <w:rFonts w:hint="eastAsia" w:ascii="仿宋" w:hAnsi="仿宋" w:eastAsia="仿宋"/>
                <w:kern w:val="0"/>
                <w:sz w:val="24"/>
                <w:szCs w:val="24"/>
              </w:rPr>
              <w:t>队</w:t>
            </w:r>
          </w:p>
        </w:tc>
        <w:tc>
          <w:tcPr>
            <w:tcW w:w="42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textAlignment w:val="center"/>
              <w:rPr>
                <w:rFonts w:ascii="仿宋" w:hAnsi="仿宋" w:eastAsia="仿宋"/>
                <w:kern w:val="0"/>
                <w:sz w:val="24"/>
                <w:szCs w:val="24"/>
              </w:rPr>
            </w:pPr>
            <w:r>
              <w:rPr>
                <w:rFonts w:hint="eastAsia" w:ascii="仿宋" w:hAnsi="仿宋" w:eastAsia="仿宋"/>
                <w:kern w:val="0"/>
                <w:sz w:val="24"/>
                <w:szCs w:val="24"/>
              </w:rPr>
              <w:t>平面布置、防火分隔是否改变；安全疏散设施是否完好有效；防火巡查检查、消防教育培训、消防演练等情况。</w:t>
            </w:r>
          </w:p>
        </w:tc>
        <w:tc>
          <w:tcPr>
            <w:tcW w:w="11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现场检查</w:t>
            </w:r>
          </w:p>
        </w:tc>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lang w:eastAsia="zh-CN"/>
              </w:rPr>
              <w:t>区</w:t>
            </w:r>
          </w:p>
        </w:tc>
        <w:tc>
          <w:tcPr>
            <w:tcW w:w="125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ascii="仿宋" w:hAnsi="仿宋" w:eastAsia="仿宋"/>
                <w:kern w:val="0"/>
                <w:sz w:val="24"/>
                <w:szCs w:val="24"/>
              </w:rPr>
            </w:pPr>
            <w:r>
              <w:rPr>
                <w:rFonts w:hint="eastAsia" w:ascii="仿宋" w:hAnsi="仿宋" w:eastAsia="仿宋"/>
                <w:kern w:val="0"/>
                <w:sz w:val="24"/>
                <w:szCs w:val="24"/>
              </w:rPr>
              <w:t>市场监管领域相关部门</w:t>
            </w:r>
          </w:p>
        </w:tc>
      </w:tr>
    </w:tbl>
    <w:p>
      <w:pPr>
        <w:pStyle w:val="6"/>
        <w:spacing w:line="576" w:lineRule="exact"/>
        <w:ind w:left="-646" w:leftChars="-202"/>
        <w:jc w:val="center"/>
        <w:rPr>
          <w:rFonts w:ascii="方正小标宋简体" w:eastAsia="方正小标宋简体"/>
          <w:kern w:val="0"/>
          <w:sz w:val="44"/>
          <w:szCs w:val="44"/>
        </w:rPr>
      </w:pPr>
    </w:p>
    <w:p>
      <w:pPr>
        <w:rPr>
          <w:rFonts w:ascii="仿宋" w:hAnsi="仿宋" w:eastAsia="仿宋"/>
          <w:sz w:val="24"/>
          <w:szCs w:val="24"/>
        </w:rPr>
      </w:pPr>
    </w:p>
    <w:sectPr>
      <w:headerReference r:id="rId3" w:type="default"/>
      <w:pgSz w:w="16838" w:h="11906" w:orient="landscape"/>
      <w:pgMar w:top="1701" w:right="1440" w:bottom="1417" w:left="1440" w:header="851" w:footer="992" w:gutter="0"/>
      <w:cols w:space="0" w:num="1"/>
      <w:rtlGutter w:val="0"/>
      <w:docGrid w:type="lines" w:linePitch="4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3ABE"/>
    <w:multiLevelType w:val="multilevel"/>
    <w:tmpl w:val="548C3ABE"/>
    <w:lvl w:ilvl="0" w:tentative="0">
      <w:start w:val="1"/>
      <w:numFmt w:val="decimal"/>
      <w:lvlText w:val="   %1"/>
      <w:lvlJc w:val="center"/>
      <w:pPr>
        <w:ind w:left="420" w:hanging="420"/>
      </w:pPr>
      <w:rPr>
        <w:rFonts w:hint="default" w:ascii="Times New Roman" w:hAnsi="Times New Roman" w:eastAsia="仿宋"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C5BCF"/>
    <w:rsid w:val="05D00362"/>
    <w:rsid w:val="34863044"/>
    <w:rsid w:val="58D87153"/>
    <w:rsid w:val="6D6C5BCF"/>
    <w:rsid w:val="7866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99"/>
    <w:pPr>
      <w:widowControl w:val="0"/>
      <w:jc w:val="both"/>
    </w:pPr>
    <w:rPr>
      <w:rFonts w:ascii="Calibri" w:hAnsi="Calibri" w:eastAsia="宋体" w:cs="Times New Roman"/>
      <w:kern w:val="2"/>
      <w:sz w:val="21"/>
      <w:szCs w:val="22"/>
      <w:lang w:val="en-US" w:eastAsia="zh-CN" w:bidi="ar-SA"/>
    </w:rPr>
  </w:style>
  <w:style w:type="paragraph" w:styleId="7">
    <w:name w:val="List Paragraph"/>
    <w:basedOn w:val="1"/>
    <w:qFormat/>
    <w:uiPriority w:val="99"/>
    <w:pPr>
      <w:ind w:firstLine="420" w:firstLineChars="200"/>
    </w:pPr>
    <w:rPr>
      <w:rFonts w:ascii="Calibri" w:hAnsi="Calibri" w:eastAsia="宋体"/>
      <w:sz w:val="21"/>
      <w:szCs w:val="24"/>
    </w:rPr>
  </w:style>
  <w:style w:type="paragraph" w:customStyle="1" w:styleId="8">
    <w:name w:val="正文 New New New New New New New New New New New New New New"/>
    <w:qFormat/>
    <w:uiPriority w:val="99"/>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2021-02-18T00:49:00Z</dcterms:created>
  <dc:creator>6.™</dc:creator>
  <cp:lastModifiedBy>顾盼生欢</cp:lastModifiedBy>
  <cp:lastPrinted>2021-02-18T01:55:00Z</cp:lastPrinted>
  <dcterms:modified xsi:type="dcterms:W3CDTF">2021-02-18T03:59:37Z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