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1E5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广元市昭化区行政审批和数据局</w:t>
      </w:r>
    </w:p>
    <w:p w14:paraId="42CCC1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关于《广元市营商环境建设推进情况监测分析报告2024年1-8月份》中指标的下一步工作举措</w:t>
      </w:r>
    </w:p>
    <w:p w14:paraId="5AF0C75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bCs/>
          <w:color w:val="000000"/>
          <w:sz w:val="32"/>
          <w:szCs w:val="32"/>
          <w:lang w:eastAsia="zh-CN"/>
        </w:rPr>
      </w:pPr>
    </w:p>
    <w:p w14:paraId="701AB7B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区营商办：</w:t>
      </w:r>
    </w:p>
    <w:p w14:paraId="0A2F7B8F">
      <w:pPr>
        <w:ind w:firstLine="640" w:firstLineChars="200"/>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eastAsia="zh-CN"/>
        </w:rPr>
        <w:t>根据《广元市营商环境建设推进情况监测分析报告2024年1-8月份》的报告，</w:t>
      </w:r>
      <w:r>
        <w:rPr>
          <w:rFonts w:hint="eastAsia" w:ascii="Times New Roman" w:hAnsi="Times New Roman" w:eastAsia="仿宋_GB2312" w:cs="Times New Roman"/>
          <w:bCs/>
          <w:color w:val="000000"/>
          <w:sz w:val="32"/>
          <w:szCs w:val="32"/>
          <w:lang w:val="en-US" w:eastAsia="zh-CN"/>
        </w:rPr>
        <w:t>我局高度重视，立即组织各业务股室就报告中存在指标靠后的问题进行深入剖析并开会专题研究，逐一细化工作举措，现将我局下一步工作举措</w:t>
      </w:r>
      <w:r>
        <w:rPr>
          <w:rFonts w:hint="eastAsia" w:ascii="Times New Roman" w:hAnsi="Times New Roman" w:eastAsia="仿宋_GB2312" w:cs="Times New Roman"/>
          <w:bCs/>
          <w:color w:val="000000"/>
          <w:sz w:val="32"/>
          <w:szCs w:val="32"/>
          <w:lang w:eastAsia="zh-CN"/>
        </w:rPr>
        <w:t>汇报如下：</w:t>
      </w:r>
    </w:p>
    <w:p w14:paraId="6A7B3CF9">
      <w:pPr>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一、政务服务便利化方面：</w:t>
      </w:r>
    </w:p>
    <w:p w14:paraId="50D88E22">
      <w:pPr>
        <w:ind w:firstLine="960" w:firstLineChars="3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1.存在的问题：政务服务事项“一站式”办理数量较低的情况；</w:t>
      </w:r>
    </w:p>
    <w:p w14:paraId="746121D7">
      <w:pPr>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  下一步工作举措：</w:t>
      </w:r>
      <w:r>
        <w:rPr>
          <w:rFonts w:hint="eastAsia" w:ascii="Times New Roman" w:hAnsi="Times New Roman" w:eastAsia="仿宋_GB2312" w:cs="Times New Roman"/>
          <w:b/>
          <w:bCs w:val="0"/>
          <w:color w:val="000000"/>
          <w:sz w:val="32"/>
          <w:szCs w:val="32"/>
          <w:lang w:val="en-US" w:eastAsia="zh-CN"/>
        </w:rPr>
        <w:t>一是数据收集与整理：</w:t>
      </w:r>
      <w:r>
        <w:rPr>
          <w:rFonts w:hint="eastAsia" w:ascii="Times New Roman" w:hAnsi="Times New Roman" w:eastAsia="仿宋_GB2312" w:cs="Times New Roman"/>
          <w:bCs/>
          <w:color w:val="000000"/>
          <w:sz w:val="32"/>
          <w:szCs w:val="32"/>
          <w:lang w:val="en-US" w:eastAsia="zh-CN"/>
        </w:rPr>
        <w:t>收集我区目前政务服务事项中所有可办理的项目清单，以及当前在“一站式”平台办理的项目详细数据，包括业务类型、办理频率、涉及部门；对未纳入“一站式”办理的政务服务事项进行分类统计，明确哪些是高频事项、哪些是低频但关键的事项；组织与政务服务相关的各区级部门进行座谈会，了解各部门在将业务纳入“一站式”办理过程中存在的困难和顾虑，如系统对接问题、部门间协调流程复杂等；</w:t>
      </w:r>
      <w:r>
        <w:rPr>
          <w:rFonts w:hint="eastAsia" w:ascii="Times New Roman" w:hAnsi="Times New Roman" w:eastAsia="仿宋_GB2312" w:cs="Times New Roman"/>
          <w:b/>
          <w:bCs w:val="0"/>
          <w:color w:val="000000"/>
          <w:sz w:val="32"/>
          <w:szCs w:val="32"/>
          <w:lang w:val="en-US" w:eastAsia="zh-CN"/>
        </w:rPr>
        <w:t>二是制定改进措施：</w:t>
      </w:r>
      <w:r>
        <w:rPr>
          <w:rFonts w:hint="eastAsia" w:ascii="Times New Roman" w:hAnsi="Times New Roman" w:eastAsia="仿宋_GB2312" w:cs="Times New Roman"/>
          <w:bCs/>
          <w:color w:val="000000"/>
          <w:sz w:val="32"/>
          <w:szCs w:val="32"/>
          <w:lang w:val="en-US" w:eastAsia="zh-CN"/>
        </w:rPr>
        <w:t>建立跨部门的“一站式”政务服务工作协调小组，定期召开会议，共同商讨和解决“一站式”办理推进过程中的问题。同时加强信息技术支撑，利用“村能办”便民服务辅助平台打破部门之间的数据壁垒，实现信息的实时共享和交互，为“一站式”办理提供数据基础。业务流程推行“容缺受理”机制，在企业和群众基本条件具备、主要申报材料齐全且符合法定条件的情况下，先行受理并进入审核程序，允许企业和群众在规定时间内补齐相关材料。</w:t>
      </w:r>
      <w:r>
        <w:rPr>
          <w:rFonts w:hint="eastAsia" w:ascii="Times New Roman" w:hAnsi="Times New Roman" w:eastAsia="仿宋_GB2312" w:cs="Times New Roman"/>
          <w:b/>
          <w:bCs w:val="0"/>
          <w:color w:val="000000"/>
          <w:sz w:val="32"/>
          <w:szCs w:val="32"/>
          <w:lang w:val="en-US" w:eastAsia="zh-CN"/>
        </w:rPr>
        <w:t>三是加强人员培训与宣传方面：</w:t>
      </w:r>
      <w:r>
        <w:rPr>
          <w:rFonts w:hint="eastAsia" w:ascii="Times New Roman" w:hAnsi="Times New Roman" w:eastAsia="仿宋_GB2312" w:cs="Times New Roman"/>
          <w:bCs/>
          <w:color w:val="000000"/>
          <w:sz w:val="32"/>
          <w:szCs w:val="32"/>
          <w:lang w:val="en-US" w:eastAsia="zh-CN"/>
        </w:rPr>
        <w:t>组织政务服务工作人员参加“一站式”办理业务培训，包括新政策法规、业务流程、服务规范等方面的培训，开展模拟演练，模拟各种复杂的业务办理场景，让工作人员熟悉在“一站式”办理环境下如何高效处理业务，并通过政府官网、政务服务大厅宣传栏等多种渠道，广泛宣传政务服务事项“一站式”办理的优势和便利性，提高企业和群众的知晓率。</w:t>
      </w:r>
      <w:r>
        <w:rPr>
          <w:rFonts w:hint="eastAsia" w:ascii="Times New Roman" w:hAnsi="Times New Roman" w:eastAsia="仿宋_GB2312" w:cs="Times New Roman"/>
          <w:b/>
          <w:bCs w:val="0"/>
          <w:color w:val="000000"/>
          <w:sz w:val="32"/>
          <w:szCs w:val="32"/>
          <w:lang w:val="en-US" w:eastAsia="zh-CN"/>
        </w:rPr>
        <w:t>四是建立监督评估机制：</w:t>
      </w:r>
      <w:r>
        <w:rPr>
          <w:rFonts w:hint="eastAsia" w:ascii="Times New Roman" w:hAnsi="Times New Roman" w:eastAsia="仿宋_GB2312" w:cs="Times New Roman"/>
          <w:bCs/>
          <w:color w:val="000000"/>
          <w:sz w:val="32"/>
          <w:szCs w:val="32"/>
          <w:lang w:val="en-US" w:eastAsia="zh-CN"/>
        </w:rPr>
        <w:t>定期对政务服务事项“一站式”办理的工作效果进行评估，根据评估结果调整改进措施。将“一站式”办理的数量、企业和群众的满意度等指标纳入各部门的绩效考核体系，激励各部门积极推进“一站式”办理工作。</w:t>
      </w:r>
    </w:p>
    <w:p w14:paraId="00CC55DA">
      <w:pPr>
        <w:ind w:firstLine="960" w:firstLineChars="3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2.存在的问题：除医保、社保、不动产、公积金、公安出入境和户籍、税务6大领域外，政务服务事项纳入无差别受理的比例较低。</w:t>
      </w:r>
    </w:p>
    <w:p w14:paraId="71599C9F">
      <w:pPr>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  下一步工作举措：</w:t>
      </w:r>
      <w:r>
        <w:rPr>
          <w:rFonts w:hint="eastAsia" w:ascii="Times New Roman" w:hAnsi="Times New Roman" w:eastAsia="仿宋_GB2312" w:cs="Times New Roman"/>
          <w:b/>
          <w:bCs w:val="0"/>
          <w:color w:val="000000"/>
          <w:sz w:val="32"/>
          <w:szCs w:val="32"/>
          <w:lang w:val="en-US" w:eastAsia="zh-CN"/>
        </w:rPr>
        <w:t>一是目标设定：</w:t>
      </w:r>
      <w:r>
        <w:rPr>
          <w:rFonts w:hint="eastAsia" w:ascii="Times New Roman" w:hAnsi="Times New Roman" w:eastAsia="仿宋_GB2312" w:cs="Times New Roman"/>
          <w:b w:val="0"/>
          <w:bCs/>
          <w:color w:val="000000"/>
          <w:sz w:val="32"/>
          <w:szCs w:val="32"/>
          <w:lang w:val="en-US" w:eastAsia="zh-CN"/>
        </w:rPr>
        <w:t>已于</w:t>
      </w:r>
      <w:r>
        <w:rPr>
          <w:rFonts w:hint="eastAsia" w:ascii="Times New Roman" w:hAnsi="Times New Roman" w:eastAsia="仿宋_GB2312" w:cs="Times New Roman"/>
          <w:bCs/>
          <w:color w:val="000000"/>
          <w:sz w:val="32"/>
          <w:szCs w:val="32"/>
          <w:lang w:val="en-US" w:eastAsia="zh-CN"/>
        </w:rPr>
        <w:t>9中旬将非医保、社保、不动产、公积金、公安出入境和户籍、税务这6大领域的政务服务事项无差别受理比例提高至100%。</w:t>
      </w:r>
      <w:r>
        <w:rPr>
          <w:rFonts w:hint="eastAsia" w:ascii="Times New Roman" w:hAnsi="Times New Roman" w:eastAsia="仿宋_GB2312" w:cs="Times New Roman"/>
          <w:b/>
          <w:bCs w:val="0"/>
          <w:color w:val="000000"/>
          <w:sz w:val="32"/>
          <w:szCs w:val="32"/>
          <w:lang w:val="en-US" w:eastAsia="zh-CN"/>
        </w:rPr>
        <w:t>二是事项梳理与整合：</w:t>
      </w:r>
      <w:r>
        <w:rPr>
          <w:rFonts w:hint="eastAsia" w:ascii="Times New Roman" w:hAnsi="Times New Roman" w:eastAsia="仿宋_GB2312" w:cs="Times New Roman"/>
          <w:bCs/>
          <w:color w:val="000000"/>
          <w:sz w:val="32"/>
          <w:szCs w:val="32"/>
          <w:lang w:val="en-US" w:eastAsia="zh-CN"/>
        </w:rPr>
        <w:t>组织专人对除6大领域外的政务服务事项进行地毯式清查，明确各事项的办理流程、所需材料、受理条件等基本信息。根据清查结果，按照事项的性质、办理环节的相似性等进行分类，建立详细的政务服务事项清单。同时简化流程，对梳理后的政务服务事项进行流程再造，去除不必要的环节和手续。例如，对于一些证明材料，通过部门内部信息共享进行核实，不再要求办事群众提供，统一不同事项中的同类材料的格式和要求，避免因细微差别给办事群众带来困扰。</w:t>
      </w:r>
      <w:r>
        <w:rPr>
          <w:rFonts w:hint="eastAsia" w:ascii="Times New Roman" w:hAnsi="Times New Roman" w:eastAsia="仿宋_GB2312" w:cs="Times New Roman"/>
          <w:b/>
          <w:bCs w:val="0"/>
          <w:color w:val="000000"/>
          <w:sz w:val="32"/>
          <w:szCs w:val="32"/>
          <w:lang w:val="en-US" w:eastAsia="zh-CN"/>
        </w:rPr>
        <w:t>三是建立监督机制：</w:t>
      </w:r>
      <w:r>
        <w:rPr>
          <w:rFonts w:hint="eastAsia" w:ascii="Times New Roman" w:hAnsi="Times New Roman" w:eastAsia="仿宋_GB2312" w:cs="Times New Roman"/>
          <w:bCs/>
          <w:color w:val="000000"/>
          <w:sz w:val="32"/>
          <w:szCs w:val="32"/>
          <w:lang w:val="en-US" w:eastAsia="zh-CN"/>
        </w:rPr>
        <w:t>成立专门的监督小组，对无差别受理工作的开展情况进行定期检查和不定期抽查。制定科学合理的绩效评估指标体系，将无差别受理比例、办事群众满意度、办理事项的准确率等作为重要的评估指标。</w:t>
      </w:r>
    </w:p>
    <w:p w14:paraId="0F6BC28B">
      <w:pPr>
        <w:numPr>
          <w:ilvl w:val="0"/>
          <w:numId w:val="0"/>
        </w:numPr>
        <w:ind w:firstLine="640" w:firstLineChars="200"/>
        <w:rPr>
          <w:rFonts w:hint="eastAsia" w:ascii="仿宋_GB2312" w:hAnsi="宋体" w:eastAsia="仿宋_GB2312" w:cs="仿宋_GB2312"/>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bCs/>
          <w:color w:val="000000"/>
          <w:sz w:val="32"/>
          <w:szCs w:val="32"/>
          <w:lang w:val="en-US" w:eastAsia="zh-CN"/>
        </w:rPr>
        <w:t>3.存在的问题：</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工程建设项目审批质效并联审批率及“一张蓝图”策划生成项目个数较低.</w:t>
      </w:r>
    </w:p>
    <w:p w14:paraId="40E53FD1">
      <w:pPr>
        <w:numPr>
          <w:ilvl w:val="0"/>
          <w:numId w:val="0"/>
        </w:numPr>
        <w:ind w:firstLine="64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下一步工作举措：</w:t>
      </w:r>
      <w:r>
        <w:rPr>
          <w:rFonts w:hint="eastAsia" w:ascii="Times New Roman" w:hAnsi="Times New Roman" w:eastAsia="仿宋_GB2312" w:cs="Times New Roman"/>
          <w:b/>
          <w:bCs w:val="0"/>
          <w:color w:val="000000"/>
          <w:sz w:val="32"/>
          <w:szCs w:val="32"/>
          <w:lang w:val="en-US" w:eastAsia="zh-CN"/>
        </w:rPr>
        <w:t>一是建立监督机制：</w:t>
      </w:r>
      <w:r>
        <w:rPr>
          <w:rFonts w:hint="eastAsia" w:ascii="Times New Roman" w:hAnsi="Times New Roman" w:eastAsia="仿宋_GB2312" w:cs="Times New Roman"/>
          <w:sz w:val="32"/>
          <w:szCs w:val="32"/>
          <w:lang w:eastAsia="zh-CN"/>
        </w:rPr>
        <w:t>按照工程建设项目“五制”审批模式实施方案，</w:t>
      </w:r>
      <w:r>
        <w:rPr>
          <w:rFonts w:ascii="仿宋_GB2312" w:hAnsi="宋体" w:eastAsia="仿宋_GB2312" w:cs="仿宋_GB2312"/>
          <w:i w:val="0"/>
          <w:iCs w:val="0"/>
          <w:caps w:val="0"/>
          <w:color w:val="000000"/>
          <w:spacing w:val="0"/>
          <w:sz w:val="32"/>
          <w:szCs w:val="32"/>
          <w:shd w:val="clear" w:fill="FFFFFF"/>
        </w:rPr>
        <w:t>实行</w:t>
      </w:r>
      <w:r>
        <w:rPr>
          <w:rFonts w:hint="eastAsia" w:ascii="仿宋_GB2312" w:hAnsi="宋体" w:eastAsia="仿宋_GB2312" w:cs="仿宋_GB2312"/>
          <w:i w:val="0"/>
          <w:iCs w:val="0"/>
          <w:caps w:val="0"/>
          <w:color w:val="000000"/>
          <w:spacing w:val="0"/>
          <w:sz w:val="32"/>
          <w:szCs w:val="32"/>
          <w:shd w:val="clear" w:fill="FFFFFF"/>
          <w:lang w:eastAsia="zh-CN"/>
        </w:rPr>
        <w:t>日统计、</w:t>
      </w:r>
      <w:r>
        <w:rPr>
          <w:rFonts w:ascii="仿宋_GB2312" w:hAnsi="宋体" w:eastAsia="仿宋_GB2312" w:cs="仿宋_GB2312"/>
          <w:i w:val="0"/>
          <w:iCs w:val="0"/>
          <w:caps w:val="0"/>
          <w:color w:val="000000"/>
          <w:spacing w:val="0"/>
          <w:sz w:val="32"/>
          <w:szCs w:val="32"/>
          <w:shd w:val="clear" w:fill="FFFFFF"/>
        </w:rPr>
        <w:t>周督查、月通报、季讲评、年考核的</w:t>
      </w:r>
      <w:r>
        <w:rPr>
          <w:rFonts w:hint="eastAsia" w:ascii="仿宋_GB2312" w:hAnsi="宋体" w:eastAsia="仿宋_GB2312" w:cs="仿宋_GB2312"/>
          <w:i w:val="0"/>
          <w:iCs w:val="0"/>
          <w:caps w:val="0"/>
          <w:color w:val="000000"/>
          <w:spacing w:val="0"/>
          <w:sz w:val="32"/>
          <w:szCs w:val="32"/>
          <w:shd w:val="clear" w:fill="FFFFFF"/>
        </w:rPr>
        <w:t>“赛马”工作机制</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Times New Roman" w:hAnsi="Times New Roman" w:eastAsia="仿宋_GB2312" w:cs="Times New Roman"/>
          <w:bCs/>
          <w:color w:val="000000"/>
          <w:sz w:val="32"/>
          <w:szCs w:val="32"/>
          <w:lang w:val="en-US" w:eastAsia="zh-CN"/>
        </w:rPr>
        <w:t>将工程建设项目审批服务办理数量、企业和群众的满意度等指标纳入各部门的绩效考核体系，激励各部门办件力度。不定期组织召开工程建设项目联合审批专题会议，重点对工程建设项目审批四个阶段及项目建设中的各类难点、堵点，攻坚克难，及时协调解决相关问题。</w:t>
      </w:r>
      <w:r>
        <w:rPr>
          <w:rFonts w:hint="eastAsia" w:ascii="Times New Roman" w:hAnsi="Times New Roman" w:eastAsia="仿宋_GB2312" w:cs="Times New Roman"/>
          <w:b/>
          <w:bCs w:val="0"/>
          <w:color w:val="000000"/>
          <w:sz w:val="32"/>
          <w:szCs w:val="32"/>
          <w:lang w:val="en-US" w:eastAsia="zh-CN"/>
        </w:rPr>
        <w:t>二是加强审批部门之间联动配合：</w:t>
      </w:r>
      <w:r>
        <w:rPr>
          <w:rFonts w:hint="eastAsia" w:ascii="Times New Roman" w:hAnsi="Times New Roman" w:eastAsia="仿宋_GB2312" w:cs="Times New Roman"/>
          <w:bCs/>
          <w:color w:val="000000"/>
          <w:sz w:val="32"/>
          <w:szCs w:val="32"/>
          <w:lang w:val="en-US" w:eastAsia="zh-CN"/>
        </w:rPr>
        <w:t>各部门严格落实《工程建设项目审批流程图》和《工程建设项目四个阶段审批事项清单》，各部门主动积极配合，做到应并尽并，对于无法界定能否并联办理的事项，及时向区工改办反映，由区工改办组织统筹，引导报建人员一并申请其他事项。</w:t>
      </w:r>
      <w:r>
        <w:rPr>
          <w:rFonts w:hint="eastAsia" w:ascii="Times New Roman" w:hAnsi="Times New Roman" w:eastAsia="仿宋_GB2312" w:cs="Times New Roman"/>
          <w:b/>
          <w:bCs w:val="0"/>
          <w:color w:val="000000"/>
          <w:sz w:val="32"/>
          <w:szCs w:val="32"/>
          <w:lang w:val="en-US" w:eastAsia="zh-CN"/>
        </w:rPr>
        <w:t>三是加强宣传工作：</w:t>
      </w:r>
      <w:r>
        <w:rPr>
          <w:rFonts w:hint="eastAsia" w:ascii="Times New Roman" w:hAnsi="Times New Roman" w:eastAsia="仿宋_GB2312" w:cs="Times New Roman"/>
          <w:bCs/>
          <w:color w:val="000000"/>
          <w:sz w:val="32"/>
          <w:szCs w:val="32"/>
          <w:lang w:val="en-US" w:eastAsia="zh-CN"/>
        </w:rPr>
        <w:t>工作人员持续做好工程建设项目每个阶段的并联事项审批，加强对并联审批的宣传力度，通过在政务服务大厅、水电气营业厅、政务服务网等公开办事指南，工程建设项目审批流程图等。</w:t>
      </w:r>
    </w:p>
    <w:p w14:paraId="603C9E39">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4.存在的问题：（1）虽已建立了智能化的一站式惠企政策兑现平台，但通过调研走访看，企业普遍认为政策宣传渠道不广，宣传方式单一，企业对政策知晓率低。</w:t>
      </w:r>
    </w:p>
    <w:p w14:paraId="0158F5F7">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下一步工作举措：</w:t>
      </w:r>
      <w:r>
        <w:rPr>
          <w:rFonts w:hint="eastAsia" w:ascii="Times New Roman" w:hAnsi="Times New Roman" w:eastAsia="仿宋_GB2312" w:cs="Times New Roman"/>
          <w:sz w:val="32"/>
          <w:szCs w:val="32"/>
          <w:lang w:eastAsia="zh-CN"/>
        </w:rPr>
        <w:t>加强惠企政策多渠道宣传，不仅在一站式惠企政策一站式平台上宣传，并通过微信、</w:t>
      </w:r>
      <w:r>
        <w:rPr>
          <w:rFonts w:hint="eastAsia" w:ascii="Times New Roman" w:hAnsi="Times New Roman" w:eastAsia="仿宋_GB2312" w:cs="Times New Roman"/>
          <w:sz w:val="32"/>
          <w:szCs w:val="32"/>
          <w:lang w:val="en-US" w:eastAsia="zh-CN"/>
        </w:rPr>
        <w:t>QQ、上门等方式进行宣传，不断提升企业对政策的知晓率。</w:t>
      </w:r>
    </w:p>
    <w:p w14:paraId="6793046D">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5.存在的问题：（2）中小微民营企业在一站式惠企政策兑现平台注册使用率不高，企业注册信息不详细、不完善，个别企业不愿意注册，认为平台注册不方便，导致政策匹配和精准推送效果不佳。</w:t>
      </w:r>
    </w:p>
    <w:p w14:paraId="288022DB">
      <w:pPr>
        <w:numPr>
          <w:ilvl w:val="0"/>
          <w:numId w:val="0"/>
        </w:numPr>
        <w:ind w:firstLine="64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下一步工作举措：一是重点</w:t>
      </w:r>
      <w:r>
        <w:rPr>
          <w:rFonts w:hint="eastAsia" w:ascii="Times New Roman" w:hAnsi="Times New Roman" w:eastAsia="仿宋_GB2312" w:cs="Times New Roman"/>
          <w:sz w:val="32"/>
          <w:szCs w:val="32"/>
          <w:lang w:eastAsia="zh-CN"/>
        </w:rPr>
        <w:t>加强中小微企业惠企政策宣传力度，通过高频率的宣传惠企政策和引导中小微企业在一站式惠企政策兑现平台注册使用并完善信息，通过帮办、代办等方式提高平台的使用率。</w:t>
      </w:r>
    </w:p>
    <w:p w14:paraId="63BED31B">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6.存在的问题：（3）惠企政策资金兑现不及时，部分企业反映，即使按要求申报了，兑现时间也相对较长。</w:t>
      </w:r>
    </w:p>
    <w:p w14:paraId="6192CA8D">
      <w:pPr>
        <w:numPr>
          <w:ilvl w:val="0"/>
          <w:numId w:val="0"/>
        </w:numPr>
        <w:ind w:firstLine="640"/>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sz w:val="32"/>
          <w:szCs w:val="32"/>
          <w:lang w:val="en-US" w:eastAsia="zh-CN"/>
        </w:rPr>
        <w:t>下一步工作举措：一是协调组织各部门对惠企政策宣传、政策执行、政策时效、资金兑现等方面存在的问题，通过召开推进会、专题会等方式深挖惠企政策落实堵点、难点根源，逐一分析研究，提出可行性解决措施，制定解决方案。二是全程跟踪督促惠企政策事项办理及兑现落实情况，协调敦促审批部门按时办结，并及时向企业反馈办理结果。对涉及惠企政策兑现问题的相关部门提出建议，持续跟进整改情况，对未按期整改的形成专题报告，报有关部门专项督办。促使惠企政策全兑现全落实，实现未兑现率清零。</w:t>
      </w:r>
    </w:p>
    <w:p w14:paraId="6CF664C9">
      <w:pPr>
        <w:numPr>
          <w:ilvl w:val="0"/>
          <w:numId w:val="0"/>
        </w:numPr>
        <w:ind w:firstLine="640" w:firstLineChars="200"/>
        <w:rPr>
          <w:rFonts w:hint="eastAsia" w:ascii="Times New Roman" w:hAnsi="Times New Roman" w:eastAsia="仿宋_GB2312" w:cs="Times New Roman"/>
          <w:bCs/>
          <w:color w:val="000000"/>
          <w:sz w:val="32"/>
          <w:szCs w:val="32"/>
          <w:lang w:val="en-US" w:eastAsia="zh-CN"/>
        </w:rPr>
      </w:pPr>
    </w:p>
    <w:p w14:paraId="187F930B">
      <w:pPr>
        <w:numPr>
          <w:ilvl w:val="0"/>
          <w:numId w:val="0"/>
        </w:numPr>
        <w:ind w:firstLine="640" w:firstLineChars="200"/>
        <w:rPr>
          <w:rFonts w:hint="eastAsia" w:ascii="Times New Roman" w:hAnsi="Times New Roman" w:eastAsia="仿宋_GB2312" w:cs="Times New Roman"/>
          <w:bCs/>
          <w:color w:val="000000"/>
          <w:sz w:val="32"/>
          <w:szCs w:val="32"/>
          <w:lang w:val="en-US" w:eastAsia="zh-CN"/>
        </w:rPr>
      </w:pPr>
    </w:p>
    <w:p w14:paraId="7125D832">
      <w:pPr>
        <w:numPr>
          <w:ilvl w:val="0"/>
          <w:numId w:val="0"/>
        </w:numPr>
        <w:ind w:firstLine="640" w:firstLineChars="200"/>
        <w:rPr>
          <w:rFonts w:hint="eastAsia" w:ascii="Times New Roman" w:hAnsi="Times New Roman" w:eastAsia="仿宋_GB2312" w:cs="Times New Roman"/>
          <w:bCs/>
          <w:color w:val="000000"/>
          <w:sz w:val="32"/>
          <w:szCs w:val="32"/>
          <w:lang w:val="en-US" w:eastAsia="zh-CN"/>
        </w:rPr>
      </w:pPr>
      <w:bookmarkStart w:id="0" w:name="_GoBack"/>
      <w:bookmarkEnd w:id="0"/>
    </w:p>
    <w:p w14:paraId="13E26A53">
      <w:pPr>
        <w:numPr>
          <w:ilvl w:val="0"/>
          <w:numId w:val="0"/>
        </w:numPr>
        <w:ind w:firstLine="640" w:firstLineChars="200"/>
        <w:jc w:val="right"/>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2024年10月30日</w:t>
      </w:r>
    </w:p>
    <w:p w14:paraId="4AF59A65">
      <w:pPr>
        <w:numPr>
          <w:ilvl w:val="0"/>
          <w:numId w:val="0"/>
        </w:numPr>
        <w:ind w:firstLine="640" w:firstLineChars="200"/>
        <w:rPr>
          <w:rFonts w:hint="eastAsia" w:ascii="Times New Roman" w:hAnsi="Times New Roman" w:eastAsia="仿宋_GB2312"/>
          <w:sz w:val="32"/>
          <w:szCs w:val="32"/>
          <w:lang w:val="en-US" w:eastAsia="zh-CN"/>
        </w:rPr>
      </w:pPr>
    </w:p>
    <w:p w14:paraId="21A35DE8">
      <w:pPr>
        <w:numPr>
          <w:ilvl w:val="0"/>
          <w:numId w:val="0"/>
        </w:numPr>
        <w:ind w:leftChars="200"/>
        <w:rPr>
          <w:rFonts w:hint="default" w:ascii="Times New Roman" w:hAnsi="Times New Roman" w:eastAsia="仿宋_GB2312" w:cs="Times New Roman"/>
          <w:bCs/>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ZWNiNTJhMjg0Yzg0ZWNmOTBhMGJiNzVjMTYwOTMifQ=="/>
  </w:docVars>
  <w:rsids>
    <w:rsidRoot w:val="3D4B49A5"/>
    <w:rsid w:val="0107397E"/>
    <w:rsid w:val="094C1D4E"/>
    <w:rsid w:val="120243F3"/>
    <w:rsid w:val="161810CD"/>
    <w:rsid w:val="17920BDE"/>
    <w:rsid w:val="1E051BBE"/>
    <w:rsid w:val="23CB7951"/>
    <w:rsid w:val="2551032A"/>
    <w:rsid w:val="25E76840"/>
    <w:rsid w:val="292C49EE"/>
    <w:rsid w:val="32C81181"/>
    <w:rsid w:val="3D4B49A5"/>
    <w:rsid w:val="3DA86637"/>
    <w:rsid w:val="3F31534A"/>
    <w:rsid w:val="49A560E6"/>
    <w:rsid w:val="4EB61E30"/>
    <w:rsid w:val="58B06CAB"/>
    <w:rsid w:val="602045A6"/>
    <w:rsid w:val="6C0C3C30"/>
    <w:rsid w:val="6E267CF8"/>
    <w:rsid w:val="70831BEB"/>
    <w:rsid w:val="73085176"/>
    <w:rsid w:val="73E615D0"/>
    <w:rsid w:val="74EC7684"/>
    <w:rsid w:val="78C7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next w:val="1"/>
    <w:qFormat/>
    <w:uiPriority w:val="0"/>
    <w:pPr>
      <w:spacing w:after="0"/>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2358</Words>
  <Characters>2378</Characters>
  <Lines>0</Lines>
  <Paragraphs>0</Paragraphs>
  <TotalTime>16</TotalTime>
  <ScaleCrop>false</ScaleCrop>
  <LinksUpToDate>false</LinksUpToDate>
  <CharactersWithSpaces>2382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2024-10-28T02:06:00Z</dcterms:created>
  <dc:creator>WPS_1552390919</dc:creator>
  <cp:lastModifiedBy>WPS_1552390919</cp:lastModifiedBy>
  <dcterms:modified xsi:type="dcterms:W3CDTF">2024-10-30T01:44:27Z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013378D6DB96403FA7CBB54F8973D1C1_13</vt:lpwstr>
  </property>
</Properties>
</file>