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569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12878E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679998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5566B5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1D3C31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广元市昭化区行政审批和数据局</w:t>
      </w:r>
    </w:p>
    <w:p w14:paraId="743CD6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5E09054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05F73BBF">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10553D23">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3AE6F73F">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29D792F3">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5D70330F">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75969C0C">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01C0977F">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07D60BD0">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266B87A6">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p w14:paraId="591E684C">
      <w:p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p>
    <w:sdt>
      <w:sdtPr>
        <w:rPr>
          <w:rFonts w:hint="eastAsia" w:ascii="黑体" w:hAnsi="黑体" w:eastAsia="黑体" w:cs="黑体"/>
          <w:color w:val="auto"/>
          <w:kern w:val="2"/>
          <w:sz w:val="44"/>
          <w:szCs w:val="44"/>
          <w:lang w:val="en-US" w:eastAsia="zh-CN" w:bidi="ar-SA"/>
        </w:rPr>
        <w:id w:val="147473290"/>
        <w15:color w:val="DBDBDB"/>
        <w:docPartObj>
          <w:docPartGallery w:val="Table of Contents"/>
          <w:docPartUnique/>
        </w:docPartObj>
      </w:sdtPr>
      <w:sdtEndPr>
        <w:rPr>
          <w:rFonts w:hint="eastAsia" w:ascii="黑体" w:hAnsi="黑体" w:eastAsia="黑体" w:cs="黑体"/>
          <w:b/>
          <w:bCs w:val="0"/>
          <w:i w:val="0"/>
          <w:caps w:val="0"/>
          <w:color w:val="000000" w:themeColor="text1"/>
          <w:spacing w:val="0"/>
          <w:kern w:val="0"/>
          <w:sz w:val="21"/>
          <w:szCs w:val="32"/>
          <w:highlight w:val="none"/>
          <w:shd w:val="clear" w:color="auto" w:fill="FFFFFF"/>
          <w:lang w:val="en-US" w:eastAsia="zh-CN" w:bidi="ar-SA"/>
          <w14:textFill>
            <w14:solidFill>
              <w14:schemeClr w14:val="tx1"/>
            </w14:solidFill>
          </w14:textFill>
        </w:rPr>
      </w:sdtEndPr>
      <w:sdtContent>
        <w:p w14:paraId="39C53748">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349133C5">
          <w:pPr>
            <w:pStyle w:val="19"/>
            <w:tabs>
              <w:tab w:val="right" w:leader="dot" w:pos="8845"/>
            </w:tabs>
          </w:pPr>
          <w:r>
            <w:rPr>
              <w:rFonts w:hint="eastAsia" w:ascii="黑体" w:hAnsi="黑体" w:eastAsia="黑体" w:cs="黑体"/>
              <w:bCs w:val="0"/>
              <w:i w:val="0"/>
              <w:caps w:val="0"/>
              <w:color w:val="000000" w:themeColor="text1"/>
              <w:spacing w:val="0"/>
              <w:kern w:val="0"/>
              <w:sz w:val="21"/>
              <w:szCs w:val="32"/>
              <w:highlight w:val="none"/>
              <w:lang w:val="en-US" w:eastAsia="zh-CN"/>
              <w14:textFill>
                <w14:solidFill>
                  <w14:schemeClr w14:val="tx1"/>
                </w14:solidFill>
              </w14:textFill>
            </w:rPr>
            <w:fldChar w:fldCharType="begin"/>
          </w:r>
          <w:r>
            <w:rPr>
              <w:rFonts w:hint="eastAsia" w:ascii="黑体" w:hAnsi="黑体" w:eastAsia="黑体" w:cs="黑体"/>
              <w:bCs w:val="0"/>
              <w:i w:val="0"/>
              <w:caps w:val="0"/>
              <w:color w:val="000000" w:themeColor="text1"/>
              <w:spacing w:val="0"/>
              <w:kern w:val="0"/>
              <w:sz w:val="21"/>
              <w:szCs w:val="32"/>
              <w:highlight w:val="none"/>
              <w:lang w:val="en-US" w:eastAsia="zh-CN"/>
              <w14:textFill>
                <w14:solidFill>
                  <w14:schemeClr w14:val="tx1"/>
                </w14:solidFill>
              </w14:textFill>
            </w:rPr>
            <w:instrText xml:space="preserve">TOC \o "1-2" \h \u</w:instrText>
          </w:r>
          <w:r>
            <w:rPr>
              <w:rFonts w:hint="eastAsia" w:ascii="黑体" w:hAnsi="黑体" w:eastAsia="黑体" w:cs="黑体"/>
              <w:bCs w:val="0"/>
              <w:i w:val="0"/>
              <w:caps w:val="0"/>
              <w:color w:val="000000" w:themeColor="text1"/>
              <w:spacing w:val="0"/>
              <w:kern w:val="0"/>
              <w:sz w:val="21"/>
              <w:szCs w:val="32"/>
              <w:highlight w:val="none"/>
              <w:shd w:val="clear" w:color="auto" w:fill="FFFFFF"/>
              <w:lang w:val="en-US" w:eastAsia="zh-CN"/>
              <w14:textFill>
                <w14:solidFill>
                  <w14:schemeClr w14:val="tx1"/>
                </w14:solidFill>
              </w14:textFill>
            </w:rPr>
            <w:fldChar w:fldCharType="separate"/>
          </w:r>
        </w:p>
        <w:p w14:paraId="27A4D9AB">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default" w:ascii="仿宋_GB2312" w:hAnsi="仿宋_GB2312" w:eastAsia="仿宋_GB2312" w:cs="仿宋_GB2312"/>
              <w:b w:val="0"/>
              <w:bCs/>
              <w:sz w:val="32"/>
              <w:szCs w:val="32"/>
              <w:lang w:val="en-US"/>
            </w:rPr>
          </w:pPr>
          <w:r>
            <w:fldChar w:fldCharType="begin"/>
          </w:r>
          <w:r>
            <w:instrText xml:space="preserve"> HYPERLINK \l "_Toc21748" </w:instrText>
          </w:r>
          <w:r>
            <w:fldChar w:fldCharType="separate"/>
          </w:r>
          <w:r>
            <w:rPr>
              <w:rFonts w:hint="eastAsia" w:ascii="仿宋_GB2312" w:hAnsi="仿宋_GB2312" w:eastAsia="仿宋_GB2312" w:cs="仿宋_GB2312"/>
              <w:b w:val="0"/>
              <w:bCs/>
              <w:sz w:val="32"/>
              <w:szCs w:val="32"/>
              <w:lang w:val="en-US" w:eastAsia="zh-CN"/>
            </w:rPr>
            <w:t>一、基本职能及主要工作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p>
        <w:p w14:paraId="2195CF73">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default" w:ascii="仿宋_GB2312" w:hAnsi="仿宋_GB2312" w:eastAsia="仿宋_GB2312" w:cs="仿宋_GB2312"/>
              <w:b w:val="0"/>
              <w:bCs/>
              <w:sz w:val="32"/>
              <w:szCs w:val="32"/>
              <w:lang w:val="en-US"/>
            </w:rPr>
          </w:pPr>
          <w:r>
            <w:fldChar w:fldCharType="begin"/>
          </w:r>
          <w:r>
            <w:instrText xml:space="preserve"> HYPERLINK \l "_Toc4041" </w:instrText>
          </w:r>
          <w:r>
            <w:fldChar w:fldCharType="separate"/>
          </w: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lang w:val="en-US" w:eastAsia="zh-CN"/>
            </w:rPr>
            <w:t>昭化区行政审批和数据局</w:t>
          </w:r>
          <w:r>
            <w:rPr>
              <w:rFonts w:hint="eastAsia" w:ascii="仿宋_GB2312" w:hAnsi="仿宋_GB2312" w:eastAsia="仿宋_GB2312" w:cs="仿宋_GB2312"/>
              <w:b w:val="0"/>
              <w:bCs/>
              <w:sz w:val="32"/>
              <w:szCs w:val="32"/>
            </w:rPr>
            <w:t>职能简介</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i w:val="0"/>
              <w:caps w:val="0"/>
              <w:color w:val="000000" w:themeColor="text1"/>
              <w:spacing w:val="0"/>
              <w:kern w:val="0"/>
              <w:sz w:val="32"/>
              <w:szCs w:val="32"/>
              <w:highlight w:val="none"/>
              <w:shd w:val="clear" w:color="auto" w:fill="FFFFFF"/>
              <w:lang w:val="en-US" w:eastAsia="zh-CN"/>
              <w14:textFill>
                <w14:solidFill>
                  <w14:schemeClr w14:val="tx1"/>
                </w14:solidFill>
              </w14:textFill>
            </w:rPr>
            <w:t>1</w:t>
          </w:r>
        </w:p>
        <w:p w14:paraId="4F811C49">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"_Toc11326" </w:instrText>
          </w:r>
          <w:r>
            <w:fldChar w:fldCharType="separate"/>
          </w:r>
          <w:r>
            <w:rPr>
              <w:rFonts w:hint="eastAsia"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lang w:val="en-US" w:eastAsia="zh-CN"/>
            </w:rPr>
            <w:t>昭化区行政审批和数据局2025年重点工作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CN"/>
            </w:rPr>
            <w:fldChar w:fldCharType="end"/>
          </w:r>
        </w:p>
        <w:p w14:paraId="7E00F8BA">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"_Toc14387" </w:instrText>
          </w:r>
          <w:r>
            <w:fldChar w:fldCharType="separate"/>
          </w:r>
          <w:r>
            <w:rPr>
              <w:rFonts w:hint="eastAsia" w:ascii="仿宋_GB2312" w:hAnsi="仿宋_GB2312" w:eastAsia="仿宋_GB2312" w:cs="仿宋_GB2312"/>
              <w:b w:val="0"/>
              <w:bCs/>
              <w:sz w:val="32"/>
              <w:szCs w:val="32"/>
              <w:lang w:val="en-US" w:eastAsia="zh-CN"/>
            </w:rPr>
            <w:t>二、部门预算单位构成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CN"/>
            </w:rPr>
            <w:fldChar w:fldCharType="end"/>
          </w:r>
        </w:p>
        <w:p w14:paraId="30C4FACE">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"_Toc22474" </w:instrText>
          </w:r>
          <w:r>
            <w:fldChar w:fldCharType="separate"/>
          </w:r>
          <w:r>
            <w:rPr>
              <w:rFonts w:hint="eastAsia" w:ascii="仿宋_GB2312" w:hAnsi="仿宋_GB2312" w:eastAsia="仿宋_GB2312" w:cs="仿宋_GB2312"/>
              <w:b w:val="0"/>
              <w:bCs/>
              <w:sz w:val="32"/>
              <w:szCs w:val="32"/>
              <w:lang w:val="en-US" w:eastAsia="zh-CN"/>
            </w:rPr>
            <w:t>三、收支预算情况说明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CN"/>
            </w:rPr>
            <w:fldChar w:fldCharType="end"/>
          </w:r>
        </w:p>
        <w:p w14:paraId="0AF3720A">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"_Toc14417" </w:instrText>
          </w:r>
          <w:r>
            <w:fldChar w:fldCharType="separate"/>
          </w:r>
          <w:r>
            <w:rPr>
              <w:rFonts w:hint="eastAsia" w:ascii="仿宋_GB2312" w:hAnsi="仿宋_GB2312" w:eastAsia="仿宋_GB2312" w:cs="仿宋_GB2312"/>
              <w:b w:val="0"/>
              <w:bCs/>
              <w:sz w:val="32"/>
              <w:szCs w:val="32"/>
              <w:lang w:val="en-US" w:eastAsia="zh-CN"/>
            </w:rPr>
            <w:t>（一）收入预算情况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fldChar w:fldCharType="end"/>
          </w:r>
        </w:p>
        <w:p w14:paraId="5D51D0F2">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"_Toc31688" </w:instrText>
          </w:r>
          <w:r>
            <w:fldChar w:fldCharType="separate"/>
          </w:r>
          <w:r>
            <w:rPr>
              <w:rFonts w:hint="eastAsia" w:ascii="仿宋_GB2312" w:hAnsi="仿宋_GB2312" w:eastAsia="仿宋_GB2312" w:cs="仿宋_GB2312"/>
              <w:b w:val="0"/>
              <w:bCs/>
              <w:sz w:val="32"/>
              <w:szCs w:val="32"/>
              <w:lang w:val="en-US" w:eastAsia="zh-CN"/>
            </w:rPr>
            <w:t>（二）支出预算情况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fldChar w:fldCharType="end"/>
          </w:r>
        </w:p>
        <w:p w14:paraId="2984061F">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"_Toc22894" </w:instrText>
          </w:r>
          <w:r>
            <w:fldChar w:fldCharType="separate"/>
          </w:r>
          <w:r>
            <w:rPr>
              <w:rFonts w:hint="eastAsia" w:ascii="仿宋_GB2312" w:hAnsi="仿宋_GB2312" w:eastAsia="仿宋_GB2312" w:cs="仿宋_GB2312"/>
              <w:b w:val="0"/>
              <w:bCs/>
              <w:sz w:val="32"/>
              <w:szCs w:val="32"/>
              <w:lang w:val="en-US" w:eastAsia="zh-CN"/>
            </w:rPr>
            <w:t>四、财政拨款收支预算情况说明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fldChar w:fldCharType="end"/>
          </w:r>
        </w:p>
        <w:p w14:paraId="424ADD06">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"_Toc714" </w:instrText>
          </w:r>
          <w:r>
            <w:fldChar w:fldCharType="separate"/>
          </w:r>
          <w:r>
            <w:rPr>
              <w:rFonts w:hint="eastAsia" w:ascii="仿宋_GB2312" w:hAnsi="仿宋_GB2312" w:eastAsia="仿宋_GB2312" w:cs="仿宋_GB2312"/>
              <w:b w:val="0"/>
              <w:bCs/>
              <w:sz w:val="32"/>
              <w:szCs w:val="32"/>
              <w:lang w:val="en-US" w:eastAsia="zh-CN"/>
            </w:rPr>
            <w:t>五、一般公共预算当年拨款情况说明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fldChar w:fldCharType="end"/>
          </w:r>
        </w:p>
        <w:p w14:paraId="16583BB3">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"_Toc20608" </w:instrText>
          </w:r>
          <w:r>
            <w:fldChar w:fldCharType="separate"/>
          </w:r>
          <w:r>
            <w:rPr>
              <w:rFonts w:hint="eastAsia" w:ascii="仿宋_GB2312" w:hAnsi="仿宋_GB2312" w:eastAsia="仿宋_GB2312" w:cs="仿宋_GB2312"/>
              <w:b w:val="0"/>
              <w:bCs/>
              <w:sz w:val="32"/>
              <w:szCs w:val="32"/>
              <w:lang w:val="en-US" w:eastAsia="zh-CN"/>
            </w:rPr>
            <w:t>（一）一般公共预算当年拨款规模变化情况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fldChar w:fldCharType="end"/>
          </w:r>
        </w:p>
        <w:p w14:paraId="6DF42E52">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"_Toc6125" </w:instrText>
          </w:r>
          <w:r>
            <w:fldChar w:fldCharType="separate"/>
          </w:r>
          <w:r>
            <w:rPr>
              <w:rFonts w:hint="eastAsia" w:ascii="仿宋_GB2312" w:hAnsi="仿宋_GB2312" w:eastAsia="仿宋_GB2312" w:cs="仿宋_GB2312"/>
              <w:b w:val="0"/>
              <w:bCs/>
              <w:sz w:val="32"/>
              <w:szCs w:val="32"/>
              <w:lang w:val="en-US" w:eastAsia="zh-CN"/>
            </w:rPr>
            <w:t>（二）一般公共预算当年拨款结构情况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val="en-US" w:eastAsia="zh-CN"/>
            </w:rPr>
            <w:fldChar w:fldCharType="end"/>
          </w:r>
        </w:p>
        <w:p w14:paraId="704630CF">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"_Toc17960" </w:instrText>
          </w:r>
          <w:r>
            <w:fldChar w:fldCharType="separate"/>
          </w:r>
          <w:r>
            <w:rPr>
              <w:rFonts w:hint="eastAsia" w:ascii="仿宋_GB2312" w:hAnsi="仿宋_GB2312" w:eastAsia="仿宋_GB2312" w:cs="仿宋_GB2312"/>
              <w:b w:val="0"/>
              <w:bCs/>
              <w:sz w:val="32"/>
              <w:szCs w:val="32"/>
              <w:lang w:val="en-US" w:eastAsia="zh-CN"/>
            </w:rPr>
            <w:t>（三）一般公共预算当年拨款具体使用情况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fldChar w:fldCharType="end"/>
          </w:r>
        </w:p>
        <w:p w14:paraId="1A4719E9">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"_Toc11109" </w:instrText>
          </w:r>
          <w:r>
            <w:fldChar w:fldCharType="separate"/>
          </w:r>
          <w:r>
            <w:rPr>
              <w:rFonts w:hint="eastAsia" w:ascii="仿宋_GB2312" w:hAnsi="仿宋_GB2312" w:eastAsia="仿宋_GB2312" w:cs="仿宋_GB2312"/>
              <w:b w:val="0"/>
              <w:bCs/>
              <w:sz w:val="32"/>
              <w:szCs w:val="32"/>
              <w:lang w:val="en-US" w:eastAsia="zh-CN"/>
            </w:rPr>
            <w:t>六、一般公共预算基本支出情况说明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fldChar w:fldCharType="end"/>
          </w:r>
        </w:p>
        <w:p w14:paraId="51259D81">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"_Toc29586" </w:instrText>
          </w:r>
          <w:r>
            <w:fldChar w:fldCharType="separate"/>
          </w:r>
          <w:r>
            <w:rPr>
              <w:rFonts w:hint="eastAsia" w:ascii="仿宋_GB2312" w:hAnsi="仿宋_GB2312" w:eastAsia="仿宋_GB2312" w:cs="仿宋_GB2312"/>
              <w:b w:val="0"/>
              <w:bCs/>
              <w:sz w:val="32"/>
              <w:szCs w:val="32"/>
              <w:lang w:val="en-US" w:eastAsia="zh-CN"/>
            </w:rPr>
            <w:t>七、“三公”经费财政拨款预算安排情况说明</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fldChar w:fldCharType="end"/>
          </w:r>
        </w:p>
        <w:p w14:paraId="64E0FE0B">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rPr>
          </w:pPr>
          <w:r>
            <w:fldChar w:fldCharType="begin"/>
          </w:r>
          <w:r>
            <w:instrText xml:space="preserve"> HYPERLINK \l "_Toc7242" </w:instrText>
          </w:r>
          <w:r>
            <w:fldChar w:fldCharType="separate"/>
          </w:r>
          <w:r>
            <w:rPr>
              <w:rFonts w:hint="eastAsia" w:ascii="仿宋_GB2312" w:hAnsi="仿宋_GB2312" w:eastAsia="仿宋_GB2312" w:cs="仿宋_GB2312"/>
              <w:b w:val="0"/>
              <w:bCs/>
              <w:sz w:val="32"/>
              <w:szCs w:val="32"/>
              <w:lang w:val="en-US" w:eastAsia="zh-CN"/>
            </w:rPr>
            <w:t>（一）公务接待费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fldChar w:fldCharType="end"/>
          </w:r>
        </w:p>
        <w:p w14:paraId="76E43219">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sz w:val="32"/>
              <w:szCs w:val="32"/>
              <w:lang w:eastAsia="zh-CN"/>
            </w:rPr>
          </w:pPr>
          <w:r>
            <w:fldChar w:fldCharType="begin"/>
          </w:r>
          <w:r>
            <w:instrText xml:space="preserve"> HYPERLINK \l "_Toc9109" </w:instrText>
          </w:r>
          <w:r>
            <w:fldChar w:fldCharType="separate"/>
          </w:r>
          <w:r>
            <w:rPr>
              <w:rFonts w:hint="eastAsia" w:ascii="仿宋_GB2312" w:hAnsi="仿宋_GB2312" w:eastAsia="仿宋_GB2312" w:cs="仿宋_GB2312"/>
              <w:b w:val="0"/>
              <w:bCs/>
              <w:sz w:val="32"/>
              <w:szCs w:val="32"/>
              <w:lang w:val="en-US" w:eastAsia="zh-CN"/>
            </w:rPr>
            <w:t>（二）公务用车购置及运行维护费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en-US" w:eastAsia="zh-CN"/>
            </w:rPr>
            <w:t>7</w:t>
          </w:r>
        </w:p>
        <w:p w14:paraId="018BE52A">
          <w:pPr>
            <w:pStyle w:val="19"/>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val="0"/>
              <w:sz w:val="32"/>
              <w:szCs w:val="32"/>
              <w:lang w:eastAsia="zh-CN"/>
            </w:rPr>
          </w:pPr>
          <w:r>
            <w:fldChar w:fldCharType="begin"/>
          </w:r>
          <w:r>
            <w:instrText xml:space="preserve"> HYPERLINK \l "_Toc14801" </w:instrText>
          </w:r>
          <w:r>
            <w:fldChar w:fldCharType="separate"/>
          </w:r>
          <w:r>
            <w:rPr>
              <w:rFonts w:hint="eastAsia" w:ascii="仿宋_GB2312" w:hAnsi="仿宋_GB2312" w:eastAsia="仿宋_GB2312" w:cs="仿宋_GB2312"/>
              <w:b w:val="0"/>
              <w:bCs w:val="0"/>
              <w:sz w:val="32"/>
              <w:szCs w:val="32"/>
              <w:lang w:val="en-US" w:eastAsia="zh-CN"/>
            </w:rPr>
            <w:t>（三）因公出国（境）经费</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7</w:t>
          </w:r>
        </w:p>
        <w:p w14:paraId="5F722B90">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val="0"/>
              <w:sz w:val="32"/>
              <w:szCs w:val="32"/>
            </w:rPr>
          </w:pPr>
          <w:r>
            <w:fldChar w:fldCharType="begin"/>
          </w:r>
          <w:r>
            <w:instrText xml:space="preserve"> HYPERLINK \l "_Toc8569" </w:instrText>
          </w:r>
          <w:r>
            <w:fldChar w:fldCharType="separate"/>
          </w:r>
          <w:r>
            <w:rPr>
              <w:rFonts w:hint="eastAsia" w:ascii="仿宋_GB2312" w:hAnsi="仿宋_GB2312" w:eastAsia="仿宋_GB2312" w:cs="仿宋_GB2312"/>
              <w:b w:val="0"/>
              <w:bCs w:val="0"/>
              <w:sz w:val="32"/>
              <w:szCs w:val="32"/>
              <w:lang w:val="en-US" w:eastAsia="zh-CN"/>
            </w:rPr>
            <w:t>八、政府性基金预算支出情况说明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fldChar w:fldCharType="end"/>
          </w:r>
        </w:p>
        <w:p w14:paraId="00152643">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val="0"/>
              <w:sz w:val="32"/>
              <w:szCs w:val="32"/>
            </w:rPr>
          </w:pPr>
          <w:r>
            <w:fldChar w:fldCharType="begin"/>
          </w:r>
          <w:r>
            <w:instrText xml:space="preserve"> HYPERLINK \l "_Toc8028" </w:instrText>
          </w:r>
          <w:r>
            <w:fldChar w:fldCharType="separate"/>
          </w:r>
          <w:r>
            <w:rPr>
              <w:rFonts w:hint="eastAsia" w:ascii="仿宋_GB2312" w:hAnsi="仿宋_GB2312" w:eastAsia="仿宋_GB2312" w:cs="仿宋_GB2312"/>
              <w:b w:val="0"/>
              <w:bCs w:val="0"/>
              <w:sz w:val="32"/>
              <w:szCs w:val="32"/>
              <w:lang w:val="en-US" w:eastAsia="zh-CN"/>
            </w:rPr>
            <w:t>九、国有资本经营预算支出情况说明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fldChar w:fldCharType="end"/>
          </w:r>
        </w:p>
        <w:p w14:paraId="59E1BD21">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val="0"/>
              <w:sz w:val="32"/>
              <w:szCs w:val="32"/>
            </w:rPr>
          </w:pPr>
          <w:r>
            <w:fldChar w:fldCharType="begin"/>
          </w:r>
          <w:r>
            <w:instrText xml:space="preserve"> HYPERLINK \l "_Toc11088" </w:instrText>
          </w:r>
          <w:r>
            <w:fldChar w:fldCharType="separate"/>
          </w:r>
          <w:r>
            <w:rPr>
              <w:rFonts w:hint="eastAsia" w:ascii="仿宋_GB2312" w:hAnsi="仿宋_GB2312" w:eastAsia="仿宋_GB2312" w:cs="仿宋_GB2312"/>
              <w:b w:val="0"/>
              <w:bCs w:val="0"/>
              <w:sz w:val="32"/>
              <w:szCs w:val="32"/>
              <w:lang w:val="en-US" w:eastAsia="zh-CN"/>
            </w:rPr>
            <w:t>十、其他重要事项的情况说明</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fldChar w:fldCharType="end"/>
          </w:r>
        </w:p>
        <w:p w14:paraId="55AB845B">
          <w:pPr>
            <w:pStyle w:val="20"/>
            <w:keepNext w:val="0"/>
            <w:keepLines w:val="0"/>
            <w:pageBreakBefore w:val="0"/>
            <w:widowControl/>
            <w:tabs>
              <w:tab w:val="right" w:leader="dot" w:pos="8845"/>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val="0"/>
              <w:sz w:val="32"/>
              <w:szCs w:val="32"/>
            </w:rPr>
          </w:pPr>
          <w:r>
            <w:fldChar w:fldCharType="begin"/>
          </w:r>
          <w:r>
            <w:instrText xml:space="preserve"> HYPERLINK \l "_Toc24085" </w:instrText>
          </w:r>
          <w:r>
            <w:fldChar w:fldCharType="separate"/>
          </w:r>
          <w:r>
            <w:rPr>
              <w:rFonts w:hint="eastAsia" w:ascii="仿宋_GB2312" w:hAnsi="仿宋_GB2312" w:eastAsia="仿宋_GB2312" w:cs="仿宋_GB2312"/>
              <w:b w:val="0"/>
              <w:bCs w:val="0"/>
              <w:sz w:val="32"/>
              <w:szCs w:val="32"/>
              <w:lang w:val="en-US" w:eastAsia="zh-CN"/>
            </w:rPr>
            <w:t>十一、名词解释</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CN"/>
            </w:rPr>
            <w:fldChar w:fldCharType="end"/>
          </w:r>
        </w:p>
        <w:p w14:paraId="76B86FF9">
          <w:pPr>
            <w:jc w:val="center"/>
            <w:rPr>
              <w:rFonts w:hint="eastAsia" w:ascii="黑体" w:hAnsi="黑体" w:eastAsia="黑体" w:cs="黑体"/>
              <w:b/>
              <w:bCs w:val="0"/>
              <w:i w:val="0"/>
              <w:caps w:val="0"/>
              <w:color w:val="000000" w:themeColor="text1"/>
              <w:spacing w:val="0"/>
              <w:kern w:val="0"/>
              <w:sz w:val="21"/>
              <w:szCs w:val="32"/>
              <w:highlight w:val="none"/>
              <w:shd w:val="clear" w:color="auto" w:fill="FFFFFF"/>
              <w:lang w:val="en-US" w:eastAsia="zh-CN"/>
              <w14:textFill>
                <w14:solidFill>
                  <w14:schemeClr w14:val="tx1"/>
                </w14:solidFill>
              </w14:textFill>
            </w:rPr>
          </w:pPr>
          <w:r>
            <w:rPr>
              <w:rFonts w:hint="eastAsia" w:ascii="黑体" w:hAnsi="黑体" w:eastAsia="黑体" w:cs="黑体"/>
              <w:b/>
              <w:bCs w:val="0"/>
              <w:i w:val="0"/>
              <w:caps w:val="0"/>
              <w:color w:val="000000" w:themeColor="text1"/>
              <w:spacing w:val="0"/>
              <w:kern w:val="0"/>
              <w:szCs w:val="32"/>
              <w:highlight w:val="none"/>
              <w:shd w:val="clear" w:color="auto" w:fill="FFFFFF"/>
              <w:lang w:val="en-US" w:eastAsia="zh-CN"/>
              <w14:textFill>
                <w14:solidFill>
                  <w14:schemeClr w14:val="tx1"/>
                </w14:solidFill>
              </w14:textFill>
            </w:rPr>
            <w:fldChar w:fldCharType="end"/>
          </w:r>
        </w:p>
      </w:sdtContent>
    </w:sdt>
    <w:p w14:paraId="2DD5E2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p>
    <w:p w14:paraId="5D3351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黑体" w:hAnsi="黑体" w:eastAsia="黑体" w:cs="黑体"/>
          <w:sz w:val="32"/>
          <w:szCs w:val="32"/>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r>
        <w:rPr>
          <w:rFonts w:hint="eastAsia" w:ascii="黑体" w:hAnsi="黑体" w:eastAsia="黑体" w:cs="黑体"/>
          <w:sz w:val="32"/>
          <w:szCs w:val="32"/>
          <w:lang w:val="en-US" w:eastAsia="zh-CN"/>
        </w:rPr>
        <w:t>一、基本职能及主要工作</w:t>
      </w:r>
    </w:p>
    <w:p w14:paraId="0E1017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 w:hAnsi="楷体" w:eastAsia="楷体" w:cs="楷体"/>
          <w:b w:val="0"/>
          <w:bCs/>
          <w:sz w:val="32"/>
          <w:szCs w:val="32"/>
          <w:lang w:val="en-US" w:eastAsia="zh-CN"/>
        </w:rPr>
        <w:t>昭化区行政审批和数据局</w:t>
      </w:r>
      <w:r>
        <w:rPr>
          <w:rFonts w:hint="eastAsia" w:ascii="楷体_GB2312" w:hAnsi="楷体_GB2312" w:eastAsia="楷体_GB2312" w:cs="楷体_GB2312"/>
          <w:sz w:val="32"/>
          <w:szCs w:val="32"/>
        </w:rPr>
        <w:t>职能简介</w:t>
      </w:r>
    </w:p>
    <w:p w14:paraId="7C91AC7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en-US"/>
        </w:rPr>
        <w:t>贯彻落实国家、省、市有关行政审批制度改革决策部署，制定完善行政审批工作机制和监管机制，健全完善行政审批服务体系。</w:t>
      </w:r>
    </w:p>
    <w:p w14:paraId="2145A5E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en-US"/>
        </w:rPr>
        <w:t>负责行政许可事项的清理、承接、保留、下放、取消及动态调整。</w:t>
      </w:r>
    </w:p>
    <w:p w14:paraId="2AA992A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en-US"/>
        </w:rPr>
        <w:t>负责区级部门划转和上级部门下放、委托的行政许可事项的审批和相关行政服务事项的办理，并承担相应的法律责任。</w:t>
      </w:r>
    </w:p>
    <w:p w14:paraId="66A82630">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en-US"/>
        </w:rPr>
        <w:t>负责建立和完善高效便民的政务服务体系，推进“三集中、三到位”，建立健全政务服务工作机制，并组织实施。</w:t>
      </w:r>
    </w:p>
    <w:p w14:paraId="78907BE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en-US"/>
        </w:rPr>
        <w:t>负责对行政审批进行规范和优化，推进行政审批标准化建设和行政审批依法规范公开运行工作。</w:t>
      </w:r>
    </w:p>
    <w:p w14:paraId="050F34B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en-US"/>
        </w:rPr>
        <w:t>负责清理规范行政审批前置条件，对承担的行政许可事项和公共服务事项实行目录式管理，按程序进行动态调整。</w:t>
      </w:r>
    </w:p>
    <w:p w14:paraId="62B9161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en-US"/>
        </w:rPr>
        <w:t>负责对行政审批、政务服务行为进行预警监督检查。</w:t>
      </w:r>
    </w:p>
    <w:p w14:paraId="2B22838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en-US"/>
        </w:rPr>
        <w:t>负责乡镇（街道）便民服务中心、村（社区）便民服务站的业务指导和监督。</w:t>
      </w:r>
    </w:p>
    <w:p w14:paraId="460FEB9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en-US"/>
        </w:rPr>
        <w:t>负责政务服务平台网络信息化（含电子监察系统）的管理和维护。</w:t>
      </w:r>
    </w:p>
    <w:p w14:paraId="42FF9FD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en-US"/>
        </w:rPr>
        <w:t>负责对全区公共资源交易</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val="en-US" w:eastAsia="en-US"/>
        </w:rPr>
        <w:t>进行指导、协调和管理。</w:t>
      </w:r>
    </w:p>
    <w:p w14:paraId="1A59F08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en-US"/>
        </w:rPr>
        <w:t>履行党风廉政建设职责，健全完善惩防体系制度机制，建立行政权力公开透明的运行机制。</w:t>
      </w:r>
    </w:p>
    <w:p w14:paraId="1F652F5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en-US"/>
        </w:rPr>
        <w:t>承办区委和区政府交办的其他事项。</w:t>
      </w:r>
    </w:p>
    <w:p w14:paraId="289A55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b w:val="0"/>
          <w:bCs/>
          <w:color w:val="auto"/>
          <w:sz w:val="32"/>
          <w:szCs w:val="32"/>
          <w:lang w:val="en-US" w:eastAsia="zh-CN"/>
        </w:rPr>
        <w:t>昭化区行政审批和数据局</w:t>
      </w:r>
      <w:r>
        <w:rPr>
          <w:rFonts w:hint="eastAsia" w:ascii="楷体" w:hAnsi="楷体" w:eastAsia="楷体" w:cs="楷体"/>
          <w:color w:val="auto"/>
          <w:sz w:val="32"/>
          <w:szCs w:val="32"/>
          <w:lang w:val="en-US"/>
        </w:rPr>
        <w:t>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w:t>
      </w:r>
    </w:p>
    <w:p w14:paraId="679DBDBB">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深入推进高效办成“一件事”工作。进一步完善综合窗口运行管理机制，加强窗口工作人员的业务培训和考核管理，提高综合窗口的服务质量和效率。不断优化高效办成“一件事”主题套餐，根据企业和群众的需求，适时推出更多个性化、套餐式的一件事应用服务，并加强部门之间的协同配合，确保高效办成“一件事”工作顺利推进。</w:t>
      </w:r>
    </w:p>
    <w:p w14:paraId="5AD075B0">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w:t>
      </w:r>
      <w:r>
        <w:rPr>
          <w:rFonts w:hint="default" w:ascii="仿宋_GB2312" w:hAnsi="仿宋_GB2312" w:eastAsia="仿宋_GB2312" w:cs="仿宋_GB2312"/>
          <w:b w:val="0"/>
          <w:bCs w:val="0"/>
          <w:color w:val="auto"/>
          <w:kern w:val="2"/>
          <w:sz w:val="32"/>
          <w:szCs w:val="32"/>
          <w:lang w:val="en-US" w:eastAsia="zh-CN" w:bidi="ar-SA"/>
        </w:rPr>
        <w:t>持续提升涉企服务能力。持续推进工程建设项目审批服务“五制”模式，强化项目审批全过程日常监管，严格落实体外循环、隐性审批、超时办理等不规范审批行为的监督整治，探索推进无纸化、无感化审批，不断提升工程建设项目审批服务标准化、规范化、便利化水平。加大联合验收、并联验收、合并备案宣传力度，确保所有工程建设项目审批在“工改”系统（2.0版）审批运行。</w:t>
      </w:r>
    </w:p>
    <w:p w14:paraId="4843C5C9">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w:t>
      </w:r>
      <w:r>
        <w:rPr>
          <w:rFonts w:hint="default" w:ascii="仿宋_GB2312" w:hAnsi="仿宋_GB2312" w:eastAsia="仿宋_GB2312" w:cs="仿宋_GB2312"/>
          <w:b w:val="0"/>
          <w:bCs w:val="0"/>
          <w:color w:val="auto"/>
          <w:kern w:val="2"/>
          <w:sz w:val="32"/>
          <w:szCs w:val="32"/>
          <w:lang w:val="en-US" w:eastAsia="zh-CN" w:bidi="ar-SA"/>
        </w:rPr>
        <w:t>推进数字经济与实体经济融合发展。完善数字经济发展相关制度机制，找准数字经济发展定位，形成差异化、协同化发展布局。打通行业开放共享数据壁垒，创新数据应用能力，在保障数据安全可靠的同时挖掘数据应用价值。梳理掌握现有数据人才，加强对数字经济人才引进和培养，建立专业化数字干部队伍。根据市场需求，积极包装数字化项目，结合绿色家居产业城建设、现代农业园区建设等方面引进行业领军企业，形成规模化发展态势。</w:t>
      </w:r>
    </w:p>
    <w:p w14:paraId="363AC73F">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r>
        <w:rPr>
          <w:rFonts w:hint="default" w:ascii="仿宋_GB2312" w:hAnsi="仿宋_GB2312" w:eastAsia="仿宋_GB2312" w:cs="仿宋_GB2312"/>
          <w:b w:val="0"/>
          <w:bCs w:val="0"/>
          <w:color w:val="auto"/>
          <w:kern w:val="2"/>
          <w:sz w:val="32"/>
          <w:szCs w:val="32"/>
          <w:lang w:val="en-US" w:eastAsia="zh-CN" w:bidi="ar-SA"/>
        </w:rPr>
        <w:t>深化“一网通办”改革。常态化完成一体化平台数据更新，建立工作人员管理机制，完善平台账号管理制度，持续提升“互联网+监管”平台的应用能力。推进“天府通办”昭化分站点建设，持续拓宽“掌上办”“特色专区”建设深度，上线更多高频特色应用，推动更多政务服务事项好办、快办、全程网上办。</w:t>
      </w:r>
    </w:p>
    <w:p w14:paraId="6F022866">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w:t>
      </w:r>
      <w:r>
        <w:rPr>
          <w:rFonts w:hint="default" w:ascii="仿宋_GB2312" w:hAnsi="仿宋_GB2312" w:eastAsia="仿宋_GB2312" w:cs="仿宋_GB2312"/>
          <w:b w:val="0"/>
          <w:bCs w:val="0"/>
          <w:color w:val="auto"/>
          <w:kern w:val="2"/>
          <w:sz w:val="32"/>
          <w:szCs w:val="32"/>
          <w:lang w:val="en-US" w:eastAsia="zh-CN" w:bidi="ar-SA"/>
        </w:rPr>
        <w:t>持续高效开展公共资源交易服务。继续简化工作流程、压缩办事时限，创新工作举措，提升服务效能，继续推动公共资源交易全流程电子化。用好省政府采购一体化平台，进一步降低交易成本，最大程度方便服务对象，实现公共资源交易高效、规范运作。积极落实政府采购助力中小企业发展优惠政策，助力打造最优营商环境。</w:t>
      </w:r>
    </w:p>
    <w:p w14:paraId="27190E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44603143">
      <w:pPr>
        <w:pStyle w:val="7"/>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昭化区行政审批和数据局下属二级预算单位0个，其中行政单位0个，参照公务员法管理的事业单位0个，其他事业单位0个。</w:t>
      </w:r>
    </w:p>
    <w:p w14:paraId="04E9C1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603A0FD8">
      <w:pPr>
        <w:pStyle w:val="7"/>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照综合预算的原则，昭化区行政审批和数据局所有收入和支出均纳入部门预算管理。收入包括：一般公共预算拨款收入；支出包括：一般公共服务支出、社会保障和就业支出、卫生健康支出、住房保障支出。昭化区行政审批和数据局2025年收支预算总数516.88万元,比2024年收支预算总数增加增加18.2万元，主要原因是人员工资、保险调资以及新增1名公务员。</w:t>
      </w:r>
    </w:p>
    <w:p w14:paraId="250AD6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（一）收入预算情况</w:t>
      </w:r>
    </w:p>
    <w:p w14:paraId="6031077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昭化区行政审批和数据局2025年收入预算516.88万元，其中：一般公共预算拨款收入516.88万元，占100%。</w:t>
      </w:r>
    </w:p>
    <w:p w14:paraId="4AB3DE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（二）支出预算情况</w:t>
      </w:r>
    </w:p>
    <w:p w14:paraId="68EE15A1">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auto"/>
          <w:sz w:val="32"/>
          <w:szCs w:val="32"/>
          <w:lang w:val="en-US" w:eastAsia="zh-CN"/>
        </w:rPr>
        <w:t>昭化区行政审批和数据局</w:t>
      </w:r>
      <w:r>
        <w:rPr>
          <w:rFonts w:hint="eastAsia" w:ascii="仿宋_GB2312" w:hAnsi="仿宋_GB2312" w:eastAsia="仿宋_GB2312" w:cs="仿宋_GB2312"/>
          <w:sz w:val="32"/>
          <w:szCs w:val="32"/>
          <w:lang w:val="en-US" w:eastAsia="zh-CN"/>
        </w:rPr>
        <w:t>2025年支出预算516.88万元，其中：基本支出292.88万元，占57%；项目支出224万元，占43%</w:t>
      </w:r>
      <w:r>
        <w:rPr>
          <w:rFonts w:hint="eastAsia" w:ascii="仿宋_GB2312" w:hAnsi="仿宋_GB2312" w:eastAsia="仿宋_GB2312" w:cs="仿宋_GB2312"/>
          <w:b w:val="0"/>
          <w:bCs w:val="0"/>
          <w:sz w:val="32"/>
          <w:szCs w:val="32"/>
          <w:lang w:val="en-US" w:eastAsia="zh-CN"/>
        </w:rPr>
        <w:t>。</w:t>
      </w:r>
    </w:p>
    <w:p w14:paraId="0269CC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5220B0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昭化区行政审批和数据局2025年财政拨款收支预算总数516.88万元,比2024年财政拨款收支预算总数增加18.2万元，主要原因是人员工资、保险调资以及新增1名公务员。</w:t>
      </w:r>
    </w:p>
    <w:p w14:paraId="7A71C4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收入包括：本年一般公共预算拨款收入516.88万元；支出包括：一般公共服务支出448.84万元、社会保障和就业支出</w:t>
      </w:r>
      <w:r>
        <w:rPr>
          <w:rFonts w:hint="eastAsia" w:ascii="仿宋_GB2312" w:hAnsi="仿宋_GB2312" w:eastAsia="仿宋_GB2312" w:cs="仿宋_GB2312"/>
          <w:color w:val="auto"/>
          <w:spacing w:val="-11"/>
          <w:sz w:val="32"/>
          <w:szCs w:val="32"/>
          <w:lang w:val="en-US" w:eastAsia="zh-CN"/>
        </w:rPr>
        <w:t>33.76万元、卫生健康支出11.11万元、住房保障支出23.17万元。</w:t>
      </w:r>
    </w:p>
    <w:p w14:paraId="3E6308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56ACB5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34F988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昭化区行政审批和数据局2025年一般公共预算当年拨款516.88万元，比2024年预算数增加18.2万元，主要原因是人员工资、保险调资以及新增1名公务员。</w:t>
      </w:r>
    </w:p>
    <w:p w14:paraId="6A9A28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4AD0351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一般公共服务支出448.84万元，占87%；社会保障和就业支出33.76万元，占7%；卫生健康支出11.11万元，占2%；住房保障支出23.17万元，占4%。</w:t>
      </w:r>
    </w:p>
    <w:p w14:paraId="548BC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4A3FD3F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1.一般公共服务（类）政府办公（厅）</w:t>
      </w:r>
      <w:bookmarkStart w:id="0" w:name="_GoBack"/>
      <w:bookmarkEnd w:id="0"/>
      <w:r>
        <w:rPr>
          <w:rFonts w:hint="eastAsia" w:ascii="仿宋_GB2312" w:hAnsi="仿宋_GB2312" w:eastAsia="仿宋_GB2312" w:cs="仿宋_GB2312"/>
          <w:color w:val="auto"/>
          <w:sz w:val="32"/>
          <w:szCs w:val="32"/>
          <w:lang w:val="en-US" w:eastAsia="zh-CN"/>
        </w:rPr>
        <w:t>室及相关机构事务（款）政务公开审批（项）2025年预算数为448.84万元，主要用于：机关正常运转的基本支出，包括基本工资、津贴补贴等人员经费以及办公费、印刷费、水电费等日常公用经费,保障部门正常运转。</w:t>
      </w:r>
    </w:p>
    <w:p w14:paraId="40EE779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一般公共服务（类）行政事业单位养老支出（款）行政单位离退休（项）2025年预算数为2万元，主要用于：机关行政人员退休经费支出。</w:t>
      </w:r>
    </w:p>
    <w:p w14:paraId="01AFA73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 xml:space="preserve">一般公共服务（类）行政事业单位养老支出（款）机关事业单位基本养老保险缴费支出（项）2025年预算数为30.89万元，主要用于：实施养老保险制度由单位缴纳的基本养老保险支出。                                      </w:t>
      </w:r>
    </w:p>
    <w:p w14:paraId="48EEF5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color w:val="auto"/>
          <w:sz w:val="32"/>
          <w:szCs w:val="32"/>
        </w:rPr>
      </w:pPr>
      <w:r>
        <w:rPr>
          <w:rFonts w:hint="eastAsia" w:ascii="仿宋_GB2312" w:hAnsi="仿宋_GB2312" w:eastAsia="仿宋_GB2312" w:cs="仿宋_GB2312"/>
          <w:color w:val="auto"/>
          <w:sz w:val="32"/>
          <w:szCs w:val="32"/>
          <w:lang w:val="en-US" w:eastAsia="zh-CN"/>
        </w:rPr>
        <w:t>4.社会保障和就业（类）其他社会保障和就业支出（款）其他社会保障和就业支出（项）2025年预算数为0.87万元，主要用于：为机关行政人员和事业人员由单位缴纳的失业保险、工伤保险支出。</w:t>
      </w:r>
    </w:p>
    <w:p w14:paraId="710A154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5.卫生健康（类）行政事业单位医疗（款）行政单位医疗（项）2025年预算数为2.9万元，主要用于：机关及参公管理事业单位按规定由单位缴纳的基本医疗保险支出。</w:t>
      </w:r>
    </w:p>
    <w:p w14:paraId="48F2F790">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6.卫生健康（类）行政事业单位医疗（款）事业单位医疗（项）2025年预算数为8.21万元，主要用于：事业单位按规定由单位缴纳的基本医疗保险支出。</w:t>
      </w:r>
    </w:p>
    <w:p w14:paraId="520240F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7.住房保障（类）住房改革支出（款）住房公积金（项）2025年预算数为23.17万元，主要用于：部门按规定为职工缴纳的住房公积金支出。</w:t>
      </w:r>
    </w:p>
    <w:p w14:paraId="6A28A7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11365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昭化区行政审批和数据局2025年一般公共预算基本支出292.88万元，其中：</w:t>
      </w:r>
    </w:p>
    <w:p w14:paraId="0D3414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人员经费261.16万元，主要包括：基本工资、津贴补贴、奖金、绩效工资、社会保险缴费、住房公积金、离退休目标奖、独子费等支出。</w:t>
      </w:r>
    </w:p>
    <w:p w14:paraId="4CBA69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公用经费31.72万元，主要包括：办公费、差旅费、会议费、培训费、其他交通费用等支出。</w:t>
      </w:r>
    </w:p>
    <w:p w14:paraId="0A2D5F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44B53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昭化区行政审批和数据局2025年“三公”经费财政拨款预算数1万元，其中：公务接待费1万元。</w:t>
      </w:r>
    </w:p>
    <w:p w14:paraId="5AFFC1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0C9CEF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公务接待费与2024年预算相比下降21.26%，主要原因是公务接待的标准、范围都严格按照相关文件规定执行，使公务接待更加规范和节俭。</w:t>
      </w:r>
    </w:p>
    <w:p w14:paraId="4B5E6AD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2025年公务接待费计划用于执行接待上级领导调研指导工作、外地部门前来考察交流等公务活动开支的交通接送，以及必要的工作餐、住宿等。</w:t>
      </w:r>
    </w:p>
    <w:p w14:paraId="2AEFE8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sz w:val="32"/>
          <w:szCs w:val="32"/>
          <w:lang w:val="en-US" w:eastAsia="zh-CN"/>
        </w:rPr>
        <w:t>公务用车购置及运行维护费</w:t>
      </w:r>
    </w:p>
    <w:p w14:paraId="741754C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公务用车购置及运行维护费与2024年预算相比无变化，预算均为0万元。</w:t>
      </w:r>
    </w:p>
    <w:p w14:paraId="48FF990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70DB7638">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62C3A4C4">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sz w:val="32"/>
          <w:szCs w:val="32"/>
          <w:lang w:val="en-US" w:eastAsia="zh-CN"/>
        </w:rPr>
      </w:pPr>
      <w:r>
        <w:rPr>
          <w:rFonts w:hint="eastAsia"/>
          <w:sz w:val="32"/>
          <w:szCs w:val="32"/>
          <w:lang w:val="en-US" w:eastAsia="zh-CN"/>
        </w:rPr>
        <w:tab/>
      </w: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2025年安排公务用车运行维护费0万元。</w:t>
      </w:r>
    </w:p>
    <w:p w14:paraId="118D9B8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0EAA2FC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因公出国（境）经费与2024年预算相比无变化。预算均为0万元。</w:t>
      </w:r>
    </w:p>
    <w:p w14:paraId="7C8B86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50CA97D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昭化区行政审批和数据局</w:t>
      </w:r>
      <w:r>
        <w:rPr>
          <w:rFonts w:hint="eastAsia" w:ascii="仿宋_GB2312" w:hAnsi="仿宋_GB2312" w:eastAsia="仿宋_GB2312" w:cs="仿宋_GB2312"/>
          <w:sz w:val="32"/>
          <w:szCs w:val="32"/>
          <w:lang w:val="en-US" w:eastAsia="zh-CN"/>
        </w:rPr>
        <w:t>2025年无政府性基金预算拨款安排的支出。</w:t>
      </w:r>
    </w:p>
    <w:p w14:paraId="2DCEA6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269A38F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昭化区行政审批和数据局</w:t>
      </w:r>
      <w:r>
        <w:rPr>
          <w:rFonts w:hint="eastAsia" w:ascii="仿宋_GB2312" w:hAnsi="仿宋_GB2312" w:eastAsia="仿宋_GB2312" w:cs="仿宋_GB2312"/>
          <w:sz w:val="32"/>
          <w:szCs w:val="32"/>
          <w:lang w:val="en-US" w:eastAsia="zh-CN"/>
        </w:rPr>
        <w:t>2025年无国有资本经营预算拨款安排的支出。</w:t>
      </w:r>
    </w:p>
    <w:p w14:paraId="0905B2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3ADDC8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726DC21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2025年，昭化区行政审批和数据局机关运行经费财政拨款预算为31.72万元，比2024年预算增加2万元，增长6.73%。主要原因</w:t>
      </w:r>
      <w:r>
        <w:rPr>
          <w:rStyle w:val="18"/>
          <w:rFonts w:hint="eastAsia" w:ascii="仿宋_GB2312" w:hAnsi="仿宋_GB2312" w:eastAsia="仿宋_GB2312" w:cs="仿宋_GB2312"/>
          <w:b w:val="0"/>
          <w:bCs/>
          <w:color w:val="auto"/>
          <w:sz w:val="32"/>
          <w:szCs w:val="32"/>
          <w:lang w:val="en-US" w:eastAsia="zh-CN"/>
        </w:rPr>
        <w:t>人员工资保险调资、新增人员。</w:t>
      </w:r>
    </w:p>
    <w:p w14:paraId="7D03D4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1F71E0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8"/>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2025年，</w:t>
      </w:r>
      <w:r>
        <w:rPr>
          <w:rStyle w:val="18"/>
          <w:rFonts w:hint="eastAsia" w:ascii="仿宋_GB2312" w:hAnsi="仿宋_GB2312" w:eastAsia="仿宋_GB2312" w:cs="仿宋_GB2312"/>
          <w:b w:val="0"/>
          <w:bCs/>
          <w:color w:val="auto"/>
          <w:sz w:val="32"/>
          <w:szCs w:val="32"/>
          <w:lang w:val="en-US" w:eastAsia="zh-CN"/>
        </w:rPr>
        <w:t>昭化区行政审批和数据局未安排政府采购预算。</w:t>
      </w:r>
    </w:p>
    <w:p w14:paraId="763553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424A0EE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Style w:val="18"/>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截至2024年底</w:t>
      </w:r>
      <w:r>
        <w:rPr>
          <w:rStyle w:val="18"/>
          <w:rFonts w:hint="eastAsia" w:ascii="仿宋_GB2312" w:hAnsi="仿宋_GB2312" w:eastAsia="仿宋_GB2312" w:cs="仿宋_GB2312"/>
          <w:b w:val="0"/>
          <w:bCs/>
          <w:color w:val="auto"/>
          <w:sz w:val="32"/>
          <w:szCs w:val="32"/>
          <w:lang w:val="en-US" w:eastAsia="zh-CN"/>
        </w:rPr>
        <w:t>，昭化区行政审批和数据局无车辆。单位无价值200万元以上大型设备。</w:t>
      </w:r>
    </w:p>
    <w:p w14:paraId="233FA8A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r>
        <w:rPr>
          <w:rStyle w:val="18"/>
          <w:rFonts w:hint="eastAsia" w:ascii="仿宋_GB2312" w:hAnsi="仿宋_GB2312" w:eastAsia="仿宋_GB2312" w:cs="仿宋_GB2312"/>
          <w:b w:val="0"/>
          <w:bCs/>
          <w:color w:val="auto"/>
          <w:sz w:val="32"/>
          <w:szCs w:val="32"/>
          <w:lang w:val="en-US" w:eastAsia="zh-CN"/>
        </w:rPr>
        <w:t>2025年部门预算未安排购置车辆及单位价值200万元以上大型设备。</w:t>
      </w:r>
    </w:p>
    <w:p w14:paraId="44DAA7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1AA2C210">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outlineLvl w:val="1"/>
        <w:rPr>
          <w:rStyle w:val="18"/>
          <w:rFonts w:hint="eastAsia" w:ascii="仿宋_GB2312" w:hAnsi="仿宋_GB2312" w:eastAsia="仿宋_GB2312" w:cs="仿宋_GB2312"/>
          <w:b w:val="0"/>
          <w:bCs/>
          <w:color w:val="auto"/>
          <w:sz w:val="32"/>
          <w:szCs w:val="32"/>
          <w:lang w:val="en-US" w:eastAsia="zh-CN"/>
        </w:rPr>
      </w:pPr>
      <w:r>
        <w:rPr>
          <w:rStyle w:val="18"/>
          <w:rFonts w:hint="eastAsia" w:ascii="仿宋_GB2312" w:hAnsi="仿宋_GB2312" w:eastAsia="仿宋_GB2312" w:cs="仿宋_GB2312"/>
          <w:b w:val="0"/>
          <w:bCs/>
          <w:color w:val="auto"/>
          <w:sz w:val="32"/>
          <w:szCs w:val="32"/>
          <w:lang w:val="en-US" w:eastAsia="zh-CN"/>
        </w:rPr>
        <w:t>2025年昭化区行政审批和数据局开展绩效目标管理的项目7个，涉及预算255.72万元。其中：人员类项目0个，涉及预算0万元；运转类项目7个，涉及预算255.72万元；特定目标类项目0个，涉及预算0万元。因部分项目内容涉密，不予公开。</w:t>
      </w:r>
    </w:p>
    <w:p w14:paraId="300C0B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3796BA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highlight w:val="none"/>
          <w:lang w:val="en-US" w:eastAsia="zh-CN"/>
        </w:rPr>
        <w:t>财政</w:t>
      </w:r>
      <w:r>
        <w:rPr>
          <w:rFonts w:hint="eastAsia" w:ascii="仿宋_GB2312" w:hAnsi="仿宋_GB2312" w:eastAsia="仿宋_GB2312" w:cs="仿宋_GB2312"/>
          <w:sz w:val="32"/>
          <w:szCs w:val="32"/>
          <w:lang w:val="en-US" w:eastAsia="zh-CN"/>
        </w:rPr>
        <w:t>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（三）一般公共服务（类）政府办公（厅）室及相关机构事务（款）政务公开审批（项）：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661E44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5A4463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纳入市级财政预算管理的“三公”经费，是指部门用财政拨款安排的公务接待费。公务接待费反映单位按规定开支的各类公务接待（含外宾接待）支出。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为保障行政单位运行用于购买货物和服务的各项资金，包括办公及印刷费、邮电费、差旅费、会议费、培训费、日常维修费、水费、电费及其他费用。</w:t>
      </w:r>
    </w:p>
    <w:p w14:paraId="7EF5BC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49748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78974EC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21F8FA7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6708EE7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0CB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E342D9C">
                          <w:pPr>
                            <w:rPr>
                              <w:rFonts w:hint="eastAsia"/>
                            </w:rPr>
                          </w:pP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eTqh1PwBAAD/AwAADgAAAAAAAAABACAAAAAfAQAAZHJzL2Uyb0RvYy54bWxQ&#10;SwUGAAAAAAYABgBZAQAAjQUAAAAA&#10;">
              <v:fill on="f" focussize="0,0"/>
              <v:stroke on="f"/>
              <v:imagedata o:title=""/>
              <o:lock v:ext="edit" aspectratio="f"/>
              <v:textbox inset="0mm,0mm,0mm,0mm" style="mso-fit-shape-to-text:t;">
                <w:txbxContent>
                  <w:p w14:paraId="6E342D9C">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9FBE">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74D6C55">
                          <w:pPr>
                            <w:pStyle w:val="8"/>
                          </w:pPr>
                          <w: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C3QGsCAgAACgQAAA4AAABkcnMvZTJvRG9jLnhtbK1TwY7TMBC9I/EP&#10;lu80bYVQN2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v7rizAlLHX/49vXh+8+H&#10;H1/Y6+RP50NJaXd+i+MuEExi+wZt+pIM1mdPTxdPVR+ZpOBsMV8spmS3pLPzhniKx989hvhegWUJ&#10;VBypadlLcbwJcUg9p6TbHGy0MRQXpXF/BIgzRYpU8VBjQrHf9WPhO6hPJBdhmIPg5UbTnTcixK1A&#10;ajzVSU8j3tLSGOgqDiPirAX8/K94yqd+0ClnHQ1SxR29G87MB0d9SjN3BngGuzNwB/sOaDJnnGE0&#10;GdIPwkmiq3jk7OBR79tcbVIa/NtDJPnZlaRtEDRKphHJvo7jnGbw933OenzC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sLdAawICAAAKBAAADgAAAAAAAAABACAAAAAfAQAAZHJzL2Uyb0Rv&#10;Yy54bWxQSwUGAAAAAAYABgBZAQAAkwUAAAAA&#10;">
              <v:fill on="f" focussize="0,0"/>
              <v:stroke on="f"/>
              <v:imagedata o:title=""/>
              <o:lock v:ext="edit" aspectratio="f"/>
              <v:textbox inset="0mm,0mm,0mm,0mm" style="mso-fit-shape-to-text:t;">
                <w:txbxContent>
                  <w:p w14:paraId="674D6C55">
                    <w:pPr>
                      <w:pStyle w:val="8"/>
                    </w:pPr>
                    <w: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r>
                      <w:t>—</w:t>
                    </w:r>
                  </w:p>
                </w:txbxContent>
              </v:textbox>
            </v:rect>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8597087">
                          <w:pPr>
                            <w:rPr>
                              <w:rFonts w:hint="eastAsia"/>
                            </w:rPr>
                          </w:pP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3kBEVvwBAAAABAAADgAAAAAAAAABACAAAAAfAQAAZHJzL2Uyb0RvYy54bWxQ&#10;SwUGAAAAAAYABgBZAQAAjQUAAAAA&#10;">
              <v:fill on="f" focussize="0,0"/>
              <v:stroke on="f"/>
              <v:imagedata o:title=""/>
              <o:lock v:ext="edit" aspectratio="f"/>
              <v:textbox inset="0mm,0mm,0mm,0mm" style="mso-fit-shape-to-text:t;">
                <w:txbxContent>
                  <w:p w14:paraId="58597087">
                    <w:pPr>
                      <w:rPr>
                        <w:rFonts w:hint="eastAsia"/>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3FFE0"/>
    <w:multiLevelType w:val="singleLevel"/>
    <w:tmpl w:val="CB73FFE0"/>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1D474F61"/>
    <w:rsid w:val="1D68214B"/>
    <w:rsid w:val="2309269C"/>
    <w:rsid w:val="27D05536"/>
    <w:rsid w:val="3F727267"/>
    <w:rsid w:val="54755E07"/>
    <w:rsid w:val="5D086F45"/>
    <w:rsid w:val="5FFA3939"/>
    <w:rsid w:val="67DA14DE"/>
    <w:rsid w:val="6E1F1379"/>
    <w:rsid w:val="727A7B45"/>
    <w:rsid w:val="73C53042"/>
    <w:rsid w:val="77E026A7"/>
    <w:rsid w:val="79E21AE4"/>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eastAsia="黑体"/>
      <w:b/>
      <w:bCs/>
      <w:kern w:val="0"/>
      <w:sz w:val="30"/>
      <w:szCs w:val="32"/>
    </w:rPr>
  </w:style>
  <w:style w:type="character" w:default="1" w:styleId="14">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autoRedefine/>
    <w:qFormat/>
    <w:uiPriority w:val="0"/>
    <w:pPr>
      <w:spacing w:before="0" w:after="140" w:line="276" w:lineRule="auto"/>
    </w:pPr>
  </w:style>
  <w:style w:type="paragraph" w:styleId="6">
    <w:name w:val="Body Text Indent"/>
    <w:basedOn w:val="1"/>
    <w:next w:val="7"/>
    <w:qFormat/>
    <w:uiPriority w:val="99"/>
    <w:pPr>
      <w:spacing w:after="120"/>
      <w:ind w:left="420" w:leftChars="200"/>
    </w:pPr>
  </w:style>
  <w:style w:type="paragraph" w:styleId="7">
    <w:name w:val="Body Text First Indent 2"/>
    <w:basedOn w:val="6"/>
    <w:next w:val="1"/>
    <w:qFormat/>
    <w:uiPriority w:val="99"/>
    <w:pPr>
      <w:spacing w:after="0"/>
      <w:ind w:firstLine="420" w:firstLine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5"/>
    <w:autoRedefine/>
    <w:qFormat/>
    <w:uiPriority w:val="0"/>
  </w:style>
  <w:style w:type="paragraph" w:styleId="11">
    <w:name w:val="Normal (Web)"/>
    <w:basedOn w:val="1"/>
    <w:autoRedefine/>
    <w:qFormat/>
    <w:uiPriority w:val="0"/>
    <w:rPr>
      <w:sz w:val="24"/>
    </w:r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默认段落字体1"/>
    <w:autoRedefine/>
    <w:qFormat/>
    <w:uiPriority w:val="0"/>
  </w:style>
  <w:style w:type="paragraph" w:customStyle="1" w:styleId="16">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 w:type="character" w:customStyle="1" w:styleId="18">
    <w:name w:val="标题 2 Char"/>
    <w:link w:val="3"/>
    <w:autoRedefine/>
    <w:qFormat/>
    <w:uiPriority w:val="0"/>
    <w:rPr>
      <w:rFonts w:ascii="Cambria" w:hAnsi="Cambria" w:eastAsia="黑体"/>
      <w:b/>
      <w:bCs/>
      <w:kern w:val="0"/>
      <w:sz w:val="30"/>
      <w:szCs w:val="32"/>
    </w:rPr>
  </w:style>
  <w:style w:type="paragraph" w:customStyle="1" w:styleId="19">
    <w:name w:val="WPSOffice手动目录 2"/>
    <w:autoRedefine/>
    <w:qFormat/>
    <w:uiPriority w:val="0"/>
    <w:pPr>
      <w:ind w:leftChars="200"/>
    </w:pPr>
    <w:rPr>
      <w:rFonts w:ascii="Times New Roman" w:hAnsi="Times New Roman" w:eastAsia="宋体" w:cs="Times New Roman"/>
      <w:sz w:val="20"/>
      <w:szCs w:val="20"/>
    </w:rPr>
  </w:style>
  <w:style w:type="paragraph" w:customStyle="1" w:styleId="2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714</Words>
  <Characters>728</Characters>
  <TotalTime>62</TotalTime>
  <ScaleCrop>false</ScaleCrop>
  <LinksUpToDate>false</LinksUpToDate>
  <CharactersWithSpaces>795</CharactersWithSpaces>
  <Application>WPS Office_12.1.0.20260_F1E327BC-269C-435d-A152-05C5408002CA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似水流连</cp:lastModifiedBy>
  <cp:lastPrinted>2025-01-22T14:38:00Z</cp:lastPrinted>
  <dcterms:modified xsi:type="dcterms:W3CDTF">2025-02-14T01:09:15Z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AF5FE94C95E54ECEA028D1F216DDA712_13</vt:lpwstr>
  </property>
  <property fmtid="{D5CDD505-2E9C-101B-9397-08002B2CF9AE}" pid="4" name="KSOTemplateDocerSaveRecord">
    <vt:lpwstr>eyJoZGlkIjoiMTY1Zjg1NzU3YWExZDFhMGZhOTNiMWJiMDczYzAxM2YiLCJ1c2VySWQiOiI3MTc4MDAyOTIifQ==</vt:lpwstr>
  </property>
</Properties>
</file>