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B5FC1">
      <w:pPr>
        <w:spacing w:line="600" w:lineRule="exact"/>
        <w:jc w:val="center"/>
        <w:rPr>
          <w:rFonts w:ascii="方正小标宋简体" w:hAnsi="宋体" w:eastAsia="方正小标宋简体"/>
          <w:sz w:val="72"/>
          <w:szCs w:val="72"/>
        </w:rPr>
      </w:pPr>
      <w:bookmarkStart w:id="0" w:name="_Toc15306267"/>
    </w:p>
    <w:p w14:paraId="348DF462">
      <w:pPr>
        <w:spacing w:line="600" w:lineRule="exact"/>
        <w:jc w:val="center"/>
        <w:rPr>
          <w:rFonts w:ascii="方正小标宋简体" w:hAnsi="宋体" w:eastAsia="方正小标宋简体"/>
          <w:sz w:val="72"/>
          <w:szCs w:val="72"/>
        </w:rPr>
      </w:pPr>
    </w:p>
    <w:p w14:paraId="631DFD1E">
      <w:pPr>
        <w:spacing w:line="600" w:lineRule="exact"/>
        <w:jc w:val="center"/>
        <w:rPr>
          <w:rFonts w:ascii="方正小标宋简体" w:hAnsi="宋体" w:eastAsia="方正小标宋简体"/>
          <w:sz w:val="72"/>
          <w:szCs w:val="72"/>
        </w:rPr>
      </w:pPr>
    </w:p>
    <w:p w14:paraId="16D52909">
      <w:pPr>
        <w:spacing w:line="600" w:lineRule="exact"/>
        <w:jc w:val="center"/>
        <w:rPr>
          <w:rFonts w:ascii="方正小标宋简体" w:hAnsi="宋体" w:eastAsia="方正小标宋简体"/>
          <w:sz w:val="72"/>
          <w:szCs w:val="72"/>
        </w:rPr>
      </w:pPr>
    </w:p>
    <w:p w14:paraId="10E8299E">
      <w:pPr>
        <w:adjustRightInd w:val="0"/>
        <w:snapToGrid w:val="0"/>
        <w:spacing w:line="360" w:lineRule="auto"/>
        <w:jc w:val="center"/>
        <w:outlineLvl w:val="0"/>
        <w:rPr>
          <w:rFonts w:ascii="方正小标宋简体" w:hAnsi="方正小标宋简体" w:eastAsia="方正小标宋简体" w:cs="方正小标宋简体"/>
          <w:b/>
          <w:sz w:val="44"/>
          <w:szCs w:val="44"/>
        </w:rPr>
      </w:pPr>
      <w:bookmarkStart w:id="1" w:name="_Toc19008"/>
      <w:bookmarkStart w:id="2" w:name="_Toc15378441"/>
      <w:bookmarkStart w:id="3" w:name="_Toc23006"/>
      <w:bookmarkStart w:id="4" w:name="_Toc15396597"/>
      <w:bookmarkStart w:id="5" w:name="_Toc19657"/>
      <w:bookmarkStart w:id="6" w:name="_Toc9972"/>
      <w:bookmarkStart w:id="7" w:name="_Toc2950"/>
      <w:bookmarkStart w:id="8" w:name="_Toc15377425"/>
      <w:bookmarkStart w:id="9" w:name="_Toc15377193"/>
      <w:bookmarkStart w:id="10" w:name="_Toc15396475"/>
      <w:r>
        <w:rPr>
          <w:rFonts w:hint="eastAsia" w:ascii="方正小标宋简体" w:hAnsi="方正小标宋简体" w:eastAsia="方正小标宋简体" w:cs="方正小标宋简体"/>
          <w:b/>
          <w:sz w:val="44"/>
          <w:szCs w:val="44"/>
        </w:rPr>
        <w:t>2022年度</w:t>
      </w:r>
      <w:bookmarkEnd w:id="1"/>
      <w:bookmarkEnd w:id="2"/>
      <w:bookmarkEnd w:id="3"/>
      <w:bookmarkEnd w:id="4"/>
      <w:bookmarkEnd w:id="5"/>
      <w:bookmarkEnd w:id="6"/>
      <w:bookmarkEnd w:id="7"/>
      <w:bookmarkEnd w:id="8"/>
      <w:bookmarkEnd w:id="9"/>
      <w:bookmarkEnd w:id="10"/>
    </w:p>
    <w:p w14:paraId="43CDE126">
      <w:pPr>
        <w:adjustRightInd w:val="0"/>
        <w:snapToGrid w:val="0"/>
        <w:spacing w:line="360" w:lineRule="auto"/>
        <w:jc w:val="center"/>
        <w:outlineLvl w:val="0"/>
        <w:rPr>
          <w:rFonts w:hint="eastAsia" w:ascii="方正小标宋简体" w:hAnsi="方正小标宋简体" w:eastAsia="方正小标宋简体" w:cs="方正小标宋简体"/>
          <w:b/>
          <w:sz w:val="44"/>
          <w:szCs w:val="44"/>
        </w:rPr>
      </w:pPr>
      <w:bookmarkStart w:id="11" w:name="_Toc6585"/>
      <w:bookmarkStart w:id="12" w:name="_Toc15396598"/>
      <w:bookmarkStart w:id="13" w:name="_Toc15377194"/>
      <w:bookmarkStart w:id="14" w:name="_Toc15377426"/>
      <w:bookmarkStart w:id="15" w:name="_Toc15378442"/>
      <w:bookmarkStart w:id="16" w:name="_Toc15396476"/>
      <w:bookmarkStart w:id="17" w:name="_Toc4338"/>
      <w:bookmarkStart w:id="18" w:name="_Toc5129"/>
      <w:bookmarkStart w:id="19" w:name="_Toc29865"/>
      <w:bookmarkStart w:id="20" w:name="_Toc5033"/>
      <w:r>
        <w:rPr>
          <w:rFonts w:hint="eastAsia" w:ascii="方正小标宋简体" w:hAnsi="方正小标宋简体" w:eastAsia="方正小标宋简体" w:cs="方正小标宋简体"/>
          <w:b/>
          <w:sz w:val="44"/>
          <w:szCs w:val="44"/>
        </w:rPr>
        <w:t>四川</w:t>
      </w:r>
      <w:bookmarkEnd w:id="0"/>
      <w:bookmarkStart w:id="21" w:name="_Toc15306268"/>
      <w:r>
        <w:rPr>
          <w:rFonts w:hint="eastAsia" w:ascii="方正小标宋简体" w:hAnsi="方正小标宋简体" w:eastAsia="方正小标宋简体" w:cs="方正小标宋简体"/>
          <w:b/>
          <w:sz w:val="44"/>
          <w:szCs w:val="44"/>
        </w:rPr>
        <w:t>广元昭化经济开发区管理委员会</w:t>
      </w:r>
    </w:p>
    <w:p w14:paraId="3E262A5A">
      <w:pPr>
        <w:adjustRightInd w:val="0"/>
        <w:snapToGrid w:val="0"/>
        <w:spacing w:line="360" w:lineRule="auto"/>
        <w:jc w:val="center"/>
        <w:outlineLvl w:val="0"/>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单位决算</w:t>
      </w:r>
      <w:bookmarkEnd w:id="11"/>
      <w:bookmarkEnd w:id="12"/>
      <w:bookmarkEnd w:id="13"/>
      <w:bookmarkEnd w:id="14"/>
      <w:bookmarkEnd w:id="15"/>
      <w:bookmarkEnd w:id="16"/>
      <w:bookmarkEnd w:id="17"/>
      <w:bookmarkEnd w:id="18"/>
      <w:bookmarkEnd w:id="19"/>
      <w:bookmarkEnd w:id="20"/>
      <w:bookmarkEnd w:id="21"/>
    </w:p>
    <w:p w14:paraId="07B743A6">
      <w:pPr>
        <w:widowControl/>
        <w:jc w:val="center"/>
        <w:rPr>
          <w:rFonts w:ascii="黑体" w:hAnsi="黑体" w:eastAsia="黑体"/>
          <w:sz w:val="48"/>
          <w:szCs w:val="4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start="1"/>
          <w:cols w:space="425" w:num="1"/>
          <w:titlePg/>
          <w:docGrid w:type="lines" w:linePitch="312" w:charSpace="0"/>
        </w:sectPr>
      </w:pPr>
    </w:p>
    <w:p w14:paraId="0767CC72">
      <w:pPr>
        <w:widowControl/>
        <w:jc w:val="center"/>
        <w:rPr>
          <w:rFonts w:ascii="黑体" w:hAnsi="黑体" w:eastAsia="黑体"/>
          <w:sz w:val="48"/>
          <w:szCs w:val="48"/>
        </w:rPr>
      </w:pPr>
      <w:r>
        <w:rPr>
          <w:rFonts w:hint="eastAsia" w:ascii="黑体" w:hAnsi="黑体" w:eastAsia="黑体"/>
          <w:sz w:val="48"/>
          <w:szCs w:val="48"/>
        </w:rPr>
        <w:t>目录</w:t>
      </w:r>
    </w:p>
    <w:sdt>
      <w:sdtPr>
        <w:rPr>
          <w:rFonts w:ascii="宋体" w:hAnsi="宋体"/>
        </w:rPr>
        <w:id w:val="147457942"/>
        <w:docPartObj>
          <w:docPartGallery w:val="Table of Contents"/>
          <w:docPartUnique/>
        </w:docPartObj>
      </w:sdtPr>
      <w:sdtEndPr>
        <w:rPr>
          <w:rFonts w:ascii="Times New Roman" w:hAnsi="Times New Roman"/>
          <w:b/>
        </w:rPr>
      </w:sdtEndPr>
      <w:sdtContent>
        <w:p w14:paraId="5110C189">
          <w:pPr>
            <w:tabs>
              <w:tab w:val="right" w:leader="dot" w:pos="8296"/>
            </w:tabs>
            <w:adjustRightInd w:val="0"/>
            <w:snapToGrid w:val="0"/>
            <w:spacing w:line="440" w:lineRule="exact"/>
            <w:jc w:val="center"/>
          </w:pPr>
          <w:r>
            <w:rPr>
              <w:sz w:val="24"/>
            </w:rPr>
            <w:fldChar w:fldCharType="begin"/>
          </w:r>
          <w:r>
            <w:rPr>
              <w:sz w:val="24"/>
            </w:rPr>
            <w:instrText xml:space="preserve">TOC \o "1-2" \h \u </w:instrText>
          </w:r>
          <w:r>
            <w:rPr>
              <w:sz w:val="24"/>
            </w:rPr>
            <w:fldChar w:fldCharType="separate"/>
          </w:r>
          <w:r>
            <w:fldChar w:fldCharType="begin"/>
          </w:r>
          <w:r>
            <w:instrText xml:space="preserve"> HYPERLINK \l _Toc27917 </w:instrText>
          </w:r>
          <w:r>
            <w:fldChar w:fldCharType="separate"/>
          </w:r>
          <w:r>
            <w:rPr>
              <w:rFonts w:hint="eastAsia" w:ascii="黑体" w:hAnsi="黑体" w:eastAsia="黑体"/>
            </w:rPr>
            <w:t xml:space="preserve">第一部分 </w:t>
          </w:r>
          <w:r>
            <w:rPr>
              <w:rFonts w:hint="eastAsia" w:ascii="黑体" w:hAnsi="黑体" w:eastAsia="黑体"/>
              <w:lang w:eastAsia="zh-CN"/>
            </w:rPr>
            <w:t>部门</w:t>
          </w:r>
          <w:r>
            <w:rPr>
              <w:rFonts w:hint="eastAsia" w:ascii="黑体" w:hAnsi="黑体" w:eastAsia="黑体"/>
              <w:bCs w:val="0"/>
            </w:rPr>
            <w:t>概况</w:t>
          </w:r>
          <w:r>
            <w:tab/>
          </w:r>
          <w:r>
            <w:fldChar w:fldCharType="begin"/>
          </w:r>
          <w:r>
            <w:instrText xml:space="preserve"> PAGEREF _Toc27917 \h </w:instrText>
          </w:r>
          <w:r>
            <w:fldChar w:fldCharType="separate"/>
          </w:r>
          <w:r>
            <w:t>- 1 -</w:t>
          </w:r>
          <w:r>
            <w:fldChar w:fldCharType="end"/>
          </w:r>
          <w:r>
            <w:fldChar w:fldCharType="end"/>
          </w:r>
        </w:p>
        <w:p w14:paraId="70C6A5A9">
          <w:pPr>
            <w:pStyle w:val="14"/>
            <w:tabs>
              <w:tab w:val="right" w:leader="dot" w:pos="8306"/>
              <w:tab w:val="clear" w:pos="8296"/>
            </w:tabs>
          </w:pPr>
          <w:r>
            <w:fldChar w:fldCharType="begin"/>
          </w:r>
          <w:r>
            <w:instrText xml:space="preserve"> HYPERLINK \l _Toc276 </w:instrText>
          </w:r>
          <w:r>
            <w:fldChar w:fldCharType="separate"/>
          </w:r>
          <w:r>
            <w:rPr>
              <w:rFonts w:hint="eastAsia" w:ascii="黑体" w:hAnsi="黑体" w:eastAsia="黑体"/>
              <w:bCs w:val="0"/>
              <w:lang w:eastAsia="zh-CN"/>
            </w:rPr>
            <w:t>一、部门职责</w:t>
          </w:r>
          <w:r>
            <w:tab/>
          </w:r>
          <w:r>
            <w:fldChar w:fldCharType="begin"/>
          </w:r>
          <w:r>
            <w:instrText xml:space="preserve"> PAGEREF _Toc276 \h </w:instrText>
          </w:r>
          <w:r>
            <w:fldChar w:fldCharType="separate"/>
          </w:r>
          <w:r>
            <w:t>- 1 -</w:t>
          </w:r>
          <w:r>
            <w:fldChar w:fldCharType="end"/>
          </w:r>
          <w:r>
            <w:fldChar w:fldCharType="end"/>
          </w:r>
        </w:p>
        <w:p w14:paraId="46EEE1B9">
          <w:pPr>
            <w:pStyle w:val="14"/>
            <w:tabs>
              <w:tab w:val="right" w:leader="dot" w:pos="8306"/>
              <w:tab w:val="clear" w:pos="8296"/>
            </w:tabs>
          </w:pPr>
          <w:r>
            <w:fldChar w:fldCharType="begin"/>
          </w:r>
          <w:r>
            <w:instrText xml:space="preserve"> HYPERLINK \l _Toc9638 </w:instrText>
          </w:r>
          <w:r>
            <w:fldChar w:fldCharType="separate"/>
          </w:r>
          <w:r>
            <w:rPr>
              <w:rFonts w:hint="eastAsia" w:ascii="黑体" w:hAnsi="黑体" w:eastAsia="黑体"/>
              <w:bCs w:val="0"/>
              <w:lang w:eastAsia="zh-CN"/>
            </w:rPr>
            <w:t>二、机构设置</w:t>
          </w:r>
          <w:r>
            <w:tab/>
          </w:r>
          <w:r>
            <w:fldChar w:fldCharType="begin"/>
          </w:r>
          <w:r>
            <w:instrText xml:space="preserve"> PAGEREF _Toc9638 \h </w:instrText>
          </w:r>
          <w:r>
            <w:fldChar w:fldCharType="separate"/>
          </w:r>
          <w:r>
            <w:t>- 1 -</w:t>
          </w:r>
          <w:r>
            <w:fldChar w:fldCharType="end"/>
          </w:r>
          <w:r>
            <w:fldChar w:fldCharType="end"/>
          </w:r>
        </w:p>
        <w:p w14:paraId="3FFC23F4">
          <w:pPr>
            <w:pStyle w:val="13"/>
            <w:tabs>
              <w:tab w:val="right" w:leader="dot" w:pos="8306"/>
              <w:tab w:val="clear" w:pos="8296"/>
            </w:tabs>
          </w:pPr>
          <w:r>
            <w:fldChar w:fldCharType="begin"/>
          </w:r>
          <w:r>
            <w:instrText xml:space="preserve"> HYPERLINK \l _Toc13803 </w:instrText>
          </w:r>
          <w:r>
            <w:fldChar w:fldCharType="separate"/>
          </w:r>
          <w:r>
            <w:rPr>
              <w:rFonts w:hint="eastAsia" w:ascii="黑体" w:hAnsi="黑体" w:eastAsia="黑体"/>
            </w:rPr>
            <w:t>第二部分 2022年度</w:t>
          </w:r>
          <w:r>
            <w:rPr>
              <w:rFonts w:hint="eastAsia" w:ascii="黑体" w:hAnsi="黑体" w:eastAsia="黑体"/>
              <w:bCs/>
            </w:rPr>
            <w:t>单位决算情况说明</w:t>
          </w:r>
          <w:r>
            <w:tab/>
          </w:r>
          <w:r>
            <w:fldChar w:fldCharType="begin"/>
          </w:r>
          <w:r>
            <w:instrText xml:space="preserve"> PAGEREF _Toc13803 \h </w:instrText>
          </w:r>
          <w:r>
            <w:fldChar w:fldCharType="separate"/>
          </w:r>
          <w:r>
            <w:t>- 2 -</w:t>
          </w:r>
          <w:r>
            <w:fldChar w:fldCharType="end"/>
          </w:r>
          <w:r>
            <w:fldChar w:fldCharType="end"/>
          </w:r>
        </w:p>
        <w:p w14:paraId="0796BE67">
          <w:pPr>
            <w:pStyle w:val="14"/>
            <w:tabs>
              <w:tab w:val="right" w:leader="dot" w:pos="8306"/>
              <w:tab w:val="clear" w:pos="8296"/>
            </w:tabs>
          </w:pPr>
          <w:r>
            <w:fldChar w:fldCharType="begin"/>
          </w:r>
          <w:r>
            <w:instrText xml:space="preserve"> HYPERLINK \l _Toc27485 </w:instrText>
          </w:r>
          <w:r>
            <w:fldChar w:fldCharType="separate"/>
          </w:r>
          <w:r>
            <w:rPr>
              <w:rFonts w:hint="eastAsia" w:ascii="黑体" w:hAnsi="黑体" w:eastAsia="黑体"/>
              <w:bCs w:val="0"/>
              <w:lang w:eastAsia="zh-CN"/>
            </w:rPr>
            <w:t>一、收入支出决算总体情况说明</w:t>
          </w:r>
          <w:r>
            <w:tab/>
          </w:r>
          <w:r>
            <w:fldChar w:fldCharType="begin"/>
          </w:r>
          <w:r>
            <w:instrText xml:space="preserve"> PAGEREF _Toc27485 \h </w:instrText>
          </w:r>
          <w:r>
            <w:fldChar w:fldCharType="separate"/>
          </w:r>
          <w:r>
            <w:t>- 2 -</w:t>
          </w:r>
          <w:r>
            <w:fldChar w:fldCharType="end"/>
          </w:r>
          <w:r>
            <w:fldChar w:fldCharType="end"/>
          </w:r>
        </w:p>
        <w:p w14:paraId="03D88462">
          <w:pPr>
            <w:pStyle w:val="14"/>
            <w:tabs>
              <w:tab w:val="right" w:leader="dot" w:pos="8306"/>
              <w:tab w:val="clear" w:pos="8296"/>
            </w:tabs>
          </w:pPr>
          <w:r>
            <w:fldChar w:fldCharType="begin"/>
          </w:r>
          <w:r>
            <w:instrText xml:space="preserve"> HYPERLINK \l _Toc14260 </w:instrText>
          </w:r>
          <w:r>
            <w:fldChar w:fldCharType="separate"/>
          </w:r>
          <w:r>
            <w:rPr>
              <w:rFonts w:hint="eastAsia" w:ascii="黑体" w:hAnsi="黑体" w:eastAsia="黑体"/>
              <w:bCs w:val="0"/>
              <w:lang w:eastAsia="zh-CN"/>
            </w:rPr>
            <w:t>二、收入决算情况说明</w:t>
          </w:r>
          <w:r>
            <w:tab/>
          </w:r>
          <w:r>
            <w:fldChar w:fldCharType="begin"/>
          </w:r>
          <w:r>
            <w:instrText xml:space="preserve"> PAGEREF _Toc14260 \h </w:instrText>
          </w:r>
          <w:r>
            <w:fldChar w:fldCharType="separate"/>
          </w:r>
          <w:r>
            <w:t>- 2 -</w:t>
          </w:r>
          <w:r>
            <w:fldChar w:fldCharType="end"/>
          </w:r>
          <w:r>
            <w:fldChar w:fldCharType="end"/>
          </w:r>
        </w:p>
        <w:p w14:paraId="1208FAFD">
          <w:pPr>
            <w:pStyle w:val="14"/>
            <w:tabs>
              <w:tab w:val="right" w:leader="dot" w:pos="8306"/>
              <w:tab w:val="clear" w:pos="8296"/>
            </w:tabs>
          </w:pPr>
          <w:r>
            <w:fldChar w:fldCharType="begin"/>
          </w:r>
          <w:r>
            <w:instrText xml:space="preserve"> HYPERLINK \l _Toc28250 </w:instrText>
          </w:r>
          <w:r>
            <w:fldChar w:fldCharType="separate"/>
          </w:r>
          <w:r>
            <w:rPr>
              <w:rFonts w:hint="eastAsia" w:ascii="黑体" w:hAnsi="黑体" w:eastAsia="黑体"/>
              <w:bCs w:val="0"/>
              <w:lang w:eastAsia="zh-CN"/>
            </w:rPr>
            <w:t>三、支出决算情况说明</w:t>
          </w:r>
          <w:r>
            <w:tab/>
          </w:r>
          <w:r>
            <w:fldChar w:fldCharType="begin"/>
          </w:r>
          <w:r>
            <w:instrText xml:space="preserve"> PAGEREF _Toc28250 \h </w:instrText>
          </w:r>
          <w:r>
            <w:fldChar w:fldCharType="separate"/>
          </w:r>
          <w:r>
            <w:t>- 3 -</w:t>
          </w:r>
          <w:r>
            <w:fldChar w:fldCharType="end"/>
          </w:r>
          <w:r>
            <w:fldChar w:fldCharType="end"/>
          </w:r>
        </w:p>
        <w:p w14:paraId="6071631B">
          <w:pPr>
            <w:pStyle w:val="14"/>
            <w:tabs>
              <w:tab w:val="right" w:leader="dot" w:pos="8306"/>
              <w:tab w:val="clear" w:pos="8296"/>
            </w:tabs>
          </w:pPr>
          <w:r>
            <w:fldChar w:fldCharType="begin"/>
          </w:r>
          <w:r>
            <w:instrText xml:space="preserve"> HYPERLINK \l _Toc15798 </w:instrText>
          </w:r>
          <w:r>
            <w:fldChar w:fldCharType="separate"/>
          </w:r>
          <w:r>
            <w:rPr>
              <w:rFonts w:hint="eastAsia" w:ascii="黑体" w:hAnsi="黑体" w:eastAsia="黑体"/>
              <w:bCs w:val="0"/>
              <w:lang w:eastAsia="zh-CN"/>
            </w:rPr>
            <w:t>四</w:t>
          </w:r>
          <w:r>
            <w:rPr>
              <w:rFonts w:hint="eastAsia" w:ascii="黑体" w:hAnsi="黑体" w:eastAsia="黑体"/>
              <w:bCs w:val="0"/>
              <w:lang w:val="en-US" w:eastAsia="zh-CN"/>
            </w:rPr>
            <w:t>、财政拨款收入支出决算总体情况说明</w:t>
          </w:r>
          <w:r>
            <w:tab/>
          </w:r>
          <w:r>
            <w:fldChar w:fldCharType="begin"/>
          </w:r>
          <w:r>
            <w:instrText xml:space="preserve"> PAGEREF _Toc15798 \h </w:instrText>
          </w:r>
          <w:r>
            <w:fldChar w:fldCharType="separate"/>
          </w:r>
          <w:r>
            <w:t>- 3 -</w:t>
          </w:r>
          <w:r>
            <w:fldChar w:fldCharType="end"/>
          </w:r>
          <w:r>
            <w:fldChar w:fldCharType="end"/>
          </w:r>
        </w:p>
        <w:p w14:paraId="5D919667">
          <w:pPr>
            <w:pStyle w:val="14"/>
            <w:tabs>
              <w:tab w:val="right" w:leader="dot" w:pos="8306"/>
              <w:tab w:val="clear" w:pos="8296"/>
            </w:tabs>
          </w:pPr>
          <w:r>
            <w:fldChar w:fldCharType="begin"/>
          </w:r>
          <w:r>
            <w:instrText xml:space="preserve"> HYPERLINK \l _Toc26625 </w:instrText>
          </w:r>
          <w:r>
            <w:fldChar w:fldCharType="separate"/>
          </w:r>
          <w:r>
            <w:rPr>
              <w:rFonts w:hint="eastAsia" w:ascii="黑体" w:hAnsi="黑体" w:eastAsia="黑体"/>
              <w:bCs w:val="0"/>
              <w:lang w:eastAsia="zh-CN"/>
            </w:rPr>
            <w:t>五、一般公共预算财政拨款支出决算情况说明</w:t>
          </w:r>
          <w:r>
            <w:tab/>
          </w:r>
          <w:r>
            <w:fldChar w:fldCharType="begin"/>
          </w:r>
          <w:r>
            <w:instrText xml:space="preserve"> PAGEREF _Toc26625 \h </w:instrText>
          </w:r>
          <w:r>
            <w:fldChar w:fldCharType="separate"/>
          </w:r>
          <w:r>
            <w:t>- 4 -</w:t>
          </w:r>
          <w:r>
            <w:fldChar w:fldCharType="end"/>
          </w:r>
          <w:r>
            <w:fldChar w:fldCharType="end"/>
          </w:r>
        </w:p>
        <w:p w14:paraId="2A1C170D">
          <w:pPr>
            <w:pStyle w:val="14"/>
            <w:tabs>
              <w:tab w:val="right" w:leader="dot" w:pos="8306"/>
              <w:tab w:val="clear" w:pos="8296"/>
            </w:tabs>
          </w:pPr>
          <w:r>
            <w:fldChar w:fldCharType="begin"/>
          </w:r>
          <w:r>
            <w:instrText xml:space="preserve"> HYPERLINK \l _Toc31243 </w:instrText>
          </w:r>
          <w:r>
            <w:fldChar w:fldCharType="separate"/>
          </w:r>
          <w:r>
            <w:rPr>
              <w:rFonts w:hint="eastAsia" w:ascii="黑体" w:hAnsi="黑体" w:eastAsia="黑体"/>
              <w:bCs w:val="0"/>
              <w:lang w:eastAsia="zh-CN"/>
            </w:rPr>
            <w:t>六、一般公共预算财政拨款基本支出决算情况说明</w:t>
          </w:r>
          <w:r>
            <w:tab/>
          </w:r>
          <w:r>
            <w:fldChar w:fldCharType="begin"/>
          </w:r>
          <w:r>
            <w:instrText xml:space="preserve"> PAGEREF _Toc31243 \h </w:instrText>
          </w:r>
          <w:r>
            <w:fldChar w:fldCharType="separate"/>
          </w:r>
          <w:r>
            <w:t>- 6 -</w:t>
          </w:r>
          <w:r>
            <w:fldChar w:fldCharType="end"/>
          </w:r>
          <w:r>
            <w:fldChar w:fldCharType="end"/>
          </w:r>
        </w:p>
        <w:p w14:paraId="51229516">
          <w:pPr>
            <w:pStyle w:val="14"/>
            <w:tabs>
              <w:tab w:val="right" w:leader="dot" w:pos="8306"/>
              <w:tab w:val="clear" w:pos="8296"/>
            </w:tabs>
          </w:pPr>
          <w:r>
            <w:fldChar w:fldCharType="begin"/>
          </w:r>
          <w:r>
            <w:instrText xml:space="preserve"> HYPERLINK \l _Toc3601 </w:instrText>
          </w:r>
          <w:r>
            <w:fldChar w:fldCharType="separate"/>
          </w:r>
          <w:r>
            <w:rPr>
              <w:rFonts w:hint="eastAsia" w:ascii="黑体" w:hAnsi="黑体" w:eastAsia="黑体"/>
              <w:bCs w:val="0"/>
              <w:lang w:eastAsia="zh-CN"/>
            </w:rPr>
            <w:t>七、“三公”经费财政拨款支出决算情况说明</w:t>
          </w:r>
          <w:r>
            <w:tab/>
          </w:r>
          <w:r>
            <w:fldChar w:fldCharType="begin"/>
          </w:r>
          <w:r>
            <w:instrText xml:space="preserve"> PAGEREF _Toc3601 \h </w:instrText>
          </w:r>
          <w:r>
            <w:fldChar w:fldCharType="separate"/>
          </w:r>
          <w:r>
            <w:t>- 6 -</w:t>
          </w:r>
          <w:r>
            <w:fldChar w:fldCharType="end"/>
          </w:r>
          <w:r>
            <w:fldChar w:fldCharType="end"/>
          </w:r>
        </w:p>
        <w:p w14:paraId="6C229551">
          <w:pPr>
            <w:pStyle w:val="14"/>
            <w:tabs>
              <w:tab w:val="right" w:leader="dot" w:pos="8306"/>
              <w:tab w:val="clear" w:pos="8296"/>
            </w:tabs>
          </w:pPr>
          <w:r>
            <w:fldChar w:fldCharType="begin"/>
          </w:r>
          <w:r>
            <w:instrText xml:space="preserve"> HYPERLINK \l _Toc13025 </w:instrText>
          </w:r>
          <w:r>
            <w:fldChar w:fldCharType="separate"/>
          </w:r>
          <w:r>
            <w:rPr>
              <w:rFonts w:hint="eastAsia" w:ascii="黑体" w:hAnsi="黑体" w:eastAsia="黑体"/>
              <w:bCs w:val="0"/>
              <w:lang w:eastAsia="zh-CN"/>
            </w:rPr>
            <w:t>八、政府性基金预算支出决算情况说明</w:t>
          </w:r>
          <w:r>
            <w:tab/>
          </w:r>
          <w:r>
            <w:fldChar w:fldCharType="begin"/>
          </w:r>
          <w:r>
            <w:instrText xml:space="preserve"> PAGEREF _Toc13025 \h </w:instrText>
          </w:r>
          <w:r>
            <w:fldChar w:fldCharType="separate"/>
          </w:r>
          <w:r>
            <w:t>- 8 -</w:t>
          </w:r>
          <w:r>
            <w:fldChar w:fldCharType="end"/>
          </w:r>
          <w:r>
            <w:fldChar w:fldCharType="end"/>
          </w:r>
        </w:p>
        <w:p w14:paraId="4CDAF3B7">
          <w:pPr>
            <w:pStyle w:val="14"/>
            <w:tabs>
              <w:tab w:val="right" w:leader="dot" w:pos="8306"/>
              <w:tab w:val="clear" w:pos="8296"/>
            </w:tabs>
          </w:pPr>
          <w:r>
            <w:fldChar w:fldCharType="begin"/>
          </w:r>
          <w:r>
            <w:instrText xml:space="preserve"> HYPERLINK \l _Toc16757 </w:instrText>
          </w:r>
          <w:r>
            <w:fldChar w:fldCharType="separate"/>
          </w:r>
          <w:r>
            <w:rPr>
              <w:rFonts w:hint="eastAsia" w:ascii="黑体" w:hAnsi="黑体" w:eastAsia="黑体"/>
              <w:bCs w:val="0"/>
              <w:lang w:eastAsia="zh-CN"/>
            </w:rPr>
            <w:t>九、国有资本经营预算支出决算情况说明</w:t>
          </w:r>
          <w:r>
            <w:tab/>
          </w:r>
          <w:r>
            <w:fldChar w:fldCharType="begin"/>
          </w:r>
          <w:r>
            <w:instrText xml:space="preserve"> PAGEREF _Toc16757 \h </w:instrText>
          </w:r>
          <w:r>
            <w:fldChar w:fldCharType="separate"/>
          </w:r>
          <w:r>
            <w:t>- 8 -</w:t>
          </w:r>
          <w:r>
            <w:fldChar w:fldCharType="end"/>
          </w:r>
          <w:r>
            <w:fldChar w:fldCharType="end"/>
          </w:r>
        </w:p>
        <w:p w14:paraId="76773D40">
          <w:pPr>
            <w:pStyle w:val="14"/>
            <w:tabs>
              <w:tab w:val="right" w:leader="dot" w:pos="8306"/>
              <w:tab w:val="clear" w:pos="8296"/>
            </w:tabs>
          </w:pPr>
          <w:r>
            <w:fldChar w:fldCharType="begin"/>
          </w:r>
          <w:r>
            <w:instrText xml:space="preserve"> HYPERLINK \l _Toc32672 </w:instrText>
          </w:r>
          <w:r>
            <w:fldChar w:fldCharType="separate"/>
          </w:r>
          <w:r>
            <w:rPr>
              <w:rFonts w:hint="eastAsia" w:ascii="黑体" w:hAnsi="黑体" w:eastAsia="黑体"/>
              <w:bCs w:val="0"/>
              <w:lang w:eastAsia="zh-CN"/>
            </w:rPr>
            <w:t>十、其他重要事项的情况说明</w:t>
          </w:r>
          <w:r>
            <w:tab/>
          </w:r>
          <w:r>
            <w:fldChar w:fldCharType="begin"/>
          </w:r>
          <w:r>
            <w:instrText xml:space="preserve"> PAGEREF _Toc32672 \h </w:instrText>
          </w:r>
          <w:r>
            <w:fldChar w:fldCharType="separate"/>
          </w:r>
          <w:r>
            <w:t>- 8 -</w:t>
          </w:r>
          <w:r>
            <w:fldChar w:fldCharType="end"/>
          </w:r>
          <w:r>
            <w:fldChar w:fldCharType="end"/>
          </w:r>
        </w:p>
        <w:p w14:paraId="0CA9206C">
          <w:pPr>
            <w:pStyle w:val="14"/>
            <w:tabs>
              <w:tab w:val="right" w:leader="dot" w:pos="8306"/>
              <w:tab w:val="clear" w:pos="8296"/>
            </w:tabs>
          </w:pPr>
          <w:r>
            <w:fldChar w:fldCharType="begin"/>
          </w:r>
          <w:r>
            <w:instrText xml:space="preserve"> HYPERLINK \l _Toc9372 </w:instrText>
          </w:r>
          <w:r>
            <w:fldChar w:fldCharType="separate"/>
          </w:r>
          <w:r>
            <w:rPr>
              <w:rFonts w:hint="eastAsia" w:ascii="黑体" w:hAnsi="黑体" w:eastAsia="黑体"/>
              <w:bCs w:val="0"/>
              <w:lang w:eastAsia="zh-CN"/>
            </w:rPr>
            <w:t>十一、预算绩效管理情况</w:t>
          </w:r>
          <w:r>
            <w:tab/>
          </w:r>
          <w:r>
            <w:fldChar w:fldCharType="begin"/>
          </w:r>
          <w:r>
            <w:instrText xml:space="preserve"> PAGEREF _Toc9372 \h </w:instrText>
          </w:r>
          <w:r>
            <w:fldChar w:fldCharType="separate"/>
          </w:r>
          <w:r>
            <w:t>- 9 -</w:t>
          </w:r>
          <w:r>
            <w:fldChar w:fldCharType="end"/>
          </w:r>
          <w:r>
            <w:fldChar w:fldCharType="end"/>
          </w:r>
        </w:p>
        <w:p w14:paraId="6553D9F6">
          <w:pPr>
            <w:pStyle w:val="13"/>
            <w:tabs>
              <w:tab w:val="right" w:leader="dot" w:pos="8306"/>
              <w:tab w:val="clear" w:pos="8296"/>
            </w:tabs>
          </w:pPr>
          <w:r>
            <w:fldChar w:fldCharType="begin"/>
          </w:r>
          <w:r>
            <w:instrText xml:space="preserve"> HYPERLINK \l _Toc32666 </w:instrText>
          </w:r>
          <w: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_Toc32666 \h </w:instrText>
          </w:r>
          <w:r>
            <w:fldChar w:fldCharType="separate"/>
          </w:r>
          <w:r>
            <w:t>- 10 -</w:t>
          </w:r>
          <w:r>
            <w:fldChar w:fldCharType="end"/>
          </w:r>
          <w:r>
            <w:fldChar w:fldCharType="end"/>
          </w:r>
        </w:p>
        <w:p w14:paraId="3E0F00D4">
          <w:pPr>
            <w:pStyle w:val="13"/>
            <w:tabs>
              <w:tab w:val="right" w:leader="dot" w:pos="8306"/>
              <w:tab w:val="clear" w:pos="8296"/>
            </w:tabs>
          </w:pPr>
          <w:r>
            <w:fldChar w:fldCharType="begin"/>
          </w:r>
          <w:r>
            <w:instrText xml:space="preserve"> HYPERLINK \l _Toc6011 </w:instrText>
          </w:r>
          <w: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_Toc6011 \h </w:instrText>
          </w:r>
          <w:r>
            <w:fldChar w:fldCharType="separate"/>
          </w:r>
          <w:r>
            <w:t>- 13 -</w:t>
          </w:r>
          <w:r>
            <w:fldChar w:fldCharType="end"/>
          </w:r>
          <w:r>
            <w:fldChar w:fldCharType="end"/>
          </w:r>
        </w:p>
        <w:p w14:paraId="5E5DF5F6">
          <w:pPr>
            <w:pStyle w:val="14"/>
            <w:tabs>
              <w:tab w:val="right" w:leader="dot" w:pos="8306"/>
              <w:tab w:val="clear" w:pos="8296"/>
            </w:tabs>
          </w:pPr>
          <w:r>
            <w:fldChar w:fldCharType="begin"/>
          </w:r>
          <w:r>
            <w:instrText xml:space="preserve"> HYPERLINK \l _Toc312 </w:instrText>
          </w:r>
          <w:r>
            <w:fldChar w:fldCharType="separate"/>
          </w:r>
          <w:r>
            <w:rPr>
              <w:rFonts w:hint="eastAsia" w:ascii="黑体" w:hAnsi="黑体" w:eastAsia="黑体"/>
              <w:bCs w:val="0"/>
              <w:lang w:eastAsia="zh-CN"/>
            </w:rPr>
            <w:t>一、部门（单位）基本情况</w:t>
          </w:r>
          <w:r>
            <w:tab/>
          </w:r>
          <w:r>
            <w:fldChar w:fldCharType="begin"/>
          </w:r>
          <w:r>
            <w:instrText xml:space="preserve"> PAGEREF _Toc312 \h </w:instrText>
          </w:r>
          <w:r>
            <w:fldChar w:fldCharType="separate"/>
          </w:r>
          <w:r>
            <w:t>- 13 -</w:t>
          </w:r>
          <w:r>
            <w:fldChar w:fldCharType="end"/>
          </w:r>
          <w:r>
            <w:fldChar w:fldCharType="end"/>
          </w:r>
        </w:p>
        <w:p w14:paraId="295AEA6C">
          <w:pPr>
            <w:pStyle w:val="14"/>
            <w:tabs>
              <w:tab w:val="right" w:leader="dot" w:pos="8306"/>
              <w:tab w:val="clear" w:pos="8296"/>
            </w:tabs>
          </w:pPr>
          <w:r>
            <w:fldChar w:fldCharType="begin"/>
          </w:r>
          <w:r>
            <w:instrText xml:space="preserve"> HYPERLINK \l _Toc27662 </w:instrText>
          </w:r>
          <w:r>
            <w:fldChar w:fldCharType="separate"/>
          </w:r>
          <w:r>
            <w:rPr>
              <w:rFonts w:hint="eastAsia" w:ascii="黑体" w:hAnsi="黑体" w:eastAsia="黑体"/>
              <w:bCs w:val="0"/>
              <w:lang w:val="en-US" w:eastAsia="zh-CN"/>
            </w:rPr>
            <w:t>二、部门资金收支情况</w:t>
          </w:r>
          <w:r>
            <w:tab/>
          </w:r>
          <w:r>
            <w:fldChar w:fldCharType="begin"/>
          </w:r>
          <w:r>
            <w:instrText xml:space="preserve"> PAGEREF _Toc27662 \h </w:instrText>
          </w:r>
          <w:r>
            <w:fldChar w:fldCharType="separate"/>
          </w:r>
          <w:r>
            <w:t>- 16 -</w:t>
          </w:r>
          <w:r>
            <w:fldChar w:fldCharType="end"/>
          </w:r>
          <w:r>
            <w:fldChar w:fldCharType="end"/>
          </w:r>
        </w:p>
        <w:p w14:paraId="2A2FEB4C">
          <w:pPr>
            <w:pStyle w:val="14"/>
            <w:tabs>
              <w:tab w:val="right" w:leader="dot" w:pos="8306"/>
              <w:tab w:val="clear" w:pos="8296"/>
            </w:tabs>
          </w:pPr>
          <w:r>
            <w:fldChar w:fldCharType="begin"/>
          </w:r>
          <w:r>
            <w:instrText xml:space="preserve"> HYPERLINK \l _Toc16090 </w:instrText>
          </w:r>
          <w:r>
            <w:fldChar w:fldCharType="separate"/>
          </w:r>
          <w:r>
            <w:rPr>
              <w:rFonts w:hint="eastAsia" w:ascii="黑体" w:hAnsi="黑体" w:eastAsia="黑体"/>
              <w:bCs w:val="0"/>
              <w:lang w:eastAsia="zh-CN"/>
            </w:rPr>
            <w:t>三、部门整体绩效分析</w:t>
          </w:r>
          <w:r>
            <w:tab/>
          </w:r>
          <w:r>
            <w:fldChar w:fldCharType="begin"/>
          </w:r>
          <w:r>
            <w:instrText xml:space="preserve"> PAGEREF _Toc16090 \h </w:instrText>
          </w:r>
          <w:r>
            <w:fldChar w:fldCharType="separate"/>
          </w:r>
          <w:r>
            <w:t>- 17 -</w:t>
          </w:r>
          <w:r>
            <w:fldChar w:fldCharType="end"/>
          </w:r>
          <w:r>
            <w:fldChar w:fldCharType="end"/>
          </w:r>
        </w:p>
        <w:p w14:paraId="029682C7">
          <w:pPr>
            <w:pStyle w:val="14"/>
            <w:tabs>
              <w:tab w:val="right" w:leader="dot" w:pos="8306"/>
              <w:tab w:val="clear" w:pos="8296"/>
            </w:tabs>
          </w:pPr>
          <w:r>
            <w:fldChar w:fldCharType="begin"/>
          </w:r>
          <w:r>
            <w:instrText xml:space="preserve"> HYPERLINK \l _Toc10818 </w:instrText>
          </w:r>
          <w:r>
            <w:fldChar w:fldCharType="separate"/>
          </w:r>
          <w:r>
            <w:rPr>
              <w:rFonts w:hint="eastAsia" w:ascii="黑体" w:hAnsi="黑体" w:eastAsia="黑体"/>
              <w:bCs w:val="0"/>
              <w:lang w:eastAsia="zh-CN"/>
            </w:rPr>
            <w:t>四、评价结论及建议</w:t>
          </w:r>
          <w:r>
            <w:tab/>
          </w:r>
          <w:r>
            <w:fldChar w:fldCharType="begin"/>
          </w:r>
          <w:r>
            <w:instrText xml:space="preserve"> PAGEREF _Toc10818 \h </w:instrText>
          </w:r>
          <w:r>
            <w:fldChar w:fldCharType="separate"/>
          </w:r>
          <w:r>
            <w:t>- 22 -</w:t>
          </w:r>
          <w:r>
            <w:fldChar w:fldCharType="end"/>
          </w:r>
          <w:r>
            <w:fldChar w:fldCharType="end"/>
          </w:r>
        </w:p>
        <w:p w14:paraId="0DFF7201">
          <w:pPr>
            <w:pStyle w:val="13"/>
            <w:tabs>
              <w:tab w:val="right" w:leader="dot" w:pos="8306"/>
              <w:tab w:val="clear" w:pos="8296"/>
            </w:tabs>
          </w:pPr>
          <w:r>
            <w:fldChar w:fldCharType="begin"/>
          </w:r>
          <w:r>
            <w:instrText xml:space="preserve"> HYPERLINK \l _Toc9106 </w:instrText>
          </w:r>
          <w: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_Toc9106 \h </w:instrText>
          </w:r>
          <w:r>
            <w:fldChar w:fldCharType="separate"/>
          </w:r>
          <w:r>
            <w:t>- 70 -</w:t>
          </w:r>
          <w:r>
            <w:fldChar w:fldCharType="end"/>
          </w:r>
          <w:r>
            <w:fldChar w:fldCharType="end"/>
          </w:r>
        </w:p>
        <w:p w14:paraId="7040DFC6">
          <w:pPr>
            <w:pStyle w:val="14"/>
            <w:tabs>
              <w:tab w:val="right" w:leader="dot" w:pos="8306"/>
              <w:tab w:val="clear" w:pos="8296"/>
            </w:tabs>
          </w:pPr>
          <w:r>
            <w:fldChar w:fldCharType="begin"/>
          </w:r>
          <w:r>
            <w:instrText xml:space="preserve"> HYPERLINK \l _Toc4151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_Toc4151 \h </w:instrText>
          </w:r>
          <w:r>
            <w:fldChar w:fldCharType="separate"/>
          </w:r>
          <w:r>
            <w:t>- 70 -</w:t>
          </w:r>
          <w:r>
            <w:fldChar w:fldCharType="end"/>
          </w:r>
          <w:r>
            <w:fldChar w:fldCharType="end"/>
          </w:r>
        </w:p>
        <w:p w14:paraId="17A2A0A1">
          <w:pPr>
            <w:pStyle w:val="14"/>
            <w:tabs>
              <w:tab w:val="right" w:leader="dot" w:pos="8306"/>
              <w:tab w:val="clear" w:pos="8296"/>
            </w:tabs>
          </w:pPr>
          <w:r>
            <w:fldChar w:fldCharType="begin"/>
          </w:r>
          <w:r>
            <w:instrText xml:space="preserve"> HYPERLINK \l _Toc24314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_Toc24314 \h </w:instrText>
          </w:r>
          <w:r>
            <w:fldChar w:fldCharType="separate"/>
          </w:r>
          <w:r>
            <w:t>- 70 -</w:t>
          </w:r>
          <w:r>
            <w:fldChar w:fldCharType="end"/>
          </w:r>
          <w:r>
            <w:fldChar w:fldCharType="end"/>
          </w:r>
        </w:p>
        <w:p w14:paraId="5CE034FC">
          <w:pPr>
            <w:pStyle w:val="14"/>
            <w:tabs>
              <w:tab w:val="right" w:leader="dot" w:pos="8306"/>
              <w:tab w:val="clear" w:pos="8296"/>
            </w:tabs>
          </w:pPr>
          <w:r>
            <w:fldChar w:fldCharType="begin"/>
          </w:r>
          <w:r>
            <w:instrText xml:space="preserve"> HYPERLINK \l _Toc6476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_Toc6476 \h </w:instrText>
          </w:r>
          <w:r>
            <w:fldChar w:fldCharType="separate"/>
          </w:r>
          <w:r>
            <w:t>- 70 -</w:t>
          </w:r>
          <w:r>
            <w:fldChar w:fldCharType="end"/>
          </w:r>
          <w:r>
            <w:fldChar w:fldCharType="end"/>
          </w:r>
        </w:p>
        <w:p w14:paraId="2D66E452">
          <w:pPr>
            <w:pStyle w:val="14"/>
            <w:tabs>
              <w:tab w:val="right" w:leader="dot" w:pos="8306"/>
              <w:tab w:val="clear" w:pos="8296"/>
            </w:tabs>
          </w:pPr>
          <w:r>
            <w:fldChar w:fldCharType="begin"/>
          </w:r>
          <w:r>
            <w:instrText xml:space="preserve"> HYPERLINK \l _Toc2162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_Toc2162 \h </w:instrText>
          </w:r>
          <w:r>
            <w:fldChar w:fldCharType="separate"/>
          </w:r>
          <w:r>
            <w:t>- 70 -</w:t>
          </w:r>
          <w:r>
            <w:fldChar w:fldCharType="end"/>
          </w:r>
          <w:r>
            <w:fldChar w:fldCharType="end"/>
          </w:r>
        </w:p>
        <w:p w14:paraId="53245253">
          <w:pPr>
            <w:pStyle w:val="14"/>
            <w:tabs>
              <w:tab w:val="right" w:leader="dot" w:pos="8306"/>
              <w:tab w:val="clear" w:pos="8296"/>
            </w:tabs>
          </w:pPr>
          <w:r>
            <w:fldChar w:fldCharType="begin"/>
          </w:r>
          <w:r>
            <w:instrText xml:space="preserve"> HYPERLINK \l _Toc27355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_Toc27355 \h </w:instrText>
          </w:r>
          <w:r>
            <w:fldChar w:fldCharType="separate"/>
          </w:r>
          <w:r>
            <w:t>- 70 -</w:t>
          </w:r>
          <w:r>
            <w:fldChar w:fldCharType="end"/>
          </w:r>
          <w:r>
            <w:fldChar w:fldCharType="end"/>
          </w:r>
        </w:p>
        <w:p w14:paraId="5920405D">
          <w:pPr>
            <w:pStyle w:val="14"/>
            <w:tabs>
              <w:tab w:val="right" w:leader="dot" w:pos="8306"/>
              <w:tab w:val="clear" w:pos="8296"/>
            </w:tabs>
          </w:pPr>
          <w:r>
            <w:fldChar w:fldCharType="begin"/>
          </w:r>
          <w:r>
            <w:instrText xml:space="preserve"> HYPERLINK \l _Toc21891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_Toc21891 \h </w:instrText>
          </w:r>
          <w:r>
            <w:fldChar w:fldCharType="separate"/>
          </w:r>
          <w:r>
            <w:t>- 70 -</w:t>
          </w:r>
          <w:r>
            <w:fldChar w:fldCharType="end"/>
          </w:r>
          <w:r>
            <w:fldChar w:fldCharType="end"/>
          </w:r>
        </w:p>
        <w:p w14:paraId="13039A4E">
          <w:pPr>
            <w:pStyle w:val="14"/>
            <w:tabs>
              <w:tab w:val="right" w:leader="dot" w:pos="8306"/>
              <w:tab w:val="clear" w:pos="8296"/>
            </w:tabs>
          </w:pPr>
          <w:r>
            <w:fldChar w:fldCharType="begin"/>
          </w:r>
          <w:r>
            <w:instrText xml:space="preserve"> HYPERLINK \l _Toc15248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_Toc15248 \h </w:instrText>
          </w:r>
          <w:r>
            <w:fldChar w:fldCharType="separate"/>
          </w:r>
          <w:r>
            <w:t>- 70 -</w:t>
          </w:r>
          <w:r>
            <w:fldChar w:fldCharType="end"/>
          </w:r>
          <w:r>
            <w:fldChar w:fldCharType="end"/>
          </w:r>
        </w:p>
        <w:p w14:paraId="3F8209AF">
          <w:pPr>
            <w:pStyle w:val="14"/>
            <w:tabs>
              <w:tab w:val="right" w:leader="dot" w:pos="8306"/>
              <w:tab w:val="clear" w:pos="8296"/>
            </w:tabs>
          </w:pPr>
          <w:r>
            <w:fldChar w:fldCharType="begin"/>
          </w:r>
          <w:r>
            <w:instrText xml:space="preserve"> HYPERLINK \l _Toc17478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_Toc17478 \h </w:instrText>
          </w:r>
          <w:r>
            <w:fldChar w:fldCharType="separate"/>
          </w:r>
          <w:r>
            <w:t>- 70 -</w:t>
          </w:r>
          <w:r>
            <w:fldChar w:fldCharType="end"/>
          </w:r>
          <w:r>
            <w:fldChar w:fldCharType="end"/>
          </w:r>
        </w:p>
        <w:p w14:paraId="2F5D535D">
          <w:pPr>
            <w:pStyle w:val="14"/>
            <w:tabs>
              <w:tab w:val="right" w:leader="dot" w:pos="8306"/>
              <w:tab w:val="clear" w:pos="8296"/>
            </w:tabs>
          </w:pPr>
          <w:r>
            <w:fldChar w:fldCharType="begin"/>
          </w:r>
          <w:r>
            <w:instrText xml:space="preserve"> HYPERLINK \l _Toc12992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_Toc12992 \h </w:instrText>
          </w:r>
          <w:r>
            <w:fldChar w:fldCharType="separate"/>
          </w:r>
          <w:r>
            <w:t>- 70 -</w:t>
          </w:r>
          <w:r>
            <w:fldChar w:fldCharType="end"/>
          </w:r>
          <w:r>
            <w:fldChar w:fldCharType="end"/>
          </w:r>
        </w:p>
        <w:p w14:paraId="1DBDB1BB">
          <w:pPr>
            <w:pStyle w:val="14"/>
            <w:tabs>
              <w:tab w:val="right" w:leader="dot" w:pos="8306"/>
              <w:tab w:val="clear" w:pos="8296"/>
            </w:tabs>
          </w:pPr>
          <w:r>
            <w:fldChar w:fldCharType="begin"/>
          </w:r>
          <w:r>
            <w:instrText xml:space="preserve"> HYPERLINK \l _Toc25074 </w:instrText>
          </w:r>
          <w:r>
            <w:fldChar w:fldCharType="separate"/>
          </w:r>
          <w:r>
            <w:rPr>
              <w:rFonts w:hint="eastAsia" w:ascii="仿宋" w:hAnsi="仿宋" w:eastAsia="仿宋"/>
              <w:bCs w:val="0"/>
            </w:rPr>
            <w:t>十、</w:t>
          </w:r>
          <w:r>
            <w:rPr>
              <w:rFonts w:hint="eastAsia" w:ascii="仿宋" w:hAnsi="仿宋" w:eastAsia="仿宋"/>
            </w:rPr>
            <w:t>一</w:t>
          </w:r>
          <w:r>
            <w:rPr>
              <w:rFonts w:hint="eastAsia" w:ascii="仿宋" w:hAnsi="仿宋" w:eastAsia="仿宋"/>
              <w:bCs w:val="0"/>
            </w:rPr>
            <w:t>般公共预算财政拨款“三公”经费支出决算表</w:t>
          </w:r>
          <w:r>
            <w:tab/>
          </w:r>
          <w:r>
            <w:fldChar w:fldCharType="begin"/>
          </w:r>
          <w:r>
            <w:instrText xml:space="preserve"> PAGEREF _Toc25074 \h </w:instrText>
          </w:r>
          <w:r>
            <w:fldChar w:fldCharType="separate"/>
          </w:r>
          <w:r>
            <w:t>- 70 -</w:t>
          </w:r>
          <w:r>
            <w:fldChar w:fldCharType="end"/>
          </w:r>
          <w:r>
            <w:fldChar w:fldCharType="end"/>
          </w:r>
        </w:p>
        <w:p w14:paraId="7B65F880">
          <w:pPr>
            <w:pStyle w:val="14"/>
            <w:tabs>
              <w:tab w:val="right" w:leader="dot" w:pos="8306"/>
              <w:tab w:val="clear" w:pos="8296"/>
            </w:tabs>
          </w:pPr>
          <w:r>
            <w:fldChar w:fldCharType="begin"/>
          </w:r>
          <w:r>
            <w:instrText xml:space="preserve"> HYPERLINK \l _Toc26411 </w:instrText>
          </w:r>
          <w:r>
            <w:fldChar w:fldCharType="separate"/>
          </w:r>
          <w:r>
            <w:rPr>
              <w:rFonts w:hint="eastAsia" w:ascii="仿宋" w:hAnsi="仿宋" w:eastAsia="仿宋"/>
              <w:bCs w:val="0"/>
            </w:rPr>
            <w:t>十一、</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_Toc26411 \h </w:instrText>
          </w:r>
          <w:r>
            <w:fldChar w:fldCharType="separate"/>
          </w:r>
          <w:r>
            <w:t>- 70 -</w:t>
          </w:r>
          <w:r>
            <w:fldChar w:fldCharType="end"/>
          </w:r>
          <w:r>
            <w:fldChar w:fldCharType="end"/>
          </w:r>
        </w:p>
        <w:p w14:paraId="3BD3AC4E">
          <w:pPr>
            <w:pStyle w:val="14"/>
            <w:tabs>
              <w:tab w:val="right" w:leader="dot" w:pos="8306"/>
              <w:tab w:val="clear" w:pos="8296"/>
            </w:tabs>
          </w:pPr>
          <w:r>
            <w:fldChar w:fldCharType="begin"/>
          </w:r>
          <w:r>
            <w:instrText xml:space="preserve"> HYPERLINK \l _Toc22280 </w:instrText>
          </w:r>
          <w:r>
            <w:fldChar w:fldCharType="separate"/>
          </w:r>
          <w:r>
            <w:rPr>
              <w:rFonts w:hint="eastAsia" w:ascii="仿宋" w:hAnsi="仿宋" w:eastAsia="仿宋"/>
              <w:bCs w:val="0"/>
            </w:rPr>
            <w:t>十二、</w:t>
          </w:r>
          <w:r>
            <w:rPr>
              <w:rFonts w:hint="eastAsia" w:ascii="仿宋" w:hAnsi="仿宋" w:eastAsia="仿宋"/>
            </w:rPr>
            <w:t>政</w:t>
          </w:r>
          <w:r>
            <w:rPr>
              <w:rFonts w:hint="eastAsia" w:ascii="仿宋" w:hAnsi="仿宋" w:eastAsia="仿宋"/>
              <w:bCs w:val="0"/>
            </w:rPr>
            <w:t>府性基金预算财政拨款“三公”经费支出决算表</w:t>
          </w:r>
          <w:r>
            <w:tab/>
          </w:r>
          <w:r>
            <w:fldChar w:fldCharType="begin"/>
          </w:r>
          <w:r>
            <w:instrText xml:space="preserve"> PAGEREF _Toc22280 \h </w:instrText>
          </w:r>
          <w:r>
            <w:fldChar w:fldCharType="separate"/>
          </w:r>
          <w:r>
            <w:t>- 70 -</w:t>
          </w:r>
          <w:r>
            <w:fldChar w:fldCharType="end"/>
          </w:r>
          <w:r>
            <w:fldChar w:fldCharType="end"/>
          </w:r>
        </w:p>
        <w:p w14:paraId="546BDAF5">
          <w:pPr>
            <w:pStyle w:val="14"/>
            <w:tabs>
              <w:tab w:val="right" w:leader="dot" w:pos="8306"/>
              <w:tab w:val="clear" w:pos="8296"/>
            </w:tabs>
          </w:pPr>
          <w:r>
            <w:fldChar w:fldCharType="begin"/>
          </w:r>
          <w:r>
            <w:instrText xml:space="preserve"> HYPERLINK \l _Toc8454 </w:instrText>
          </w:r>
          <w:r>
            <w:fldChar w:fldCharType="separate"/>
          </w:r>
          <w:r>
            <w:rPr>
              <w:rFonts w:hint="eastAsia" w:ascii="仿宋" w:hAnsi="仿宋" w:eastAsia="仿宋"/>
              <w:bCs w:val="0"/>
            </w:rPr>
            <w:t>十三、</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_Toc8454 \h </w:instrText>
          </w:r>
          <w:r>
            <w:fldChar w:fldCharType="separate"/>
          </w:r>
          <w:r>
            <w:t>- 70 -</w:t>
          </w:r>
          <w:r>
            <w:fldChar w:fldCharType="end"/>
          </w:r>
          <w:r>
            <w:fldChar w:fldCharType="end"/>
          </w:r>
        </w:p>
        <w:p w14:paraId="7D963412">
          <w:pPr>
            <w:pStyle w:val="14"/>
            <w:tabs>
              <w:tab w:val="right" w:leader="dot" w:pos="8306"/>
              <w:tab w:val="clear" w:pos="8296"/>
            </w:tabs>
            <w:rPr>
              <w:rFonts w:ascii="黑体" w:hAnsi="黑体" w:eastAsia="黑体"/>
              <w:b w:val="0"/>
            </w:rPr>
            <w:sectPr>
              <w:footerReference r:id="rId10" w:type="first"/>
              <w:footerReference r:id="rId9" w:type="default"/>
              <w:pgSz w:w="11906" w:h="16838"/>
              <w:pgMar w:top="1440" w:right="1800" w:bottom="1440" w:left="1800" w:header="851" w:footer="992" w:gutter="0"/>
              <w:pgNumType w:fmt="numberInDash" w:start="1"/>
              <w:cols w:space="425" w:num="1"/>
              <w:docGrid w:type="lines" w:linePitch="312" w:charSpace="0"/>
            </w:sectPr>
          </w:pPr>
          <w:r>
            <w:fldChar w:fldCharType="begin"/>
          </w:r>
          <w:r>
            <w:instrText xml:space="preserve"> HYPERLINK \l _Toc28088 </w:instrText>
          </w:r>
          <w:r>
            <w:fldChar w:fldCharType="separate"/>
          </w:r>
          <w:r>
            <w:rPr>
              <w:rFonts w:hint="eastAsia" w:ascii="仿宋" w:hAnsi="仿宋" w:eastAsia="仿宋"/>
              <w:bCs w:val="0"/>
            </w:rPr>
            <w:t>十四、国有资本经营预算财政拨款支出决算表</w:t>
          </w:r>
          <w:r>
            <w:tab/>
          </w:r>
          <w:r>
            <w:fldChar w:fldCharType="begin"/>
          </w:r>
          <w:r>
            <w:instrText xml:space="preserve"> PAGEREF _Toc28088 \h </w:instrText>
          </w:r>
          <w:r>
            <w:fldChar w:fldCharType="separate"/>
          </w:r>
          <w:r>
            <w:t>- 70 -</w:t>
          </w:r>
          <w:r>
            <w:fldChar w:fldCharType="end"/>
          </w:r>
          <w:r>
            <w:fldChar w:fldCharType="end"/>
          </w:r>
          <w:r>
            <w:rPr>
              <w:b/>
            </w:rPr>
            <w:fldChar w:fldCharType="end"/>
          </w:r>
          <w:bookmarkStart w:id="22" w:name="_Toc15396599"/>
          <w:bookmarkStart w:id="23" w:name="_Toc15377196"/>
        </w:p>
      </w:sdtContent>
    </w:sdt>
    <w:p w14:paraId="587B9292">
      <w:pPr>
        <w:pStyle w:val="3"/>
        <w:jc w:val="center"/>
        <w:rPr>
          <w:rStyle w:val="30"/>
          <w:rFonts w:ascii="黑体" w:hAnsi="黑体" w:eastAsia="黑体"/>
          <w:b/>
          <w:bCs w:val="0"/>
        </w:rPr>
      </w:pPr>
      <w:bookmarkStart w:id="24" w:name="_Toc27917"/>
      <w:r>
        <w:rPr>
          <w:rFonts w:hint="eastAsia" w:ascii="黑体" w:hAnsi="黑体" w:eastAsia="黑体"/>
          <w:b w:val="0"/>
        </w:rPr>
        <w:t xml:space="preserve">第一部分 </w:t>
      </w:r>
      <w:r>
        <w:rPr>
          <w:rFonts w:hint="eastAsia" w:ascii="黑体" w:hAnsi="黑体" w:eastAsia="黑体"/>
          <w:b w:val="0"/>
          <w:lang w:eastAsia="zh-CN"/>
        </w:rPr>
        <w:t>部门</w:t>
      </w:r>
      <w:r>
        <w:rPr>
          <w:rStyle w:val="30"/>
          <w:rFonts w:hint="eastAsia" w:ascii="黑体" w:hAnsi="黑体" w:eastAsia="黑体"/>
          <w:b w:val="0"/>
          <w:bCs w:val="0"/>
        </w:rPr>
        <w:t>概况</w:t>
      </w:r>
      <w:bookmarkEnd w:id="22"/>
      <w:bookmarkEnd w:id="23"/>
      <w:bookmarkEnd w:id="24"/>
    </w:p>
    <w:p w14:paraId="5FA71A2C">
      <w:pPr>
        <w:pStyle w:val="4"/>
        <w:numPr>
          <w:ilvl w:val="0"/>
          <w:numId w:val="0"/>
        </w:numPr>
        <w:ind w:leftChars="0"/>
        <w:rPr>
          <w:rStyle w:val="31"/>
          <w:rFonts w:ascii="黑体" w:hAnsi="黑体" w:eastAsia="黑体"/>
          <w:b w:val="0"/>
          <w:bCs w:val="0"/>
          <w:color w:val="000000" w:themeColor="text1"/>
        </w:rPr>
      </w:pPr>
      <w:bookmarkStart w:id="25" w:name="_Toc276"/>
      <w:bookmarkStart w:id="26" w:name="_Toc15377197"/>
      <w:bookmarkStart w:id="27" w:name="_Toc15396600"/>
      <w:r>
        <w:rPr>
          <w:rStyle w:val="31"/>
          <w:rFonts w:hint="eastAsia" w:ascii="黑体" w:hAnsi="黑体" w:eastAsia="黑体"/>
          <w:b w:val="0"/>
          <w:bCs w:val="0"/>
          <w:color w:val="000000" w:themeColor="text1"/>
          <w:lang w:eastAsia="zh-CN"/>
        </w:rPr>
        <w:t>一、部门职责</w:t>
      </w:r>
      <w:bookmarkEnd w:id="25"/>
    </w:p>
    <w:p w14:paraId="7EB4833B">
      <w:pPr>
        <w:spacing w:line="600" w:lineRule="exact"/>
        <w:ind w:firstLine="640"/>
        <w:rPr>
          <w:rFonts w:hint="eastAsia"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一、贯彻执行党和国家的路线、方针、政策和落实区委区政府的决议、决定。</w:t>
      </w:r>
    </w:p>
    <w:p w14:paraId="4A97AA47">
      <w:pPr>
        <w:spacing w:line="600" w:lineRule="exact"/>
        <w:ind w:firstLine="640"/>
        <w:rPr>
          <w:rFonts w:hint="eastAsia"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二、负责编制经开区经济发展规划并经批准后组织实施。</w:t>
      </w:r>
    </w:p>
    <w:p w14:paraId="0D6B06A5">
      <w:pPr>
        <w:spacing w:line="600" w:lineRule="exact"/>
        <w:ind w:firstLine="640"/>
        <w:rPr>
          <w:rFonts w:hint="eastAsia"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三、负责经开区内基础设施建设，协助做好公共设施建设和管理工作。</w:t>
      </w:r>
    </w:p>
    <w:p w14:paraId="55C70D4A">
      <w:pPr>
        <w:spacing w:line="600" w:lineRule="exact"/>
        <w:ind w:firstLine="640"/>
        <w:rPr>
          <w:rFonts w:hint="eastAsia"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四、协调协助做好经济开发区内设计的征地、拆迁工作。</w:t>
      </w:r>
    </w:p>
    <w:p w14:paraId="2DFDE996">
      <w:pPr>
        <w:spacing w:line="600" w:lineRule="exact"/>
        <w:ind w:firstLine="640"/>
        <w:rPr>
          <w:rFonts w:hint="eastAsia"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五、负责入园项目的审核、建设推进和协调服务工作。</w:t>
      </w:r>
      <w:r>
        <w:rPr>
          <w:rFonts w:hint="eastAsia" w:asciiTheme="minorEastAsia" w:hAnsiTheme="minorEastAsia" w:eastAsiaTheme="minorEastAsia"/>
          <w:color w:val="000000"/>
          <w:sz w:val="30"/>
          <w:szCs w:val="30"/>
        </w:rPr>
        <w:tab/>
      </w:r>
    </w:p>
    <w:p w14:paraId="39D92C36">
      <w:pPr>
        <w:spacing w:line="600" w:lineRule="exact"/>
        <w:ind w:firstLine="640"/>
        <w:rPr>
          <w:rFonts w:hint="eastAsia"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六、协调相关部门做好经济开发区内的企业运行保障；做好招商引资和经济技术合作工作。</w:t>
      </w:r>
    </w:p>
    <w:p w14:paraId="3DAACAC0">
      <w:pPr>
        <w:spacing w:line="600" w:lineRule="exact"/>
        <w:ind w:firstLine="640"/>
        <w:rPr>
          <w:rFonts w:hint="eastAsia"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七、协调协助有关部门做好有关经济开发区内安全生产监督管理、环境保护和依法治区工作。</w:t>
      </w:r>
    </w:p>
    <w:p w14:paraId="201E504C">
      <w:pPr>
        <w:spacing w:line="600" w:lineRule="exact"/>
        <w:ind w:firstLine="640"/>
        <w:rPr>
          <w:rFonts w:hint="eastAsia"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八、完成区委和区政府交办的其他工作。</w:t>
      </w:r>
    </w:p>
    <w:p w14:paraId="51660D68">
      <w:pPr>
        <w:pStyle w:val="4"/>
        <w:numPr>
          <w:ilvl w:val="0"/>
          <w:numId w:val="0"/>
        </w:numPr>
        <w:ind w:leftChars="0"/>
        <w:rPr>
          <w:rStyle w:val="31"/>
          <w:rFonts w:hint="eastAsia" w:ascii="黑体" w:hAnsi="黑体" w:eastAsia="黑体"/>
          <w:b w:val="0"/>
          <w:bCs w:val="0"/>
          <w:color w:val="000000" w:themeColor="text1"/>
          <w:lang w:eastAsia="zh-CN"/>
        </w:rPr>
      </w:pPr>
      <w:bookmarkStart w:id="28" w:name="_Toc9638"/>
      <w:bookmarkStart w:id="29" w:name="_Toc14368"/>
      <w:r>
        <w:rPr>
          <w:rStyle w:val="31"/>
          <w:rFonts w:hint="eastAsia" w:ascii="黑体" w:hAnsi="黑体" w:eastAsia="黑体"/>
          <w:b w:val="0"/>
          <w:bCs w:val="0"/>
          <w:color w:val="000000" w:themeColor="text1"/>
          <w:lang w:eastAsia="zh-CN"/>
        </w:rPr>
        <w:t>二、机构设置</w:t>
      </w:r>
      <w:bookmarkEnd w:id="28"/>
      <w:bookmarkEnd w:id="29"/>
    </w:p>
    <w:p w14:paraId="3A7AF6EF">
      <w:pPr>
        <w:spacing w:line="600" w:lineRule="exact"/>
        <w:ind w:firstLine="640"/>
        <w:rPr>
          <w:rFonts w:hint="eastAsia" w:asciiTheme="minorEastAsia" w:hAnsiTheme="minorEastAsia" w:eastAsiaTheme="minorEastAsia"/>
          <w:color w:val="000000"/>
          <w:sz w:val="30"/>
          <w:szCs w:val="30"/>
          <w:lang w:val="en-US" w:eastAsia="zh-CN"/>
        </w:rPr>
      </w:pPr>
      <w:r>
        <w:rPr>
          <w:rFonts w:hint="eastAsia" w:asciiTheme="minorEastAsia" w:hAnsiTheme="minorEastAsia" w:eastAsiaTheme="minorEastAsia"/>
          <w:color w:val="000000"/>
          <w:sz w:val="30"/>
          <w:szCs w:val="30"/>
          <w:lang w:val="en-US" w:eastAsia="zh-CN"/>
        </w:rPr>
        <w:t xml:space="preserve"> 昭化经开区无下属二级预算单位，其中行政单位0个，参照公务员法管理的事业单位个，其他事业单位个。</w:t>
      </w:r>
    </w:p>
    <w:bookmarkEnd w:id="26"/>
    <w:bookmarkEnd w:id="27"/>
    <w:p w14:paraId="577C4380">
      <w:pPr>
        <w:pStyle w:val="3"/>
        <w:ind w:right="440"/>
        <w:jc w:val="center"/>
        <w:rPr>
          <w:rStyle w:val="30"/>
          <w:rFonts w:ascii="黑体" w:hAnsi="黑体" w:eastAsia="黑体"/>
          <w:b w:val="0"/>
          <w:bCs/>
        </w:rPr>
      </w:pPr>
      <w:bookmarkStart w:id="30" w:name="_Toc15377204"/>
      <w:bookmarkStart w:id="31" w:name="_Toc15396602"/>
      <w:bookmarkStart w:id="32" w:name="_Toc13803"/>
      <w:r>
        <w:rPr>
          <w:rFonts w:hint="eastAsia" w:ascii="黑体" w:hAnsi="黑体" w:eastAsia="黑体"/>
          <w:b w:val="0"/>
        </w:rPr>
        <w:t>第二部分 2022年度</w:t>
      </w:r>
      <w:r>
        <w:rPr>
          <w:rStyle w:val="30"/>
          <w:rFonts w:hint="eastAsia" w:ascii="黑体" w:hAnsi="黑体" w:eastAsia="黑体"/>
          <w:b w:val="0"/>
          <w:bCs/>
        </w:rPr>
        <w:t>单位决算情况说明</w:t>
      </w:r>
      <w:bookmarkEnd w:id="30"/>
      <w:bookmarkEnd w:id="31"/>
      <w:bookmarkEnd w:id="32"/>
    </w:p>
    <w:p w14:paraId="4B627596">
      <w:pPr>
        <w:pStyle w:val="4"/>
        <w:numPr>
          <w:ilvl w:val="0"/>
          <w:numId w:val="0"/>
        </w:numPr>
        <w:ind w:leftChars="0"/>
        <w:rPr>
          <w:rStyle w:val="31"/>
          <w:rFonts w:hint="eastAsia" w:ascii="黑体" w:hAnsi="黑体" w:eastAsia="黑体"/>
          <w:b w:val="0"/>
          <w:bCs w:val="0"/>
          <w:color w:val="000000" w:themeColor="text1"/>
          <w:lang w:eastAsia="zh-CN"/>
        </w:rPr>
      </w:pPr>
      <w:bookmarkStart w:id="33" w:name="_Toc15377205"/>
      <w:bookmarkStart w:id="34" w:name="_Toc15396603"/>
      <w:bookmarkStart w:id="35" w:name="_Toc27485"/>
      <w:r>
        <w:rPr>
          <w:rStyle w:val="31"/>
          <w:rFonts w:hint="eastAsia" w:ascii="黑体" w:hAnsi="黑体" w:eastAsia="黑体"/>
          <w:b w:val="0"/>
          <w:bCs w:val="0"/>
          <w:color w:val="000000" w:themeColor="text1"/>
          <w:lang w:eastAsia="zh-CN"/>
        </w:rPr>
        <w:t>一、收入支出决算总体情况说明</w:t>
      </w:r>
      <w:bookmarkEnd w:id="33"/>
      <w:bookmarkEnd w:id="34"/>
      <w:bookmarkEnd w:id="35"/>
    </w:p>
    <w:p w14:paraId="13438B7E">
      <w:pPr>
        <w:spacing w:line="600" w:lineRule="exact"/>
        <w:ind w:firstLine="600" w:firstLineChars="200"/>
        <w:jc w:val="left"/>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2022年度收、支总计26018.95万元。与202</w:t>
      </w:r>
      <w:r>
        <w:rPr>
          <w:rFonts w:hint="eastAsia" w:asciiTheme="minorEastAsia" w:hAnsiTheme="minorEastAsia" w:eastAsiaTheme="minorEastAsia"/>
          <w:color w:val="000000"/>
          <w:sz w:val="30"/>
          <w:szCs w:val="30"/>
          <w:lang w:val="en-US" w:eastAsia="zh-CN"/>
        </w:rPr>
        <w:t>1</w:t>
      </w:r>
      <w:r>
        <w:rPr>
          <w:rFonts w:hint="eastAsia" w:asciiTheme="minorEastAsia" w:hAnsiTheme="minorEastAsia" w:eastAsiaTheme="minorEastAsia"/>
          <w:color w:val="000000"/>
          <w:sz w:val="30"/>
          <w:szCs w:val="30"/>
        </w:rPr>
        <w:t>年38665.3万元相比，收、支总计各减少12646.35万元，减少32.71</w:t>
      </w:r>
      <w:r>
        <w:rPr>
          <w:rFonts w:asciiTheme="minorEastAsia" w:hAnsiTheme="minorEastAsia" w:eastAsiaTheme="minorEastAsia"/>
          <w:color w:val="000000"/>
          <w:sz w:val="30"/>
          <w:szCs w:val="30"/>
        </w:rPr>
        <w:t>%</w:t>
      </w:r>
      <w:r>
        <w:rPr>
          <w:rFonts w:hint="eastAsia" w:asciiTheme="minorEastAsia" w:hAnsiTheme="minorEastAsia" w:eastAsiaTheme="minorEastAsia"/>
          <w:color w:val="000000"/>
          <w:sz w:val="30"/>
          <w:szCs w:val="30"/>
        </w:rPr>
        <w:t>。主要变动原因是减少了家居产业城建设资金（专项债券资金）。</w:t>
      </w:r>
    </w:p>
    <w:p w14:paraId="269B2E7B">
      <w:pPr>
        <w:pStyle w:val="21"/>
      </w:pPr>
      <w:r>
        <w:rPr>
          <w:rFonts w:hint="eastAsia"/>
        </w:rPr>
        <w:t xml:space="preserve">             </w:t>
      </w:r>
      <w:r>
        <w:drawing>
          <wp:inline distT="0" distB="0" distL="114300" distR="114300">
            <wp:extent cx="3067050" cy="1972310"/>
            <wp:effectExtent l="5080" t="4445" r="13970"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9D6C3A">
      <w:pPr>
        <w:pStyle w:val="4"/>
        <w:numPr>
          <w:ilvl w:val="0"/>
          <w:numId w:val="0"/>
        </w:numPr>
        <w:ind w:leftChars="0"/>
        <w:rPr>
          <w:rStyle w:val="31"/>
          <w:rFonts w:hint="eastAsia" w:ascii="黑体" w:hAnsi="黑体" w:eastAsia="黑体"/>
          <w:b w:val="0"/>
          <w:bCs w:val="0"/>
          <w:color w:val="000000" w:themeColor="text1"/>
          <w:lang w:eastAsia="zh-CN"/>
        </w:rPr>
      </w:pPr>
      <w:bookmarkStart w:id="36" w:name="_Toc14260"/>
      <w:bookmarkStart w:id="37" w:name="_Toc15377206"/>
      <w:bookmarkStart w:id="38" w:name="_Toc15396604"/>
      <w:r>
        <w:rPr>
          <w:rStyle w:val="31"/>
          <w:rFonts w:hint="eastAsia" w:ascii="黑体" w:hAnsi="黑体" w:eastAsia="黑体"/>
          <w:b w:val="0"/>
          <w:bCs w:val="0"/>
          <w:color w:val="000000" w:themeColor="text1"/>
          <w:lang w:eastAsia="zh-CN"/>
        </w:rPr>
        <w:t>二、收入决算情况说明</w:t>
      </w:r>
      <w:bookmarkEnd w:id="36"/>
      <w:bookmarkEnd w:id="37"/>
      <w:bookmarkEnd w:id="38"/>
    </w:p>
    <w:p w14:paraId="196CD745">
      <w:pPr>
        <w:pStyle w:val="2"/>
        <w:adjustRightInd w:val="0"/>
        <w:snapToGrid w:val="0"/>
        <w:spacing w:beforeLines="0" w:line="576" w:lineRule="exact"/>
        <w:ind w:firstLine="640" w:firstLineChars="200"/>
        <w:outlineLvl w:val="2"/>
        <w:rPr>
          <w:rFonts w:ascii="Times New Roman"/>
          <w:bCs/>
          <w:color w:val="000000"/>
          <w:sz w:val="32"/>
          <w:szCs w:val="32"/>
        </w:rPr>
      </w:pPr>
      <w:bookmarkStart w:id="39" w:name="_Toc15396605"/>
      <w:bookmarkStart w:id="40" w:name="_Toc15377207"/>
      <w:r>
        <w:rPr>
          <w:rFonts w:hint="eastAsia" w:ascii="Times New Roman"/>
          <w:bCs/>
          <w:color w:val="000000"/>
          <w:sz w:val="32"/>
          <w:szCs w:val="32"/>
        </w:rPr>
        <w:t>2022年本年收入合计25918.95万元，其中：一般公共预算财政拨款收入2646.95万元，占10.21%；政府性基金预算财政拨款收入23272.00万元，占89.79%。</w:t>
      </w:r>
    </w:p>
    <w:p w14:paraId="538D4CD1">
      <w:pPr>
        <w:widowControl/>
        <w:jc w:val="left"/>
        <w:rPr>
          <w:bCs/>
          <w:color w:val="000000"/>
          <w:sz w:val="32"/>
          <w:szCs w:val="32"/>
        </w:rPr>
      </w:pPr>
      <w:r>
        <w:rPr>
          <w:rFonts w:hint="eastAsia"/>
          <w:bCs/>
          <w:color w:val="000000"/>
          <w:sz w:val="32"/>
          <w:szCs w:val="32"/>
        </w:rPr>
        <w:t xml:space="preserve">          </w:t>
      </w:r>
      <w:r>
        <w:drawing>
          <wp:inline distT="0" distB="0" distL="114300" distR="114300">
            <wp:extent cx="3563620" cy="2091690"/>
            <wp:effectExtent l="5080" t="4445" r="12700" b="18415"/>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36BB873">
      <w:pPr>
        <w:pStyle w:val="4"/>
        <w:numPr>
          <w:ilvl w:val="0"/>
          <w:numId w:val="0"/>
        </w:numPr>
        <w:ind w:leftChars="0"/>
        <w:rPr>
          <w:rStyle w:val="31"/>
          <w:rFonts w:hint="eastAsia" w:ascii="黑体" w:hAnsi="黑体" w:eastAsia="黑体"/>
          <w:b w:val="0"/>
          <w:bCs w:val="0"/>
          <w:color w:val="000000" w:themeColor="text1"/>
          <w:lang w:eastAsia="zh-CN"/>
        </w:rPr>
      </w:pPr>
      <w:bookmarkStart w:id="41" w:name="_Toc28250"/>
      <w:r>
        <w:rPr>
          <w:rStyle w:val="31"/>
          <w:rFonts w:hint="eastAsia" w:ascii="黑体" w:hAnsi="黑体" w:eastAsia="黑体"/>
          <w:b w:val="0"/>
          <w:bCs w:val="0"/>
          <w:color w:val="000000" w:themeColor="text1"/>
          <w:lang w:eastAsia="zh-CN"/>
        </w:rPr>
        <w:t>三、支出决算情况说明</w:t>
      </w:r>
      <w:bookmarkEnd w:id="39"/>
      <w:bookmarkEnd w:id="40"/>
      <w:bookmarkEnd w:id="41"/>
    </w:p>
    <w:p w14:paraId="060C4716">
      <w:pPr>
        <w:spacing w:line="600" w:lineRule="exact"/>
        <w:outlineLvl w:val="1"/>
        <w:rPr>
          <w:rFonts w:eastAsia="仿宋_GB2312"/>
          <w:bCs/>
          <w:color w:val="000000"/>
          <w:sz w:val="32"/>
          <w:szCs w:val="32"/>
          <w:highlight w:val="yellow"/>
        </w:rPr>
      </w:pPr>
      <w:bookmarkStart w:id="42" w:name="_Toc3323"/>
      <w:bookmarkStart w:id="43" w:name="_Toc11314"/>
      <w:bookmarkStart w:id="44" w:name="_Toc4697"/>
      <w:r>
        <w:rPr>
          <w:rFonts w:asciiTheme="minorEastAsia" w:hAnsiTheme="minorEastAsia" w:eastAsiaTheme="minorEastAsia"/>
          <w:color w:val="000000"/>
          <w:sz w:val="30"/>
          <w:szCs w:val="30"/>
        </w:rPr>
        <w:t>20</w:t>
      </w:r>
      <w:r>
        <w:rPr>
          <w:rFonts w:hint="eastAsia" w:asciiTheme="minorEastAsia" w:hAnsiTheme="minorEastAsia" w:eastAsiaTheme="minorEastAsia"/>
          <w:color w:val="000000"/>
          <w:sz w:val="30"/>
          <w:szCs w:val="30"/>
        </w:rPr>
        <w:t>22年本年支出合计26018.95万元，其中：基本支出430.07    万元，占1.65</w:t>
      </w:r>
      <w:r>
        <w:rPr>
          <w:rFonts w:asciiTheme="minorEastAsia" w:hAnsiTheme="minorEastAsia" w:eastAsiaTheme="minorEastAsia"/>
          <w:color w:val="000000"/>
          <w:sz w:val="30"/>
          <w:szCs w:val="30"/>
        </w:rPr>
        <w:t>%</w:t>
      </w:r>
      <w:r>
        <w:rPr>
          <w:rFonts w:hint="eastAsia" w:asciiTheme="minorEastAsia" w:hAnsiTheme="minorEastAsia" w:eastAsiaTheme="minorEastAsia"/>
          <w:color w:val="000000"/>
          <w:sz w:val="30"/>
          <w:szCs w:val="30"/>
        </w:rPr>
        <w:t>；项目支出25588.88万元，占98.35</w:t>
      </w:r>
      <w:r>
        <w:rPr>
          <w:rFonts w:asciiTheme="minorEastAsia" w:hAnsiTheme="minorEastAsia" w:eastAsiaTheme="minorEastAsia"/>
          <w:color w:val="000000"/>
          <w:sz w:val="30"/>
          <w:szCs w:val="30"/>
        </w:rPr>
        <w:t>%</w:t>
      </w:r>
      <w:r>
        <w:rPr>
          <w:rFonts w:hint="eastAsia" w:asciiTheme="minorEastAsia" w:hAnsiTheme="minorEastAsia" w:eastAsiaTheme="minorEastAsia"/>
          <w:color w:val="000000"/>
          <w:sz w:val="30"/>
          <w:szCs w:val="30"/>
        </w:rPr>
        <w:t>。</w:t>
      </w:r>
      <w:bookmarkEnd w:id="42"/>
      <w:bookmarkEnd w:id="43"/>
      <w:bookmarkEnd w:id="44"/>
    </w:p>
    <w:p w14:paraId="26D712FE">
      <w:pPr>
        <w:widowControl/>
        <w:jc w:val="left"/>
        <w:rPr>
          <w:rFonts w:eastAsia="仿宋_GB2312"/>
          <w:bCs/>
          <w:color w:val="000000"/>
          <w:sz w:val="32"/>
          <w:szCs w:val="32"/>
        </w:rPr>
      </w:pPr>
      <w:r>
        <w:rPr>
          <w:rFonts w:hint="eastAsia"/>
          <w:bCs/>
          <w:color w:val="000000"/>
          <w:sz w:val="32"/>
          <w:szCs w:val="32"/>
        </w:rPr>
        <w:t xml:space="preserve">           </w:t>
      </w:r>
      <w:r>
        <w:rPr>
          <w:rFonts w:ascii="宋体" w:hAnsi="宋体" w:cs="宋体"/>
          <w:kern w:val="0"/>
          <w:sz w:val="24"/>
        </w:rPr>
        <w:drawing>
          <wp:inline distT="0" distB="0" distL="114300" distR="114300">
            <wp:extent cx="3314700" cy="2238375"/>
            <wp:effectExtent l="0" t="0" r="0" b="9525"/>
            <wp:docPr id="1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IMG_256"/>
                    <pic:cNvPicPr>
                      <a:picLocks noChangeAspect="1"/>
                    </pic:cNvPicPr>
                  </pic:nvPicPr>
                  <pic:blipFill>
                    <a:blip r:embed="rId16"/>
                    <a:stretch>
                      <a:fillRect/>
                    </a:stretch>
                  </pic:blipFill>
                  <pic:spPr>
                    <a:xfrm>
                      <a:off x="0" y="0"/>
                      <a:ext cx="3314700" cy="2238375"/>
                    </a:xfrm>
                    <a:prstGeom prst="rect">
                      <a:avLst/>
                    </a:prstGeom>
                    <a:noFill/>
                    <a:ln w="9525">
                      <a:noFill/>
                    </a:ln>
                  </pic:spPr>
                </pic:pic>
              </a:graphicData>
            </a:graphic>
          </wp:inline>
        </w:drawing>
      </w:r>
    </w:p>
    <w:p w14:paraId="1BC76CBE">
      <w:pPr>
        <w:pStyle w:val="4"/>
        <w:numPr>
          <w:ilvl w:val="0"/>
          <w:numId w:val="0"/>
        </w:numPr>
        <w:ind w:leftChars="0"/>
        <w:rPr>
          <w:rStyle w:val="31"/>
          <w:rFonts w:hint="eastAsia" w:ascii="黑体" w:hAnsi="黑体" w:eastAsia="黑体"/>
          <w:b w:val="0"/>
          <w:bCs w:val="0"/>
          <w:color w:val="000000" w:themeColor="text1"/>
          <w:lang w:eastAsia="zh-CN"/>
        </w:rPr>
      </w:pPr>
      <w:bookmarkStart w:id="45" w:name="_Toc15396606"/>
      <w:bookmarkStart w:id="46" w:name="_Toc15377208"/>
      <w:bookmarkStart w:id="47" w:name="_Toc15798"/>
      <w:r>
        <w:rPr>
          <w:rStyle w:val="31"/>
          <w:rFonts w:hint="eastAsia" w:ascii="黑体" w:hAnsi="黑体" w:eastAsia="黑体"/>
          <w:b w:val="0"/>
          <w:bCs w:val="0"/>
          <w:color w:val="000000" w:themeColor="text1"/>
          <w:lang w:eastAsia="zh-CN"/>
        </w:rPr>
        <w:t>四</w:t>
      </w:r>
      <w:r>
        <w:rPr>
          <w:rStyle w:val="31"/>
          <w:rFonts w:hint="eastAsia" w:ascii="黑体" w:hAnsi="黑体" w:eastAsia="黑体"/>
          <w:b w:val="0"/>
          <w:bCs w:val="0"/>
          <w:color w:val="000000" w:themeColor="text1"/>
          <w:lang w:val="en-US" w:eastAsia="zh-CN"/>
        </w:rPr>
        <w:t>、财政拨款收入支出决算总体情况说明</w:t>
      </w:r>
      <w:bookmarkEnd w:id="45"/>
      <w:bookmarkEnd w:id="46"/>
      <w:bookmarkEnd w:id="47"/>
    </w:p>
    <w:p w14:paraId="6433562C">
      <w:pPr>
        <w:spacing w:line="600" w:lineRule="exact"/>
        <w:ind w:firstLine="640"/>
        <w:rPr>
          <w:rFonts w:asciiTheme="minorEastAsia" w:hAnsiTheme="minorEastAsia" w:eastAsiaTheme="minorEastAsia"/>
          <w:color w:val="000000"/>
          <w:sz w:val="30"/>
          <w:szCs w:val="30"/>
        </w:rPr>
      </w:pPr>
      <w:r>
        <w:rPr>
          <w:rFonts w:asciiTheme="minorEastAsia" w:hAnsiTheme="minorEastAsia" w:eastAsiaTheme="minorEastAsia"/>
          <w:color w:val="000000"/>
          <w:sz w:val="30"/>
          <w:szCs w:val="30"/>
        </w:rPr>
        <w:t>20</w:t>
      </w:r>
      <w:r>
        <w:rPr>
          <w:rFonts w:hint="eastAsia" w:asciiTheme="minorEastAsia" w:hAnsiTheme="minorEastAsia" w:eastAsiaTheme="minorEastAsia"/>
          <w:color w:val="000000"/>
          <w:sz w:val="30"/>
          <w:szCs w:val="30"/>
        </w:rPr>
        <w:t>22年财政拨款收、支总计26018.95万元。与</w:t>
      </w:r>
      <w:r>
        <w:rPr>
          <w:rFonts w:asciiTheme="minorEastAsia" w:hAnsiTheme="minorEastAsia" w:eastAsiaTheme="minorEastAsia"/>
          <w:color w:val="000000"/>
          <w:sz w:val="30"/>
          <w:szCs w:val="30"/>
        </w:rPr>
        <w:t>20</w:t>
      </w:r>
      <w:r>
        <w:rPr>
          <w:rFonts w:hint="eastAsia" w:asciiTheme="minorEastAsia" w:hAnsiTheme="minorEastAsia" w:eastAsiaTheme="minorEastAsia"/>
          <w:color w:val="000000"/>
          <w:sz w:val="30"/>
          <w:szCs w:val="30"/>
        </w:rPr>
        <w:t>21年38665.3万元相比，财政拨款收、支总计各减少12646.35万元，减少32.71</w:t>
      </w:r>
      <w:r>
        <w:rPr>
          <w:rFonts w:asciiTheme="minorEastAsia" w:hAnsiTheme="minorEastAsia" w:eastAsiaTheme="minorEastAsia"/>
          <w:color w:val="000000"/>
          <w:sz w:val="30"/>
          <w:szCs w:val="30"/>
        </w:rPr>
        <w:t>%</w:t>
      </w:r>
      <w:r>
        <w:rPr>
          <w:rFonts w:hint="eastAsia" w:asciiTheme="minorEastAsia" w:hAnsiTheme="minorEastAsia" w:eastAsiaTheme="minorEastAsia"/>
          <w:color w:val="000000"/>
          <w:sz w:val="30"/>
          <w:szCs w:val="30"/>
        </w:rPr>
        <w:t>。主要变动原因是减少了家居产业城建设资金（专项债券资金）。</w:t>
      </w:r>
    </w:p>
    <w:p w14:paraId="740DDF45">
      <w:pPr>
        <w:pStyle w:val="8"/>
      </w:pP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3B538A">
      <w:pPr>
        <w:pStyle w:val="4"/>
        <w:numPr>
          <w:ilvl w:val="0"/>
          <w:numId w:val="0"/>
        </w:numPr>
        <w:ind w:leftChars="0"/>
        <w:rPr>
          <w:rStyle w:val="31"/>
          <w:rFonts w:hint="eastAsia" w:ascii="黑体" w:hAnsi="黑体" w:eastAsia="黑体"/>
          <w:b w:val="0"/>
          <w:bCs w:val="0"/>
          <w:color w:val="000000" w:themeColor="text1"/>
          <w:lang w:eastAsia="zh-CN"/>
        </w:rPr>
      </w:pPr>
      <w:bookmarkStart w:id="48" w:name="_Toc15396607"/>
      <w:bookmarkStart w:id="49" w:name="_Toc26625"/>
      <w:bookmarkStart w:id="50" w:name="_Toc15377209"/>
      <w:r>
        <w:rPr>
          <w:rStyle w:val="31"/>
          <w:rFonts w:hint="eastAsia" w:ascii="黑体" w:hAnsi="黑体" w:eastAsia="黑体"/>
          <w:b w:val="0"/>
          <w:bCs w:val="0"/>
          <w:color w:val="000000" w:themeColor="text1"/>
          <w:lang w:eastAsia="zh-CN"/>
        </w:rPr>
        <w:t>五、一般公共预算财政拨款支出决算情况说明</w:t>
      </w:r>
      <w:bookmarkEnd w:id="48"/>
      <w:bookmarkEnd w:id="49"/>
      <w:bookmarkEnd w:id="50"/>
    </w:p>
    <w:p w14:paraId="4CF29DEB">
      <w:pPr>
        <w:spacing w:line="600" w:lineRule="exact"/>
        <w:ind w:firstLine="643" w:firstLineChars="200"/>
        <w:outlineLvl w:val="2"/>
        <w:rPr>
          <w:rFonts w:ascii="仿宋" w:hAnsi="仿宋" w:eastAsia="仿宋"/>
          <w:b/>
          <w:sz w:val="32"/>
          <w:szCs w:val="32"/>
        </w:rPr>
      </w:pPr>
      <w:bookmarkStart w:id="51" w:name="_Toc15377210"/>
      <w:r>
        <w:rPr>
          <w:rFonts w:hint="eastAsia" w:ascii="仿宋" w:hAnsi="仿宋" w:eastAsia="仿宋"/>
          <w:b/>
          <w:sz w:val="32"/>
          <w:szCs w:val="32"/>
        </w:rPr>
        <w:t>（一）一般公共预算财政拨款支出决算总体情况</w:t>
      </w:r>
      <w:bookmarkEnd w:id="51"/>
    </w:p>
    <w:p w14:paraId="66D91B11">
      <w:pPr>
        <w:spacing w:line="600" w:lineRule="exact"/>
        <w:ind w:firstLine="600" w:firstLineChars="200"/>
        <w:rPr>
          <w:rFonts w:asciiTheme="minorEastAsia" w:hAnsiTheme="minorEastAsia" w:eastAsiaTheme="minorEastAsia"/>
          <w:color w:val="000000"/>
          <w:sz w:val="30"/>
          <w:szCs w:val="30"/>
        </w:rPr>
      </w:pPr>
      <w:r>
        <w:rPr>
          <w:rFonts w:asciiTheme="minorEastAsia" w:hAnsiTheme="minorEastAsia" w:eastAsiaTheme="minorEastAsia"/>
          <w:color w:val="000000"/>
          <w:sz w:val="30"/>
          <w:szCs w:val="30"/>
        </w:rPr>
        <w:t>20</w:t>
      </w:r>
      <w:r>
        <w:rPr>
          <w:rFonts w:hint="eastAsia" w:asciiTheme="minorEastAsia" w:hAnsiTheme="minorEastAsia" w:eastAsiaTheme="minorEastAsia"/>
          <w:color w:val="000000"/>
          <w:sz w:val="30"/>
          <w:szCs w:val="30"/>
        </w:rPr>
        <w:t>22年一般公共预算财政拨款支出2746.95万元，占本年支出合计的10.56</w:t>
      </w:r>
      <w:r>
        <w:rPr>
          <w:rFonts w:asciiTheme="minorEastAsia" w:hAnsiTheme="minorEastAsia" w:eastAsiaTheme="minorEastAsia"/>
          <w:color w:val="000000"/>
          <w:sz w:val="30"/>
          <w:szCs w:val="30"/>
        </w:rPr>
        <w:t>%</w:t>
      </w:r>
      <w:r>
        <w:rPr>
          <w:rFonts w:hint="eastAsia" w:asciiTheme="minorEastAsia" w:hAnsiTheme="minorEastAsia" w:eastAsiaTheme="minorEastAsia"/>
          <w:color w:val="000000"/>
          <w:sz w:val="30"/>
          <w:szCs w:val="30"/>
        </w:rPr>
        <w:t>。与</w:t>
      </w:r>
      <w:r>
        <w:rPr>
          <w:rFonts w:asciiTheme="minorEastAsia" w:hAnsiTheme="minorEastAsia" w:eastAsiaTheme="minorEastAsia"/>
          <w:color w:val="000000"/>
          <w:sz w:val="30"/>
          <w:szCs w:val="30"/>
        </w:rPr>
        <w:t>20</w:t>
      </w:r>
      <w:r>
        <w:rPr>
          <w:rFonts w:hint="eastAsia" w:asciiTheme="minorEastAsia" w:hAnsiTheme="minorEastAsia" w:eastAsiaTheme="minorEastAsia"/>
          <w:color w:val="000000"/>
          <w:sz w:val="30"/>
          <w:szCs w:val="30"/>
        </w:rPr>
        <w:t>21年相比，一般公共预算财政拨款减少1293.04万元，减少32.01</w:t>
      </w:r>
      <w:r>
        <w:rPr>
          <w:rFonts w:asciiTheme="minorEastAsia" w:hAnsiTheme="minorEastAsia" w:eastAsiaTheme="minorEastAsia"/>
          <w:color w:val="000000"/>
          <w:sz w:val="30"/>
          <w:szCs w:val="30"/>
        </w:rPr>
        <w:t>%</w:t>
      </w:r>
      <w:r>
        <w:rPr>
          <w:rFonts w:hint="eastAsia" w:asciiTheme="minorEastAsia" w:hAnsiTheme="minorEastAsia" w:eastAsiaTheme="minorEastAsia"/>
          <w:color w:val="000000"/>
          <w:sz w:val="30"/>
          <w:szCs w:val="30"/>
        </w:rPr>
        <w:t>。主要变动原因是其他制造业支出减少。</w:t>
      </w:r>
    </w:p>
    <w:p w14:paraId="45E43F4E">
      <w:pPr>
        <w:pStyle w:val="8"/>
        <w:rPr>
          <w:highlight w:val="yellow"/>
        </w:rPr>
      </w:pPr>
    </w:p>
    <w:p w14:paraId="6CD4AFEB">
      <w:pPr>
        <w:pStyle w:val="8"/>
        <w:rPr>
          <w:highlight w:val="yellow"/>
        </w:rPr>
      </w:pPr>
      <w:r>
        <w:drawing>
          <wp:inline distT="0" distB="0" distL="114300" distR="114300">
            <wp:extent cx="4438650" cy="2952750"/>
            <wp:effectExtent l="4445" t="4445" r="14605" b="14605"/>
            <wp:docPr id="1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45B3808">
      <w:pPr>
        <w:spacing w:line="600" w:lineRule="exact"/>
        <w:ind w:firstLine="643" w:firstLineChars="200"/>
        <w:outlineLvl w:val="2"/>
        <w:rPr>
          <w:rFonts w:ascii="仿宋" w:hAnsi="仿宋" w:eastAsia="仿宋"/>
          <w:b/>
          <w:sz w:val="32"/>
          <w:szCs w:val="32"/>
        </w:rPr>
      </w:pPr>
      <w:bookmarkStart w:id="52" w:name="_Toc15377211"/>
      <w:r>
        <w:rPr>
          <w:rFonts w:hint="eastAsia" w:ascii="仿宋" w:hAnsi="仿宋" w:eastAsia="仿宋"/>
          <w:b/>
          <w:sz w:val="32"/>
          <w:szCs w:val="32"/>
        </w:rPr>
        <w:t>（二）一般公共预算财政拨款支出决算结构情况</w:t>
      </w:r>
      <w:bookmarkEnd w:id="52"/>
    </w:p>
    <w:p w14:paraId="71D8DFF4">
      <w:pPr>
        <w:spacing w:line="600" w:lineRule="exact"/>
        <w:ind w:firstLine="640"/>
        <w:rPr>
          <w:rFonts w:asciiTheme="minorEastAsia" w:hAnsiTheme="minorEastAsia" w:eastAsiaTheme="minorEastAsia"/>
          <w:color w:val="000000" w:themeColor="text1"/>
          <w:sz w:val="30"/>
          <w:szCs w:val="30"/>
        </w:rPr>
      </w:pPr>
      <w:r>
        <w:rPr>
          <w:rFonts w:asciiTheme="minorEastAsia" w:hAnsiTheme="minorEastAsia" w:eastAsiaTheme="minorEastAsia"/>
          <w:color w:val="000000"/>
          <w:sz w:val="30"/>
          <w:szCs w:val="30"/>
        </w:rPr>
        <w:t>20</w:t>
      </w:r>
      <w:r>
        <w:rPr>
          <w:rFonts w:hint="eastAsia" w:asciiTheme="minorEastAsia" w:hAnsiTheme="minorEastAsia" w:eastAsiaTheme="minorEastAsia"/>
          <w:color w:val="000000"/>
          <w:sz w:val="30"/>
          <w:szCs w:val="30"/>
        </w:rPr>
        <w:t>22年一般公共预算财</w:t>
      </w:r>
      <w:r>
        <w:rPr>
          <w:rFonts w:hint="eastAsia" w:asciiTheme="minorEastAsia" w:hAnsiTheme="minorEastAsia" w:eastAsiaTheme="minorEastAsia"/>
          <w:color w:val="000000" w:themeColor="text1"/>
          <w:sz w:val="30"/>
          <w:szCs w:val="30"/>
        </w:rPr>
        <w:t>政拨款支出2746.95万元，主要用于以下方面</w:t>
      </w:r>
      <w:r>
        <w:rPr>
          <w:rFonts w:asciiTheme="minorEastAsia" w:hAnsiTheme="minorEastAsia" w:eastAsiaTheme="minorEastAsia"/>
          <w:color w:val="000000" w:themeColor="text1"/>
          <w:sz w:val="30"/>
          <w:szCs w:val="30"/>
        </w:rPr>
        <w:t>:</w:t>
      </w:r>
      <w:r>
        <w:rPr>
          <w:rFonts w:hint="eastAsia" w:asciiTheme="minorEastAsia" w:hAnsiTheme="minorEastAsia" w:eastAsiaTheme="minorEastAsia"/>
          <w:b/>
          <w:color w:val="000000" w:themeColor="text1"/>
          <w:sz w:val="30"/>
          <w:szCs w:val="30"/>
        </w:rPr>
        <w:t>一般公共服务（类）</w:t>
      </w:r>
      <w:r>
        <w:rPr>
          <w:rFonts w:hint="eastAsia" w:asciiTheme="minorEastAsia" w:hAnsiTheme="minorEastAsia" w:eastAsiaTheme="minorEastAsia"/>
          <w:color w:val="000000" w:themeColor="text1"/>
          <w:sz w:val="30"/>
          <w:szCs w:val="30"/>
        </w:rPr>
        <w:t>支出478.53万元，占17.42</w:t>
      </w:r>
      <w:r>
        <w:rPr>
          <w:rFonts w:asciiTheme="minorEastAsia" w:hAnsiTheme="minorEastAsia" w:eastAsiaTheme="minorEastAsia"/>
          <w:color w:val="000000" w:themeColor="text1"/>
          <w:sz w:val="30"/>
          <w:szCs w:val="30"/>
        </w:rPr>
        <w:t>%</w:t>
      </w:r>
      <w:r>
        <w:rPr>
          <w:rFonts w:hint="eastAsia" w:asciiTheme="minorEastAsia" w:hAnsiTheme="minorEastAsia" w:eastAsiaTheme="minorEastAsia"/>
          <w:color w:val="000000" w:themeColor="text1"/>
          <w:sz w:val="30"/>
          <w:szCs w:val="30"/>
        </w:rPr>
        <w:t>；</w:t>
      </w:r>
      <w:r>
        <w:rPr>
          <w:rFonts w:hint="eastAsia" w:asciiTheme="minorEastAsia" w:hAnsiTheme="minorEastAsia" w:eastAsiaTheme="minorEastAsia"/>
          <w:b/>
          <w:color w:val="000000" w:themeColor="text1"/>
          <w:sz w:val="30"/>
          <w:szCs w:val="30"/>
        </w:rPr>
        <w:t>农林水（类）</w:t>
      </w:r>
      <w:r>
        <w:rPr>
          <w:rFonts w:hint="eastAsia" w:asciiTheme="minorEastAsia" w:hAnsiTheme="minorEastAsia" w:eastAsiaTheme="minorEastAsia"/>
          <w:color w:val="000000" w:themeColor="text1"/>
          <w:sz w:val="30"/>
          <w:szCs w:val="30"/>
        </w:rPr>
        <w:t>支出2218万元，占80.74</w:t>
      </w:r>
      <w:r>
        <w:rPr>
          <w:rFonts w:asciiTheme="minorEastAsia" w:hAnsiTheme="minorEastAsia" w:eastAsiaTheme="minorEastAsia"/>
          <w:color w:val="000000" w:themeColor="text1"/>
          <w:sz w:val="30"/>
          <w:szCs w:val="30"/>
        </w:rPr>
        <w:t>%</w:t>
      </w:r>
      <w:r>
        <w:rPr>
          <w:rFonts w:hint="eastAsia" w:asciiTheme="minorEastAsia" w:hAnsiTheme="minorEastAsia" w:eastAsiaTheme="minorEastAsia"/>
          <w:color w:val="000000" w:themeColor="text1"/>
          <w:sz w:val="30"/>
          <w:szCs w:val="30"/>
        </w:rPr>
        <w:t>；</w:t>
      </w:r>
      <w:r>
        <w:rPr>
          <w:rFonts w:hint="eastAsia" w:asciiTheme="minorEastAsia" w:hAnsiTheme="minorEastAsia" w:eastAsiaTheme="minorEastAsia"/>
          <w:b/>
          <w:color w:val="000000" w:themeColor="text1"/>
          <w:sz w:val="30"/>
          <w:szCs w:val="30"/>
        </w:rPr>
        <w:t>社会保障和就业（类）</w:t>
      </w:r>
      <w:r>
        <w:rPr>
          <w:rFonts w:hint="eastAsia" w:asciiTheme="minorEastAsia" w:hAnsiTheme="minorEastAsia" w:eastAsiaTheme="minorEastAsia"/>
          <w:color w:val="000000" w:themeColor="text1"/>
          <w:sz w:val="30"/>
          <w:szCs w:val="30"/>
        </w:rPr>
        <w:t>支出19.85万元，占0.73</w:t>
      </w:r>
      <w:r>
        <w:rPr>
          <w:rFonts w:asciiTheme="minorEastAsia" w:hAnsiTheme="minorEastAsia" w:eastAsiaTheme="minorEastAsia"/>
          <w:color w:val="000000" w:themeColor="text1"/>
          <w:sz w:val="30"/>
          <w:szCs w:val="30"/>
        </w:rPr>
        <w:t>%</w:t>
      </w:r>
      <w:r>
        <w:rPr>
          <w:rFonts w:hint="eastAsia" w:asciiTheme="minorEastAsia" w:hAnsiTheme="minorEastAsia" w:eastAsiaTheme="minorEastAsia"/>
          <w:color w:val="000000" w:themeColor="text1"/>
          <w:sz w:val="30"/>
          <w:szCs w:val="30"/>
        </w:rPr>
        <w:t>；</w:t>
      </w:r>
      <w:r>
        <w:rPr>
          <w:rFonts w:hint="eastAsia" w:asciiTheme="minorEastAsia" w:hAnsiTheme="minorEastAsia" w:eastAsiaTheme="minorEastAsia"/>
          <w:b/>
          <w:bCs/>
          <w:color w:val="000000" w:themeColor="text1"/>
          <w:sz w:val="30"/>
          <w:szCs w:val="30"/>
        </w:rPr>
        <w:t>卫生健康支出10.18</w:t>
      </w:r>
      <w:r>
        <w:rPr>
          <w:rFonts w:hint="eastAsia" w:asciiTheme="minorEastAsia" w:hAnsiTheme="minorEastAsia" w:eastAsiaTheme="minorEastAsia"/>
          <w:color w:val="000000" w:themeColor="text1"/>
          <w:sz w:val="30"/>
          <w:szCs w:val="30"/>
        </w:rPr>
        <w:t>万元，占0.37</w:t>
      </w:r>
      <w:r>
        <w:rPr>
          <w:rFonts w:asciiTheme="minorEastAsia" w:hAnsiTheme="minorEastAsia" w:eastAsiaTheme="minorEastAsia"/>
          <w:color w:val="000000" w:themeColor="text1"/>
          <w:sz w:val="30"/>
          <w:szCs w:val="30"/>
        </w:rPr>
        <w:t>%</w:t>
      </w:r>
      <w:r>
        <w:rPr>
          <w:rFonts w:hint="eastAsia" w:asciiTheme="minorEastAsia" w:hAnsiTheme="minorEastAsia" w:eastAsiaTheme="minorEastAsia"/>
          <w:color w:val="000000" w:themeColor="text1"/>
          <w:sz w:val="30"/>
          <w:szCs w:val="30"/>
        </w:rPr>
        <w:t>；住房保障支出20.39万元，占0.74%。</w:t>
      </w:r>
    </w:p>
    <w:p w14:paraId="7C7AA080">
      <w:pPr>
        <w:pStyle w:val="8"/>
        <w:rPr>
          <w:bCs/>
          <w:color w:val="000000"/>
          <w:sz w:val="32"/>
          <w:szCs w:val="32"/>
          <w:highlight w:val="yellow"/>
        </w:rPr>
      </w:pPr>
      <w:r>
        <w:drawing>
          <wp:inline distT="0" distB="0" distL="114300" distR="114300">
            <wp:extent cx="3591560" cy="2466975"/>
            <wp:effectExtent l="4445" t="4445" r="23495" b="508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F8EF637">
      <w:pPr>
        <w:spacing w:line="600" w:lineRule="exact"/>
        <w:ind w:firstLine="643" w:firstLineChars="200"/>
        <w:outlineLvl w:val="2"/>
        <w:rPr>
          <w:rFonts w:ascii="仿宋" w:hAnsi="仿宋" w:eastAsia="仿宋"/>
          <w:b/>
          <w:sz w:val="32"/>
          <w:szCs w:val="32"/>
        </w:rPr>
      </w:pPr>
      <w:bookmarkStart w:id="53" w:name="_Toc15377212"/>
      <w:r>
        <w:rPr>
          <w:rFonts w:hint="eastAsia" w:ascii="仿宋" w:hAnsi="仿宋" w:eastAsia="仿宋"/>
          <w:b/>
          <w:sz w:val="32"/>
          <w:szCs w:val="32"/>
        </w:rPr>
        <w:t>（三）一般公共预算财政拨款支出决算具体情况</w:t>
      </w:r>
      <w:bookmarkEnd w:id="53"/>
    </w:p>
    <w:p w14:paraId="39AD4CFE">
      <w:pPr>
        <w:spacing w:line="600" w:lineRule="exact"/>
        <w:ind w:firstLine="602" w:firstLineChars="200"/>
        <w:outlineLvl w:val="1"/>
        <w:rPr>
          <w:rFonts w:asciiTheme="minorEastAsia" w:hAnsiTheme="minorEastAsia" w:eastAsiaTheme="minorEastAsia"/>
          <w:color w:val="FF0000"/>
          <w:sz w:val="30"/>
          <w:szCs w:val="30"/>
        </w:rPr>
      </w:pPr>
      <w:bookmarkStart w:id="54" w:name="_Toc19624"/>
      <w:bookmarkStart w:id="55" w:name="_Toc30018"/>
      <w:bookmarkStart w:id="56" w:name="_Toc15378460"/>
      <w:bookmarkStart w:id="57" w:name="_Toc15377444"/>
      <w:bookmarkStart w:id="58" w:name="_Toc15377213"/>
      <w:r>
        <w:rPr>
          <w:rFonts w:hint="eastAsia" w:asciiTheme="minorEastAsia" w:hAnsiTheme="minorEastAsia" w:eastAsiaTheme="minorEastAsia"/>
          <w:b/>
          <w:color w:val="000000" w:themeColor="text1"/>
          <w:sz w:val="30"/>
          <w:szCs w:val="30"/>
        </w:rPr>
        <w:t>2022年一般公共预算支出决算数为2746.95万元</w:t>
      </w:r>
      <w:r>
        <w:rPr>
          <w:rFonts w:hint="eastAsia" w:asciiTheme="minorEastAsia" w:hAnsiTheme="minorEastAsia" w:eastAsiaTheme="minorEastAsia"/>
          <w:color w:val="000000" w:themeColor="text1"/>
          <w:sz w:val="30"/>
          <w:szCs w:val="30"/>
        </w:rPr>
        <w:t>，</w:t>
      </w:r>
      <w:r>
        <w:rPr>
          <w:rStyle w:val="18"/>
          <w:rFonts w:hint="eastAsia" w:asciiTheme="minorEastAsia" w:hAnsiTheme="minorEastAsia" w:eastAsiaTheme="minorEastAsia"/>
          <w:bCs/>
          <w:color w:val="000000" w:themeColor="text1"/>
          <w:sz w:val="30"/>
          <w:szCs w:val="30"/>
        </w:rPr>
        <w:t>完成</w:t>
      </w:r>
      <w:r>
        <w:rPr>
          <w:rStyle w:val="18"/>
          <w:rFonts w:hint="eastAsia" w:asciiTheme="minorEastAsia" w:hAnsiTheme="minorEastAsia" w:eastAsiaTheme="minorEastAsia"/>
          <w:bCs/>
          <w:color w:val="000000"/>
          <w:sz w:val="30"/>
          <w:szCs w:val="30"/>
        </w:rPr>
        <w:t>预算100</w:t>
      </w:r>
      <w:r>
        <w:rPr>
          <w:rStyle w:val="18"/>
          <w:rFonts w:asciiTheme="minorEastAsia" w:hAnsiTheme="minorEastAsia" w:eastAsiaTheme="minorEastAsia"/>
          <w:bCs/>
          <w:color w:val="000000"/>
          <w:sz w:val="30"/>
          <w:szCs w:val="30"/>
        </w:rPr>
        <w:t>%</w:t>
      </w:r>
      <w:r>
        <w:rPr>
          <w:rStyle w:val="18"/>
          <w:rFonts w:hint="eastAsia" w:asciiTheme="minorEastAsia" w:hAnsiTheme="minorEastAsia" w:eastAsiaTheme="minorEastAsia"/>
          <w:bCs/>
          <w:color w:val="000000"/>
          <w:sz w:val="30"/>
          <w:szCs w:val="30"/>
        </w:rPr>
        <w:t>。其中：</w:t>
      </w:r>
      <w:bookmarkEnd w:id="54"/>
      <w:bookmarkEnd w:id="55"/>
    </w:p>
    <w:p w14:paraId="25A5AE3C">
      <w:pPr>
        <w:spacing w:line="600" w:lineRule="exact"/>
        <w:ind w:firstLine="602" w:firstLineChars="200"/>
        <w:rPr>
          <w:rStyle w:val="18"/>
          <w:rFonts w:asciiTheme="minorEastAsia" w:hAnsiTheme="minorEastAsia" w:eastAsiaTheme="minorEastAsia"/>
          <w:b w:val="0"/>
          <w:bCs/>
          <w:color w:val="000000"/>
          <w:sz w:val="30"/>
          <w:szCs w:val="30"/>
        </w:rPr>
      </w:pPr>
      <w:r>
        <w:rPr>
          <w:rStyle w:val="18"/>
          <w:rFonts w:asciiTheme="minorEastAsia" w:hAnsiTheme="minorEastAsia" w:eastAsiaTheme="minorEastAsia"/>
          <w:bCs/>
          <w:color w:val="000000"/>
          <w:sz w:val="30"/>
          <w:szCs w:val="30"/>
        </w:rPr>
        <w:t>1.</w:t>
      </w:r>
      <w:r>
        <w:rPr>
          <w:rStyle w:val="18"/>
          <w:rFonts w:hint="eastAsia" w:asciiTheme="minorEastAsia" w:hAnsiTheme="minorEastAsia" w:eastAsiaTheme="minorEastAsia"/>
          <w:bCs/>
          <w:color w:val="000000"/>
          <w:sz w:val="30"/>
          <w:szCs w:val="30"/>
        </w:rPr>
        <w:t>一般公共服务（类）</w:t>
      </w:r>
      <w:r>
        <w:rPr>
          <w:rStyle w:val="18"/>
          <w:rFonts w:hint="eastAsia" w:asciiTheme="minorEastAsia" w:hAnsiTheme="minorEastAsia" w:eastAsiaTheme="minorEastAsia"/>
          <w:bCs/>
          <w:sz w:val="30"/>
          <w:szCs w:val="30"/>
        </w:rPr>
        <w:t>政府办公厅（室）及相关机构事务（款）行政运行（项）</w:t>
      </w:r>
      <w:r>
        <w:rPr>
          <w:rStyle w:val="18"/>
          <w:rFonts w:asciiTheme="minorEastAsia" w:hAnsiTheme="minorEastAsia" w:eastAsiaTheme="minorEastAsia"/>
          <w:bCs/>
          <w:color w:val="000000"/>
          <w:sz w:val="30"/>
          <w:szCs w:val="30"/>
        </w:rPr>
        <w:t>:</w:t>
      </w:r>
      <w:r>
        <w:rPr>
          <w:rStyle w:val="18"/>
          <w:rFonts w:hint="eastAsia" w:asciiTheme="minorEastAsia" w:hAnsiTheme="minorEastAsia" w:eastAsiaTheme="minorEastAsia"/>
          <w:b w:val="0"/>
          <w:bCs/>
          <w:color w:val="000000"/>
          <w:sz w:val="30"/>
          <w:szCs w:val="30"/>
        </w:rPr>
        <w:t>支出决算为478.53万元，完成预算100</w:t>
      </w:r>
      <w:r>
        <w:rPr>
          <w:rStyle w:val="18"/>
          <w:rFonts w:asciiTheme="minorEastAsia" w:hAnsiTheme="minorEastAsia" w:eastAsiaTheme="minorEastAsia"/>
          <w:b w:val="0"/>
          <w:bCs/>
          <w:color w:val="000000"/>
          <w:sz w:val="30"/>
          <w:szCs w:val="30"/>
        </w:rPr>
        <w:t>%</w:t>
      </w:r>
      <w:r>
        <w:rPr>
          <w:rFonts w:hint="eastAsia" w:ascii="仿宋_GB2312" w:hAnsi="仿宋_GB2312" w:eastAsia="仿宋_GB2312" w:cs="仿宋_GB2312"/>
          <w:bCs/>
          <w:kern w:val="0"/>
          <w:sz w:val="32"/>
          <w:szCs w:val="32"/>
        </w:rPr>
        <w:t>，决算数等于预算数</w:t>
      </w:r>
      <w:r>
        <w:rPr>
          <w:rStyle w:val="18"/>
          <w:rFonts w:hint="eastAsia" w:asciiTheme="minorEastAsia" w:hAnsiTheme="minorEastAsia" w:eastAsiaTheme="minorEastAsia"/>
          <w:b w:val="0"/>
          <w:bCs/>
          <w:color w:val="000000"/>
          <w:sz w:val="30"/>
          <w:szCs w:val="30"/>
        </w:rPr>
        <w:t>。</w:t>
      </w:r>
    </w:p>
    <w:p w14:paraId="07CA3995">
      <w:pPr>
        <w:spacing w:line="600" w:lineRule="exact"/>
        <w:ind w:firstLine="602" w:firstLineChars="200"/>
        <w:rPr>
          <w:rFonts w:asciiTheme="minorEastAsia" w:hAnsiTheme="minorEastAsia" w:eastAsiaTheme="minorEastAsia"/>
          <w:b/>
          <w:color w:val="000000"/>
          <w:sz w:val="30"/>
          <w:szCs w:val="30"/>
        </w:rPr>
      </w:pPr>
      <w:r>
        <w:rPr>
          <w:rStyle w:val="18"/>
          <w:rFonts w:asciiTheme="minorEastAsia" w:hAnsiTheme="minorEastAsia" w:eastAsiaTheme="minorEastAsia"/>
          <w:bCs/>
          <w:color w:val="000000"/>
          <w:sz w:val="30"/>
          <w:szCs w:val="30"/>
        </w:rPr>
        <w:t>2.</w:t>
      </w:r>
      <w:r>
        <w:rPr>
          <w:rStyle w:val="18"/>
          <w:rFonts w:hint="eastAsia" w:asciiTheme="minorEastAsia" w:hAnsiTheme="minorEastAsia" w:eastAsiaTheme="minorEastAsia"/>
          <w:bCs/>
          <w:sz w:val="30"/>
          <w:szCs w:val="30"/>
        </w:rPr>
        <w:t xml:space="preserve"> 住房保障（类）住房改革支出（款）住房公积金（项）</w:t>
      </w:r>
      <w:r>
        <w:rPr>
          <w:rStyle w:val="18"/>
          <w:rFonts w:asciiTheme="minorEastAsia" w:hAnsiTheme="minorEastAsia" w:eastAsiaTheme="minorEastAsia"/>
          <w:bCs/>
          <w:color w:val="000000"/>
          <w:sz w:val="30"/>
          <w:szCs w:val="30"/>
        </w:rPr>
        <w:t>:</w:t>
      </w:r>
      <w:r>
        <w:rPr>
          <w:rStyle w:val="18"/>
          <w:rFonts w:hint="eastAsia" w:asciiTheme="minorEastAsia" w:hAnsiTheme="minorEastAsia" w:eastAsiaTheme="minorEastAsia"/>
          <w:b w:val="0"/>
          <w:bCs/>
          <w:color w:val="000000"/>
          <w:sz w:val="30"/>
          <w:szCs w:val="30"/>
        </w:rPr>
        <w:t>支出决算为20.39万元，完成预算100</w:t>
      </w:r>
      <w:r>
        <w:rPr>
          <w:rStyle w:val="18"/>
          <w:rFonts w:asciiTheme="minorEastAsia" w:hAnsiTheme="minorEastAsia" w:eastAsiaTheme="minorEastAsia"/>
          <w:b w:val="0"/>
          <w:bCs/>
          <w:color w:val="000000"/>
          <w:sz w:val="30"/>
          <w:szCs w:val="30"/>
        </w:rPr>
        <w:t>%</w:t>
      </w:r>
      <w:r>
        <w:rPr>
          <w:rFonts w:hint="eastAsia" w:ascii="仿宋_GB2312" w:hAnsi="仿宋_GB2312" w:eastAsia="仿宋_GB2312" w:cs="仿宋_GB2312"/>
          <w:bCs/>
          <w:kern w:val="0"/>
          <w:sz w:val="32"/>
          <w:szCs w:val="32"/>
        </w:rPr>
        <w:t>，决算数等于预算数</w:t>
      </w:r>
      <w:r>
        <w:rPr>
          <w:rStyle w:val="18"/>
          <w:rFonts w:hint="eastAsia" w:asciiTheme="minorEastAsia" w:hAnsiTheme="minorEastAsia" w:eastAsiaTheme="minorEastAsia"/>
          <w:b w:val="0"/>
          <w:bCs/>
          <w:color w:val="000000"/>
          <w:sz w:val="30"/>
          <w:szCs w:val="30"/>
        </w:rPr>
        <w:t>。</w:t>
      </w:r>
    </w:p>
    <w:p w14:paraId="1F3C4701">
      <w:pPr>
        <w:spacing w:line="600" w:lineRule="exact"/>
        <w:ind w:firstLine="602" w:firstLineChars="200"/>
        <w:rPr>
          <w:rFonts w:asciiTheme="minorEastAsia" w:hAnsiTheme="minorEastAsia" w:eastAsiaTheme="minorEastAsia"/>
          <w:b/>
          <w:color w:val="000000"/>
          <w:sz w:val="30"/>
          <w:szCs w:val="30"/>
        </w:rPr>
      </w:pPr>
      <w:r>
        <w:rPr>
          <w:rStyle w:val="18"/>
          <w:rFonts w:asciiTheme="minorEastAsia" w:hAnsiTheme="minorEastAsia" w:eastAsiaTheme="minorEastAsia"/>
          <w:bCs/>
          <w:color w:val="000000"/>
          <w:sz w:val="30"/>
          <w:szCs w:val="30"/>
        </w:rPr>
        <w:t>3.</w:t>
      </w:r>
      <w:r>
        <w:rPr>
          <w:rStyle w:val="18"/>
          <w:rFonts w:hint="eastAsia" w:asciiTheme="minorEastAsia" w:hAnsiTheme="minorEastAsia" w:eastAsiaTheme="minorEastAsia"/>
          <w:bCs/>
          <w:color w:val="000000"/>
          <w:sz w:val="30"/>
          <w:szCs w:val="30"/>
        </w:rPr>
        <w:t>农林水（类）扶贫（款）其他扶贫支出（项）</w:t>
      </w:r>
      <w:r>
        <w:rPr>
          <w:rStyle w:val="18"/>
          <w:rFonts w:asciiTheme="minorEastAsia" w:hAnsiTheme="minorEastAsia" w:eastAsiaTheme="minorEastAsia"/>
          <w:bCs/>
          <w:color w:val="000000"/>
          <w:sz w:val="30"/>
          <w:szCs w:val="30"/>
        </w:rPr>
        <w:t>:</w:t>
      </w:r>
      <w:r>
        <w:rPr>
          <w:rStyle w:val="18"/>
          <w:rFonts w:hint="eastAsia" w:asciiTheme="minorEastAsia" w:hAnsiTheme="minorEastAsia" w:eastAsiaTheme="minorEastAsia"/>
          <w:b w:val="0"/>
          <w:bCs/>
          <w:color w:val="000000"/>
          <w:sz w:val="30"/>
          <w:szCs w:val="30"/>
        </w:rPr>
        <w:t>支出决算为2218万元，完成预算100</w:t>
      </w:r>
      <w:r>
        <w:rPr>
          <w:rStyle w:val="18"/>
          <w:rFonts w:asciiTheme="minorEastAsia" w:hAnsiTheme="minorEastAsia" w:eastAsiaTheme="minorEastAsia"/>
          <w:b w:val="0"/>
          <w:bCs/>
          <w:color w:val="000000"/>
          <w:sz w:val="30"/>
          <w:szCs w:val="30"/>
        </w:rPr>
        <w:t>%</w:t>
      </w:r>
      <w:r>
        <w:rPr>
          <w:rFonts w:hint="eastAsia" w:ascii="仿宋_GB2312" w:hAnsi="仿宋_GB2312" w:eastAsia="仿宋_GB2312" w:cs="仿宋_GB2312"/>
          <w:bCs/>
          <w:kern w:val="0"/>
          <w:sz w:val="32"/>
          <w:szCs w:val="32"/>
        </w:rPr>
        <w:t>，决算数等于预算数</w:t>
      </w:r>
      <w:r>
        <w:rPr>
          <w:rStyle w:val="18"/>
          <w:rFonts w:hint="eastAsia" w:asciiTheme="minorEastAsia" w:hAnsiTheme="minorEastAsia" w:eastAsiaTheme="minorEastAsia"/>
          <w:b w:val="0"/>
          <w:bCs/>
          <w:color w:val="000000"/>
          <w:sz w:val="30"/>
          <w:szCs w:val="30"/>
        </w:rPr>
        <w:t>。</w:t>
      </w:r>
    </w:p>
    <w:p w14:paraId="6EDB0EA1">
      <w:pPr>
        <w:spacing w:line="600" w:lineRule="exact"/>
        <w:ind w:firstLine="602" w:firstLineChars="200"/>
        <w:rPr>
          <w:rFonts w:asciiTheme="minorEastAsia" w:hAnsiTheme="minorEastAsia" w:eastAsiaTheme="minorEastAsia"/>
          <w:b/>
          <w:color w:val="000000"/>
          <w:sz w:val="30"/>
          <w:szCs w:val="30"/>
        </w:rPr>
      </w:pPr>
      <w:r>
        <w:rPr>
          <w:rStyle w:val="18"/>
          <w:rFonts w:hint="eastAsia" w:asciiTheme="minorEastAsia" w:hAnsiTheme="minorEastAsia" w:eastAsiaTheme="minorEastAsia"/>
          <w:bCs/>
          <w:color w:val="000000"/>
          <w:sz w:val="30"/>
          <w:szCs w:val="30"/>
        </w:rPr>
        <w:t>4</w:t>
      </w:r>
      <w:r>
        <w:rPr>
          <w:rStyle w:val="18"/>
          <w:rFonts w:asciiTheme="minorEastAsia" w:hAnsiTheme="minorEastAsia" w:eastAsiaTheme="minorEastAsia"/>
          <w:bCs/>
          <w:color w:val="000000"/>
          <w:sz w:val="30"/>
          <w:szCs w:val="30"/>
        </w:rPr>
        <w:t>.</w:t>
      </w:r>
      <w:r>
        <w:rPr>
          <w:rStyle w:val="18"/>
          <w:rFonts w:hint="eastAsia" w:asciiTheme="minorEastAsia" w:hAnsiTheme="minorEastAsia" w:eastAsiaTheme="minorEastAsia"/>
          <w:bCs/>
          <w:sz w:val="30"/>
          <w:szCs w:val="30"/>
        </w:rPr>
        <w:t xml:space="preserve"> 社会保障和就业（类）行政事业单位养老保险支出（款）行政事业单位基本养老保险缴费支出（项）</w:t>
      </w:r>
      <w:r>
        <w:rPr>
          <w:rStyle w:val="18"/>
          <w:rFonts w:asciiTheme="minorEastAsia" w:hAnsiTheme="minorEastAsia" w:eastAsiaTheme="minorEastAsia"/>
          <w:bCs/>
          <w:color w:val="000000"/>
          <w:sz w:val="30"/>
          <w:szCs w:val="30"/>
        </w:rPr>
        <w:t>:</w:t>
      </w:r>
      <w:r>
        <w:rPr>
          <w:rStyle w:val="18"/>
          <w:rFonts w:hint="eastAsia" w:asciiTheme="minorEastAsia" w:hAnsiTheme="minorEastAsia" w:eastAsiaTheme="minorEastAsia"/>
          <w:b w:val="0"/>
          <w:bCs/>
          <w:color w:val="000000"/>
          <w:sz w:val="30"/>
          <w:szCs w:val="30"/>
        </w:rPr>
        <w:t>支出决算为19.85万元，完成预算100</w:t>
      </w:r>
      <w:r>
        <w:rPr>
          <w:rStyle w:val="18"/>
          <w:rFonts w:asciiTheme="minorEastAsia" w:hAnsiTheme="minorEastAsia" w:eastAsiaTheme="minorEastAsia"/>
          <w:b w:val="0"/>
          <w:bCs/>
          <w:color w:val="000000"/>
          <w:sz w:val="30"/>
          <w:szCs w:val="30"/>
        </w:rPr>
        <w:t>%</w:t>
      </w:r>
      <w:r>
        <w:rPr>
          <w:rFonts w:hint="eastAsia" w:ascii="仿宋_GB2312" w:hAnsi="仿宋_GB2312" w:eastAsia="仿宋_GB2312" w:cs="仿宋_GB2312"/>
          <w:bCs/>
          <w:kern w:val="0"/>
          <w:sz w:val="32"/>
          <w:szCs w:val="32"/>
        </w:rPr>
        <w:t>，决算数等于预算数</w:t>
      </w:r>
      <w:r>
        <w:rPr>
          <w:rStyle w:val="18"/>
          <w:rFonts w:hint="eastAsia" w:asciiTheme="minorEastAsia" w:hAnsiTheme="minorEastAsia" w:eastAsiaTheme="minorEastAsia"/>
          <w:b w:val="0"/>
          <w:bCs/>
          <w:color w:val="000000"/>
          <w:sz w:val="30"/>
          <w:szCs w:val="30"/>
        </w:rPr>
        <w:t>。</w:t>
      </w:r>
    </w:p>
    <w:p w14:paraId="58BAFB91">
      <w:pPr>
        <w:spacing w:line="600" w:lineRule="exact"/>
        <w:ind w:firstLine="602" w:firstLineChars="200"/>
        <w:rPr>
          <w:rFonts w:asciiTheme="minorEastAsia" w:hAnsiTheme="minorEastAsia" w:eastAsiaTheme="minorEastAsia"/>
          <w:bCs/>
          <w:color w:val="000000"/>
          <w:sz w:val="30"/>
          <w:szCs w:val="30"/>
        </w:rPr>
      </w:pPr>
      <w:r>
        <w:rPr>
          <w:rStyle w:val="18"/>
          <w:rFonts w:hint="eastAsia" w:asciiTheme="minorEastAsia" w:hAnsiTheme="minorEastAsia" w:eastAsiaTheme="minorEastAsia"/>
          <w:bCs/>
          <w:color w:val="000000"/>
          <w:sz w:val="30"/>
          <w:szCs w:val="30"/>
        </w:rPr>
        <w:t>5</w:t>
      </w:r>
      <w:r>
        <w:rPr>
          <w:rStyle w:val="18"/>
          <w:rFonts w:asciiTheme="minorEastAsia" w:hAnsiTheme="minorEastAsia" w:eastAsiaTheme="minorEastAsia"/>
          <w:bCs/>
          <w:color w:val="000000"/>
          <w:sz w:val="30"/>
          <w:szCs w:val="30"/>
        </w:rPr>
        <w:t>.</w:t>
      </w:r>
      <w:r>
        <w:rPr>
          <w:rStyle w:val="18"/>
          <w:rFonts w:hint="eastAsia" w:asciiTheme="minorEastAsia" w:hAnsiTheme="minorEastAsia" w:eastAsiaTheme="minorEastAsia"/>
          <w:bCs/>
          <w:sz w:val="30"/>
          <w:szCs w:val="30"/>
        </w:rPr>
        <w:t xml:space="preserve"> 卫生健康（类）行政事业单位医疗（款）行政单位医疗（项）</w:t>
      </w:r>
      <w:r>
        <w:rPr>
          <w:rStyle w:val="18"/>
          <w:rFonts w:asciiTheme="minorEastAsia" w:hAnsiTheme="minorEastAsia" w:eastAsiaTheme="minorEastAsia"/>
          <w:bCs/>
          <w:color w:val="000000"/>
          <w:sz w:val="30"/>
          <w:szCs w:val="30"/>
        </w:rPr>
        <w:t>:</w:t>
      </w:r>
      <w:r>
        <w:rPr>
          <w:rStyle w:val="18"/>
          <w:rFonts w:hint="eastAsia" w:asciiTheme="minorEastAsia" w:hAnsiTheme="minorEastAsia" w:eastAsiaTheme="minorEastAsia"/>
          <w:b w:val="0"/>
          <w:bCs/>
          <w:color w:val="000000"/>
          <w:sz w:val="30"/>
          <w:szCs w:val="30"/>
        </w:rPr>
        <w:t>支出决算为10.18万元，完成预算100</w:t>
      </w:r>
      <w:r>
        <w:rPr>
          <w:rStyle w:val="18"/>
          <w:rFonts w:asciiTheme="minorEastAsia" w:hAnsiTheme="minorEastAsia" w:eastAsiaTheme="minorEastAsia"/>
          <w:b w:val="0"/>
          <w:bCs/>
          <w:color w:val="000000"/>
          <w:sz w:val="30"/>
          <w:szCs w:val="30"/>
        </w:rPr>
        <w:t>%</w:t>
      </w:r>
      <w:r>
        <w:rPr>
          <w:rFonts w:hint="eastAsia" w:ascii="仿宋_GB2312" w:hAnsi="仿宋_GB2312" w:eastAsia="仿宋_GB2312" w:cs="仿宋_GB2312"/>
          <w:bCs/>
          <w:kern w:val="0"/>
          <w:sz w:val="32"/>
          <w:szCs w:val="32"/>
        </w:rPr>
        <w:t>，决算数等于预算数</w:t>
      </w:r>
      <w:r>
        <w:rPr>
          <w:rStyle w:val="18"/>
          <w:rFonts w:hint="eastAsia" w:asciiTheme="minorEastAsia" w:hAnsiTheme="minorEastAsia" w:eastAsiaTheme="minorEastAsia"/>
          <w:b w:val="0"/>
          <w:bCs/>
          <w:color w:val="000000"/>
          <w:sz w:val="30"/>
          <w:szCs w:val="30"/>
        </w:rPr>
        <w:t>。</w:t>
      </w:r>
    </w:p>
    <w:bookmarkEnd w:id="56"/>
    <w:bookmarkEnd w:id="57"/>
    <w:bookmarkEnd w:id="58"/>
    <w:p w14:paraId="776067DE">
      <w:pPr>
        <w:pStyle w:val="4"/>
        <w:numPr>
          <w:ilvl w:val="0"/>
          <w:numId w:val="0"/>
        </w:numPr>
        <w:ind w:leftChars="0"/>
        <w:rPr>
          <w:rStyle w:val="31"/>
          <w:rFonts w:hint="eastAsia" w:ascii="黑体" w:hAnsi="黑体" w:eastAsia="黑体"/>
          <w:b w:val="0"/>
          <w:bCs w:val="0"/>
          <w:color w:val="000000" w:themeColor="text1"/>
          <w:lang w:eastAsia="zh-CN"/>
        </w:rPr>
      </w:pPr>
      <w:bookmarkStart w:id="59" w:name="_Toc15377214"/>
      <w:bookmarkStart w:id="60" w:name="_Toc15396608"/>
      <w:bookmarkStart w:id="61" w:name="_Toc31243"/>
      <w:r>
        <w:rPr>
          <w:rStyle w:val="31"/>
          <w:rFonts w:hint="eastAsia" w:ascii="黑体" w:hAnsi="黑体" w:eastAsia="黑体"/>
          <w:b w:val="0"/>
          <w:bCs w:val="0"/>
          <w:color w:val="000000" w:themeColor="text1"/>
          <w:lang w:eastAsia="zh-CN"/>
        </w:rPr>
        <w:t>六、一般公共预算财政拨款基本支出决算情况说明</w:t>
      </w:r>
      <w:bookmarkEnd w:id="59"/>
      <w:bookmarkEnd w:id="60"/>
      <w:bookmarkEnd w:id="61"/>
      <w:r>
        <w:rPr>
          <w:rStyle w:val="31"/>
          <w:rFonts w:hint="eastAsia" w:ascii="黑体" w:hAnsi="黑体" w:eastAsia="黑体"/>
          <w:b w:val="0"/>
          <w:bCs w:val="0"/>
          <w:color w:val="000000" w:themeColor="text1"/>
          <w:lang w:eastAsia="zh-CN"/>
        </w:rPr>
        <w:tab/>
      </w:r>
    </w:p>
    <w:p w14:paraId="3A7DF084">
      <w:pPr>
        <w:spacing w:line="600" w:lineRule="exact"/>
        <w:ind w:firstLine="645"/>
        <w:rPr>
          <w:rStyle w:val="18"/>
          <w:rFonts w:asciiTheme="minorEastAsia" w:hAnsiTheme="minorEastAsia" w:eastAsiaTheme="minorEastAsia"/>
          <w:bCs/>
          <w:color w:val="000000"/>
          <w:sz w:val="30"/>
          <w:szCs w:val="30"/>
        </w:rPr>
      </w:pPr>
      <w:r>
        <w:rPr>
          <w:rStyle w:val="18"/>
          <w:rFonts w:asciiTheme="minorEastAsia" w:hAnsiTheme="minorEastAsia" w:eastAsiaTheme="minorEastAsia"/>
          <w:bCs/>
          <w:color w:val="000000"/>
          <w:sz w:val="30"/>
          <w:szCs w:val="30"/>
        </w:rPr>
        <w:t>20</w:t>
      </w:r>
      <w:r>
        <w:rPr>
          <w:rStyle w:val="18"/>
          <w:rFonts w:hint="eastAsia" w:asciiTheme="minorEastAsia" w:hAnsiTheme="minorEastAsia" w:eastAsiaTheme="minorEastAsia"/>
          <w:bCs/>
          <w:color w:val="000000"/>
          <w:sz w:val="30"/>
          <w:szCs w:val="30"/>
        </w:rPr>
        <w:t>22年一般公共预算财政拨款基本支出430.07万元，其中：</w:t>
      </w:r>
    </w:p>
    <w:p w14:paraId="72D01ECB">
      <w:pPr>
        <w:spacing w:line="600" w:lineRule="exact"/>
        <w:ind w:firstLine="645"/>
        <w:rPr>
          <w:rStyle w:val="18"/>
          <w:rFonts w:asciiTheme="minorEastAsia" w:hAnsiTheme="minorEastAsia" w:eastAsiaTheme="minorEastAsia"/>
          <w:b w:val="0"/>
          <w:bCs/>
          <w:color w:val="000000"/>
          <w:sz w:val="30"/>
          <w:szCs w:val="30"/>
        </w:rPr>
      </w:pPr>
      <w:r>
        <w:rPr>
          <w:rStyle w:val="18"/>
          <w:rFonts w:hint="eastAsia" w:asciiTheme="minorEastAsia" w:hAnsiTheme="minorEastAsia" w:eastAsiaTheme="minorEastAsia"/>
          <w:b w:val="0"/>
          <w:bCs/>
          <w:color w:val="000000"/>
          <w:sz w:val="30"/>
          <w:szCs w:val="30"/>
        </w:rPr>
        <w:t>人员经224.21万元，主要包括：基本工资、津贴补贴、奖金、绩效工资、机关事业单位基本养老保险缴费、</w:t>
      </w:r>
      <w:r>
        <w:rPr>
          <w:rStyle w:val="18"/>
          <w:rFonts w:hint="eastAsia" w:asciiTheme="minorEastAsia" w:hAnsiTheme="minorEastAsia" w:eastAsiaTheme="minorEastAsia"/>
          <w:b w:val="0"/>
          <w:bCs/>
          <w:color w:val="000000"/>
          <w:sz w:val="30"/>
          <w:szCs w:val="30"/>
          <w:lang w:eastAsia="zh-CN"/>
        </w:rPr>
        <w:t>职工基本医疗保险缴费、</w:t>
      </w:r>
      <w:r>
        <w:rPr>
          <w:rStyle w:val="18"/>
          <w:rFonts w:hint="eastAsia" w:asciiTheme="minorEastAsia" w:hAnsiTheme="minorEastAsia" w:eastAsiaTheme="minorEastAsia"/>
          <w:b w:val="0"/>
          <w:bCs/>
          <w:color w:val="000000"/>
          <w:sz w:val="30"/>
          <w:szCs w:val="30"/>
        </w:rPr>
        <w:t>职业年金缴费、其他社会保障缴费、其他工资福利支</w:t>
      </w:r>
      <w:r>
        <w:rPr>
          <w:rFonts w:hint="eastAsia" w:ascii="仿宋" w:hAnsi="仿宋" w:eastAsia="仿宋"/>
          <w:sz w:val="32"/>
          <w:szCs w:val="32"/>
        </w:rPr>
        <w:t>出、</w:t>
      </w:r>
      <w:r>
        <w:rPr>
          <w:rStyle w:val="18"/>
          <w:rFonts w:hint="eastAsia" w:asciiTheme="minorEastAsia" w:hAnsiTheme="minorEastAsia" w:eastAsiaTheme="minorEastAsia"/>
          <w:b w:val="0"/>
          <w:bCs/>
          <w:color w:val="000000"/>
          <w:sz w:val="30"/>
          <w:szCs w:val="30"/>
        </w:rPr>
        <w:t>住房公积金等。</w:t>
      </w:r>
    </w:p>
    <w:p w14:paraId="3987EDDC">
      <w:pPr>
        <w:spacing w:line="600" w:lineRule="exact"/>
        <w:ind w:firstLine="645"/>
        <w:rPr>
          <w:rStyle w:val="18"/>
          <w:rFonts w:asciiTheme="minorEastAsia" w:hAnsiTheme="minorEastAsia" w:eastAsiaTheme="minorEastAsia"/>
          <w:b w:val="0"/>
          <w:bCs/>
          <w:color w:val="000000"/>
          <w:sz w:val="30"/>
          <w:szCs w:val="30"/>
        </w:rPr>
      </w:pPr>
      <w:r>
        <w:rPr>
          <w:rStyle w:val="18"/>
          <w:rFonts w:hint="eastAsia" w:asciiTheme="minorEastAsia" w:hAnsiTheme="minorEastAsia" w:eastAsiaTheme="minorEastAsia"/>
          <w:b w:val="0"/>
          <w:bCs/>
          <w:color w:val="000000"/>
          <w:sz w:val="30"/>
          <w:szCs w:val="30"/>
        </w:rPr>
        <w:t>公用经费205.86万元，主要包括：办公费、印刷费、水费、电费、邮电费、差旅费、租赁费、公务接待费、</w:t>
      </w:r>
      <w:r>
        <w:rPr>
          <w:rStyle w:val="18"/>
          <w:rFonts w:hint="eastAsia" w:asciiTheme="minorEastAsia" w:hAnsiTheme="minorEastAsia" w:eastAsiaTheme="minorEastAsia"/>
          <w:b w:val="0"/>
          <w:bCs/>
          <w:color w:val="000000"/>
          <w:sz w:val="30"/>
          <w:szCs w:val="30"/>
          <w:lang w:eastAsia="zh-CN"/>
        </w:rPr>
        <w:t>劳务费、</w:t>
      </w:r>
      <w:r>
        <w:rPr>
          <w:rStyle w:val="18"/>
          <w:rFonts w:hint="eastAsia" w:asciiTheme="minorEastAsia" w:hAnsiTheme="minorEastAsia" w:eastAsiaTheme="minorEastAsia"/>
          <w:b w:val="0"/>
          <w:bCs/>
          <w:color w:val="000000"/>
          <w:sz w:val="30"/>
          <w:szCs w:val="30"/>
        </w:rPr>
        <w:t>工会经费、其他交通费、其他商品和服务支出等。</w:t>
      </w:r>
    </w:p>
    <w:p w14:paraId="29E19ECD">
      <w:pPr>
        <w:pStyle w:val="4"/>
        <w:numPr>
          <w:ilvl w:val="0"/>
          <w:numId w:val="0"/>
        </w:numPr>
        <w:ind w:leftChars="0"/>
        <w:rPr>
          <w:rStyle w:val="31"/>
          <w:rFonts w:hint="eastAsia" w:ascii="黑体" w:hAnsi="黑体" w:eastAsia="黑体"/>
          <w:b w:val="0"/>
          <w:bCs w:val="0"/>
          <w:color w:val="000000" w:themeColor="text1"/>
          <w:lang w:eastAsia="zh-CN"/>
        </w:rPr>
      </w:pPr>
      <w:bookmarkStart w:id="62" w:name="_Toc15377215"/>
      <w:bookmarkStart w:id="63" w:name="_Toc3601"/>
      <w:bookmarkStart w:id="64" w:name="_Toc15396609"/>
      <w:r>
        <w:rPr>
          <w:rStyle w:val="31"/>
          <w:rFonts w:hint="eastAsia" w:ascii="黑体" w:hAnsi="黑体" w:eastAsia="黑体"/>
          <w:b w:val="0"/>
          <w:bCs w:val="0"/>
          <w:color w:val="000000" w:themeColor="text1"/>
          <w:lang w:eastAsia="zh-CN"/>
        </w:rPr>
        <w:t>七、“三公”经费财政拨款支出决算情况说明</w:t>
      </w:r>
      <w:bookmarkEnd w:id="62"/>
      <w:bookmarkEnd w:id="63"/>
      <w:bookmarkEnd w:id="64"/>
    </w:p>
    <w:p w14:paraId="342824B0">
      <w:pPr>
        <w:spacing w:line="600" w:lineRule="exact"/>
        <w:ind w:firstLine="640"/>
        <w:outlineLvl w:val="2"/>
        <w:rPr>
          <w:rFonts w:ascii="仿宋" w:hAnsi="仿宋" w:eastAsia="仿宋"/>
          <w:b/>
          <w:sz w:val="32"/>
          <w:szCs w:val="32"/>
        </w:rPr>
      </w:pPr>
      <w:bookmarkStart w:id="65" w:name="_Toc15377216"/>
      <w:r>
        <w:rPr>
          <w:rFonts w:hint="eastAsia" w:ascii="仿宋" w:hAnsi="仿宋" w:eastAsia="仿宋"/>
          <w:b/>
          <w:sz w:val="32"/>
          <w:szCs w:val="32"/>
        </w:rPr>
        <w:t>（一）“三公”经费财政拨款支出决算总体情况说明</w:t>
      </w:r>
      <w:bookmarkEnd w:id="65"/>
    </w:p>
    <w:p w14:paraId="1BDA77E9">
      <w:pPr>
        <w:spacing w:line="600" w:lineRule="exact"/>
        <w:ind w:firstLine="640"/>
        <w:rPr>
          <w:rStyle w:val="18"/>
          <w:rFonts w:asciiTheme="minorEastAsia" w:hAnsiTheme="minorEastAsia" w:eastAsiaTheme="minorEastAsia"/>
          <w:b w:val="0"/>
          <w:bCs/>
          <w:color w:val="000000"/>
          <w:sz w:val="30"/>
          <w:szCs w:val="30"/>
        </w:rPr>
      </w:pPr>
      <w:r>
        <w:rPr>
          <w:rStyle w:val="18"/>
          <w:rFonts w:asciiTheme="minorEastAsia" w:hAnsiTheme="minorEastAsia" w:eastAsiaTheme="minorEastAsia"/>
          <w:b w:val="0"/>
          <w:bCs/>
          <w:color w:val="000000"/>
          <w:sz w:val="30"/>
          <w:szCs w:val="30"/>
        </w:rPr>
        <w:t>20</w:t>
      </w:r>
      <w:r>
        <w:rPr>
          <w:rStyle w:val="18"/>
          <w:rFonts w:hint="eastAsia" w:asciiTheme="minorEastAsia" w:hAnsiTheme="minorEastAsia" w:eastAsiaTheme="minorEastAsia"/>
          <w:b w:val="0"/>
          <w:bCs/>
          <w:color w:val="000000"/>
          <w:sz w:val="30"/>
          <w:szCs w:val="30"/>
        </w:rPr>
        <w:t>22年“三公”经费财政拨款支出决算为5.68万元，完成预算</w:t>
      </w:r>
      <w:r>
        <w:rPr>
          <w:rStyle w:val="18"/>
          <w:rFonts w:hint="eastAsia" w:asciiTheme="minorEastAsia" w:hAnsiTheme="minorEastAsia" w:eastAsiaTheme="minorEastAsia"/>
          <w:b w:val="0"/>
          <w:bCs/>
          <w:color w:val="000000"/>
          <w:sz w:val="30"/>
          <w:szCs w:val="30"/>
          <w:lang w:val="en-US" w:eastAsia="zh-CN"/>
        </w:rPr>
        <w:t>80</w:t>
      </w:r>
      <w:r>
        <w:rPr>
          <w:rStyle w:val="18"/>
          <w:rFonts w:asciiTheme="minorEastAsia" w:hAnsiTheme="minorEastAsia" w:eastAsiaTheme="minorEastAsia"/>
          <w:b w:val="0"/>
          <w:bCs/>
          <w:color w:val="000000"/>
          <w:sz w:val="30"/>
          <w:szCs w:val="30"/>
        </w:rPr>
        <w:t>%</w:t>
      </w:r>
      <w:r>
        <w:rPr>
          <w:rStyle w:val="18"/>
          <w:rFonts w:hint="eastAsia" w:asciiTheme="minorEastAsia" w:hAnsiTheme="minorEastAsia" w:eastAsiaTheme="minorEastAsia"/>
          <w:b w:val="0"/>
          <w:bCs/>
          <w:color w:val="000000"/>
          <w:sz w:val="30"/>
          <w:szCs w:val="30"/>
        </w:rPr>
        <w:t>，决算数小于预算数的主要原因是严格落实压减“三公”经费支出，坚决杜绝铺张浪费。</w:t>
      </w:r>
    </w:p>
    <w:p w14:paraId="09E4E06A">
      <w:pPr>
        <w:spacing w:line="600" w:lineRule="exact"/>
        <w:ind w:firstLine="640"/>
        <w:outlineLvl w:val="2"/>
        <w:rPr>
          <w:rFonts w:ascii="仿宋" w:hAnsi="仿宋" w:eastAsia="仿宋"/>
          <w:b/>
          <w:sz w:val="32"/>
          <w:szCs w:val="32"/>
        </w:rPr>
      </w:pPr>
      <w:bookmarkStart w:id="66" w:name="_Toc15377217"/>
      <w:r>
        <w:rPr>
          <w:rFonts w:hint="eastAsia" w:ascii="仿宋" w:hAnsi="仿宋" w:eastAsia="仿宋"/>
          <w:b/>
          <w:sz w:val="32"/>
          <w:szCs w:val="32"/>
        </w:rPr>
        <w:t>（二）“三公”经费财政拨款支出决算具体情况说明</w:t>
      </w:r>
      <w:bookmarkEnd w:id="66"/>
    </w:p>
    <w:p w14:paraId="3A89AA00">
      <w:pPr>
        <w:spacing w:line="600" w:lineRule="exact"/>
        <w:ind w:firstLine="640"/>
        <w:rPr>
          <w:rStyle w:val="18"/>
          <w:rFonts w:asciiTheme="minorEastAsia" w:hAnsiTheme="minorEastAsia" w:eastAsiaTheme="minorEastAsia"/>
          <w:b w:val="0"/>
          <w:bCs/>
          <w:color w:val="000000"/>
          <w:sz w:val="30"/>
          <w:szCs w:val="30"/>
        </w:rPr>
      </w:pPr>
      <w:r>
        <w:rPr>
          <w:rStyle w:val="18"/>
          <w:rFonts w:asciiTheme="minorEastAsia" w:hAnsiTheme="minorEastAsia" w:eastAsiaTheme="minorEastAsia"/>
          <w:b w:val="0"/>
          <w:bCs/>
          <w:color w:val="000000"/>
          <w:sz w:val="30"/>
          <w:szCs w:val="30"/>
        </w:rPr>
        <w:t>20</w:t>
      </w:r>
      <w:r>
        <w:rPr>
          <w:rStyle w:val="18"/>
          <w:rFonts w:hint="eastAsia" w:asciiTheme="minorEastAsia" w:hAnsiTheme="minorEastAsia" w:eastAsiaTheme="minorEastAsia"/>
          <w:b w:val="0"/>
          <w:bCs/>
          <w:color w:val="000000"/>
          <w:sz w:val="30"/>
          <w:szCs w:val="30"/>
        </w:rPr>
        <w:t>22年“三公”经费财政拨款支出决算中，因公出国（境）费支出决算0万元，占0</w:t>
      </w:r>
      <w:r>
        <w:rPr>
          <w:rStyle w:val="18"/>
          <w:rFonts w:asciiTheme="minorEastAsia" w:hAnsiTheme="minorEastAsia" w:eastAsiaTheme="minorEastAsia"/>
          <w:b w:val="0"/>
          <w:bCs/>
          <w:color w:val="000000"/>
          <w:sz w:val="30"/>
          <w:szCs w:val="30"/>
        </w:rPr>
        <w:t>%</w:t>
      </w:r>
      <w:r>
        <w:rPr>
          <w:rStyle w:val="18"/>
          <w:rFonts w:hint="eastAsia" w:asciiTheme="minorEastAsia" w:hAnsiTheme="minorEastAsia" w:eastAsiaTheme="minorEastAsia"/>
          <w:b w:val="0"/>
          <w:bCs/>
          <w:color w:val="000000"/>
          <w:sz w:val="30"/>
          <w:szCs w:val="30"/>
          <w:lang w:eastAsia="zh-CN"/>
        </w:rPr>
        <w:t>，</w:t>
      </w:r>
      <w:r>
        <w:rPr>
          <w:rStyle w:val="18"/>
          <w:rFonts w:hint="eastAsia" w:asciiTheme="minorEastAsia" w:hAnsiTheme="minorEastAsia" w:eastAsiaTheme="minorEastAsia"/>
          <w:b w:val="0"/>
          <w:bCs/>
          <w:color w:val="000000"/>
          <w:sz w:val="30"/>
          <w:szCs w:val="30"/>
        </w:rPr>
        <w:t>；公务用车购置及运行维护费支出决算0万元，占0</w:t>
      </w:r>
      <w:r>
        <w:rPr>
          <w:rStyle w:val="18"/>
          <w:rFonts w:asciiTheme="minorEastAsia" w:hAnsiTheme="minorEastAsia" w:eastAsiaTheme="minorEastAsia"/>
          <w:b w:val="0"/>
          <w:bCs/>
          <w:color w:val="000000"/>
          <w:sz w:val="30"/>
          <w:szCs w:val="30"/>
        </w:rPr>
        <w:t>%</w:t>
      </w:r>
      <w:r>
        <w:rPr>
          <w:rStyle w:val="18"/>
          <w:rFonts w:hint="eastAsia" w:asciiTheme="minorEastAsia" w:hAnsiTheme="minorEastAsia" w:eastAsiaTheme="minorEastAsia"/>
          <w:b w:val="0"/>
          <w:bCs/>
          <w:color w:val="000000"/>
          <w:sz w:val="30"/>
          <w:szCs w:val="30"/>
        </w:rPr>
        <w:t>；公务接待费支出决算5.68万元，占100</w:t>
      </w:r>
      <w:r>
        <w:rPr>
          <w:rStyle w:val="18"/>
          <w:rFonts w:asciiTheme="minorEastAsia" w:hAnsiTheme="minorEastAsia" w:eastAsiaTheme="minorEastAsia"/>
          <w:b w:val="0"/>
          <w:bCs/>
          <w:color w:val="000000"/>
          <w:sz w:val="30"/>
          <w:szCs w:val="30"/>
        </w:rPr>
        <w:t>%</w:t>
      </w:r>
      <w:r>
        <w:rPr>
          <w:rStyle w:val="18"/>
          <w:rFonts w:hint="eastAsia" w:asciiTheme="minorEastAsia" w:hAnsiTheme="minorEastAsia" w:eastAsiaTheme="minorEastAsia"/>
          <w:b w:val="0"/>
          <w:bCs/>
          <w:color w:val="000000"/>
          <w:sz w:val="30"/>
          <w:szCs w:val="30"/>
        </w:rPr>
        <w:t>。具体情况如下：</w:t>
      </w:r>
    </w:p>
    <w:p w14:paraId="7EBBDFA9">
      <w:pPr>
        <w:pStyle w:val="8"/>
      </w:pPr>
      <w:r>
        <w:drawing>
          <wp:inline distT="0" distB="0" distL="114300" distR="114300">
            <wp:extent cx="4020185" cy="2581910"/>
            <wp:effectExtent l="4445" t="4445" r="13970" b="2349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ACBA0C7">
      <w:pPr>
        <w:spacing w:line="600" w:lineRule="exact"/>
        <w:ind w:firstLine="640"/>
        <w:rPr>
          <w:rStyle w:val="18"/>
          <w:rFonts w:asciiTheme="minorEastAsia" w:hAnsiTheme="minorEastAsia" w:eastAsiaTheme="minorEastAsia"/>
          <w:b w:val="0"/>
          <w:bCs/>
          <w:color w:val="000000"/>
          <w:sz w:val="30"/>
          <w:szCs w:val="30"/>
        </w:rPr>
      </w:pPr>
      <w:r>
        <w:rPr>
          <w:rFonts w:ascii="仿宋_GB2312" w:eastAsia="仿宋_GB2312"/>
          <w:b/>
          <w:sz w:val="32"/>
          <w:szCs w:val="32"/>
        </w:rPr>
        <w:t>1.</w:t>
      </w:r>
      <w:r>
        <w:rPr>
          <w:rFonts w:hint="eastAsia" w:ascii="仿宋_GB2312" w:eastAsia="仿宋_GB2312"/>
          <w:b/>
          <w:sz w:val="32"/>
          <w:szCs w:val="32"/>
        </w:rPr>
        <w:t>因公出国（境）经费支出</w:t>
      </w:r>
      <w:r>
        <w:rPr>
          <w:rStyle w:val="18"/>
          <w:rFonts w:hint="eastAsia" w:asciiTheme="minorEastAsia" w:hAnsiTheme="minorEastAsia" w:eastAsiaTheme="minorEastAsia"/>
          <w:b w:val="0"/>
          <w:bCs/>
          <w:color w:val="000000"/>
          <w:sz w:val="30"/>
          <w:szCs w:val="30"/>
        </w:rPr>
        <w:t>0万元，年初未安排预算。因公出国（境）支出决算较</w:t>
      </w:r>
      <w:r>
        <w:rPr>
          <w:rStyle w:val="18"/>
          <w:rFonts w:asciiTheme="minorEastAsia" w:hAnsiTheme="minorEastAsia" w:eastAsiaTheme="minorEastAsia"/>
          <w:b w:val="0"/>
          <w:bCs/>
          <w:color w:val="000000"/>
          <w:sz w:val="30"/>
          <w:szCs w:val="30"/>
        </w:rPr>
        <w:t>20</w:t>
      </w:r>
      <w:r>
        <w:rPr>
          <w:rStyle w:val="18"/>
          <w:rFonts w:hint="eastAsia" w:asciiTheme="minorEastAsia" w:hAnsiTheme="minorEastAsia" w:eastAsiaTheme="minorEastAsia"/>
          <w:b w:val="0"/>
          <w:bCs/>
          <w:color w:val="000000"/>
          <w:sz w:val="30"/>
          <w:szCs w:val="30"/>
        </w:rPr>
        <w:t>2</w:t>
      </w:r>
      <w:r>
        <w:rPr>
          <w:rStyle w:val="18"/>
          <w:rFonts w:hint="eastAsia" w:asciiTheme="minorEastAsia" w:hAnsiTheme="minorEastAsia" w:eastAsiaTheme="minorEastAsia"/>
          <w:b w:val="0"/>
          <w:bCs/>
          <w:color w:val="000000"/>
          <w:sz w:val="30"/>
          <w:szCs w:val="30"/>
          <w:lang w:val="en-US" w:eastAsia="zh-CN"/>
        </w:rPr>
        <w:t>1</w:t>
      </w:r>
      <w:r>
        <w:rPr>
          <w:rStyle w:val="18"/>
          <w:rFonts w:hint="eastAsia" w:asciiTheme="minorEastAsia" w:hAnsiTheme="minorEastAsia" w:eastAsiaTheme="minorEastAsia"/>
          <w:b w:val="0"/>
          <w:bCs/>
          <w:color w:val="000000"/>
          <w:sz w:val="30"/>
          <w:szCs w:val="30"/>
        </w:rPr>
        <w:t>无变化。</w:t>
      </w:r>
    </w:p>
    <w:p w14:paraId="5DC8EE44">
      <w:pPr>
        <w:spacing w:line="600" w:lineRule="exact"/>
        <w:ind w:firstLine="640"/>
        <w:rPr>
          <w:rStyle w:val="18"/>
          <w:rFonts w:asciiTheme="minorEastAsia" w:hAnsiTheme="minorEastAsia" w:eastAsiaTheme="minorEastAsia"/>
          <w:b w:val="0"/>
          <w:bCs/>
          <w:color w:val="000000"/>
          <w:sz w:val="30"/>
          <w:szCs w:val="30"/>
        </w:rPr>
      </w:pPr>
      <w:r>
        <w:rPr>
          <w:rFonts w:ascii="仿宋_GB2312" w:eastAsia="仿宋_GB2312"/>
          <w:b/>
          <w:sz w:val="32"/>
          <w:szCs w:val="32"/>
        </w:rPr>
        <w:t>2.</w:t>
      </w:r>
      <w:r>
        <w:rPr>
          <w:rFonts w:hint="eastAsia" w:ascii="仿宋_GB2312" w:eastAsia="仿宋_GB2312"/>
          <w:b/>
          <w:sz w:val="32"/>
          <w:szCs w:val="32"/>
        </w:rPr>
        <w:t>公务用车购置及运行维护费支出</w:t>
      </w:r>
      <w:r>
        <w:rPr>
          <w:rStyle w:val="18"/>
          <w:rFonts w:hint="eastAsia" w:asciiTheme="minorEastAsia" w:hAnsiTheme="minorEastAsia" w:eastAsiaTheme="minorEastAsia"/>
          <w:b w:val="0"/>
          <w:bCs/>
          <w:color w:val="000000"/>
          <w:sz w:val="30"/>
          <w:szCs w:val="30"/>
        </w:rPr>
        <w:t>0万元, 年初未安排预算。公务用车购置及运行维护费支出决算较</w:t>
      </w:r>
      <w:r>
        <w:rPr>
          <w:rStyle w:val="18"/>
          <w:rFonts w:asciiTheme="minorEastAsia" w:hAnsiTheme="minorEastAsia" w:eastAsiaTheme="minorEastAsia"/>
          <w:b w:val="0"/>
          <w:bCs/>
          <w:color w:val="000000"/>
          <w:sz w:val="30"/>
          <w:szCs w:val="30"/>
        </w:rPr>
        <w:t>20</w:t>
      </w:r>
      <w:r>
        <w:rPr>
          <w:rStyle w:val="18"/>
          <w:rFonts w:hint="eastAsia" w:asciiTheme="minorEastAsia" w:hAnsiTheme="minorEastAsia" w:eastAsiaTheme="minorEastAsia"/>
          <w:b w:val="0"/>
          <w:bCs/>
          <w:color w:val="000000"/>
          <w:sz w:val="30"/>
          <w:szCs w:val="30"/>
        </w:rPr>
        <w:t>2</w:t>
      </w:r>
      <w:r>
        <w:rPr>
          <w:rStyle w:val="18"/>
          <w:rFonts w:hint="eastAsia" w:asciiTheme="minorEastAsia" w:hAnsiTheme="minorEastAsia" w:eastAsiaTheme="minorEastAsia"/>
          <w:b w:val="0"/>
          <w:bCs/>
          <w:color w:val="000000"/>
          <w:sz w:val="30"/>
          <w:szCs w:val="30"/>
          <w:lang w:val="en-US" w:eastAsia="zh-CN"/>
        </w:rPr>
        <w:t>1</w:t>
      </w:r>
      <w:r>
        <w:rPr>
          <w:rStyle w:val="18"/>
          <w:rFonts w:hint="eastAsia" w:asciiTheme="minorEastAsia" w:hAnsiTheme="minorEastAsia" w:eastAsiaTheme="minorEastAsia"/>
          <w:b w:val="0"/>
          <w:bCs/>
          <w:color w:val="000000"/>
          <w:sz w:val="30"/>
          <w:szCs w:val="30"/>
        </w:rPr>
        <w:t>无变化。</w:t>
      </w:r>
    </w:p>
    <w:p w14:paraId="60BCCD70">
      <w:pPr>
        <w:spacing w:line="600" w:lineRule="exact"/>
        <w:ind w:firstLine="640" w:firstLineChars="200"/>
        <w:rPr>
          <w:rStyle w:val="18"/>
          <w:rFonts w:asciiTheme="minorEastAsia" w:hAnsiTheme="minorEastAsia" w:eastAsiaTheme="minorEastAsia"/>
          <w:b w:val="0"/>
          <w:bCs/>
          <w:color w:val="000000"/>
          <w:sz w:val="30"/>
          <w:szCs w:val="30"/>
        </w:rPr>
      </w:pPr>
      <w:r>
        <w:rPr>
          <w:rFonts w:hint="eastAsia" w:ascii="仿宋_GB2312" w:eastAsia="仿宋_GB2312"/>
          <w:sz w:val="32"/>
          <w:szCs w:val="32"/>
        </w:rPr>
        <w:t>其中：</w:t>
      </w:r>
      <w:r>
        <w:rPr>
          <w:rFonts w:hint="eastAsia" w:ascii="仿宋_GB2312" w:eastAsia="仿宋_GB2312"/>
          <w:b/>
          <w:sz w:val="32"/>
          <w:szCs w:val="32"/>
        </w:rPr>
        <w:t>公务用车购置支出</w:t>
      </w:r>
      <w:r>
        <w:rPr>
          <w:rStyle w:val="18"/>
          <w:rFonts w:hint="eastAsia" w:asciiTheme="minorEastAsia" w:hAnsiTheme="minorEastAsia" w:eastAsiaTheme="minorEastAsia"/>
          <w:b w:val="0"/>
          <w:bCs/>
          <w:color w:val="000000"/>
          <w:sz w:val="30"/>
          <w:szCs w:val="30"/>
        </w:rPr>
        <w:t>0万元。未购置公务用车。截止202</w:t>
      </w:r>
      <w:r>
        <w:rPr>
          <w:rStyle w:val="18"/>
          <w:rFonts w:hint="eastAsia" w:asciiTheme="minorEastAsia" w:hAnsiTheme="minorEastAsia" w:eastAsiaTheme="minorEastAsia"/>
          <w:b w:val="0"/>
          <w:bCs/>
          <w:color w:val="000000"/>
          <w:sz w:val="30"/>
          <w:szCs w:val="30"/>
          <w:lang w:val="en-US" w:eastAsia="zh-CN"/>
        </w:rPr>
        <w:t>2</w:t>
      </w:r>
      <w:r>
        <w:rPr>
          <w:rStyle w:val="18"/>
          <w:rFonts w:hint="eastAsia" w:asciiTheme="minorEastAsia" w:hAnsiTheme="minorEastAsia" w:eastAsiaTheme="minorEastAsia"/>
          <w:b w:val="0"/>
          <w:bCs/>
          <w:color w:val="000000"/>
          <w:sz w:val="30"/>
          <w:szCs w:val="30"/>
        </w:rPr>
        <w:t>年12月底，单位共有公务用车0台。</w:t>
      </w:r>
    </w:p>
    <w:p w14:paraId="42C21CCB">
      <w:pPr>
        <w:spacing w:line="600" w:lineRule="exact"/>
        <w:ind w:firstLine="640"/>
      </w:pPr>
      <w:r>
        <w:rPr>
          <w:rFonts w:hint="eastAsia" w:ascii="仿宋_GB2312" w:eastAsia="仿宋_GB2312"/>
          <w:b/>
          <w:sz w:val="32"/>
          <w:szCs w:val="32"/>
        </w:rPr>
        <w:t>公务用车运行维护费支出</w:t>
      </w:r>
      <w:r>
        <w:rPr>
          <w:rFonts w:hint="eastAsia" w:ascii="仿宋_GB2312" w:eastAsia="仿宋_GB2312"/>
          <w:sz w:val="32"/>
          <w:szCs w:val="32"/>
        </w:rPr>
        <w:t>0万元。</w:t>
      </w:r>
    </w:p>
    <w:p w14:paraId="64CA2ADA">
      <w:pPr>
        <w:spacing w:line="600" w:lineRule="exact"/>
        <w:ind w:firstLine="640"/>
        <w:rPr>
          <w:rStyle w:val="18"/>
          <w:rFonts w:asciiTheme="minorEastAsia" w:hAnsiTheme="minorEastAsia" w:eastAsiaTheme="minorEastAsia"/>
          <w:b w:val="0"/>
          <w:bCs/>
          <w:color w:val="000000"/>
          <w:sz w:val="30"/>
          <w:szCs w:val="30"/>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5.68万元，</w:t>
      </w:r>
      <w:r>
        <w:rPr>
          <w:rStyle w:val="18"/>
          <w:rFonts w:hint="eastAsia" w:asciiTheme="minorEastAsia" w:hAnsiTheme="minorEastAsia" w:eastAsiaTheme="minorEastAsia"/>
          <w:b w:val="0"/>
          <w:bCs/>
          <w:color w:val="000000"/>
          <w:sz w:val="30"/>
          <w:szCs w:val="30"/>
        </w:rPr>
        <w:t>完成预算</w:t>
      </w:r>
      <w:r>
        <w:rPr>
          <w:rStyle w:val="18"/>
          <w:rFonts w:hint="eastAsia" w:asciiTheme="minorEastAsia" w:hAnsiTheme="minorEastAsia" w:eastAsiaTheme="minorEastAsia"/>
          <w:b w:val="0"/>
          <w:bCs/>
          <w:color w:val="000000"/>
          <w:sz w:val="30"/>
          <w:szCs w:val="30"/>
          <w:lang w:val="en-US" w:eastAsia="zh-CN"/>
        </w:rPr>
        <w:t>80</w:t>
      </w:r>
      <w:r>
        <w:rPr>
          <w:rStyle w:val="18"/>
          <w:rFonts w:asciiTheme="minorEastAsia" w:hAnsiTheme="minorEastAsia" w:eastAsiaTheme="minorEastAsia"/>
          <w:b w:val="0"/>
          <w:bCs/>
          <w:color w:val="000000"/>
          <w:sz w:val="30"/>
          <w:szCs w:val="30"/>
        </w:rPr>
        <w:t>%</w:t>
      </w:r>
      <w:r>
        <w:rPr>
          <w:rStyle w:val="18"/>
          <w:rFonts w:hint="eastAsia" w:asciiTheme="minorEastAsia" w:hAnsiTheme="minorEastAsia" w:eastAsiaTheme="minorEastAsia"/>
          <w:b w:val="0"/>
          <w:bCs/>
          <w:color w:val="000000"/>
          <w:sz w:val="30"/>
          <w:szCs w:val="30"/>
        </w:rPr>
        <w:t>。公务接待费支出决算较</w:t>
      </w:r>
      <w:r>
        <w:rPr>
          <w:rStyle w:val="18"/>
          <w:rFonts w:asciiTheme="minorEastAsia" w:hAnsiTheme="minorEastAsia" w:eastAsiaTheme="minorEastAsia"/>
          <w:b w:val="0"/>
          <w:bCs/>
          <w:color w:val="000000"/>
          <w:sz w:val="30"/>
          <w:szCs w:val="30"/>
        </w:rPr>
        <w:t>20</w:t>
      </w:r>
      <w:r>
        <w:rPr>
          <w:rStyle w:val="18"/>
          <w:rFonts w:hint="eastAsia" w:asciiTheme="minorEastAsia" w:hAnsiTheme="minorEastAsia" w:eastAsiaTheme="minorEastAsia"/>
          <w:b w:val="0"/>
          <w:bCs/>
          <w:color w:val="000000"/>
          <w:sz w:val="30"/>
          <w:szCs w:val="30"/>
        </w:rPr>
        <w:t>21年持平。其中：</w:t>
      </w:r>
    </w:p>
    <w:p w14:paraId="368DECB3">
      <w:pPr>
        <w:spacing w:line="600" w:lineRule="exact"/>
        <w:ind w:firstLine="640"/>
        <w:rPr>
          <w:rStyle w:val="18"/>
          <w:rFonts w:asciiTheme="minorEastAsia" w:hAnsiTheme="minorEastAsia" w:eastAsiaTheme="minorEastAsia"/>
          <w:b w:val="0"/>
          <w:bCs/>
          <w:color w:val="000000"/>
          <w:sz w:val="30"/>
          <w:szCs w:val="30"/>
        </w:rPr>
      </w:pPr>
      <w:r>
        <w:rPr>
          <w:rFonts w:hint="eastAsia" w:ascii="仿宋" w:hAnsi="仿宋" w:eastAsia="仿宋"/>
          <w:b/>
          <w:sz w:val="32"/>
          <w:szCs w:val="32"/>
        </w:rPr>
        <w:t>国内公务接待支出</w:t>
      </w:r>
      <w:r>
        <w:rPr>
          <w:rFonts w:hint="eastAsia" w:ascii="仿宋" w:hAnsi="仿宋" w:eastAsia="仿宋"/>
          <w:sz w:val="32"/>
          <w:szCs w:val="32"/>
        </w:rPr>
        <w:t>5.68</w:t>
      </w:r>
      <w:r>
        <w:rPr>
          <w:rFonts w:hint="eastAsia" w:ascii="仿宋_GB2312" w:eastAsia="仿宋_GB2312"/>
          <w:sz w:val="32"/>
          <w:szCs w:val="32"/>
        </w:rPr>
        <w:t>万元，</w:t>
      </w:r>
      <w:r>
        <w:rPr>
          <w:rStyle w:val="18"/>
          <w:rFonts w:hint="eastAsia" w:asciiTheme="minorEastAsia" w:hAnsiTheme="minorEastAsia" w:eastAsiaTheme="minorEastAsia"/>
          <w:b w:val="0"/>
          <w:bCs/>
          <w:color w:val="000000"/>
          <w:sz w:val="30"/>
          <w:szCs w:val="30"/>
        </w:rPr>
        <w:t>主要用于开展业务活动开支的交通费、住宿费、用餐费等。国内公务接待5批次，65人次（不包括陪同人员），共计支出0.5万元。主要用于全市重点项目推进工作接待10人0.1万元、固定资产投资考察接待15人0.2万元，项目考察接待20人0.2万元；招商引资接待、外出考察费支出5.18万元，主要用于接待416人余次。</w:t>
      </w:r>
    </w:p>
    <w:p w14:paraId="2C0B618B">
      <w:pPr>
        <w:spacing w:line="576"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bookmarkStart w:id="67" w:name="_Toc15396610"/>
      <w:bookmarkStart w:id="68" w:name="_Toc15377218"/>
    </w:p>
    <w:p w14:paraId="7F35676F">
      <w:pPr>
        <w:pStyle w:val="4"/>
        <w:numPr>
          <w:ilvl w:val="0"/>
          <w:numId w:val="0"/>
        </w:numPr>
        <w:ind w:leftChars="0"/>
        <w:rPr>
          <w:rStyle w:val="31"/>
          <w:rFonts w:hint="eastAsia" w:ascii="黑体" w:hAnsi="黑体" w:eastAsia="黑体"/>
          <w:b w:val="0"/>
          <w:bCs w:val="0"/>
          <w:color w:val="000000" w:themeColor="text1"/>
          <w:lang w:eastAsia="zh-CN"/>
        </w:rPr>
      </w:pPr>
      <w:bookmarkStart w:id="69" w:name="_Toc13025"/>
      <w:r>
        <w:rPr>
          <w:rStyle w:val="31"/>
          <w:rFonts w:hint="eastAsia" w:ascii="黑体" w:hAnsi="黑体" w:eastAsia="黑体"/>
          <w:b w:val="0"/>
          <w:bCs w:val="0"/>
          <w:color w:val="000000" w:themeColor="text1"/>
          <w:lang w:eastAsia="zh-CN"/>
        </w:rPr>
        <w:t>八、政府性基金预算支出决算情况说明</w:t>
      </w:r>
      <w:bookmarkEnd w:id="67"/>
      <w:bookmarkEnd w:id="68"/>
      <w:bookmarkEnd w:id="69"/>
    </w:p>
    <w:p w14:paraId="60C63C40">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22年政府性基金预算财政拨款支出23272万元。</w:t>
      </w:r>
    </w:p>
    <w:p w14:paraId="2A7E0776">
      <w:pPr>
        <w:pStyle w:val="4"/>
        <w:numPr>
          <w:ilvl w:val="0"/>
          <w:numId w:val="0"/>
        </w:numPr>
        <w:ind w:leftChars="0"/>
        <w:rPr>
          <w:rStyle w:val="31"/>
          <w:rFonts w:hint="eastAsia" w:ascii="黑体" w:hAnsi="黑体" w:eastAsia="黑体"/>
          <w:b w:val="0"/>
          <w:bCs w:val="0"/>
          <w:color w:val="000000" w:themeColor="text1"/>
          <w:lang w:eastAsia="zh-CN"/>
        </w:rPr>
      </w:pPr>
      <w:bookmarkStart w:id="70" w:name="_Toc16757"/>
      <w:bookmarkStart w:id="71" w:name="_Toc15396611"/>
      <w:bookmarkStart w:id="72" w:name="_Toc15377219"/>
      <w:r>
        <w:rPr>
          <w:rStyle w:val="31"/>
          <w:rFonts w:hint="eastAsia" w:ascii="黑体" w:hAnsi="黑体" w:eastAsia="黑体"/>
          <w:b w:val="0"/>
          <w:bCs w:val="0"/>
          <w:color w:val="000000" w:themeColor="text1"/>
          <w:lang w:eastAsia="zh-CN"/>
        </w:rPr>
        <w:t>九、国有资本经营预算支出决算情况说明</w:t>
      </w:r>
      <w:bookmarkEnd w:id="70"/>
      <w:bookmarkEnd w:id="71"/>
      <w:bookmarkEnd w:id="72"/>
    </w:p>
    <w:p w14:paraId="4ACB9CC2">
      <w:pPr>
        <w:spacing w:line="600" w:lineRule="exact"/>
        <w:ind w:firstLine="640"/>
        <w:rPr>
          <w:rFonts w:asciiTheme="minorEastAsia" w:hAnsiTheme="minorEastAsia" w:eastAsiaTheme="minorEastAsia"/>
          <w:sz w:val="30"/>
          <w:szCs w:val="30"/>
        </w:rPr>
      </w:pPr>
      <w:r>
        <w:rPr>
          <w:rFonts w:asciiTheme="minorEastAsia" w:hAnsiTheme="minorEastAsia" w:eastAsiaTheme="minorEastAsia"/>
          <w:sz w:val="30"/>
          <w:szCs w:val="30"/>
        </w:rPr>
        <w:t>20</w:t>
      </w:r>
      <w:r>
        <w:rPr>
          <w:rFonts w:hint="eastAsia" w:asciiTheme="minorEastAsia" w:hAnsiTheme="minorEastAsia" w:eastAsiaTheme="minorEastAsia"/>
          <w:sz w:val="30"/>
          <w:szCs w:val="30"/>
        </w:rPr>
        <w:t>22年国有资本经营预算财政拨款支出0万元。</w:t>
      </w:r>
    </w:p>
    <w:p w14:paraId="37E4FE1D">
      <w:pPr>
        <w:pStyle w:val="4"/>
        <w:numPr>
          <w:ilvl w:val="0"/>
          <w:numId w:val="0"/>
        </w:numPr>
        <w:ind w:leftChars="0"/>
        <w:rPr>
          <w:rStyle w:val="31"/>
          <w:rFonts w:hint="eastAsia" w:ascii="黑体" w:hAnsi="黑体" w:eastAsia="黑体"/>
          <w:b w:val="0"/>
          <w:bCs w:val="0"/>
          <w:color w:val="000000" w:themeColor="text1"/>
          <w:lang w:eastAsia="zh-CN"/>
        </w:rPr>
      </w:pPr>
      <w:bookmarkStart w:id="73" w:name="_Toc32672"/>
      <w:bookmarkStart w:id="74" w:name="_Toc15396612"/>
      <w:bookmarkStart w:id="75" w:name="_Toc15377221"/>
      <w:r>
        <w:rPr>
          <w:rStyle w:val="31"/>
          <w:rFonts w:hint="eastAsia" w:ascii="黑体" w:hAnsi="黑体" w:eastAsia="黑体"/>
          <w:b w:val="0"/>
          <w:bCs w:val="0"/>
          <w:color w:val="000000" w:themeColor="text1"/>
          <w:lang w:eastAsia="zh-CN"/>
        </w:rPr>
        <w:t>十、其他重要事项的情况说明</w:t>
      </w:r>
      <w:bookmarkEnd w:id="73"/>
      <w:bookmarkEnd w:id="74"/>
      <w:bookmarkEnd w:id="75"/>
    </w:p>
    <w:p w14:paraId="5663A174">
      <w:pPr>
        <w:spacing w:line="600" w:lineRule="exact"/>
        <w:ind w:firstLine="643" w:firstLineChars="200"/>
        <w:outlineLvl w:val="2"/>
        <w:rPr>
          <w:rFonts w:ascii="仿宋" w:hAnsi="仿宋" w:eastAsia="仿宋"/>
          <w:sz w:val="32"/>
          <w:szCs w:val="32"/>
        </w:rPr>
      </w:pPr>
      <w:bookmarkStart w:id="76" w:name="_Toc15377222"/>
      <w:r>
        <w:rPr>
          <w:rFonts w:hint="eastAsia" w:ascii="仿宋" w:hAnsi="仿宋" w:eastAsia="仿宋"/>
          <w:b/>
          <w:sz w:val="32"/>
          <w:szCs w:val="32"/>
        </w:rPr>
        <w:t>（一）机关运行经费支出情况</w:t>
      </w:r>
      <w:bookmarkEnd w:id="76"/>
    </w:p>
    <w:p w14:paraId="6C2B2DAC">
      <w:pPr>
        <w:spacing w:line="600" w:lineRule="exact"/>
        <w:ind w:firstLine="600" w:firstLineChars="200"/>
        <w:rPr>
          <w:rFonts w:asciiTheme="minorEastAsia" w:hAnsiTheme="minorEastAsia" w:eastAsiaTheme="minorEastAsia"/>
          <w:color w:val="000000" w:themeColor="text1"/>
          <w:sz w:val="30"/>
          <w:szCs w:val="30"/>
        </w:rPr>
      </w:pPr>
      <w:r>
        <w:rPr>
          <w:rFonts w:asciiTheme="minorEastAsia" w:hAnsiTheme="minorEastAsia" w:eastAsiaTheme="minorEastAsia"/>
          <w:color w:val="000000"/>
          <w:sz w:val="30"/>
          <w:szCs w:val="30"/>
        </w:rPr>
        <w:t>20</w:t>
      </w:r>
      <w:r>
        <w:rPr>
          <w:rFonts w:hint="eastAsia" w:asciiTheme="minorEastAsia" w:hAnsiTheme="minorEastAsia" w:eastAsiaTheme="minorEastAsia"/>
          <w:color w:val="000000"/>
          <w:sz w:val="30"/>
          <w:szCs w:val="30"/>
        </w:rPr>
        <w:t>22年经开区管委会机关运行经费支出205.86万元，比</w:t>
      </w:r>
      <w:r>
        <w:rPr>
          <w:rFonts w:asciiTheme="minorEastAsia" w:hAnsiTheme="minorEastAsia" w:eastAsiaTheme="minorEastAsia"/>
          <w:color w:val="000000"/>
          <w:sz w:val="30"/>
          <w:szCs w:val="30"/>
        </w:rPr>
        <w:t>20</w:t>
      </w:r>
      <w:r>
        <w:rPr>
          <w:rFonts w:hint="eastAsia" w:asciiTheme="minorEastAsia" w:hAnsiTheme="minorEastAsia" w:eastAsiaTheme="minorEastAsia"/>
          <w:color w:val="000000"/>
          <w:sz w:val="30"/>
          <w:szCs w:val="30"/>
        </w:rPr>
        <w:t>21年增加12.52万元，增加6.48</w:t>
      </w:r>
      <w:r>
        <w:rPr>
          <w:rFonts w:asciiTheme="minorEastAsia" w:hAnsiTheme="minorEastAsia" w:eastAsiaTheme="minorEastAsia"/>
          <w:color w:val="000000"/>
          <w:sz w:val="30"/>
          <w:szCs w:val="30"/>
        </w:rPr>
        <w:t>%</w:t>
      </w:r>
      <w:r>
        <w:rPr>
          <w:rFonts w:hint="eastAsia" w:asciiTheme="minorEastAsia" w:hAnsiTheme="minorEastAsia" w:eastAsiaTheme="minorEastAsia"/>
          <w:color w:val="000000"/>
          <w:sz w:val="30"/>
          <w:szCs w:val="30"/>
        </w:rPr>
        <w:t>。</w:t>
      </w:r>
      <w:r>
        <w:rPr>
          <w:rFonts w:hint="eastAsia" w:asciiTheme="minorEastAsia" w:hAnsiTheme="minorEastAsia" w:eastAsiaTheme="minorEastAsia"/>
          <w:color w:val="000000" w:themeColor="text1"/>
          <w:sz w:val="30"/>
          <w:szCs w:val="30"/>
        </w:rPr>
        <w:t>主要原因是人员经费增加及家居产业城办公经费支出增加。</w:t>
      </w:r>
    </w:p>
    <w:p w14:paraId="5B6C641B">
      <w:pPr>
        <w:autoSpaceDE w:val="0"/>
        <w:autoSpaceDN w:val="0"/>
        <w:adjustRightInd w:val="0"/>
        <w:spacing w:line="600" w:lineRule="exact"/>
        <w:ind w:firstLine="643" w:firstLineChars="200"/>
        <w:jc w:val="left"/>
        <w:outlineLvl w:val="2"/>
        <w:rPr>
          <w:rFonts w:hint="eastAsia" w:ascii="仿宋" w:hAnsi="仿宋" w:eastAsia="仿宋"/>
          <w:b/>
          <w:sz w:val="32"/>
          <w:szCs w:val="32"/>
          <w:lang w:eastAsia="zh-CN"/>
        </w:rPr>
      </w:pPr>
      <w:bookmarkStart w:id="77" w:name="_Toc15377223"/>
      <w:r>
        <w:rPr>
          <w:rFonts w:hint="eastAsia" w:ascii="仿宋" w:hAnsi="仿宋" w:eastAsia="仿宋"/>
          <w:b/>
          <w:sz w:val="32"/>
          <w:szCs w:val="32"/>
        </w:rPr>
        <w:t>（二）政府采购支出情况</w:t>
      </w:r>
      <w:bookmarkEnd w:id="77"/>
    </w:p>
    <w:p w14:paraId="69D477BF">
      <w:pPr>
        <w:autoSpaceDE w:val="0"/>
        <w:autoSpaceDN w:val="0"/>
        <w:adjustRightInd w:val="0"/>
        <w:spacing w:line="600" w:lineRule="exact"/>
        <w:ind w:firstLine="600" w:firstLineChars="200"/>
        <w:jc w:val="left"/>
        <w:outlineLvl w:val="2"/>
        <w:rPr>
          <w:rFonts w:ascii="仿宋_GB2312" w:eastAsia="仿宋_GB2312"/>
          <w:sz w:val="32"/>
          <w:szCs w:val="32"/>
        </w:rPr>
      </w:pPr>
      <w:r>
        <w:rPr>
          <w:rFonts w:asciiTheme="minorEastAsia" w:hAnsiTheme="minorEastAsia" w:eastAsiaTheme="minorEastAsia"/>
          <w:color w:val="000000"/>
          <w:sz w:val="30"/>
          <w:szCs w:val="30"/>
        </w:rPr>
        <w:t>20</w:t>
      </w:r>
      <w:r>
        <w:rPr>
          <w:rFonts w:hint="eastAsia" w:asciiTheme="minorEastAsia" w:hAnsiTheme="minorEastAsia" w:eastAsiaTheme="minorEastAsia"/>
          <w:color w:val="000000"/>
          <w:sz w:val="30"/>
          <w:szCs w:val="30"/>
        </w:rPr>
        <w:t>22年，经开区管委会</w:t>
      </w:r>
      <w:r>
        <w:rPr>
          <w:rFonts w:hint="eastAsia" w:asciiTheme="minorEastAsia" w:hAnsiTheme="minorEastAsia" w:eastAsiaTheme="minorEastAsia"/>
          <w:color w:val="000000"/>
          <w:sz w:val="30"/>
          <w:szCs w:val="30"/>
          <w:lang w:eastAsia="zh-CN"/>
        </w:rPr>
        <w:t>本年未发生政府采购</w:t>
      </w:r>
      <w:r>
        <w:rPr>
          <w:rFonts w:hint="eastAsia" w:asciiTheme="minorEastAsia" w:hAnsiTheme="minorEastAsia" w:eastAsiaTheme="minorEastAsia"/>
          <w:color w:val="000000"/>
          <w:sz w:val="30"/>
          <w:szCs w:val="30"/>
        </w:rPr>
        <w:t>，</w:t>
      </w:r>
      <w:r>
        <w:rPr>
          <w:rFonts w:hint="eastAsia" w:ascii="仿宋_GB2312" w:eastAsia="仿宋_GB2312"/>
          <w:sz w:val="32"/>
          <w:szCs w:val="32"/>
        </w:rPr>
        <w:t>其中：政府采购货物支出0万元、政府采购工程支出0万元、政府采购服务支出0万元。授予中小企业合同金额0万元，其中：授予小微企业合同金额0万元。</w:t>
      </w:r>
    </w:p>
    <w:p w14:paraId="2F0C6041">
      <w:pPr>
        <w:autoSpaceDE w:val="0"/>
        <w:autoSpaceDN w:val="0"/>
        <w:adjustRightInd w:val="0"/>
        <w:spacing w:line="600" w:lineRule="exact"/>
        <w:ind w:firstLine="643" w:firstLineChars="200"/>
        <w:jc w:val="left"/>
        <w:outlineLvl w:val="2"/>
        <w:rPr>
          <w:rFonts w:ascii="仿宋" w:hAnsi="仿宋" w:eastAsia="仿宋"/>
          <w:b/>
          <w:sz w:val="32"/>
          <w:szCs w:val="32"/>
        </w:rPr>
      </w:pPr>
      <w:bookmarkStart w:id="78" w:name="_Toc15377224"/>
      <w:r>
        <w:rPr>
          <w:rFonts w:hint="eastAsia" w:ascii="仿宋" w:hAnsi="仿宋" w:eastAsia="仿宋"/>
          <w:b/>
          <w:sz w:val="32"/>
          <w:szCs w:val="32"/>
        </w:rPr>
        <w:t>（三）国有资产占有使用情况</w:t>
      </w:r>
      <w:bookmarkEnd w:id="78"/>
    </w:p>
    <w:p w14:paraId="1CC7CE32">
      <w:pPr>
        <w:autoSpaceDE w:val="0"/>
        <w:autoSpaceDN w:val="0"/>
        <w:adjustRightInd w:val="0"/>
        <w:spacing w:line="600" w:lineRule="exact"/>
        <w:ind w:firstLine="600" w:firstLineChars="200"/>
        <w:jc w:val="left"/>
        <w:rPr>
          <w:rFonts w:hint="eastAsia"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截至</w:t>
      </w:r>
      <w:r>
        <w:rPr>
          <w:rFonts w:asciiTheme="minorEastAsia" w:hAnsiTheme="minorEastAsia" w:eastAsiaTheme="minorEastAsia"/>
          <w:color w:val="000000"/>
          <w:sz w:val="30"/>
          <w:szCs w:val="30"/>
        </w:rPr>
        <w:t>20</w:t>
      </w:r>
      <w:r>
        <w:rPr>
          <w:rFonts w:hint="eastAsia" w:asciiTheme="minorEastAsia" w:hAnsiTheme="minorEastAsia" w:eastAsiaTheme="minorEastAsia"/>
          <w:color w:val="000000"/>
          <w:sz w:val="30"/>
          <w:szCs w:val="30"/>
        </w:rPr>
        <w:t>22年</w:t>
      </w:r>
      <w:r>
        <w:rPr>
          <w:rFonts w:asciiTheme="minorEastAsia" w:hAnsiTheme="minorEastAsia" w:eastAsiaTheme="minorEastAsia"/>
          <w:color w:val="000000"/>
          <w:sz w:val="30"/>
          <w:szCs w:val="30"/>
        </w:rPr>
        <w:t>12</w:t>
      </w:r>
      <w:r>
        <w:rPr>
          <w:rFonts w:hint="eastAsia" w:asciiTheme="minorEastAsia" w:hAnsiTheme="minorEastAsia" w:eastAsiaTheme="minorEastAsia"/>
          <w:color w:val="000000"/>
          <w:sz w:val="30"/>
          <w:szCs w:val="30"/>
        </w:rPr>
        <w:t>月</w:t>
      </w:r>
      <w:r>
        <w:rPr>
          <w:rFonts w:asciiTheme="minorEastAsia" w:hAnsiTheme="minorEastAsia" w:eastAsiaTheme="minorEastAsia"/>
          <w:color w:val="000000"/>
          <w:sz w:val="30"/>
          <w:szCs w:val="30"/>
        </w:rPr>
        <w:t>31</w:t>
      </w:r>
      <w:r>
        <w:rPr>
          <w:rFonts w:hint="eastAsia" w:asciiTheme="minorEastAsia" w:hAnsiTheme="minorEastAsia" w:eastAsiaTheme="minorEastAsia"/>
          <w:color w:val="000000"/>
          <w:sz w:val="30"/>
          <w:szCs w:val="30"/>
        </w:rPr>
        <w:t>日，经开区管委会共有车辆0辆，其中：主要领导干部用车0辆、机要通信用车0辆、应急保障用车0辆、其他用车0辆。单价</w:t>
      </w:r>
      <w:r>
        <w:rPr>
          <w:rFonts w:asciiTheme="minorEastAsia" w:hAnsiTheme="minorEastAsia" w:eastAsiaTheme="minorEastAsia"/>
          <w:color w:val="000000"/>
          <w:sz w:val="30"/>
          <w:szCs w:val="30"/>
        </w:rPr>
        <w:t>50</w:t>
      </w:r>
      <w:r>
        <w:rPr>
          <w:rFonts w:hint="eastAsia" w:asciiTheme="minorEastAsia" w:hAnsiTheme="minorEastAsia" w:eastAsiaTheme="minorEastAsia"/>
          <w:color w:val="000000"/>
          <w:sz w:val="30"/>
          <w:szCs w:val="30"/>
        </w:rPr>
        <w:t>万元以上通用设备0台（套），单价</w:t>
      </w:r>
      <w:r>
        <w:rPr>
          <w:rFonts w:asciiTheme="minorEastAsia" w:hAnsiTheme="minorEastAsia" w:eastAsiaTheme="minorEastAsia"/>
          <w:color w:val="000000"/>
          <w:sz w:val="30"/>
          <w:szCs w:val="30"/>
        </w:rPr>
        <w:t>100</w:t>
      </w:r>
      <w:r>
        <w:rPr>
          <w:rFonts w:hint="eastAsia" w:asciiTheme="minorEastAsia" w:hAnsiTheme="minorEastAsia" w:eastAsiaTheme="minorEastAsia"/>
          <w:color w:val="000000"/>
          <w:sz w:val="30"/>
          <w:szCs w:val="30"/>
        </w:rPr>
        <w:t>万元以上专用设备0台（套）。</w:t>
      </w:r>
    </w:p>
    <w:p w14:paraId="0B6581F1">
      <w:pPr>
        <w:pStyle w:val="4"/>
        <w:numPr>
          <w:ilvl w:val="0"/>
          <w:numId w:val="0"/>
        </w:numPr>
        <w:ind w:leftChars="0"/>
        <w:rPr>
          <w:rStyle w:val="31"/>
          <w:rFonts w:hint="eastAsia" w:ascii="黑体" w:hAnsi="黑体" w:eastAsia="黑体"/>
          <w:b w:val="0"/>
          <w:bCs w:val="0"/>
          <w:color w:val="000000" w:themeColor="text1"/>
          <w:lang w:eastAsia="zh-CN"/>
        </w:rPr>
      </w:pPr>
      <w:bookmarkStart w:id="79" w:name="_Toc9372"/>
      <w:r>
        <w:rPr>
          <w:rStyle w:val="31"/>
          <w:rFonts w:hint="eastAsia" w:ascii="黑体" w:hAnsi="黑体" w:eastAsia="黑体"/>
          <w:b w:val="0"/>
          <w:bCs w:val="0"/>
          <w:color w:val="000000" w:themeColor="text1"/>
          <w:lang w:eastAsia="zh-CN"/>
        </w:rPr>
        <w:t>十一、预算绩效管理情况</w:t>
      </w:r>
      <w:bookmarkEnd w:id="79"/>
    </w:p>
    <w:p w14:paraId="4A864E11">
      <w:pPr>
        <w:spacing w:line="580" w:lineRule="exact"/>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根据预算绩效管理要求，本单位在2022年度预算编制阶段，组织对家居产业城工作经费、招商引资工作经费等4个项目开展了预算事前绩效评估，对4个项目编制了绩效目标，预算执行过程中，选取4个项目开展绩效监控，年终执行完毕后，对4个项目开展了绩效自评，2022年部门预算项目绩效目标自评表见附件（第四部分）。</w:t>
      </w:r>
    </w:p>
    <w:p w14:paraId="33207EB1">
      <w:pPr>
        <w:pStyle w:val="2"/>
      </w:pPr>
    </w:p>
    <w:p w14:paraId="2976C2FD">
      <w:pPr>
        <w:pStyle w:val="2"/>
        <w:spacing w:before="93"/>
        <w:rPr>
          <w:highlight w:val="yellow"/>
        </w:rPr>
      </w:pPr>
    </w:p>
    <w:p w14:paraId="18D2CD3E">
      <w:pPr>
        <w:widowControl/>
        <w:jc w:val="left"/>
        <w:rPr>
          <w:rFonts w:ascii="仿宋_GB2312" w:eastAsia="仿宋_GB2312"/>
          <w:b/>
          <w:sz w:val="32"/>
          <w:szCs w:val="32"/>
        </w:rPr>
      </w:pPr>
      <w:r>
        <w:rPr>
          <w:rFonts w:ascii="仿宋_GB2312" w:eastAsia="仿宋_GB2312"/>
          <w:b/>
          <w:sz w:val="32"/>
          <w:szCs w:val="32"/>
        </w:rPr>
        <w:br w:type="page"/>
      </w:r>
    </w:p>
    <w:p w14:paraId="79A08714">
      <w:pPr>
        <w:numPr>
          <w:ilvl w:val="0"/>
          <w:numId w:val="1"/>
        </w:numPr>
        <w:spacing w:line="600" w:lineRule="exact"/>
        <w:ind w:firstLine="660" w:firstLineChars="150"/>
        <w:jc w:val="center"/>
        <w:outlineLvl w:val="0"/>
        <w:rPr>
          <w:rStyle w:val="30"/>
          <w:rFonts w:ascii="黑体" w:hAnsi="黑体" w:eastAsia="黑体"/>
          <w:b w:val="0"/>
        </w:rPr>
      </w:pPr>
      <w:bookmarkStart w:id="80" w:name="_Toc15377225"/>
      <w:bookmarkStart w:id="81" w:name="_Toc15396613"/>
      <w:bookmarkStart w:id="82" w:name="_Toc32666"/>
      <w:r>
        <w:rPr>
          <w:rFonts w:hint="eastAsia" w:ascii="黑体" w:hAnsi="黑体" w:eastAsia="黑体"/>
          <w:sz w:val="44"/>
          <w:szCs w:val="44"/>
        </w:rPr>
        <w:t>名</w:t>
      </w:r>
      <w:r>
        <w:rPr>
          <w:rStyle w:val="30"/>
          <w:rFonts w:hint="eastAsia" w:ascii="黑体" w:hAnsi="黑体" w:eastAsia="黑体"/>
          <w:b w:val="0"/>
        </w:rPr>
        <w:t>词解释</w:t>
      </w:r>
      <w:bookmarkEnd w:id="80"/>
      <w:bookmarkEnd w:id="81"/>
      <w:bookmarkEnd w:id="82"/>
    </w:p>
    <w:p w14:paraId="3035572B">
      <w:pPr>
        <w:spacing w:line="600" w:lineRule="exact"/>
        <w:jc w:val="left"/>
        <w:rPr>
          <w:rFonts w:ascii="宋体"/>
          <w:b/>
          <w:sz w:val="44"/>
          <w:szCs w:val="44"/>
        </w:rPr>
      </w:pPr>
    </w:p>
    <w:p w14:paraId="3357508E">
      <w:pPr>
        <w:pStyle w:val="2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49CA386C">
      <w:pPr>
        <w:pStyle w:val="2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21FE61A2">
      <w:pPr>
        <w:pStyle w:val="2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750F7FE4">
      <w:pPr>
        <w:pStyle w:val="2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14:paraId="1DCC7F77">
      <w:pPr>
        <w:pStyle w:val="2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14:paraId="7E33F9A2">
      <w:pPr>
        <w:pStyle w:val="2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6B919084">
      <w:pPr>
        <w:pStyle w:val="2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57723C7E">
      <w:pPr>
        <w:pStyle w:val="2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4C2580CB">
      <w:pPr>
        <w:ind w:firstLine="640" w:firstLineChars="200"/>
        <w:rPr>
          <w:rFonts w:ascii="仿宋_GB2312" w:hAnsi="Calibri" w:eastAsia="仿宋_GB2312" w:cs="仿宋"/>
          <w:kern w:val="0"/>
          <w:sz w:val="32"/>
          <w:szCs w:val="32"/>
        </w:rPr>
      </w:pPr>
      <w:r>
        <w:rPr>
          <w:rFonts w:ascii="仿宋_GB2312" w:eastAsia="仿宋_GB2312"/>
          <w:sz w:val="32"/>
          <w:szCs w:val="32"/>
        </w:rPr>
        <w:t>9.</w:t>
      </w:r>
      <w:r>
        <w:rPr>
          <w:rFonts w:hint="eastAsia" w:ascii="仿宋_GB2312" w:eastAsia="仿宋_GB2312"/>
          <w:sz w:val="32"/>
          <w:szCs w:val="32"/>
        </w:rPr>
        <w:t>一般公共服务（类）</w:t>
      </w:r>
      <w:r>
        <w:rPr>
          <w:rFonts w:hint="eastAsia" w:ascii="仿宋_GB2312" w:hAnsi="Calibri" w:eastAsia="仿宋_GB2312" w:cs="仿宋"/>
          <w:kern w:val="0"/>
          <w:sz w:val="32"/>
          <w:szCs w:val="32"/>
        </w:rPr>
        <w:t>政府办公厅（室）及相关机构事务（款）行政运行（项）</w:t>
      </w:r>
      <w:r>
        <w:rPr>
          <w:rFonts w:hint="eastAsia" w:ascii="仿宋_GB2312" w:eastAsia="仿宋_GB2312"/>
          <w:sz w:val="32"/>
          <w:szCs w:val="32"/>
        </w:rPr>
        <w:t>：指</w:t>
      </w:r>
      <w:r>
        <w:rPr>
          <w:rFonts w:ascii="仿宋_GB2312" w:hAnsi="Calibri" w:eastAsia="仿宋_GB2312" w:cs="仿宋"/>
          <w:kern w:val="0"/>
          <w:sz w:val="32"/>
          <w:szCs w:val="32"/>
        </w:rPr>
        <w:t>其他政府办公厅（室）及相关机构事务</w:t>
      </w:r>
      <w:r>
        <w:rPr>
          <w:rFonts w:hint="eastAsia" w:ascii="仿宋_GB2312" w:hAnsi="Calibri" w:eastAsia="仿宋_GB2312" w:cs="仿宋"/>
          <w:kern w:val="0"/>
          <w:sz w:val="32"/>
          <w:szCs w:val="32"/>
        </w:rPr>
        <w:t>一般公共服务</w:t>
      </w:r>
      <w:r>
        <w:rPr>
          <w:rFonts w:ascii="仿宋_GB2312" w:hAnsi="Calibri" w:eastAsia="仿宋_GB2312" w:cs="仿宋"/>
          <w:kern w:val="0"/>
          <w:sz w:val="32"/>
          <w:szCs w:val="32"/>
        </w:rPr>
        <w:t>支出</w:t>
      </w:r>
      <w:r>
        <w:rPr>
          <w:rFonts w:hint="eastAsia" w:ascii="仿宋_GB2312" w:hAnsi="Calibri" w:eastAsia="仿宋_GB2312" w:cs="仿宋"/>
          <w:kern w:val="0"/>
          <w:sz w:val="32"/>
          <w:szCs w:val="32"/>
        </w:rPr>
        <w:t>。</w:t>
      </w:r>
    </w:p>
    <w:p w14:paraId="598CBCE6">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0</w:t>
      </w:r>
      <w:r>
        <w:rPr>
          <w:rFonts w:ascii="仿宋_GB2312" w:eastAsia="仿宋_GB2312"/>
          <w:sz w:val="32"/>
          <w:szCs w:val="32"/>
        </w:rPr>
        <w:t>.</w:t>
      </w:r>
      <w:r>
        <w:rPr>
          <w:rFonts w:hint="eastAsia" w:asciiTheme="minorEastAsia" w:hAnsiTheme="minorEastAsia" w:eastAsiaTheme="minorEastAsia"/>
          <w:b/>
          <w:sz w:val="30"/>
          <w:szCs w:val="30"/>
        </w:rPr>
        <w:t xml:space="preserve"> </w:t>
      </w:r>
      <w:r>
        <w:rPr>
          <w:rFonts w:hint="eastAsia" w:ascii="仿宋_GB2312" w:eastAsia="仿宋_GB2312"/>
          <w:sz w:val="32"/>
          <w:szCs w:val="32"/>
        </w:rPr>
        <w:t>资源勘探信息（类）制造业（款）其他制造业支出（项）：指资源勘探、制造业、、建筑业、工业信息等以外的其他用于制造业方面的支出。</w:t>
      </w:r>
    </w:p>
    <w:p w14:paraId="724078DC">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 xml:space="preserve"> 社会保障和就业（类）行政事业单位养老保险支出（款）行政事业单位基本养老保险缴费支出（项）：指</w:t>
      </w:r>
      <w:r>
        <w:rPr>
          <w:rFonts w:ascii="仿宋_GB2312" w:eastAsia="仿宋_GB2312"/>
          <w:sz w:val="32"/>
          <w:szCs w:val="32"/>
        </w:rPr>
        <w:t>机关事业单位实施养老保险制度由单位缴纳的基本养老保险费支出</w:t>
      </w:r>
      <w:r>
        <w:rPr>
          <w:rFonts w:hint="eastAsia" w:ascii="仿宋_GB2312" w:eastAsia="仿宋_GB2312"/>
          <w:sz w:val="32"/>
          <w:szCs w:val="32"/>
        </w:rPr>
        <w:t>。</w:t>
      </w:r>
    </w:p>
    <w:p w14:paraId="5032E330">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 xml:space="preserve"> 卫生健康（类）行政事业单位医疗（款）行政单位医疗（项）：指</w:t>
      </w:r>
      <w:r>
        <w:rPr>
          <w:rFonts w:ascii="仿宋_GB2312" w:eastAsia="仿宋_GB2312"/>
          <w:sz w:val="32"/>
          <w:szCs w:val="32"/>
        </w:rPr>
        <w:t>财政部门安排的行政单位基本医疗保险缴费经费，未参加医疗保险的行政单位的公费医疗经费，按国家规定享受离休人员、红军老战士待遇人员的医疗经费</w:t>
      </w:r>
      <w:r>
        <w:rPr>
          <w:rFonts w:hint="eastAsia" w:ascii="仿宋_GB2312" w:eastAsia="仿宋_GB2312"/>
          <w:sz w:val="32"/>
          <w:szCs w:val="32"/>
        </w:rPr>
        <w:t>。</w:t>
      </w:r>
    </w:p>
    <w:p w14:paraId="206BD800">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 xml:space="preserve"> 农林水（类）扶贫（款）其他扶贫支出（项）：指</w:t>
      </w:r>
      <w:r>
        <w:rPr>
          <w:rFonts w:ascii="仿宋_GB2312" w:eastAsia="仿宋_GB2312"/>
          <w:sz w:val="32"/>
          <w:szCs w:val="32"/>
        </w:rPr>
        <w:t>用于农村贫困地区发展种植业、养殖业、畜牧业、农副产品加工、林果地建设等生产发展项目以及相关技术推广等</w:t>
      </w:r>
      <w:r>
        <w:rPr>
          <w:rFonts w:hint="eastAsia" w:ascii="仿宋_GB2312" w:eastAsia="仿宋_GB2312"/>
          <w:sz w:val="32"/>
          <w:szCs w:val="32"/>
        </w:rPr>
        <w:t>以</w:t>
      </w:r>
      <w:r>
        <w:rPr>
          <w:rFonts w:ascii="仿宋_GB2312" w:eastAsia="仿宋_GB2312"/>
          <w:sz w:val="32"/>
          <w:szCs w:val="32"/>
        </w:rPr>
        <w:t>外其他用于扶贫方面的支出</w:t>
      </w:r>
      <w:r>
        <w:rPr>
          <w:rFonts w:hint="eastAsia" w:ascii="仿宋_GB2312" w:eastAsia="仿宋_GB2312"/>
          <w:sz w:val="32"/>
          <w:szCs w:val="32"/>
        </w:rPr>
        <w:t>。</w:t>
      </w:r>
    </w:p>
    <w:p w14:paraId="1DC19008">
      <w:pPr>
        <w:ind w:firstLine="640" w:firstLineChars="200"/>
        <w:rPr>
          <w:rFonts w:ascii="仿宋_GB2312" w:eastAsia="仿宋_GB2312"/>
          <w:sz w:val="32"/>
          <w:szCs w:val="32"/>
        </w:rPr>
      </w:pPr>
      <w:r>
        <w:rPr>
          <w:rFonts w:hint="eastAsia" w:ascii="仿宋_GB2312" w:eastAsia="仿宋_GB2312"/>
          <w:sz w:val="32"/>
          <w:szCs w:val="32"/>
        </w:rPr>
        <w:t>14.住房保障（类）住房改革支出（款）住房公积金（项）：指</w:t>
      </w:r>
      <w:r>
        <w:rPr>
          <w:rFonts w:ascii="仿宋_GB2312" w:eastAsia="仿宋_GB2312"/>
          <w:sz w:val="32"/>
          <w:szCs w:val="32"/>
        </w:rPr>
        <w:t>反映行政事业单位按人力资源和社会保障部、财政部规定的基本工资和津贴补贴以及规定比例为职工缴纳的住房公积金</w:t>
      </w:r>
      <w:r>
        <w:t>。</w:t>
      </w:r>
    </w:p>
    <w:p w14:paraId="02B26D5C">
      <w:pPr>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633D10B7">
      <w:pPr>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12F82701">
      <w:pPr>
        <w:ind w:firstLine="640" w:firstLineChars="200"/>
        <w:rPr>
          <w:rFonts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36C14154">
      <w:pPr>
        <w:pStyle w:val="21"/>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18</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44D7267">
      <w:pPr>
        <w:pStyle w:val="21"/>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19</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4C625EC">
      <w:pPr>
        <w:spacing w:line="600" w:lineRule="exact"/>
        <w:jc w:val="center"/>
        <w:rPr>
          <w:rFonts w:ascii="仿宋" w:hAnsi="仿宋" w:eastAsia="仿宋"/>
          <w:b/>
          <w:sz w:val="32"/>
          <w:szCs w:val="32"/>
        </w:rPr>
      </w:pPr>
      <w:bookmarkStart w:id="83" w:name="_Toc15396614"/>
      <w:bookmarkStart w:id="84" w:name="_Toc15377226"/>
    </w:p>
    <w:p w14:paraId="5D09F2F5">
      <w:pPr>
        <w:spacing w:line="600" w:lineRule="exact"/>
        <w:jc w:val="center"/>
        <w:rPr>
          <w:rFonts w:ascii="仿宋" w:hAnsi="仿宋" w:eastAsia="仿宋"/>
          <w:b/>
          <w:sz w:val="32"/>
          <w:szCs w:val="32"/>
        </w:rPr>
      </w:pPr>
    </w:p>
    <w:p w14:paraId="0A6EED58">
      <w:pPr>
        <w:spacing w:line="600" w:lineRule="exact"/>
        <w:jc w:val="center"/>
        <w:rPr>
          <w:rFonts w:ascii="仿宋" w:hAnsi="仿宋" w:eastAsia="仿宋"/>
          <w:b/>
          <w:sz w:val="32"/>
          <w:szCs w:val="32"/>
        </w:rPr>
      </w:pPr>
    </w:p>
    <w:p w14:paraId="19BDD54B">
      <w:pPr>
        <w:spacing w:line="600" w:lineRule="exact"/>
        <w:jc w:val="center"/>
        <w:rPr>
          <w:rFonts w:ascii="仿宋" w:hAnsi="仿宋" w:eastAsia="仿宋"/>
          <w:b/>
          <w:sz w:val="32"/>
          <w:szCs w:val="32"/>
        </w:rPr>
      </w:pPr>
    </w:p>
    <w:p w14:paraId="33DD55CD">
      <w:pPr>
        <w:spacing w:line="600" w:lineRule="exact"/>
        <w:jc w:val="center"/>
        <w:rPr>
          <w:rFonts w:ascii="仿宋" w:hAnsi="仿宋" w:eastAsia="仿宋"/>
          <w:b/>
          <w:sz w:val="32"/>
          <w:szCs w:val="32"/>
        </w:rPr>
      </w:pPr>
    </w:p>
    <w:p w14:paraId="5AF6A960">
      <w:pPr>
        <w:spacing w:line="600" w:lineRule="exact"/>
        <w:jc w:val="center"/>
        <w:rPr>
          <w:rFonts w:ascii="仿宋" w:hAnsi="仿宋" w:eastAsia="仿宋"/>
          <w:b/>
          <w:sz w:val="32"/>
          <w:szCs w:val="32"/>
        </w:rPr>
      </w:pPr>
    </w:p>
    <w:p w14:paraId="5343EBDE">
      <w:pPr>
        <w:pStyle w:val="2"/>
        <w:spacing w:before="93"/>
      </w:pPr>
    </w:p>
    <w:p w14:paraId="7CF8E109">
      <w:pPr>
        <w:pStyle w:val="2"/>
        <w:spacing w:before="93"/>
      </w:pPr>
    </w:p>
    <w:p w14:paraId="22613D83">
      <w:pPr>
        <w:pStyle w:val="2"/>
        <w:spacing w:before="93"/>
      </w:pPr>
    </w:p>
    <w:p w14:paraId="55E81180">
      <w:pPr>
        <w:pStyle w:val="2"/>
        <w:spacing w:before="93"/>
      </w:pPr>
    </w:p>
    <w:p w14:paraId="3A4BEE6C">
      <w:pPr>
        <w:spacing w:line="600" w:lineRule="exact"/>
        <w:jc w:val="center"/>
        <w:outlineLvl w:val="0"/>
        <w:rPr>
          <w:rStyle w:val="30"/>
          <w:rFonts w:ascii="黑体" w:hAnsi="黑体" w:eastAsia="黑体"/>
          <w:b w:val="0"/>
        </w:rPr>
      </w:pPr>
      <w:bookmarkStart w:id="85" w:name="_Toc6011"/>
      <w:r>
        <w:rPr>
          <w:rFonts w:hint="eastAsia" w:ascii="黑体" w:hAnsi="黑体" w:eastAsia="黑体"/>
          <w:sz w:val="44"/>
          <w:szCs w:val="44"/>
        </w:rPr>
        <w:t>第</w:t>
      </w:r>
      <w:r>
        <w:rPr>
          <w:rStyle w:val="30"/>
          <w:rFonts w:hint="eastAsia" w:ascii="黑体" w:hAnsi="黑体" w:eastAsia="黑体"/>
          <w:b w:val="0"/>
        </w:rPr>
        <w:t>四部分 附件</w:t>
      </w:r>
      <w:bookmarkEnd w:id="83"/>
      <w:bookmarkEnd w:id="85"/>
    </w:p>
    <w:p w14:paraId="15FE5EEA">
      <w:pPr>
        <w:keepNext w:val="0"/>
        <w:keepLines w:val="0"/>
        <w:pageBreakBefore w:val="0"/>
        <w:widowControl w:val="0"/>
        <w:kinsoku/>
        <w:wordWrap/>
        <w:overflowPunct/>
        <w:topLinePunct w:val="0"/>
        <w:autoSpaceDE/>
        <w:autoSpaceDN/>
        <w:bidi w:val="0"/>
        <w:adjustRightInd/>
        <w:snapToGrid/>
        <w:spacing w:line="360" w:lineRule="auto"/>
        <w:ind w:right="420" w:right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0E676A13">
      <w:pPr>
        <w:keepNext w:val="0"/>
        <w:keepLines w:val="0"/>
        <w:pageBreakBefore w:val="0"/>
        <w:widowControl w:val="0"/>
        <w:kinsoku/>
        <w:wordWrap/>
        <w:overflowPunct/>
        <w:topLinePunct w:val="0"/>
        <w:autoSpaceDE/>
        <w:autoSpaceDN/>
        <w:bidi w:val="0"/>
        <w:adjustRightInd/>
        <w:snapToGrid/>
        <w:spacing w:line="360" w:lineRule="auto"/>
        <w:ind w:right="420" w:rightChars="200"/>
        <w:jc w:val="center"/>
        <w:textAlignment w:val="auto"/>
        <w:rPr>
          <w:rFonts w:hint="eastAsia" w:ascii="宋体" w:hAnsi="宋体" w:eastAsia="宋体" w:cs="宋体"/>
          <w:sz w:val="36"/>
          <w:szCs w:val="36"/>
        </w:rPr>
      </w:pPr>
      <w:r>
        <w:rPr>
          <w:rFonts w:hint="eastAsia" w:ascii="宋体" w:hAnsi="宋体" w:eastAsia="宋体" w:cs="宋体"/>
          <w:sz w:val="36"/>
          <w:szCs w:val="36"/>
        </w:rPr>
        <w:t>四川广元昭化经济开发区管理委员会</w:t>
      </w:r>
    </w:p>
    <w:p w14:paraId="4CD48973">
      <w:pPr>
        <w:keepNext w:val="0"/>
        <w:keepLines w:val="0"/>
        <w:pageBreakBefore w:val="0"/>
        <w:widowControl w:val="0"/>
        <w:kinsoku/>
        <w:wordWrap/>
        <w:overflowPunct/>
        <w:topLinePunct w:val="0"/>
        <w:autoSpaceDE/>
        <w:autoSpaceDN/>
        <w:bidi w:val="0"/>
        <w:adjustRightInd/>
        <w:snapToGrid/>
        <w:spacing w:line="360" w:lineRule="auto"/>
        <w:ind w:right="420" w:rightChars="200"/>
        <w:jc w:val="center"/>
        <w:textAlignment w:val="auto"/>
        <w:rPr>
          <w:rFonts w:hint="eastAsia" w:ascii="宋体" w:hAnsi="宋体" w:eastAsia="宋体" w:cs="宋体"/>
          <w:sz w:val="36"/>
          <w:szCs w:val="36"/>
        </w:rPr>
      </w:pPr>
      <w:r>
        <w:rPr>
          <w:rFonts w:hint="eastAsia" w:ascii="宋体" w:hAnsi="宋体" w:eastAsia="宋体" w:cs="宋体"/>
          <w:sz w:val="36"/>
          <w:szCs w:val="36"/>
        </w:rPr>
        <w:t>202</w:t>
      </w:r>
      <w:r>
        <w:rPr>
          <w:rFonts w:hint="eastAsia" w:ascii="宋体" w:hAnsi="宋体" w:cs="宋体"/>
          <w:sz w:val="36"/>
          <w:szCs w:val="36"/>
          <w:lang w:val="en-US" w:eastAsia="zh-CN"/>
        </w:rPr>
        <w:t>2</w:t>
      </w:r>
      <w:r>
        <w:rPr>
          <w:rFonts w:hint="eastAsia" w:ascii="宋体" w:hAnsi="宋体" w:eastAsia="宋体" w:cs="宋体"/>
          <w:sz w:val="36"/>
          <w:szCs w:val="36"/>
        </w:rPr>
        <w:t>年部门整体支出绩效评价自评报告</w:t>
      </w:r>
    </w:p>
    <w:p w14:paraId="15EBC617">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eastAsia="宋体" w:cs="宋体"/>
          <w:sz w:val="28"/>
          <w:szCs w:val="28"/>
        </w:rPr>
      </w:pPr>
    </w:p>
    <w:p w14:paraId="5FCFA814">
      <w:pPr>
        <w:pStyle w:val="4"/>
        <w:numPr>
          <w:ilvl w:val="0"/>
          <w:numId w:val="0"/>
        </w:numPr>
        <w:ind w:leftChars="0"/>
        <w:rPr>
          <w:rStyle w:val="31"/>
          <w:rFonts w:hint="eastAsia" w:ascii="黑体" w:hAnsi="黑体" w:eastAsia="黑体"/>
          <w:b w:val="0"/>
          <w:bCs w:val="0"/>
          <w:color w:val="000000" w:themeColor="text1"/>
          <w:lang w:eastAsia="zh-CN"/>
        </w:rPr>
      </w:pPr>
      <w:bookmarkStart w:id="86" w:name="_Toc312"/>
      <w:r>
        <w:rPr>
          <w:rStyle w:val="31"/>
          <w:rFonts w:hint="eastAsia" w:ascii="黑体" w:hAnsi="黑体" w:eastAsia="黑体"/>
          <w:b w:val="0"/>
          <w:bCs w:val="0"/>
          <w:color w:val="000000" w:themeColor="text1"/>
          <w:lang w:eastAsia="zh-CN"/>
        </w:rPr>
        <w:t>一、部门（单位）基本情况</w:t>
      </w:r>
      <w:bookmarkEnd w:id="86"/>
    </w:p>
    <w:p w14:paraId="63742866">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2" w:firstLineChars="200"/>
        <w:jc w:val="both"/>
        <w:textAlignment w:val="auto"/>
        <w:rPr>
          <w:rFonts w:hint="eastAsia" w:ascii="宋体" w:hAnsi="宋体" w:eastAsia="宋体" w:cs="宋体"/>
          <w:b/>
          <w:bCs/>
          <w:sz w:val="28"/>
          <w:szCs w:val="28"/>
          <w:lang w:eastAsia="zh-CN"/>
        </w:rPr>
      </w:pPr>
      <w:bookmarkStart w:id="87" w:name="bookmark0"/>
      <w:r>
        <w:rPr>
          <w:rFonts w:hint="eastAsia" w:ascii="宋体" w:hAnsi="宋体" w:eastAsia="宋体" w:cs="宋体"/>
          <w:b/>
          <w:bCs/>
          <w:sz w:val="28"/>
          <w:szCs w:val="28"/>
        </w:rPr>
        <w:t>（</w:t>
      </w:r>
      <w:bookmarkEnd w:id="87"/>
      <w:r>
        <w:rPr>
          <w:rFonts w:hint="eastAsia" w:ascii="宋体" w:hAnsi="宋体" w:eastAsia="宋体" w:cs="宋体"/>
          <w:b/>
          <w:bCs/>
          <w:sz w:val="28"/>
          <w:szCs w:val="28"/>
        </w:rPr>
        <w:t>一）</w:t>
      </w:r>
      <w:r>
        <w:rPr>
          <w:rFonts w:hint="eastAsia" w:ascii="宋体" w:hAnsi="宋体" w:eastAsia="宋体" w:cs="宋体"/>
          <w:b/>
          <w:bCs/>
          <w:sz w:val="28"/>
          <w:szCs w:val="28"/>
          <w:lang w:eastAsia="zh-CN"/>
        </w:rPr>
        <w:t>机构组成</w:t>
      </w:r>
      <w:r>
        <w:rPr>
          <w:rFonts w:hint="eastAsia" w:ascii="宋体" w:hAnsi="宋体" w:cs="宋体"/>
          <w:b/>
          <w:bCs/>
          <w:sz w:val="28"/>
          <w:szCs w:val="28"/>
          <w:lang w:eastAsia="zh-CN"/>
        </w:rPr>
        <w:t>。</w:t>
      </w:r>
    </w:p>
    <w:p w14:paraId="332630AB">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kern w:val="2"/>
          <w:sz w:val="28"/>
          <w:szCs w:val="28"/>
          <w:lang w:val="en-US" w:eastAsia="zh-CN" w:bidi="ar-SA"/>
        </w:rPr>
        <w:t>我单位为一级预算单位，</w:t>
      </w:r>
      <w:r>
        <w:rPr>
          <w:rFonts w:hint="eastAsia" w:ascii="宋体" w:hAnsi="宋体" w:eastAsia="宋体" w:cs="宋体"/>
          <w:sz w:val="28"/>
          <w:szCs w:val="28"/>
        </w:rPr>
        <w:t>下</w:t>
      </w:r>
      <w:r>
        <w:rPr>
          <w:rFonts w:hint="eastAsia" w:ascii="宋体" w:hAnsi="宋体" w:eastAsia="宋体" w:cs="宋体"/>
          <w:sz w:val="28"/>
          <w:szCs w:val="28"/>
          <w:lang w:eastAsia="zh-CN"/>
        </w:rPr>
        <w:t>设</w:t>
      </w:r>
      <w:r>
        <w:rPr>
          <w:rFonts w:hint="eastAsia" w:ascii="宋体" w:hAnsi="宋体" w:cs="宋体"/>
          <w:sz w:val="28"/>
          <w:szCs w:val="28"/>
          <w:lang w:eastAsia="zh-CN"/>
        </w:rPr>
        <w:t>非</w:t>
      </w:r>
      <w:r>
        <w:rPr>
          <w:rFonts w:hint="eastAsia" w:ascii="宋体" w:hAnsi="宋体" w:eastAsia="宋体" w:cs="宋体"/>
          <w:sz w:val="28"/>
          <w:szCs w:val="28"/>
        </w:rPr>
        <w:t>单独核算二级预算单位2个</w:t>
      </w:r>
      <w:r>
        <w:rPr>
          <w:rFonts w:hint="eastAsia" w:ascii="宋体" w:hAnsi="宋体" w:eastAsia="宋体" w:cs="宋体"/>
          <w:sz w:val="28"/>
          <w:szCs w:val="28"/>
          <w:lang w:eastAsia="zh-CN"/>
        </w:rPr>
        <w:t>（</w:t>
      </w:r>
      <w:r>
        <w:rPr>
          <w:rFonts w:hint="eastAsia" w:ascii="宋体" w:hAnsi="宋体" w:eastAsia="宋体" w:cs="宋体"/>
          <w:sz w:val="28"/>
          <w:szCs w:val="28"/>
        </w:rPr>
        <w:t>广元市昭化区工业发展集中区项目推进服务中心、广元市昭化区工业发展集中区统计工作站</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内设4个股室：</w:t>
      </w:r>
    </w:p>
    <w:p w14:paraId="4DAD189B">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w:t>
      </w:r>
      <w:r>
        <w:rPr>
          <w:rFonts w:hint="default" w:ascii="宋体" w:hAnsi="宋体" w:eastAsia="宋体" w:cs="宋体"/>
          <w:kern w:val="2"/>
          <w:sz w:val="28"/>
          <w:szCs w:val="28"/>
          <w:lang w:val="en-US" w:eastAsia="zh-CN" w:bidi="ar-SA"/>
        </w:rPr>
        <w:t>党政办公室(党群工作办公室)。负责综合性文字材料和规范性文件起草、审核;负责公文收发和印章管理工作;负责党建、党风廉政建设、统一战线、综治维稳、信访工作;负责宣传、精神文明建设、推进依法治区、电子政务和信息网络等工作;负责机关后勤保障、保密、档案、综合协调和督查督办工作;负责组织人事、财务和国有资产管理工作;指导做好本部门工会、共青团、妇联等群团工作;负责党群公共服务中心管理等工作。</w:t>
      </w:r>
    </w:p>
    <w:p w14:paraId="58AE39D8">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w:t>
      </w:r>
      <w:r>
        <w:rPr>
          <w:rFonts w:hint="default" w:ascii="宋体" w:hAnsi="宋体" w:eastAsia="宋体" w:cs="宋体"/>
          <w:kern w:val="2"/>
          <w:sz w:val="28"/>
          <w:szCs w:val="28"/>
          <w:lang w:val="en-US" w:eastAsia="zh-CN" w:bidi="ar-SA"/>
        </w:rPr>
        <w:t>规划建设股。根据市、区经济发展规划，编制经济开发区中长期经济发展规划，制定年度基础设施建设方案并经批准后组织实施;负责协调相关部门做好经济开发区内基础设施项目用地规划、项目建设、项目管理等工作;负责经济开发区规划环评、土地利用评价等工作;负责经济开发区开发建设情况的收集整理上报工作;协助相关单位实施经济开发区征地拆迁工作。</w:t>
      </w:r>
    </w:p>
    <w:p w14:paraId="2F875BDB">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w:t>
      </w:r>
      <w:r>
        <w:rPr>
          <w:rFonts w:hint="default" w:ascii="宋体" w:hAnsi="宋体" w:eastAsia="宋体" w:cs="宋体"/>
          <w:kern w:val="2"/>
          <w:sz w:val="28"/>
          <w:szCs w:val="28"/>
          <w:lang w:val="en-US" w:eastAsia="zh-CN" w:bidi="ar-SA"/>
        </w:rPr>
        <w:t>投资服务股。负责招商引资项目的选址、修建设计、项目进度和矛盾纠纷调解等工作;负责招商项目备案登记、证照办理等服务工作;负责对申请入驻项目进行审核报批;负责经济开发区招商引资和宣传推介工作;负责入驻项目各项优惠政策的落实工作。</w:t>
      </w:r>
    </w:p>
    <w:p w14:paraId="153366B5">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w:t>
      </w:r>
      <w:r>
        <w:rPr>
          <w:rFonts w:hint="default" w:ascii="宋体" w:hAnsi="宋体" w:eastAsia="宋体" w:cs="宋体"/>
          <w:kern w:val="2"/>
          <w:sz w:val="28"/>
          <w:szCs w:val="28"/>
          <w:lang w:val="en-US" w:eastAsia="zh-CN" w:bidi="ar-SA"/>
        </w:rPr>
        <w:t>经济发展股(安全环保办公室)。负责研究国家、省、市、区有关产业发展政策;负责协调相关部门为企业生产经营提供保障，为企业转型升级、壮大发展、项目包装、项目申报提供支持;指导企业贯彻执行国家安全生产和环境保护有关法律、法规;协调相关部门做好企业环境保护、安全生产和维护稳定等管理工作;负责经济开发区项目申报和争取工作;负责指导经济开发区项目统计、入库工作;负责经济开发区产业链延伸、推进校企合作、研发创新、节能降耗等工作。</w:t>
      </w:r>
    </w:p>
    <w:p w14:paraId="2C518449">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2"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（二）</w:t>
      </w:r>
      <w:r>
        <w:rPr>
          <w:rFonts w:hint="eastAsia" w:ascii="宋体" w:hAnsi="宋体" w:eastAsia="宋体" w:cs="宋体"/>
          <w:b/>
          <w:bCs/>
          <w:sz w:val="28"/>
          <w:szCs w:val="28"/>
        </w:rPr>
        <w:t>机构职能</w:t>
      </w:r>
      <w:bookmarkStart w:id="88" w:name="bookmark1"/>
      <w:bookmarkEnd w:id="88"/>
      <w:bookmarkStart w:id="89" w:name="bookmark9"/>
      <w:r>
        <w:rPr>
          <w:rFonts w:hint="eastAsia" w:ascii="宋体" w:hAnsi="宋体" w:cs="宋体"/>
          <w:b/>
          <w:bCs/>
          <w:sz w:val="28"/>
          <w:szCs w:val="28"/>
          <w:lang w:eastAsia="zh-CN"/>
        </w:rPr>
        <w:t>和人员概况。</w:t>
      </w:r>
    </w:p>
    <w:p w14:paraId="4889D57E">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1.机构职能</w:t>
      </w:r>
    </w:p>
    <w:p w14:paraId="44150E75">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（1）</w:t>
      </w:r>
      <w:r>
        <w:rPr>
          <w:rFonts w:hint="default" w:ascii="宋体" w:hAnsi="宋体" w:eastAsia="宋体" w:cs="宋体"/>
          <w:kern w:val="2"/>
          <w:sz w:val="28"/>
          <w:szCs w:val="28"/>
          <w:lang w:val="en-US" w:eastAsia="zh-CN" w:bidi="ar-SA"/>
        </w:rPr>
        <w:t>贯彻执行党和国家的路线、方针、政策和落实区委、区政府的决议、决定。</w:t>
      </w:r>
    </w:p>
    <w:p w14:paraId="4536C2CC">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（2）</w:t>
      </w:r>
      <w:r>
        <w:rPr>
          <w:rFonts w:hint="default" w:ascii="宋体" w:hAnsi="宋体" w:eastAsia="宋体" w:cs="宋体"/>
          <w:kern w:val="2"/>
          <w:sz w:val="28"/>
          <w:szCs w:val="28"/>
          <w:lang w:val="en-US" w:eastAsia="zh-CN" w:bidi="ar-SA"/>
        </w:rPr>
        <w:t>负责编制经开区经济发展规划并经批准后组织实施。</w:t>
      </w:r>
    </w:p>
    <w:p w14:paraId="5585C01C">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（3）</w:t>
      </w:r>
      <w:r>
        <w:rPr>
          <w:rFonts w:hint="default" w:ascii="宋体" w:hAnsi="宋体" w:eastAsia="宋体" w:cs="宋体"/>
          <w:kern w:val="2"/>
          <w:sz w:val="28"/>
          <w:szCs w:val="28"/>
          <w:lang w:val="en-US" w:eastAsia="zh-CN" w:bidi="ar-SA"/>
        </w:rPr>
        <w:t>负责经开区内基础设施建设,协助做好公共设施建设和管理工作。</w:t>
      </w:r>
    </w:p>
    <w:p w14:paraId="72F78484">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（4）</w:t>
      </w:r>
      <w:r>
        <w:rPr>
          <w:rFonts w:hint="default" w:ascii="宋体" w:hAnsi="宋体" w:eastAsia="宋体" w:cs="宋体"/>
          <w:kern w:val="2"/>
          <w:sz w:val="28"/>
          <w:szCs w:val="28"/>
          <w:lang w:val="en-US" w:eastAsia="zh-CN" w:bidi="ar-SA"/>
        </w:rPr>
        <w:t>协调协助实施经济开发区内涉及的征地、拆迁工作。</w:t>
      </w:r>
    </w:p>
    <w:p w14:paraId="6DE3E70A">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（5）</w:t>
      </w:r>
      <w:r>
        <w:rPr>
          <w:rFonts w:hint="default" w:ascii="宋体" w:hAnsi="宋体" w:eastAsia="宋体" w:cs="宋体"/>
          <w:kern w:val="2"/>
          <w:sz w:val="28"/>
          <w:szCs w:val="28"/>
          <w:lang w:val="en-US" w:eastAsia="zh-CN" w:bidi="ar-SA"/>
        </w:rPr>
        <w:t>负责入园项目的审核、建设推进和协调服务工作。</w:t>
      </w:r>
    </w:p>
    <w:p w14:paraId="0B89D436">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（6）</w:t>
      </w:r>
      <w:r>
        <w:rPr>
          <w:rFonts w:hint="default" w:ascii="宋体" w:hAnsi="宋体" w:eastAsia="宋体" w:cs="宋体"/>
          <w:kern w:val="2"/>
          <w:sz w:val="28"/>
          <w:szCs w:val="28"/>
          <w:lang w:val="en-US" w:eastAsia="zh-CN" w:bidi="ar-SA"/>
        </w:rPr>
        <w:t>协调相关部门做好经济开发区内的企业运行保障;做好招商引资和经济技术合作工作。</w:t>
      </w:r>
    </w:p>
    <w:p w14:paraId="7E2DCD4B">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（7）</w:t>
      </w:r>
      <w:r>
        <w:rPr>
          <w:rFonts w:hint="default" w:ascii="宋体" w:hAnsi="宋体" w:eastAsia="宋体" w:cs="宋体"/>
          <w:kern w:val="2"/>
          <w:sz w:val="28"/>
          <w:szCs w:val="28"/>
          <w:lang w:val="en-US" w:eastAsia="zh-CN" w:bidi="ar-SA"/>
        </w:rPr>
        <w:t>协调协助有关部门做好经济开发区内安全生产监督管理、环境保护和依法治区工作。</w:t>
      </w:r>
    </w:p>
    <w:p w14:paraId="0BA10DFA">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（8）</w:t>
      </w:r>
      <w:r>
        <w:rPr>
          <w:rFonts w:hint="default" w:ascii="宋体" w:hAnsi="宋体" w:eastAsia="宋体" w:cs="宋体"/>
          <w:kern w:val="2"/>
          <w:sz w:val="28"/>
          <w:szCs w:val="28"/>
          <w:lang w:val="en-US" w:eastAsia="zh-CN" w:bidi="ar-SA"/>
        </w:rPr>
        <w:t>完成区委和区人民政府交办的其他任务。</w:t>
      </w:r>
    </w:p>
    <w:bookmarkEnd w:id="89"/>
    <w:p w14:paraId="3CD1598C">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人员概况</w:t>
      </w:r>
    </w:p>
    <w:p w14:paraId="0E3761AF">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昭化经开区管委会总编制19个，其中参公编制9个，机关事业工勤编制1个, 其他事业编制9个。在职人员总数18人，其中公务员8人, 其他事业人员9人，工勤人员1人。</w:t>
      </w:r>
    </w:p>
    <w:p w14:paraId="4D124059">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2" w:firstLineChars="200"/>
        <w:jc w:val="both"/>
        <w:textAlignment w:val="auto"/>
        <w:rPr>
          <w:rFonts w:hint="eastAsia" w:ascii="宋体" w:hAnsi="宋体" w:cs="宋体"/>
          <w:b/>
          <w:bCs/>
          <w:sz w:val="28"/>
          <w:szCs w:val="28"/>
          <w:lang w:eastAsia="zh-CN"/>
        </w:rPr>
      </w:pPr>
      <w:r>
        <w:rPr>
          <w:rFonts w:hint="eastAsia" w:ascii="宋体" w:hAnsi="宋体" w:cs="宋体"/>
          <w:b/>
          <w:bCs/>
          <w:sz w:val="28"/>
          <w:szCs w:val="28"/>
          <w:lang w:val="en-US" w:eastAsia="zh-CN"/>
        </w:rPr>
        <w:t>（三）</w:t>
      </w:r>
      <w:r>
        <w:rPr>
          <w:rFonts w:hint="eastAsia" w:ascii="宋体" w:hAnsi="宋体" w:cs="宋体"/>
          <w:b/>
          <w:bCs/>
          <w:sz w:val="28"/>
          <w:szCs w:val="28"/>
          <w:lang w:eastAsia="zh-CN"/>
        </w:rPr>
        <w:t>年度主要工作任务。</w:t>
      </w:r>
    </w:p>
    <w:p w14:paraId="14B188E9">
      <w:pPr>
        <w:pStyle w:val="21"/>
        <w:keepNext w:val="0"/>
        <w:keepLines w:val="0"/>
        <w:pageBreakBefore w:val="0"/>
        <w:widowControl w:val="0"/>
        <w:kinsoku/>
        <w:wordWrap/>
        <w:overflowPunct/>
        <w:topLinePunct w:val="0"/>
        <w:bidi w:val="0"/>
        <w:snapToGrid/>
        <w:spacing w:beforeAutospacing="0" w:afterAutospacing="0" w:line="360" w:lineRule="auto"/>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w:t>
      </w:r>
      <w:r>
        <w:rPr>
          <w:rFonts w:hint="eastAsia" w:ascii="宋体" w:hAnsi="宋体" w:cs="宋体"/>
          <w:color w:val="auto"/>
          <w:kern w:val="2"/>
          <w:sz w:val="28"/>
          <w:szCs w:val="28"/>
          <w:lang w:val="en-US" w:eastAsia="zh-CN" w:bidi="ar-SA"/>
        </w:rPr>
        <w:t>.</w:t>
      </w:r>
      <w:r>
        <w:rPr>
          <w:rFonts w:hint="default" w:ascii="宋体" w:hAnsi="宋体" w:eastAsia="宋体" w:cs="宋体"/>
          <w:color w:val="auto"/>
          <w:kern w:val="2"/>
          <w:sz w:val="28"/>
          <w:szCs w:val="28"/>
          <w:lang w:val="en-US" w:eastAsia="zh-CN" w:bidi="ar-SA"/>
        </w:rPr>
        <w:t>提升园区基础设施建设力度。</w:t>
      </w:r>
      <w:r>
        <w:rPr>
          <w:rFonts w:hint="eastAsia" w:ascii="宋体" w:hAnsi="宋体" w:eastAsia="宋体" w:cs="宋体"/>
          <w:color w:val="auto"/>
          <w:kern w:val="2"/>
          <w:sz w:val="28"/>
          <w:szCs w:val="28"/>
          <w:lang w:val="en-US" w:eastAsia="zh-CN" w:bidi="ar-SA"/>
        </w:rPr>
        <w:t>持续高效推进家居产业城大坝组团建设，启动智慧物流园项目实施，积极招引物流企业入驻，实现家居产业强链补连。加快推进元柳工业园项目工程建设实施，为入驻企业营造安全、舒适的发展环境。</w:t>
      </w:r>
    </w:p>
    <w:p w14:paraId="0109443B">
      <w:pPr>
        <w:pStyle w:val="21"/>
        <w:keepNext w:val="0"/>
        <w:keepLines w:val="0"/>
        <w:pageBreakBefore w:val="0"/>
        <w:widowControl w:val="0"/>
        <w:kinsoku/>
        <w:wordWrap/>
        <w:overflowPunct/>
        <w:topLinePunct w:val="0"/>
        <w:bidi w:val="0"/>
        <w:snapToGrid/>
        <w:spacing w:beforeAutospacing="0" w:afterAutospacing="0" w:line="360" w:lineRule="auto"/>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w:t>
      </w:r>
      <w:r>
        <w:rPr>
          <w:rFonts w:hint="eastAsia" w:ascii="宋体" w:hAnsi="宋体" w:cs="宋体"/>
          <w:color w:val="auto"/>
          <w:kern w:val="2"/>
          <w:sz w:val="28"/>
          <w:szCs w:val="28"/>
          <w:lang w:val="en-US" w:eastAsia="zh-CN" w:bidi="ar-SA"/>
        </w:rPr>
        <w:t>.</w:t>
      </w:r>
      <w:r>
        <w:rPr>
          <w:rFonts w:hint="default" w:ascii="宋体" w:hAnsi="宋体" w:eastAsia="宋体" w:cs="宋体"/>
          <w:color w:val="auto"/>
          <w:kern w:val="2"/>
          <w:sz w:val="28"/>
          <w:szCs w:val="28"/>
          <w:lang w:val="en-US" w:eastAsia="zh-CN" w:bidi="ar-SA"/>
        </w:rPr>
        <w:t>加快推进重点项目建设。</w:t>
      </w:r>
      <w:r>
        <w:rPr>
          <w:rFonts w:hint="eastAsia" w:ascii="宋体" w:hAnsi="宋体" w:eastAsia="宋体" w:cs="宋体"/>
          <w:color w:val="auto"/>
          <w:kern w:val="2"/>
          <w:sz w:val="28"/>
          <w:szCs w:val="28"/>
          <w:lang w:val="en-US" w:eastAsia="zh-CN" w:bidi="ar-SA"/>
        </w:rPr>
        <w:t>积极谋划包装项目、争取资金，开展泉坝台阶地护坡治理、园区循环化改造，提升园区形态，促进产业升级。</w:t>
      </w:r>
    </w:p>
    <w:p w14:paraId="091ADA3C">
      <w:pPr>
        <w:pStyle w:val="21"/>
        <w:keepNext w:val="0"/>
        <w:keepLines w:val="0"/>
        <w:pageBreakBefore w:val="0"/>
        <w:widowControl w:val="0"/>
        <w:kinsoku/>
        <w:wordWrap/>
        <w:overflowPunct/>
        <w:topLinePunct w:val="0"/>
        <w:bidi w:val="0"/>
        <w:snapToGrid/>
        <w:spacing w:beforeAutospacing="0" w:afterAutospacing="0" w:line="360" w:lineRule="auto"/>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w:t>
      </w:r>
      <w:r>
        <w:rPr>
          <w:rFonts w:hint="eastAsia" w:ascii="宋体" w:hAnsi="宋体" w:cs="宋体"/>
          <w:color w:val="auto"/>
          <w:kern w:val="2"/>
          <w:sz w:val="28"/>
          <w:szCs w:val="28"/>
          <w:lang w:val="en-US" w:eastAsia="zh-CN" w:bidi="ar-SA"/>
        </w:rPr>
        <w:t>.</w:t>
      </w:r>
      <w:r>
        <w:rPr>
          <w:rFonts w:hint="eastAsia" w:ascii="宋体" w:hAnsi="宋体" w:eastAsia="宋体" w:cs="宋体"/>
          <w:color w:val="auto"/>
          <w:kern w:val="2"/>
          <w:sz w:val="28"/>
          <w:szCs w:val="28"/>
          <w:lang w:val="en-US" w:eastAsia="zh-CN" w:bidi="ar-SA"/>
        </w:rPr>
        <w:t>注重服务企业质效提升。持续优化营商环境，尽快建成“园能办”平台，实现“园能办”平台规范运行，真正实现“办事不出园”服务机制。同时，巩固提升安全生产专项整治成果，全面建成运行园区可视化平台，提升园区风险管控力度。</w:t>
      </w:r>
    </w:p>
    <w:p w14:paraId="1F96FA26">
      <w:pPr>
        <w:keepNext w:val="0"/>
        <w:keepLines w:val="0"/>
        <w:pageBreakBefore w:val="0"/>
        <w:widowControl w:val="0"/>
        <w:kinsoku/>
        <w:wordWrap/>
        <w:overflowPunct/>
        <w:topLinePunct w:val="0"/>
        <w:bidi w:val="0"/>
        <w:snapToGrid/>
        <w:spacing w:beforeAutospacing="0" w:afterAutospacing="0" w:line="360" w:lineRule="auto"/>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w:t>
      </w:r>
      <w:r>
        <w:rPr>
          <w:rFonts w:hint="eastAsia" w:ascii="宋体" w:hAnsi="宋体" w:cs="宋体"/>
          <w:color w:val="auto"/>
          <w:kern w:val="2"/>
          <w:sz w:val="28"/>
          <w:szCs w:val="28"/>
          <w:lang w:val="en-US" w:eastAsia="zh-CN" w:bidi="ar-SA"/>
        </w:rPr>
        <w:t>.深化全面从严治党</w:t>
      </w:r>
      <w:r>
        <w:rPr>
          <w:rFonts w:hint="default"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落实全面从严治党</w:t>
      </w:r>
      <w:r>
        <w:rPr>
          <w:rFonts w:hint="eastAsia" w:ascii="宋体" w:hAnsi="宋体" w:eastAsia="宋体" w:cs="宋体"/>
          <w:color w:val="auto"/>
          <w:kern w:val="2"/>
          <w:sz w:val="28"/>
          <w:szCs w:val="28"/>
          <w:lang w:val="en-US" w:eastAsia="zh-CN" w:bidi="ar-SA"/>
        </w:rPr>
        <w:t>总体要求，树牢“四个意识”、坚定“四个自信”、做到“两个维护”，全面落实意识形态工作责任制，严守党的政治纪律政治规矩，一体推进不敢腐、不能腐、不想腐，全面营造昭化经开区风清气正的政治生态。</w:t>
      </w:r>
    </w:p>
    <w:p w14:paraId="240823B2">
      <w:pPr>
        <w:pStyle w:val="11"/>
        <w:keepNext w:val="0"/>
        <w:keepLines w:val="0"/>
        <w:pageBreakBefore w:val="0"/>
        <w:widowControl w:val="0"/>
        <w:kinsoku/>
        <w:wordWrap/>
        <w:overflowPunct/>
        <w:topLinePunct w:val="0"/>
        <w:bidi w:val="0"/>
        <w:spacing w:line="360" w:lineRule="auto"/>
        <w:ind w:firstLine="361" w:firstLineChars="200"/>
        <w:jc w:val="both"/>
        <w:textAlignment w:val="auto"/>
        <w:rPr>
          <w:rFonts w:hint="eastAsia"/>
          <w:b/>
          <w:bCs/>
          <w:lang w:val="en-US" w:eastAsia="zh-CN"/>
        </w:rPr>
      </w:pPr>
    </w:p>
    <w:p w14:paraId="6D39CCE9">
      <w:pPr>
        <w:pStyle w:val="11"/>
        <w:keepNext w:val="0"/>
        <w:keepLines w:val="0"/>
        <w:pageBreakBefore w:val="0"/>
        <w:widowControl w:val="0"/>
        <w:numPr>
          <w:ilvl w:val="0"/>
          <w:numId w:val="0"/>
        </w:numPr>
        <w:kinsoku/>
        <w:wordWrap/>
        <w:overflowPunct/>
        <w:topLinePunct w:val="0"/>
        <w:bidi w:val="0"/>
        <w:spacing w:line="360" w:lineRule="auto"/>
        <w:ind w:leftChars="0" w:firstLine="562" w:firstLineChars="200"/>
        <w:jc w:val="both"/>
        <w:textAlignment w:val="auto"/>
        <w:rPr>
          <w:rFonts w:hint="eastAsia" w:ascii="宋体" w:hAnsi="宋体" w:eastAsia="宋体" w:cs="宋体"/>
          <w:b/>
          <w:bCs/>
          <w:color w:val="auto"/>
          <w:kern w:val="2"/>
          <w:sz w:val="28"/>
          <w:szCs w:val="28"/>
          <w:lang w:val="en-US" w:eastAsia="zh-CN" w:bidi="ar-SA"/>
        </w:rPr>
      </w:pPr>
      <w:r>
        <w:rPr>
          <w:rFonts w:hint="eastAsia" w:ascii="宋体" w:hAnsi="宋体" w:cs="宋体"/>
          <w:b/>
          <w:bCs/>
          <w:color w:val="auto"/>
          <w:kern w:val="2"/>
          <w:sz w:val="28"/>
          <w:szCs w:val="28"/>
          <w:lang w:val="en-US" w:eastAsia="zh-CN" w:bidi="ar-SA"/>
        </w:rPr>
        <w:t>（四）</w:t>
      </w:r>
      <w:r>
        <w:rPr>
          <w:rFonts w:hint="eastAsia" w:ascii="宋体" w:hAnsi="宋体" w:eastAsia="宋体" w:cs="宋体"/>
          <w:b/>
          <w:bCs/>
          <w:color w:val="auto"/>
          <w:kern w:val="2"/>
          <w:sz w:val="28"/>
          <w:szCs w:val="28"/>
          <w:lang w:val="en-US" w:eastAsia="zh-CN" w:bidi="ar-SA"/>
        </w:rPr>
        <w:t>部门整体</w:t>
      </w:r>
      <w:r>
        <w:rPr>
          <w:rFonts w:hint="eastAsia" w:ascii="宋体" w:hAnsi="宋体" w:cs="宋体"/>
          <w:b/>
          <w:bCs/>
          <w:color w:val="auto"/>
          <w:kern w:val="2"/>
          <w:sz w:val="28"/>
          <w:szCs w:val="28"/>
          <w:lang w:val="en-US" w:eastAsia="zh-CN" w:bidi="ar-SA"/>
        </w:rPr>
        <w:t>支出</w:t>
      </w:r>
      <w:r>
        <w:rPr>
          <w:rFonts w:hint="eastAsia" w:ascii="宋体" w:hAnsi="宋体" w:eastAsia="宋体" w:cs="宋体"/>
          <w:b/>
          <w:bCs/>
          <w:color w:val="auto"/>
          <w:kern w:val="2"/>
          <w:sz w:val="28"/>
          <w:szCs w:val="28"/>
          <w:lang w:val="en-US" w:eastAsia="zh-CN" w:bidi="ar-SA"/>
        </w:rPr>
        <w:t>绩效目标</w:t>
      </w:r>
      <w:r>
        <w:rPr>
          <w:rFonts w:hint="eastAsia" w:ascii="宋体" w:hAnsi="宋体" w:cs="宋体"/>
          <w:b/>
          <w:bCs/>
          <w:color w:val="auto"/>
          <w:kern w:val="2"/>
          <w:sz w:val="28"/>
          <w:szCs w:val="28"/>
          <w:lang w:val="en-US" w:eastAsia="zh-CN" w:bidi="ar-SA"/>
        </w:rPr>
        <w:t>。</w:t>
      </w:r>
    </w:p>
    <w:p w14:paraId="27FD413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color w:val="auto"/>
          <w:kern w:val="2"/>
          <w:sz w:val="28"/>
          <w:szCs w:val="28"/>
          <w:lang w:val="en-US" w:eastAsia="zh-CN" w:bidi="ar-SA"/>
        </w:rPr>
        <w:t>按时兑付在编人员经费，及</w:t>
      </w:r>
      <w:r>
        <w:rPr>
          <w:rFonts w:hint="eastAsia" w:ascii="宋体" w:hAnsi="宋体" w:cs="宋体"/>
          <w:color w:val="auto"/>
          <w:kern w:val="2"/>
          <w:sz w:val="28"/>
          <w:szCs w:val="28"/>
          <w:lang w:val="en-US" w:eastAsia="zh-CN" w:bidi="ar-SA"/>
        </w:rPr>
        <w:t>时</w:t>
      </w:r>
      <w:r>
        <w:rPr>
          <w:rFonts w:hint="eastAsia" w:ascii="宋体" w:hAnsi="宋体" w:eastAsia="宋体" w:cs="宋体"/>
          <w:color w:val="auto"/>
          <w:kern w:val="2"/>
          <w:sz w:val="28"/>
          <w:szCs w:val="28"/>
          <w:lang w:val="en-US" w:eastAsia="zh-CN" w:bidi="ar-SA"/>
        </w:rPr>
        <w:t>保障日常</w:t>
      </w:r>
      <w:r>
        <w:rPr>
          <w:rFonts w:hint="eastAsia" w:ascii="宋体" w:hAnsi="宋体" w:cs="宋体"/>
          <w:color w:val="auto"/>
          <w:kern w:val="2"/>
          <w:sz w:val="28"/>
          <w:szCs w:val="28"/>
          <w:lang w:val="en-US" w:eastAsia="zh-CN" w:bidi="ar-SA"/>
        </w:rPr>
        <w:t>工作</w:t>
      </w:r>
      <w:r>
        <w:rPr>
          <w:rFonts w:hint="eastAsia" w:ascii="宋体" w:hAnsi="宋体" w:eastAsia="宋体" w:cs="宋体"/>
          <w:color w:val="auto"/>
          <w:kern w:val="2"/>
          <w:sz w:val="28"/>
          <w:szCs w:val="28"/>
          <w:lang w:val="en-US" w:eastAsia="zh-CN" w:bidi="ar-SA"/>
        </w:rPr>
        <w:t>正常运转；保障园区基础设施建设、政务管理等职能职责有序开展；开展入园项目审核、建设项目推进</w:t>
      </w:r>
      <w:r>
        <w:rPr>
          <w:rFonts w:hint="eastAsia" w:ascii="宋体" w:hAnsi="宋体" w:eastAsia="宋体" w:cs="宋体"/>
          <w:sz w:val="28"/>
          <w:szCs w:val="28"/>
          <w:lang w:val="en-US" w:eastAsia="zh-CN"/>
        </w:rPr>
        <w:t>和协调服务；做好园区企业运行保障，做好园区基础设施建设管理，在建项目的安全监督管理；完成2022年区委区政府下达的园区宣传及招商引资签约企业3个，签约落地资金30000万元</w:t>
      </w:r>
      <w:r>
        <w:rPr>
          <w:rFonts w:hint="eastAsia" w:ascii="宋体" w:hAnsi="宋体" w:cs="宋体"/>
          <w:sz w:val="28"/>
          <w:szCs w:val="28"/>
          <w:lang w:val="en-US" w:eastAsia="zh-CN"/>
        </w:rPr>
        <w:t>以上，</w:t>
      </w:r>
      <w:r>
        <w:rPr>
          <w:rFonts w:hint="eastAsia" w:ascii="宋体" w:hAnsi="宋体" w:eastAsia="宋体" w:cs="宋体"/>
          <w:sz w:val="28"/>
          <w:szCs w:val="28"/>
          <w:lang w:val="en-US" w:eastAsia="zh-CN"/>
        </w:rPr>
        <w:t>向上争取资金1300万的目标任务。</w:t>
      </w:r>
    </w:p>
    <w:p w14:paraId="0E76CE64">
      <w:pPr>
        <w:pStyle w:val="4"/>
        <w:numPr>
          <w:ilvl w:val="0"/>
          <w:numId w:val="0"/>
        </w:numPr>
        <w:ind w:leftChars="0"/>
        <w:rPr>
          <w:rStyle w:val="31"/>
          <w:rFonts w:hint="eastAsia" w:ascii="黑体" w:hAnsi="黑体" w:eastAsia="黑体"/>
          <w:b w:val="0"/>
          <w:bCs w:val="0"/>
          <w:color w:val="000000" w:themeColor="text1"/>
          <w:lang w:eastAsia="zh-CN"/>
        </w:rPr>
      </w:pPr>
      <w:bookmarkStart w:id="90" w:name="_Toc27662"/>
      <w:r>
        <w:rPr>
          <w:rStyle w:val="31"/>
          <w:rFonts w:hint="eastAsia" w:ascii="黑体" w:hAnsi="黑体" w:eastAsia="黑体"/>
          <w:b w:val="0"/>
          <w:bCs w:val="0"/>
          <w:color w:val="000000" w:themeColor="text1"/>
          <w:lang w:val="en-US" w:eastAsia="zh-CN"/>
        </w:rPr>
        <w:t>二、部门资金收支情况</w:t>
      </w:r>
      <w:bookmarkEnd w:id="90"/>
    </w:p>
    <w:p w14:paraId="65B5DFA7">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2" w:firstLineChars="200"/>
        <w:jc w:val="both"/>
        <w:textAlignment w:val="auto"/>
        <w:rPr>
          <w:rFonts w:hint="eastAsia" w:ascii="宋体" w:hAnsi="宋体" w:eastAsia="宋体" w:cs="宋体"/>
          <w:b/>
          <w:bCs/>
          <w:sz w:val="28"/>
          <w:szCs w:val="28"/>
          <w:lang w:eastAsia="zh-CN"/>
        </w:rPr>
      </w:pPr>
      <w:bookmarkStart w:id="91" w:name="bookmark10"/>
      <w:r>
        <w:rPr>
          <w:rFonts w:hint="eastAsia" w:ascii="宋体" w:hAnsi="宋体" w:eastAsia="宋体" w:cs="宋体"/>
          <w:b/>
          <w:bCs/>
          <w:sz w:val="28"/>
          <w:szCs w:val="28"/>
        </w:rPr>
        <w:t>（</w:t>
      </w:r>
      <w:bookmarkEnd w:id="91"/>
      <w:r>
        <w:rPr>
          <w:rFonts w:hint="eastAsia" w:ascii="宋体" w:hAnsi="宋体" w:eastAsia="宋体" w:cs="宋体"/>
          <w:b/>
          <w:bCs/>
          <w:sz w:val="28"/>
          <w:szCs w:val="28"/>
        </w:rPr>
        <w:t>一）</w:t>
      </w:r>
      <w:r>
        <w:rPr>
          <w:rFonts w:hint="eastAsia" w:ascii="宋体" w:hAnsi="宋体" w:cs="宋体"/>
          <w:b/>
          <w:bCs/>
          <w:sz w:val="28"/>
          <w:szCs w:val="28"/>
          <w:lang w:eastAsia="zh-CN"/>
        </w:rPr>
        <w:t>部门总体收支情况。</w:t>
      </w:r>
    </w:p>
    <w:p w14:paraId="66DEE0E9">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1.部门总体收入情况</w:t>
      </w:r>
    </w:p>
    <w:p w14:paraId="5806FD4F">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2022年本年收入合计25918.95万元，其中：一般公共预算财政拨款收入2646.95万元，占10.21%；政府性基金预算财政拨款收入23272.00万元，占89.79%。</w:t>
      </w:r>
    </w:p>
    <w:p w14:paraId="231D374B">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2.部门总体支出情况</w:t>
      </w:r>
    </w:p>
    <w:p w14:paraId="1FDC82AD">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2022年本年支出合计26018.95万元（含年初结转100万元），其中：基本支出430.07 万元，占1.65%；项目支出25588.88万元，占98.35%。</w:t>
      </w:r>
    </w:p>
    <w:p w14:paraId="0B4BCE9E">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3.部门总体结转结余情况</w:t>
      </w:r>
    </w:p>
    <w:p w14:paraId="2969D879">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2022年部门无结转结余资金。</w:t>
      </w:r>
    </w:p>
    <w:p w14:paraId="3FC65BF6">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2" w:firstLineChars="200"/>
        <w:jc w:val="both"/>
        <w:textAlignment w:val="auto"/>
        <w:rPr>
          <w:rFonts w:hint="eastAsia" w:ascii="宋体" w:hAnsi="宋体" w:eastAsia="宋体" w:cs="宋体"/>
          <w:b/>
          <w:bCs/>
          <w:sz w:val="28"/>
          <w:szCs w:val="28"/>
          <w:lang w:eastAsia="zh-CN"/>
        </w:rPr>
      </w:pPr>
      <w:r>
        <w:rPr>
          <w:rFonts w:hint="eastAsia" w:ascii="宋体" w:hAnsi="宋体" w:cs="宋体"/>
          <w:b/>
          <w:bCs/>
          <w:sz w:val="28"/>
          <w:szCs w:val="28"/>
          <w:lang w:eastAsia="zh-CN"/>
        </w:rPr>
        <w:t>（二）部门财政拨款收支</w:t>
      </w:r>
      <w:r>
        <w:rPr>
          <w:rFonts w:hint="eastAsia" w:ascii="宋体" w:hAnsi="宋体" w:eastAsia="宋体" w:cs="宋体"/>
          <w:b/>
          <w:bCs/>
          <w:sz w:val="28"/>
          <w:szCs w:val="28"/>
          <w:lang w:eastAsia="zh-CN"/>
        </w:rPr>
        <w:t>情况</w:t>
      </w:r>
      <w:r>
        <w:rPr>
          <w:rFonts w:hint="eastAsia" w:ascii="宋体" w:hAnsi="宋体" w:cs="宋体"/>
          <w:b/>
          <w:bCs/>
          <w:sz w:val="28"/>
          <w:szCs w:val="28"/>
          <w:lang w:eastAsia="zh-CN"/>
        </w:rPr>
        <w:t>。</w:t>
      </w:r>
    </w:p>
    <w:p w14:paraId="7FB7494F">
      <w:pPr>
        <w:keepNext w:val="0"/>
        <w:keepLines w:val="0"/>
        <w:pageBreakBefore w:val="0"/>
        <w:kinsoku/>
        <w:wordWrap/>
        <w:overflowPunct/>
        <w:topLinePunct w:val="0"/>
        <w:bidi w:val="0"/>
        <w:spacing w:line="360" w:lineRule="auto"/>
        <w:ind w:firstLine="560" w:firstLineChars="200"/>
        <w:jc w:val="both"/>
        <w:rPr>
          <w:rFonts w:hint="eastAsia" w:ascii="宋体" w:hAnsi="宋体" w:cs="宋体"/>
          <w:sz w:val="28"/>
          <w:szCs w:val="28"/>
          <w:lang w:val="en-US" w:eastAsia="zh-CN"/>
        </w:rPr>
      </w:pPr>
      <w:r>
        <w:rPr>
          <w:rFonts w:hint="eastAsia" w:ascii="宋体" w:hAnsi="宋体" w:cs="宋体"/>
          <w:sz w:val="28"/>
          <w:szCs w:val="28"/>
          <w:lang w:val="en-US" w:eastAsia="zh-CN"/>
        </w:rPr>
        <w:t>1.部门财政拨款收入情况</w:t>
      </w:r>
    </w:p>
    <w:p w14:paraId="6D52AA5B">
      <w:pPr>
        <w:keepNext w:val="0"/>
        <w:keepLines w:val="0"/>
        <w:pageBreakBefore w:val="0"/>
        <w:kinsoku/>
        <w:wordWrap/>
        <w:overflowPunct/>
        <w:topLinePunct w:val="0"/>
        <w:bidi w:val="0"/>
        <w:spacing w:line="360" w:lineRule="auto"/>
        <w:ind w:firstLine="600" w:firstLineChars="200"/>
        <w:jc w:val="both"/>
        <w:rPr>
          <w:rFonts w:asciiTheme="minorEastAsia" w:hAnsiTheme="minorEastAsia" w:eastAsiaTheme="minorEastAsia"/>
          <w:color w:val="000000"/>
          <w:sz w:val="30"/>
          <w:szCs w:val="30"/>
        </w:rPr>
      </w:pPr>
      <w:r>
        <w:rPr>
          <w:rFonts w:asciiTheme="minorEastAsia" w:hAnsiTheme="minorEastAsia" w:eastAsiaTheme="minorEastAsia"/>
          <w:color w:val="000000"/>
          <w:sz w:val="30"/>
          <w:szCs w:val="30"/>
        </w:rPr>
        <w:t>20</w:t>
      </w:r>
      <w:r>
        <w:rPr>
          <w:rFonts w:hint="eastAsia" w:asciiTheme="minorEastAsia" w:hAnsiTheme="minorEastAsia" w:eastAsiaTheme="minorEastAsia"/>
          <w:color w:val="000000"/>
          <w:sz w:val="30"/>
          <w:szCs w:val="30"/>
        </w:rPr>
        <w:t>22年财政拨款收</w:t>
      </w:r>
      <w:r>
        <w:rPr>
          <w:rFonts w:hint="eastAsia" w:asciiTheme="minorEastAsia" w:hAnsiTheme="minorEastAsia" w:eastAsiaTheme="minorEastAsia"/>
          <w:color w:val="000000"/>
          <w:sz w:val="30"/>
          <w:szCs w:val="30"/>
          <w:lang w:eastAsia="zh-CN"/>
        </w:rPr>
        <w:t>入</w:t>
      </w:r>
      <w:r>
        <w:rPr>
          <w:rFonts w:hint="eastAsia" w:asciiTheme="minorEastAsia" w:hAnsiTheme="minorEastAsia" w:eastAsiaTheme="minorEastAsia"/>
          <w:color w:val="000000"/>
          <w:sz w:val="30"/>
          <w:szCs w:val="30"/>
        </w:rPr>
        <w:t>26018.95万元</w:t>
      </w:r>
      <w:r>
        <w:rPr>
          <w:rFonts w:hint="eastAsia" w:asciiTheme="minorEastAsia" w:hAnsiTheme="minorEastAsia" w:eastAsiaTheme="minorEastAsia"/>
          <w:color w:val="000000"/>
          <w:sz w:val="30"/>
          <w:szCs w:val="30"/>
          <w:lang w:eastAsia="zh-CN"/>
        </w:rPr>
        <w:t>（含年初结转</w:t>
      </w:r>
      <w:r>
        <w:rPr>
          <w:rFonts w:hint="eastAsia" w:asciiTheme="minorEastAsia" w:hAnsiTheme="minorEastAsia" w:eastAsiaTheme="minorEastAsia"/>
          <w:color w:val="000000"/>
          <w:sz w:val="30"/>
          <w:szCs w:val="30"/>
          <w:lang w:val="en-US" w:eastAsia="zh-CN"/>
        </w:rPr>
        <w:t>100万元</w:t>
      </w:r>
      <w:r>
        <w:rPr>
          <w:rFonts w:hint="eastAsia" w:asciiTheme="minorEastAsia" w:hAnsiTheme="minorEastAsia" w:eastAsiaTheme="minorEastAsia"/>
          <w:color w:val="000000"/>
          <w:sz w:val="30"/>
          <w:szCs w:val="30"/>
          <w:lang w:eastAsia="zh-CN"/>
        </w:rPr>
        <w:t>）</w:t>
      </w:r>
      <w:r>
        <w:rPr>
          <w:rFonts w:hint="eastAsia" w:asciiTheme="minorEastAsia" w:hAnsiTheme="minorEastAsia" w:eastAsiaTheme="minorEastAsia"/>
          <w:color w:val="000000"/>
          <w:sz w:val="30"/>
          <w:szCs w:val="30"/>
        </w:rPr>
        <w:t>。与</w:t>
      </w:r>
      <w:r>
        <w:rPr>
          <w:rFonts w:asciiTheme="minorEastAsia" w:hAnsiTheme="minorEastAsia" w:eastAsiaTheme="minorEastAsia"/>
          <w:color w:val="000000"/>
          <w:sz w:val="30"/>
          <w:szCs w:val="30"/>
        </w:rPr>
        <w:t>20</w:t>
      </w:r>
      <w:r>
        <w:rPr>
          <w:rFonts w:hint="eastAsia" w:asciiTheme="minorEastAsia" w:hAnsiTheme="minorEastAsia" w:eastAsiaTheme="minorEastAsia"/>
          <w:color w:val="000000"/>
          <w:sz w:val="30"/>
          <w:szCs w:val="30"/>
        </w:rPr>
        <w:t>21年38665.3万元相比，财政拨款收</w:t>
      </w:r>
      <w:r>
        <w:rPr>
          <w:rFonts w:hint="eastAsia" w:asciiTheme="minorEastAsia" w:hAnsiTheme="minorEastAsia" w:eastAsiaTheme="minorEastAsia"/>
          <w:color w:val="000000"/>
          <w:sz w:val="30"/>
          <w:szCs w:val="30"/>
          <w:lang w:eastAsia="zh-CN"/>
        </w:rPr>
        <w:t>入</w:t>
      </w:r>
      <w:r>
        <w:rPr>
          <w:rFonts w:hint="eastAsia" w:asciiTheme="minorEastAsia" w:hAnsiTheme="minorEastAsia" w:eastAsiaTheme="minorEastAsia"/>
          <w:color w:val="000000"/>
          <w:sz w:val="30"/>
          <w:szCs w:val="30"/>
        </w:rPr>
        <w:t>减少12646.35万元，减少32.71</w:t>
      </w:r>
      <w:r>
        <w:rPr>
          <w:rFonts w:asciiTheme="minorEastAsia" w:hAnsiTheme="minorEastAsia" w:eastAsiaTheme="minorEastAsia"/>
          <w:color w:val="000000"/>
          <w:sz w:val="30"/>
          <w:szCs w:val="30"/>
        </w:rPr>
        <w:t>%</w:t>
      </w:r>
      <w:r>
        <w:rPr>
          <w:rFonts w:hint="eastAsia" w:asciiTheme="minorEastAsia" w:hAnsiTheme="minorEastAsia" w:eastAsiaTheme="minorEastAsia"/>
          <w:color w:val="000000"/>
          <w:sz w:val="30"/>
          <w:szCs w:val="30"/>
        </w:rPr>
        <w:t>。主要变动原因是减少了家居产业城建设资金（专项债券资金）。</w:t>
      </w:r>
    </w:p>
    <w:p w14:paraId="3C4A0C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2.部门财政拨款支出情况</w:t>
      </w:r>
    </w:p>
    <w:p w14:paraId="6BF99756">
      <w:pPr>
        <w:keepNext w:val="0"/>
        <w:keepLines w:val="0"/>
        <w:pageBreakBefore w:val="0"/>
        <w:widowControl w:val="0"/>
        <w:kinsoku/>
        <w:wordWrap/>
        <w:overflowPunct/>
        <w:topLinePunct w:val="0"/>
        <w:autoSpaceDE/>
        <w:autoSpaceDN/>
        <w:bidi w:val="0"/>
        <w:adjustRightInd/>
        <w:snapToGrid/>
        <w:spacing w:line="360" w:lineRule="auto"/>
        <w:ind w:right="-210" w:rightChars="-10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2022年全年</w:t>
      </w:r>
      <w:r>
        <w:rPr>
          <w:rFonts w:hint="eastAsia" w:ascii="宋体" w:hAnsi="宋体" w:cs="宋体"/>
          <w:sz w:val="28"/>
          <w:szCs w:val="28"/>
          <w:lang w:val="en-US" w:eastAsia="zh-CN"/>
        </w:rPr>
        <w:t>财政拨款</w:t>
      </w:r>
      <w:r>
        <w:rPr>
          <w:rFonts w:hint="eastAsia" w:ascii="宋体" w:hAnsi="宋体" w:eastAsia="宋体" w:cs="宋体"/>
          <w:sz w:val="28"/>
          <w:szCs w:val="28"/>
          <w:lang w:val="en-US" w:eastAsia="zh-CN"/>
        </w:rPr>
        <w:t>支出26018.95万元，其中基本支出430.07万元（人员经费224.21万元，公用经费205.86万元），项目支出</w:t>
      </w:r>
      <w:r>
        <w:rPr>
          <w:rFonts w:hint="eastAsia" w:ascii="宋体" w:hAnsi="宋体" w:cs="宋体"/>
          <w:sz w:val="28"/>
          <w:szCs w:val="28"/>
          <w:lang w:val="en-US" w:eastAsia="zh-CN"/>
        </w:rPr>
        <w:t>25588.88</w:t>
      </w:r>
      <w:r>
        <w:rPr>
          <w:rFonts w:hint="eastAsia" w:ascii="宋体" w:hAnsi="宋体" w:eastAsia="宋体" w:cs="宋体"/>
          <w:sz w:val="28"/>
          <w:szCs w:val="28"/>
          <w:lang w:val="en-US" w:eastAsia="zh-CN"/>
        </w:rPr>
        <w:t>万元。</w:t>
      </w:r>
    </w:p>
    <w:p w14:paraId="7F68F9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3.部门财政拨款结转结余情况</w:t>
      </w:r>
    </w:p>
    <w:p w14:paraId="0D38A65C">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420" w:firstLineChars="200"/>
        <w:jc w:val="both"/>
        <w:textAlignment w:val="auto"/>
        <w:rPr>
          <w:rFonts w:hint="default" w:ascii="宋体" w:hAnsi="宋体" w:eastAsia="宋体" w:cs="宋体"/>
          <w:sz w:val="28"/>
          <w:szCs w:val="28"/>
          <w:lang w:val="en-US" w:eastAsia="zh-CN"/>
        </w:rPr>
      </w:pPr>
      <w:r>
        <w:rPr>
          <w:rFonts w:hint="eastAsia"/>
          <w:lang w:val="en-US" w:eastAsia="zh-CN"/>
        </w:rPr>
        <w:t xml:space="preserve">  </w:t>
      </w:r>
      <w:r>
        <w:rPr>
          <w:rFonts w:hint="eastAsia" w:ascii="宋体" w:hAnsi="宋体" w:cs="宋体"/>
          <w:sz w:val="28"/>
          <w:szCs w:val="28"/>
          <w:lang w:val="en-US" w:eastAsia="zh-CN"/>
        </w:rPr>
        <w:t>2022年部门无结转结余资金。</w:t>
      </w:r>
    </w:p>
    <w:p w14:paraId="5B95441C">
      <w:pPr>
        <w:pStyle w:val="4"/>
        <w:numPr>
          <w:ilvl w:val="0"/>
          <w:numId w:val="0"/>
        </w:numPr>
        <w:ind w:leftChars="0"/>
        <w:rPr>
          <w:rStyle w:val="31"/>
          <w:rFonts w:hint="eastAsia" w:ascii="黑体" w:hAnsi="黑体" w:eastAsia="黑体"/>
          <w:b w:val="0"/>
          <w:bCs w:val="0"/>
          <w:color w:val="000000" w:themeColor="text1"/>
          <w:lang w:eastAsia="zh-CN"/>
        </w:rPr>
      </w:pPr>
      <w:bookmarkStart w:id="92" w:name="_Toc16090"/>
      <w:r>
        <w:rPr>
          <w:rStyle w:val="31"/>
          <w:rFonts w:hint="eastAsia" w:ascii="黑体" w:hAnsi="黑体" w:eastAsia="黑体"/>
          <w:b w:val="0"/>
          <w:bCs w:val="0"/>
          <w:color w:val="000000" w:themeColor="text1"/>
          <w:lang w:eastAsia="zh-CN"/>
        </w:rPr>
        <w:t>三、部门整体绩效分析</w:t>
      </w:r>
      <w:bookmarkEnd w:id="92"/>
    </w:p>
    <w:p w14:paraId="474B1B0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140" w:leftChars="0" w:right="-210" w:rightChars="-100" w:firstLine="562" w:firstLineChars="200"/>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部门预算项目绩效</w:t>
      </w:r>
      <w:r>
        <w:rPr>
          <w:rFonts w:hint="eastAsia" w:ascii="宋体" w:hAnsi="宋体" w:cs="宋体"/>
          <w:b/>
          <w:bCs/>
          <w:sz w:val="28"/>
          <w:szCs w:val="28"/>
          <w:lang w:eastAsia="zh-CN"/>
        </w:rPr>
        <w:t>分析。</w:t>
      </w:r>
    </w:p>
    <w:p w14:paraId="7CDAC7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560" w:firstLineChars="200"/>
        <w:jc w:val="both"/>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1.人员类项目绩效分析</w:t>
      </w:r>
    </w:p>
    <w:p w14:paraId="5151BA8B">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ascii="宋体" w:hAnsi="宋体" w:cs="宋体"/>
          <w:sz w:val="28"/>
          <w:szCs w:val="28"/>
          <w:lang w:val="en-US" w:eastAsia="zh-CN"/>
        </w:rPr>
      </w:pPr>
      <w:r>
        <w:rPr>
          <w:rFonts w:hint="eastAsia" w:ascii="宋体" w:hAnsi="宋体" w:cs="宋体"/>
          <w:sz w:val="28"/>
          <w:szCs w:val="28"/>
          <w:lang w:val="en-US" w:eastAsia="zh-CN"/>
        </w:rPr>
        <w:t>目标制定：年初高标准、高质量完成了</w:t>
      </w:r>
      <w:r>
        <w:rPr>
          <w:rFonts w:hint="eastAsia" w:ascii="宋体" w:hAnsi="宋体" w:cs="宋体"/>
          <w:sz w:val="28"/>
          <w:szCs w:val="28"/>
          <w:lang w:val="zh-CN" w:eastAsia="zh-CN"/>
        </w:rPr>
        <w:t>绩效目标制定</w:t>
      </w:r>
      <w:r>
        <w:rPr>
          <w:rFonts w:hint="eastAsia" w:ascii="宋体" w:hAnsi="宋体" w:cs="宋体"/>
          <w:sz w:val="28"/>
          <w:szCs w:val="28"/>
          <w:lang w:val="en-US" w:eastAsia="zh-CN"/>
        </w:rPr>
        <w:t>。做到了</w:t>
      </w:r>
      <w:r>
        <w:rPr>
          <w:rFonts w:hint="eastAsia" w:ascii="宋体" w:hAnsi="宋体" w:cs="宋体"/>
          <w:sz w:val="28"/>
          <w:szCs w:val="28"/>
          <w:lang w:val="zh-CN" w:eastAsia="zh-CN"/>
        </w:rPr>
        <w:t>绩效目标制定</w:t>
      </w:r>
      <w:r>
        <w:rPr>
          <w:rFonts w:hint="eastAsia" w:ascii="宋体" w:hAnsi="宋体" w:cs="宋体"/>
          <w:sz w:val="28"/>
          <w:szCs w:val="28"/>
          <w:lang w:val="en-US" w:eastAsia="zh-CN"/>
        </w:rPr>
        <w:t>规范、完整无漏项，单位编制、人员情况与供养人员横向联网系统数据吻合，项目名称、绩效指标、项目内容说明等符合规范。</w:t>
      </w:r>
      <w:r>
        <w:rPr>
          <w:rFonts w:hint="default" w:ascii="宋体" w:hAnsi="宋体" w:cs="宋体"/>
          <w:sz w:val="28"/>
          <w:szCs w:val="28"/>
          <w:lang w:val="en-US" w:eastAsia="zh-CN"/>
        </w:rPr>
        <w:t>细化量化</w:t>
      </w:r>
      <w:r>
        <w:rPr>
          <w:rFonts w:hint="eastAsia" w:ascii="宋体" w:hAnsi="宋体" w:cs="宋体"/>
          <w:sz w:val="28"/>
          <w:szCs w:val="28"/>
          <w:lang w:val="en-US" w:eastAsia="zh-CN"/>
        </w:rPr>
        <w:t>了产出</w:t>
      </w:r>
      <w:r>
        <w:rPr>
          <w:rFonts w:hint="default" w:ascii="宋体" w:hAnsi="宋体" w:cs="宋体"/>
          <w:sz w:val="28"/>
          <w:szCs w:val="28"/>
          <w:lang w:val="en-US" w:eastAsia="zh-CN"/>
        </w:rPr>
        <w:t>指标、效益指标等，反映了相应项目工作任务</w:t>
      </w:r>
      <w:r>
        <w:rPr>
          <w:rFonts w:hint="eastAsia" w:ascii="宋体" w:hAnsi="宋体" w:cs="宋体"/>
          <w:sz w:val="28"/>
          <w:szCs w:val="28"/>
          <w:lang w:val="en-US" w:eastAsia="zh-CN"/>
        </w:rPr>
        <w:t>及</w:t>
      </w:r>
      <w:r>
        <w:rPr>
          <w:rFonts w:hint="default" w:ascii="宋体" w:hAnsi="宋体" w:cs="宋体"/>
          <w:sz w:val="28"/>
          <w:szCs w:val="28"/>
          <w:lang w:val="en-US" w:eastAsia="zh-CN"/>
        </w:rPr>
        <w:t>效果</w:t>
      </w:r>
      <w:r>
        <w:rPr>
          <w:rFonts w:hint="eastAsia" w:ascii="宋体" w:hAnsi="宋体" w:cs="宋体"/>
          <w:sz w:val="28"/>
          <w:szCs w:val="28"/>
          <w:lang w:val="en-US" w:eastAsia="zh-CN"/>
        </w:rPr>
        <w:t>。绩效目标随同预算纳入部门党组（委）会（办公会）集体决策范围。</w:t>
      </w:r>
    </w:p>
    <w:p w14:paraId="659EE8FA">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目标实现</w:t>
      </w:r>
      <w:r>
        <w:rPr>
          <w:rFonts w:hint="eastAsia" w:ascii="宋体" w:hAnsi="宋体" w:cs="宋体"/>
          <w:sz w:val="28"/>
          <w:szCs w:val="28"/>
          <w:lang w:val="en-US" w:eastAsia="zh-CN"/>
        </w:rPr>
        <w:t>：全年支出224.21万元，按照规定标准及时足额发放18名工作人员工资薪酬，保障了工作有序开展，完成了计划目标任务。</w:t>
      </w:r>
    </w:p>
    <w:p w14:paraId="4657CEB2">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支出控制：人员经费严格按照人社部门核定的标准执行。</w:t>
      </w:r>
    </w:p>
    <w:p w14:paraId="73CA34DE">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及时处置：按照《广元市昭化区预算绩效事中运行监控管理暂行办法》（昭府办函〔2022〕37号）的要求，按时完成预算绩效运行监控，将绩效监控结果应用到预算调整，合理安排</w:t>
      </w:r>
      <w:r>
        <w:rPr>
          <w:rFonts w:hint="default" w:ascii="宋体" w:hAnsi="宋体" w:eastAsia="宋体" w:cs="宋体"/>
          <w:sz w:val="28"/>
          <w:szCs w:val="28"/>
          <w:lang w:val="en-US" w:eastAsia="zh-CN"/>
        </w:rPr>
        <w:t>预算执行进度，提高资金使用绩效</w:t>
      </w:r>
      <w:r>
        <w:rPr>
          <w:rFonts w:hint="eastAsia" w:ascii="宋体" w:hAnsi="宋体" w:eastAsia="宋体" w:cs="宋体"/>
          <w:sz w:val="28"/>
          <w:szCs w:val="28"/>
          <w:lang w:val="en-US" w:eastAsia="zh-CN"/>
        </w:rPr>
        <w:t>。2022年</w:t>
      </w:r>
      <w:r>
        <w:rPr>
          <w:rFonts w:hint="eastAsia" w:ascii="宋体" w:hAnsi="宋体" w:eastAsia="宋体" w:cs="宋体"/>
          <w:sz w:val="28"/>
          <w:szCs w:val="28"/>
          <w:lang w:val="zh-CN" w:eastAsia="zh-CN"/>
        </w:rPr>
        <w:t>不涉及绩效监控调整取消额和结余注销额。</w:t>
      </w:r>
    </w:p>
    <w:p w14:paraId="66811F25">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cs="宋体"/>
          <w:sz w:val="28"/>
          <w:szCs w:val="28"/>
          <w:lang w:val="zh-CN" w:eastAsia="zh-CN"/>
        </w:rPr>
      </w:pPr>
      <w:r>
        <w:rPr>
          <w:rFonts w:hint="eastAsia" w:ascii="宋体" w:hAnsi="宋体" w:eastAsia="宋体" w:cs="宋体"/>
          <w:sz w:val="28"/>
          <w:szCs w:val="28"/>
          <w:lang w:val="en-US" w:eastAsia="zh-CN"/>
        </w:rPr>
        <w:t>执行进度：人员经费支出进度</w:t>
      </w:r>
      <w:r>
        <w:rPr>
          <w:rFonts w:hint="eastAsia" w:ascii="宋体" w:hAnsi="宋体" w:eastAsia="宋体" w:cs="宋体"/>
          <w:sz w:val="28"/>
          <w:szCs w:val="28"/>
          <w:lang w:val="zh-CN" w:eastAsia="zh-CN"/>
        </w:rPr>
        <w:t>均超出了6、9、11月应达到序时进度</w:t>
      </w:r>
      <w:r>
        <w:rPr>
          <w:rFonts w:hint="eastAsia" w:ascii="宋体" w:hAnsi="宋体" w:cs="宋体"/>
          <w:sz w:val="28"/>
          <w:szCs w:val="28"/>
          <w:lang w:val="zh-CN" w:eastAsia="zh-CN"/>
        </w:rPr>
        <w:t>的80%、90%、90%，即实际支出进度分别达到40%、67.5%、82.5%的要求。</w:t>
      </w:r>
    </w:p>
    <w:p w14:paraId="3EB2F29F">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预算完成情况：人员经费12月预算执行进度达到100%。</w:t>
      </w:r>
    </w:p>
    <w:p w14:paraId="2116FCF5">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资金结余率。2022年预算项目年末无结转结余。</w:t>
      </w:r>
    </w:p>
    <w:p w14:paraId="2A0C662B">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cs="宋体"/>
          <w:sz w:val="28"/>
          <w:szCs w:val="28"/>
          <w:lang w:val="en-US" w:eastAsia="zh-CN"/>
        </w:rPr>
      </w:pPr>
      <w:r>
        <w:rPr>
          <w:rFonts w:hint="eastAsia" w:ascii="宋体" w:hAnsi="宋体" w:eastAsia="宋体" w:cs="宋体"/>
          <w:sz w:val="28"/>
          <w:szCs w:val="28"/>
          <w:lang w:val="en-US" w:eastAsia="zh-CN"/>
        </w:rPr>
        <w:t>违规纪录：202</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年度</w:t>
      </w:r>
      <w:r>
        <w:rPr>
          <w:rFonts w:hint="eastAsia" w:ascii="宋体" w:hAnsi="宋体" w:cs="宋体"/>
          <w:sz w:val="28"/>
          <w:szCs w:val="28"/>
          <w:lang w:val="en-US" w:eastAsia="zh-CN"/>
        </w:rPr>
        <w:t>我单位</w:t>
      </w:r>
      <w:r>
        <w:rPr>
          <w:rFonts w:hint="eastAsia" w:ascii="宋体" w:hAnsi="宋体" w:eastAsia="宋体" w:cs="宋体"/>
          <w:sz w:val="28"/>
          <w:szCs w:val="28"/>
          <w:lang w:val="en-US" w:eastAsia="zh-CN"/>
        </w:rPr>
        <w:t>未收到</w:t>
      </w:r>
      <w:r>
        <w:rPr>
          <w:rFonts w:hint="eastAsia" w:ascii="宋体" w:hAnsi="宋体" w:eastAsia="宋体" w:cs="宋体"/>
          <w:sz w:val="28"/>
          <w:szCs w:val="28"/>
          <w:lang w:val="zh-CN" w:eastAsia="zh-CN"/>
        </w:rPr>
        <w:t>审计监督、财政检查反映单位部门预算管理不合规的情况</w:t>
      </w:r>
      <w:r>
        <w:rPr>
          <w:rFonts w:hint="eastAsia" w:ascii="宋体" w:hAnsi="宋体" w:cs="宋体"/>
          <w:sz w:val="28"/>
          <w:szCs w:val="28"/>
          <w:lang w:val="zh-CN" w:eastAsia="zh-CN"/>
        </w:rPr>
        <w:t>，</w:t>
      </w:r>
      <w:r>
        <w:rPr>
          <w:rFonts w:hint="eastAsia" w:ascii="宋体" w:hAnsi="宋体" w:eastAsia="宋体" w:cs="宋体"/>
          <w:sz w:val="28"/>
          <w:szCs w:val="28"/>
          <w:lang w:val="en-US" w:eastAsia="zh-CN"/>
        </w:rPr>
        <w:t>未发现部门预算管理方面违纪违规问题。</w:t>
      </w:r>
    </w:p>
    <w:p w14:paraId="705D36CF">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ascii="宋体" w:hAnsi="宋体" w:cs="宋体"/>
          <w:sz w:val="28"/>
          <w:szCs w:val="28"/>
          <w:lang w:val="en-US" w:eastAsia="zh-CN"/>
        </w:rPr>
      </w:pPr>
      <w:r>
        <w:rPr>
          <w:rFonts w:hint="eastAsia" w:ascii="宋体" w:hAnsi="宋体" w:cs="宋体"/>
          <w:sz w:val="28"/>
          <w:szCs w:val="28"/>
          <w:lang w:val="en-US" w:eastAsia="zh-CN"/>
        </w:rPr>
        <w:t>2.运转类项目绩效分析</w:t>
      </w:r>
    </w:p>
    <w:p w14:paraId="0C2DD228">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ascii="宋体" w:hAnsi="宋体" w:cs="宋体"/>
          <w:sz w:val="28"/>
          <w:szCs w:val="28"/>
          <w:lang w:val="en-US" w:eastAsia="zh-CN"/>
        </w:rPr>
      </w:pPr>
      <w:r>
        <w:rPr>
          <w:rFonts w:hint="eastAsia" w:ascii="宋体" w:hAnsi="宋体" w:cs="宋体"/>
          <w:sz w:val="28"/>
          <w:szCs w:val="28"/>
          <w:lang w:val="en-US" w:eastAsia="zh-CN"/>
        </w:rPr>
        <w:t>目标制定：年初高标准、高质量完成了</w:t>
      </w:r>
      <w:r>
        <w:rPr>
          <w:rFonts w:hint="eastAsia" w:ascii="宋体" w:hAnsi="宋体" w:cs="宋体"/>
          <w:sz w:val="28"/>
          <w:szCs w:val="28"/>
          <w:lang w:val="zh-CN" w:eastAsia="zh-CN"/>
        </w:rPr>
        <w:t>绩效目标制定</w:t>
      </w:r>
      <w:r>
        <w:rPr>
          <w:rFonts w:hint="eastAsia" w:ascii="宋体" w:hAnsi="宋体" w:cs="宋体"/>
          <w:sz w:val="28"/>
          <w:szCs w:val="28"/>
          <w:lang w:val="en-US" w:eastAsia="zh-CN"/>
        </w:rPr>
        <w:t>。做到了</w:t>
      </w:r>
      <w:r>
        <w:rPr>
          <w:rFonts w:hint="eastAsia" w:ascii="宋体" w:hAnsi="宋体" w:cs="宋体"/>
          <w:sz w:val="28"/>
          <w:szCs w:val="28"/>
          <w:lang w:val="zh-CN" w:eastAsia="zh-CN"/>
        </w:rPr>
        <w:t>绩效目标制定</w:t>
      </w:r>
      <w:r>
        <w:rPr>
          <w:rFonts w:hint="eastAsia" w:ascii="宋体" w:hAnsi="宋体" w:cs="宋体"/>
          <w:sz w:val="28"/>
          <w:szCs w:val="28"/>
          <w:lang w:val="en-US" w:eastAsia="zh-CN"/>
        </w:rPr>
        <w:t>规范、完整无漏项，项目名称、绩效指标、项目内容说明等符合规范。</w:t>
      </w:r>
      <w:r>
        <w:rPr>
          <w:rFonts w:hint="default" w:ascii="宋体" w:hAnsi="宋体" w:cs="宋体"/>
          <w:sz w:val="28"/>
          <w:szCs w:val="28"/>
          <w:lang w:val="en-US" w:eastAsia="zh-CN"/>
        </w:rPr>
        <w:t>细化量化</w:t>
      </w:r>
      <w:r>
        <w:rPr>
          <w:rFonts w:hint="eastAsia" w:ascii="宋体" w:hAnsi="宋体" w:cs="宋体"/>
          <w:sz w:val="28"/>
          <w:szCs w:val="28"/>
          <w:lang w:val="en-US" w:eastAsia="zh-CN"/>
        </w:rPr>
        <w:t>了产出</w:t>
      </w:r>
      <w:r>
        <w:rPr>
          <w:rFonts w:hint="default" w:ascii="宋体" w:hAnsi="宋体" w:cs="宋体"/>
          <w:sz w:val="28"/>
          <w:szCs w:val="28"/>
          <w:lang w:val="en-US" w:eastAsia="zh-CN"/>
        </w:rPr>
        <w:t>指标、效益指标等，反映了相应项目工作任务</w:t>
      </w:r>
      <w:r>
        <w:rPr>
          <w:rFonts w:hint="eastAsia" w:ascii="宋体" w:hAnsi="宋体" w:cs="宋体"/>
          <w:sz w:val="28"/>
          <w:szCs w:val="28"/>
          <w:lang w:val="en-US" w:eastAsia="zh-CN"/>
        </w:rPr>
        <w:t>及</w:t>
      </w:r>
      <w:r>
        <w:rPr>
          <w:rFonts w:hint="default" w:ascii="宋体" w:hAnsi="宋体" w:cs="宋体"/>
          <w:sz w:val="28"/>
          <w:szCs w:val="28"/>
          <w:lang w:val="en-US" w:eastAsia="zh-CN"/>
        </w:rPr>
        <w:t>效果</w:t>
      </w:r>
      <w:r>
        <w:rPr>
          <w:rFonts w:hint="eastAsia" w:ascii="宋体" w:hAnsi="宋体" w:cs="宋体"/>
          <w:sz w:val="28"/>
          <w:szCs w:val="28"/>
          <w:lang w:val="en-US" w:eastAsia="zh-CN"/>
        </w:rPr>
        <w:t>。绩效目标随同预算纳入部门党组（委）会（办公会）集体决策范围。</w:t>
      </w:r>
    </w:p>
    <w:p w14:paraId="7E7F0639">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目标实现</w:t>
      </w:r>
      <w:r>
        <w:rPr>
          <w:rFonts w:hint="eastAsia" w:ascii="宋体" w:hAnsi="宋体" w:cs="宋体"/>
          <w:sz w:val="28"/>
          <w:szCs w:val="28"/>
          <w:lang w:val="en-US" w:eastAsia="zh-CN"/>
        </w:rPr>
        <w:t>：全年支</w:t>
      </w:r>
      <w:r>
        <w:rPr>
          <w:rFonts w:hint="eastAsia" w:ascii="宋体" w:hAnsi="宋体" w:cs="宋体"/>
          <w:color w:val="auto"/>
          <w:sz w:val="28"/>
          <w:szCs w:val="28"/>
          <w:lang w:val="en-US" w:eastAsia="zh-CN"/>
        </w:rPr>
        <w:t>出205.86万</w:t>
      </w:r>
      <w:r>
        <w:rPr>
          <w:rFonts w:hint="eastAsia" w:ascii="宋体" w:hAnsi="宋体" w:cs="宋体"/>
          <w:sz w:val="28"/>
          <w:szCs w:val="28"/>
          <w:lang w:val="en-US" w:eastAsia="zh-CN"/>
        </w:rPr>
        <w:t>元，保障了单位日常工作正常运转。年初制定的运转保障率、预算准确率、三公经费空置率、科目调整次数等指标均完成。</w:t>
      </w:r>
    </w:p>
    <w:p w14:paraId="1831737F">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pPr>
      <w:r>
        <w:rPr>
          <w:rFonts w:hint="eastAsia" w:ascii="宋体" w:hAnsi="宋体" w:cs="宋体"/>
          <w:sz w:val="28"/>
          <w:szCs w:val="28"/>
          <w:lang w:val="en-US" w:eastAsia="zh-CN"/>
        </w:rPr>
        <w:t>支出控制：</w:t>
      </w:r>
      <w:r>
        <w:rPr>
          <w:rFonts w:hint="eastAsia" w:ascii="宋体" w:hAnsi="宋体" w:eastAsia="宋体" w:cs="宋体"/>
          <w:sz w:val="28"/>
          <w:szCs w:val="28"/>
          <w:lang w:val="en-US" w:eastAsia="zh-CN"/>
        </w:rPr>
        <w:t>部门日常公用经费、项目支出中“办公费、印刷费、水费、电费”等科目年初预算数与决算数</w:t>
      </w:r>
      <w:r>
        <w:rPr>
          <w:rFonts w:hint="eastAsia" w:ascii="宋体" w:hAnsi="宋体" w:cs="宋体"/>
          <w:sz w:val="28"/>
          <w:szCs w:val="28"/>
          <w:lang w:val="en-US" w:eastAsia="zh-CN"/>
        </w:rPr>
        <w:t>存在偏差，</w:t>
      </w:r>
      <w:r>
        <w:rPr>
          <w:rFonts w:hint="eastAsia" w:ascii="宋体" w:hAnsi="宋体" w:eastAsia="宋体" w:cs="宋体"/>
          <w:sz w:val="28"/>
          <w:szCs w:val="28"/>
          <w:lang w:val="en-US" w:eastAsia="zh-CN"/>
        </w:rPr>
        <w:t>预决算偏差程度</w:t>
      </w:r>
      <w:r>
        <w:rPr>
          <w:rFonts w:hint="eastAsia" w:ascii="宋体" w:hAnsi="宋体" w:cs="宋体"/>
          <w:sz w:val="28"/>
          <w:szCs w:val="28"/>
          <w:lang w:val="en-US" w:eastAsia="zh-CN"/>
        </w:rPr>
        <w:t>超出20%。具体如下：</w:t>
      </w:r>
    </w:p>
    <w:tbl>
      <w:tblPr>
        <w:tblStyle w:val="16"/>
        <w:tblW w:w="79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51"/>
        <w:gridCol w:w="2073"/>
        <w:gridCol w:w="2425"/>
        <w:gridCol w:w="1610"/>
      </w:tblGrid>
      <w:tr w14:paraId="63518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851" w:type="dxa"/>
            <w:tcBorders>
              <w:top w:val="single" w:color="000000" w:sz="4" w:space="0"/>
              <w:left w:val="single" w:color="000000" w:sz="4" w:space="0"/>
              <w:bottom w:val="single" w:color="000000" w:sz="4" w:space="0"/>
              <w:right w:val="single" w:color="000000" w:sz="4" w:space="0"/>
            </w:tcBorders>
            <w:noWrap/>
            <w:vAlign w:val="center"/>
          </w:tcPr>
          <w:p w14:paraId="5B76BF12">
            <w:pPr>
              <w:keepNext w:val="0"/>
              <w:keepLines w:val="0"/>
              <w:pageBreakBefore w:val="0"/>
              <w:widowControl/>
              <w:suppressLineNumbers w:val="0"/>
              <w:kinsoku/>
              <w:wordWrap/>
              <w:overflowPunct/>
              <w:topLinePunct w:val="0"/>
              <w:bidi w:val="0"/>
              <w:spacing w:line="360" w:lineRule="auto"/>
              <w:ind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费用名称</w:t>
            </w:r>
          </w:p>
        </w:tc>
        <w:tc>
          <w:tcPr>
            <w:tcW w:w="2073" w:type="dxa"/>
            <w:tcBorders>
              <w:top w:val="single" w:color="000000" w:sz="4" w:space="0"/>
              <w:left w:val="single" w:color="000000" w:sz="4" w:space="0"/>
              <w:bottom w:val="single" w:color="000000" w:sz="4" w:space="0"/>
              <w:right w:val="single" w:color="000000" w:sz="4" w:space="0"/>
            </w:tcBorders>
            <w:noWrap/>
            <w:vAlign w:val="center"/>
          </w:tcPr>
          <w:p w14:paraId="1B57A8B2">
            <w:pPr>
              <w:keepNext w:val="0"/>
              <w:keepLines w:val="0"/>
              <w:pageBreakBefore w:val="0"/>
              <w:widowControl/>
              <w:suppressLineNumbers w:val="0"/>
              <w:kinsoku/>
              <w:wordWrap/>
              <w:overflowPunct/>
              <w:topLinePunct w:val="0"/>
              <w:bidi w:val="0"/>
              <w:spacing w:line="360" w:lineRule="auto"/>
              <w:ind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2425" w:type="dxa"/>
            <w:tcBorders>
              <w:top w:val="single" w:color="000000" w:sz="4" w:space="0"/>
              <w:left w:val="single" w:color="000000" w:sz="4" w:space="0"/>
              <w:bottom w:val="single" w:color="000000" w:sz="4" w:space="0"/>
              <w:right w:val="single" w:color="000000" w:sz="4" w:space="0"/>
            </w:tcBorders>
            <w:noWrap/>
            <w:vAlign w:val="center"/>
          </w:tcPr>
          <w:p w14:paraId="797044B6">
            <w:pPr>
              <w:keepNext w:val="0"/>
              <w:keepLines w:val="0"/>
              <w:pageBreakBefore w:val="0"/>
              <w:widowControl/>
              <w:suppressLineNumbers w:val="0"/>
              <w:kinsoku/>
              <w:wordWrap/>
              <w:overflowPunct/>
              <w:topLinePunct w:val="0"/>
              <w:bidi w:val="0"/>
              <w:spacing w:line="360" w:lineRule="auto"/>
              <w:ind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年末决算数</w:t>
            </w:r>
          </w:p>
        </w:tc>
        <w:tc>
          <w:tcPr>
            <w:tcW w:w="1610" w:type="dxa"/>
            <w:tcBorders>
              <w:top w:val="single" w:color="000000" w:sz="4" w:space="0"/>
              <w:left w:val="single" w:color="000000" w:sz="4" w:space="0"/>
              <w:bottom w:val="single" w:color="000000" w:sz="4" w:space="0"/>
              <w:right w:val="single" w:color="000000" w:sz="4" w:space="0"/>
            </w:tcBorders>
            <w:noWrap/>
            <w:vAlign w:val="center"/>
          </w:tcPr>
          <w:p w14:paraId="5E779702">
            <w:pPr>
              <w:keepNext w:val="0"/>
              <w:keepLines w:val="0"/>
              <w:pageBreakBefore w:val="0"/>
              <w:widowControl/>
              <w:suppressLineNumbers w:val="0"/>
              <w:kinsoku/>
              <w:wordWrap/>
              <w:overflowPunct/>
              <w:topLinePunct w:val="0"/>
              <w:bidi w:val="0"/>
              <w:spacing w:line="360" w:lineRule="auto"/>
              <w:ind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偏差率</w:t>
            </w:r>
          </w:p>
        </w:tc>
      </w:tr>
      <w:tr w14:paraId="201D8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E371CB3">
            <w:pPr>
              <w:keepNext w:val="0"/>
              <w:keepLines w:val="0"/>
              <w:pageBreakBefore w:val="0"/>
              <w:widowControl/>
              <w:suppressLineNumbers w:val="0"/>
              <w:kinsoku/>
              <w:wordWrap/>
              <w:overflowPunct/>
              <w:topLinePunct w:val="0"/>
              <w:bidi w:val="0"/>
              <w:spacing w:line="360" w:lineRule="auto"/>
              <w:ind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0DAB74">
            <w:pPr>
              <w:keepNext w:val="0"/>
              <w:keepLines w:val="0"/>
              <w:pageBreakBefore w:val="0"/>
              <w:widowControl/>
              <w:suppressLineNumbers w:val="0"/>
              <w:kinsoku/>
              <w:wordWrap/>
              <w:overflowPunct/>
              <w:topLinePunct w:val="0"/>
              <w:bidi w:val="0"/>
              <w:spacing w:line="360" w:lineRule="auto"/>
              <w:ind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616CF4">
            <w:pPr>
              <w:keepNext w:val="0"/>
              <w:keepLines w:val="0"/>
              <w:pageBreakBefore w:val="0"/>
              <w:widowControl/>
              <w:suppressLineNumbers w:val="0"/>
              <w:kinsoku/>
              <w:wordWrap/>
              <w:overflowPunct/>
              <w:topLinePunct w:val="0"/>
              <w:bidi w:val="0"/>
              <w:spacing w:line="360" w:lineRule="auto"/>
              <w:ind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3D1C24">
            <w:pPr>
              <w:keepNext w:val="0"/>
              <w:keepLines w:val="0"/>
              <w:pageBreakBefore w:val="0"/>
              <w:widowControl/>
              <w:suppressLineNumbers w:val="0"/>
              <w:kinsoku/>
              <w:wordWrap/>
              <w:overflowPunct/>
              <w:topLinePunct w:val="0"/>
              <w:bidi w:val="0"/>
              <w:spacing w:line="360" w:lineRule="auto"/>
              <w:ind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4DAF6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278ACBF">
            <w:pPr>
              <w:keepNext w:val="0"/>
              <w:keepLines w:val="0"/>
              <w:pageBreakBefore w:val="0"/>
              <w:widowControl/>
              <w:suppressLineNumbers w:val="0"/>
              <w:kinsoku/>
              <w:wordWrap/>
              <w:overflowPunct/>
              <w:topLinePunct w:val="0"/>
              <w:bidi w:val="0"/>
              <w:spacing w:line="360" w:lineRule="auto"/>
              <w:ind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F720A0">
            <w:pPr>
              <w:keepNext w:val="0"/>
              <w:keepLines w:val="0"/>
              <w:pageBreakBefore w:val="0"/>
              <w:widowControl/>
              <w:suppressLineNumbers w:val="0"/>
              <w:kinsoku/>
              <w:wordWrap/>
              <w:overflowPunct/>
              <w:topLinePunct w:val="0"/>
              <w:bidi w:val="0"/>
              <w:spacing w:line="360" w:lineRule="auto"/>
              <w:ind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BAC8EE">
            <w:pPr>
              <w:keepNext w:val="0"/>
              <w:keepLines w:val="0"/>
              <w:pageBreakBefore w:val="0"/>
              <w:widowControl/>
              <w:suppressLineNumbers w:val="0"/>
              <w:kinsoku/>
              <w:wordWrap/>
              <w:overflowPunct/>
              <w:topLinePunct w:val="0"/>
              <w:bidi w:val="0"/>
              <w:spacing w:line="360" w:lineRule="auto"/>
              <w:ind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983DB">
            <w:pPr>
              <w:keepNext w:val="0"/>
              <w:keepLines w:val="0"/>
              <w:pageBreakBefore w:val="0"/>
              <w:widowControl/>
              <w:suppressLineNumbers w:val="0"/>
              <w:kinsoku/>
              <w:wordWrap/>
              <w:overflowPunct/>
              <w:topLinePunct w:val="0"/>
              <w:bidi w:val="0"/>
              <w:spacing w:line="360" w:lineRule="auto"/>
              <w:ind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r>
      <w:tr w14:paraId="0E9F4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05F089">
            <w:pPr>
              <w:keepNext w:val="0"/>
              <w:keepLines w:val="0"/>
              <w:pageBreakBefore w:val="0"/>
              <w:widowControl/>
              <w:suppressLineNumbers w:val="0"/>
              <w:kinsoku/>
              <w:wordWrap/>
              <w:overflowPunct/>
              <w:topLinePunct w:val="0"/>
              <w:bidi w:val="0"/>
              <w:spacing w:line="360" w:lineRule="auto"/>
              <w:ind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1B04C9">
            <w:pPr>
              <w:keepNext w:val="0"/>
              <w:keepLines w:val="0"/>
              <w:pageBreakBefore w:val="0"/>
              <w:widowControl/>
              <w:suppressLineNumbers w:val="0"/>
              <w:kinsoku/>
              <w:wordWrap/>
              <w:overflowPunct/>
              <w:topLinePunct w:val="0"/>
              <w:bidi w:val="0"/>
              <w:spacing w:line="360" w:lineRule="auto"/>
              <w:ind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A4EA01">
            <w:pPr>
              <w:keepNext w:val="0"/>
              <w:keepLines w:val="0"/>
              <w:pageBreakBefore w:val="0"/>
              <w:widowControl/>
              <w:suppressLineNumbers w:val="0"/>
              <w:kinsoku/>
              <w:wordWrap/>
              <w:overflowPunct/>
              <w:topLinePunct w:val="0"/>
              <w:bidi w:val="0"/>
              <w:spacing w:line="360" w:lineRule="auto"/>
              <w:ind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8C8BFA">
            <w:pPr>
              <w:keepNext w:val="0"/>
              <w:keepLines w:val="0"/>
              <w:pageBreakBefore w:val="0"/>
              <w:widowControl/>
              <w:suppressLineNumbers w:val="0"/>
              <w:kinsoku/>
              <w:wordWrap/>
              <w:overflowPunct/>
              <w:topLinePunct w:val="0"/>
              <w:bidi w:val="0"/>
              <w:spacing w:line="360" w:lineRule="auto"/>
              <w:ind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r>
      <w:tr w14:paraId="63084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70EBE4">
            <w:pPr>
              <w:keepNext w:val="0"/>
              <w:keepLines w:val="0"/>
              <w:pageBreakBefore w:val="0"/>
              <w:widowControl/>
              <w:suppressLineNumbers w:val="0"/>
              <w:kinsoku/>
              <w:wordWrap/>
              <w:overflowPunct/>
              <w:topLinePunct w:val="0"/>
              <w:bidi w:val="0"/>
              <w:spacing w:line="360" w:lineRule="auto"/>
              <w:ind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B7AD42">
            <w:pPr>
              <w:keepNext w:val="0"/>
              <w:keepLines w:val="0"/>
              <w:pageBreakBefore w:val="0"/>
              <w:widowControl/>
              <w:suppressLineNumbers w:val="0"/>
              <w:kinsoku/>
              <w:wordWrap/>
              <w:overflowPunct/>
              <w:topLinePunct w:val="0"/>
              <w:bidi w:val="0"/>
              <w:spacing w:line="360" w:lineRule="auto"/>
              <w:ind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7AD8A2">
            <w:pPr>
              <w:keepNext w:val="0"/>
              <w:keepLines w:val="0"/>
              <w:pageBreakBefore w:val="0"/>
              <w:widowControl/>
              <w:suppressLineNumbers w:val="0"/>
              <w:kinsoku/>
              <w:wordWrap/>
              <w:overflowPunct/>
              <w:topLinePunct w:val="0"/>
              <w:bidi w:val="0"/>
              <w:spacing w:line="360" w:lineRule="auto"/>
              <w:ind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DB9556">
            <w:pPr>
              <w:keepNext w:val="0"/>
              <w:keepLines w:val="0"/>
              <w:pageBreakBefore w:val="0"/>
              <w:widowControl/>
              <w:suppressLineNumbers w:val="0"/>
              <w:kinsoku/>
              <w:wordWrap/>
              <w:overflowPunct/>
              <w:topLinePunct w:val="0"/>
              <w:bidi w:val="0"/>
              <w:spacing w:line="360" w:lineRule="auto"/>
              <w:ind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r>
      <w:tr w14:paraId="3B0F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87C47C4">
            <w:pPr>
              <w:keepNext w:val="0"/>
              <w:keepLines w:val="0"/>
              <w:pageBreakBefore w:val="0"/>
              <w:widowControl/>
              <w:suppressLineNumbers w:val="0"/>
              <w:kinsoku/>
              <w:wordWrap/>
              <w:overflowPunct/>
              <w:topLinePunct w:val="0"/>
              <w:bidi w:val="0"/>
              <w:spacing w:line="360" w:lineRule="auto"/>
              <w:ind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物业管理费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10A2FF">
            <w:pPr>
              <w:keepNext w:val="0"/>
              <w:keepLines w:val="0"/>
              <w:pageBreakBefore w:val="0"/>
              <w:widowControl/>
              <w:suppressLineNumbers w:val="0"/>
              <w:kinsoku/>
              <w:wordWrap/>
              <w:overflowPunct/>
              <w:topLinePunct w:val="0"/>
              <w:bidi w:val="0"/>
              <w:spacing w:line="360" w:lineRule="auto"/>
              <w:ind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0F7505">
            <w:pPr>
              <w:keepNext w:val="0"/>
              <w:keepLines w:val="0"/>
              <w:pageBreakBefore w:val="0"/>
              <w:widowControl/>
              <w:suppressLineNumbers w:val="0"/>
              <w:kinsoku/>
              <w:wordWrap/>
              <w:overflowPunct/>
              <w:topLinePunct w:val="0"/>
              <w:bidi w:val="0"/>
              <w:spacing w:line="360" w:lineRule="auto"/>
              <w:ind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36B3B5">
            <w:pPr>
              <w:keepNext w:val="0"/>
              <w:keepLines w:val="0"/>
              <w:pageBreakBefore w:val="0"/>
              <w:widowControl/>
              <w:suppressLineNumbers w:val="0"/>
              <w:kinsoku/>
              <w:wordWrap/>
              <w:overflowPunct/>
              <w:topLinePunct w:val="0"/>
              <w:bidi w:val="0"/>
              <w:spacing w:line="360" w:lineRule="auto"/>
              <w:ind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bl>
    <w:p w14:paraId="197B099F">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及时处置：按照《广元市昭化区预算绩效事中运行监控管理暂行办法》（昭府办函〔2022〕37号）的要求，按时完成预算绩效运行监控，将绩效监控结果应用到预算调整，合理安排</w:t>
      </w:r>
      <w:r>
        <w:rPr>
          <w:rFonts w:hint="default" w:ascii="宋体" w:hAnsi="宋体" w:eastAsia="宋体" w:cs="宋体"/>
          <w:sz w:val="28"/>
          <w:szCs w:val="28"/>
          <w:lang w:val="en-US" w:eastAsia="zh-CN"/>
        </w:rPr>
        <w:t>预算执行进度，提高资金使用绩效</w:t>
      </w:r>
      <w:r>
        <w:rPr>
          <w:rFonts w:hint="eastAsia" w:ascii="宋体" w:hAnsi="宋体" w:eastAsia="宋体" w:cs="宋体"/>
          <w:sz w:val="28"/>
          <w:szCs w:val="28"/>
          <w:lang w:val="en-US" w:eastAsia="zh-CN"/>
        </w:rPr>
        <w:t>。2022年</w:t>
      </w:r>
      <w:r>
        <w:rPr>
          <w:rFonts w:hint="eastAsia" w:ascii="宋体" w:hAnsi="宋体" w:eastAsia="宋体" w:cs="宋体"/>
          <w:sz w:val="28"/>
          <w:szCs w:val="28"/>
          <w:lang w:val="zh-CN" w:eastAsia="zh-CN"/>
        </w:rPr>
        <w:t>不涉及绩效监控调整取消额和结余注销额</w:t>
      </w:r>
    </w:p>
    <w:p w14:paraId="6C3D5E7E">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cs="宋体"/>
          <w:sz w:val="28"/>
          <w:szCs w:val="28"/>
          <w:lang w:val="zh-CN" w:eastAsia="zh-CN"/>
        </w:rPr>
      </w:pPr>
      <w:r>
        <w:rPr>
          <w:rFonts w:hint="eastAsia" w:ascii="宋体" w:hAnsi="宋体" w:eastAsia="宋体" w:cs="宋体"/>
          <w:sz w:val="28"/>
          <w:szCs w:val="28"/>
          <w:lang w:val="en-US" w:eastAsia="zh-CN"/>
        </w:rPr>
        <w:t>执行进度：人员经费支出进度</w:t>
      </w:r>
      <w:r>
        <w:rPr>
          <w:rFonts w:hint="eastAsia" w:ascii="宋体" w:hAnsi="宋体" w:eastAsia="宋体" w:cs="宋体"/>
          <w:sz w:val="28"/>
          <w:szCs w:val="28"/>
          <w:lang w:val="zh-CN" w:eastAsia="zh-CN"/>
        </w:rPr>
        <w:t>均超出了6、9、11月应达到序时进度</w:t>
      </w:r>
      <w:r>
        <w:rPr>
          <w:rFonts w:hint="eastAsia" w:ascii="宋体" w:hAnsi="宋体" w:cs="宋体"/>
          <w:sz w:val="28"/>
          <w:szCs w:val="28"/>
          <w:lang w:val="zh-CN" w:eastAsia="zh-CN"/>
        </w:rPr>
        <w:t>的80%、90%、90%，即实际支出进度分别达到40%、67.5%、82.5%的要求。</w:t>
      </w:r>
    </w:p>
    <w:p w14:paraId="1DA09A10">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预算完成情况：运转类项目12月预算执行进度达到100%。</w:t>
      </w:r>
    </w:p>
    <w:p w14:paraId="521F4BC2">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资金结余率。2022年预算项目年末无结转结余。</w:t>
      </w:r>
    </w:p>
    <w:p w14:paraId="6CA8D28F">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cs="宋体"/>
          <w:sz w:val="28"/>
          <w:szCs w:val="28"/>
          <w:lang w:val="en-US" w:eastAsia="zh-CN"/>
        </w:rPr>
      </w:pPr>
      <w:r>
        <w:rPr>
          <w:rFonts w:hint="eastAsia" w:ascii="宋体" w:hAnsi="宋体" w:eastAsia="宋体" w:cs="宋体"/>
          <w:sz w:val="28"/>
          <w:szCs w:val="28"/>
          <w:lang w:val="en-US" w:eastAsia="zh-CN"/>
        </w:rPr>
        <w:t>违规纪录：202</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年度</w:t>
      </w:r>
      <w:r>
        <w:rPr>
          <w:rFonts w:hint="eastAsia" w:ascii="宋体" w:hAnsi="宋体" w:cs="宋体"/>
          <w:sz w:val="28"/>
          <w:szCs w:val="28"/>
          <w:lang w:val="en-US" w:eastAsia="zh-CN"/>
        </w:rPr>
        <w:t>我单位</w:t>
      </w:r>
      <w:r>
        <w:rPr>
          <w:rFonts w:hint="eastAsia" w:ascii="宋体" w:hAnsi="宋体" w:eastAsia="宋体" w:cs="宋体"/>
          <w:sz w:val="28"/>
          <w:szCs w:val="28"/>
          <w:lang w:val="en-US" w:eastAsia="zh-CN"/>
        </w:rPr>
        <w:t>未收到</w:t>
      </w:r>
      <w:r>
        <w:rPr>
          <w:rFonts w:hint="eastAsia" w:ascii="宋体" w:hAnsi="宋体" w:eastAsia="宋体" w:cs="宋体"/>
          <w:sz w:val="28"/>
          <w:szCs w:val="28"/>
          <w:lang w:val="zh-CN" w:eastAsia="zh-CN"/>
        </w:rPr>
        <w:t>审计监督、财政检查反映单位部门预算管理不合规的情况</w:t>
      </w:r>
      <w:r>
        <w:rPr>
          <w:rFonts w:hint="eastAsia" w:ascii="宋体" w:hAnsi="宋体" w:cs="宋体"/>
          <w:sz w:val="28"/>
          <w:szCs w:val="28"/>
          <w:lang w:val="zh-CN" w:eastAsia="zh-CN"/>
        </w:rPr>
        <w:t>，</w:t>
      </w:r>
      <w:r>
        <w:rPr>
          <w:rFonts w:hint="eastAsia" w:ascii="宋体" w:hAnsi="宋体" w:eastAsia="宋体" w:cs="宋体"/>
          <w:sz w:val="28"/>
          <w:szCs w:val="28"/>
          <w:lang w:val="en-US" w:eastAsia="zh-CN"/>
        </w:rPr>
        <w:t>未发现部门预算管理方面违纪违规问题。</w:t>
      </w:r>
    </w:p>
    <w:p w14:paraId="447C9FAF">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ascii="宋体" w:hAnsi="宋体" w:cs="宋体"/>
          <w:sz w:val="28"/>
          <w:szCs w:val="28"/>
          <w:lang w:val="en-US" w:eastAsia="zh-CN"/>
        </w:rPr>
      </w:pPr>
      <w:r>
        <w:rPr>
          <w:rFonts w:hint="eastAsia" w:ascii="宋体" w:hAnsi="宋体" w:cs="宋体"/>
          <w:sz w:val="28"/>
          <w:szCs w:val="28"/>
          <w:lang w:val="en-US" w:eastAsia="zh-CN"/>
        </w:rPr>
        <w:t>3.特定目标类项目绩效分析</w:t>
      </w:r>
    </w:p>
    <w:p w14:paraId="074077AE">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ascii="宋体" w:hAnsi="宋体" w:cs="宋体"/>
          <w:sz w:val="28"/>
          <w:szCs w:val="28"/>
          <w:lang w:val="en-US" w:eastAsia="zh-CN"/>
        </w:rPr>
      </w:pPr>
      <w:r>
        <w:rPr>
          <w:rFonts w:hint="eastAsia" w:ascii="宋体" w:hAnsi="宋体" w:cs="宋体"/>
          <w:sz w:val="28"/>
          <w:szCs w:val="28"/>
          <w:lang w:val="en-US" w:eastAsia="zh-CN"/>
        </w:rPr>
        <w:t>目标制定：项目入库时高标准、高质量完成了</w:t>
      </w:r>
      <w:r>
        <w:rPr>
          <w:rFonts w:hint="eastAsia" w:ascii="宋体" w:hAnsi="宋体" w:cs="宋体"/>
          <w:sz w:val="28"/>
          <w:szCs w:val="28"/>
          <w:lang w:val="zh-CN" w:eastAsia="zh-CN"/>
        </w:rPr>
        <w:t>绩效目标制定</w:t>
      </w:r>
      <w:r>
        <w:rPr>
          <w:rFonts w:hint="eastAsia" w:ascii="宋体" w:hAnsi="宋体" w:cs="宋体"/>
          <w:sz w:val="28"/>
          <w:szCs w:val="28"/>
          <w:lang w:val="en-US" w:eastAsia="zh-CN"/>
        </w:rPr>
        <w:t>。做到了</w:t>
      </w:r>
      <w:r>
        <w:rPr>
          <w:rFonts w:hint="eastAsia" w:ascii="宋体" w:hAnsi="宋体" w:cs="宋体"/>
          <w:sz w:val="28"/>
          <w:szCs w:val="28"/>
          <w:lang w:val="zh-CN" w:eastAsia="zh-CN"/>
        </w:rPr>
        <w:t>绩效目标制定</w:t>
      </w:r>
      <w:r>
        <w:rPr>
          <w:rFonts w:hint="eastAsia" w:ascii="宋体" w:hAnsi="宋体" w:cs="宋体"/>
          <w:sz w:val="28"/>
          <w:szCs w:val="28"/>
          <w:lang w:val="en-US" w:eastAsia="zh-CN"/>
        </w:rPr>
        <w:t>规范、完整无漏项，项目名称、绩效指标、项目内容说明等符合规范。</w:t>
      </w:r>
      <w:r>
        <w:rPr>
          <w:rFonts w:hint="default" w:ascii="宋体" w:hAnsi="宋体" w:cs="宋体"/>
          <w:sz w:val="28"/>
          <w:szCs w:val="28"/>
          <w:lang w:val="en-US" w:eastAsia="zh-CN"/>
        </w:rPr>
        <w:t>细化量化</w:t>
      </w:r>
      <w:r>
        <w:rPr>
          <w:rFonts w:hint="eastAsia" w:ascii="宋体" w:hAnsi="宋体" w:cs="宋体"/>
          <w:sz w:val="28"/>
          <w:szCs w:val="28"/>
          <w:lang w:val="en-US" w:eastAsia="zh-CN"/>
        </w:rPr>
        <w:t>了产出</w:t>
      </w:r>
      <w:r>
        <w:rPr>
          <w:rFonts w:hint="default" w:ascii="宋体" w:hAnsi="宋体" w:cs="宋体"/>
          <w:sz w:val="28"/>
          <w:szCs w:val="28"/>
          <w:lang w:val="en-US" w:eastAsia="zh-CN"/>
        </w:rPr>
        <w:t>指标、效益指标等，反映了相应项目工作任务</w:t>
      </w:r>
      <w:r>
        <w:rPr>
          <w:rFonts w:hint="eastAsia" w:ascii="宋体" w:hAnsi="宋体" w:cs="宋体"/>
          <w:sz w:val="28"/>
          <w:szCs w:val="28"/>
          <w:lang w:val="en-US" w:eastAsia="zh-CN"/>
        </w:rPr>
        <w:t>及</w:t>
      </w:r>
      <w:r>
        <w:rPr>
          <w:rFonts w:hint="default" w:ascii="宋体" w:hAnsi="宋体" w:cs="宋体"/>
          <w:sz w:val="28"/>
          <w:szCs w:val="28"/>
          <w:lang w:val="en-US" w:eastAsia="zh-CN"/>
        </w:rPr>
        <w:t>效果</w:t>
      </w:r>
      <w:r>
        <w:rPr>
          <w:rFonts w:hint="eastAsia" w:ascii="宋体" w:hAnsi="宋体" w:cs="宋体"/>
          <w:sz w:val="28"/>
          <w:szCs w:val="28"/>
          <w:lang w:val="en-US" w:eastAsia="zh-CN"/>
        </w:rPr>
        <w:t>。绩效目标随同预算纳入部门党组（委）会（办公会）集体决策范围。</w:t>
      </w:r>
    </w:p>
    <w:p w14:paraId="06A9F0E0">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ascii="宋体" w:hAnsi="宋体" w:cs="宋体"/>
          <w:sz w:val="28"/>
          <w:szCs w:val="28"/>
          <w:lang w:val="en-US" w:eastAsia="zh-CN"/>
        </w:rPr>
      </w:pPr>
      <w:r>
        <w:rPr>
          <w:rFonts w:hint="eastAsia" w:ascii="宋体" w:hAnsi="宋体" w:eastAsia="宋体" w:cs="宋体"/>
          <w:sz w:val="28"/>
          <w:szCs w:val="28"/>
          <w:lang w:val="en-US" w:eastAsia="zh-CN"/>
        </w:rPr>
        <w:t>目标实现</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2022年项目支出</w:t>
      </w:r>
      <w:r>
        <w:rPr>
          <w:rFonts w:hint="eastAsia" w:ascii="宋体" w:hAnsi="宋体" w:cs="宋体"/>
          <w:sz w:val="28"/>
          <w:szCs w:val="28"/>
          <w:lang w:val="en-US" w:eastAsia="zh-CN"/>
        </w:rPr>
        <w:t>25588.88</w:t>
      </w:r>
      <w:r>
        <w:rPr>
          <w:rFonts w:hint="eastAsia" w:ascii="宋体" w:hAnsi="宋体" w:eastAsia="宋体" w:cs="宋体"/>
          <w:sz w:val="28"/>
          <w:szCs w:val="28"/>
          <w:lang w:val="en-US" w:eastAsia="zh-CN"/>
        </w:rPr>
        <w:t>万元，</w:t>
      </w:r>
      <w:r>
        <w:rPr>
          <w:rFonts w:hint="eastAsia" w:ascii="宋体" w:hAnsi="宋体" w:cs="宋体"/>
          <w:sz w:val="28"/>
          <w:szCs w:val="28"/>
          <w:lang w:val="en-US" w:eastAsia="zh-CN"/>
        </w:rPr>
        <w:t>绩效目标基本实现，实际实现程度与预期目标的偏离度均在30%以内。</w:t>
      </w:r>
    </w:p>
    <w:p w14:paraId="46280957">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支出控制：项目经费严格按照项目实施进度及时拨付。</w:t>
      </w:r>
    </w:p>
    <w:p w14:paraId="6E881202">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及时处置：按照《广元市昭化区预算绩效事中运行监控管理暂行办法》（昭府办函〔2022〕37号）的要求，按时完成预算绩效运行监控，将绩效监控结果应用到预算调整，合理安排</w:t>
      </w:r>
      <w:r>
        <w:rPr>
          <w:rFonts w:hint="default" w:ascii="宋体" w:hAnsi="宋体" w:eastAsia="宋体" w:cs="宋体"/>
          <w:sz w:val="28"/>
          <w:szCs w:val="28"/>
          <w:lang w:val="en-US" w:eastAsia="zh-CN"/>
        </w:rPr>
        <w:t>预算执行进度，提高资金使用绩效</w:t>
      </w:r>
      <w:r>
        <w:rPr>
          <w:rFonts w:hint="eastAsia" w:ascii="宋体" w:hAnsi="宋体" w:eastAsia="宋体" w:cs="宋体"/>
          <w:sz w:val="28"/>
          <w:szCs w:val="28"/>
          <w:lang w:val="en-US" w:eastAsia="zh-CN"/>
        </w:rPr>
        <w:t>。2022年</w:t>
      </w:r>
      <w:r>
        <w:rPr>
          <w:rFonts w:hint="eastAsia" w:ascii="宋体" w:hAnsi="宋体" w:eastAsia="宋体" w:cs="宋体"/>
          <w:sz w:val="28"/>
          <w:szCs w:val="28"/>
          <w:lang w:val="zh-CN" w:eastAsia="zh-CN"/>
        </w:rPr>
        <w:t>不涉及绩效监控调整取消额和结余注销额。</w:t>
      </w:r>
    </w:p>
    <w:p w14:paraId="1BD8607D">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cs="宋体"/>
          <w:sz w:val="28"/>
          <w:szCs w:val="28"/>
          <w:lang w:val="zh-CN" w:eastAsia="zh-CN"/>
        </w:rPr>
      </w:pPr>
      <w:r>
        <w:rPr>
          <w:rFonts w:hint="eastAsia" w:ascii="宋体" w:hAnsi="宋体" w:eastAsia="宋体" w:cs="宋体"/>
          <w:sz w:val="28"/>
          <w:szCs w:val="28"/>
          <w:lang w:val="en-US" w:eastAsia="zh-CN"/>
        </w:rPr>
        <w:t>执行进度：支出进度</w:t>
      </w:r>
      <w:r>
        <w:rPr>
          <w:rFonts w:hint="eastAsia" w:ascii="宋体" w:hAnsi="宋体" w:eastAsia="宋体" w:cs="宋体"/>
          <w:sz w:val="28"/>
          <w:szCs w:val="28"/>
          <w:lang w:val="zh-CN" w:eastAsia="zh-CN"/>
        </w:rPr>
        <w:t>均超出了6、9、11月应达到序时进度</w:t>
      </w:r>
      <w:r>
        <w:rPr>
          <w:rFonts w:hint="eastAsia" w:ascii="宋体" w:hAnsi="宋体" w:cs="宋体"/>
          <w:sz w:val="28"/>
          <w:szCs w:val="28"/>
          <w:lang w:val="zh-CN" w:eastAsia="zh-CN"/>
        </w:rPr>
        <w:t>的80%、90%、90%，即实际支出进度分别达到40%、67.5%、82.5%的要求。部门总体支出进度如下表：</w:t>
      </w:r>
    </w:p>
    <w:tbl>
      <w:tblPr>
        <w:tblStyle w:val="16"/>
        <w:tblW w:w="8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86"/>
        <w:gridCol w:w="1783"/>
        <w:gridCol w:w="1467"/>
        <w:gridCol w:w="1357"/>
        <w:gridCol w:w="1696"/>
        <w:gridCol w:w="1388"/>
      </w:tblGrid>
      <w:tr w14:paraId="6ACEE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35D33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82F9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3B570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序时基数</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0CB9C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序时进度</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452C2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实际支出</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01006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实际进度</w:t>
            </w:r>
          </w:p>
        </w:tc>
      </w:tr>
      <w:tr w14:paraId="1FBB0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FC50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6月</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8F26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26018.95</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5D08F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13009.475</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5E61B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133.54%</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1A533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17372.59</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5218C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66.77%</w:t>
            </w:r>
          </w:p>
        </w:tc>
      </w:tr>
      <w:tr w14:paraId="02C56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06FD6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9月</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1A81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26018.95</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2EA4D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19514.2125</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5899E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115.98%</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9D8C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22633</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4DEBF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86.99%</w:t>
            </w:r>
          </w:p>
        </w:tc>
      </w:tr>
      <w:tr w14:paraId="447AE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6DF33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11月</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3250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26018.95</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776C9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23850.70417</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0654F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104.25%</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4E61B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24864.72</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68AA3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95.56%</w:t>
            </w:r>
          </w:p>
        </w:tc>
      </w:tr>
    </w:tbl>
    <w:p w14:paraId="20B413EA">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除开部门预算项目之外，2022年共计实施家居产业城生态园区综合治理产业扶贫项目林木制品仓房（二期）、2022年家居产业城新增建设用地土地征收资金、2022年家居产业城新胜组团项目债劵资金、2022年家居产业城物流园债劵资金、2022年家居产业城启动大坝项目债劵资金5个项目，其中3个债券资金项目均存在不同程度的进度滞后问题。</w:t>
      </w:r>
    </w:p>
    <w:p w14:paraId="5C4301A4">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预算完成情况：运转类项目12月预算执行进度达到100%。</w:t>
      </w:r>
    </w:p>
    <w:p w14:paraId="75E0880D">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资金结余率。2022年预算项目年末无结转结余。</w:t>
      </w:r>
    </w:p>
    <w:p w14:paraId="47F6CBAF">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lang w:val="en-US" w:eastAsia="zh-CN"/>
        </w:rPr>
      </w:pPr>
      <w:r>
        <w:rPr>
          <w:rFonts w:hint="eastAsia" w:ascii="宋体" w:hAnsi="宋体" w:eastAsia="宋体" w:cs="宋体"/>
          <w:sz w:val="28"/>
          <w:szCs w:val="28"/>
          <w:lang w:val="en-US" w:eastAsia="zh-CN"/>
        </w:rPr>
        <w:t>违规纪录：202</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年度</w:t>
      </w:r>
      <w:r>
        <w:rPr>
          <w:rFonts w:hint="eastAsia" w:ascii="宋体" w:hAnsi="宋体" w:cs="宋体"/>
          <w:sz w:val="28"/>
          <w:szCs w:val="28"/>
          <w:lang w:val="en-US" w:eastAsia="zh-CN"/>
        </w:rPr>
        <w:t>我单位</w:t>
      </w:r>
      <w:r>
        <w:rPr>
          <w:rFonts w:hint="eastAsia" w:ascii="宋体" w:hAnsi="宋体" w:eastAsia="宋体" w:cs="宋体"/>
          <w:sz w:val="28"/>
          <w:szCs w:val="28"/>
          <w:lang w:val="en-US" w:eastAsia="zh-CN"/>
        </w:rPr>
        <w:t>未收到</w:t>
      </w:r>
      <w:r>
        <w:rPr>
          <w:rFonts w:hint="eastAsia" w:ascii="宋体" w:hAnsi="宋体" w:eastAsia="宋体" w:cs="宋体"/>
          <w:sz w:val="28"/>
          <w:szCs w:val="28"/>
          <w:lang w:val="zh-CN" w:eastAsia="zh-CN"/>
        </w:rPr>
        <w:t>审计监督、财政检查反映单位部门预算管理不合规的情况</w:t>
      </w:r>
      <w:r>
        <w:rPr>
          <w:rFonts w:hint="eastAsia" w:ascii="宋体" w:hAnsi="宋体" w:cs="宋体"/>
          <w:sz w:val="28"/>
          <w:szCs w:val="28"/>
          <w:lang w:val="zh-CN" w:eastAsia="zh-CN"/>
        </w:rPr>
        <w:t>，</w:t>
      </w:r>
      <w:r>
        <w:rPr>
          <w:rFonts w:hint="eastAsia" w:ascii="宋体" w:hAnsi="宋体" w:eastAsia="宋体" w:cs="宋体"/>
          <w:sz w:val="28"/>
          <w:szCs w:val="28"/>
          <w:lang w:val="en-US" w:eastAsia="zh-CN"/>
        </w:rPr>
        <w:t>未发现部门预算管理方面违纪违规问题。</w:t>
      </w:r>
    </w:p>
    <w:p w14:paraId="7C7ED89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50" w:leftChars="0" w:right="-210" w:rightChars="-100" w:firstLine="562" w:firstLineChars="200"/>
        <w:jc w:val="both"/>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部门整体履职绩效分析。</w:t>
      </w:r>
    </w:p>
    <w:p w14:paraId="23605223">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2022年我单位整体履职情况较好。2022年迎难而上、勇争一流，紧紧围绕“诗意昭化·四城新区”建设，坚持以习近平新时代中国特色社会主义思想为统领，深入学习贯彻党的二十大精神、省第十二次党代会精神，认真落实中央和省、市、区委各项决策部署，积极发扬伟大建党精神，坚持项目建设推进、企业发展服务工作双向发力，向“工业强区”目标奋勇前进，全面完成了区委、区政府下达的目标任务。</w:t>
      </w:r>
    </w:p>
    <w:p w14:paraId="70CCB897">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年初部门整体绩效目标均实现。一是全年实现工业总产值125亿元。二是全年累计完成固定资产投资9亿元；新入库项目7个，总投资25.72亿元，完成全年目标任务的128.6</w:t>
      </w:r>
      <w:r>
        <w:rPr>
          <w:rFonts w:hint="eastAsia" w:ascii="宋体" w:hAnsi="宋体" w:cs="宋体"/>
          <w:sz w:val="28"/>
          <w:szCs w:val="28"/>
          <w:lang w:val="en-US" w:eastAsia="zh-CN"/>
        </w:rPr>
        <w:t>0</w:t>
      </w:r>
      <w:r>
        <w:rPr>
          <w:rFonts w:hint="eastAsia" w:ascii="宋体" w:hAnsi="宋体" w:eastAsia="宋体" w:cs="宋体"/>
          <w:sz w:val="28"/>
          <w:szCs w:val="28"/>
          <w:lang w:val="en-US" w:eastAsia="zh-CN"/>
        </w:rPr>
        <w:t>%。三是拓展园区502亩，建设标准化厂房30000平方米完成全年目标任务。四是年实现新签约项目3个，到位资金3</w:t>
      </w:r>
      <w:r>
        <w:rPr>
          <w:rFonts w:hint="eastAsia" w:ascii="宋体" w:hAnsi="宋体" w:cs="宋体"/>
          <w:sz w:val="28"/>
          <w:szCs w:val="28"/>
          <w:lang w:val="en-US" w:eastAsia="zh-CN"/>
        </w:rPr>
        <w:t>.90</w:t>
      </w:r>
      <w:r>
        <w:rPr>
          <w:rFonts w:hint="eastAsia" w:ascii="宋体" w:hAnsi="宋体" w:eastAsia="宋体" w:cs="宋体"/>
          <w:sz w:val="28"/>
          <w:szCs w:val="28"/>
          <w:lang w:val="en-US" w:eastAsia="zh-CN"/>
        </w:rPr>
        <w:t>亿元。五是争取资金3286万元，</w:t>
      </w:r>
      <w:r>
        <w:rPr>
          <w:rFonts w:hint="eastAsia" w:ascii="宋体" w:hAnsi="宋体" w:cs="宋体"/>
          <w:sz w:val="28"/>
          <w:szCs w:val="28"/>
          <w:lang w:val="en-US" w:eastAsia="zh-CN"/>
        </w:rPr>
        <w:t>超额完成</w:t>
      </w:r>
      <w:r>
        <w:rPr>
          <w:rFonts w:hint="eastAsia" w:ascii="宋体" w:hAnsi="宋体" w:eastAsia="宋体" w:cs="宋体"/>
          <w:sz w:val="28"/>
          <w:szCs w:val="28"/>
          <w:lang w:val="en-US" w:eastAsia="zh-CN"/>
        </w:rPr>
        <w:t>年初目标任务。</w:t>
      </w:r>
    </w:p>
    <w:p w14:paraId="16C08F6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50" w:leftChars="0" w:right="-210" w:rightChars="-100" w:firstLine="562" w:firstLineChars="200"/>
        <w:jc w:val="both"/>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结果运用情况。</w:t>
      </w:r>
    </w:p>
    <w:p w14:paraId="2A1AED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280" w:firstLineChars="1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内部应用</w:t>
      </w:r>
    </w:p>
    <w:p w14:paraId="04467A45">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eastAsia="宋体" w:cs="宋体"/>
          <w:sz w:val="28"/>
          <w:szCs w:val="28"/>
          <w:lang w:val="zh-CN" w:eastAsia="zh-CN"/>
        </w:rPr>
      </w:pPr>
      <w:r>
        <w:rPr>
          <w:rFonts w:hint="eastAsia" w:ascii="宋体" w:hAnsi="宋体" w:cs="宋体"/>
          <w:sz w:val="28"/>
          <w:szCs w:val="28"/>
          <w:lang w:val="en-US" w:eastAsia="zh-CN"/>
        </w:rPr>
        <w:t>我单位在《机关效能手册》中明确</w:t>
      </w:r>
      <w:r>
        <w:rPr>
          <w:rFonts w:hint="eastAsia" w:ascii="宋体" w:hAnsi="宋体" w:eastAsia="宋体" w:cs="宋体"/>
          <w:sz w:val="28"/>
          <w:szCs w:val="28"/>
          <w:lang w:val="zh-CN" w:eastAsia="zh-CN"/>
        </w:rPr>
        <w:t>将内设机构绩效自评纳入考核体系，建立了</w:t>
      </w:r>
      <w:r>
        <w:rPr>
          <w:rFonts w:hint="eastAsia" w:ascii="宋体" w:hAnsi="宋体" w:cs="宋体"/>
          <w:sz w:val="28"/>
          <w:szCs w:val="28"/>
          <w:lang w:val="zh-CN" w:eastAsia="zh-CN"/>
        </w:rPr>
        <w:t>对内设机构</w:t>
      </w:r>
      <w:r>
        <w:rPr>
          <w:rFonts w:hint="eastAsia" w:ascii="宋体" w:hAnsi="宋体" w:eastAsia="宋体" w:cs="宋体"/>
          <w:sz w:val="28"/>
          <w:szCs w:val="28"/>
          <w:lang w:val="zh-CN" w:eastAsia="zh-CN"/>
        </w:rPr>
        <w:t>和下属单位预算与绩效挂钩机制。</w:t>
      </w:r>
    </w:p>
    <w:p w14:paraId="2DB4807F">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2.信息公开</w:t>
      </w:r>
    </w:p>
    <w:p w14:paraId="242DADA0">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按照财政部门的管理要求，</w:t>
      </w:r>
      <w:r>
        <w:rPr>
          <w:rFonts w:hint="eastAsia" w:ascii="宋体" w:hAnsi="宋体" w:cs="宋体"/>
          <w:sz w:val="28"/>
          <w:szCs w:val="28"/>
          <w:lang w:val="en-US" w:eastAsia="zh-CN"/>
        </w:rPr>
        <w:t>我单位</w:t>
      </w:r>
      <w:r>
        <w:rPr>
          <w:rFonts w:hint="eastAsia" w:ascii="宋体" w:hAnsi="宋体" w:eastAsia="宋体" w:cs="宋体"/>
          <w:sz w:val="28"/>
          <w:szCs w:val="28"/>
          <w:lang w:val="en-US" w:eastAsia="zh-CN"/>
        </w:rPr>
        <w:t>将部门整体绩效自评情况和自行组织的评价情况通过政务外网随同单位决算向社会公开。</w:t>
      </w:r>
    </w:p>
    <w:p w14:paraId="1061355B">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cs="宋体"/>
          <w:sz w:val="28"/>
          <w:szCs w:val="28"/>
          <w:lang w:val="en-US" w:eastAsia="zh-CN"/>
        </w:rPr>
        <w:t>问题</w:t>
      </w:r>
      <w:r>
        <w:rPr>
          <w:rFonts w:hint="eastAsia" w:ascii="宋体" w:hAnsi="宋体" w:eastAsia="宋体" w:cs="宋体"/>
          <w:sz w:val="28"/>
          <w:szCs w:val="28"/>
          <w:lang w:val="en-US" w:eastAsia="zh-CN"/>
        </w:rPr>
        <w:t>整改</w:t>
      </w:r>
      <w:r>
        <w:rPr>
          <w:rFonts w:hint="eastAsia" w:ascii="宋体" w:hAnsi="宋体" w:cs="宋体"/>
          <w:sz w:val="28"/>
          <w:szCs w:val="28"/>
          <w:lang w:val="en-US" w:eastAsia="zh-CN"/>
        </w:rPr>
        <w:t>和应用</w:t>
      </w:r>
      <w:r>
        <w:rPr>
          <w:rFonts w:hint="eastAsia" w:ascii="宋体" w:hAnsi="宋体" w:eastAsia="宋体" w:cs="宋体"/>
          <w:sz w:val="28"/>
          <w:szCs w:val="28"/>
          <w:lang w:val="en-US" w:eastAsia="zh-CN"/>
        </w:rPr>
        <w:t>反馈</w:t>
      </w:r>
    </w:p>
    <w:p w14:paraId="41538EAF">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eastAsia="宋体" w:cs="宋体"/>
          <w:sz w:val="28"/>
          <w:szCs w:val="28"/>
          <w:lang w:val="zh-CN" w:eastAsia="zh-CN"/>
        </w:rPr>
      </w:pPr>
      <w:r>
        <w:rPr>
          <w:rFonts w:hint="eastAsia" w:ascii="宋体" w:hAnsi="宋体" w:cs="宋体"/>
          <w:sz w:val="28"/>
          <w:szCs w:val="28"/>
          <w:lang w:val="en-US" w:eastAsia="zh-CN"/>
        </w:rPr>
        <w:t>2022年重点绩效评价中，</w:t>
      </w:r>
      <w:r>
        <w:rPr>
          <w:rFonts w:hint="eastAsia" w:ascii="宋体" w:hAnsi="宋体" w:cs="宋体"/>
          <w:color w:val="auto"/>
          <w:sz w:val="28"/>
          <w:szCs w:val="28"/>
          <w:lang w:val="en-US" w:eastAsia="zh-CN"/>
        </w:rPr>
        <w:t>区财政局</w:t>
      </w:r>
      <w:r>
        <w:rPr>
          <w:rFonts w:hint="eastAsia" w:ascii="宋体" w:hAnsi="宋体" w:cs="宋体"/>
          <w:sz w:val="28"/>
          <w:szCs w:val="28"/>
          <w:lang w:val="en-US" w:eastAsia="zh-CN"/>
        </w:rPr>
        <w:t>对我单位2021年部门整体支出和家居产业城生态园区综合治理产业扶贫项目林木制品仓房（一期）等进行抽查复评，我单位就存在的问题进行整改落实，并向区财政局报送《关于2021年部门整体支出绩效抽查问题的整改报告》、《关于2022年绩效自评重点抽查问题的整改报告》</w:t>
      </w:r>
      <w:r>
        <w:rPr>
          <w:rFonts w:hint="eastAsia" w:ascii="宋体" w:hAnsi="宋体" w:eastAsia="宋体" w:cs="宋体"/>
          <w:sz w:val="28"/>
          <w:szCs w:val="28"/>
          <w:lang w:val="zh-CN" w:eastAsia="zh-CN"/>
        </w:rPr>
        <w:t>。</w:t>
      </w:r>
    </w:p>
    <w:p w14:paraId="2AE9B5E4">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2" w:firstLineChars="200"/>
        <w:jc w:val="both"/>
        <w:textAlignment w:val="auto"/>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（四）</w:t>
      </w:r>
      <w:r>
        <w:rPr>
          <w:rFonts w:hint="eastAsia" w:ascii="宋体" w:hAnsi="宋体" w:eastAsia="宋体" w:cs="宋体"/>
          <w:b/>
          <w:bCs/>
          <w:sz w:val="28"/>
          <w:szCs w:val="28"/>
          <w:lang w:val="en-US" w:eastAsia="zh-CN"/>
        </w:rPr>
        <w:t>自评质量</w:t>
      </w:r>
      <w:r>
        <w:rPr>
          <w:rFonts w:hint="eastAsia" w:ascii="宋体" w:hAnsi="宋体" w:cs="宋体"/>
          <w:b/>
          <w:bCs/>
          <w:sz w:val="28"/>
          <w:szCs w:val="28"/>
          <w:lang w:val="en-US" w:eastAsia="zh-CN"/>
        </w:rPr>
        <w:t>。</w:t>
      </w:r>
    </w:p>
    <w:p w14:paraId="7C5579EF">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我单位自评得分95.60分，在目标实现、支出控制、专项预算项目方面有不同程度扣分，自评结果较为真实准确的反映了我单位2022年部门整体支出绩效情况，自评工作总体质量较好。</w:t>
      </w:r>
    </w:p>
    <w:p w14:paraId="4319F578">
      <w:pPr>
        <w:pStyle w:val="4"/>
        <w:numPr>
          <w:ilvl w:val="0"/>
          <w:numId w:val="0"/>
        </w:numPr>
        <w:ind w:leftChars="0"/>
        <w:rPr>
          <w:rStyle w:val="31"/>
          <w:rFonts w:hint="eastAsia" w:ascii="黑体" w:hAnsi="黑体" w:eastAsia="黑体"/>
          <w:b w:val="0"/>
          <w:bCs w:val="0"/>
          <w:color w:val="000000" w:themeColor="text1"/>
          <w:lang w:eastAsia="zh-CN"/>
        </w:rPr>
      </w:pPr>
      <w:bookmarkStart w:id="93" w:name="_Toc10818"/>
      <w:r>
        <w:rPr>
          <w:rStyle w:val="31"/>
          <w:rFonts w:hint="eastAsia" w:ascii="黑体" w:hAnsi="黑体" w:eastAsia="黑体"/>
          <w:b w:val="0"/>
          <w:bCs w:val="0"/>
          <w:color w:val="000000" w:themeColor="text1"/>
          <w:lang w:eastAsia="zh-CN"/>
        </w:rPr>
        <w:t>四、评价结论及建议</w:t>
      </w:r>
      <w:bookmarkEnd w:id="93"/>
    </w:p>
    <w:p w14:paraId="48F8C04E">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2" w:firstLineChars="200"/>
        <w:jc w:val="both"/>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（一）评价结论</w:t>
      </w:r>
      <w:r>
        <w:rPr>
          <w:rFonts w:hint="eastAsia" w:ascii="宋体" w:hAnsi="宋体" w:cs="宋体"/>
          <w:b/>
          <w:bCs/>
          <w:sz w:val="28"/>
          <w:szCs w:val="28"/>
          <w:lang w:val="zh-CN" w:eastAsia="zh-CN"/>
        </w:rPr>
        <w:t>。</w:t>
      </w:r>
    </w:p>
    <w:p w14:paraId="18FB3E1B">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zh-CN" w:eastAsia="zh-CN"/>
        </w:rPr>
        <w:t>202</w:t>
      </w:r>
      <w:r>
        <w:rPr>
          <w:rFonts w:hint="eastAsia" w:ascii="宋体" w:hAnsi="宋体" w:cs="宋体"/>
          <w:sz w:val="28"/>
          <w:szCs w:val="28"/>
          <w:lang w:val="en-US" w:eastAsia="zh-CN"/>
        </w:rPr>
        <w:t>2</w:t>
      </w:r>
      <w:r>
        <w:rPr>
          <w:rFonts w:hint="eastAsia" w:ascii="宋体" w:hAnsi="宋体" w:cs="宋体"/>
          <w:sz w:val="28"/>
          <w:szCs w:val="28"/>
          <w:lang w:val="zh-CN" w:eastAsia="zh-CN"/>
        </w:rPr>
        <w:t>年我单位整体支出效果良好。</w:t>
      </w:r>
      <w:r>
        <w:rPr>
          <w:rFonts w:hint="eastAsia" w:ascii="宋体" w:hAnsi="宋体" w:cs="宋体"/>
          <w:sz w:val="28"/>
          <w:szCs w:val="28"/>
          <w:lang w:val="en-US" w:eastAsia="zh-CN"/>
        </w:rPr>
        <w:t>2022年绩效目标设置明确、预算编制较准确、项目预算执行较好</w:t>
      </w:r>
      <w:r>
        <w:rPr>
          <w:rFonts w:hint="eastAsia" w:ascii="宋体" w:hAnsi="宋体" w:cs="宋体"/>
          <w:sz w:val="28"/>
          <w:szCs w:val="28"/>
          <w:lang w:val="zh-CN" w:eastAsia="zh-CN"/>
        </w:rPr>
        <w:t>，基本按照计划完成年度工作任务，实现了年度绩效目标，目标设置明确、预算编制较准确。预算执行过程中开展绩效监控，年终开展了绩效自评。预算绩效管理工作取得了明显成效。</w:t>
      </w:r>
    </w:p>
    <w:p w14:paraId="134B842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210" w:leftChars="-100" w:right="-210" w:rightChars="-100" w:firstLine="562" w:firstLineChars="200"/>
        <w:jc w:val="both"/>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存在问题</w:t>
      </w:r>
      <w:r>
        <w:rPr>
          <w:rFonts w:hint="eastAsia" w:ascii="宋体" w:hAnsi="宋体" w:cs="宋体"/>
          <w:b/>
          <w:bCs/>
          <w:sz w:val="28"/>
          <w:szCs w:val="28"/>
          <w:lang w:val="zh-CN" w:eastAsia="zh-CN"/>
        </w:rPr>
        <w:t>。</w:t>
      </w:r>
    </w:p>
    <w:p w14:paraId="778CED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1、支出控制有待加强。单位年初办公费、印刷费、水电费等预算与决算偏差较大。</w:t>
      </w:r>
      <w:r>
        <w:rPr>
          <w:rFonts w:hint="eastAsia" w:ascii="宋体" w:hAnsi="宋体" w:cs="宋体"/>
          <w:sz w:val="28"/>
          <w:szCs w:val="28"/>
          <w:lang w:val="zh-CN" w:eastAsia="zh-CN"/>
        </w:rPr>
        <w:t>原因一是</w:t>
      </w:r>
      <w:bookmarkStart w:id="124" w:name="_GoBack"/>
      <w:bookmarkEnd w:id="124"/>
      <w:r>
        <w:rPr>
          <w:rFonts w:hint="eastAsia" w:ascii="宋体" w:hAnsi="宋体" w:cs="宋体"/>
          <w:sz w:val="28"/>
          <w:szCs w:val="28"/>
          <w:lang w:val="zh-CN" w:eastAsia="zh-CN"/>
        </w:rPr>
        <w:t>年中新增项目，预算编制时对办公费、印刷费预估不足，二是水电费结算不及时。</w:t>
      </w:r>
    </w:p>
    <w:p w14:paraId="2290C7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default" w:ascii="宋体" w:hAnsi="宋体" w:cs="宋体"/>
          <w:sz w:val="28"/>
          <w:szCs w:val="28"/>
          <w:lang w:val="en-US" w:eastAsia="zh-CN"/>
        </w:rPr>
      </w:pPr>
      <w:r>
        <w:rPr>
          <w:rFonts w:hint="eastAsia" w:ascii="宋体" w:hAnsi="宋体" w:cs="宋体"/>
          <w:sz w:val="28"/>
          <w:szCs w:val="28"/>
          <w:lang w:val="en-US" w:eastAsia="zh-CN"/>
        </w:rPr>
        <w:t>2、项目进度管理待加强。我单位2022年3个债券资金项目因疫情反复等原因，实际进度未达到计划进度。</w:t>
      </w:r>
    </w:p>
    <w:p w14:paraId="04489C5D">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2" w:firstLineChars="200"/>
        <w:jc w:val="both"/>
        <w:textAlignment w:val="auto"/>
        <w:rPr>
          <w:rFonts w:hint="eastAsia" w:ascii="宋体" w:hAnsi="宋体" w:eastAsia="宋体" w:cs="宋体"/>
          <w:b/>
          <w:bCs/>
          <w:sz w:val="28"/>
          <w:szCs w:val="28"/>
          <w:lang w:eastAsia="zh-CN"/>
        </w:rPr>
      </w:pPr>
      <w:bookmarkStart w:id="94" w:name="bookmark28"/>
      <w:r>
        <w:rPr>
          <w:rFonts w:hint="eastAsia" w:ascii="宋体" w:hAnsi="宋体" w:eastAsia="宋体" w:cs="宋体"/>
          <w:b/>
          <w:bCs/>
          <w:sz w:val="28"/>
          <w:szCs w:val="28"/>
        </w:rPr>
        <w:t>（</w:t>
      </w:r>
      <w:bookmarkEnd w:id="94"/>
      <w:r>
        <w:rPr>
          <w:rFonts w:hint="eastAsia" w:ascii="宋体" w:hAnsi="宋体" w:eastAsia="宋体" w:cs="宋体"/>
          <w:b/>
          <w:bCs/>
          <w:sz w:val="28"/>
          <w:szCs w:val="28"/>
        </w:rPr>
        <w:t>三）改进建议</w:t>
      </w:r>
      <w:r>
        <w:rPr>
          <w:rFonts w:hint="eastAsia" w:ascii="宋体" w:hAnsi="宋体" w:cs="宋体"/>
          <w:b/>
          <w:bCs/>
          <w:sz w:val="28"/>
          <w:szCs w:val="28"/>
          <w:lang w:eastAsia="zh-CN"/>
        </w:rPr>
        <w:t>。</w:t>
      </w:r>
    </w:p>
    <w:p w14:paraId="0A5F868D">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1、我单位今后编制预算时对于公用经费不仅要参照历史水平，更要结合工作和项目计划，细化量化测算内容，进一步提高预算的准确性和计划性，降低经费预决算偏差，同时督促经办人员按时结算水电费用。</w:t>
      </w:r>
    </w:p>
    <w:p w14:paraId="1AC8175E">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2、督促</w:t>
      </w:r>
      <w:r>
        <w:rPr>
          <w:rFonts w:hint="eastAsia" w:ascii="宋体" w:hAnsi="宋体" w:eastAsia="宋体" w:cs="宋体"/>
          <w:sz w:val="28"/>
          <w:szCs w:val="28"/>
          <w:lang w:val="zh-CN" w:eastAsia="zh-CN"/>
        </w:rPr>
        <w:t>四川昭旺家居产业投资有限责任公司</w:t>
      </w:r>
      <w:r>
        <w:rPr>
          <w:rFonts w:hint="eastAsia" w:ascii="宋体" w:hAnsi="宋体" w:cs="宋体"/>
          <w:sz w:val="28"/>
          <w:szCs w:val="28"/>
          <w:lang w:val="en-US" w:eastAsia="zh-CN"/>
        </w:rPr>
        <w:t>在项目后期建设中科学安排工期，加快项目实施进度，争取按照原定计划时间完成项目建设，并及时将厂房等基础设施投入使用，及早发挥项目效益。</w:t>
      </w:r>
    </w:p>
    <w:p w14:paraId="2678AFFB">
      <w:pPr>
        <w:pStyle w:val="2"/>
        <w:rPr>
          <w:rFonts w:hint="eastAsia" w:ascii="宋体" w:hAnsi="宋体" w:cs="宋体"/>
          <w:sz w:val="28"/>
          <w:szCs w:val="28"/>
          <w:lang w:val="en-US" w:eastAsia="zh-CN"/>
        </w:rPr>
      </w:pPr>
    </w:p>
    <w:p w14:paraId="04CDBB2B">
      <w:pPr>
        <w:rPr>
          <w:rFonts w:hint="eastAsia" w:ascii="宋体" w:hAnsi="宋体" w:cs="宋体"/>
          <w:sz w:val="28"/>
          <w:szCs w:val="28"/>
          <w:lang w:val="en-US" w:eastAsia="zh-CN"/>
        </w:rPr>
      </w:pPr>
    </w:p>
    <w:p w14:paraId="34124657">
      <w:pPr>
        <w:pStyle w:val="2"/>
        <w:rPr>
          <w:rFonts w:hint="eastAsia" w:ascii="宋体" w:hAnsi="宋体" w:cs="宋体"/>
          <w:sz w:val="28"/>
          <w:szCs w:val="28"/>
          <w:lang w:val="en-US" w:eastAsia="zh-CN"/>
        </w:rPr>
      </w:pPr>
    </w:p>
    <w:p w14:paraId="28ACA484">
      <w:pPr>
        <w:rPr>
          <w:rFonts w:hint="eastAsia" w:ascii="宋体" w:hAnsi="宋体" w:cs="宋体"/>
          <w:sz w:val="28"/>
          <w:szCs w:val="28"/>
          <w:lang w:val="en-US" w:eastAsia="zh-CN"/>
        </w:rPr>
      </w:pPr>
    </w:p>
    <w:p w14:paraId="2CE27CD2">
      <w:pPr>
        <w:pStyle w:val="2"/>
        <w:rPr>
          <w:rFonts w:hint="eastAsia" w:ascii="宋体" w:hAnsi="宋体" w:cs="宋体"/>
          <w:sz w:val="28"/>
          <w:szCs w:val="28"/>
          <w:lang w:val="en-US" w:eastAsia="zh-CN"/>
        </w:rPr>
      </w:pPr>
    </w:p>
    <w:p w14:paraId="4751947C">
      <w:pPr>
        <w:rPr>
          <w:rFonts w:hint="eastAsia" w:ascii="宋体" w:hAnsi="宋体" w:cs="宋体"/>
          <w:sz w:val="28"/>
          <w:szCs w:val="28"/>
          <w:lang w:val="en-US" w:eastAsia="zh-CN"/>
        </w:rPr>
      </w:pPr>
    </w:p>
    <w:p w14:paraId="0DE4321D">
      <w:pPr>
        <w:pStyle w:val="2"/>
        <w:rPr>
          <w:rFonts w:hint="eastAsia" w:ascii="宋体" w:hAnsi="宋体" w:cs="宋体"/>
          <w:sz w:val="28"/>
          <w:szCs w:val="28"/>
          <w:lang w:val="en-US" w:eastAsia="zh-CN"/>
        </w:rPr>
      </w:pPr>
    </w:p>
    <w:p w14:paraId="400A7D73">
      <w:pPr>
        <w:rPr>
          <w:rFonts w:hint="eastAsia" w:ascii="宋体" w:hAnsi="宋体" w:cs="宋体"/>
          <w:sz w:val="28"/>
          <w:szCs w:val="28"/>
          <w:lang w:val="en-US" w:eastAsia="zh-CN"/>
        </w:rPr>
      </w:pPr>
    </w:p>
    <w:p w14:paraId="409AA655">
      <w:pPr>
        <w:pStyle w:val="2"/>
        <w:rPr>
          <w:rFonts w:hint="eastAsia" w:ascii="宋体" w:hAnsi="宋体" w:cs="宋体"/>
          <w:sz w:val="28"/>
          <w:szCs w:val="28"/>
          <w:lang w:val="en-US" w:eastAsia="zh-CN"/>
        </w:rPr>
      </w:pPr>
    </w:p>
    <w:p w14:paraId="2DF3675E">
      <w:pPr>
        <w:rPr>
          <w:rFonts w:hint="eastAsia" w:ascii="宋体" w:hAnsi="宋体" w:cs="宋体"/>
          <w:sz w:val="28"/>
          <w:szCs w:val="28"/>
          <w:lang w:val="en-US" w:eastAsia="zh-CN"/>
        </w:rPr>
      </w:pPr>
    </w:p>
    <w:p w14:paraId="755D0E46">
      <w:pPr>
        <w:pStyle w:val="2"/>
        <w:rPr>
          <w:rFonts w:hint="eastAsia"/>
          <w:lang w:val="en-US" w:eastAsia="zh-CN"/>
        </w:rPr>
      </w:pPr>
    </w:p>
    <w:p w14:paraId="24487821">
      <w:pPr>
        <w:pStyle w:val="2"/>
        <w:rPr>
          <w:rFonts w:hint="eastAsia"/>
          <w:lang w:val="en-US" w:eastAsia="zh-CN"/>
        </w:rPr>
      </w:pPr>
    </w:p>
    <w:p w14:paraId="00016812">
      <w:pPr>
        <w:keepNext w:val="0"/>
        <w:keepLines w:val="0"/>
        <w:pageBreakBefore w:val="0"/>
        <w:widowControl w:val="0"/>
        <w:kinsoku/>
        <w:wordWrap/>
        <w:overflowPunct/>
        <w:topLinePunct w:val="0"/>
        <w:autoSpaceDE/>
        <w:autoSpaceDN/>
        <w:bidi w:val="0"/>
        <w:adjustRightInd/>
        <w:snapToGrid/>
        <w:spacing w:line="360" w:lineRule="auto"/>
        <w:ind w:right="-210" w:rightChars="-1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附表：</w:t>
      </w:r>
    </w:p>
    <w:tbl>
      <w:tblPr>
        <w:tblStyle w:val="16"/>
        <w:tblW w:w="91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660"/>
        <w:gridCol w:w="1080"/>
        <w:gridCol w:w="1080"/>
        <w:gridCol w:w="2115"/>
        <w:gridCol w:w="1050"/>
        <w:gridCol w:w="1140"/>
        <w:gridCol w:w="1311"/>
      </w:tblGrid>
      <w:tr w14:paraId="7ED12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26" w:type="dxa"/>
            <w:gridSpan w:val="8"/>
            <w:tcBorders>
              <w:top w:val="nil"/>
              <w:left w:val="nil"/>
              <w:bottom w:val="nil"/>
              <w:right w:val="nil"/>
            </w:tcBorders>
            <w:shd w:val="clear" w:color="auto" w:fill="auto"/>
            <w:noWrap/>
            <w:vAlign w:val="center"/>
          </w:tcPr>
          <w:p w14:paraId="1C3FC57B">
            <w:pPr>
              <w:keepNext w:val="0"/>
              <w:keepLines w:val="0"/>
              <w:widowControl/>
              <w:suppressLineNumbers w:val="0"/>
              <w:jc w:val="center"/>
              <w:textAlignment w:val="center"/>
              <w:rPr>
                <w:rFonts w:hint="eastAsia" w:ascii="宋体" w:hAnsi="宋体" w:eastAsia="宋体" w:cs="宋体"/>
                <w:i w:val="0"/>
                <w:iCs w:val="0"/>
                <w:color w:val="000000"/>
                <w:sz w:val="38"/>
                <w:szCs w:val="38"/>
                <w:u w:val="none"/>
              </w:rPr>
            </w:pPr>
            <w:r>
              <w:rPr>
                <w:rFonts w:hint="eastAsia" w:ascii="宋体" w:hAnsi="宋体" w:eastAsia="宋体" w:cs="宋体"/>
                <w:i w:val="0"/>
                <w:iCs w:val="0"/>
                <w:color w:val="000000"/>
                <w:kern w:val="0"/>
                <w:sz w:val="38"/>
                <w:szCs w:val="38"/>
                <w:u w:val="none"/>
                <w:lang w:val="en-US" w:eastAsia="zh-CN" w:bidi="ar"/>
              </w:rPr>
              <w:t>广元市昭化区部门整体支出绩效目标自评表</w:t>
            </w:r>
          </w:p>
        </w:tc>
      </w:tr>
      <w:tr w14:paraId="4F26A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126" w:type="dxa"/>
            <w:gridSpan w:val="8"/>
            <w:tcBorders>
              <w:top w:val="nil"/>
              <w:left w:val="nil"/>
              <w:bottom w:val="nil"/>
              <w:right w:val="nil"/>
            </w:tcBorders>
            <w:shd w:val="clear" w:color="auto" w:fill="auto"/>
            <w:noWrap/>
            <w:vAlign w:val="center"/>
          </w:tcPr>
          <w:p w14:paraId="66AF0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 年度）</w:t>
            </w:r>
          </w:p>
        </w:tc>
      </w:tr>
      <w:tr w14:paraId="7E28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20D9E2E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275"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62D3CFF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四川广元昭化经济开发区管理委员会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9289D4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1438F22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四川广元昭化经济开发区管理委员会</w:t>
            </w:r>
          </w:p>
        </w:tc>
      </w:tr>
      <w:tr w14:paraId="52E38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5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B9E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整体资金 （万元）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78607556">
            <w:pPr>
              <w:jc w:val="left"/>
              <w:rPr>
                <w:rFonts w:hint="eastAsia" w:ascii="宋体" w:hAnsi="宋体" w:eastAsia="宋体" w:cs="宋体"/>
                <w:i w:val="0"/>
                <w:iCs w:val="0"/>
                <w:color w:val="000000"/>
                <w:sz w:val="18"/>
                <w:szCs w:val="18"/>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331915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52B4DB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2ED223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27EF4D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5EFA6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5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EE7A66">
            <w:pPr>
              <w:jc w:val="center"/>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28678D7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497904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20EEF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26018.95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0286D4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26018.95</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38DC7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67A7D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5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115B45">
            <w:pPr>
              <w:jc w:val="center"/>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6550938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（-）财政拨款小计</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C9FAB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7776BE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26018.95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430B39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26018.95</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ABF7F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35160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5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CEFDF5">
            <w:pPr>
              <w:jc w:val="center"/>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1554DB9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一般公共预算</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6BC10D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B3179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2646.95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29FAA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2646.95</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0DF79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6C35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5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140AA8">
            <w:pPr>
              <w:jc w:val="center"/>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79BBA57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2.政府性基金</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A3D0F9">
            <w:pPr>
              <w:jc w:val="lef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139FD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23372</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0C503B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23372</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D3CCF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119D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5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8A0FD7">
            <w:pPr>
              <w:jc w:val="center"/>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8E1B2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3.国有资本经营预算</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487F0E">
            <w:pPr>
              <w:jc w:val="lef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FB786B">
            <w:pPr>
              <w:jc w:val="lef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86AB8F">
            <w:pPr>
              <w:jc w:val="left"/>
              <w:rPr>
                <w:rFonts w:hint="eastAsia" w:ascii="宋体" w:hAnsi="宋体" w:eastAsia="宋体" w:cs="宋体"/>
                <w:i w:val="0"/>
                <w:iCs w:val="0"/>
                <w:color w:val="000000"/>
                <w:sz w:val="18"/>
                <w:szCs w:val="18"/>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top"/>
          </w:tcPr>
          <w:p w14:paraId="5414296C">
            <w:pPr>
              <w:jc w:val="left"/>
              <w:rPr>
                <w:rFonts w:hint="eastAsia" w:ascii="宋体" w:hAnsi="宋体" w:eastAsia="宋体" w:cs="宋体"/>
                <w:i w:val="0"/>
                <w:iCs w:val="0"/>
                <w:color w:val="000000"/>
                <w:sz w:val="18"/>
                <w:szCs w:val="18"/>
                <w:u w:val="none"/>
              </w:rPr>
            </w:pPr>
          </w:p>
        </w:tc>
      </w:tr>
      <w:tr w14:paraId="21466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5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DFEBB6">
            <w:pPr>
              <w:jc w:val="center"/>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0A4F5A6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4.社保基金</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3832A9">
            <w:pPr>
              <w:jc w:val="lef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40DD14">
            <w:pPr>
              <w:jc w:val="lef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2214C6">
            <w:pPr>
              <w:jc w:val="left"/>
              <w:rPr>
                <w:rFonts w:hint="eastAsia" w:ascii="宋体" w:hAnsi="宋体" w:eastAsia="宋体" w:cs="宋体"/>
                <w:i w:val="0"/>
                <w:iCs w:val="0"/>
                <w:color w:val="000000"/>
                <w:sz w:val="18"/>
                <w:szCs w:val="18"/>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0182D3">
            <w:pPr>
              <w:jc w:val="left"/>
              <w:rPr>
                <w:rFonts w:hint="eastAsia" w:ascii="宋体" w:hAnsi="宋体" w:eastAsia="宋体" w:cs="宋体"/>
                <w:i w:val="0"/>
                <w:iCs w:val="0"/>
                <w:color w:val="000000"/>
                <w:sz w:val="18"/>
                <w:szCs w:val="18"/>
                <w:u w:val="none"/>
              </w:rPr>
            </w:pPr>
          </w:p>
        </w:tc>
      </w:tr>
      <w:tr w14:paraId="6271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5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7CDECE">
            <w:pPr>
              <w:jc w:val="center"/>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34E6C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1A4A3BB">
            <w:pPr>
              <w:jc w:val="lef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B061C4E">
            <w:pPr>
              <w:jc w:val="lef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078F246">
            <w:pPr>
              <w:jc w:val="left"/>
              <w:rPr>
                <w:rFonts w:hint="eastAsia" w:ascii="宋体" w:hAnsi="宋体" w:eastAsia="宋体" w:cs="宋体"/>
                <w:i w:val="0"/>
                <w:iCs w:val="0"/>
                <w:color w:val="000000"/>
                <w:sz w:val="18"/>
                <w:szCs w:val="18"/>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top"/>
          </w:tcPr>
          <w:p w14:paraId="6F15C13C">
            <w:pPr>
              <w:jc w:val="left"/>
              <w:rPr>
                <w:rFonts w:hint="eastAsia" w:ascii="宋体" w:hAnsi="宋体" w:eastAsia="宋体" w:cs="宋体"/>
                <w:i w:val="0"/>
                <w:iCs w:val="0"/>
                <w:color w:val="000000"/>
                <w:sz w:val="18"/>
                <w:szCs w:val="18"/>
                <w:u w:val="none"/>
              </w:rPr>
            </w:pPr>
          </w:p>
        </w:tc>
      </w:tr>
      <w:tr w14:paraId="40DA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bottom"/>
          </w:tcPr>
          <w:p w14:paraId="351EB39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整体目标</w:t>
            </w:r>
          </w:p>
        </w:tc>
        <w:tc>
          <w:tcPr>
            <w:tcW w:w="598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E8BF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8DA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完成情况</w:t>
            </w:r>
          </w:p>
        </w:tc>
      </w:tr>
      <w:tr w14:paraId="0EA73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bottom"/>
          </w:tcPr>
          <w:p w14:paraId="6AC516A2">
            <w:pPr>
              <w:jc w:val="center"/>
              <w:rPr>
                <w:rFonts w:hint="eastAsia" w:ascii="宋体" w:hAnsi="宋体" w:eastAsia="宋体" w:cs="宋体"/>
                <w:i w:val="0"/>
                <w:iCs w:val="0"/>
                <w:color w:val="000000"/>
                <w:sz w:val="18"/>
                <w:szCs w:val="18"/>
                <w:u w:val="none"/>
              </w:rPr>
            </w:pPr>
          </w:p>
        </w:tc>
        <w:tc>
          <w:tcPr>
            <w:tcW w:w="5985" w:type="dxa"/>
            <w:gridSpan w:val="5"/>
            <w:tcBorders>
              <w:top w:val="single" w:color="000000" w:sz="4" w:space="0"/>
              <w:left w:val="single" w:color="000000" w:sz="4" w:space="0"/>
              <w:bottom w:val="single" w:color="000000" w:sz="4" w:space="0"/>
              <w:right w:val="single" w:color="000000" w:sz="4" w:space="0"/>
            </w:tcBorders>
            <w:shd w:val="clear" w:color="auto" w:fill="FFFFFF"/>
            <w:vAlign w:val="top"/>
          </w:tcPr>
          <w:p w14:paraId="58237FF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兑付在编人员经费，及时保障日常工作正常运转；保障园区基础设施建设、政务管理等职能职责有序开展；开展入园项目审核、建设项目推进和协调服务；做好园区企业运行保障，做好园区基础设施建设管理，在建项目的安全监督管理；完成2022年区委区政府下达的园区宣传及招商引资签约企业3个，签约落地资金30000万元以上，向上争取资金1300万的目标任务。</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0A2F360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兑付18个在编人员经费，及保障日常正常运转；保障园区基础设施建设、政务管理等职能职责有序开展；开展入园项目审核、建设项目推进和协调服务；做好园区企业运行保障，做好园区基础设施建设管理，在建项目的安全监督管理；完成2022年区委区政府下达的园区宣传及招商引资签约企业3个，签约落地资金39000万元，向上争取资金3286万元等目标任务</w:t>
            </w:r>
          </w:p>
        </w:tc>
      </w:tr>
      <w:tr w14:paraId="0B01E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F259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部门整体绩效指标</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35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A4A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06D8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07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11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02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 改进措施</w:t>
            </w:r>
          </w:p>
        </w:tc>
      </w:tr>
      <w:tr w14:paraId="2A34C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F59DCF">
            <w:pPr>
              <w:jc w:val="right"/>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D77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E9D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ADA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每月向上级对接争取资金次数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9D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D3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DB945E">
            <w:pPr>
              <w:jc w:val="left"/>
              <w:rPr>
                <w:rFonts w:hint="eastAsia" w:ascii="宋体" w:hAnsi="宋体" w:eastAsia="宋体" w:cs="宋体"/>
                <w:i w:val="0"/>
                <w:iCs w:val="0"/>
                <w:color w:val="000000"/>
                <w:sz w:val="18"/>
                <w:szCs w:val="18"/>
                <w:u w:val="none"/>
              </w:rPr>
            </w:pPr>
          </w:p>
        </w:tc>
      </w:tr>
      <w:tr w14:paraId="6C13A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6C02F5">
            <w:pPr>
              <w:jc w:val="right"/>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DF2A4A">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EC48C1">
            <w:pPr>
              <w:jc w:val="center"/>
              <w:rPr>
                <w:rFonts w:hint="eastAsia" w:ascii="宋体" w:hAnsi="宋体" w:eastAsia="宋体" w:cs="宋体"/>
                <w:i w:val="0"/>
                <w:iCs w:val="0"/>
                <w:color w:val="000000"/>
                <w:sz w:val="18"/>
                <w:szCs w:val="18"/>
                <w:u w:val="none"/>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FAD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每周入企业次数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0D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B4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3F3688">
            <w:pPr>
              <w:jc w:val="left"/>
              <w:rPr>
                <w:rFonts w:hint="eastAsia" w:ascii="宋体" w:hAnsi="宋体" w:eastAsia="宋体" w:cs="宋体"/>
                <w:i w:val="0"/>
                <w:iCs w:val="0"/>
                <w:color w:val="000000"/>
                <w:sz w:val="18"/>
                <w:szCs w:val="18"/>
                <w:u w:val="none"/>
              </w:rPr>
            </w:pPr>
          </w:p>
        </w:tc>
      </w:tr>
      <w:tr w14:paraId="250EC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021D63">
            <w:pPr>
              <w:jc w:val="right"/>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B8ED48">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CB4912">
            <w:pPr>
              <w:jc w:val="center"/>
              <w:rPr>
                <w:rFonts w:hint="eastAsia" w:ascii="宋体" w:hAnsi="宋体" w:eastAsia="宋体" w:cs="宋体"/>
                <w:i w:val="0"/>
                <w:iCs w:val="0"/>
                <w:color w:val="000000"/>
                <w:sz w:val="18"/>
                <w:szCs w:val="18"/>
                <w:u w:val="none"/>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53B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签约落地资金额度</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0D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A6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39000万元</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top"/>
          </w:tcPr>
          <w:p w14:paraId="3F24DB09">
            <w:pPr>
              <w:jc w:val="left"/>
              <w:rPr>
                <w:rFonts w:hint="eastAsia" w:ascii="宋体" w:hAnsi="宋体" w:eastAsia="宋体" w:cs="宋体"/>
                <w:i w:val="0"/>
                <w:iCs w:val="0"/>
                <w:color w:val="000000"/>
                <w:sz w:val="18"/>
                <w:szCs w:val="18"/>
                <w:u w:val="none"/>
              </w:rPr>
            </w:pPr>
          </w:p>
        </w:tc>
      </w:tr>
      <w:tr w14:paraId="12151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484B34">
            <w:pPr>
              <w:jc w:val="right"/>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F88BA8">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B4D5B7">
            <w:pPr>
              <w:jc w:val="center"/>
              <w:rPr>
                <w:rFonts w:hint="eastAsia" w:ascii="宋体" w:hAnsi="宋体" w:eastAsia="宋体" w:cs="宋体"/>
                <w:i w:val="0"/>
                <w:iCs w:val="0"/>
                <w:color w:val="000000"/>
                <w:sz w:val="18"/>
                <w:szCs w:val="18"/>
                <w:u w:val="none"/>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FFF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招商签约企业个数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59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2A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3个</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92B34E">
            <w:pPr>
              <w:jc w:val="left"/>
              <w:rPr>
                <w:rFonts w:hint="eastAsia" w:ascii="宋体" w:hAnsi="宋体" w:eastAsia="宋体" w:cs="宋体"/>
                <w:i w:val="0"/>
                <w:iCs w:val="0"/>
                <w:color w:val="000000"/>
                <w:sz w:val="18"/>
                <w:szCs w:val="18"/>
                <w:u w:val="none"/>
              </w:rPr>
            </w:pPr>
          </w:p>
        </w:tc>
      </w:tr>
      <w:tr w14:paraId="0F10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C7DEA3">
            <w:pPr>
              <w:jc w:val="right"/>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0348BC">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781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CA1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安全事故发生率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86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DC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top"/>
          </w:tcPr>
          <w:p w14:paraId="2065B6DA">
            <w:pPr>
              <w:jc w:val="left"/>
              <w:rPr>
                <w:rFonts w:hint="eastAsia" w:ascii="宋体" w:hAnsi="宋体" w:eastAsia="宋体" w:cs="宋体"/>
                <w:i w:val="0"/>
                <w:iCs w:val="0"/>
                <w:color w:val="000000"/>
                <w:sz w:val="18"/>
                <w:szCs w:val="18"/>
                <w:u w:val="none"/>
              </w:rPr>
            </w:pPr>
          </w:p>
        </w:tc>
      </w:tr>
      <w:tr w14:paraId="5A605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A0DBF8">
            <w:pPr>
              <w:jc w:val="right"/>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4B35D2">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FD15D6">
            <w:pPr>
              <w:jc w:val="center"/>
              <w:rPr>
                <w:rFonts w:hint="eastAsia" w:ascii="宋体" w:hAnsi="宋体" w:eastAsia="宋体" w:cs="宋体"/>
                <w:i w:val="0"/>
                <w:iCs w:val="0"/>
                <w:color w:val="000000"/>
                <w:sz w:val="18"/>
                <w:szCs w:val="18"/>
                <w:u w:val="none"/>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3B2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协调企业服务率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29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9C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F13415">
            <w:pPr>
              <w:jc w:val="left"/>
              <w:rPr>
                <w:rFonts w:hint="eastAsia" w:ascii="宋体" w:hAnsi="宋体" w:eastAsia="宋体" w:cs="宋体"/>
                <w:i w:val="0"/>
                <w:iCs w:val="0"/>
                <w:color w:val="000000"/>
                <w:sz w:val="18"/>
                <w:szCs w:val="18"/>
                <w:u w:val="none"/>
              </w:rPr>
            </w:pPr>
          </w:p>
        </w:tc>
      </w:tr>
      <w:tr w14:paraId="4FB2C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A7DD2E">
            <w:pPr>
              <w:jc w:val="right"/>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6CC142">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A7D3C6">
            <w:pPr>
              <w:jc w:val="center"/>
              <w:rPr>
                <w:rFonts w:hint="eastAsia" w:ascii="宋体" w:hAnsi="宋体" w:eastAsia="宋体" w:cs="宋体"/>
                <w:i w:val="0"/>
                <w:iCs w:val="0"/>
                <w:color w:val="000000"/>
                <w:sz w:val="18"/>
                <w:szCs w:val="18"/>
                <w:u w:val="none"/>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4F9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招引项目投资额度及落地资金额度完成率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17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D5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790FAD">
            <w:pPr>
              <w:jc w:val="left"/>
              <w:rPr>
                <w:rFonts w:hint="eastAsia" w:ascii="宋体" w:hAnsi="宋体" w:eastAsia="宋体" w:cs="宋体"/>
                <w:i w:val="0"/>
                <w:iCs w:val="0"/>
                <w:color w:val="000000"/>
                <w:sz w:val="18"/>
                <w:szCs w:val="18"/>
                <w:u w:val="none"/>
              </w:rPr>
            </w:pPr>
          </w:p>
        </w:tc>
      </w:tr>
      <w:tr w14:paraId="36900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D02825">
            <w:pPr>
              <w:jc w:val="right"/>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F5C612">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CB9766">
            <w:pPr>
              <w:jc w:val="center"/>
              <w:rPr>
                <w:rFonts w:hint="eastAsia" w:ascii="宋体" w:hAnsi="宋体" w:eastAsia="宋体" w:cs="宋体"/>
                <w:i w:val="0"/>
                <w:iCs w:val="0"/>
                <w:color w:val="000000"/>
                <w:sz w:val="18"/>
                <w:szCs w:val="18"/>
                <w:u w:val="none"/>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59F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争取资金任务完成率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0B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AB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top"/>
          </w:tcPr>
          <w:p w14:paraId="50470BA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争取到四川省广元市昭化区采煤沉陷区避险搬迁项目，补助资金金额超出预计。</w:t>
            </w:r>
          </w:p>
        </w:tc>
      </w:tr>
      <w:tr w14:paraId="2E3F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D5EE04">
            <w:pPr>
              <w:jc w:val="right"/>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566793">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146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88E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项目协调服务工作时间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FD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37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top"/>
          </w:tcPr>
          <w:p w14:paraId="05CF1FAE">
            <w:pPr>
              <w:jc w:val="left"/>
              <w:rPr>
                <w:rFonts w:hint="eastAsia" w:ascii="宋体" w:hAnsi="宋体" w:eastAsia="宋体" w:cs="宋体"/>
                <w:i w:val="0"/>
                <w:iCs w:val="0"/>
                <w:color w:val="000000"/>
                <w:sz w:val="18"/>
                <w:szCs w:val="18"/>
                <w:u w:val="none"/>
              </w:rPr>
            </w:pPr>
          </w:p>
        </w:tc>
      </w:tr>
      <w:tr w14:paraId="68A76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4A810A">
            <w:pPr>
              <w:jc w:val="right"/>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748454">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14F90D">
            <w:pPr>
              <w:jc w:val="center"/>
              <w:rPr>
                <w:rFonts w:hint="eastAsia" w:ascii="宋体" w:hAnsi="宋体" w:eastAsia="宋体" w:cs="宋体"/>
                <w:i w:val="0"/>
                <w:iCs w:val="0"/>
                <w:color w:val="000000"/>
                <w:sz w:val="18"/>
                <w:szCs w:val="18"/>
                <w:u w:val="none"/>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EA9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招商引资目标完成工作时间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26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F6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A8A216">
            <w:pPr>
              <w:jc w:val="left"/>
              <w:rPr>
                <w:rFonts w:hint="eastAsia" w:ascii="宋体" w:hAnsi="宋体" w:eastAsia="宋体" w:cs="宋体"/>
                <w:i w:val="0"/>
                <w:iCs w:val="0"/>
                <w:color w:val="000000"/>
                <w:sz w:val="18"/>
                <w:szCs w:val="18"/>
                <w:u w:val="none"/>
              </w:rPr>
            </w:pPr>
          </w:p>
        </w:tc>
      </w:tr>
      <w:tr w14:paraId="0E809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390CF1">
            <w:pPr>
              <w:jc w:val="right"/>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0EF1E2">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27AB63">
            <w:pPr>
              <w:jc w:val="center"/>
              <w:rPr>
                <w:rFonts w:hint="eastAsia" w:ascii="宋体" w:hAnsi="宋体" w:eastAsia="宋体" w:cs="宋体"/>
                <w:i w:val="0"/>
                <w:iCs w:val="0"/>
                <w:color w:val="000000"/>
                <w:sz w:val="18"/>
                <w:szCs w:val="18"/>
                <w:u w:val="none"/>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2E9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争取资金任务完成工作时间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9D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09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10月</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E62385">
            <w:pPr>
              <w:jc w:val="left"/>
              <w:rPr>
                <w:rFonts w:hint="eastAsia" w:ascii="宋体" w:hAnsi="宋体" w:eastAsia="宋体" w:cs="宋体"/>
                <w:i w:val="0"/>
                <w:iCs w:val="0"/>
                <w:color w:val="000000"/>
                <w:sz w:val="18"/>
                <w:szCs w:val="18"/>
                <w:u w:val="none"/>
              </w:rPr>
            </w:pPr>
          </w:p>
        </w:tc>
      </w:tr>
      <w:tr w14:paraId="604D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046354">
            <w:pPr>
              <w:jc w:val="right"/>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7DC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859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658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加快推进在建项目及协调服务等经费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39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7C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48.88万元</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3F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原因疫情反复，项目推进迟缓；整改：加快项目推进</w:t>
            </w:r>
          </w:p>
        </w:tc>
      </w:tr>
      <w:tr w14:paraId="2D501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3BC9F0">
            <w:pPr>
              <w:jc w:val="right"/>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EA7740">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4B7251">
            <w:pPr>
              <w:jc w:val="center"/>
              <w:rPr>
                <w:rFonts w:hint="eastAsia" w:ascii="宋体" w:hAnsi="宋体" w:eastAsia="宋体" w:cs="宋体"/>
                <w:i w:val="0"/>
                <w:iCs w:val="0"/>
                <w:color w:val="000000"/>
                <w:sz w:val="18"/>
                <w:szCs w:val="18"/>
                <w:u w:val="none"/>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604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人员经费及保证单位正常运转经费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F6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≤254.09万元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A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430.07万元</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27734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原因：疫情防治费用增加。整改措施：特殊情况，调整目标值。</w:t>
            </w:r>
          </w:p>
        </w:tc>
      </w:tr>
      <w:tr w14:paraId="62215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99FB16">
            <w:pPr>
              <w:jc w:val="right"/>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5D1F7A">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B94FDE">
            <w:pPr>
              <w:jc w:val="center"/>
              <w:rPr>
                <w:rFonts w:hint="eastAsia" w:ascii="宋体" w:hAnsi="宋体" w:eastAsia="宋体" w:cs="宋体"/>
                <w:i w:val="0"/>
                <w:iCs w:val="0"/>
                <w:color w:val="000000"/>
                <w:sz w:val="18"/>
                <w:szCs w:val="18"/>
                <w:u w:val="none"/>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0DD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完成争取资金及招商年度目标任务经费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92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DE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50万元</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C29A0E">
            <w:pPr>
              <w:jc w:val="left"/>
              <w:rPr>
                <w:rFonts w:hint="eastAsia" w:ascii="宋体" w:hAnsi="宋体" w:eastAsia="宋体" w:cs="宋体"/>
                <w:i w:val="0"/>
                <w:iCs w:val="0"/>
                <w:color w:val="000000"/>
                <w:sz w:val="18"/>
                <w:szCs w:val="18"/>
                <w:u w:val="none"/>
              </w:rPr>
            </w:pPr>
          </w:p>
        </w:tc>
      </w:tr>
      <w:tr w14:paraId="12F7E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B1339B">
            <w:pPr>
              <w:jc w:val="right"/>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6D8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ECC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 指标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38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保障资金专款专用，违规使用次数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40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AD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0次</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038E19">
            <w:pPr>
              <w:jc w:val="left"/>
              <w:rPr>
                <w:rFonts w:hint="eastAsia" w:ascii="宋体" w:hAnsi="宋体" w:eastAsia="宋体" w:cs="宋体"/>
                <w:i w:val="0"/>
                <w:iCs w:val="0"/>
                <w:color w:val="000000"/>
                <w:sz w:val="18"/>
                <w:szCs w:val="18"/>
                <w:u w:val="none"/>
              </w:rPr>
            </w:pPr>
          </w:p>
        </w:tc>
      </w:tr>
      <w:tr w14:paraId="04A4A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3AA14B">
            <w:pPr>
              <w:jc w:val="right"/>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B83728">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842027">
            <w:pPr>
              <w:jc w:val="center"/>
              <w:rPr>
                <w:rFonts w:hint="eastAsia" w:ascii="宋体" w:hAnsi="宋体" w:eastAsia="宋体" w:cs="宋体"/>
                <w:i w:val="0"/>
                <w:iCs w:val="0"/>
                <w:color w:val="000000"/>
                <w:sz w:val="18"/>
                <w:szCs w:val="18"/>
                <w:u w:val="none"/>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E76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项目建设带动地方就业人数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06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10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500人</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14:paraId="437E30B4">
            <w:pPr>
              <w:jc w:val="left"/>
              <w:rPr>
                <w:rFonts w:hint="eastAsia" w:ascii="宋体" w:hAnsi="宋体" w:eastAsia="宋体" w:cs="宋体"/>
                <w:i w:val="0"/>
                <w:iCs w:val="0"/>
                <w:color w:val="000000"/>
                <w:sz w:val="18"/>
                <w:szCs w:val="18"/>
                <w:u w:val="none"/>
              </w:rPr>
            </w:pPr>
          </w:p>
        </w:tc>
      </w:tr>
      <w:tr w14:paraId="6EBFD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7EA6A7">
            <w:pPr>
              <w:jc w:val="right"/>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843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14:paraId="05B2B6A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0D2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单位职工满意度</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C2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D7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7785C676">
            <w:pPr>
              <w:jc w:val="left"/>
              <w:rPr>
                <w:rFonts w:hint="eastAsia" w:ascii="宋体" w:hAnsi="宋体" w:eastAsia="宋体" w:cs="宋体"/>
                <w:i w:val="0"/>
                <w:iCs w:val="0"/>
                <w:color w:val="000000"/>
                <w:sz w:val="18"/>
                <w:szCs w:val="18"/>
                <w:u w:val="none"/>
              </w:rPr>
            </w:pPr>
          </w:p>
        </w:tc>
      </w:tr>
      <w:tr w14:paraId="3F64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E76718">
            <w:pPr>
              <w:jc w:val="right"/>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475713">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4A300C89">
            <w:pPr>
              <w:jc w:val="center"/>
              <w:rPr>
                <w:rFonts w:hint="eastAsia" w:ascii="宋体" w:hAnsi="宋体" w:eastAsia="宋体" w:cs="宋体"/>
                <w:i w:val="0"/>
                <w:iCs w:val="0"/>
                <w:color w:val="000000"/>
                <w:sz w:val="18"/>
                <w:szCs w:val="18"/>
                <w:u w:val="none"/>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DDC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群众及企业满意度</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9F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FF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top"/>
          </w:tcPr>
          <w:p w14:paraId="46F1A26C">
            <w:pPr>
              <w:jc w:val="left"/>
              <w:rPr>
                <w:rFonts w:hint="eastAsia" w:ascii="宋体" w:hAnsi="宋体" w:eastAsia="宋体" w:cs="宋体"/>
                <w:i w:val="0"/>
                <w:iCs w:val="0"/>
                <w:color w:val="000000"/>
                <w:sz w:val="18"/>
                <w:szCs w:val="18"/>
                <w:u w:val="none"/>
              </w:rPr>
            </w:pPr>
          </w:p>
        </w:tc>
      </w:tr>
      <w:tr w14:paraId="6D7A0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F5B890">
            <w:pPr>
              <w:jc w:val="right"/>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FC4A1A">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1DDEB88F">
            <w:pPr>
              <w:jc w:val="center"/>
              <w:rPr>
                <w:rFonts w:hint="eastAsia" w:ascii="宋体" w:hAnsi="宋体" w:eastAsia="宋体" w:cs="宋体"/>
                <w:i w:val="0"/>
                <w:iCs w:val="0"/>
                <w:color w:val="000000"/>
                <w:sz w:val="18"/>
                <w:szCs w:val="18"/>
                <w:u w:val="none"/>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D7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园区企业对协调服务的满意度</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6C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F8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11"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B3B3B6">
            <w:pPr>
              <w:jc w:val="left"/>
              <w:rPr>
                <w:rFonts w:hint="eastAsia" w:ascii="宋体" w:hAnsi="宋体" w:eastAsia="宋体" w:cs="宋体"/>
                <w:i w:val="0"/>
                <w:iCs w:val="0"/>
                <w:color w:val="000000"/>
                <w:sz w:val="18"/>
                <w:szCs w:val="18"/>
                <w:u w:val="none"/>
              </w:rPr>
            </w:pPr>
          </w:p>
        </w:tc>
      </w:tr>
    </w:tbl>
    <w:p w14:paraId="00B79D3A">
      <w:pPr>
        <w:pStyle w:val="2"/>
        <w:rPr>
          <w:rFonts w:hint="default"/>
          <w:lang w:val="en-US" w:eastAsia="zh-CN"/>
        </w:rPr>
      </w:pPr>
    </w:p>
    <w:p w14:paraId="482D2D4A">
      <w:pPr>
        <w:pStyle w:val="11"/>
        <w:keepNext w:val="0"/>
        <w:keepLines w:val="0"/>
        <w:pageBreakBefore w:val="0"/>
        <w:widowControl w:val="0"/>
        <w:kinsoku/>
        <w:wordWrap/>
        <w:overflowPunct/>
        <w:topLinePunct w:val="0"/>
        <w:autoSpaceDE/>
        <w:autoSpaceDN/>
        <w:bidi w:val="0"/>
        <w:adjustRightInd/>
        <w:spacing w:line="360" w:lineRule="auto"/>
        <w:ind w:left="-210" w:leftChars="-100" w:right="-210" w:rightChars="-100" w:firstLine="360" w:firstLineChars="200"/>
        <w:jc w:val="both"/>
        <w:textAlignment w:val="auto"/>
        <w:rPr>
          <w:rFonts w:hint="default" w:eastAsia="宋体"/>
          <w:lang w:val="en-US" w:eastAsia="zh-CN"/>
        </w:rPr>
      </w:pPr>
    </w:p>
    <w:p w14:paraId="2E650901">
      <w:pPr>
        <w:keepNext w:val="0"/>
        <w:keepLines w:val="0"/>
        <w:pageBreakBefore w:val="0"/>
        <w:widowControl w:val="0"/>
        <w:kinsoku/>
        <w:wordWrap/>
        <w:overflowPunct/>
        <w:topLinePunct w:val="0"/>
        <w:autoSpaceDE/>
        <w:autoSpaceDN/>
        <w:bidi w:val="0"/>
        <w:adjustRightInd/>
        <w:snapToGrid/>
        <w:spacing w:line="240" w:lineRule="auto"/>
        <w:ind w:right="420" w:rightChars="200"/>
        <w:jc w:val="left"/>
        <w:textAlignment w:val="auto"/>
        <w:rPr>
          <w:rFonts w:hint="eastAsia" w:ascii="仿宋_GB2312" w:hAnsi="仿宋_GB2312" w:eastAsia="黑体" w:cs="仿宋_GB2312"/>
          <w:sz w:val="32"/>
          <w:szCs w:val="32"/>
          <w:lang w:val="en-US" w:eastAsia="zh-CN"/>
        </w:rPr>
      </w:pPr>
    </w:p>
    <w:p w14:paraId="2A50F621">
      <w:pPr>
        <w:pStyle w:val="2"/>
        <w:rPr>
          <w:rFonts w:hint="eastAsia" w:ascii="仿宋_GB2312" w:hAnsi="仿宋_GB2312" w:eastAsia="黑体" w:cs="仿宋_GB2312"/>
          <w:sz w:val="32"/>
          <w:szCs w:val="32"/>
          <w:lang w:val="en-US" w:eastAsia="zh-CN"/>
        </w:rPr>
      </w:pPr>
    </w:p>
    <w:p w14:paraId="371276DE">
      <w:pPr>
        <w:rPr>
          <w:rFonts w:hint="eastAsia" w:ascii="仿宋_GB2312" w:hAnsi="仿宋_GB2312" w:eastAsia="黑体" w:cs="仿宋_GB2312"/>
          <w:sz w:val="32"/>
          <w:szCs w:val="32"/>
          <w:lang w:val="en-US" w:eastAsia="zh-CN"/>
        </w:rPr>
      </w:pPr>
    </w:p>
    <w:p w14:paraId="0908F1B4">
      <w:pPr>
        <w:pStyle w:val="2"/>
        <w:rPr>
          <w:rFonts w:hint="eastAsia" w:ascii="仿宋_GB2312" w:hAnsi="仿宋_GB2312" w:eastAsia="黑体" w:cs="仿宋_GB2312"/>
          <w:sz w:val="32"/>
          <w:szCs w:val="32"/>
          <w:lang w:val="en-US" w:eastAsia="zh-CN"/>
        </w:rPr>
      </w:pPr>
    </w:p>
    <w:p w14:paraId="3C4CB9B6">
      <w:pPr>
        <w:rPr>
          <w:rFonts w:hint="eastAsia" w:ascii="仿宋_GB2312" w:hAnsi="仿宋_GB2312" w:eastAsia="黑体" w:cs="仿宋_GB2312"/>
          <w:sz w:val="32"/>
          <w:szCs w:val="32"/>
          <w:lang w:val="en-US" w:eastAsia="zh-CN"/>
        </w:rPr>
      </w:pPr>
    </w:p>
    <w:p w14:paraId="66B3CE9D">
      <w:pPr>
        <w:pStyle w:val="2"/>
        <w:rPr>
          <w:rFonts w:hint="eastAsia" w:ascii="仿宋_GB2312" w:hAnsi="仿宋_GB2312" w:eastAsia="黑体" w:cs="仿宋_GB2312"/>
          <w:sz w:val="32"/>
          <w:szCs w:val="32"/>
          <w:lang w:val="en-US" w:eastAsia="zh-CN"/>
        </w:rPr>
      </w:pPr>
    </w:p>
    <w:p w14:paraId="4A6EF25B">
      <w:pPr>
        <w:rPr>
          <w:rFonts w:hint="eastAsia"/>
          <w:lang w:val="en-US" w:eastAsia="zh-CN"/>
        </w:rPr>
      </w:pPr>
    </w:p>
    <w:p w14:paraId="5599A0CB">
      <w:pPr>
        <w:keepNext w:val="0"/>
        <w:keepLines w:val="0"/>
        <w:pageBreakBefore w:val="0"/>
        <w:widowControl w:val="0"/>
        <w:kinsoku/>
        <w:wordWrap/>
        <w:overflowPunct/>
        <w:topLinePunct w:val="0"/>
        <w:autoSpaceDE/>
        <w:autoSpaceDN/>
        <w:bidi w:val="0"/>
        <w:adjustRightInd/>
        <w:snapToGrid/>
        <w:spacing w:line="240" w:lineRule="auto"/>
        <w:ind w:right="420" w:rightChars="200"/>
        <w:jc w:val="left"/>
        <w:textAlignment w:val="auto"/>
        <w:rPr>
          <w:rFonts w:hint="eastAsia" w:ascii="仿宋_GB2312" w:hAnsi="仿宋_GB2312" w:eastAsia="黑体" w:cs="仿宋_GB2312"/>
          <w:sz w:val="32"/>
          <w:szCs w:val="32"/>
          <w:lang w:val="en-US" w:eastAsia="zh-CN"/>
        </w:rPr>
      </w:pPr>
    </w:p>
    <w:p w14:paraId="6F08450B">
      <w:pPr>
        <w:keepNext w:val="0"/>
        <w:keepLines w:val="0"/>
        <w:pageBreakBefore w:val="0"/>
        <w:widowControl w:val="0"/>
        <w:kinsoku/>
        <w:wordWrap/>
        <w:overflowPunct/>
        <w:topLinePunct w:val="0"/>
        <w:autoSpaceDE/>
        <w:autoSpaceDN/>
        <w:bidi w:val="0"/>
        <w:adjustRightInd/>
        <w:snapToGrid/>
        <w:spacing w:line="240" w:lineRule="auto"/>
        <w:ind w:right="420" w:rightChars="200"/>
        <w:jc w:val="left"/>
        <w:textAlignment w:val="auto"/>
        <w:rPr>
          <w:rFonts w:hint="eastAsia" w:ascii="仿宋_GB2312" w:hAnsi="仿宋_GB2312" w:eastAsia="黑体" w:cs="仿宋_GB2312"/>
          <w:sz w:val="32"/>
          <w:szCs w:val="32"/>
          <w:lang w:val="en-US" w:eastAsia="zh-CN"/>
        </w:rPr>
      </w:pPr>
      <w:r>
        <w:rPr>
          <w:rFonts w:hint="eastAsia" w:ascii="仿宋_GB2312" w:hAnsi="仿宋_GB2312" w:eastAsia="黑体" w:cs="仿宋_GB2312"/>
          <w:sz w:val="32"/>
          <w:szCs w:val="32"/>
          <w:lang w:val="en-US" w:eastAsia="zh-CN"/>
        </w:rPr>
        <w:t>附件2：</w:t>
      </w:r>
    </w:p>
    <w:p w14:paraId="5281E59C">
      <w:pPr>
        <w:keepNext w:val="0"/>
        <w:keepLines w:val="0"/>
        <w:pageBreakBefore w:val="0"/>
        <w:widowControl w:val="0"/>
        <w:kinsoku/>
        <w:wordWrap/>
        <w:overflowPunct/>
        <w:topLinePunct w:val="0"/>
        <w:autoSpaceDE/>
        <w:autoSpaceDN/>
        <w:bidi w:val="0"/>
        <w:adjustRightInd/>
        <w:snapToGrid/>
        <w:spacing w:line="240" w:lineRule="auto"/>
        <w:ind w:right="420" w:rightChars="200"/>
        <w:jc w:val="center"/>
        <w:textAlignment w:val="auto"/>
        <w:rPr>
          <w:rFonts w:hint="eastAsia" w:ascii="宋体" w:hAnsi="宋体" w:eastAsia="宋体" w:cs="宋体"/>
          <w:sz w:val="36"/>
          <w:szCs w:val="36"/>
        </w:rPr>
      </w:pPr>
      <w:r>
        <w:rPr>
          <w:rFonts w:hint="eastAsia" w:ascii="宋体" w:hAnsi="宋体" w:eastAsia="宋体" w:cs="宋体"/>
          <w:sz w:val="36"/>
          <w:szCs w:val="36"/>
        </w:rPr>
        <w:t>202</w:t>
      </w:r>
      <w:r>
        <w:rPr>
          <w:rFonts w:hint="eastAsia" w:ascii="宋体" w:hAnsi="宋体" w:cs="宋体"/>
          <w:sz w:val="36"/>
          <w:szCs w:val="36"/>
          <w:lang w:val="en-US" w:eastAsia="zh-CN"/>
        </w:rPr>
        <w:t>2</w:t>
      </w:r>
      <w:r>
        <w:rPr>
          <w:rFonts w:hint="eastAsia" w:ascii="宋体" w:hAnsi="宋体" w:eastAsia="宋体" w:cs="宋体"/>
          <w:sz w:val="36"/>
          <w:szCs w:val="36"/>
        </w:rPr>
        <w:t>年家居产业城启动大坝项目债劵资金</w:t>
      </w:r>
    </w:p>
    <w:p w14:paraId="6200EA89">
      <w:pPr>
        <w:keepNext w:val="0"/>
        <w:keepLines w:val="0"/>
        <w:pageBreakBefore w:val="0"/>
        <w:widowControl w:val="0"/>
        <w:kinsoku/>
        <w:wordWrap/>
        <w:overflowPunct/>
        <w:topLinePunct w:val="0"/>
        <w:autoSpaceDE/>
        <w:autoSpaceDN/>
        <w:bidi w:val="0"/>
        <w:adjustRightInd/>
        <w:snapToGrid/>
        <w:spacing w:line="240" w:lineRule="auto"/>
        <w:ind w:right="420" w:rightChars="200"/>
        <w:jc w:val="center"/>
        <w:textAlignment w:val="auto"/>
        <w:rPr>
          <w:rFonts w:hint="eastAsia" w:ascii="宋体" w:hAnsi="宋体" w:eastAsia="宋体" w:cs="宋体"/>
          <w:sz w:val="36"/>
          <w:szCs w:val="36"/>
        </w:rPr>
      </w:pPr>
      <w:r>
        <w:rPr>
          <w:rFonts w:hint="eastAsia" w:ascii="宋体" w:hAnsi="宋体" w:cs="宋体"/>
          <w:sz w:val="36"/>
          <w:szCs w:val="36"/>
          <w:lang w:eastAsia="zh-CN"/>
        </w:rPr>
        <w:t>项目支出</w:t>
      </w:r>
      <w:r>
        <w:rPr>
          <w:rFonts w:hint="eastAsia" w:ascii="宋体" w:hAnsi="宋体" w:eastAsia="宋体" w:cs="宋体"/>
          <w:sz w:val="36"/>
          <w:szCs w:val="36"/>
        </w:rPr>
        <w:t>绩效评价自评报告</w:t>
      </w:r>
    </w:p>
    <w:p w14:paraId="686E919E">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firstLine="560" w:firstLineChars="200"/>
        <w:jc w:val="both"/>
        <w:textAlignment w:val="auto"/>
        <w:rPr>
          <w:rFonts w:hint="eastAsia" w:ascii="宋体" w:hAnsi="宋体" w:cs="宋体"/>
          <w:sz w:val="28"/>
          <w:szCs w:val="28"/>
          <w:lang w:val="zh-CN" w:eastAsia="zh-CN"/>
        </w:rPr>
      </w:pPr>
      <w:r>
        <w:rPr>
          <w:rFonts w:hint="eastAsia" w:ascii="宋体" w:hAnsi="宋体" w:cs="宋体"/>
          <w:sz w:val="28"/>
          <w:szCs w:val="28"/>
          <w:lang w:val="zh-CN" w:eastAsia="zh-CN"/>
        </w:rPr>
        <w:t>一、项目概况</w:t>
      </w:r>
    </w:p>
    <w:p w14:paraId="1D636C3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bCs/>
          <w:sz w:val="28"/>
          <w:szCs w:val="28"/>
          <w:lang w:val="zh-CN"/>
        </w:rPr>
      </w:pPr>
      <w:r>
        <w:rPr>
          <w:rFonts w:hint="eastAsia" w:ascii="宋体" w:hAnsi="宋体" w:cs="宋体"/>
          <w:b/>
          <w:bCs/>
          <w:sz w:val="28"/>
          <w:szCs w:val="28"/>
          <w:lang w:val="zh-CN"/>
        </w:rPr>
        <w:t>（一）项目基本情况。</w:t>
      </w:r>
    </w:p>
    <w:p w14:paraId="32C1978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cs="宋体"/>
          <w:sz w:val="28"/>
          <w:szCs w:val="28"/>
          <w:lang w:val="en-US" w:eastAsia="zh-CN"/>
        </w:rPr>
        <w:t>1.</w:t>
      </w:r>
      <w:r>
        <w:rPr>
          <w:rFonts w:hint="eastAsia" w:ascii="宋体" w:hAnsi="宋体" w:eastAsia="宋体" w:cs="宋体"/>
          <w:sz w:val="28"/>
          <w:szCs w:val="28"/>
          <w:lang w:val="zh-CN"/>
        </w:rPr>
        <w:t>项目主管部门（单位）在该项目管理中的职能</w:t>
      </w:r>
      <w:r>
        <w:rPr>
          <w:rFonts w:hint="eastAsia" w:ascii="宋体" w:hAnsi="宋体" w:cs="宋体"/>
          <w:sz w:val="28"/>
          <w:szCs w:val="28"/>
          <w:lang w:val="zh-CN"/>
        </w:rPr>
        <w:t>。</w:t>
      </w:r>
    </w:p>
    <w:p w14:paraId="1237812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rPr>
        <w:t>四川广元昭化经济开发区管理委员会是项目实施机构</w:t>
      </w:r>
      <w:r>
        <w:rPr>
          <w:rFonts w:hint="eastAsia" w:ascii="宋体" w:hAnsi="宋体" w:eastAsia="宋体" w:cs="宋体"/>
          <w:sz w:val="28"/>
          <w:szCs w:val="28"/>
          <w:lang w:val="zh-CN" w:eastAsia="zh-CN"/>
        </w:rPr>
        <w:t>，在项目中的职能包括：</w:t>
      </w:r>
    </w:p>
    <w:p w14:paraId="36471A8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①配合协调相关部门做好项目的规划、投资计划、收益和融资平衡方案、预期收入等测算，做好项目的申报安排。</w:t>
      </w:r>
    </w:p>
    <w:p w14:paraId="7EBB8B3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②做好专项债券年度项目库与政府债务管理系统的衔接。</w:t>
      </w:r>
    </w:p>
    <w:p w14:paraId="5FDF5A5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③项目发行阶段:配合做好专项债券发行各项准备工作，加强对项目实施情况的监控，并统筹协调相关部门保障项目建设进度，如期实现项目收入，保障项目的还本付息。</w:t>
      </w:r>
    </w:p>
    <w:p w14:paraId="08E8D79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rPr>
        <w:t>④后续管理阶段:做好债券资金的管理、项目对应资产的管理等工作。专项债券资金收入应全额纳入国库，支出应实行国库集中支付、债券项目的专项收入和支出做好专账核算，明确反映资金的收支状况。各类专项债券项目对应形成的资产应纳入国有资产管理，建立相应的资产登记和统计报告制度，加强资产日常统计和动态监控。项目业主是</w:t>
      </w:r>
      <w:r>
        <w:rPr>
          <w:rFonts w:hint="eastAsia" w:ascii="宋体" w:hAnsi="宋体" w:eastAsia="宋体" w:cs="宋体"/>
          <w:sz w:val="28"/>
          <w:szCs w:val="28"/>
          <w:lang w:val="en-US" w:eastAsia="zh-CN"/>
        </w:rPr>
        <w:t>四川昭旺家居产业投资有限责任公司。</w:t>
      </w:r>
    </w:p>
    <w:p w14:paraId="646677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2.项目立项、资金申报的依据。</w:t>
      </w:r>
    </w:p>
    <w:p w14:paraId="0CFB33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中国西部（广元）绿色家居产业城扶贫项目-启动区大坝组团项目经昭化区发改局以昭发改（20</w:t>
      </w:r>
      <w:r>
        <w:rPr>
          <w:rFonts w:hint="eastAsia" w:ascii="宋体" w:hAnsi="宋体" w:cs="宋体"/>
          <w:sz w:val="28"/>
          <w:szCs w:val="28"/>
          <w:lang w:val="en-US" w:eastAsia="zh-CN"/>
        </w:rPr>
        <w:t>19</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215</w:t>
      </w:r>
      <w:r>
        <w:rPr>
          <w:rFonts w:hint="eastAsia" w:ascii="宋体" w:hAnsi="宋体" w:eastAsia="宋体" w:cs="宋体"/>
          <w:sz w:val="28"/>
          <w:szCs w:val="28"/>
          <w:lang w:val="en-US" w:eastAsia="zh-CN"/>
        </w:rPr>
        <w:t>号立项，</w:t>
      </w:r>
      <w:r>
        <w:rPr>
          <w:rFonts w:hint="eastAsia" w:ascii="宋体" w:hAnsi="宋体" w:eastAsia="宋体" w:cs="宋体"/>
          <w:sz w:val="28"/>
          <w:szCs w:val="28"/>
        </w:rPr>
        <w:t>项目总投资为156,843.85万元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主要建设内容规划占地145.877公顷，新建道路4585.762米；钢结构厂房28万平方米，原辅材料配送中心20万平方米，配套设施用房5.94万平方米，以及场地平整132.12万平方米等配套基础设施工程建设。</w:t>
      </w:r>
    </w:p>
    <w:p w14:paraId="391DD1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申报的资金为中国西部（广元）绿色家居产业城扶贫项目-启动区大坝项目债券资金，与实际相符。</w:t>
      </w:r>
    </w:p>
    <w:p w14:paraId="636A13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资金或项目管理办法制定情况</w:t>
      </w:r>
      <w:r>
        <w:rPr>
          <w:rFonts w:hint="eastAsia" w:ascii="宋体" w:hAnsi="宋体" w:cs="宋体"/>
          <w:sz w:val="28"/>
          <w:szCs w:val="28"/>
          <w:lang w:val="en-US" w:eastAsia="zh-CN"/>
        </w:rPr>
        <w:t>。</w:t>
      </w:r>
    </w:p>
    <w:p w14:paraId="4A34DC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严格按照债券资金管理办法执行，实行四位一体管理模式。</w:t>
      </w:r>
    </w:p>
    <w:p w14:paraId="626DEE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eastAsia="宋体" w:cs="宋体"/>
          <w:sz w:val="28"/>
          <w:szCs w:val="28"/>
          <w:lang w:val="en-US" w:eastAsia="zh-CN"/>
        </w:rPr>
        <w:t>资金分配的原则及考虑因素</w:t>
      </w:r>
      <w:r>
        <w:rPr>
          <w:rFonts w:hint="eastAsia" w:ascii="宋体" w:hAnsi="宋体" w:cs="宋体"/>
          <w:sz w:val="28"/>
          <w:szCs w:val="28"/>
          <w:lang w:val="en-US" w:eastAsia="zh-CN"/>
        </w:rPr>
        <w:t>。</w:t>
      </w:r>
    </w:p>
    <w:p w14:paraId="3B3EFD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按照项目实施方案分配资金</w:t>
      </w:r>
      <w:r>
        <w:rPr>
          <w:rFonts w:hint="eastAsia" w:ascii="宋体" w:hAnsi="宋体" w:cs="宋体"/>
          <w:sz w:val="28"/>
          <w:szCs w:val="28"/>
          <w:lang w:val="en-US" w:eastAsia="zh-CN"/>
        </w:rPr>
        <w:t>。</w:t>
      </w:r>
    </w:p>
    <w:p w14:paraId="78CAEDD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（二）项目绩效目标。</w:t>
      </w:r>
    </w:p>
    <w:p w14:paraId="598B82D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1．项目主要内容。</w:t>
      </w:r>
    </w:p>
    <w:p w14:paraId="07CD35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zh-CN" w:eastAsia="zh-CN"/>
        </w:rPr>
        <w:t>2022年项目建设内容：完成市政道路2条共计1257米，新建标准化厂房及配套设施用房2.88万平方米，启动C4地块场平约35亩及C6地块场平约95亩。</w:t>
      </w:r>
    </w:p>
    <w:p w14:paraId="6257386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2．项目应实现的具体绩效目标，包括目标的量化、细化情况以及项目实施进度计划等。</w:t>
      </w:r>
    </w:p>
    <w:p w14:paraId="79D34F1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可研报告和《中国西部（广元）绿色家居产业城扶贫项目-启动区大坝项目收益与融资自求平衡专项债券实施方案》对项目实施内容、建设时间、投资规模、招标方式、建设节点、施工计划、融资计划、还款保障、风险因素、信息披露等进行了明确，包括了各项活动内容、范围、时间节点等，实施方案经过充分调查研究和论证，实施内容明确，实施方案合理。</w:t>
      </w:r>
    </w:p>
    <w:p w14:paraId="0B752BA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w:t>
      </w:r>
      <w:r>
        <w:rPr>
          <w:rFonts w:hint="eastAsia" w:ascii="宋体" w:hAnsi="宋体" w:cs="宋体"/>
          <w:sz w:val="28"/>
          <w:szCs w:val="28"/>
          <w:lang w:val="en-US" w:eastAsia="zh-CN"/>
        </w:rPr>
        <w:t>总的</w:t>
      </w:r>
      <w:r>
        <w:rPr>
          <w:rFonts w:hint="eastAsia" w:ascii="宋体" w:hAnsi="宋体" w:eastAsia="宋体" w:cs="宋体"/>
          <w:sz w:val="28"/>
          <w:szCs w:val="28"/>
          <w:lang w:val="en-US" w:eastAsia="zh-CN"/>
        </w:rPr>
        <w:t>绩效目标包括</w:t>
      </w:r>
      <w:r>
        <w:rPr>
          <w:rFonts w:hint="eastAsia" w:ascii="宋体" w:hAnsi="宋体" w:cs="宋体"/>
          <w:sz w:val="28"/>
          <w:szCs w:val="28"/>
          <w:lang w:val="en-US" w:eastAsia="zh-CN"/>
        </w:rPr>
        <w:t>启动</w:t>
      </w:r>
      <w:r>
        <w:rPr>
          <w:rFonts w:hint="eastAsia" w:ascii="宋体" w:hAnsi="宋体" w:eastAsia="宋体" w:cs="宋体"/>
          <w:sz w:val="28"/>
          <w:szCs w:val="28"/>
          <w:lang w:val="en-US" w:eastAsia="zh-CN"/>
        </w:rPr>
        <w:t>场地平整</w:t>
      </w:r>
      <w:r>
        <w:rPr>
          <w:rFonts w:hint="eastAsia" w:ascii="宋体" w:hAnsi="宋体" w:cs="宋体"/>
          <w:sz w:val="28"/>
          <w:szCs w:val="28"/>
          <w:lang w:val="en-US" w:eastAsia="zh-CN"/>
        </w:rPr>
        <w:t>面积132.12亩</w:t>
      </w:r>
      <w:r>
        <w:rPr>
          <w:rFonts w:hint="eastAsia" w:ascii="宋体" w:hAnsi="宋体" w:eastAsia="宋体" w:cs="宋体"/>
          <w:sz w:val="28"/>
          <w:szCs w:val="28"/>
          <w:lang w:val="en-US" w:eastAsia="zh-CN"/>
        </w:rPr>
        <w:t>、新建建筑面积</w:t>
      </w:r>
      <w:r>
        <w:rPr>
          <w:rFonts w:hint="eastAsia" w:ascii="宋体" w:hAnsi="宋体" w:cs="宋体"/>
          <w:sz w:val="28"/>
          <w:szCs w:val="28"/>
          <w:lang w:val="en-US" w:eastAsia="zh-CN"/>
        </w:rPr>
        <w:t>539400平方米</w:t>
      </w:r>
      <w:r>
        <w:rPr>
          <w:rFonts w:hint="eastAsia" w:ascii="宋体" w:hAnsi="宋体" w:eastAsia="宋体" w:cs="宋体"/>
          <w:sz w:val="28"/>
          <w:szCs w:val="28"/>
          <w:lang w:val="en-US" w:eastAsia="zh-CN"/>
        </w:rPr>
        <w:t>、新建道路</w:t>
      </w:r>
      <w:r>
        <w:rPr>
          <w:rFonts w:hint="eastAsia" w:ascii="宋体" w:hAnsi="宋体" w:cs="宋体"/>
          <w:sz w:val="28"/>
          <w:szCs w:val="28"/>
          <w:lang w:val="en-US" w:eastAsia="zh-CN"/>
        </w:rPr>
        <w:t>4585米、</w:t>
      </w:r>
      <w:r>
        <w:rPr>
          <w:rFonts w:hint="eastAsia" w:ascii="宋体" w:hAnsi="宋体" w:eastAsia="宋体" w:cs="宋体"/>
          <w:sz w:val="28"/>
          <w:szCs w:val="28"/>
          <w:lang w:val="en-US" w:eastAsia="zh-CN"/>
        </w:rPr>
        <w:t>验收达标率≥95%、设计变更率≤5%、建设工期≤3年、项目总投资≤156843.85万元、债券融资成本≤24500万元、项目经营期累计利润≥4亿元、创造就业岗位≥3000个、项目收益覆盖倍数≥1.2倍、运营期限≥9年等指标。</w:t>
      </w:r>
    </w:p>
    <w:p w14:paraId="4DABBF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2022年的绩效目标量化：</w:t>
      </w:r>
    </w:p>
    <w:p w14:paraId="39136D4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（1）年度总目标</w:t>
      </w:r>
    </w:p>
    <w:p w14:paraId="651E9D5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完成市政道路2条共计1257米，新建标准化厂房及配套设施用房2.88万平方米，启动C4地块场平约35亩及C6地块场平约95亩。</w:t>
      </w:r>
    </w:p>
    <w:p w14:paraId="2B70F47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（2）细化目标</w:t>
      </w:r>
    </w:p>
    <w:p w14:paraId="3FF3F3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本项目具体建设内容和目标如下：</w:t>
      </w:r>
    </w:p>
    <w:p w14:paraId="7D0E15C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目标1：新建标准化厂房2.4万平方米</w:t>
      </w:r>
    </w:p>
    <w:p w14:paraId="57C9230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目标2：新建配套设施用房0.48万平方米</w:t>
      </w:r>
    </w:p>
    <w:p w14:paraId="382749B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目标3：新建道路1257米</w:t>
      </w:r>
    </w:p>
    <w:p w14:paraId="143BE71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目标4：启动场平工程约130亩</w:t>
      </w:r>
    </w:p>
    <w:p w14:paraId="6A116CB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目标5：配套基础设施工程</w:t>
      </w:r>
    </w:p>
    <w:p w14:paraId="3FF4EA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（3）项目实施进度计划</w:t>
      </w:r>
    </w:p>
    <w:p w14:paraId="0AE130D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2022年1-3月，计划完成投资1000万元，计划1#、2#、7#、8#楼厂房主体工程完成至40%；综合楼配套设施用房主体工程完成至30%；市政道路工程完成至25%；</w:t>
      </w:r>
    </w:p>
    <w:p w14:paraId="6951A4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2022年4-6月，计划完成投资3000万元，计划1#、2#、7#、8#楼厂房主体工程完成至100%；综合楼配套设施用房主体工程完成至90%；市政道路工程完成至60%；</w:t>
      </w:r>
    </w:p>
    <w:p w14:paraId="604A8A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2022年7-9月，计划完成投资3000万元，计划1#、2#、7#、8#楼厂房装饰工程完成至65%；综合楼配套设施用房主体工程完成至100%，装饰工程完成至40%；市政道路工程完工；</w:t>
      </w:r>
    </w:p>
    <w:p w14:paraId="6239F12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2022年10-12月，计划完成投资2000万元，计划1#、2#、7#、8#楼厂房、综合楼配套设施用房完工；启动C4、 C6地块场平工程。</w:t>
      </w:r>
    </w:p>
    <w:p w14:paraId="5D6777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申报内容与目标</w:t>
      </w:r>
      <w:r>
        <w:rPr>
          <w:rFonts w:hint="eastAsia" w:ascii="宋体" w:hAnsi="宋体" w:cs="宋体"/>
          <w:sz w:val="28"/>
          <w:szCs w:val="28"/>
          <w:lang w:val="en-US" w:eastAsia="zh-CN"/>
        </w:rPr>
        <w:t>。</w:t>
      </w:r>
    </w:p>
    <w:p w14:paraId="51BEE2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2022年</w:t>
      </w:r>
      <w:r>
        <w:rPr>
          <w:rFonts w:hint="eastAsia" w:ascii="宋体" w:hAnsi="宋体" w:eastAsia="宋体" w:cs="宋体"/>
          <w:sz w:val="28"/>
          <w:szCs w:val="28"/>
          <w:lang w:val="en-US" w:eastAsia="zh-CN"/>
        </w:rPr>
        <w:t>均按照项目实施方案申报</w:t>
      </w:r>
      <w:r>
        <w:rPr>
          <w:rFonts w:hint="eastAsia" w:ascii="宋体" w:hAnsi="宋体" w:cs="宋体"/>
          <w:sz w:val="28"/>
          <w:szCs w:val="28"/>
          <w:lang w:val="en-US" w:eastAsia="zh-CN"/>
        </w:rPr>
        <w:t>实施内容和目标</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申报内容</w:t>
      </w:r>
      <w:r>
        <w:rPr>
          <w:rFonts w:hint="eastAsia" w:ascii="宋体" w:hAnsi="宋体" w:eastAsia="宋体" w:cs="宋体"/>
          <w:sz w:val="28"/>
          <w:szCs w:val="28"/>
          <w:lang w:val="en-US" w:eastAsia="zh-CN"/>
        </w:rPr>
        <w:t>与实际相符，申报目标合理可行</w:t>
      </w:r>
      <w:r>
        <w:rPr>
          <w:rFonts w:hint="eastAsia" w:ascii="宋体" w:hAnsi="宋体" w:cs="宋体"/>
          <w:sz w:val="28"/>
          <w:szCs w:val="28"/>
          <w:lang w:val="en-US" w:eastAsia="zh-CN"/>
        </w:rPr>
        <w:t>。</w:t>
      </w:r>
    </w:p>
    <w:p w14:paraId="681445B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w:t>
      </w:r>
      <w:r>
        <w:rPr>
          <w:rFonts w:hint="eastAsia" w:ascii="宋体" w:hAnsi="宋体" w:cs="宋体"/>
          <w:b/>
          <w:bCs/>
          <w:sz w:val="28"/>
          <w:szCs w:val="28"/>
          <w:lang w:val="zh-CN"/>
        </w:rPr>
        <w:t>三</w:t>
      </w:r>
      <w:r>
        <w:rPr>
          <w:rFonts w:hint="eastAsia" w:ascii="宋体" w:hAnsi="宋体" w:eastAsia="宋体" w:cs="宋体"/>
          <w:b/>
          <w:bCs/>
          <w:sz w:val="28"/>
          <w:szCs w:val="28"/>
          <w:lang w:val="zh-CN"/>
        </w:rPr>
        <w:t>）项目自评步骤及方法</w:t>
      </w:r>
    </w:p>
    <w:p w14:paraId="1DA5E92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我单位对此次自评工作高度重视，成立了2022年绩效自评工作小组，按照下列程序实施：</w:t>
      </w:r>
    </w:p>
    <w:p w14:paraId="727219C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明确绩效自评项目，根据自评项目制定绩效自评方案，成立绩效自评工作小组，分配任务到各实施股室，明确各项目自评责任人；</w:t>
      </w:r>
    </w:p>
    <w:p w14:paraId="7F932CE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各责任股室收集自评相关资料，采集相关数据；</w:t>
      </w:r>
    </w:p>
    <w:p w14:paraId="71697B2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3</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开展项目自评，组织专家参加评审，并实地踏勘现场；</w:t>
      </w:r>
    </w:p>
    <w:p w14:paraId="7EAB69C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en-US" w:eastAsia="zh-CN"/>
        </w:rPr>
        <w:t>4</w:t>
      </w:r>
      <w:r>
        <w:rPr>
          <w:rFonts w:hint="eastAsia" w:ascii="宋体" w:hAnsi="宋体" w:cs="宋体"/>
          <w:sz w:val="28"/>
          <w:szCs w:val="28"/>
          <w:lang w:val="en-US" w:eastAsia="zh-CN"/>
        </w:rPr>
        <w:t>.</w:t>
      </w:r>
      <w:r>
        <w:rPr>
          <w:rFonts w:hint="eastAsia" w:ascii="宋体" w:hAnsi="宋体" w:eastAsia="宋体" w:cs="宋体"/>
          <w:sz w:val="28"/>
          <w:szCs w:val="28"/>
          <w:lang w:val="zh-CN" w:eastAsia="zh-CN"/>
        </w:rPr>
        <w:t>形成自评结论，并形成自评报告；</w:t>
      </w:r>
    </w:p>
    <w:p w14:paraId="12D1C1B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自评工作小组以会议方式对自评结果进行会审</w:t>
      </w:r>
      <w:r>
        <w:rPr>
          <w:rFonts w:hint="eastAsia" w:ascii="宋体" w:hAnsi="宋体" w:cs="宋体"/>
          <w:sz w:val="28"/>
          <w:szCs w:val="28"/>
          <w:lang w:val="en-US" w:eastAsia="zh-CN"/>
        </w:rPr>
        <w:t>；</w:t>
      </w:r>
    </w:p>
    <w:p w14:paraId="7A76998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en-US" w:eastAsia="zh-CN"/>
        </w:rPr>
        <w:t>6</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修改完善后按照要求将自评结果上报区财政局。</w:t>
      </w:r>
    </w:p>
    <w:p w14:paraId="40C6767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bCs/>
          <w:sz w:val="28"/>
          <w:szCs w:val="28"/>
          <w:lang w:val="zh-CN" w:eastAsia="zh-CN"/>
        </w:rPr>
      </w:pPr>
      <w:r>
        <w:rPr>
          <w:rFonts w:hint="eastAsia" w:ascii="宋体" w:hAnsi="宋体" w:cs="宋体"/>
          <w:b/>
          <w:bCs/>
          <w:sz w:val="28"/>
          <w:szCs w:val="28"/>
          <w:lang w:val="zh-CN" w:eastAsia="zh-CN"/>
        </w:rPr>
        <w:t>二、项目资金申报及使用情况</w:t>
      </w:r>
    </w:p>
    <w:p w14:paraId="4F49C52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bCs/>
          <w:sz w:val="28"/>
          <w:szCs w:val="28"/>
          <w:lang w:val="zh-CN"/>
        </w:rPr>
      </w:pPr>
      <w:r>
        <w:rPr>
          <w:rFonts w:hint="eastAsia" w:ascii="宋体" w:hAnsi="宋体" w:cs="宋体"/>
          <w:b/>
          <w:bCs/>
          <w:sz w:val="28"/>
          <w:szCs w:val="28"/>
          <w:lang w:val="zh-CN"/>
        </w:rPr>
        <w:t>（一）项目资金申报及批复情况。</w:t>
      </w:r>
    </w:p>
    <w:p w14:paraId="7DFF449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en-US" w:eastAsia="zh-CN"/>
        </w:rPr>
        <w:t>2022年6月</w:t>
      </w:r>
      <w:r>
        <w:rPr>
          <w:rFonts w:hint="eastAsia" w:ascii="宋体" w:hAnsi="宋体" w:eastAsia="宋体" w:cs="宋体"/>
          <w:sz w:val="28"/>
          <w:szCs w:val="28"/>
          <w:lang w:val="zh-CN" w:eastAsia="zh-CN"/>
        </w:rPr>
        <w:t>项目收益与融资自求平衡专项债券实施方案、收益与融资自求平衡专项债券财务评价报告、收益与融资自求平衡专项债券法律意见书均通过审核。</w:t>
      </w:r>
    </w:p>
    <w:p w14:paraId="417CB92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cs="宋体"/>
          <w:sz w:val="28"/>
          <w:szCs w:val="28"/>
          <w:lang w:val="zh-CN"/>
        </w:rPr>
        <w:t>项目</w:t>
      </w:r>
      <w:r>
        <w:rPr>
          <w:rFonts w:hint="eastAsia" w:ascii="宋体" w:hAnsi="宋体" w:eastAsia="宋体" w:cs="宋体"/>
          <w:sz w:val="28"/>
          <w:szCs w:val="28"/>
          <w:lang w:val="zh-CN"/>
        </w:rPr>
        <w:t>发行地方政府专项债券资金70,000.00万元，占比44.63%，拟分三期发行，其中2022年拟发行5,000.00万元，2023年拟发行30,000.00万元，2024年拟发行35,000.00万元；业主自筹资金86,843.85万元，占比55.37%</w:t>
      </w:r>
      <w:r>
        <w:rPr>
          <w:rFonts w:hint="eastAsia" w:ascii="宋体" w:hAnsi="宋体" w:eastAsia="宋体" w:cs="宋体"/>
          <w:sz w:val="28"/>
          <w:szCs w:val="28"/>
          <w:lang w:val="zh-CN" w:eastAsia="zh-CN"/>
        </w:rPr>
        <w:t>。</w:t>
      </w:r>
    </w:p>
    <w:p w14:paraId="05FC9F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2022年到位债券资金3000万元。</w:t>
      </w:r>
    </w:p>
    <w:p w14:paraId="1035215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68" w:leftChars="0" w:firstLine="562" w:firstLineChars="200"/>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资金计划、到位及使用情况。</w:t>
      </w:r>
    </w:p>
    <w:p w14:paraId="4A51D2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rPr>
        <w:t>1．资金计划。</w:t>
      </w:r>
      <w:r>
        <w:rPr>
          <w:rFonts w:hint="eastAsia" w:ascii="宋体" w:hAnsi="宋体" w:eastAsia="宋体" w:cs="宋体"/>
          <w:sz w:val="28"/>
          <w:szCs w:val="28"/>
          <w:lang w:val="en-US" w:eastAsia="zh-CN"/>
        </w:rPr>
        <w:t>项目资金计划3000万元。</w:t>
      </w:r>
    </w:p>
    <w:p w14:paraId="528200F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rPr>
        <w:t>2．资金到位。资金</w:t>
      </w:r>
      <w:r>
        <w:rPr>
          <w:rFonts w:hint="eastAsia" w:ascii="宋体" w:hAnsi="宋体" w:cs="宋体"/>
          <w:sz w:val="28"/>
          <w:szCs w:val="28"/>
          <w:lang w:val="zh-CN"/>
        </w:rPr>
        <w:t>到位</w:t>
      </w:r>
      <w:r>
        <w:rPr>
          <w:rFonts w:hint="eastAsia" w:ascii="宋体" w:hAnsi="宋体" w:cs="宋体"/>
          <w:sz w:val="28"/>
          <w:szCs w:val="28"/>
          <w:lang w:val="en-US" w:eastAsia="zh-CN"/>
        </w:rPr>
        <w:t>3000万元，</w:t>
      </w:r>
      <w:r>
        <w:rPr>
          <w:rFonts w:hint="eastAsia" w:ascii="宋体" w:hAnsi="宋体" w:eastAsia="宋体" w:cs="宋体"/>
          <w:sz w:val="28"/>
          <w:szCs w:val="28"/>
          <w:lang w:val="zh-CN"/>
        </w:rPr>
        <w:t>到位率</w:t>
      </w:r>
      <w:r>
        <w:rPr>
          <w:rFonts w:hint="eastAsia" w:ascii="宋体" w:hAnsi="宋体" w:eastAsia="宋体" w:cs="宋体"/>
          <w:sz w:val="28"/>
          <w:szCs w:val="28"/>
          <w:lang w:val="en-US" w:eastAsia="zh-CN"/>
        </w:rPr>
        <w:t>100%，</w:t>
      </w:r>
      <w:r>
        <w:rPr>
          <w:rFonts w:hint="eastAsia" w:ascii="宋体" w:hAnsi="宋体" w:eastAsia="宋体" w:cs="宋体"/>
          <w:sz w:val="28"/>
          <w:szCs w:val="28"/>
          <w:lang w:val="zh-CN"/>
        </w:rPr>
        <w:t>到位及时率</w:t>
      </w:r>
      <w:r>
        <w:rPr>
          <w:rFonts w:hint="eastAsia" w:ascii="宋体" w:hAnsi="宋体" w:eastAsia="宋体" w:cs="宋体"/>
          <w:sz w:val="28"/>
          <w:szCs w:val="28"/>
          <w:lang w:val="en-US" w:eastAsia="zh-CN"/>
        </w:rPr>
        <w:t>100%。</w:t>
      </w:r>
    </w:p>
    <w:p w14:paraId="7236E8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3．资金使用。资金支出</w:t>
      </w:r>
      <w:r>
        <w:rPr>
          <w:rFonts w:hint="eastAsia" w:ascii="宋体" w:hAnsi="宋体" w:eastAsia="宋体" w:cs="宋体"/>
          <w:sz w:val="28"/>
          <w:szCs w:val="28"/>
          <w:lang w:val="en-US" w:eastAsia="zh-CN"/>
        </w:rPr>
        <w:t>3000万元，</w:t>
      </w:r>
      <w:r>
        <w:rPr>
          <w:rFonts w:hint="eastAsia" w:ascii="宋体" w:hAnsi="宋体" w:cs="宋体"/>
          <w:sz w:val="28"/>
          <w:szCs w:val="28"/>
          <w:lang w:val="en-US" w:eastAsia="zh-CN"/>
        </w:rPr>
        <w:t>均用于工程进度款，</w:t>
      </w:r>
      <w:r>
        <w:rPr>
          <w:rFonts w:hint="eastAsia" w:ascii="宋体" w:hAnsi="宋体" w:eastAsia="宋体" w:cs="宋体"/>
          <w:sz w:val="28"/>
          <w:szCs w:val="28"/>
          <w:lang w:val="zh-CN"/>
        </w:rPr>
        <w:t>资金使用安全、规范、效果显著。资金支付范围</w:t>
      </w:r>
      <w:r>
        <w:rPr>
          <w:rFonts w:hint="eastAsia" w:ascii="宋体" w:hAnsi="宋体" w:cs="宋体"/>
          <w:sz w:val="28"/>
          <w:szCs w:val="28"/>
          <w:lang w:val="en-US" w:eastAsia="zh-CN"/>
        </w:rPr>
        <w:t>均为</w:t>
      </w:r>
      <w:r>
        <w:rPr>
          <w:rFonts w:hint="eastAsia" w:ascii="宋体" w:hAnsi="宋体" w:eastAsia="宋体" w:cs="宋体"/>
          <w:sz w:val="28"/>
          <w:szCs w:val="28"/>
          <w:lang w:val="zh-CN"/>
        </w:rPr>
        <w:t>。根据项目实施进度支付款项，支付依据合规合法，支出金额与预算相符。</w:t>
      </w:r>
    </w:p>
    <w:p w14:paraId="29D13DDA">
      <w:pPr>
        <w:pStyle w:val="7"/>
        <w:spacing w:line="600" w:lineRule="exact"/>
        <w:ind w:firstLine="562"/>
        <w:jc w:val="center"/>
        <w:rPr>
          <w:rFonts w:hAnsi="Times New Roman" w:eastAsia="仿宋_GB2312" w:cs="Times New Roman"/>
          <w:b/>
          <w:sz w:val="28"/>
          <w:szCs w:val="28"/>
        </w:rPr>
      </w:pPr>
      <w:r>
        <w:rPr>
          <w:rFonts w:hint="eastAsia" w:hAnsi="Times New Roman" w:eastAsia="仿宋_GB2312" w:cs="Times New Roman"/>
          <w:b/>
          <w:sz w:val="28"/>
          <w:szCs w:val="28"/>
        </w:rPr>
        <w:drawing>
          <wp:anchor distT="0" distB="0" distL="114300" distR="114300" simplePos="0" relativeHeight="251659264" behindDoc="0" locked="0" layoutInCell="1" allowOverlap="1">
            <wp:simplePos x="0" y="0"/>
            <wp:positionH relativeFrom="column">
              <wp:posOffset>143510</wp:posOffset>
            </wp:positionH>
            <wp:positionV relativeFrom="paragraph">
              <wp:posOffset>331470</wp:posOffset>
            </wp:positionV>
            <wp:extent cx="5276215" cy="2286000"/>
            <wp:effectExtent l="0" t="0" r="63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5276215" cy="2286000"/>
                    </a:xfrm>
                    <a:prstGeom prst="rect">
                      <a:avLst/>
                    </a:prstGeom>
                    <a:noFill/>
                    <a:ln>
                      <a:noFill/>
                    </a:ln>
                  </pic:spPr>
                </pic:pic>
              </a:graphicData>
            </a:graphic>
          </wp:anchor>
        </w:drawing>
      </w:r>
      <w:r>
        <w:rPr>
          <w:rFonts w:hint="eastAsia" w:hAnsi="Times New Roman" w:eastAsia="仿宋_GB2312" w:cs="Times New Roman"/>
          <w:b/>
          <w:sz w:val="28"/>
          <w:szCs w:val="28"/>
        </w:rPr>
        <w:t>债券资金使用情况明细表（单位：元）</w:t>
      </w:r>
    </w:p>
    <w:p w14:paraId="19233DA4">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lang w:val="zh-CN"/>
        </w:rPr>
      </w:pPr>
    </w:p>
    <w:p w14:paraId="4134045B">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lang w:val="zh-CN"/>
        </w:rPr>
      </w:pPr>
    </w:p>
    <w:p w14:paraId="1EDCA0ED">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lang w:val="zh-CN"/>
        </w:rPr>
      </w:pPr>
    </w:p>
    <w:p w14:paraId="7A798C7E">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lang w:val="zh-CN"/>
        </w:rPr>
      </w:pPr>
    </w:p>
    <w:p w14:paraId="7F309897">
      <w:pPr>
        <w:pStyle w:val="2"/>
        <w:rPr>
          <w:rFonts w:hint="eastAsia"/>
          <w:lang w:val="zh-CN"/>
        </w:rPr>
      </w:pPr>
    </w:p>
    <w:p w14:paraId="59CCDBA3">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w:t>
      </w:r>
      <w:r>
        <w:rPr>
          <w:rFonts w:hint="eastAsia" w:ascii="宋体" w:hAnsi="宋体" w:cs="宋体"/>
          <w:b/>
          <w:bCs/>
          <w:sz w:val="28"/>
          <w:szCs w:val="28"/>
          <w:lang w:val="zh-CN"/>
        </w:rPr>
        <w:t>三</w:t>
      </w:r>
      <w:r>
        <w:rPr>
          <w:rFonts w:hint="eastAsia" w:ascii="宋体" w:hAnsi="宋体" w:eastAsia="宋体" w:cs="宋体"/>
          <w:b/>
          <w:bCs/>
          <w:sz w:val="28"/>
          <w:szCs w:val="28"/>
          <w:lang w:val="zh-CN"/>
        </w:rPr>
        <w:t>）项目财务管理情况。</w:t>
      </w:r>
    </w:p>
    <w:p w14:paraId="6FB1CA0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楷体_GB2312" w:hAnsi="宋体" w:eastAsia="楷体_GB2312"/>
          <w:b/>
          <w:color w:val="auto"/>
          <w:sz w:val="32"/>
          <w:szCs w:val="32"/>
          <w:highlight w:val="none"/>
          <w:u w:val="none"/>
          <w:lang w:val="zh-CN"/>
        </w:rPr>
      </w:pPr>
      <w:r>
        <w:rPr>
          <w:rFonts w:hint="eastAsia" w:ascii="宋体" w:hAnsi="宋体" w:cs="宋体"/>
          <w:sz w:val="28"/>
          <w:szCs w:val="28"/>
          <w:lang w:val="zh-CN"/>
        </w:rPr>
        <w:t>（三）</w:t>
      </w:r>
      <w:r>
        <w:rPr>
          <w:rFonts w:hint="eastAsia" w:ascii="楷体_GB2312" w:hAnsi="宋体" w:eastAsia="楷体_GB2312"/>
          <w:b/>
          <w:color w:val="auto"/>
          <w:sz w:val="32"/>
          <w:szCs w:val="32"/>
          <w:highlight w:val="none"/>
          <w:u w:val="none"/>
          <w:lang w:val="zh-CN"/>
        </w:rPr>
        <w:t>项目财务管理情况。</w:t>
      </w:r>
    </w:p>
    <w:p w14:paraId="1ABAD43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本单位财务管理制度健全，</w:t>
      </w:r>
      <w:r>
        <w:rPr>
          <w:rFonts w:hint="eastAsia" w:ascii="宋体" w:hAnsi="宋体" w:cs="宋体"/>
          <w:sz w:val="28"/>
          <w:szCs w:val="28"/>
          <w:lang w:val="zh-CN"/>
        </w:rPr>
        <w:t>项目</w:t>
      </w:r>
      <w:r>
        <w:rPr>
          <w:rFonts w:hint="eastAsia" w:ascii="宋体" w:hAnsi="宋体" w:eastAsia="宋体" w:cs="宋体"/>
          <w:sz w:val="28"/>
          <w:szCs w:val="28"/>
          <w:lang w:val="zh-CN"/>
        </w:rPr>
        <w:t>严格执行财务管理制度，账务处理及时，会计核算规范。</w:t>
      </w:r>
    </w:p>
    <w:p w14:paraId="62C2DC6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rPr>
      </w:pPr>
      <w:r>
        <w:rPr>
          <w:rFonts w:hint="eastAsia" w:ascii="宋体" w:hAnsi="宋体" w:cs="宋体"/>
          <w:sz w:val="28"/>
          <w:szCs w:val="28"/>
          <w:lang w:val="zh-CN" w:eastAsia="zh-CN"/>
        </w:rPr>
        <w:t>资金拨付</w:t>
      </w:r>
      <w:r>
        <w:rPr>
          <w:rFonts w:hint="eastAsia" w:ascii="宋体" w:hAnsi="宋体" w:eastAsia="宋体" w:cs="宋体"/>
          <w:sz w:val="28"/>
          <w:szCs w:val="28"/>
          <w:lang w:val="zh-CN" w:eastAsia="zh-CN"/>
        </w:rPr>
        <w:t>按照</w:t>
      </w:r>
      <w:r>
        <w:rPr>
          <w:rFonts w:hint="eastAsia" w:ascii="宋体" w:hAnsi="宋体" w:eastAsia="宋体" w:cs="宋体"/>
          <w:sz w:val="28"/>
          <w:szCs w:val="28"/>
          <w:lang w:val="zh-CN"/>
        </w:rPr>
        <w:t>提交拨付申请→项目实施主体审核→区财政局审核→监管银行复核的资金拨付审批流程，同时项目单位还制定了项目财务管理制度，设置了资金支付发起人→项目会计→项目主管→财务负责人→财务分管副总→总经理→董事长→出纳的项目资金支付审批流程。资金的拨付和使用严格按照项目资金管理办法要求，严格执行财务管理制度，并且及时、规范的对收支进行账务处理和会计核算。</w:t>
      </w:r>
    </w:p>
    <w:p w14:paraId="64EDC08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bCs/>
          <w:sz w:val="28"/>
          <w:szCs w:val="28"/>
          <w:lang w:val="zh-CN" w:eastAsia="zh-CN"/>
        </w:rPr>
      </w:pPr>
      <w:r>
        <w:rPr>
          <w:rFonts w:hint="eastAsia" w:ascii="宋体" w:hAnsi="宋体" w:cs="宋体"/>
          <w:b/>
          <w:bCs/>
          <w:sz w:val="28"/>
          <w:szCs w:val="28"/>
          <w:lang w:val="zh-CN" w:eastAsia="zh-CN"/>
        </w:rPr>
        <w:t>三、项目实施及管理情况</w:t>
      </w:r>
    </w:p>
    <w:p w14:paraId="32B7EC85">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lang w:val="zh-CN" w:eastAsia="zh-CN"/>
        </w:rPr>
        <w:t>项目组织架构及实施流程。</w:t>
      </w:r>
    </w:p>
    <w:p w14:paraId="4C3A1D8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仿宋_GB2312" w:hAnsi="Times New Roman" w:eastAsia="仿宋_GB2312" w:cs="Times New Roman"/>
          <w:sz w:val="32"/>
          <w:szCs w:val="32"/>
        </w:rPr>
      </w:pPr>
      <w:r>
        <w:rPr>
          <w:rFonts w:hint="eastAsia" w:ascii="宋体" w:hAnsi="宋体" w:eastAsia="宋体" w:cs="宋体"/>
          <w:sz w:val="28"/>
          <w:szCs w:val="28"/>
          <w:lang w:val="zh-CN" w:eastAsia="zh-CN"/>
        </w:rPr>
        <w:t>该项目是在市政府工作推进领导小组和昭化区中国西部家居绿色产业城领导小组直接领导下，由四川昭旺家居产业投资有限责任公司作为项目业主单位实施本项目，在整个项目建设期间，市、区两级领导小组应设立有办公室、工程部、招商部、财务部、征地拆迁办公室等专项职能机构。</w:t>
      </w:r>
    </w:p>
    <w:p w14:paraId="366B877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我单位作为实施单位，成立了项目领导小组负责项目统筹安排及管理，安排专人负责实施。具体工作由项目业主</w:t>
      </w:r>
      <w:r>
        <w:rPr>
          <w:rFonts w:hint="eastAsia" w:ascii="宋体" w:hAnsi="宋体" w:eastAsia="宋体" w:cs="宋体"/>
          <w:sz w:val="28"/>
          <w:szCs w:val="28"/>
          <w:lang w:val="en-US" w:eastAsia="zh-CN"/>
        </w:rPr>
        <w:t>四川昭旺家居产业投资有限责任公司负责。</w:t>
      </w:r>
      <w:r>
        <w:rPr>
          <w:rFonts w:hint="eastAsia" w:ascii="宋体" w:hAnsi="宋体" w:cs="宋体"/>
          <w:sz w:val="28"/>
          <w:szCs w:val="28"/>
          <w:lang w:val="en-US" w:eastAsia="zh-CN"/>
        </w:rPr>
        <w:t>其</w:t>
      </w:r>
      <w:r>
        <w:rPr>
          <w:rFonts w:hint="eastAsia" w:ascii="宋体" w:hAnsi="宋体" w:eastAsia="宋体" w:cs="宋体"/>
          <w:sz w:val="28"/>
          <w:szCs w:val="28"/>
          <w:lang w:val="zh-CN" w:eastAsia="zh-CN"/>
        </w:rPr>
        <w:t>主要职责：</w:t>
      </w:r>
    </w:p>
    <w:p w14:paraId="50D7CCF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①对项目建设的全过程负责，对项目的工程质量、工程进度、工程安全和资金管理负总责。</w:t>
      </w:r>
    </w:p>
    <w:p w14:paraId="0610E17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a.负责组建现场建设管理机构或指派专职管理人员；</w:t>
      </w:r>
    </w:p>
    <w:p w14:paraId="353C6E0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b.负责拟订工程建设计划、质量管理制度、岗位责任制和安全生产责任制；</w:t>
      </w:r>
    </w:p>
    <w:p w14:paraId="78835E6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c.负责对工程质量、进度、安全、投资等进行管理、检查和监督；</w:t>
      </w:r>
    </w:p>
    <w:p w14:paraId="5CA7DDF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d.负责协调项目政策处理等外部关系；</w:t>
      </w:r>
    </w:p>
    <w:p w14:paraId="285DA8D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e.负责向主管部门定期汇报各项工作进展情况。</w:t>
      </w:r>
    </w:p>
    <w:p w14:paraId="5674E70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eastAsia="zh-CN"/>
        </w:rPr>
        <w:t>②按照</w:t>
      </w:r>
      <w:r>
        <w:rPr>
          <w:rFonts w:hint="eastAsia" w:ascii="宋体" w:hAnsi="宋体" w:cs="宋体"/>
          <w:sz w:val="28"/>
          <w:szCs w:val="28"/>
          <w:lang w:val="zh-CN" w:eastAsia="zh-CN"/>
        </w:rPr>
        <w:t>《中华人民共和国招标投标法》</w:t>
      </w:r>
      <w:r>
        <w:rPr>
          <w:rFonts w:hint="eastAsia" w:ascii="宋体" w:hAnsi="宋体" w:eastAsia="宋体" w:cs="宋体"/>
          <w:sz w:val="28"/>
          <w:szCs w:val="28"/>
          <w:lang w:val="zh-CN" w:eastAsia="zh-CN"/>
        </w:rPr>
        <w:t>、《中华人民共和国合同法》和《建设工程质量管理条例》的有关规定，通过公开招投标确定具有相应资质的勘察设计单位、施工单位、监理单位，并明确勘察设计单位、施工单位、工程监理单位质量终身责任人及其所应负的责任。</w:t>
      </w:r>
    </w:p>
    <w:p w14:paraId="58D00D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562" w:firstLineChars="200"/>
        <w:jc w:val="both"/>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en-US" w:eastAsia="zh-CN"/>
        </w:rPr>
        <w:t>（二）项目管</w:t>
      </w:r>
      <w:r>
        <w:rPr>
          <w:rFonts w:hint="eastAsia" w:ascii="宋体" w:hAnsi="宋体" w:eastAsia="宋体" w:cs="宋体"/>
          <w:b/>
          <w:bCs/>
          <w:sz w:val="28"/>
          <w:szCs w:val="28"/>
          <w:lang w:val="zh-CN"/>
        </w:rPr>
        <w:t>理情况。</w:t>
      </w:r>
    </w:p>
    <w:p w14:paraId="594159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Ansi="Times New Roman" w:eastAsia="仿宋_GB2312" w:cs="Times New Roman"/>
          <w:sz w:val="32"/>
          <w:szCs w:val="32"/>
        </w:rPr>
      </w:pPr>
      <w:r>
        <w:rPr>
          <w:rFonts w:hint="eastAsia" w:ascii="宋体" w:hAnsi="宋体" w:eastAsia="宋体" w:cs="宋体"/>
          <w:sz w:val="28"/>
          <w:szCs w:val="28"/>
          <w:lang w:val="zh-CN"/>
        </w:rPr>
        <w:t>本项目作为基本建设项目，严格按照基本建设程序实施，包括立项审批、勘察设计、预算评审、变更审批、质量监督、竣工验收、结算审查等</w:t>
      </w:r>
      <w:r>
        <w:rPr>
          <w:rFonts w:hint="eastAsia" w:ascii="宋体" w:hAnsi="宋体" w:cs="宋体"/>
          <w:sz w:val="28"/>
          <w:szCs w:val="28"/>
          <w:lang w:val="zh-CN"/>
        </w:rPr>
        <w:t>。</w:t>
      </w:r>
      <w:r>
        <w:rPr>
          <w:rFonts w:hint="eastAsia" w:ascii="宋体" w:hAnsi="宋体" w:eastAsia="宋体" w:cs="宋体"/>
          <w:sz w:val="28"/>
          <w:szCs w:val="28"/>
          <w:lang w:val="zh-CN"/>
        </w:rPr>
        <w:t>四川昭旺家居产业投资有限责任公司作为项目业主设立了工程部，负责项目施工进度与质量保证</w:t>
      </w:r>
      <w:r>
        <w:rPr>
          <w:rFonts w:hint="eastAsia" w:ascii="宋体" w:hAnsi="宋体" w:cs="宋体"/>
          <w:sz w:val="28"/>
          <w:szCs w:val="28"/>
          <w:lang w:val="zh-CN"/>
        </w:rPr>
        <w:t>，</w:t>
      </w:r>
      <w:r>
        <w:rPr>
          <w:rFonts w:hint="eastAsia" w:ascii="宋体" w:hAnsi="宋体" w:eastAsia="宋体" w:cs="宋体"/>
          <w:sz w:val="28"/>
          <w:szCs w:val="28"/>
          <w:lang w:val="zh-CN"/>
        </w:rPr>
        <w:t>施工单位广元建工集团有限公司建立了项目经理部，首盛建设集团有限公司作为监理单位对项目进行监理，项目在实施过程中严格执行国家、地方相关管理制度，并严格执行公司《安全生产责任追究制度》、《阳光采购监督管理办法》、《工程建设项目选聘管理办法》等制度，进行了项目招投标、项目公示等</w:t>
      </w:r>
      <w:r>
        <w:rPr>
          <w:rFonts w:hint="eastAsia" w:ascii="仿宋" w:hAnsi="仿宋" w:eastAsia="仿宋"/>
          <w:bCs/>
          <w:sz w:val="32"/>
          <w:szCs w:val="32"/>
        </w:rPr>
        <w:t>。</w:t>
      </w:r>
    </w:p>
    <w:p w14:paraId="41EFE6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rPr>
      </w:pPr>
      <w:r>
        <w:rPr>
          <w:rFonts w:hint="eastAsia" w:ascii="宋体" w:hAnsi="宋体" w:cs="宋体"/>
          <w:b/>
          <w:bCs/>
          <w:sz w:val="28"/>
          <w:szCs w:val="28"/>
          <w:lang w:val="en-US" w:eastAsia="zh-CN"/>
        </w:rPr>
        <w:t>（三）</w:t>
      </w:r>
      <w:r>
        <w:rPr>
          <w:rFonts w:hint="eastAsia" w:ascii="宋体" w:hAnsi="宋体" w:eastAsia="宋体" w:cs="宋体"/>
          <w:b/>
          <w:bCs/>
          <w:sz w:val="28"/>
          <w:szCs w:val="28"/>
          <w:lang w:val="zh-CN"/>
        </w:rPr>
        <w:t>项目监管情况。</w:t>
      </w:r>
    </w:p>
    <w:p w14:paraId="7B51AA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项目的实施接受建设主管部门的日常监管。债券资金的使用按照《广元市财政局关于全面实施专项债券资金在线监管的通知》要求实行一债一户，项目单位、主管部门、财政部门、开户银行共同监管。</w:t>
      </w:r>
      <w:r>
        <w:rPr>
          <w:rFonts w:hint="eastAsia" w:ascii="宋体" w:hAnsi="宋体" w:cs="宋体"/>
          <w:sz w:val="28"/>
          <w:szCs w:val="28"/>
          <w:lang w:val="zh-CN"/>
        </w:rPr>
        <w:t>我单位</w:t>
      </w:r>
      <w:r>
        <w:rPr>
          <w:rFonts w:hint="eastAsia" w:ascii="宋体" w:hAnsi="宋体" w:eastAsia="宋体" w:cs="宋体"/>
          <w:sz w:val="28"/>
          <w:szCs w:val="28"/>
          <w:lang w:val="zh-CN"/>
        </w:rPr>
        <w:t>对债券项目的专项收入和支出做好专账核算，明确反映资金的收支状况。将各类专项债券项目对应形成的资产纳入国有资产管理，建立相应的资产登记和统计报告制度，加强对资产的日常统计和动态监控。</w:t>
      </w:r>
    </w:p>
    <w:p w14:paraId="38C5BE2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bCs/>
          <w:sz w:val="28"/>
          <w:szCs w:val="28"/>
          <w:lang w:val="zh-CN" w:eastAsia="zh-CN"/>
        </w:rPr>
      </w:pPr>
      <w:r>
        <w:rPr>
          <w:rFonts w:hint="eastAsia" w:ascii="宋体" w:hAnsi="宋体" w:cs="宋体"/>
          <w:b/>
          <w:bCs/>
          <w:sz w:val="28"/>
          <w:szCs w:val="28"/>
          <w:lang w:val="zh-CN" w:eastAsia="zh-CN"/>
        </w:rPr>
        <w:t>四、项目绩效情况</w:t>
      </w:r>
      <w:r>
        <w:rPr>
          <w:rFonts w:hint="eastAsia" w:ascii="宋体" w:hAnsi="宋体" w:cs="宋体"/>
          <w:b/>
          <w:bCs/>
          <w:sz w:val="28"/>
          <w:szCs w:val="28"/>
          <w:lang w:val="zh-CN" w:eastAsia="zh-CN"/>
        </w:rPr>
        <w:tab/>
      </w:r>
    </w:p>
    <w:p w14:paraId="21EAD626">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（一）项目完成情况</w:t>
      </w:r>
      <w:r>
        <w:rPr>
          <w:rFonts w:hint="eastAsia" w:ascii="宋体" w:hAnsi="宋体" w:cs="宋体"/>
          <w:b/>
          <w:bCs/>
          <w:sz w:val="28"/>
          <w:szCs w:val="28"/>
          <w:lang w:val="zh-CN" w:eastAsia="zh-CN"/>
        </w:rPr>
        <w:t>。</w:t>
      </w:r>
    </w:p>
    <w:p w14:paraId="4F2E172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rPr>
        <w:t>项目</w:t>
      </w:r>
      <w:r>
        <w:rPr>
          <w:rFonts w:hint="eastAsia" w:ascii="宋体" w:hAnsi="宋体" w:eastAsia="宋体" w:cs="宋体"/>
          <w:sz w:val="28"/>
          <w:szCs w:val="28"/>
          <w:lang w:val="en-US" w:eastAsia="zh-CN"/>
        </w:rPr>
        <w:t>2022年完成</w:t>
      </w:r>
      <w:r>
        <w:rPr>
          <w:rFonts w:hint="eastAsia" w:ascii="宋体" w:hAnsi="宋体" w:eastAsia="宋体" w:cs="宋体"/>
          <w:sz w:val="28"/>
          <w:szCs w:val="28"/>
          <w:lang w:val="zh-CN"/>
        </w:rPr>
        <w:t>实际完成任务量为总工程量的80%</w:t>
      </w:r>
      <w:r>
        <w:rPr>
          <w:rFonts w:hint="eastAsia" w:ascii="宋体" w:hAnsi="宋体" w:eastAsia="宋体" w:cs="宋体"/>
          <w:sz w:val="28"/>
          <w:szCs w:val="28"/>
          <w:lang w:val="zh-CN" w:eastAsia="zh-CN"/>
        </w:rPr>
        <w:t>，</w:t>
      </w:r>
      <w:r>
        <w:rPr>
          <w:rFonts w:hint="eastAsia" w:ascii="宋体" w:hAnsi="宋体" w:eastAsia="宋体" w:cs="宋体"/>
          <w:sz w:val="28"/>
          <w:szCs w:val="28"/>
          <w:lang w:val="zh-CN"/>
        </w:rPr>
        <w:t>1#、2#、7#、8#楼厂房、综合楼配套设施用房完成竣工验收；长1257米的市政道路两条已完成竣工验收。因新冠疫情反复的影响，整体项目完成任务量略滞后于项目目标任务量。未超预算，无资金结余，无违规违纪情况。</w:t>
      </w:r>
      <w:r>
        <w:rPr>
          <w:rFonts w:hint="eastAsia" w:ascii="宋体" w:hAnsi="宋体" w:eastAsia="宋体" w:cs="宋体"/>
          <w:sz w:val="28"/>
          <w:szCs w:val="28"/>
          <w:lang w:val="en-US" w:eastAsia="zh-CN"/>
        </w:rPr>
        <w:t xml:space="preserve">      </w:t>
      </w:r>
    </w:p>
    <w:p w14:paraId="7B1C1C3E">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（二）项目效益情况</w:t>
      </w:r>
      <w:r>
        <w:rPr>
          <w:rFonts w:hint="eastAsia" w:ascii="宋体" w:hAnsi="宋体" w:cs="宋体"/>
          <w:b/>
          <w:bCs/>
          <w:sz w:val="28"/>
          <w:szCs w:val="28"/>
          <w:lang w:val="zh-CN" w:eastAsia="zh-CN"/>
        </w:rPr>
        <w:t>。</w:t>
      </w:r>
    </w:p>
    <w:p w14:paraId="6B99E3D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项目计划时间是2024年完成，建成后项目</w:t>
      </w:r>
      <w:r>
        <w:rPr>
          <w:rFonts w:hint="eastAsia" w:ascii="宋体" w:hAnsi="宋体" w:cs="宋体"/>
          <w:sz w:val="28"/>
          <w:szCs w:val="28"/>
          <w:lang w:val="en-US" w:eastAsia="zh-CN"/>
        </w:rPr>
        <w:t>项目效益良好，本次完成的部分即将产生效益：</w:t>
      </w:r>
    </w:p>
    <w:p w14:paraId="71BF414E">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经济效益</w:t>
      </w:r>
    </w:p>
    <w:p w14:paraId="49F5F4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cs="宋体"/>
          <w:sz w:val="28"/>
          <w:szCs w:val="28"/>
          <w:lang w:val="en-US" w:eastAsia="zh-CN"/>
        </w:rPr>
      </w:pPr>
      <w:r>
        <w:rPr>
          <w:rFonts w:hint="eastAsia" w:ascii="宋体" w:hAnsi="宋体" w:eastAsia="宋体" w:cs="宋体"/>
          <w:sz w:val="28"/>
          <w:szCs w:val="28"/>
          <w:lang w:val="en-US" w:eastAsia="zh-CN"/>
        </w:rPr>
        <w:t>项目经济效益显著。本部分</w:t>
      </w:r>
      <w:r>
        <w:rPr>
          <w:rFonts w:hint="eastAsia" w:ascii="宋体" w:hAnsi="宋体" w:eastAsia="宋体" w:cs="宋体"/>
          <w:sz w:val="28"/>
          <w:szCs w:val="28"/>
          <w:lang w:val="zh-CN"/>
        </w:rPr>
        <w:t>厂房建设完成后，预计引进家居企业5家以上入驻园区生产经营；出租厂房以及配套设施的用房租赁，预计可实现厂房租赁及其他经营收入2000万元/年</w:t>
      </w:r>
      <w:r>
        <w:rPr>
          <w:rFonts w:hint="eastAsia" w:ascii="仿宋_GB2312" w:hAnsi="Times New Roman" w:eastAsia="仿宋_GB2312" w:cs="Times New Roman"/>
          <w:sz w:val="32"/>
          <w:szCs w:val="32"/>
        </w:rPr>
        <w:t>。</w:t>
      </w:r>
      <w:r>
        <w:rPr>
          <w:rFonts w:hint="eastAsia" w:ascii="宋体" w:hAnsi="宋体" w:eastAsia="宋体" w:cs="宋体"/>
          <w:sz w:val="28"/>
          <w:szCs w:val="28"/>
          <w:lang w:val="zh-CN"/>
        </w:rPr>
        <w:t>该项目以现代化工业园区的标准设计建经济厂房28万平米，配送中心20万平米，配套设施用房5.94万平米，道路4.59公里，满足未来几年的工业增长需求。吸引更多社会资金来投资建厂</w:t>
      </w:r>
      <w:r>
        <w:rPr>
          <w:rFonts w:hint="eastAsia" w:ascii="宋体" w:hAnsi="宋体" w:cs="宋体"/>
          <w:sz w:val="28"/>
          <w:szCs w:val="28"/>
          <w:lang w:val="en-US" w:eastAsia="zh-CN"/>
        </w:rPr>
        <w:t>；根据实施方案运营期累计利润达4亿元。</w:t>
      </w:r>
    </w:p>
    <w:p w14:paraId="579CE4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社会效益</w:t>
      </w:r>
    </w:p>
    <w:p w14:paraId="2A52871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lang w:val="en-US" w:eastAsia="zh-CN"/>
        </w:rPr>
      </w:pPr>
      <w:r>
        <w:rPr>
          <w:rFonts w:hint="eastAsia" w:ascii="宋体" w:hAnsi="宋体" w:eastAsia="宋体" w:cs="宋体"/>
          <w:sz w:val="28"/>
          <w:szCs w:val="28"/>
          <w:lang w:val="en-US" w:eastAsia="zh-CN"/>
        </w:rPr>
        <w:t>项目在建设期会采购周边建辅建材，雇佣大量建筑工人，预计可为昭化区创造至少50个就业岗位；另一方面，经营期能够吸纳周边富余劳动力进厂务工，并在工作中提高员工的水平，并随着园区的成熟带动周边服务产业</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该项目位于昭化区元坝镇大坝村，项目体量较大，辐射范围广，项目在建设期会采购周边建辅建材，雇佣大量建筑工人，运营期能够吸纳周边富余劳动力进厂务工，并在工作中提高员工的水平，并随着园区的成熟带动周边服务产业。项目能够持续提高当地人民生活水平，巩固拓展脱贫攻坚成果，保持社会稳定方面将发挥积极作用。</w:t>
      </w:r>
      <w:r>
        <w:rPr>
          <w:rFonts w:hint="eastAsia" w:ascii="宋体" w:hAnsi="宋体" w:cs="宋体"/>
          <w:sz w:val="28"/>
          <w:szCs w:val="28"/>
          <w:lang w:val="en-US" w:eastAsia="zh-CN"/>
        </w:rPr>
        <w:t>整个项目投入运营后</w:t>
      </w:r>
      <w:r>
        <w:rPr>
          <w:rFonts w:hint="eastAsia" w:ascii="宋体" w:hAnsi="宋体" w:eastAsia="宋体" w:cs="宋体"/>
          <w:sz w:val="28"/>
          <w:szCs w:val="28"/>
          <w:lang w:val="en-US" w:eastAsia="zh-CN"/>
        </w:rPr>
        <w:t>运营期预计可为当地创造</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00</w:t>
      </w:r>
      <w:r>
        <w:rPr>
          <w:rFonts w:hint="eastAsia" w:ascii="宋体" w:hAnsi="宋体" w:cs="宋体"/>
          <w:sz w:val="28"/>
          <w:szCs w:val="28"/>
          <w:lang w:val="en-US" w:eastAsia="zh-CN"/>
        </w:rPr>
        <w:t>0</w:t>
      </w:r>
      <w:r>
        <w:rPr>
          <w:rFonts w:hint="eastAsia" w:ascii="宋体" w:hAnsi="宋体" w:eastAsia="宋体" w:cs="宋体"/>
          <w:sz w:val="28"/>
          <w:szCs w:val="28"/>
          <w:lang w:val="en-US" w:eastAsia="zh-CN"/>
        </w:rPr>
        <w:t>个岗位。</w:t>
      </w:r>
      <w:r>
        <w:rPr>
          <w:rFonts w:hint="eastAsia" w:ascii="宋体" w:hAnsi="宋体" w:cs="宋体"/>
          <w:sz w:val="28"/>
          <w:szCs w:val="28"/>
          <w:lang w:val="en-US" w:eastAsia="zh-CN"/>
        </w:rPr>
        <w:t>项目收益覆盖倍数1.2倍，创造良好的投资环境。</w:t>
      </w:r>
    </w:p>
    <w:p w14:paraId="0351188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家居产业园建设是落实巩固拓展脱贫攻坚成果的具体举措，是防止返贫的有效机制，是昭化区巩固脱贫攻坚工作的重要亮点。农村一二三产业融合发展水平进一步提升；农民增收渠道进一步拓宽，城乡居民生活水平差距持续缩小；有助于项目区贫困人口实现脱贫，解决区域性整体贫困，有效防止项目区已脱贫人口返贫；农村基础设施建设深入推进，农村人居环境明显改善，美丽宜居乡村建设扎实推进，有助于达成乡村振兴的伟大战略目标</w:t>
      </w:r>
      <w:r>
        <w:rPr>
          <w:rFonts w:hint="eastAsia" w:ascii="宋体" w:hAnsi="宋体" w:cs="宋体"/>
          <w:sz w:val="28"/>
          <w:szCs w:val="28"/>
          <w:lang w:val="en-US" w:eastAsia="zh-CN"/>
        </w:rPr>
        <w:t>。</w:t>
      </w:r>
    </w:p>
    <w:p w14:paraId="6C872D7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bCs/>
          <w:sz w:val="28"/>
          <w:szCs w:val="28"/>
          <w:lang w:val="zh-CN" w:eastAsia="zh-CN"/>
        </w:rPr>
      </w:pPr>
      <w:r>
        <w:rPr>
          <w:rFonts w:hint="eastAsia" w:ascii="宋体" w:hAnsi="宋体" w:cs="宋体"/>
          <w:b/>
          <w:bCs/>
          <w:sz w:val="28"/>
          <w:szCs w:val="28"/>
          <w:lang w:val="zh-CN" w:eastAsia="zh-CN"/>
        </w:rPr>
        <w:t>五、评价结论及建议</w:t>
      </w:r>
    </w:p>
    <w:p w14:paraId="572B2BBC">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（一）评价结论</w:t>
      </w:r>
      <w:r>
        <w:rPr>
          <w:rFonts w:hint="eastAsia" w:ascii="宋体" w:hAnsi="宋体" w:cs="宋体"/>
          <w:b/>
          <w:bCs/>
          <w:sz w:val="28"/>
          <w:szCs w:val="28"/>
          <w:lang w:val="zh-CN"/>
        </w:rPr>
        <w:t>。</w:t>
      </w:r>
    </w:p>
    <w:p w14:paraId="2FB56F5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中国西部（广元）绿色家居产业城扶贫项目-启动区大坝组团项目</w:t>
      </w:r>
      <w:r>
        <w:rPr>
          <w:rFonts w:hint="eastAsia" w:ascii="宋体" w:hAnsi="宋体" w:cs="宋体"/>
          <w:sz w:val="28"/>
          <w:szCs w:val="28"/>
          <w:lang w:val="en-US" w:eastAsia="zh-CN"/>
        </w:rPr>
        <w:t>有立项批复，</w:t>
      </w:r>
      <w:r>
        <w:rPr>
          <w:rFonts w:hint="eastAsia" w:ascii="宋体" w:hAnsi="宋体" w:eastAsia="宋体" w:cs="宋体"/>
          <w:sz w:val="28"/>
          <w:szCs w:val="28"/>
          <w:lang w:val="zh-CN" w:eastAsia="zh-CN"/>
        </w:rPr>
        <w:t>项目收益与融资自求平衡专项债券实施方案、收益与融资自求平衡专项债券财务评价报告、收益与融资自求平衡专项债券法律意见书均通过审核</w:t>
      </w:r>
      <w:r>
        <w:rPr>
          <w:rFonts w:hint="eastAsia" w:ascii="宋体" w:hAnsi="宋体" w:cs="宋体"/>
          <w:sz w:val="28"/>
          <w:szCs w:val="28"/>
          <w:lang w:val="zh-CN" w:eastAsia="zh-CN"/>
        </w:rPr>
        <w:t>，项目程序严密、规划合理、制度完备；</w:t>
      </w:r>
      <w:r>
        <w:rPr>
          <w:rFonts w:hint="eastAsia" w:ascii="宋体" w:hAnsi="宋体" w:eastAsia="宋体" w:cs="宋体"/>
          <w:sz w:val="28"/>
          <w:szCs w:val="28"/>
          <w:lang w:val="en-US" w:eastAsia="zh-CN"/>
        </w:rPr>
        <w:t>项目严格按照基本建设管理制度</w:t>
      </w:r>
      <w:r>
        <w:rPr>
          <w:rFonts w:hint="eastAsia" w:ascii="宋体" w:hAnsi="宋体" w:cs="宋体"/>
          <w:sz w:val="28"/>
          <w:szCs w:val="28"/>
          <w:lang w:val="en-US" w:eastAsia="zh-CN"/>
        </w:rPr>
        <w:t>和地方政府债券管理要求执行，分配合理、使用合规、执行有效；项目无资金结余，</w:t>
      </w:r>
      <w:r>
        <w:rPr>
          <w:rFonts w:hint="eastAsia" w:ascii="宋体" w:hAnsi="宋体" w:eastAsia="宋体" w:cs="宋体"/>
          <w:sz w:val="28"/>
          <w:szCs w:val="28"/>
          <w:lang w:val="en-US" w:eastAsia="zh-CN"/>
        </w:rPr>
        <w:t>管理良好，实施有序，</w:t>
      </w:r>
      <w:r>
        <w:rPr>
          <w:rFonts w:hint="eastAsia" w:ascii="宋体" w:hAnsi="宋体" w:cs="宋体"/>
          <w:sz w:val="28"/>
          <w:szCs w:val="28"/>
          <w:lang w:val="en-US" w:eastAsia="zh-CN"/>
        </w:rPr>
        <w:t>完成后取得预期效益</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2022年虽然因疫情原因导致</w:t>
      </w:r>
      <w:r>
        <w:rPr>
          <w:rFonts w:hint="eastAsia" w:ascii="宋体" w:hAnsi="宋体" w:eastAsia="宋体" w:cs="宋体"/>
          <w:sz w:val="28"/>
          <w:szCs w:val="28"/>
          <w:lang w:val="zh-CN"/>
        </w:rPr>
        <w:t>整体项目完成任务量略滞后于项目目标任务量</w:t>
      </w:r>
      <w:r>
        <w:rPr>
          <w:rFonts w:hint="eastAsia" w:ascii="宋体" w:hAnsi="宋体" w:cs="宋体"/>
          <w:sz w:val="28"/>
          <w:szCs w:val="28"/>
          <w:lang w:val="zh-CN"/>
        </w:rPr>
        <w:t>，但基本达到</w:t>
      </w:r>
      <w:r>
        <w:rPr>
          <w:rFonts w:hint="eastAsia" w:ascii="宋体" w:hAnsi="宋体" w:eastAsia="宋体" w:cs="宋体"/>
          <w:sz w:val="28"/>
          <w:szCs w:val="28"/>
          <w:lang w:val="en-US" w:eastAsia="zh-CN"/>
        </w:rPr>
        <w:t>预期目标</w:t>
      </w:r>
      <w:r>
        <w:rPr>
          <w:rFonts w:hint="eastAsia" w:ascii="宋体" w:hAnsi="宋体" w:eastAsia="宋体" w:cs="宋体"/>
          <w:sz w:val="28"/>
          <w:szCs w:val="28"/>
          <w:lang w:val="zh-CN"/>
        </w:rPr>
        <w:t>。</w:t>
      </w:r>
      <w:r>
        <w:rPr>
          <w:rFonts w:hint="eastAsia" w:ascii="宋体" w:hAnsi="宋体" w:cs="宋体"/>
          <w:sz w:val="28"/>
          <w:szCs w:val="28"/>
          <w:lang w:val="zh-CN"/>
        </w:rPr>
        <w:t>自评</w:t>
      </w:r>
      <w:r>
        <w:rPr>
          <w:rFonts w:hint="eastAsia" w:ascii="宋体" w:hAnsi="宋体" w:eastAsia="宋体" w:cs="宋体"/>
          <w:sz w:val="28"/>
          <w:szCs w:val="28"/>
          <w:lang w:val="zh-CN"/>
        </w:rPr>
        <w:t>得分</w:t>
      </w:r>
      <w:r>
        <w:rPr>
          <w:rFonts w:hint="eastAsia" w:ascii="宋体" w:hAnsi="宋体" w:eastAsia="宋体" w:cs="宋体"/>
          <w:sz w:val="28"/>
          <w:szCs w:val="28"/>
          <w:lang w:val="en-US" w:eastAsia="zh-CN"/>
        </w:rPr>
        <w:t>9</w:t>
      </w:r>
      <w:r>
        <w:rPr>
          <w:rFonts w:hint="eastAsia" w:ascii="宋体" w:hAnsi="宋体" w:cs="宋体"/>
          <w:sz w:val="28"/>
          <w:szCs w:val="28"/>
          <w:lang w:val="en-US" w:eastAsia="zh-CN"/>
        </w:rPr>
        <w:t>8</w:t>
      </w:r>
      <w:r>
        <w:rPr>
          <w:rFonts w:hint="eastAsia" w:ascii="宋体" w:hAnsi="宋体" w:eastAsia="宋体" w:cs="宋体"/>
          <w:sz w:val="28"/>
          <w:szCs w:val="28"/>
          <w:lang w:val="en-US" w:eastAsia="zh-CN"/>
        </w:rPr>
        <w:t>分。</w:t>
      </w:r>
    </w:p>
    <w:p w14:paraId="4F1303AD">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（二）存在的问题</w:t>
      </w:r>
      <w:r>
        <w:rPr>
          <w:rFonts w:hint="eastAsia" w:ascii="宋体" w:hAnsi="宋体" w:cs="宋体"/>
          <w:b/>
          <w:bCs/>
          <w:sz w:val="28"/>
          <w:szCs w:val="28"/>
          <w:lang w:val="zh-CN"/>
        </w:rPr>
        <w:t>。</w:t>
      </w:r>
    </w:p>
    <w:p w14:paraId="0ADEC9B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sz w:val="28"/>
          <w:szCs w:val="28"/>
          <w:lang w:val="zh-CN"/>
        </w:rPr>
      </w:pPr>
      <w:r>
        <w:rPr>
          <w:rFonts w:hint="eastAsia" w:ascii="宋体" w:hAnsi="宋体" w:cs="宋体"/>
          <w:sz w:val="28"/>
          <w:szCs w:val="28"/>
          <w:lang w:val="zh-CN"/>
        </w:rPr>
        <w:t>疫情原因导致项目进度滞后。</w:t>
      </w:r>
    </w:p>
    <w:p w14:paraId="384FB0C8">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（三）相关建议</w:t>
      </w:r>
      <w:r>
        <w:rPr>
          <w:rFonts w:hint="eastAsia" w:ascii="宋体" w:hAnsi="宋体" w:cs="宋体"/>
          <w:b/>
          <w:bCs/>
          <w:sz w:val="28"/>
          <w:szCs w:val="28"/>
          <w:lang w:val="zh-CN"/>
        </w:rPr>
        <w:t>。</w:t>
      </w:r>
    </w:p>
    <w:p w14:paraId="67B0EC4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sz w:val="28"/>
          <w:szCs w:val="28"/>
          <w:lang w:eastAsia="zh-CN"/>
        </w:rPr>
      </w:pPr>
      <w:r>
        <w:rPr>
          <w:rFonts w:hint="eastAsia" w:ascii="宋体" w:hAnsi="宋体" w:cs="宋体"/>
          <w:sz w:val="28"/>
          <w:szCs w:val="28"/>
          <w:lang w:eastAsia="zh-CN"/>
        </w:rPr>
        <w:t>在后期的建设中加快进度，争取按照实施方案按时间节点完成计划任务，及早投入使用和运营，取得运营收入，按计划还本付息，实行预期目标。</w:t>
      </w:r>
    </w:p>
    <w:p w14:paraId="0231C20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lang w:eastAsia="zh-CN"/>
        </w:rPr>
      </w:pPr>
      <w:r>
        <w:rPr>
          <w:rFonts w:hint="eastAsia" w:ascii="宋体" w:hAnsi="宋体" w:cs="宋体"/>
          <w:sz w:val="28"/>
          <w:szCs w:val="28"/>
          <w:lang w:eastAsia="zh-CN"/>
        </w:rPr>
        <w:t>附表：</w:t>
      </w:r>
    </w:p>
    <w:tbl>
      <w:tblPr>
        <w:tblStyle w:val="16"/>
        <w:tblW w:w="9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0"/>
        <w:gridCol w:w="613"/>
        <w:gridCol w:w="1799"/>
        <w:gridCol w:w="1004"/>
        <w:gridCol w:w="1172"/>
        <w:gridCol w:w="1283"/>
        <w:gridCol w:w="1394"/>
        <w:gridCol w:w="1285"/>
      </w:tblGrid>
      <w:tr w14:paraId="5AFB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9080" w:type="dxa"/>
            <w:gridSpan w:val="8"/>
            <w:tcBorders>
              <w:top w:val="nil"/>
              <w:left w:val="nil"/>
              <w:bottom w:val="nil"/>
              <w:right w:val="nil"/>
            </w:tcBorders>
            <w:shd w:val="clear" w:color="auto" w:fill="auto"/>
            <w:noWrap/>
            <w:vAlign w:val="center"/>
          </w:tcPr>
          <w:p w14:paraId="7EADE884">
            <w:pPr>
              <w:keepNext w:val="0"/>
              <w:keepLines w:val="0"/>
              <w:widowControl/>
              <w:suppressLineNumbers w:val="0"/>
              <w:jc w:val="center"/>
              <w:textAlignment w:val="center"/>
              <w:rPr>
                <w:rFonts w:hint="eastAsia" w:ascii="宋体" w:hAnsi="宋体" w:eastAsia="宋体" w:cs="宋体"/>
                <w:i w:val="0"/>
                <w:iCs w:val="0"/>
                <w:color w:val="000000"/>
                <w:sz w:val="34"/>
                <w:szCs w:val="34"/>
                <w:u w:val="none"/>
              </w:rPr>
            </w:pPr>
            <w:r>
              <w:rPr>
                <w:rFonts w:hint="eastAsia" w:ascii="宋体" w:hAnsi="宋体" w:eastAsia="宋体" w:cs="宋体"/>
                <w:i w:val="0"/>
                <w:iCs w:val="0"/>
                <w:color w:val="000000"/>
                <w:kern w:val="0"/>
                <w:sz w:val="34"/>
                <w:szCs w:val="34"/>
                <w:u w:val="none"/>
                <w:lang w:val="en-US" w:eastAsia="zh-CN" w:bidi="ar"/>
              </w:rPr>
              <w:t>广元市昭化区财政项目支出绩效自评表</w:t>
            </w:r>
          </w:p>
        </w:tc>
      </w:tr>
      <w:tr w14:paraId="03AF9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0" w:type="auto"/>
            <w:gridSpan w:val="8"/>
            <w:tcBorders>
              <w:top w:val="nil"/>
              <w:left w:val="nil"/>
              <w:bottom w:val="nil"/>
              <w:right w:val="nil"/>
            </w:tcBorders>
            <w:shd w:val="clear" w:color="auto" w:fill="auto"/>
            <w:noWrap/>
            <w:vAlign w:val="center"/>
          </w:tcPr>
          <w:p w14:paraId="44C54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2022年度）</w:t>
            </w:r>
          </w:p>
        </w:tc>
      </w:tr>
      <w:tr w14:paraId="5148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43"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691BDC7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937" w:type="dxa"/>
            <w:gridSpan w:val="6"/>
            <w:tcBorders>
              <w:top w:val="single" w:color="000000" w:sz="4" w:space="0"/>
              <w:left w:val="single" w:color="000000" w:sz="4" w:space="0"/>
              <w:bottom w:val="single" w:color="000000" w:sz="4" w:space="0"/>
              <w:right w:val="single" w:color="000000" w:sz="4" w:space="0"/>
            </w:tcBorders>
            <w:shd w:val="clear" w:color="auto" w:fill="FFFFFF"/>
            <w:vAlign w:val="top"/>
          </w:tcPr>
          <w:p w14:paraId="1D141BCC">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w:t>
            </w:r>
            <w:r>
              <w:rPr>
                <w:rStyle w:val="39"/>
                <w:lang w:val="en-US" w:eastAsia="zh-CN" w:bidi="ar"/>
              </w:rPr>
              <w:t>年家居产业城启动大坝项目债劵资金</w:t>
            </w:r>
          </w:p>
        </w:tc>
      </w:tr>
      <w:tr w14:paraId="38B57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143"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1DF48C5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975" w:type="dxa"/>
            <w:gridSpan w:val="3"/>
            <w:tcBorders>
              <w:top w:val="nil"/>
              <w:left w:val="single" w:color="000000" w:sz="4" w:space="0"/>
              <w:bottom w:val="single" w:color="000000" w:sz="4" w:space="0"/>
              <w:right w:val="single" w:color="000000" w:sz="4" w:space="0"/>
            </w:tcBorders>
            <w:shd w:val="clear" w:color="auto" w:fill="FFFFFF"/>
            <w:vAlign w:val="center"/>
          </w:tcPr>
          <w:p w14:paraId="21BAF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四川广元昭化经济开发区管理委员会</w:t>
            </w:r>
          </w:p>
        </w:tc>
        <w:tc>
          <w:tcPr>
            <w:tcW w:w="1283" w:type="dxa"/>
            <w:tcBorders>
              <w:top w:val="nil"/>
              <w:left w:val="single" w:color="000000" w:sz="4" w:space="0"/>
              <w:bottom w:val="single" w:color="000000" w:sz="4" w:space="0"/>
              <w:right w:val="single" w:color="000000" w:sz="4" w:space="0"/>
            </w:tcBorders>
            <w:shd w:val="clear" w:color="auto" w:fill="FFFFFF"/>
            <w:vAlign w:val="bottom"/>
          </w:tcPr>
          <w:p w14:paraId="34A71D6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4E9DC13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四川广元昭化经济开发区管理委员会</w:t>
            </w:r>
          </w:p>
        </w:tc>
      </w:tr>
      <w:tr w14:paraId="327B8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4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946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 （万元）</w:t>
            </w:r>
          </w:p>
        </w:tc>
        <w:tc>
          <w:tcPr>
            <w:tcW w:w="2803"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43FEE52C">
            <w:pPr>
              <w:jc w:val="left"/>
              <w:rPr>
                <w:rFonts w:hint="default" w:ascii="Times New Roman" w:hAnsi="Times New Roman" w:eastAsia="宋体" w:cs="Times New Roman"/>
                <w:i w:val="0"/>
                <w:iCs w:val="0"/>
                <w:color w:val="000000"/>
                <w:sz w:val="20"/>
                <w:szCs w:val="20"/>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1F4DCF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F9A9A6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394" w:type="dxa"/>
            <w:tcBorders>
              <w:top w:val="nil"/>
              <w:left w:val="single" w:color="000000" w:sz="4" w:space="0"/>
              <w:bottom w:val="single" w:color="000000" w:sz="4" w:space="0"/>
              <w:right w:val="single" w:color="000000" w:sz="4" w:space="0"/>
            </w:tcBorders>
            <w:shd w:val="clear" w:color="auto" w:fill="FFFFFF"/>
            <w:vAlign w:val="bottom"/>
          </w:tcPr>
          <w:p w14:paraId="02ED00B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285" w:type="dxa"/>
            <w:tcBorders>
              <w:top w:val="nil"/>
              <w:left w:val="single" w:color="000000" w:sz="4" w:space="0"/>
              <w:bottom w:val="single" w:color="000000" w:sz="4" w:space="0"/>
              <w:right w:val="single" w:color="000000" w:sz="4" w:space="0"/>
            </w:tcBorders>
            <w:shd w:val="clear" w:color="auto" w:fill="FFFFFF"/>
            <w:vAlign w:val="bottom"/>
          </w:tcPr>
          <w:p w14:paraId="3BE4592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36BA3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4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D486B4">
            <w:pPr>
              <w:jc w:val="center"/>
              <w:rPr>
                <w:rFonts w:hint="eastAsia" w:ascii="宋体" w:hAnsi="宋体" w:eastAsia="宋体" w:cs="宋体"/>
                <w:i w:val="0"/>
                <w:iCs w:val="0"/>
                <w:color w:val="000000"/>
                <w:sz w:val="20"/>
                <w:szCs w:val="20"/>
                <w:u w:val="none"/>
              </w:rPr>
            </w:pPr>
          </w:p>
        </w:tc>
        <w:tc>
          <w:tcPr>
            <w:tcW w:w="2803"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49A1585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1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6D4205">
            <w:pPr>
              <w:jc w:val="left"/>
              <w:rPr>
                <w:rFonts w:hint="eastAsia" w:ascii="宋体" w:hAnsi="宋体" w:eastAsia="宋体" w:cs="宋体"/>
                <w:i w:val="0"/>
                <w:iCs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top"/>
          </w:tcPr>
          <w:p w14:paraId="6E30EA7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top"/>
          </w:tcPr>
          <w:p w14:paraId="41A715D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B2C506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BD2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4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F6CA5F">
            <w:pPr>
              <w:jc w:val="center"/>
              <w:rPr>
                <w:rFonts w:hint="eastAsia" w:ascii="宋体" w:hAnsi="宋体" w:eastAsia="宋体" w:cs="宋体"/>
                <w:i w:val="0"/>
                <w:iCs w:val="0"/>
                <w:color w:val="000000"/>
                <w:sz w:val="20"/>
                <w:szCs w:val="20"/>
                <w:u w:val="none"/>
              </w:rPr>
            </w:pPr>
          </w:p>
        </w:tc>
        <w:tc>
          <w:tcPr>
            <w:tcW w:w="2803"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55C8DEB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（-）财政拨款小计</w:t>
            </w:r>
          </w:p>
        </w:tc>
        <w:tc>
          <w:tcPr>
            <w:tcW w:w="11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59869D0">
            <w:pPr>
              <w:jc w:val="left"/>
              <w:rPr>
                <w:rFonts w:hint="eastAsia" w:ascii="宋体" w:hAnsi="宋体" w:eastAsia="宋体" w:cs="宋体"/>
                <w:i w:val="0"/>
                <w:iCs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76B3A6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top"/>
          </w:tcPr>
          <w:p w14:paraId="4C7CE71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CD6B2F">
            <w:pPr>
              <w:jc w:val="left"/>
              <w:rPr>
                <w:rFonts w:hint="default" w:ascii="Times New Roman" w:hAnsi="Times New Roman" w:eastAsia="宋体" w:cs="Times New Roman"/>
                <w:i w:val="0"/>
                <w:iCs w:val="0"/>
                <w:color w:val="000000"/>
                <w:sz w:val="20"/>
                <w:szCs w:val="20"/>
                <w:u w:val="none"/>
              </w:rPr>
            </w:pPr>
          </w:p>
        </w:tc>
      </w:tr>
      <w:tr w14:paraId="7CDED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4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56C8EC">
            <w:pPr>
              <w:jc w:val="center"/>
              <w:rPr>
                <w:rFonts w:hint="eastAsia" w:ascii="宋体" w:hAnsi="宋体" w:eastAsia="宋体" w:cs="宋体"/>
                <w:i w:val="0"/>
                <w:iCs w:val="0"/>
                <w:color w:val="000000"/>
                <w:sz w:val="20"/>
                <w:szCs w:val="20"/>
                <w:u w:val="none"/>
              </w:rPr>
            </w:pPr>
          </w:p>
        </w:tc>
        <w:tc>
          <w:tcPr>
            <w:tcW w:w="2803"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56F9F64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一般公共预算</w:t>
            </w:r>
          </w:p>
        </w:tc>
        <w:tc>
          <w:tcPr>
            <w:tcW w:w="11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23F81B">
            <w:pPr>
              <w:jc w:val="left"/>
              <w:rPr>
                <w:rFonts w:hint="default" w:ascii="Times New Roman" w:hAnsi="Times New Roman" w:eastAsia="宋体" w:cs="Times New Roman"/>
                <w:i w:val="0"/>
                <w:iCs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D5F798">
            <w:pPr>
              <w:jc w:val="left"/>
              <w:rPr>
                <w:rFonts w:hint="default" w:ascii="Times New Roman" w:hAnsi="Times New Roman" w:eastAsia="宋体" w:cs="Times New Roman"/>
                <w:i w:val="0"/>
                <w:iCs w:val="0"/>
                <w:color w:val="000000"/>
                <w:sz w:val="20"/>
                <w:szCs w:val="20"/>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ADBDFC">
            <w:pPr>
              <w:jc w:val="left"/>
              <w:rPr>
                <w:rFonts w:hint="default" w:ascii="Times New Roman" w:hAnsi="Times New Roman" w:eastAsia="宋体" w:cs="Times New Roman"/>
                <w:i w:val="0"/>
                <w:iCs w:val="0"/>
                <w:color w:val="000000"/>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B6A5C1">
            <w:pPr>
              <w:jc w:val="left"/>
              <w:rPr>
                <w:rFonts w:hint="default" w:ascii="Times New Roman" w:hAnsi="Times New Roman" w:eastAsia="宋体" w:cs="Times New Roman"/>
                <w:i w:val="0"/>
                <w:iCs w:val="0"/>
                <w:color w:val="000000"/>
                <w:sz w:val="20"/>
                <w:szCs w:val="20"/>
                <w:u w:val="none"/>
              </w:rPr>
            </w:pPr>
          </w:p>
        </w:tc>
      </w:tr>
      <w:tr w14:paraId="1884E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4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D333B5">
            <w:pPr>
              <w:jc w:val="center"/>
              <w:rPr>
                <w:rFonts w:hint="eastAsia" w:ascii="宋体" w:hAnsi="宋体" w:eastAsia="宋体" w:cs="宋体"/>
                <w:i w:val="0"/>
                <w:iCs w:val="0"/>
                <w:color w:val="000000"/>
                <w:sz w:val="20"/>
                <w:szCs w:val="20"/>
                <w:u w:val="none"/>
              </w:rPr>
            </w:pPr>
          </w:p>
        </w:tc>
        <w:tc>
          <w:tcPr>
            <w:tcW w:w="2803"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6918489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2.政府性基金</w:t>
            </w:r>
          </w:p>
        </w:tc>
        <w:tc>
          <w:tcPr>
            <w:tcW w:w="11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010024">
            <w:pPr>
              <w:jc w:val="left"/>
              <w:rPr>
                <w:rFonts w:hint="default" w:ascii="Times New Roman" w:hAnsi="Times New Roman" w:eastAsia="宋体" w:cs="Times New Roman"/>
                <w:i w:val="0"/>
                <w:iCs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69238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top"/>
          </w:tcPr>
          <w:p w14:paraId="4951704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174EA5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539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4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9A261D">
            <w:pPr>
              <w:jc w:val="center"/>
              <w:rPr>
                <w:rFonts w:hint="eastAsia" w:ascii="宋体" w:hAnsi="宋体" w:eastAsia="宋体" w:cs="宋体"/>
                <w:i w:val="0"/>
                <w:iCs w:val="0"/>
                <w:color w:val="000000"/>
                <w:sz w:val="20"/>
                <w:szCs w:val="20"/>
                <w:u w:val="none"/>
              </w:rPr>
            </w:pPr>
          </w:p>
        </w:tc>
        <w:tc>
          <w:tcPr>
            <w:tcW w:w="28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7AF8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3.国有资本经营预算</w:t>
            </w:r>
          </w:p>
        </w:tc>
        <w:tc>
          <w:tcPr>
            <w:tcW w:w="11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B73DD3">
            <w:pPr>
              <w:jc w:val="left"/>
              <w:rPr>
                <w:rFonts w:hint="default" w:ascii="Times New Roman" w:hAnsi="Times New Roman" w:eastAsia="宋体" w:cs="Times New Roman"/>
                <w:i w:val="0"/>
                <w:iCs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24F69B4">
            <w:pPr>
              <w:jc w:val="left"/>
              <w:rPr>
                <w:rFonts w:hint="eastAsia" w:ascii="宋体" w:hAnsi="宋体" w:eastAsia="宋体" w:cs="宋体"/>
                <w:i w:val="0"/>
                <w:iCs w:val="0"/>
                <w:color w:val="000000"/>
                <w:sz w:val="20"/>
                <w:szCs w:val="20"/>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F86724">
            <w:pPr>
              <w:jc w:val="left"/>
              <w:rPr>
                <w:rFonts w:hint="eastAsia" w:ascii="宋体" w:hAnsi="宋体" w:eastAsia="宋体" w:cs="宋体"/>
                <w:i w:val="0"/>
                <w:iCs w:val="0"/>
                <w:color w:val="000000"/>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top"/>
          </w:tcPr>
          <w:p w14:paraId="07C8E3C6">
            <w:pPr>
              <w:jc w:val="left"/>
              <w:rPr>
                <w:rFonts w:hint="eastAsia" w:ascii="宋体" w:hAnsi="宋体" w:eastAsia="宋体" w:cs="宋体"/>
                <w:i w:val="0"/>
                <w:iCs w:val="0"/>
                <w:color w:val="000000"/>
                <w:sz w:val="20"/>
                <w:szCs w:val="20"/>
                <w:u w:val="none"/>
              </w:rPr>
            </w:pPr>
          </w:p>
        </w:tc>
      </w:tr>
      <w:tr w14:paraId="3F6E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4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12BA7C">
            <w:pPr>
              <w:jc w:val="center"/>
              <w:rPr>
                <w:rFonts w:hint="eastAsia" w:ascii="宋体" w:hAnsi="宋体" w:eastAsia="宋体" w:cs="宋体"/>
                <w:i w:val="0"/>
                <w:iCs w:val="0"/>
                <w:color w:val="000000"/>
                <w:sz w:val="20"/>
                <w:szCs w:val="20"/>
                <w:u w:val="none"/>
              </w:rPr>
            </w:pPr>
          </w:p>
        </w:tc>
        <w:tc>
          <w:tcPr>
            <w:tcW w:w="2803"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79778B6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4.社保基金</w:t>
            </w:r>
          </w:p>
        </w:tc>
        <w:tc>
          <w:tcPr>
            <w:tcW w:w="11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F59AAAA">
            <w:pPr>
              <w:jc w:val="left"/>
              <w:rPr>
                <w:rFonts w:hint="default" w:ascii="Times New Roman" w:hAnsi="Times New Roman" w:eastAsia="宋体" w:cs="Times New Roman"/>
                <w:i w:val="0"/>
                <w:iCs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13A26FC">
            <w:pPr>
              <w:jc w:val="left"/>
              <w:rPr>
                <w:rFonts w:hint="eastAsia" w:ascii="宋体" w:hAnsi="宋体" w:eastAsia="宋体" w:cs="宋体"/>
                <w:i w:val="0"/>
                <w:iCs w:val="0"/>
                <w:color w:val="000000"/>
                <w:sz w:val="20"/>
                <w:szCs w:val="20"/>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1D7B15">
            <w:pPr>
              <w:jc w:val="left"/>
              <w:rPr>
                <w:rFonts w:hint="eastAsia" w:ascii="宋体" w:hAnsi="宋体" w:eastAsia="宋体" w:cs="宋体"/>
                <w:i w:val="0"/>
                <w:iCs w:val="0"/>
                <w:color w:val="000000"/>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4F12AD">
            <w:pPr>
              <w:jc w:val="left"/>
              <w:rPr>
                <w:rFonts w:hint="eastAsia" w:ascii="宋体" w:hAnsi="宋体" w:eastAsia="宋体" w:cs="宋体"/>
                <w:i w:val="0"/>
                <w:iCs w:val="0"/>
                <w:color w:val="000000"/>
                <w:sz w:val="20"/>
                <w:szCs w:val="20"/>
                <w:u w:val="none"/>
              </w:rPr>
            </w:pPr>
          </w:p>
        </w:tc>
      </w:tr>
      <w:tr w14:paraId="76511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4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03E676">
            <w:pPr>
              <w:jc w:val="center"/>
              <w:rPr>
                <w:rFonts w:hint="eastAsia" w:ascii="宋体" w:hAnsi="宋体" w:eastAsia="宋体" w:cs="宋体"/>
                <w:i w:val="0"/>
                <w:iCs w:val="0"/>
                <w:color w:val="000000"/>
                <w:sz w:val="20"/>
                <w:szCs w:val="20"/>
                <w:u w:val="none"/>
              </w:rPr>
            </w:pPr>
          </w:p>
        </w:tc>
        <w:tc>
          <w:tcPr>
            <w:tcW w:w="28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367B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（二）其他资金</w:t>
            </w:r>
          </w:p>
        </w:tc>
        <w:tc>
          <w:tcPr>
            <w:tcW w:w="11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5E030F9">
            <w:pPr>
              <w:jc w:val="left"/>
              <w:rPr>
                <w:rFonts w:hint="default" w:ascii="Times New Roman" w:hAnsi="Times New Roman" w:eastAsia="宋体" w:cs="Times New Roman"/>
                <w:i w:val="0"/>
                <w:iCs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AE4978">
            <w:pPr>
              <w:jc w:val="left"/>
              <w:rPr>
                <w:rFonts w:hint="eastAsia" w:ascii="宋体" w:hAnsi="宋体" w:eastAsia="宋体" w:cs="宋体"/>
                <w:i w:val="0"/>
                <w:iCs w:val="0"/>
                <w:color w:val="000000"/>
                <w:sz w:val="20"/>
                <w:szCs w:val="20"/>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DB2441">
            <w:pPr>
              <w:jc w:val="left"/>
              <w:rPr>
                <w:rFonts w:hint="eastAsia" w:ascii="宋体" w:hAnsi="宋体" w:eastAsia="宋体" w:cs="宋体"/>
                <w:i w:val="0"/>
                <w:iCs w:val="0"/>
                <w:color w:val="000000"/>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74CA26">
            <w:pPr>
              <w:jc w:val="left"/>
              <w:rPr>
                <w:rFonts w:hint="eastAsia" w:ascii="宋体" w:hAnsi="宋体" w:eastAsia="宋体" w:cs="宋体"/>
                <w:i w:val="0"/>
                <w:iCs w:val="0"/>
                <w:color w:val="000000"/>
                <w:sz w:val="20"/>
                <w:szCs w:val="20"/>
                <w:u w:val="none"/>
              </w:rPr>
            </w:pPr>
          </w:p>
        </w:tc>
      </w:tr>
      <w:tr w14:paraId="2D3C0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93F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 目标</w:t>
            </w:r>
          </w:p>
        </w:tc>
        <w:tc>
          <w:tcPr>
            <w:tcW w:w="587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D012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FF5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完成情况</w:t>
            </w:r>
          </w:p>
        </w:tc>
      </w:tr>
      <w:tr w14:paraId="1C54D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666D1C">
            <w:pPr>
              <w:jc w:val="center"/>
              <w:rPr>
                <w:rFonts w:hint="eastAsia" w:ascii="宋体" w:hAnsi="宋体" w:eastAsia="宋体" w:cs="宋体"/>
                <w:i w:val="0"/>
                <w:iCs w:val="0"/>
                <w:color w:val="000000"/>
                <w:sz w:val="20"/>
                <w:szCs w:val="20"/>
                <w:u w:val="none"/>
              </w:rPr>
            </w:pPr>
          </w:p>
        </w:tc>
        <w:tc>
          <w:tcPr>
            <w:tcW w:w="5871" w:type="dxa"/>
            <w:gridSpan w:val="5"/>
            <w:tcBorders>
              <w:top w:val="single" w:color="000000" w:sz="4" w:space="0"/>
              <w:left w:val="single" w:color="000000" w:sz="4" w:space="0"/>
              <w:bottom w:val="single" w:color="000000" w:sz="4" w:space="0"/>
              <w:right w:val="single" w:color="000000" w:sz="4" w:space="0"/>
            </w:tcBorders>
            <w:shd w:val="clear" w:color="auto" w:fill="FFFFFF"/>
            <w:vAlign w:val="top"/>
          </w:tcPr>
          <w:p w14:paraId="6AC76BDD">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2024</w:t>
            </w:r>
            <w:r>
              <w:rPr>
                <w:rStyle w:val="40"/>
                <w:lang w:val="en-US" w:eastAsia="zh-CN" w:bidi="ar"/>
              </w:rPr>
              <w:t>年底完成大坝项目建设并投入使用运营.2022年完成市政道路2条共计1257米，新建标准化厂房及配套设施用房2.88万平方米，启动C4地块场平约35亩及C6地块场平约95亩。</w:t>
            </w:r>
          </w:p>
        </w:tc>
        <w:tc>
          <w:tcPr>
            <w:tcW w:w="2679" w:type="dxa"/>
            <w:gridSpan w:val="2"/>
            <w:tcBorders>
              <w:top w:val="single" w:color="000000" w:sz="4" w:space="0"/>
              <w:left w:val="nil"/>
              <w:bottom w:val="single" w:color="000000" w:sz="4" w:space="0"/>
              <w:right w:val="single" w:color="000000" w:sz="4" w:space="0"/>
            </w:tcBorders>
            <w:shd w:val="clear" w:color="auto" w:fill="FFFFFF"/>
            <w:vAlign w:val="top"/>
          </w:tcPr>
          <w:p w14:paraId="4C85894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1#、2#、7#、8#楼厂房、综合楼配套设施用房完成竣工验收；长1257米的市政道路两条已完成竣工验收</w:t>
            </w:r>
          </w:p>
        </w:tc>
      </w:tr>
      <w:tr w14:paraId="47291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4A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C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5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60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AE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0C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0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1F3B3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4F4AE">
            <w:pPr>
              <w:jc w:val="center"/>
              <w:rPr>
                <w:rFonts w:hint="eastAsia" w:ascii="宋体" w:hAnsi="宋体" w:eastAsia="宋体" w:cs="宋体"/>
                <w:i w:val="0"/>
                <w:iCs w:val="0"/>
                <w:color w:val="000000"/>
                <w:sz w:val="20"/>
                <w:szCs w:val="20"/>
                <w:u w:val="none"/>
              </w:rPr>
            </w:pP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A6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63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280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新建标准化厂房面积</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F2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2.4万平方米</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94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2.4万平方米</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7E84">
            <w:pPr>
              <w:jc w:val="center"/>
              <w:rPr>
                <w:rFonts w:hint="eastAsia" w:ascii="宋体" w:hAnsi="宋体" w:eastAsia="宋体" w:cs="宋体"/>
                <w:i w:val="0"/>
                <w:iCs w:val="0"/>
                <w:color w:val="000000"/>
                <w:sz w:val="20"/>
                <w:szCs w:val="20"/>
                <w:u w:val="none"/>
              </w:rPr>
            </w:pPr>
          </w:p>
        </w:tc>
      </w:tr>
      <w:tr w14:paraId="62E17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73ECE">
            <w:pPr>
              <w:jc w:val="center"/>
              <w:rPr>
                <w:rFonts w:hint="eastAsia" w:ascii="宋体" w:hAnsi="宋体" w:eastAsia="宋体" w:cs="宋体"/>
                <w:i w:val="0"/>
                <w:iCs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AE347">
            <w:pPr>
              <w:jc w:val="center"/>
              <w:rPr>
                <w:rFonts w:hint="eastAsia" w:ascii="宋体" w:hAnsi="宋体" w:eastAsia="宋体" w:cs="宋体"/>
                <w:i w:val="0"/>
                <w:iCs w:val="0"/>
                <w:color w:val="000000"/>
                <w:sz w:val="20"/>
                <w:szCs w:val="20"/>
                <w:u w:val="none"/>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9E8E9">
            <w:pPr>
              <w:jc w:val="center"/>
              <w:rPr>
                <w:rFonts w:hint="eastAsia" w:ascii="宋体" w:hAnsi="宋体" w:eastAsia="宋体" w:cs="宋体"/>
                <w:i w:val="0"/>
                <w:iCs w:val="0"/>
                <w:color w:val="000000"/>
                <w:sz w:val="20"/>
                <w:szCs w:val="20"/>
                <w:u w:val="none"/>
              </w:rPr>
            </w:pP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C19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新建配套设施用房面积</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95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0.48万平方米</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7B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0.48万平方米</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9703">
            <w:pPr>
              <w:jc w:val="center"/>
              <w:rPr>
                <w:rFonts w:hint="eastAsia" w:ascii="宋体" w:hAnsi="宋体" w:eastAsia="宋体" w:cs="宋体"/>
                <w:i w:val="0"/>
                <w:iCs w:val="0"/>
                <w:color w:val="000000"/>
                <w:sz w:val="20"/>
                <w:szCs w:val="20"/>
                <w:u w:val="none"/>
              </w:rPr>
            </w:pPr>
          </w:p>
        </w:tc>
      </w:tr>
      <w:tr w14:paraId="1F271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FEE7E">
            <w:pPr>
              <w:jc w:val="center"/>
              <w:rPr>
                <w:rFonts w:hint="eastAsia" w:ascii="宋体" w:hAnsi="宋体" w:eastAsia="宋体" w:cs="宋体"/>
                <w:i w:val="0"/>
                <w:iCs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413EF">
            <w:pPr>
              <w:jc w:val="center"/>
              <w:rPr>
                <w:rFonts w:hint="eastAsia" w:ascii="宋体" w:hAnsi="宋体" w:eastAsia="宋体" w:cs="宋体"/>
                <w:i w:val="0"/>
                <w:iCs w:val="0"/>
                <w:color w:val="000000"/>
                <w:sz w:val="20"/>
                <w:szCs w:val="20"/>
                <w:u w:val="none"/>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C4871">
            <w:pPr>
              <w:jc w:val="center"/>
              <w:rPr>
                <w:rFonts w:hint="eastAsia" w:ascii="宋体" w:hAnsi="宋体" w:eastAsia="宋体" w:cs="宋体"/>
                <w:i w:val="0"/>
                <w:iCs w:val="0"/>
                <w:color w:val="000000"/>
                <w:sz w:val="20"/>
                <w:szCs w:val="20"/>
                <w:u w:val="none"/>
              </w:rPr>
            </w:pP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657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新建道路长度</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1D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1257米</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5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1257米</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5081">
            <w:pPr>
              <w:jc w:val="center"/>
              <w:rPr>
                <w:rFonts w:hint="eastAsia" w:ascii="宋体" w:hAnsi="宋体" w:eastAsia="宋体" w:cs="宋体"/>
                <w:i w:val="0"/>
                <w:iCs w:val="0"/>
                <w:color w:val="000000"/>
                <w:sz w:val="20"/>
                <w:szCs w:val="20"/>
                <w:u w:val="none"/>
              </w:rPr>
            </w:pPr>
          </w:p>
        </w:tc>
      </w:tr>
      <w:tr w14:paraId="4FB0A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FF5FB">
            <w:pPr>
              <w:jc w:val="center"/>
              <w:rPr>
                <w:rFonts w:hint="eastAsia" w:ascii="宋体" w:hAnsi="宋体" w:eastAsia="宋体" w:cs="宋体"/>
                <w:i w:val="0"/>
                <w:iCs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E9FDB">
            <w:pPr>
              <w:jc w:val="center"/>
              <w:rPr>
                <w:rFonts w:hint="eastAsia" w:ascii="宋体" w:hAnsi="宋体" w:eastAsia="宋体" w:cs="宋体"/>
                <w:i w:val="0"/>
                <w:iCs w:val="0"/>
                <w:color w:val="000000"/>
                <w:sz w:val="20"/>
                <w:szCs w:val="20"/>
                <w:u w:val="none"/>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64604">
            <w:pPr>
              <w:jc w:val="center"/>
              <w:rPr>
                <w:rFonts w:hint="eastAsia" w:ascii="宋体" w:hAnsi="宋体" w:eastAsia="宋体" w:cs="宋体"/>
                <w:i w:val="0"/>
                <w:iCs w:val="0"/>
                <w:color w:val="000000"/>
                <w:sz w:val="20"/>
                <w:szCs w:val="20"/>
                <w:u w:val="none"/>
              </w:rPr>
            </w:pP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9AD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启动场平面积</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5B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130亩</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1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130亩</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E597">
            <w:pPr>
              <w:jc w:val="center"/>
              <w:rPr>
                <w:rFonts w:hint="eastAsia" w:ascii="宋体" w:hAnsi="宋体" w:eastAsia="宋体" w:cs="宋体"/>
                <w:i w:val="0"/>
                <w:iCs w:val="0"/>
                <w:color w:val="000000"/>
                <w:sz w:val="20"/>
                <w:szCs w:val="20"/>
                <w:u w:val="none"/>
              </w:rPr>
            </w:pPr>
          </w:p>
        </w:tc>
      </w:tr>
      <w:tr w14:paraId="0A49D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1D414">
            <w:pPr>
              <w:jc w:val="center"/>
              <w:rPr>
                <w:rFonts w:hint="eastAsia" w:ascii="宋体" w:hAnsi="宋体" w:eastAsia="宋体" w:cs="宋体"/>
                <w:i w:val="0"/>
                <w:iCs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9F0A4">
            <w:pPr>
              <w:jc w:val="center"/>
              <w:rPr>
                <w:rFonts w:hint="eastAsia" w:ascii="宋体" w:hAnsi="宋体" w:eastAsia="宋体" w:cs="宋体"/>
                <w:i w:val="0"/>
                <w:iCs w:val="0"/>
                <w:color w:val="000000"/>
                <w:sz w:val="20"/>
                <w:szCs w:val="20"/>
                <w:u w:val="none"/>
              </w:rPr>
            </w:pP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5B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384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验收达标率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B97F">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A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4C33">
            <w:pPr>
              <w:jc w:val="center"/>
              <w:rPr>
                <w:rFonts w:hint="eastAsia" w:ascii="宋体" w:hAnsi="宋体" w:eastAsia="宋体" w:cs="宋体"/>
                <w:i w:val="0"/>
                <w:iCs w:val="0"/>
                <w:color w:val="000000"/>
                <w:sz w:val="20"/>
                <w:szCs w:val="20"/>
                <w:u w:val="none"/>
              </w:rPr>
            </w:pPr>
          </w:p>
        </w:tc>
      </w:tr>
      <w:tr w14:paraId="0F2B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4F95C">
            <w:pPr>
              <w:jc w:val="center"/>
              <w:rPr>
                <w:rFonts w:hint="eastAsia" w:ascii="宋体" w:hAnsi="宋体" w:eastAsia="宋体" w:cs="宋体"/>
                <w:i w:val="0"/>
                <w:iCs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3FCF3">
            <w:pPr>
              <w:jc w:val="center"/>
              <w:rPr>
                <w:rFonts w:hint="eastAsia" w:ascii="宋体" w:hAnsi="宋体" w:eastAsia="宋体" w:cs="宋体"/>
                <w:i w:val="0"/>
                <w:iCs w:val="0"/>
                <w:color w:val="000000"/>
                <w:sz w:val="20"/>
                <w:szCs w:val="20"/>
                <w:u w:val="none"/>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A5E83">
            <w:pPr>
              <w:jc w:val="center"/>
              <w:rPr>
                <w:rFonts w:hint="eastAsia" w:ascii="宋体" w:hAnsi="宋体" w:eastAsia="宋体" w:cs="宋体"/>
                <w:i w:val="0"/>
                <w:iCs w:val="0"/>
                <w:color w:val="000000"/>
                <w:sz w:val="20"/>
                <w:szCs w:val="20"/>
                <w:u w:val="none"/>
              </w:rPr>
            </w:pPr>
          </w:p>
        </w:tc>
        <w:tc>
          <w:tcPr>
            <w:tcW w:w="2176" w:type="dxa"/>
            <w:gridSpan w:val="2"/>
            <w:tcBorders>
              <w:top w:val="single" w:color="000000" w:sz="4" w:space="0"/>
              <w:left w:val="single" w:color="000000" w:sz="4" w:space="0"/>
              <w:bottom w:val="nil"/>
              <w:right w:val="single" w:color="000000" w:sz="4" w:space="0"/>
            </w:tcBorders>
            <w:shd w:val="clear" w:color="auto" w:fill="auto"/>
            <w:vAlign w:val="center"/>
          </w:tcPr>
          <w:p w14:paraId="02F852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设计变更率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3CC0">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2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7DE5">
            <w:pPr>
              <w:jc w:val="center"/>
              <w:rPr>
                <w:rFonts w:hint="eastAsia" w:ascii="宋体" w:hAnsi="宋体" w:eastAsia="宋体" w:cs="宋体"/>
                <w:i w:val="0"/>
                <w:iCs w:val="0"/>
                <w:color w:val="FF0000"/>
                <w:sz w:val="20"/>
                <w:szCs w:val="20"/>
                <w:u w:val="none"/>
              </w:rPr>
            </w:pPr>
          </w:p>
        </w:tc>
      </w:tr>
      <w:tr w14:paraId="3E3E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71866">
            <w:pPr>
              <w:jc w:val="center"/>
              <w:rPr>
                <w:rFonts w:hint="eastAsia" w:ascii="宋体" w:hAnsi="宋体" w:eastAsia="宋体" w:cs="宋体"/>
                <w:i w:val="0"/>
                <w:iCs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27A17">
            <w:pPr>
              <w:jc w:val="center"/>
              <w:rPr>
                <w:rFonts w:hint="eastAsia" w:ascii="宋体" w:hAnsi="宋体" w:eastAsia="宋体" w:cs="宋体"/>
                <w:i w:val="0"/>
                <w:iCs w:val="0"/>
                <w:color w:val="000000"/>
                <w:sz w:val="20"/>
                <w:szCs w:val="20"/>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C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2AE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项目按时完工率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1A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5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7D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原因：新冠疫情反复影响改进措施：加快施工进度</w:t>
            </w:r>
          </w:p>
        </w:tc>
      </w:tr>
      <w:tr w14:paraId="578AF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F00FD">
            <w:pPr>
              <w:jc w:val="center"/>
              <w:rPr>
                <w:rFonts w:hint="eastAsia" w:ascii="宋体" w:hAnsi="宋体" w:eastAsia="宋体" w:cs="宋体"/>
                <w:i w:val="0"/>
                <w:iCs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6EEA4">
            <w:pPr>
              <w:jc w:val="center"/>
              <w:rPr>
                <w:rFonts w:hint="eastAsia" w:ascii="宋体" w:hAnsi="宋体" w:eastAsia="宋体" w:cs="宋体"/>
                <w:i w:val="0"/>
                <w:iCs w:val="0"/>
                <w:color w:val="000000"/>
                <w:sz w:val="20"/>
                <w:szCs w:val="20"/>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6E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2176" w:type="dxa"/>
            <w:gridSpan w:val="2"/>
            <w:tcBorders>
              <w:top w:val="nil"/>
              <w:left w:val="single" w:color="000000" w:sz="4" w:space="0"/>
              <w:bottom w:val="single" w:color="000000" w:sz="4" w:space="0"/>
              <w:right w:val="single" w:color="000000" w:sz="4" w:space="0"/>
            </w:tcBorders>
            <w:shd w:val="clear" w:color="auto" w:fill="auto"/>
            <w:vAlign w:val="center"/>
          </w:tcPr>
          <w:p w14:paraId="3C1586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项目总投资</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F2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≤156843.85万元</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E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156843万元</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7C8E">
            <w:pPr>
              <w:jc w:val="center"/>
              <w:rPr>
                <w:rFonts w:hint="eastAsia" w:ascii="宋体" w:hAnsi="宋体" w:eastAsia="宋体" w:cs="宋体"/>
                <w:i w:val="0"/>
                <w:iCs w:val="0"/>
                <w:color w:val="000000"/>
                <w:sz w:val="20"/>
                <w:szCs w:val="20"/>
                <w:u w:val="none"/>
              </w:rPr>
            </w:pPr>
          </w:p>
        </w:tc>
      </w:tr>
      <w:tr w14:paraId="3229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753BE">
            <w:pPr>
              <w:jc w:val="center"/>
              <w:rPr>
                <w:rFonts w:hint="eastAsia" w:ascii="宋体" w:hAnsi="宋体" w:eastAsia="宋体" w:cs="宋体"/>
                <w:i w:val="0"/>
                <w:iCs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FD31A">
            <w:pPr>
              <w:jc w:val="center"/>
              <w:rPr>
                <w:rFonts w:hint="eastAsia" w:ascii="宋体" w:hAnsi="宋体" w:eastAsia="宋体" w:cs="宋体"/>
                <w:i w:val="0"/>
                <w:iCs w:val="0"/>
                <w:color w:val="000000"/>
                <w:sz w:val="20"/>
                <w:szCs w:val="20"/>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B1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4C7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债券融资成本</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36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≤24500万元</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F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24500万元</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D6F7">
            <w:pPr>
              <w:jc w:val="center"/>
              <w:rPr>
                <w:rFonts w:hint="eastAsia" w:ascii="宋体" w:hAnsi="宋体" w:eastAsia="宋体" w:cs="宋体"/>
                <w:i w:val="0"/>
                <w:iCs w:val="0"/>
                <w:color w:val="000000"/>
                <w:sz w:val="20"/>
                <w:szCs w:val="20"/>
                <w:u w:val="none"/>
              </w:rPr>
            </w:pPr>
          </w:p>
        </w:tc>
      </w:tr>
      <w:tr w14:paraId="27F57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4DC99">
            <w:pPr>
              <w:jc w:val="center"/>
              <w:rPr>
                <w:rFonts w:hint="eastAsia" w:ascii="宋体" w:hAnsi="宋体" w:eastAsia="宋体" w:cs="宋体"/>
                <w:i w:val="0"/>
                <w:iCs w:val="0"/>
                <w:color w:val="000000"/>
                <w:sz w:val="20"/>
                <w:szCs w:val="20"/>
                <w:u w:val="none"/>
              </w:rPr>
            </w:pPr>
          </w:p>
        </w:tc>
        <w:tc>
          <w:tcPr>
            <w:tcW w:w="613" w:type="dxa"/>
            <w:vMerge w:val="restart"/>
            <w:tcBorders>
              <w:top w:val="nil"/>
              <w:left w:val="single" w:color="000000" w:sz="4" w:space="0"/>
              <w:bottom w:val="single" w:color="000000" w:sz="4" w:space="0"/>
              <w:right w:val="single" w:color="000000" w:sz="4" w:space="0"/>
            </w:tcBorders>
            <w:shd w:val="clear" w:color="auto" w:fill="auto"/>
            <w:vAlign w:val="center"/>
          </w:tcPr>
          <w:p w14:paraId="12B5B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8D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4AE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项目经营期累计利润</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14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≥4亿元</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A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4亿元</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4298">
            <w:pPr>
              <w:jc w:val="center"/>
              <w:rPr>
                <w:rFonts w:hint="eastAsia" w:ascii="宋体" w:hAnsi="宋体" w:eastAsia="宋体" w:cs="宋体"/>
                <w:i w:val="0"/>
                <w:iCs w:val="0"/>
                <w:color w:val="000000"/>
                <w:sz w:val="20"/>
                <w:szCs w:val="20"/>
                <w:u w:val="none"/>
              </w:rPr>
            </w:pPr>
          </w:p>
        </w:tc>
      </w:tr>
      <w:tr w14:paraId="414EB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E81E7">
            <w:pPr>
              <w:jc w:val="center"/>
              <w:rPr>
                <w:rFonts w:hint="eastAsia" w:ascii="宋体" w:hAnsi="宋体" w:eastAsia="宋体" w:cs="宋体"/>
                <w:i w:val="0"/>
                <w:iCs w:val="0"/>
                <w:color w:val="000000"/>
                <w:sz w:val="20"/>
                <w:szCs w:val="20"/>
                <w:u w:val="none"/>
              </w:rPr>
            </w:pPr>
          </w:p>
        </w:tc>
        <w:tc>
          <w:tcPr>
            <w:tcW w:w="613" w:type="dxa"/>
            <w:vMerge w:val="continue"/>
            <w:tcBorders>
              <w:top w:val="nil"/>
              <w:left w:val="single" w:color="000000" w:sz="4" w:space="0"/>
              <w:bottom w:val="single" w:color="000000" w:sz="4" w:space="0"/>
              <w:right w:val="single" w:color="000000" w:sz="4" w:space="0"/>
            </w:tcBorders>
            <w:shd w:val="clear" w:color="auto" w:fill="auto"/>
            <w:vAlign w:val="center"/>
          </w:tcPr>
          <w:p w14:paraId="42210018">
            <w:pPr>
              <w:jc w:val="center"/>
              <w:rPr>
                <w:rFonts w:hint="eastAsia" w:ascii="宋体" w:hAnsi="宋体" w:eastAsia="宋体" w:cs="宋体"/>
                <w:i w:val="0"/>
                <w:iCs w:val="0"/>
                <w:color w:val="000000"/>
                <w:sz w:val="20"/>
                <w:szCs w:val="20"/>
                <w:u w:val="none"/>
              </w:rPr>
            </w:pP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81A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6EE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创造就业岗位</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D1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≥3000个</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6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3000个</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616A">
            <w:pPr>
              <w:jc w:val="center"/>
              <w:rPr>
                <w:rFonts w:hint="eastAsia" w:ascii="宋体" w:hAnsi="宋体" w:eastAsia="宋体" w:cs="宋体"/>
                <w:i w:val="0"/>
                <w:iCs w:val="0"/>
                <w:color w:val="000000"/>
                <w:sz w:val="20"/>
                <w:szCs w:val="20"/>
                <w:u w:val="none"/>
              </w:rPr>
            </w:pPr>
          </w:p>
        </w:tc>
      </w:tr>
      <w:tr w14:paraId="2A1F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968AA">
            <w:pPr>
              <w:jc w:val="center"/>
              <w:rPr>
                <w:rFonts w:hint="eastAsia" w:ascii="宋体" w:hAnsi="宋体" w:eastAsia="宋体" w:cs="宋体"/>
                <w:i w:val="0"/>
                <w:iCs w:val="0"/>
                <w:color w:val="000000"/>
                <w:sz w:val="20"/>
                <w:szCs w:val="20"/>
                <w:u w:val="none"/>
              </w:rPr>
            </w:pPr>
          </w:p>
        </w:tc>
        <w:tc>
          <w:tcPr>
            <w:tcW w:w="613" w:type="dxa"/>
            <w:vMerge w:val="continue"/>
            <w:tcBorders>
              <w:top w:val="nil"/>
              <w:left w:val="single" w:color="000000" w:sz="4" w:space="0"/>
              <w:bottom w:val="single" w:color="000000" w:sz="4" w:space="0"/>
              <w:right w:val="single" w:color="000000" w:sz="4" w:space="0"/>
            </w:tcBorders>
            <w:shd w:val="clear" w:color="auto" w:fill="auto"/>
            <w:vAlign w:val="center"/>
          </w:tcPr>
          <w:p w14:paraId="7C8AF8B1">
            <w:pPr>
              <w:jc w:val="center"/>
              <w:rPr>
                <w:rFonts w:hint="eastAsia" w:ascii="宋体" w:hAnsi="宋体" w:eastAsia="宋体" w:cs="宋体"/>
                <w:i w:val="0"/>
                <w:iCs w:val="0"/>
                <w:color w:val="000000"/>
                <w:sz w:val="20"/>
                <w:szCs w:val="20"/>
                <w:u w:val="none"/>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8AF21">
            <w:pPr>
              <w:jc w:val="left"/>
              <w:rPr>
                <w:rFonts w:hint="eastAsia" w:ascii="宋体" w:hAnsi="宋体" w:eastAsia="宋体" w:cs="宋体"/>
                <w:i w:val="0"/>
                <w:iCs w:val="0"/>
                <w:color w:val="000000"/>
                <w:sz w:val="20"/>
                <w:szCs w:val="20"/>
                <w:u w:val="none"/>
              </w:rPr>
            </w:pP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E21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项目收益覆盖倍数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B5A8">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≥1.2倍</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0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1.2倍</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C93C">
            <w:pPr>
              <w:jc w:val="center"/>
              <w:rPr>
                <w:rFonts w:hint="eastAsia" w:ascii="宋体" w:hAnsi="宋体" w:eastAsia="宋体" w:cs="宋体"/>
                <w:i w:val="0"/>
                <w:iCs w:val="0"/>
                <w:color w:val="000000"/>
                <w:sz w:val="20"/>
                <w:szCs w:val="20"/>
                <w:u w:val="none"/>
              </w:rPr>
            </w:pPr>
          </w:p>
        </w:tc>
      </w:tr>
      <w:tr w14:paraId="4F8BD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928A4">
            <w:pPr>
              <w:jc w:val="center"/>
              <w:rPr>
                <w:rFonts w:hint="eastAsia" w:ascii="宋体" w:hAnsi="宋体" w:eastAsia="宋体" w:cs="宋体"/>
                <w:i w:val="0"/>
                <w:iCs w:val="0"/>
                <w:color w:val="000000"/>
                <w:sz w:val="20"/>
                <w:szCs w:val="20"/>
                <w:u w:val="none"/>
              </w:rPr>
            </w:pPr>
          </w:p>
        </w:tc>
        <w:tc>
          <w:tcPr>
            <w:tcW w:w="613" w:type="dxa"/>
            <w:vMerge w:val="continue"/>
            <w:tcBorders>
              <w:top w:val="nil"/>
              <w:left w:val="single" w:color="000000" w:sz="4" w:space="0"/>
              <w:bottom w:val="single" w:color="000000" w:sz="4" w:space="0"/>
              <w:right w:val="single" w:color="000000" w:sz="4" w:space="0"/>
            </w:tcBorders>
            <w:shd w:val="clear" w:color="auto" w:fill="auto"/>
            <w:vAlign w:val="center"/>
          </w:tcPr>
          <w:p w14:paraId="1EA2B630">
            <w:pPr>
              <w:jc w:val="center"/>
              <w:rPr>
                <w:rFonts w:hint="eastAsia" w:ascii="宋体" w:hAnsi="宋体" w:eastAsia="宋体" w:cs="宋体"/>
                <w:i w:val="0"/>
                <w:iCs w:val="0"/>
                <w:color w:val="000000"/>
                <w:sz w:val="20"/>
                <w:szCs w:val="20"/>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CB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A2C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运营期限</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F487">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≥9年</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6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9年</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12A9">
            <w:pPr>
              <w:jc w:val="center"/>
              <w:rPr>
                <w:rFonts w:hint="eastAsia" w:ascii="宋体" w:hAnsi="宋体" w:eastAsia="宋体" w:cs="宋体"/>
                <w:i w:val="0"/>
                <w:iCs w:val="0"/>
                <w:color w:val="000000"/>
                <w:sz w:val="20"/>
                <w:szCs w:val="20"/>
                <w:u w:val="none"/>
              </w:rPr>
            </w:pPr>
          </w:p>
        </w:tc>
      </w:tr>
    </w:tbl>
    <w:p w14:paraId="4D32EC5B">
      <w:pPr>
        <w:pStyle w:val="5"/>
        <w:rPr>
          <w:rFonts w:hint="default"/>
          <w:lang w:val="en-US" w:eastAsia="zh-CN"/>
        </w:rPr>
      </w:pPr>
      <w:r>
        <w:rPr>
          <w:rFonts w:hint="eastAsia" w:ascii="仿宋_GB2312" w:hAnsi="仿宋_GB2312" w:eastAsia="黑体" w:cs="仿宋_GB2312"/>
          <w:sz w:val="32"/>
          <w:szCs w:val="32"/>
          <w:lang w:val="en-US" w:eastAsia="zh-CN"/>
        </w:rPr>
        <w:t>附件3：</w:t>
      </w:r>
    </w:p>
    <w:p w14:paraId="57E63CCF">
      <w:pPr>
        <w:pStyle w:val="15"/>
        <w:keepNext w:val="0"/>
        <w:keepLines w:val="0"/>
        <w:widowControl/>
        <w:suppressLineNumbers w:val="0"/>
        <w:spacing w:before="0" w:beforeAutospacing="0" w:after="0" w:afterAutospacing="0" w:line="240" w:lineRule="atLeast"/>
        <w:ind w:left="0" w:right="0" w:firstLine="0"/>
        <w:jc w:val="center"/>
        <w:rPr>
          <w:rFonts w:hint="eastAsia" w:ascii="宋体" w:hAnsi="宋体" w:eastAsia="宋体" w:cs="宋体"/>
          <w:color w:val="auto"/>
          <w:kern w:val="2"/>
          <w:sz w:val="36"/>
          <w:szCs w:val="36"/>
          <w:lang w:val="en-US" w:eastAsia="zh-CN" w:bidi="ar-SA"/>
        </w:rPr>
      </w:pPr>
      <w:bookmarkStart w:id="95" w:name="_Toc15396618"/>
      <w:r>
        <w:rPr>
          <w:rFonts w:hint="eastAsia" w:ascii="宋体" w:hAnsi="宋体" w:eastAsia="宋体" w:cs="宋体"/>
          <w:sz w:val="36"/>
          <w:szCs w:val="36"/>
        </w:rPr>
        <w:t>202</w:t>
      </w:r>
      <w:r>
        <w:rPr>
          <w:rFonts w:hint="eastAsia" w:cs="宋体"/>
          <w:sz w:val="36"/>
          <w:szCs w:val="36"/>
          <w:lang w:val="en-US" w:eastAsia="zh-CN"/>
        </w:rPr>
        <w:t>2</w:t>
      </w:r>
      <w:r>
        <w:rPr>
          <w:rFonts w:hint="eastAsia" w:ascii="宋体" w:hAnsi="宋体" w:eastAsia="宋体" w:cs="宋体"/>
          <w:sz w:val="36"/>
          <w:szCs w:val="36"/>
        </w:rPr>
        <w:t>年</w:t>
      </w:r>
      <w:r>
        <w:rPr>
          <w:rFonts w:hint="eastAsia" w:ascii="宋体" w:hAnsi="宋体" w:eastAsia="宋体" w:cs="宋体"/>
          <w:color w:val="auto"/>
          <w:kern w:val="2"/>
          <w:sz w:val="36"/>
          <w:szCs w:val="36"/>
          <w:lang w:val="en-US" w:eastAsia="zh-CN" w:bidi="ar-SA"/>
        </w:rPr>
        <w:t>广元市东部新城智慧物流产业园项目（一期）</w:t>
      </w:r>
    </w:p>
    <w:p w14:paraId="6B7D5FBD">
      <w:pPr>
        <w:keepNext w:val="0"/>
        <w:keepLines w:val="0"/>
        <w:pageBreakBefore w:val="0"/>
        <w:widowControl w:val="0"/>
        <w:kinsoku/>
        <w:wordWrap/>
        <w:overflowPunct/>
        <w:topLinePunct w:val="0"/>
        <w:autoSpaceDE/>
        <w:autoSpaceDN/>
        <w:bidi w:val="0"/>
        <w:adjustRightInd/>
        <w:snapToGrid/>
        <w:spacing w:line="240" w:lineRule="auto"/>
        <w:ind w:right="420" w:rightChars="200"/>
        <w:jc w:val="center"/>
        <w:textAlignment w:val="auto"/>
        <w:rPr>
          <w:rFonts w:hint="eastAsia" w:ascii="宋体" w:hAnsi="宋体" w:eastAsia="宋体" w:cs="宋体"/>
          <w:sz w:val="36"/>
          <w:szCs w:val="36"/>
        </w:rPr>
      </w:pPr>
      <w:r>
        <w:rPr>
          <w:rFonts w:hint="eastAsia" w:ascii="宋体" w:hAnsi="宋体" w:eastAsia="宋体" w:cs="宋体"/>
          <w:sz w:val="36"/>
          <w:szCs w:val="36"/>
        </w:rPr>
        <w:t>债劵资金</w:t>
      </w:r>
      <w:r>
        <w:rPr>
          <w:rFonts w:hint="eastAsia" w:ascii="宋体" w:hAnsi="宋体" w:cs="宋体"/>
          <w:sz w:val="36"/>
          <w:szCs w:val="36"/>
          <w:lang w:eastAsia="zh-CN"/>
        </w:rPr>
        <w:t>项目支出</w:t>
      </w:r>
      <w:r>
        <w:rPr>
          <w:rFonts w:hint="eastAsia" w:ascii="宋体" w:hAnsi="宋体" w:eastAsia="宋体" w:cs="宋体"/>
          <w:sz w:val="36"/>
          <w:szCs w:val="36"/>
        </w:rPr>
        <w:t>绩效评价自评报告</w:t>
      </w:r>
    </w:p>
    <w:p w14:paraId="2EF439C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bCs/>
          <w:sz w:val="28"/>
          <w:szCs w:val="28"/>
          <w:lang w:val="zh-CN" w:eastAsia="zh-CN"/>
        </w:rPr>
      </w:pPr>
      <w:r>
        <w:rPr>
          <w:rFonts w:hint="eastAsia" w:ascii="宋体" w:hAnsi="宋体" w:cs="宋体"/>
          <w:b/>
          <w:bCs/>
          <w:sz w:val="28"/>
          <w:szCs w:val="28"/>
          <w:lang w:val="zh-CN" w:eastAsia="zh-CN"/>
        </w:rPr>
        <w:t>一、项目概况</w:t>
      </w:r>
    </w:p>
    <w:p w14:paraId="232B0EE8">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（一）项目基本情况</w:t>
      </w:r>
      <w:r>
        <w:rPr>
          <w:rFonts w:hint="eastAsia" w:ascii="宋体" w:hAnsi="宋体" w:cs="宋体"/>
          <w:b/>
          <w:bCs/>
          <w:sz w:val="28"/>
          <w:szCs w:val="28"/>
          <w:lang w:val="zh-CN"/>
        </w:rPr>
        <w:t>。</w:t>
      </w:r>
    </w:p>
    <w:p w14:paraId="5C7505E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rPr>
      </w:pPr>
      <w:r>
        <w:rPr>
          <w:rFonts w:hint="eastAsia" w:ascii="宋体" w:hAnsi="宋体" w:cs="宋体"/>
          <w:sz w:val="28"/>
          <w:szCs w:val="28"/>
          <w:lang w:val="en-US" w:eastAsia="zh-CN"/>
        </w:rPr>
        <w:t>1.</w:t>
      </w:r>
      <w:r>
        <w:rPr>
          <w:rFonts w:hint="eastAsia" w:ascii="宋体" w:hAnsi="宋体" w:eastAsia="宋体" w:cs="宋体"/>
          <w:sz w:val="28"/>
          <w:szCs w:val="28"/>
          <w:lang w:val="zh-CN"/>
        </w:rPr>
        <w:t>项目主管部门（单位）在该项目管理中的职能。</w:t>
      </w:r>
    </w:p>
    <w:p w14:paraId="1A73672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rPr>
        <w:t>四川广元昭化经济开发区管理委员会是项目实施机构</w:t>
      </w:r>
      <w:r>
        <w:rPr>
          <w:rFonts w:hint="eastAsia" w:ascii="宋体" w:hAnsi="宋体" w:eastAsia="宋体" w:cs="宋体"/>
          <w:sz w:val="28"/>
          <w:szCs w:val="28"/>
          <w:lang w:val="zh-CN" w:eastAsia="zh-CN"/>
        </w:rPr>
        <w:t>，在项目中的职能包括：</w:t>
      </w:r>
    </w:p>
    <w:p w14:paraId="733CCC1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①配合协调相关部门做好项目的规划、投资计划、收益和融资平衡方案、预期收入等测算，做好项目的申报安排。</w:t>
      </w:r>
    </w:p>
    <w:p w14:paraId="352FBE7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②做好专项债券年度项目库与政府债务管理系统的衔接。</w:t>
      </w:r>
    </w:p>
    <w:p w14:paraId="19AFF3B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③项目发行阶段:配合做好专项债券发行各项准备工作，加强对项目实施情况的监控，并统筹协调相关部门保障项目建设进度，如期实现项目收入，保障项目的还本付息。</w:t>
      </w:r>
    </w:p>
    <w:p w14:paraId="5EFB2F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rPr>
        <w:t>④后续管理阶段:做好债券资金的管理、项目对应资产的管理等工作。专项债券资金收入应全额纳入国库，支出应实行国库集中支付、债券项目的专项收入和支出做好专账核算，明确反映资金的收支状况。各类专项债券项目对应形成的资产应纳入国有资产管理，建立相应的资产登记和统计报告制度，加强资产日常统计和动态监控。项目业主是</w:t>
      </w:r>
      <w:r>
        <w:rPr>
          <w:rFonts w:hint="eastAsia" w:ascii="宋体" w:hAnsi="宋体" w:eastAsia="宋体" w:cs="宋体"/>
          <w:sz w:val="28"/>
          <w:szCs w:val="28"/>
          <w:lang w:val="en-US" w:eastAsia="zh-CN"/>
        </w:rPr>
        <w:t>四川昭旺家居产业投资有限责任公司。</w:t>
      </w:r>
    </w:p>
    <w:p w14:paraId="3E2F03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2.项目立项、资金申报的依据。</w:t>
      </w:r>
    </w:p>
    <w:p w14:paraId="547F03E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广元市东部新城智慧物流产业园项目（一期）经昭化区发改局以昭发改（2021）150号立项，</w:t>
      </w:r>
      <w:r>
        <w:rPr>
          <w:rFonts w:hint="eastAsia" w:ascii="宋体" w:hAnsi="宋体" w:eastAsia="宋体" w:cs="宋体"/>
          <w:sz w:val="28"/>
          <w:szCs w:val="28"/>
        </w:rPr>
        <w:t>项目总投资为</w:t>
      </w:r>
      <w:r>
        <w:rPr>
          <w:rFonts w:hint="eastAsia" w:ascii="宋体" w:hAnsi="宋体" w:eastAsia="宋体" w:cs="宋体"/>
          <w:sz w:val="28"/>
          <w:szCs w:val="28"/>
          <w:lang w:val="en-US" w:eastAsia="zh-CN"/>
        </w:rPr>
        <w:t>100527.00</w:t>
      </w:r>
      <w:r>
        <w:rPr>
          <w:rFonts w:hint="eastAsia" w:ascii="宋体" w:hAnsi="宋体" w:eastAsia="宋体" w:cs="宋体"/>
          <w:sz w:val="28"/>
          <w:szCs w:val="28"/>
        </w:rPr>
        <w:t>万元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主要建设内容规划占地约351亩，新建场平工程、道路工程及配套设施、物流配送中心及配套停车场等</w:t>
      </w:r>
      <w:r>
        <w:rPr>
          <w:rFonts w:hint="eastAsia" w:ascii="宋体" w:hAnsi="宋体" w:cs="宋体"/>
          <w:sz w:val="28"/>
          <w:szCs w:val="28"/>
          <w:lang w:val="en-US" w:eastAsia="zh-CN"/>
        </w:rPr>
        <w:t>。</w:t>
      </w:r>
    </w:p>
    <w:p w14:paraId="781BE8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资金或项目管理办法制定情况</w:t>
      </w:r>
      <w:r>
        <w:rPr>
          <w:rFonts w:hint="eastAsia" w:ascii="宋体" w:hAnsi="宋体" w:cs="宋体"/>
          <w:sz w:val="28"/>
          <w:szCs w:val="28"/>
          <w:lang w:val="en-US" w:eastAsia="zh-CN"/>
        </w:rPr>
        <w:t>。</w:t>
      </w:r>
    </w:p>
    <w:p w14:paraId="46678C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严格按照债券资金管理办法执行，实行四位一体管理模式。</w:t>
      </w:r>
    </w:p>
    <w:p w14:paraId="4F082C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eastAsia="宋体" w:cs="宋体"/>
          <w:sz w:val="28"/>
          <w:szCs w:val="28"/>
          <w:lang w:val="en-US" w:eastAsia="zh-CN"/>
        </w:rPr>
        <w:t>资金分配的原则及考虑因素</w:t>
      </w:r>
      <w:r>
        <w:rPr>
          <w:rFonts w:hint="eastAsia" w:ascii="宋体" w:hAnsi="宋体" w:cs="宋体"/>
          <w:sz w:val="28"/>
          <w:szCs w:val="28"/>
          <w:lang w:val="en-US" w:eastAsia="zh-CN"/>
        </w:rPr>
        <w:t>。</w:t>
      </w:r>
    </w:p>
    <w:p w14:paraId="7C0211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按照项目实施方案分配资金</w:t>
      </w:r>
      <w:r>
        <w:rPr>
          <w:rFonts w:hint="eastAsia" w:ascii="宋体" w:hAnsi="宋体" w:cs="宋体"/>
          <w:sz w:val="28"/>
          <w:szCs w:val="28"/>
          <w:lang w:val="en-US" w:eastAsia="zh-CN"/>
        </w:rPr>
        <w:t>。</w:t>
      </w:r>
    </w:p>
    <w:p w14:paraId="5F1B1627">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（二）项目绩效目标。</w:t>
      </w:r>
    </w:p>
    <w:p w14:paraId="7A47A39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1．项目主要内容。</w:t>
      </w:r>
    </w:p>
    <w:p w14:paraId="7E0DE9D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sz w:val="28"/>
          <w:szCs w:val="28"/>
          <w:lang w:val="en-US" w:eastAsia="zh-CN"/>
        </w:rPr>
      </w:pPr>
      <w:r>
        <w:rPr>
          <w:rFonts w:hint="eastAsia" w:ascii="宋体" w:hAnsi="宋体" w:eastAsia="宋体" w:cs="宋体"/>
          <w:sz w:val="28"/>
          <w:szCs w:val="28"/>
          <w:lang w:val="zh-CN" w:eastAsia="zh-CN"/>
        </w:rPr>
        <w:t>本项目具体建设内容和</w:t>
      </w:r>
      <w:r>
        <w:rPr>
          <w:rFonts w:hint="eastAsia" w:ascii="宋体" w:hAnsi="宋体" w:eastAsia="宋体" w:cs="宋体"/>
          <w:sz w:val="28"/>
          <w:szCs w:val="28"/>
          <w:lang w:val="en-US" w:eastAsia="zh-CN"/>
        </w:rPr>
        <w:t>目标</w:t>
      </w:r>
      <w:r>
        <w:rPr>
          <w:rFonts w:hint="eastAsia" w:ascii="宋体" w:hAnsi="宋体" w:eastAsia="宋体" w:cs="宋体"/>
          <w:sz w:val="28"/>
          <w:szCs w:val="28"/>
          <w:lang w:val="zh-CN" w:eastAsia="zh-CN"/>
        </w:rPr>
        <w:t>如下：</w:t>
      </w:r>
      <w:r>
        <w:rPr>
          <w:rFonts w:hint="eastAsia" w:ascii="宋体" w:hAnsi="宋体" w:eastAsia="宋体" w:cs="宋体"/>
          <w:sz w:val="28"/>
          <w:szCs w:val="28"/>
          <w:lang w:val="en-US" w:eastAsia="zh-CN"/>
        </w:rPr>
        <w:t>完成项目场地平整</w:t>
      </w:r>
      <w:r>
        <w:rPr>
          <w:rFonts w:hint="eastAsia" w:ascii="宋体" w:hAnsi="宋体" w:cs="宋体"/>
          <w:sz w:val="28"/>
          <w:szCs w:val="28"/>
          <w:lang w:val="en-US" w:eastAsia="zh-CN"/>
        </w:rPr>
        <w:t>351</w:t>
      </w:r>
      <w:r>
        <w:rPr>
          <w:rFonts w:hint="eastAsia" w:ascii="宋体" w:hAnsi="宋体" w:eastAsia="宋体" w:cs="宋体"/>
          <w:sz w:val="28"/>
          <w:szCs w:val="28"/>
          <w:lang w:val="en-US" w:eastAsia="zh-CN"/>
        </w:rPr>
        <w:t>亩；分批次启动场平工程、道路工程及配套设施、物流配送中心及配套停车场等项目建设</w:t>
      </w:r>
      <w:r>
        <w:rPr>
          <w:rFonts w:hint="eastAsia" w:ascii="宋体" w:hAnsi="宋体" w:cs="宋体"/>
          <w:sz w:val="28"/>
          <w:szCs w:val="28"/>
          <w:lang w:val="en-US" w:eastAsia="zh-CN"/>
        </w:rPr>
        <w:t>.</w:t>
      </w:r>
    </w:p>
    <w:p w14:paraId="6679700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rPr>
      </w:pPr>
      <w:r>
        <w:rPr>
          <w:rFonts w:hint="eastAsia" w:ascii="宋体" w:hAnsi="宋体" w:eastAsia="宋体" w:cs="宋体"/>
          <w:sz w:val="28"/>
          <w:szCs w:val="28"/>
          <w:lang w:val="zh-CN" w:eastAsia="zh-CN"/>
        </w:rPr>
        <w:t>2．项目应</w:t>
      </w:r>
      <w:r>
        <w:rPr>
          <w:rFonts w:hint="eastAsia" w:ascii="宋体" w:hAnsi="宋体" w:eastAsia="宋体" w:cs="宋体"/>
          <w:sz w:val="28"/>
          <w:szCs w:val="28"/>
          <w:lang w:val="zh-CN"/>
        </w:rPr>
        <w:t>实现的具体绩效目标，包括目标的量化、细化情况以及项目实施进度计划等。</w:t>
      </w:r>
    </w:p>
    <w:p w14:paraId="75FB7C21">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center"/>
        <w:rPr>
          <w:rFonts w:hint="default" w:ascii="宋体" w:hAnsi="宋体" w:cs="宋体"/>
          <w:sz w:val="28"/>
          <w:szCs w:val="28"/>
          <w:lang w:val="en-US" w:eastAsia="zh-CN"/>
        </w:rPr>
      </w:pPr>
      <w:r>
        <w:rPr>
          <w:rFonts w:hint="eastAsia" w:ascii="宋体" w:hAnsi="宋体" w:eastAsia="宋体" w:cs="宋体"/>
          <w:sz w:val="28"/>
          <w:szCs w:val="28"/>
          <w:lang w:val="en-US" w:eastAsia="zh-CN"/>
        </w:rPr>
        <w:t>项目设立</w:t>
      </w:r>
      <w:r>
        <w:rPr>
          <w:rFonts w:hint="eastAsia" w:ascii="宋体" w:hAnsi="宋体" w:cs="宋体"/>
          <w:sz w:val="28"/>
          <w:szCs w:val="28"/>
          <w:lang w:val="en-US" w:eastAsia="zh-CN"/>
        </w:rPr>
        <w:t>总的</w:t>
      </w:r>
      <w:r>
        <w:rPr>
          <w:rFonts w:hint="eastAsia" w:ascii="宋体" w:hAnsi="宋体" w:eastAsia="宋体" w:cs="宋体"/>
          <w:sz w:val="28"/>
          <w:szCs w:val="28"/>
          <w:lang w:val="en-US" w:eastAsia="zh-CN"/>
        </w:rPr>
        <w:t>绩效目标包括场地平整</w:t>
      </w:r>
      <w:r>
        <w:rPr>
          <w:rFonts w:hint="eastAsia" w:ascii="宋体" w:hAnsi="宋体" w:cs="宋体"/>
          <w:sz w:val="28"/>
          <w:szCs w:val="28"/>
          <w:lang w:val="en-US" w:eastAsia="zh-CN"/>
        </w:rPr>
        <w:t>351亩</w:t>
      </w:r>
      <w:r>
        <w:rPr>
          <w:rFonts w:hint="eastAsia" w:ascii="宋体" w:hAnsi="宋体" w:eastAsia="宋体" w:cs="宋体"/>
          <w:sz w:val="28"/>
          <w:szCs w:val="28"/>
          <w:lang w:val="en-US" w:eastAsia="zh-CN"/>
        </w:rPr>
        <w:t>、新建建筑面积254179.82㎡、绿化面积</w:t>
      </w:r>
      <w:r>
        <w:rPr>
          <w:rFonts w:hint="eastAsia" w:ascii="宋体" w:hAnsi="宋体" w:cs="宋体"/>
          <w:sz w:val="28"/>
          <w:szCs w:val="28"/>
          <w:lang w:val="en-US" w:eastAsia="zh-CN"/>
        </w:rPr>
        <w:t>26320</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新增车位430个、建设物流信息平台1个</w:t>
      </w:r>
      <w:r>
        <w:rPr>
          <w:rFonts w:hint="eastAsia" w:ascii="宋体" w:hAnsi="宋体" w:eastAsia="宋体" w:cs="宋体"/>
          <w:sz w:val="28"/>
          <w:szCs w:val="28"/>
          <w:lang w:val="en-US" w:eastAsia="zh-CN"/>
        </w:rPr>
        <w:t>、验收达标率≥95%、设计变更率≤5%、建设工期≤3年、项目总投资≤100527万元、债券</w:t>
      </w:r>
      <w:r>
        <w:rPr>
          <w:rFonts w:hint="eastAsia" w:ascii="宋体" w:hAnsi="宋体" w:cs="宋体"/>
          <w:sz w:val="28"/>
          <w:szCs w:val="28"/>
          <w:lang w:val="en-US" w:eastAsia="zh-CN"/>
        </w:rPr>
        <w:t>发行</w:t>
      </w:r>
      <w:r>
        <w:rPr>
          <w:rFonts w:hint="eastAsia" w:ascii="宋体" w:hAnsi="宋体" w:eastAsia="宋体" w:cs="宋体"/>
          <w:sz w:val="28"/>
          <w:szCs w:val="28"/>
          <w:lang w:val="en-US" w:eastAsia="zh-CN"/>
        </w:rPr>
        <w:t>成本≤</w:t>
      </w:r>
      <w:r>
        <w:rPr>
          <w:rFonts w:hint="eastAsia" w:ascii="宋体" w:hAnsi="宋体" w:cs="宋体"/>
          <w:sz w:val="28"/>
          <w:szCs w:val="28"/>
          <w:lang w:val="en-US" w:eastAsia="zh-CN"/>
        </w:rPr>
        <w:t>4090</w:t>
      </w:r>
      <w:r>
        <w:rPr>
          <w:rFonts w:hint="eastAsia" w:ascii="宋体" w:hAnsi="宋体" w:eastAsia="宋体" w:cs="宋体"/>
          <w:sz w:val="28"/>
          <w:szCs w:val="28"/>
          <w:lang w:val="en-US" w:eastAsia="zh-CN"/>
        </w:rPr>
        <w:t>万元、</w:t>
      </w:r>
      <w:r>
        <w:rPr>
          <w:rFonts w:hint="eastAsia" w:ascii="宋体" w:hAnsi="宋体" w:cs="宋体"/>
          <w:sz w:val="28"/>
          <w:szCs w:val="28"/>
          <w:lang w:val="en-US" w:eastAsia="zh-CN"/>
        </w:rPr>
        <w:t>项目年均收入</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6</w:t>
      </w:r>
      <w:r>
        <w:rPr>
          <w:rFonts w:hint="eastAsia" w:ascii="宋体" w:hAnsi="宋体" w:eastAsia="宋体" w:cs="宋体"/>
          <w:sz w:val="28"/>
          <w:szCs w:val="28"/>
          <w:lang w:val="en-US" w:eastAsia="zh-CN"/>
        </w:rPr>
        <w:t>000万元</w:t>
      </w:r>
      <w:r>
        <w:rPr>
          <w:rFonts w:hint="eastAsia" w:ascii="宋体" w:hAnsi="宋体" w:cs="宋体"/>
          <w:sz w:val="28"/>
          <w:szCs w:val="28"/>
          <w:lang w:val="en-US" w:eastAsia="zh-CN"/>
        </w:rPr>
        <w:t>、完善基础设施的建设有效</w:t>
      </w:r>
      <w:r>
        <w:rPr>
          <w:rFonts w:hint="eastAsia" w:ascii="宋体" w:hAnsi="宋体" w:eastAsia="宋体" w:cs="宋体"/>
          <w:sz w:val="28"/>
          <w:szCs w:val="28"/>
          <w:lang w:val="en-US" w:eastAsia="zh-CN"/>
        </w:rPr>
        <w:t>、促进就业提高居民收入</w:t>
      </w:r>
      <w:r>
        <w:rPr>
          <w:rFonts w:hint="eastAsia" w:ascii="宋体" w:hAnsi="宋体" w:cs="宋体"/>
          <w:sz w:val="28"/>
          <w:szCs w:val="28"/>
          <w:lang w:val="en-US" w:eastAsia="zh-CN"/>
        </w:rPr>
        <w:t>有效、改善当地物流运输环境有效、</w:t>
      </w:r>
      <w:r>
        <w:rPr>
          <w:rFonts w:hint="eastAsia" w:ascii="宋体" w:hAnsi="宋体" w:eastAsia="宋体" w:cs="宋体"/>
          <w:sz w:val="28"/>
          <w:szCs w:val="28"/>
          <w:lang w:val="en-US" w:eastAsia="zh-CN"/>
        </w:rPr>
        <w:t>运营期限≥</w:t>
      </w:r>
      <w:r>
        <w:rPr>
          <w:rFonts w:hint="eastAsia" w:ascii="宋体" w:hAnsi="宋体" w:cs="宋体"/>
          <w:sz w:val="28"/>
          <w:szCs w:val="28"/>
          <w:lang w:val="en-US" w:eastAsia="zh-CN"/>
        </w:rPr>
        <w:t>10</w:t>
      </w:r>
      <w:r>
        <w:rPr>
          <w:rFonts w:hint="eastAsia" w:ascii="宋体" w:hAnsi="宋体" w:eastAsia="宋体" w:cs="宋体"/>
          <w:sz w:val="28"/>
          <w:szCs w:val="28"/>
          <w:lang w:val="en-US" w:eastAsia="zh-CN"/>
        </w:rPr>
        <w:t>年等指标。</w:t>
      </w:r>
      <w:r>
        <w:rPr>
          <w:rFonts w:hint="eastAsia" w:ascii="宋体" w:hAnsi="宋体" w:cs="宋体"/>
          <w:sz w:val="28"/>
          <w:szCs w:val="28"/>
          <w:lang w:val="en-US" w:eastAsia="zh-CN"/>
        </w:rPr>
        <w:t>2022年细化项目绩效目标完成项目场地平整约20万㎡，新建建筑面积9000㎡等</w:t>
      </w:r>
    </w:p>
    <w:p w14:paraId="7FB8F3CD">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项目可研报告和</w:t>
      </w:r>
      <w:r>
        <w:rPr>
          <w:rFonts w:hint="eastAsia" w:ascii="宋体" w:hAnsi="宋体" w:cs="宋体"/>
          <w:color w:val="auto"/>
          <w:kern w:val="2"/>
          <w:sz w:val="28"/>
          <w:szCs w:val="28"/>
          <w:lang w:val="en-US" w:eastAsia="zh-CN" w:bidi="ar-SA"/>
        </w:rPr>
        <w:t>《</w:t>
      </w:r>
      <w:r>
        <w:rPr>
          <w:rFonts w:hint="eastAsia" w:ascii="宋体" w:hAnsi="宋体" w:eastAsia="宋体" w:cs="宋体"/>
          <w:color w:val="auto"/>
          <w:kern w:val="2"/>
          <w:sz w:val="28"/>
          <w:szCs w:val="28"/>
          <w:lang w:val="en-US" w:eastAsia="zh-CN" w:bidi="ar-SA"/>
        </w:rPr>
        <w:t>实施方案》对项目实施内容、建设时间、投资规模、招标方式、建设节点、施工计划、融资计划、还款保障、风险因素、信息披露等进行了明确，包括了各项活动内容、范围、时间节点等，实施方案经过充分调查研究和论证，实施内容明确，实施方案合理。</w:t>
      </w:r>
    </w:p>
    <w:p w14:paraId="0044B30A">
      <w:pPr>
        <w:pStyle w:val="7"/>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本项目规划建设期36个月，即2022年1月—2024年12月。前期准备阶段计划时间:2022年1月—2022年3月。工程施工阶段计划时间:2022年4月—2024年11月。工程竣工验收阶段计划时间:2024年12月</w:t>
      </w:r>
      <w:r>
        <w:rPr>
          <w:rFonts w:hint="eastAsia" w:ascii="宋体" w:hAnsi="宋体" w:cs="宋体"/>
          <w:color w:val="auto"/>
          <w:kern w:val="2"/>
          <w:sz w:val="28"/>
          <w:szCs w:val="28"/>
          <w:lang w:val="en-US" w:eastAsia="zh-CN" w:bidi="ar-SA"/>
        </w:rPr>
        <w:t>。</w:t>
      </w:r>
    </w:p>
    <w:p w14:paraId="33AED6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申报内容与目标</w:t>
      </w:r>
      <w:r>
        <w:rPr>
          <w:rFonts w:hint="eastAsia" w:ascii="宋体" w:hAnsi="宋体" w:cs="宋体"/>
          <w:sz w:val="28"/>
          <w:szCs w:val="28"/>
          <w:lang w:val="en-US" w:eastAsia="zh-CN"/>
        </w:rPr>
        <w:t>。</w:t>
      </w:r>
    </w:p>
    <w:p w14:paraId="3E5DAEF0">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val="zh-CN"/>
        </w:rPr>
      </w:pPr>
      <w:r>
        <w:rPr>
          <w:rFonts w:hint="eastAsia" w:ascii="宋体" w:hAnsi="宋体" w:cs="宋体"/>
          <w:sz w:val="28"/>
          <w:szCs w:val="28"/>
          <w:lang w:val="en-US" w:eastAsia="zh-CN"/>
        </w:rPr>
        <w:t>2022年</w:t>
      </w:r>
      <w:r>
        <w:rPr>
          <w:rFonts w:hint="eastAsia" w:ascii="宋体" w:hAnsi="宋体" w:eastAsia="宋体" w:cs="宋体"/>
          <w:sz w:val="28"/>
          <w:szCs w:val="28"/>
          <w:lang w:val="en-US" w:eastAsia="zh-CN"/>
        </w:rPr>
        <w:t>均按照项目实施方案申报</w:t>
      </w:r>
      <w:r>
        <w:rPr>
          <w:rFonts w:hint="eastAsia" w:ascii="宋体" w:hAnsi="宋体" w:cs="宋体"/>
          <w:sz w:val="28"/>
          <w:szCs w:val="28"/>
          <w:lang w:val="en-US" w:eastAsia="zh-CN"/>
        </w:rPr>
        <w:t>实施内容和目标</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申报内容</w:t>
      </w:r>
      <w:r>
        <w:rPr>
          <w:rFonts w:hint="eastAsia" w:ascii="宋体" w:hAnsi="宋体" w:eastAsia="宋体" w:cs="宋体"/>
          <w:sz w:val="28"/>
          <w:szCs w:val="28"/>
          <w:lang w:val="en-US" w:eastAsia="zh-CN"/>
        </w:rPr>
        <w:t>与实际相符，申报目标合理可行</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申报的资金为</w:t>
      </w:r>
      <w:r>
        <w:rPr>
          <w:rFonts w:hint="eastAsia" w:ascii="宋体" w:hAnsi="宋体" w:eastAsia="宋体" w:cs="宋体"/>
          <w:color w:val="auto"/>
          <w:kern w:val="2"/>
          <w:sz w:val="28"/>
          <w:szCs w:val="28"/>
          <w:lang w:val="en-US" w:eastAsia="zh-CN" w:bidi="ar-SA"/>
        </w:rPr>
        <w:t>广元市东部新城智慧物流产业园</w:t>
      </w:r>
      <w:r>
        <w:rPr>
          <w:rFonts w:hint="eastAsia" w:ascii="宋体" w:hAnsi="宋体" w:cs="宋体"/>
          <w:color w:val="auto"/>
          <w:kern w:val="2"/>
          <w:sz w:val="28"/>
          <w:szCs w:val="28"/>
          <w:lang w:val="en-US" w:eastAsia="zh-CN" w:bidi="ar-SA"/>
        </w:rPr>
        <w:t>项目（一期）</w:t>
      </w:r>
      <w:r>
        <w:rPr>
          <w:rFonts w:hint="eastAsia" w:ascii="宋体" w:hAnsi="宋体" w:eastAsia="宋体" w:cs="宋体"/>
          <w:sz w:val="28"/>
          <w:szCs w:val="28"/>
          <w:lang w:val="en-US" w:eastAsia="zh-CN"/>
        </w:rPr>
        <w:t>债券资金，与实际相符。</w:t>
      </w:r>
    </w:p>
    <w:p w14:paraId="1B9338A1">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lang w:val="zh-CN"/>
        </w:rPr>
        <w:t>项目自评步骤及方法。</w:t>
      </w:r>
    </w:p>
    <w:p w14:paraId="7644520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我单位对此次自评工作高度重视，成立了2022年绩效自评工作小组，按照下列程序实施：</w:t>
      </w:r>
    </w:p>
    <w:p w14:paraId="0961011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明确绩效自评项目，根据自评项目制定绩效自评方案，成立绩效自评工作小组，分配任务到各实施股室，明确各项目自评责任人；</w:t>
      </w:r>
    </w:p>
    <w:p w14:paraId="6243A7F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各责任股室收集自评相关资料，采集相关数据；</w:t>
      </w:r>
    </w:p>
    <w:p w14:paraId="4F3535D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开展项目自评，组织专家参加评审，并实地踏勘现场；</w:t>
      </w:r>
    </w:p>
    <w:p w14:paraId="51F4D1E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eastAsia="zh-CN"/>
        </w:rPr>
      </w:pPr>
      <w:r>
        <w:rPr>
          <w:rFonts w:hint="eastAsia" w:ascii="宋体" w:hAnsi="宋体" w:cs="宋体"/>
          <w:sz w:val="28"/>
          <w:szCs w:val="28"/>
          <w:lang w:val="en-US" w:eastAsia="zh-CN"/>
        </w:rPr>
        <w:t>4.</w:t>
      </w:r>
      <w:r>
        <w:rPr>
          <w:rFonts w:hint="eastAsia" w:ascii="宋体" w:hAnsi="宋体" w:eastAsia="宋体" w:cs="宋体"/>
          <w:sz w:val="28"/>
          <w:szCs w:val="28"/>
          <w:lang w:val="zh-CN" w:eastAsia="zh-CN"/>
        </w:rPr>
        <w:t>形成自评结论，并形成自评报告；</w:t>
      </w:r>
    </w:p>
    <w:p w14:paraId="0D614E7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5.</w:t>
      </w:r>
      <w:r>
        <w:rPr>
          <w:rFonts w:hint="eastAsia" w:ascii="宋体" w:hAnsi="宋体" w:eastAsia="宋体" w:cs="宋体"/>
          <w:sz w:val="28"/>
          <w:szCs w:val="28"/>
          <w:lang w:val="en-US" w:eastAsia="zh-CN"/>
        </w:rPr>
        <w:t>自评工作小组以会议方式对自评结果进行会审</w:t>
      </w:r>
      <w:r>
        <w:rPr>
          <w:rFonts w:hint="eastAsia" w:ascii="宋体" w:hAnsi="宋体" w:cs="宋体"/>
          <w:sz w:val="28"/>
          <w:szCs w:val="28"/>
          <w:lang w:val="en-US" w:eastAsia="zh-CN"/>
        </w:rPr>
        <w:t>；</w:t>
      </w:r>
    </w:p>
    <w:p w14:paraId="154D825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eastAsia="zh-CN"/>
        </w:rPr>
      </w:pPr>
      <w:r>
        <w:rPr>
          <w:rFonts w:hint="eastAsia" w:ascii="宋体" w:hAnsi="宋体" w:cs="宋体"/>
          <w:sz w:val="28"/>
          <w:szCs w:val="28"/>
          <w:lang w:val="en-US" w:eastAsia="zh-CN"/>
        </w:rPr>
        <w:t>6.</w:t>
      </w:r>
      <w:r>
        <w:rPr>
          <w:rFonts w:hint="eastAsia" w:ascii="宋体" w:hAnsi="宋体" w:eastAsia="宋体" w:cs="宋体"/>
          <w:sz w:val="28"/>
          <w:szCs w:val="28"/>
          <w:lang w:val="en-US" w:eastAsia="zh-CN"/>
        </w:rPr>
        <w:t>修改完善后按照要求将自评结果上报区财政局。</w:t>
      </w:r>
    </w:p>
    <w:p w14:paraId="253644A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bCs/>
          <w:sz w:val="28"/>
          <w:szCs w:val="28"/>
          <w:lang w:val="zh-CN" w:eastAsia="zh-CN"/>
        </w:rPr>
      </w:pPr>
      <w:r>
        <w:rPr>
          <w:rFonts w:hint="eastAsia" w:ascii="宋体" w:hAnsi="宋体" w:cs="宋体"/>
          <w:b/>
          <w:bCs/>
          <w:sz w:val="28"/>
          <w:szCs w:val="28"/>
          <w:lang w:val="zh-CN" w:eastAsia="zh-CN"/>
        </w:rPr>
        <w:t>二、项目资金申报及使用情况</w:t>
      </w:r>
    </w:p>
    <w:p w14:paraId="1E2DE995">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cs="宋体"/>
          <w:b/>
          <w:bCs/>
          <w:sz w:val="28"/>
          <w:szCs w:val="28"/>
          <w:lang w:val="zh-CN"/>
        </w:rPr>
      </w:pPr>
      <w:r>
        <w:rPr>
          <w:rFonts w:hint="eastAsia" w:ascii="宋体" w:hAnsi="宋体" w:cs="宋体"/>
          <w:b/>
          <w:bCs/>
          <w:sz w:val="28"/>
          <w:szCs w:val="28"/>
          <w:lang w:val="zh-CN"/>
        </w:rPr>
        <w:t>（一）项目资金申报及批复情况。</w:t>
      </w:r>
    </w:p>
    <w:p w14:paraId="4E1A9B9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en-US" w:eastAsia="zh-CN"/>
        </w:rPr>
        <w:t>2021年11月</w:t>
      </w:r>
      <w:r>
        <w:rPr>
          <w:rFonts w:hint="eastAsia" w:ascii="宋体" w:hAnsi="宋体" w:eastAsia="宋体" w:cs="宋体"/>
          <w:sz w:val="28"/>
          <w:szCs w:val="28"/>
          <w:lang w:val="zh-CN" w:eastAsia="zh-CN"/>
        </w:rPr>
        <w:t>项目收益与融资自求平衡专项债券实施方案、收益与融资自求平衡专项债券财务评价报告、收益与融资自求平衡专项债券法律意见书均通过审核。</w:t>
      </w:r>
    </w:p>
    <w:p w14:paraId="6F2B693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color w:val="auto"/>
          <w:sz w:val="28"/>
          <w:szCs w:val="28"/>
          <w:lang w:val="en-US" w:eastAsia="zh-CN"/>
        </w:rPr>
        <w:t>本项目估算总投资100527.00万元，资金来源于发行地方债券资金50000.00万元，占比49.74%；业主自筹资金50527.00万元，占</w:t>
      </w:r>
      <w:r>
        <w:rPr>
          <w:rFonts w:hint="eastAsia" w:ascii="宋体" w:hAnsi="宋体" w:eastAsia="宋体" w:cs="宋体"/>
          <w:sz w:val="28"/>
          <w:szCs w:val="28"/>
          <w:lang w:val="en-US" w:eastAsia="zh-CN"/>
        </w:rPr>
        <w:t>比50.26%。</w:t>
      </w:r>
    </w:p>
    <w:p w14:paraId="36EB52C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2022年到位债券资金3</w:t>
      </w:r>
      <w:r>
        <w:rPr>
          <w:rFonts w:hint="eastAsia" w:ascii="宋体" w:hAnsi="宋体" w:cs="宋体"/>
          <w:sz w:val="28"/>
          <w:szCs w:val="28"/>
          <w:lang w:val="en-US" w:eastAsia="zh-CN"/>
        </w:rPr>
        <w:t>8</w:t>
      </w:r>
      <w:r>
        <w:rPr>
          <w:rFonts w:hint="eastAsia" w:ascii="宋体" w:hAnsi="宋体" w:eastAsia="宋体" w:cs="宋体"/>
          <w:sz w:val="28"/>
          <w:szCs w:val="28"/>
          <w:lang w:val="en-US" w:eastAsia="zh-CN"/>
        </w:rPr>
        <w:t>00万元。</w:t>
      </w:r>
    </w:p>
    <w:p w14:paraId="1C479F3B">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w:t>
      </w:r>
      <w:r>
        <w:rPr>
          <w:rFonts w:hint="eastAsia" w:ascii="宋体" w:hAnsi="宋体" w:cs="宋体"/>
          <w:b/>
          <w:bCs/>
          <w:sz w:val="28"/>
          <w:szCs w:val="28"/>
          <w:lang w:val="zh-CN"/>
        </w:rPr>
        <w:t>二</w:t>
      </w:r>
      <w:r>
        <w:rPr>
          <w:rFonts w:hint="eastAsia" w:ascii="宋体" w:hAnsi="宋体" w:eastAsia="宋体" w:cs="宋体"/>
          <w:b/>
          <w:bCs/>
          <w:sz w:val="28"/>
          <w:szCs w:val="28"/>
          <w:lang w:val="zh-CN"/>
        </w:rPr>
        <w:t>）资金计划、到位及使用情况。</w:t>
      </w:r>
    </w:p>
    <w:p w14:paraId="51D87AA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rPr>
        <w:t>1．资金计划。</w:t>
      </w:r>
      <w:r>
        <w:rPr>
          <w:rFonts w:hint="eastAsia" w:ascii="宋体" w:hAnsi="宋体" w:eastAsia="宋体" w:cs="宋体"/>
          <w:color w:val="auto"/>
          <w:sz w:val="28"/>
          <w:szCs w:val="28"/>
          <w:lang w:val="en-US" w:eastAsia="zh-CN"/>
        </w:rPr>
        <w:t>项目资金计划3</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00万元。</w:t>
      </w:r>
    </w:p>
    <w:p w14:paraId="034FCDF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rPr>
        <w:t>2．资金到位。资金</w:t>
      </w:r>
      <w:r>
        <w:rPr>
          <w:rFonts w:hint="eastAsia" w:ascii="宋体" w:hAnsi="宋体" w:cs="宋体"/>
          <w:sz w:val="28"/>
          <w:szCs w:val="28"/>
          <w:lang w:val="zh-CN"/>
        </w:rPr>
        <w:t>到位</w:t>
      </w:r>
      <w:r>
        <w:rPr>
          <w:rFonts w:hint="eastAsia" w:ascii="宋体" w:hAnsi="宋体" w:cs="宋体"/>
          <w:sz w:val="28"/>
          <w:szCs w:val="28"/>
          <w:lang w:val="en-US" w:eastAsia="zh-CN"/>
        </w:rPr>
        <w:t>3800万元，</w:t>
      </w:r>
      <w:r>
        <w:rPr>
          <w:rFonts w:hint="eastAsia" w:ascii="宋体" w:hAnsi="宋体" w:eastAsia="宋体" w:cs="宋体"/>
          <w:sz w:val="28"/>
          <w:szCs w:val="28"/>
          <w:lang w:val="zh-CN"/>
        </w:rPr>
        <w:t>到位率</w:t>
      </w:r>
      <w:r>
        <w:rPr>
          <w:rFonts w:hint="eastAsia" w:ascii="宋体" w:hAnsi="宋体" w:eastAsia="宋体" w:cs="宋体"/>
          <w:sz w:val="28"/>
          <w:szCs w:val="28"/>
          <w:lang w:val="en-US" w:eastAsia="zh-CN"/>
        </w:rPr>
        <w:t>100%，</w:t>
      </w:r>
      <w:r>
        <w:rPr>
          <w:rFonts w:hint="eastAsia" w:ascii="宋体" w:hAnsi="宋体" w:eastAsia="宋体" w:cs="宋体"/>
          <w:sz w:val="28"/>
          <w:szCs w:val="28"/>
          <w:lang w:val="zh-CN"/>
        </w:rPr>
        <w:t>到位及时率</w:t>
      </w:r>
      <w:r>
        <w:rPr>
          <w:rFonts w:hint="eastAsia" w:ascii="宋体" w:hAnsi="宋体" w:eastAsia="宋体" w:cs="宋体"/>
          <w:sz w:val="28"/>
          <w:szCs w:val="28"/>
          <w:lang w:val="en-US" w:eastAsia="zh-CN"/>
        </w:rPr>
        <w:t>100%。</w:t>
      </w:r>
    </w:p>
    <w:p w14:paraId="408AC5D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3．资金使用。资金支出</w:t>
      </w:r>
      <w:r>
        <w:rPr>
          <w:rFonts w:hint="eastAsia" w:ascii="宋体" w:hAnsi="宋体" w:cs="宋体"/>
          <w:sz w:val="28"/>
          <w:szCs w:val="28"/>
          <w:lang w:val="en-US" w:eastAsia="zh-CN"/>
        </w:rPr>
        <w:t>720.24</w:t>
      </w:r>
      <w:r>
        <w:rPr>
          <w:rFonts w:hint="eastAsia" w:ascii="宋体" w:hAnsi="宋体" w:eastAsia="宋体" w:cs="宋体"/>
          <w:sz w:val="28"/>
          <w:szCs w:val="28"/>
          <w:lang w:val="en-US" w:eastAsia="zh-CN"/>
        </w:rPr>
        <w:t>万元，</w:t>
      </w:r>
      <w:r>
        <w:rPr>
          <w:rFonts w:hint="eastAsia" w:ascii="宋体" w:hAnsi="宋体" w:eastAsia="宋体" w:cs="宋体"/>
          <w:sz w:val="28"/>
          <w:szCs w:val="28"/>
          <w:lang w:val="zh-CN"/>
        </w:rPr>
        <w:t>资金使用安全、规范、效果显著。资金支付范围</w:t>
      </w:r>
      <w:r>
        <w:rPr>
          <w:rFonts w:hint="eastAsia" w:ascii="宋体" w:hAnsi="宋体" w:eastAsia="宋体" w:cs="宋体"/>
          <w:sz w:val="28"/>
          <w:szCs w:val="28"/>
          <w:lang w:val="en-US" w:eastAsia="zh-CN"/>
        </w:rPr>
        <w:t>全用于项目</w:t>
      </w:r>
      <w:r>
        <w:rPr>
          <w:rFonts w:hint="eastAsia" w:ascii="宋体" w:hAnsi="宋体" w:cs="宋体"/>
          <w:sz w:val="28"/>
          <w:szCs w:val="28"/>
          <w:lang w:val="en-US" w:eastAsia="zh-CN"/>
        </w:rPr>
        <w:t>前期费用</w:t>
      </w:r>
      <w:r>
        <w:rPr>
          <w:rFonts w:hint="eastAsia" w:ascii="宋体" w:hAnsi="宋体" w:eastAsia="宋体" w:cs="宋体"/>
          <w:sz w:val="28"/>
          <w:szCs w:val="28"/>
          <w:lang w:val="zh-CN"/>
        </w:rPr>
        <w:t>。支付依据合规合法</w:t>
      </w:r>
      <w:r>
        <w:rPr>
          <w:rFonts w:hint="eastAsia" w:ascii="宋体" w:hAnsi="宋体" w:cs="宋体"/>
          <w:sz w:val="28"/>
          <w:szCs w:val="28"/>
          <w:lang w:val="zh-CN"/>
        </w:rPr>
        <w:t>。因项目尚未开工，故仅支出部分前期费用。</w:t>
      </w:r>
    </w:p>
    <w:p w14:paraId="63DEA263">
      <w:pPr>
        <w:pStyle w:val="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zh-CN" w:eastAsia="zh-CN" w:bidi="ar-SA"/>
        </w:rPr>
        <w:t>广元市东部新城智慧物流产业园项目（一期）债劵项目</w:t>
      </w:r>
      <w:r>
        <w:rPr>
          <w:rFonts w:hint="eastAsia" w:ascii="宋体" w:hAnsi="宋体" w:eastAsia="宋体" w:cs="宋体"/>
          <w:b w:val="0"/>
          <w:bCs w:val="0"/>
          <w:kern w:val="2"/>
          <w:sz w:val="28"/>
          <w:szCs w:val="28"/>
          <w:lang w:val="en-US" w:eastAsia="zh-CN" w:bidi="ar-SA"/>
        </w:rPr>
        <w:t>资金情况表</w:t>
      </w:r>
    </w:p>
    <w:p w14:paraId="4CB8AC79">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1"/>
          <w:szCs w:val="21"/>
          <w:lang w:val="en-US" w:eastAsia="zh-CN"/>
        </w:rPr>
      </w:pPr>
      <w:r>
        <w:rPr>
          <w:rFonts w:hint="eastAsia" w:ascii="宋体" w:hAnsi="宋体" w:cs="宋体"/>
          <w:sz w:val="21"/>
          <w:szCs w:val="21"/>
          <w:lang w:val="en-US" w:eastAsia="zh-CN"/>
        </w:rPr>
        <w:t xml:space="preserve">                                                            单位：万元</w:t>
      </w:r>
    </w:p>
    <w:tbl>
      <w:tblPr>
        <w:tblStyle w:val="16"/>
        <w:tblW w:w="8998" w:type="dxa"/>
        <w:jc w:val="center"/>
        <w:tblLayout w:type="fixed"/>
        <w:tblCellMar>
          <w:top w:w="0" w:type="dxa"/>
          <w:left w:w="0" w:type="dxa"/>
          <w:bottom w:w="0" w:type="dxa"/>
          <w:right w:w="0" w:type="dxa"/>
        </w:tblCellMar>
      </w:tblPr>
      <w:tblGrid>
        <w:gridCol w:w="2086"/>
        <w:gridCol w:w="1485"/>
        <w:gridCol w:w="1861"/>
        <w:gridCol w:w="1783"/>
        <w:gridCol w:w="1783"/>
      </w:tblGrid>
      <w:tr w14:paraId="1934F322">
        <w:tblPrEx>
          <w:tblCellMar>
            <w:top w:w="0" w:type="dxa"/>
            <w:left w:w="0" w:type="dxa"/>
            <w:bottom w:w="0" w:type="dxa"/>
            <w:right w:w="0" w:type="dxa"/>
          </w:tblCellMar>
        </w:tblPrEx>
        <w:trPr>
          <w:trHeight w:val="636" w:hRule="atLeast"/>
          <w:jc w:val="center"/>
        </w:trPr>
        <w:tc>
          <w:tcPr>
            <w:tcW w:w="208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F7CE61">
            <w:pPr>
              <w:keepNext w:val="0"/>
              <w:keepLines w:val="0"/>
              <w:pageBreakBefore w:val="0"/>
              <w:widowControl w:val="0"/>
              <w:kinsoku/>
              <w:wordWrap/>
              <w:overflowPunct/>
              <w:topLinePunct w:val="0"/>
              <w:autoSpaceDE/>
              <w:autoSpaceDN/>
              <w:bidi w:val="0"/>
              <w:adjustRightInd/>
              <w:snapToGrid/>
              <w:spacing w:line="600" w:lineRule="exact"/>
              <w:ind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项目名称</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21E9D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18"/>
                <w:szCs w:val="18"/>
              </w:rPr>
            </w:pPr>
            <w:r>
              <w:rPr>
                <w:rFonts w:hint="eastAsia" w:ascii="宋体" w:hAnsi="宋体" w:cs="宋体"/>
                <w:sz w:val="18"/>
                <w:szCs w:val="18"/>
                <w:lang w:val="en-US" w:eastAsia="zh-CN"/>
              </w:rPr>
              <w:t>资金计划</w:t>
            </w:r>
          </w:p>
        </w:tc>
        <w:tc>
          <w:tcPr>
            <w:tcW w:w="18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ACFDC2">
            <w:pPr>
              <w:keepNext w:val="0"/>
              <w:keepLines w:val="0"/>
              <w:pageBreakBefore w:val="0"/>
              <w:widowControl w:val="0"/>
              <w:kinsoku/>
              <w:wordWrap/>
              <w:overflowPunct/>
              <w:topLinePunct w:val="0"/>
              <w:autoSpaceDE/>
              <w:autoSpaceDN/>
              <w:bidi w:val="0"/>
              <w:adjustRightInd/>
              <w:snapToGrid/>
              <w:spacing w:line="600" w:lineRule="exact"/>
              <w:ind w:firstLine="360" w:firstLineChars="20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资金到位</w:t>
            </w:r>
          </w:p>
        </w:tc>
        <w:tc>
          <w:tcPr>
            <w:tcW w:w="17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F9E7A5">
            <w:pPr>
              <w:keepNext w:val="0"/>
              <w:keepLines w:val="0"/>
              <w:pageBreakBefore w:val="0"/>
              <w:widowControl w:val="0"/>
              <w:kinsoku/>
              <w:wordWrap/>
              <w:overflowPunct/>
              <w:topLinePunct w:val="0"/>
              <w:autoSpaceDE/>
              <w:autoSpaceDN/>
              <w:bidi w:val="0"/>
              <w:adjustRightInd/>
              <w:snapToGrid/>
              <w:spacing w:line="600" w:lineRule="exact"/>
              <w:ind w:firstLine="360" w:firstLineChars="20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资金使用</w:t>
            </w:r>
          </w:p>
        </w:tc>
        <w:tc>
          <w:tcPr>
            <w:tcW w:w="17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0E7DF1">
            <w:pPr>
              <w:keepNext w:val="0"/>
              <w:keepLines w:val="0"/>
              <w:pageBreakBefore w:val="0"/>
              <w:widowControl w:val="0"/>
              <w:kinsoku/>
              <w:wordWrap/>
              <w:overflowPunct/>
              <w:topLinePunct w:val="0"/>
              <w:autoSpaceDE/>
              <w:autoSpaceDN/>
              <w:bidi w:val="0"/>
              <w:adjustRightInd/>
              <w:snapToGrid/>
              <w:spacing w:line="600" w:lineRule="exact"/>
              <w:ind w:firstLine="360" w:firstLineChars="200"/>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结余</w:t>
            </w:r>
          </w:p>
        </w:tc>
      </w:tr>
      <w:tr w14:paraId="3118BB1B">
        <w:tblPrEx>
          <w:tblCellMar>
            <w:top w:w="0" w:type="dxa"/>
            <w:left w:w="0" w:type="dxa"/>
            <w:bottom w:w="0" w:type="dxa"/>
            <w:right w:w="0" w:type="dxa"/>
          </w:tblCellMar>
        </w:tblPrEx>
        <w:trPr>
          <w:trHeight w:val="636" w:hRule="atLeast"/>
          <w:jc w:val="center"/>
        </w:trPr>
        <w:tc>
          <w:tcPr>
            <w:tcW w:w="208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8C0466">
            <w:pPr>
              <w:keepNext w:val="0"/>
              <w:keepLines w:val="0"/>
              <w:pageBreakBefore w:val="0"/>
              <w:widowControl w:val="0"/>
              <w:kinsoku/>
              <w:wordWrap/>
              <w:overflowPunct/>
              <w:topLinePunct w:val="0"/>
              <w:autoSpaceDE/>
              <w:autoSpaceDN/>
              <w:bidi w:val="0"/>
              <w:adjustRightInd/>
              <w:snapToGrid/>
              <w:spacing w:line="600" w:lineRule="exact"/>
              <w:ind w:firstLine="360" w:firstLineChars="200"/>
              <w:jc w:val="center"/>
              <w:textAlignment w:val="auto"/>
              <w:rPr>
                <w:rFonts w:hint="eastAsia" w:ascii="宋体" w:hAnsi="宋体" w:eastAsia="宋体" w:cs="宋体"/>
                <w:sz w:val="18"/>
                <w:szCs w:val="18"/>
              </w:rPr>
            </w:pP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20060">
            <w:pPr>
              <w:keepNext w:val="0"/>
              <w:keepLines w:val="0"/>
              <w:pageBreakBefore w:val="0"/>
              <w:widowControl w:val="0"/>
              <w:kinsoku/>
              <w:wordWrap/>
              <w:overflowPunct/>
              <w:topLinePunct w:val="0"/>
              <w:autoSpaceDE/>
              <w:autoSpaceDN/>
              <w:bidi w:val="0"/>
              <w:adjustRightInd/>
              <w:snapToGrid/>
              <w:spacing w:line="600" w:lineRule="exact"/>
              <w:ind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财政资金</w:t>
            </w:r>
          </w:p>
        </w:tc>
        <w:tc>
          <w:tcPr>
            <w:tcW w:w="18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D16B18">
            <w:pPr>
              <w:keepNext w:val="0"/>
              <w:keepLines w:val="0"/>
              <w:pageBreakBefore w:val="0"/>
              <w:widowControl w:val="0"/>
              <w:kinsoku/>
              <w:wordWrap/>
              <w:overflowPunct/>
              <w:topLinePunct w:val="0"/>
              <w:autoSpaceDE/>
              <w:autoSpaceDN/>
              <w:bidi w:val="0"/>
              <w:adjustRightInd/>
              <w:snapToGrid/>
              <w:spacing w:line="600" w:lineRule="exact"/>
              <w:ind w:firstLine="360" w:firstLineChars="20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财政资金</w:t>
            </w:r>
          </w:p>
        </w:tc>
        <w:tc>
          <w:tcPr>
            <w:tcW w:w="17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87497B">
            <w:pPr>
              <w:keepNext w:val="0"/>
              <w:keepLines w:val="0"/>
              <w:pageBreakBefore w:val="0"/>
              <w:widowControl w:val="0"/>
              <w:kinsoku/>
              <w:wordWrap/>
              <w:overflowPunct/>
              <w:topLinePunct w:val="0"/>
              <w:autoSpaceDE/>
              <w:autoSpaceDN/>
              <w:bidi w:val="0"/>
              <w:adjustRightInd/>
              <w:snapToGrid/>
              <w:spacing w:line="600" w:lineRule="exact"/>
              <w:ind w:firstLine="360" w:firstLineChars="20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财政资金</w:t>
            </w:r>
          </w:p>
        </w:tc>
        <w:tc>
          <w:tcPr>
            <w:tcW w:w="17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276BA9">
            <w:pPr>
              <w:keepNext w:val="0"/>
              <w:keepLines w:val="0"/>
              <w:pageBreakBefore w:val="0"/>
              <w:widowControl w:val="0"/>
              <w:kinsoku/>
              <w:wordWrap/>
              <w:overflowPunct/>
              <w:topLinePunct w:val="0"/>
              <w:autoSpaceDE/>
              <w:autoSpaceDN/>
              <w:bidi w:val="0"/>
              <w:adjustRightInd/>
              <w:snapToGrid/>
              <w:spacing w:line="600" w:lineRule="exact"/>
              <w:ind w:firstLine="360" w:firstLineChars="200"/>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财政资金</w:t>
            </w:r>
          </w:p>
        </w:tc>
      </w:tr>
      <w:tr w14:paraId="3DF1992B">
        <w:tblPrEx>
          <w:tblCellMar>
            <w:top w:w="0" w:type="dxa"/>
            <w:left w:w="0" w:type="dxa"/>
            <w:bottom w:w="0" w:type="dxa"/>
            <w:right w:w="0" w:type="dxa"/>
          </w:tblCellMar>
        </w:tblPrEx>
        <w:trPr>
          <w:trHeight w:val="1257" w:hRule="atLeast"/>
          <w:jc w:val="center"/>
        </w:trPr>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F7D23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zh-CN"/>
              </w:rPr>
              <w:t>家居产业城启动大坝项目债劵资金</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CA5E74">
            <w:pPr>
              <w:keepNext w:val="0"/>
              <w:keepLines w:val="0"/>
              <w:pageBreakBefore w:val="0"/>
              <w:widowControl w:val="0"/>
              <w:kinsoku/>
              <w:wordWrap/>
              <w:overflowPunct/>
              <w:topLinePunct w:val="0"/>
              <w:autoSpaceDE/>
              <w:autoSpaceDN/>
              <w:bidi w:val="0"/>
              <w:adjustRightInd/>
              <w:snapToGrid/>
              <w:spacing w:line="600" w:lineRule="exact"/>
              <w:ind w:firstLine="360" w:firstLineChars="200"/>
              <w:jc w:val="center"/>
              <w:textAlignment w:val="auto"/>
              <w:rPr>
                <w:rFonts w:hint="default" w:ascii="宋体" w:hAnsi="宋体" w:eastAsia="宋体" w:cs="宋体"/>
                <w:sz w:val="18"/>
                <w:szCs w:val="18"/>
                <w:lang w:val="en-US"/>
              </w:rPr>
            </w:pPr>
            <w:r>
              <w:rPr>
                <w:rFonts w:hint="eastAsia" w:ascii="宋体" w:hAnsi="宋体" w:cs="宋体"/>
                <w:sz w:val="18"/>
                <w:szCs w:val="18"/>
                <w:lang w:val="en-US" w:eastAsia="zh-CN"/>
              </w:rPr>
              <w:t>3800</w:t>
            </w:r>
          </w:p>
        </w:tc>
        <w:tc>
          <w:tcPr>
            <w:tcW w:w="18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A2F44A">
            <w:pPr>
              <w:keepNext w:val="0"/>
              <w:keepLines w:val="0"/>
              <w:pageBreakBefore w:val="0"/>
              <w:widowControl w:val="0"/>
              <w:kinsoku/>
              <w:wordWrap/>
              <w:overflowPunct/>
              <w:topLinePunct w:val="0"/>
              <w:autoSpaceDE/>
              <w:autoSpaceDN/>
              <w:bidi w:val="0"/>
              <w:adjustRightInd/>
              <w:snapToGrid/>
              <w:spacing w:line="600" w:lineRule="exact"/>
              <w:ind w:firstLine="360" w:firstLineChars="200"/>
              <w:jc w:val="center"/>
              <w:textAlignment w:val="auto"/>
              <w:rPr>
                <w:rFonts w:hint="default" w:ascii="宋体" w:hAnsi="宋体" w:eastAsia="宋体" w:cs="宋体"/>
                <w:sz w:val="18"/>
                <w:szCs w:val="18"/>
                <w:lang w:val="en-US"/>
              </w:rPr>
            </w:pPr>
            <w:r>
              <w:rPr>
                <w:rFonts w:hint="eastAsia" w:ascii="宋体" w:hAnsi="宋体" w:cs="宋体"/>
                <w:sz w:val="18"/>
                <w:szCs w:val="18"/>
                <w:lang w:val="en-US" w:eastAsia="zh-CN"/>
              </w:rPr>
              <w:t>3800</w:t>
            </w:r>
          </w:p>
        </w:tc>
        <w:tc>
          <w:tcPr>
            <w:tcW w:w="17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C27285">
            <w:pPr>
              <w:keepNext w:val="0"/>
              <w:keepLines w:val="0"/>
              <w:pageBreakBefore w:val="0"/>
              <w:widowControl w:val="0"/>
              <w:kinsoku/>
              <w:wordWrap/>
              <w:overflowPunct/>
              <w:topLinePunct w:val="0"/>
              <w:autoSpaceDE/>
              <w:autoSpaceDN/>
              <w:bidi w:val="0"/>
              <w:adjustRightInd/>
              <w:snapToGrid/>
              <w:spacing w:line="600" w:lineRule="exact"/>
              <w:ind w:firstLine="360" w:firstLineChars="200"/>
              <w:jc w:val="center"/>
              <w:textAlignment w:val="auto"/>
              <w:rPr>
                <w:rFonts w:hint="default" w:ascii="宋体" w:hAnsi="宋体" w:eastAsia="宋体" w:cs="宋体"/>
                <w:sz w:val="18"/>
                <w:szCs w:val="18"/>
                <w:lang w:val="en-US"/>
              </w:rPr>
            </w:pPr>
            <w:r>
              <w:rPr>
                <w:rFonts w:hint="eastAsia" w:ascii="宋体" w:hAnsi="宋体" w:cs="宋体"/>
                <w:sz w:val="18"/>
                <w:szCs w:val="18"/>
                <w:lang w:val="en-US" w:eastAsia="zh-CN"/>
              </w:rPr>
              <w:t>720.24</w:t>
            </w:r>
          </w:p>
        </w:tc>
        <w:tc>
          <w:tcPr>
            <w:tcW w:w="17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1AA231">
            <w:pPr>
              <w:keepNext w:val="0"/>
              <w:keepLines w:val="0"/>
              <w:pageBreakBefore w:val="0"/>
              <w:widowControl w:val="0"/>
              <w:kinsoku/>
              <w:wordWrap/>
              <w:overflowPunct/>
              <w:topLinePunct w:val="0"/>
              <w:autoSpaceDE/>
              <w:autoSpaceDN/>
              <w:bidi w:val="0"/>
              <w:adjustRightInd/>
              <w:snapToGrid/>
              <w:spacing w:line="600" w:lineRule="exact"/>
              <w:ind w:firstLine="360" w:firstLineChars="20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3079.76</w:t>
            </w:r>
          </w:p>
        </w:tc>
      </w:tr>
    </w:tbl>
    <w:p w14:paraId="7309353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w:t>
      </w:r>
      <w:r>
        <w:rPr>
          <w:rFonts w:hint="eastAsia" w:ascii="宋体" w:hAnsi="宋体" w:cs="宋体"/>
          <w:b/>
          <w:bCs/>
          <w:sz w:val="28"/>
          <w:szCs w:val="28"/>
          <w:lang w:val="zh-CN"/>
        </w:rPr>
        <w:t>三</w:t>
      </w:r>
      <w:r>
        <w:rPr>
          <w:rFonts w:hint="eastAsia" w:ascii="宋体" w:hAnsi="宋体" w:eastAsia="宋体" w:cs="宋体"/>
          <w:b/>
          <w:bCs/>
          <w:sz w:val="28"/>
          <w:szCs w:val="28"/>
          <w:lang w:val="zh-CN"/>
        </w:rPr>
        <w:t>）项目财务管理情况</w:t>
      </w:r>
    </w:p>
    <w:p w14:paraId="4F01B33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本单位财务管理制度健全，</w:t>
      </w:r>
      <w:r>
        <w:rPr>
          <w:rFonts w:hint="eastAsia" w:ascii="宋体" w:hAnsi="宋体" w:cs="宋体"/>
          <w:sz w:val="28"/>
          <w:szCs w:val="28"/>
          <w:lang w:val="zh-CN"/>
        </w:rPr>
        <w:t>项目</w:t>
      </w:r>
      <w:r>
        <w:rPr>
          <w:rFonts w:hint="eastAsia" w:ascii="宋体" w:hAnsi="宋体" w:eastAsia="宋体" w:cs="宋体"/>
          <w:sz w:val="28"/>
          <w:szCs w:val="28"/>
          <w:lang w:val="zh-CN"/>
        </w:rPr>
        <w:t>严格执行财务管理制度，账务处理及时，会计核算规范。</w:t>
      </w:r>
    </w:p>
    <w:p w14:paraId="43E2307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bCs/>
          <w:sz w:val="28"/>
          <w:szCs w:val="28"/>
          <w:lang w:val="zh-CN" w:eastAsia="zh-CN"/>
        </w:rPr>
      </w:pPr>
      <w:r>
        <w:rPr>
          <w:rFonts w:hint="eastAsia" w:ascii="宋体" w:hAnsi="宋体" w:cs="宋体"/>
          <w:b/>
          <w:bCs/>
          <w:sz w:val="28"/>
          <w:szCs w:val="28"/>
          <w:lang w:val="zh-CN" w:eastAsia="zh-CN"/>
        </w:rPr>
        <w:t>三、项目实施及管理情况</w:t>
      </w:r>
    </w:p>
    <w:p w14:paraId="692EDD7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lang w:val="zh-CN" w:eastAsia="zh-CN"/>
        </w:rPr>
        <w:t>项目组织架构及实施流程。</w:t>
      </w:r>
    </w:p>
    <w:p w14:paraId="38AFFD2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我单位作为实施单位，成立了项目领导小组负责项目统筹安排及管理，安排专人负责实施。具体工作由项目业主</w:t>
      </w:r>
      <w:r>
        <w:rPr>
          <w:rFonts w:hint="eastAsia" w:ascii="宋体" w:hAnsi="宋体" w:eastAsia="宋体" w:cs="宋体"/>
          <w:sz w:val="28"/>
          <w:szCs w:val="28"/>
          <w:lang w:val="en-US" w:eastAsia="zh-CN"/>
        </w:rPr>
        <w:t>四川昭旺家居产业投资有限责任公司负责。</w:t>
      </w:r>
      <w:r>
        <w:rPr>
          <w:rFonts w:hint="eastAsia" w:ascii="宋体" w:hAnsi="宋体" w:cs="宋体"/>
          <w:sz w:val="28"/>
          <w:szCs w:val="28"/>
          <w:lang w:val="en-US" w:eastAsia="zh-CN"/>
        </w:rPr>
        <w:t>其</w:t>
      </w:r>
      <w:r>
        <w:rPr>
          <w:rFonts w:hint="eastAsia" w:ascii="宋体" w:hAnsi="宋体" w:eastAsia="宋体" w:cs="宋体"/>
          <w:sz w:val="28"/>
          <w:szCs w:val="28"/>
          <w:lang w:val="zh-CN" w:eastAsia="zh-CN"/>
        </w:rPr>
        <w:t>主要职责：</w:t>
      </w:r>
    </w:p>
    <w:p w14:paraId="1F530D5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①对项目建设的全过程负责，对项目的工程质量、工程进度、工程安全和资金管理负总责。</w:t>
      </w:r>
    </w:p>
    <w:p w14:paraId="7391261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a.负责组建现场建设管理机构或指派专职管理人员；</w:t>
      </w:r>
    </w:p>
    <w:p w14:paraId="46E87BC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b.负责拟订工程建设计划、质量管理制度、岗位责任制和安全生产责任制；</w:t>
      </w:r>
    </w:p>
    <w:p w14:paraId="4D44108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c.负责对工程质量、进度、安全、投资等进行管理、检查和监督；</w:t>
      </w:r>
    </w:p>
    <w:p w14:paraId="1148BE9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d.负责协调项目政策处理等外部关系；</w:t>
      </w:r>
    </w:p>
    <w:p w14:paraId="2E2AD5A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e.负责向主管部门定期汇报各项工作进展情况。</w:t>
      </w:r>
    </w:p>
    <w:p w14:paraId="3D9088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eastAsia="zh-CN"/>
        </w:rPr>
        <w:t>②按照</w:t>
      </w:r>
      <w:r>
        <w:rPr>
          <w:rFonts w:hint="eastAsia" w:ascii="宋体" w:hAnsi="宋体" w:cs="宋体"/>
          <w:sz w:val="28"/>
          <w:szCs w:val="28"/>
          <w:lang w:val="zh-CN" w:eastAsia="zh-CN"/>
        </w:rPr>
        <w:t>《中华人民共和国招标投标法》</w:t>
      </w:r>
      <w:r>
        <w:rPr>
          <w:rFonts w:hint="eastAsia" w:ascii="宋体" w:hAnsi="宋体" w:eastAsia="宋体" w:cs="宋体"/>
          <w:sz w:val="28"/>
          <w:szCs w:val="28"/>
          <w:lang w:val="zh-CN" w:eastAsia="zh-CN"/>
        </w:rPr>
        <w:t>、《中华人民共和国合同法》和《建设工程质量管理条例》的有关规定，通过公开招投标确定具有相应资质的勘察设计单位、施工单位、监理单位，并明确勘察设计单位、施工单位、工程监理单位质量终身责任人及其所应负的责任。</w:t>
      </w:r>
    </w:p>
    <w:p w14:paraId="6CA1F3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en-US" w:eastAsia="zh-CN"/>
        </w:rPr>
        <w:t>（二）项目管理</w:t>
      </w:r>
      <w:r>
        <w:rPr>
          <w:rFonts w:hint="eastAsia" w:ascii="宋体" w:hAnsi="宋体" w:eastAsia="宋体" w:cs="宋体"/>
          <w:b/>
          <w:bCs/>
          <w:sz w:val="28"/>
          <w:szCs w:val="28"/>
          <w:lang w:val="zh-CN"/>
        </w:rPr>
        <w:t>理情况。</w:t>
      </w:r>
    </w:p>
    <w:p w14:paraId="69DFC8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本项目</w:t>
      </w:r>
      <w:r>
        <w:rPr>
          <w:rFonts w:hint="eastAsia" w:ascii="宋体" w:hAnsi="宋体" w:cs="宋体"/>
          <w:sz w:val="28"/>
          <w:szCs w:val="28"/>
          <w:lang w:val="zh-CN"/>
        </w:rPr>
        <w:t>尚未开工</w:t>
      </w:r>
      <w:r>
        <w:rPr>
          <w:rFonts w:hint="eastAsia" w:ascii="宋体" w:hAnsi="宋体" w:eastAsia="宋体" w:cs="宋体"/>
          <w:sz w:val="28"/>
          <w:szCs w:val="28"/>
          <w:lang w:val="zh-CN"/>
        </w:rPr>
        <w:t>，</w:t>
      </w:r>
      <w:r>
        <w:rPr>
          <w:rFonts w:hint="eastAsia" w:ascii="宋体" w:hAnsi="宋体" w:cs="宋体"/>
          <w:sz w:val="28"/>
          <w:szCs w:val="28"/>
          <w:lang w:val="zh-CN"/>
        </w:rPr>
        <w:t>仅开展前期征拆等工作，</w:t>
      </w:r>
      <w:r>
        <w:rPr>
          <w:rFonts w:hint="eastAsia" w:ascii="宋体" w:hAnsi="宋体" w:eastAsia="宋体" w:cs="宋体"/>
          <w:sz w:val="28"/>
          <w:szCs w:val="28"/>
          <w:lang w:val="zh-CN"/>
        </w:rPr>
        <w:t>管理有序。</w:t>
      </w:r>
    </w:p>
    <w:p w14:paraId="721E92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（三）项目监管情况。</w:t>
      </w:r>
    </w:p>
    <w:p w14:paraId="007758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项目的实施接受主管部门的日常监管。债券资金的使用按照《广元市财政局关于全面实施专项债券资金在线监管得到通知》要求实行一债一户，项目单位、主管部门、财政部门、开户银行共同监管。</w:t>
      </w:r>
    </w:p>
    <w:p w14:paraId="1EBA940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bCs/>
          <w:sz w:val="28"/>
          <w:szCs w:val="28"/>
          <w:lang w:val="zh-CN" w:eastAsia="zh-CN"/>
        </w:rPr>
      </w:pPr>
      <w:r>
        <w:rPr>
          <w:rFonts w:hint="eastAsia" w:ascii="宋体" w:hAnsi="宋体" w:cs="宋体"/>
          <w:b/>
          <w:bCs/>
          <w:sz w:val="28"/>
          <w:szCs w:val="28"/>
          <w:lang w:val="zh-CN" w:eastAsia="zh-CN"/>
        </w:rPr>
        <w:t>四、项目绩效情况</w:t>
      </w:r>
      <w:r>
        <w:rPr>
          <w:rFonts w:hint="eastAsia" w:ascii="宋体" w:hAnsi="宋体" w:cs="宋体"/>
          <w:b/>
          <w:bCs/>
          <w:sz w:val="28"/>
          <w:szCs w:val="28"/>
          <w:lang w:val="zh-CN" w:eastAsia="zh-CN"/>
        </w:rPr>
        <w:tab/>
      </w:r>
    </w:p>
    <w:p w14:paraId="680ED64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（一）项目完成情况。</w:t>
      </w:r>
    </w:p>
    <w:p w14:paraId="049F067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zh-CN"/>
        </w:rPr>
        <w:t>完成土地征收</w:t>
      </w:r>
      <w:r>
        <w:rPr>
          <w:rFonts w:hint="eastAsia" w:ascii="宋体" w:hAnsi="宋体" w:cs="宋体"/>
          <w:sz w:val="28"/>
          <w:szCs w:val="28"/>
          <w:lang w:val="en-US" w:eastAsia="zh-CN"/>
        </w:rPr>
        <w:t>90余亩，</w:t>
      </w:r>
      <w:r>
        <w:rPr>
          <w:rFonts w:hint="eastAsia" w:ascii="宋体" w:hAnsi="宋体" w:cs="宋体"/>
          <w:sz w:val="28"/>
          <w:szCs w:val="28"/>
          <w:lang w:val="zh-CN"/>
        </w:rPr>
        <w:t>项目尚未开工建设</w:t>
      </w:r>
      <w:r>
        <w:rPr>
          <w:rFonts w:hint="eastAsia" w:ascii="宋体" w:hAnsi="宋体" w:eastAsia="宋体" w:cs="宋体"/>
          <w:sz w:val="28"/>
          <w:szCs w:val="28"/>
          <w:lang w:val="zh-CN"/>
        </w:rPr>
        <w:t>。</w:t>
      </w:r>
    </w:p>
    <w:p w14:paraId="67A73E1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（二）项目效益情况。</w:t>
      </w:r>
    </w:p>
    <w:p w14:paraId="41392F3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项目计划2024年完成，建成后项目</w:t>
      </w:r>
      <w:r>
        <w:rPr>
          <w:rFonts w:hint="eastAsia" w:ascii="宋体" w:hAnsi="宋体" w:cs="宋体"/>
          <w:sz w:val="28"/>
          <w:szCs w:val="28"/>
          <w:lang w:val="en-US" w:eastAsia="zh-CN"/>
        </w:rPr>
        <w:t>预计</w:t>
      </w:r>
      <w:r>
        <w:rPr>
          <w:rFonts w:hint="eastAsia" w:ascii="宋体" w:hAnsi="宋体" w:eastAsia="宋体" w:cs="宋体"/>
          <w:sz w:val="28"/>
          <w:szCs w:val="28"/>
          <w:lang w:val="en-US" w:eastAsia="zh-CN"/>
        </w:rPr>
        <w:t>年均收入</w:t>
      </w:r>
      <w:r>
        <w:rPr>
          <w:rFonts w:hint="eastAsia" w:ascii="宋体" w:hAnsi="宋体" w:cs="宋体"/>
          <w:sz w:val="28"/>
          <w:szCs w:val="28"/>
          <w:lang w:val="en-US" w:eastAsia="zh-CN"/>
        </w:rPr>
        <w:t>6000万元以上</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有效</w:t>
      </w:r>
      <w:r>
        <w:rPr>
          <w:rFonts w:hint="eastAsia" w:ascii="宋体" w:hAnsi="宋体" w:eastAsia="宋体" w:cs="宋体"/>
          <w:sz w:val="28"/>
          <w:szCs w:val="28"/>
          <w:lang w:val="en-US" w:eastAsia="zh-CN"/>
        </w:rPr>
        <w:t>完善基础设施</w:t>
      </w:r>
      <w:r>
        <w:rPr>
          <w:rFonts w:hint="eastAsia" w:ascii="宋体" w:hAnsi="宋体" w:cs="宋体"/>
          <w:sz w:val="28"/>
          <w:szCs w:val="28"/>
          <w:lang w:val="en-US" w:eastAsia="zh-CN"/>
        </w:rPr>
        <w:t>、有效促进就业提高居民收入、有效改善当地物流运输环境，项目收益覆盖倍数达到1.2倍以上，持续经营10年以上，</w:t>
      </w:r>
      <w:r>
        <w:rPr>
          <w:rFonts w:hint="eastAsia" w:ascii="宋体" w:hAnsi="宋体" w:eastAsia="宋体" w:cs="宋体"/>
          <w:sz w:val="28"/>
          <w:szCs w:val="28"/>
          <w:lang w:val="zh-CN"/>
        </w:rPr>
        <w:t>项目完成后</w:t>
      </w:r>
      <w:r>
        <w:rPr>
          <w:rFonts w:hint="eastAsia" w:ascii="宋体" w:hAnsi="宋体" w:cs="宋体"/>
          <w:sz w:val="28"/>
          <w:szCs w:val="28"/>
          <w:lang w:val="zh-CN"/>
        </w:rPr>
        <w:t>效益明显：</w:t>
      </w:r>
    </w:p>
    <w:p w14:paraId="3875D636">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经济效益</w:t>
      </w:r>
    </w:p>
    <w:p w14:paraId="5567A54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auto"/>
          <w:lang w:val="zh-CN"/>
        </w:rPr>
      </w:pPr>
      <w:r>
        <w:rPr>
          <w:rFonts w:hint="eastAsia" w:ascii="宋体" w:hAnsi="宋体" w:cs="宋体"/>
          <w:color w:val="auto"/>
          <w:sz w:val="28"/>
          <w:szCs w:val="28"/>
          <w:lang w:val="en-US" w:eastAsia="zh-CN"/>
        </w:rPr>
        <w:t>项目建成后，该园区将作为家居产业城及广元市其他工业园区的配套设施，有利于促进区域现代物流业的快速发展，降低工商企业的物流成本，有利于区域产业结构优化升级。项目经济效益显著。</w:t>
      </w:r>
      <w:r>
        <w:rPr>
          <w:rFonts w:hint="eastAsia" w:ascii="宋体" w:hAnsi="宋体" w:eastAsia="宋体" w:cs="宋体"/>
          <w:color w:val="auto"/>
          <w:sz w:val="28"/>
          <w:szCs w:val="28"/>
          <w:lang w:val="en-US" w:eastAsia="zh-CN"/>
        </w:rPr>
        <w:t>建成后</w:t>
      </w:r>
      <w:r>
        <w:rPr>
          <w:rFonts w:hint="eastAsia" w:ascii="宋体" w:hAnsi="宋体" w:cs="宋体"/>
          <w:color w:val="auto"/>
          <w:sz w:val="28"/>
          <w:szCs w:val="28"/>
          <w:lang w:val="en-US" w:eastAsia="zh-CN"/>
        </w:rPr>
        <w:t>预计</w:t>
      </w:r>
      <w:r>
        <w:rPr>
          <w:rFonts w:hint="eastAsia" w:ascii="宋体" w:hAnsi="宋体" w:eastAsia="宋体" w:cs="宋体"/>
          <w:color w:val="auto"/>
          <w:sz w:val="28"/>
          <w:szCs w:val="28"/>
          <w:lang w:val="en-US" w:eastAsia="zh-CN"/>
        </w:rPr>
        <w:t>项目年均收入</w:t>
      </w:r>
      <w:r>
        <w:rPr>
          <w:rFonts w:hint="eastAsia" w:ascii="宋体" w:hAnsi="宋体" w:cs="宋体"/>
          <w:color w:val="auto"/>
          <w:sz w:val="28"/>
          <w:szCs w:val="28"/>
          <w:lang w:val="en-US" w:eastAsia="zh-CN"/>
        </w:rPr>
        <w:t>6000万元以上。</w:t>
      </w:r>
    </w:p>
    <w:p w14:paraId="3D7CD672">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社会效益</w:t>
      </w:r>
    </w:p>
    <w:p w14:paraId="3E2CD4B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 xml:space="preserve">（1）项目建设将促进家居产业城快速发展 </w:t>
      </w:r>
    </w:p>
    <w:p w14:paraId="03DD83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 xml:space="preserve">随着中国城市化和小城镇化建设步伐的加快，进一步促进了中国的住宅建设，住宅作为一种商品进入市场，为各类家私和配套产品提供了发展空间，家具行业将迎来黄金发展期。 </w:t>
      </w:r>
    </w:p>
    <w:p w14:paraId="3610653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广元已建成连接西南西北、通江达海的铁路、公路、水路、航空 运输立体综合交通网络，是联结中国西南、西北和中原地区的重要交通枢纽，是经亚欧大陆桥往中东、欧洲和经云南、</w:t>
      </w:r>
      <w:r>
        <w:rPr>
          <w:rFonts w:hint="eastAsia" w:ascii="宋体" w:hAnsi="宋体" w:cs="宋体"/>
          <w:color w:val="auto"/>
          <w:sz w:val="28"/>
          <w:szCs w:val="28"/>
          <w:lang w:val="en-US" w:eastAsia="zh-CN"/>
        </w:rPr>
        <w:t>广西往南</w:t>
      </w:r>
      <w:r>
        <w:rPr>
          <w:rFonts w:hint="eastAsia" w:ascii="宋体" w:hAnsi="宋体" w:cs="宋体"/>
          <w:sz w:val="28"/>
          <w:szCs w:val="28"/>
          <w:lang w:val="en-US" w:eastAsia="zh-CN"/>
        </w:rPr>
        <w:t xml:space="preserve">亚、东南 亚的重要交通节点。产业城半径 200 公里内辐射人口 4100 万；半径 500 公里 辐射人口达 1.7 亿。中国西部（广元）绿色家居产业城独特的区位优势。销售市场不仅局限于川陕甘毗邻地区，更能辐射全国各地以及东南亚及海外国家。 </w:t>
      </w:r>
    </w:p>
    <w:p w14:paraId="193919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 xml:space="preserve">本项目充分利用广元市优越的地理位置，为家居产业城提供物流服务平台，满足原材料进出、成品销售等所需要的必要的物流条件。从而促进家居产业城的快速发展。 </w:t>
      </w:r>
    </w:p>
    <w:p w14:paraId="72BB41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（2）项目建设将大幅降低家居产业城企业物流成本</w:t>
      </w:r>
    </w:p>
    <w:p w14:paraId="5217485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 xml:space="preserve">目前入驻中国西部（广元）绿色家居产业城的项目达 39 个，另成功签约项目多达数十个。随着招商引资工作的持续开展，将会有更多的企业入驻该园区，因此急需要建设规范化、智能化的物流园区，从而提高企业的运输效率，降低企业成本。 </w:t>
      </w:r>
    </w:p>
    <w:p w14:paraId="5DB147D0">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lang w:val="en-US" w:eastAsia="zh-CN"/>
        </w:rPr>
      </w:pPr>
      <w:r>
        <w:rPr>
          <w:rFonts w:hint="eastAsia" w:ascii="宋体" w:hAnsi="宋体" w:cs="宋体"/>
          <w:sz w:val="28"/>
          <w:szCs w:val="28"/>
          <w:lang w:val="en-US" w:eastAsia="zh-CN"/>
        </w:rPr>
        <w:t>物流园区是地方经济发展战略高地，项目建设有利于调整</w:t>
      </w:r>
      <w:r>
        <w:rPr>
          <w:rFonts w:hint="eastAsia" w:ascii="宋体" w:hAnsi="宋体" w:cs="宋体"/>
          <w:color w:val="auto"/>
          <w:sz w:val="28"/>
          <w:szCs w:val="28"/>
          <w:lang w:val="en-US" w:eastAsia="zh-CN"/>
        </w:rPr>
        <w:t>城市用地功能布局。</w:t>
      </w:r>
    </w:p>
    <w:p w14:paraId="20AA27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中国经济发展已经从早期道路等疏通性基础设施建设，上升为当下功能完善的平台型基础设施建设。科学布局的物流园区是推动城市经济稳健发展的重要保障。物流园区的规划建设将为诸多原有仓储及配送中心的提供条件，对城区内的物流用地以及经济中心城市辐射范围内的城市用地功能及布局调整起到推动作用。 </w:t>
      </w:r>
    </w:p>
    <w:p w14:paraId="71487D2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 xml:space="preserve">（4）项目建设能缓解区域交通压力 </w:t>
      </w:r>
    </w:p>
    <w:p w14:paraId="198F4C9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 xml:space="preserve">随着区域经济的发展，物流量进一步增加，为区域内的交通带来更大压力。物流园区的规划建设将把物流集散地从各个城区转移到交通压力相对较小的区域，在一定程度上改变了城区交通需求的空间布局，缓解区域内城区的交通压力。 </w:t>
      </w:r>
    </w:p>
    <w:p w14:paraId="7AE6C57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bCs/>
          <w:sz w:val="28"/>
          <w:szCs w:val="28"/>
          <w:lang w:val="zh-CN" w:eastAsia="zh-CN"/>
        </w:rPr>
      </w:pPr>
      <w:r>
        <w:rPr>
          <w:rFonts w:hint="eastAsia" w:ascii="宋体" w:hAnsi="宋体" w:cs="宋体"/>
          <w:b/>
          <w:bCs/>
          <w:sz w:val="28"/>
          <w:szCs w:val="28"/>
          <w:lang w:val="zh-CN" w:eastAsia="zh-CN"/>
        </w:rPr>
        <w:t>五、自评结论及建议</w:t>
      </w:r>
    </w:p>
    <w:p w14:paraId="540977B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zh-CN"/>
        </w:rPr>
        <w:t>（一）评价结论</w:t>
      </w:r>
      <w:r>
        <w:rPr>
          <w:rFonts w:hint="eastAsia" w:ascii="宋体" w:hAnsi="宋体" w:cs="宋体"/>
          <w:b/>
          <w:bCs/>
          <w:sz w:val="28"/>
          <w:szCs w:val="28"/>
          <w:lang w:val="en-US" w:eastAsia="zh-CN"/>
        </w:rPr>
        <w:t>。</w:t>
      </w:r>
    </w:p>
    <w:p w14:paraId="0F8AD4A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广元市东部新城智慧物流产业园项目（一期）有立项批复，</w:t>
      </w:r>
      <w:r>
        <w:rPr>
          <w:rFonts w:hint="eastAsia" w:ascii="宋体" w:hAnsi="宋体" w:eastAsia="宋体" w:cs="宋体"/>
          <w:sz w:val="28"/>
          <w:szCs w:val="28"/>
          <w:lang w:val="zh-CN" w:eastAsia="zh-CN"/>
        </w:rPr>
        <w:t>项目收益与融资自求平衡专项债券实施方案、收益与融资自求平衡专项债券财务评价报告、收益与融资自求平衡专项债券法律意见书均通过审核</w:t>
      </w:r>
      <w:r>
        <w:rPr>
          <w:rFonts w:hint="eastAsia" w:ascii="宋体" w:hAnsi="宋体" w:cs="宋体"/>
          <w:sz w:val="28"/>
          <w:szCs w:val="28"/>
          <w:lang w:val="zh-CN" w:eastAsia="zh-CN"/>
        </w:rPr>
        <w:t>，项目程序严密、规划合理、制度完备；</w:t>
      </w:r>
      <w:r>
        <w:rPr>
          <w:rFonts w:hint="eastAsia" w:ascii="宋体" w:hAnsi="宋体" w:eastAsia="宋体" w:cs="宋体"/>
          <w:sz w:val="28"/>
          <w:szCs w:val="28"/>
          <w:lang w:val="en-US" w:eastAsia="zh-CN"/>
        </w:rPr>
        <w:t>项目严格按照基本建设管理制度</w:t>
      </w:r>
      <w:r>
        <w:rPr>
          <w:rFonts w:hint="eastAsia" w:ascii="宋体" w:hAnsi="宋体" w:cs="宋体"/>
          <w:sz w:val="28"/>
          <w:szCs w:val="28"/>
          <w:lang w:val="en-US" w:eastAsia="zh-CN"/>
        </w:rPr>
        <w:t>和地方政府债券管理要求执行，分配合理、使用合规、执行有效；项目尚未开工建设</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项目完成后能达到预期效益</w:t>
      </w:r>
      <w:r>
        <w:rPr>
          <w:rFonts w:hint="eastAsia" w:ascii="宋体" w:hAnsi="宋体" w:eastAsia="宋体" w:cs="宋体"/>
          <w:sz w:val="28"/>
          <w:szCs w:val="28"/>
          <w:lang w:val="en-US" w:eastAsia="zh-CN"/>
        </w:rPr>
        <w:t>。</w:t>
      </w:r>
      <w:r>
        <w:rPr>
          <w:rFonts w:hint="eastAsia" w:ascii="宋体" w:hAnsi="宋体" w:cs="宋体"/>
          <w:sz w:val="28"/>
          <w:szCs w:val="28"/>
          <w:lang w:val="zh-CN"/>
        </w:rPr>
        <w:t>自评</w:t>
      </w:r>
      <w:r>
        <w:rPr>
          <w:rFonts w:hint="eastAsia" w:ascii="宋体" w:hAnsi="宋体" w:eastAsia="宋体" w:cs="宋体"/>
          <w:sz w:val="28"/>
          <w:szCs w:val="28"/>
          <w:lang w:val="zh-CN"/>
        </w:rPr>
        <w:t>得分</w:t>
      </w:r>
      <w:r>
        <w:rPr>
          <w:rFonts w:hint="eastAsia" w:ascii="宋体" w:hAnsi="宋体" w:eastAsia="宋体" w:cs="宋体"/>
          <w:sz w:val="28"/>
          <w:szCs w:val="28"/>
          <w:lang w:val="en-US" w:eastAsia="zh-CN"/>
        </w:rPr>
        <w:t>9</w:t>
      </w:r>
      <w:r>
        <w:rPr>
          <w:rFonts w:hint="eastAsia" w:ascii="宋体" w:hAnsi="宋体" w:cs="宋体"/>
          <w:sz w:val="28"/>
          <w:szCs w:val="28"/>
          <w:lang w:val="en-US" w:eastAsia="zh-CN"/>
        </w:rPr>
        <w:t>6</w:t>
      </w:r>
      <w:r>
        <w:rPr>
          <w:rFonts w:hint="eastAsia" w:ascii="宋体" w:hAnsi="宋体" w:eastAsia="宋体" w:cs="宋体"/>
          <w:sz w:val="28"/>
          <w:szCs w:val="28"/>
          <w:lang w:val="en-US" w:eastAsia="zh-CN"/>
        </w:rPr>
        <w:t>分。</w:t>
      </w:r>
    </w:p>
    <w:p w14:paraId="413F3EF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（二）存在的问题</w:t>
      </w:r>
      <w:r>
        <w:rPr>
          <w:rFonts w:hint="eastAsia" w:ascii="宋体" w:hAnsi="宋体" w:cs="宋体"/>
          <w:b/>
          <w:bCs/>
          <w:sz w:val="28"/>
          <w:szCs w:val="28"/>
          <w:lang w:val="zh-CN"/>
        </w:rPr>
        <w:t>。</w:t>
      </w:r>
    </w:p>
    <w:p w14:paraId="0A89E85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cs="宋体"/>
          <w:sz w:val="28"/>
          <w:szCs w:val="28"/>
          <w:lang w:val="zh-CN"/>
        </w:rPr>
        <w:t>项目尚未开工建设。</w:t>
      </w:r>
      <w:r>
        <w:rPr>
          <w:rFonts w:hint="eastAsia" w:ascii="宋体" w:hAnsi="宋体" w:eastAsia="宋体" w:cs="宋体"/>
          <w:sz w:val="28"/>
          <w:szCs w:val="28"/>
          <w:lang w:val="zh-CN"/>
        </w:rPr>
        <w:tab/>
      </w:r>
    </w:p>
    <w:p w14:paraId="14D3A5A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（三）相关建议</w:t>
      </w:r>
      <w:r>
        <w:rPr>
          <w:rFonts w:hint="eastAsia" w:ascii="宋体" w:hAnsi="宋体" w:cs="宋体"/>
          <w:b/>
          <w:bCs/>
          <w:sz w:val="28"/>
          <w:szCs w:val="28"/>
          <w:lang w:val="zh-CN"/>
        </w:rPr>
        <w:t>。</w:t>
      </w:r>
    </w:p>
    <w:p w14:paraId="300D30A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eastAsia="zh-CN"/>
        </w:rPr>
      </w:pPr>
      <w:r>
        <w:rPr>
          <w:rFonts w:hint="eastAsia" w:ascii="宋体" w:hAnsi="宋体" w:cs="宋体"/>
          <w:sz w:val="28"/>
          <w:szCs w:val="28"/>
          <w:lang w:eastAsia="zh-CN"/>
        </w:rPr>
        <w:t>及早开工建设，争取按照预定时间完成计划任务，及早投入使用和运营，取得运营收入，按计划还本付息，实行预期目标。</w:t>
      </w:r>
    </w:p>
    <w:p w14:paraId="11FB908F">
      <w:pPr>
        <w:pStyle w:val="2"/>
        <w:ind w:firstLine="560" w:firstLineChars="200"/>
        <w:rPr>
          <w:rFonts w:hint="eastAsia" w:ascii="宋体" w:hAnsi="宋体" w:eastAsia="宋体" w:cs="宋体"/>
          <w:kern w:val="2"/>
          <w:sz w:val="28"/>
          <w:szCs w:val="28"/>
          <w:lang w:val="en-US" w:eastAsia="zh-CN" w:bidi="ar-SA"/>
        </w:rPr>
      </w:pPr>
    </w:p>
    <w:p w14:paraId="3C4AB1A1">
      <w:pPr>
        <w:pStyle w:val="2"/>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附表：</w:t>
      </w:r>
    </w:p>
    <w:tbl>
      <w:tblPr>
        <w:tblStyle w:val="16"/>
        <w:tblW w:w="93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1"/>
        <w:gridCol w:w="839"/>
        <w:gridCol w:w="1145"/>
        <w:gridCol w:w="994"/>
        <w:gridCol w:w="842"/>
        <w:gridCol w:w="1504"/>
        <w:gridCol w:w="1987"/>
        <w:gridCol w:w="1352"/>
      </w:tblGrid>
      <w:tr w14:paraId="2BC47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314" w:type="dxa"/>
            <w:gridSpan w:val="8"/>
            <w:tcBorders>
              <w:top w:val="nil"/>
              <w:left w:val="nil"/>
              <w:bottom w:val="nil"/>
              <w:right w:val="nil"/>
            </w:tcBorders>
            <w:shd w:val="clear" w:color="auto" w:fill="auto"/>
            <w:noWrap/>
            <w:vAlign w:val="center"/>
          </w:tcPr>
          <w:p w14:paraId="1CE05134">
            <w:pPr>
              <w:keepNext w:val="0"/>
              <w:keepLines w:val="0"/>
              <w:widowControl/>
              <w:suppressLineNumbers w:val="0"/>
              <w:jc w:val="center"/>
              <w:textAlignment w:val="center"/>
              <w:rPr>
                <w:rFonts w:hint="eastAsia" w:ascii="宋体" w:hAnsi="宋体" w:eastAsia="宋体" w:cs="宋体"/>
                <w:i w:val="0"/>
                <w:iCs w:val="0"/>
                <w:color w:val="000000"/>
                <w:sz w:val="34"/>
                <w:szCs w:val="34"/>
                <w:u w:val="none"/>
              </w:rPr>
            </w:pPr>
            <w:r>
              <w:rPr>
                <w:rFonts w:hint="eastAsia" w:ascii="宋体" w:hAnsi="宋体" w:cs="宋体"/>
                <w:sz w:val="28"/>
                <w:szCs w:val="28"/>
                <w:lang w:val="en-US" w:eastAsia="zh-CN"/>
              </w:rPr>
              <w:t>广元市昭化区财政项目支出绩效自评表</w:t>
            </w:r>
          </w:p>
        </w:tc>
      </w:tr>
      <w:tr w14:paraId="3C7C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14" w:type="dxa"/>
            <w:gridSpan w:val="8"/>
            <w:tcBorders>
              <w:top w:val="nil"/>
              <w:left w:val="nil"/>
              <w:bottom w:val="nil"/>
              <w:right w:val="nil"/>
            </w:tcBorders>
            <w:shd w:val="clear" w:color="auto" w:fill="auto"/>
            <w:noWrap/>
            <w:vAlign w:val="center"/>
          </w:tcPr>
          <w:p w14:paraId="62E92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2022年度）</w:t>
            </w:r>
          </w:p>
        </w:tc>
      </w:tr>
      <w:tr w14:paraId="17C64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4CDE4BA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824" w:type="dxa"/>
            <w:gridSpan w:val="6"/>
            <w:tcBorders>
              <w:top w:val="single" w:color="000000" w:sz="4" w:space="0"/>
              <w:left w:val="single" w:color="000000" w:sz="4" w:space="0"/>
              <w:bottom w:val="single" w:color="000000" w:sz="4" w:space="0"/>
              <w:right w:val="single" w:color="000000" w:sz="4" w:space="0"/>
            </w:tcBorders>
            <w:shd w:val="clear" w:color="auto" w:fill="FFFFFF"/>
            <w:vAlign w:val="top"/>
          </w:tcPr>
          <w:p w14:paraId="188AC16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2022年广元市东部新城智慧物流产业园项目（一期）债劵资金</w:t>
            </w:r>
          </w:p>
        </w:tc>
      </w:tr>
      <w:tr w14:paraId="2906B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90"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783DBF3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981" w:type="dxa"/>
            <w:gridSpan w:val="3"/>
            <w:tcBorders>
              <w:top w:val="nil"/>
              <w:left w:val="single" w:color="000000" w:sz="4" w:space="0"/>
              <w:bottom w:val="single" w:color="000000" w:sz="4" w:space="0"/>
              <w:right w:val="single" w:color="000000" w:sz="4" w:space="0"/>
            </w:tcBorders>
            <w:shd w:val="clear" w:color="auto" w:fill="FFFFFF"/>
            <w:vAlign w:val="center"/>
          </w:tcPr>
          <w:p w14:paraId="03922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四川广元昭化经济开发区管理委员会</w:t>
            </w:r>
          </w:p>
        </w:tc>
        <w:tc>
          <w:tcPr>
            <w:tcW w:w="1504" w:type="dxa"/>
            <w:tcBorders>
              <w:top w:val="nil"/>
              <w:left w:val="single" w:color="000000" w:sz="4" w:space="0"/>
              <w:bottom w:val="single" w:color="000000" w:sz="4" w:space="0"/>
              <w:right w:val="single" w:color="000000" w:sz="4" w:space="0"/>
            </w:tcBorders>
            <w:shd w:val="clear" w:color="auto" w:fill="FFFFFF"/>
            <w:vAlign w:val="bottom"/>
          </w:tcPr>
          <w:p w14:paraId="47614D6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3339"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70167FB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四川广元昭化经济开发区管理委员会</w:t>
            </w:r>
          </w:p>
        </w:tc>
      </w:tr>
      <w:tr w14:paraId="384D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CE2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 （万元）</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4A657D03">
            <w:pPr>
              <w:jc w:val="left"/>
              <w:rPr>
                <w:rFonts w:hint="default" w:ascii="Times New Roman" w:hAnsi="Times New Roman" w:eastAsia="宋体" w:cs="Times New Roman"/>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40956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3EB99F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987" w:type="dxa"/>
            <w:tcBorders>
              <w:top w:val="nil"/>
              <w:left w:val="single" w:color="000000" w:sz="4" w:space="0"/>
              <w:bottom w:val="single" w:color="000000" w:sz="4" w:space="0"/>
              <w:right w:val="single" w:color="000000" w:sz="4" w:space="0"/>
            </w:tcBorders>
            <w:shd w:val="clear" w:color="auto" w:fill="FFFFFF"/>
            <w:vAlign w:val="bottom"/>
          </w:tcPr>
          <w:p w14:paraId="751825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352" w:type="dxa"/>
            <w:tcBorders>
              <w:top w:val="nil"/>
              <w:left w:val="single" w:color="000000" w:sz="4" w:space="0"/>
              <w:bottom w:val="single" w:color="000000" w:sz="4" w:space="0"/>
              <w:right w:val="single" w:color="000000" w:sz="4" w:space="0"/>
            </w:tcBorders>
            <w:shd w:val="clear" w:color="auto" w:fill="FFFFFF"/>
            <w:vAlign w:val="bottom"/>
          </w:tcPr>
          <w:p w14:paraId="174AC05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41BB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D38876">
            <w:pPr>
              <w:jc w:val="center"/>
              <w:rPr>
                <w:rFonts w:hint="eastAsia" w:ascii="宋体" w:hAnsi="宋体" w:eastAsia="宋体" w:cs="宋体"/>
                <w:i w:val="0"/>
                <w:iCs w:val="0"/>
                <w:color w:val="000000"/>
                <w:sz w:val="18"/>
                <w:szCs w:val="18"/>
                <w:u w:val="none"/>
              </w:rPr>
            </w:pP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0254A91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FC1116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74ED0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w:t>
            </w: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7D7145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F70FC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30D1D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D16BC4">
            <w:pPr>
              <w:jc w:val="center"/>
              <w:rPr>
                <w:rFonts w:hint="eastAsia" w:ascii="宋体" w:hAnsi="宋体" w:eastAsia="宋体" w:cs="宋体"/>
                <w:i w:val="0"/>
                <w:iCs w:val="0"/>
                <w:color w:val="000000"/>
                <w:sz w:val="18"/>
                <w:szCs w:val="18"/>
                <w:u w:val="none"/>
              </w:rPr>
            </w:pP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35A56AF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（-）财政拨款小计</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4AEB5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304ABB1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w:t>
            </w: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A6A92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C61BA9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12FE5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93E544">
            <w:pPr>
              <w:jc w:val="center"/>
              <w:rPr>
                <w:rFonts w:hint="eastAsia" w:ascii="宋体" w:hAnsi="宋体" w:eastAsia="宋体" w:cs="宋体"/>
                <w:i w:val="0"/>
                <w:iCs w:val="0"/>
                <w:color w:val="000000"/>
                <w:sz w:val="18"/>
                <w:szCs w:val="18"/>
                <w:u w:val="none"/>
              </w:rPr>
            </w:pP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0606810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一般公共预算</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6685F1">
            <w:pPr>
              <w:jc w:val="left"/>
              <w:rPr>
                <w:rFonts w:hint="default" w:ascii="Times New Roman" w:hAnsi="Times New Roman" w:eastAsia="宋体" w:cs="Times New Roman"/>
                <w:i w:val="0"/>
                <w:iCs w:val="0"/>
                <w:color w:val="000000"/>
                <w:sz w:val="18"/>
                <w:szCs w:val="18"/>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037D7D91">
            <w:pPr>
              <w:jc w:val="left"/>
              <w:rPr>
                <w:rFonts w:hint="default" w:ascii="Times New Roman" w:hAnsi="Times New Roman" w:eastAsia="宋体" w:cs="Times New Roman"/>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1D84BC">
            <w:pPr>
              <w:jc w:val="left"/>
              <w:rPr>
                <w:rFonts w:hint="default" w:ascii="Times New Roman" w:hAnsi="Times New Roman" w:eastAsia="宋体" w:cs="Times New Roman"/>
                <w:i w:val="0"/>
                <w:iCs w:val="0"/>
                <w:color w:val="000000"/>
                <w:sz w:val="18"/>
                <w:szCs w:val="18"/>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68556D">
            <w:pPr>
              <w:jc w:val="left"/>
              <w:rPr>
                <w:rFonts w:hint="default" w:ascii="Times New Roman" w:hAnsi="Times New Roman" w:eastAsia="宋体" w:cs="Times New Roman"/>
                <w:i w:val="0"/>
                <w:iCs w:val="0"/>
                <w:color w:val="000000"/>
                <w:sz w:val="18"/>
                <w:szCs w:val="18"/>
                <w:u w:val="none"/>
              </w:rPr>
            </w:pPr>
          </w:p>
        </w:tc>
      </w:tr>
      <w:tr w14:paraId="677BA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D20225">
            <w:pPr>
              <w:jc w:val="center"/>
              <w:rPr>
                <w:rFonts w:hint="eastAsia" w:ascii="宋体" w:hAnsi="宋体" w:eastAsia="宋体" w:cs="宋体"/>
                <w:i w:val="0"/>
                <w:iCs w:val="0"/>
                <w:color w:val="000000"/>
                <w:sz w:val="18"/>
                <w:szCs w:val="18"/>
                <w:u w:val="none"/>
              </w:rPr>
            </w:pP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069ADD9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2.政府性基金</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617862A">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52885AF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w:t>
            </w: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02C2FD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A0151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6B8A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1C4C8C">
            <w:pPr>
              <w:jc w:val="center"/>
              <w:rPr>
                <w:rFonts w:hint="eastAsia" w:ascii="宋体" w:hAnsi="宋体" w:eastAsia="宋体" w:cs="宋体"/>
                <w:i w:val="0"/>
                <w:iCs w:val="0"/>
                <w:color w:val="000000"/>
                <w:sz w:val="18"/>
                <w:szCs w:val="18"/>
                <w:u w:val="none"/>
              </w:rPr>
            </w:pP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A825A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3.国有资本经营预算</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CEC93F">
            <w:pPr>
              <w:jc w:val="left"/>
              <w:rPr>
                <w:rFonts w:hint="default" w:ascii="Times New Roman" w:hAnsi="Times New Roman" w:eastAsia="宋体" w:cs="Times New Roman"/>
                <w:i w:val="0"/>
                <w:iCs w:val="0"/>
                <w:color w:val="000000"/>
                <w:sz w:val="18"/>
                <w:szCs w:val="18"/>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F1E9AE">
            <w:pPr>
              <w:jc w:val="left"/>
              <w:rPr>
                <w:rFonts w:hint="default" w:ascii="Times New Roman" w:hAnsi="Times New Roman" w:eastAsia="宋体" w:cs="Times New Roman"/>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4AAC9E7">
            <w:pPr>
              <w:jc w:val="left"/>
              <w:rPr>
                <w:rFonts w:hint="default" w:ascii="Times New Roman" w:hAnsi="Times New Roman" w:eastAsia="宋体" w:cs="Times New Roman"/>
                <w:i w:val="0"/>
                <w:iCs w:val="0"/>
                <w:color w:val="000000"/>
                <w:sz w:val="18"/>
                <w:szCs w:val="18"/>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9926B4">
            <w:pPr>
              <w:jc w:val="left"/>
              <w:rPr>
                <w:rFonts w:hint="default" w:ascii="Times New Roman" w:hAnsi="Times New Roman" w:eastAsia="宋体" w:cs="Times New Roman"/>
                <w:i w:val="0"/>
                <w:iCs w:val="0"/>
                <w:color w:val="000000"/>
                <w:sz w:val="18"/>
                <w:szCs w:val="18"/>
                <w:u w:val="none"/>
              </w:rPr>
            </w:pPr>
          </w:p>
        </w:tc>
      </w:tr>
      <w:tr w14:paraId="03314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C72FFE">
            <w:pPr>
              <w:jc w:val="center"/>
              <w:rPr>
                <w:rFonts w:hint="eastAsia" w:ascii="宋体" w:hAnsi="宋体" w:eastAsia="宋体" w:cs="宋体"/>
                <w:i w:val="0"/>
                <w:iCs w:val="0"/>
                <w:color w:val="000000"/>
                <w:sz w:val="18"/>
                <w:szCs w:val="18"/>
                <w:u w:val="none"/>
              </w:rPr>
            </w:pP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3BB6C2E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4.社保基金</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498419">
            <w:pPr>
              <w:jc w:val="left"/>
              <w:rPr>
                <w:rFonts w:hint="default" w:ascii="Times New Roman" w:hAnsi="Times New Roman" w:eastAsia="宋体" w:cs="Times New Roman"/>
                <w:i w:val="0"/>
                <w:iCs w:val="0"/>
                <w:color w:val="000000"/>
                <w:sz w:val="18"/>
                <w:szCs w:val="18"/>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511B2E3C">
            <w:pPr>
              <w:jc w:val="left"/>
              <w:rPr>
                <w:rFonts w:hint="default" w:ascii="Times New Roman" w:hAnsi="Times New Roman" w:eastAsia="宋体" w:cs="Times New Roman"/>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22D7C9F">
            <w:pPr>
              <w:jc w:val="left"/>
              <w:rPr>
                <w:rFonts w:hint="default" w:ascii="Times New Roman" w:hAnsi="Times New Roman" w:eastAsia="宋体" w:cs="Times New Roman"/>
                <w:i w:val="0"/>
                <w:iCs w:val="0"/>
                <w:color w:val="000000"/>
                <w:sz w:val="18"/>
                <w:szCs w:val="18"/>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122C450">
            <w:pPr>
              <w:jc w:val="left"/>
              <w:rPr>
                <w:rFonts w:hint="default" w:ascii="Times New Roman" w:hAnsi="Times New Roman" w:eastAsia="宋体" w:cs="Times New Roman"/>
                <w:i w:val="0"/>
                <w:iCs w:val="0"/>
                <w:color w:val="000000"/>
                <w:sz w:val="18"/>
                <w:szCs w:val="18"/>
                <w:u w:val="none"/>
              </w:rPr>
            </w:pPr>
          </w:p>
        </w:tc>
      </w:tr>
      <w:tr w14:paraId="57001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35BA30">
            <w:pPr>
              <w:jc w:val="center"/>
              <w:rPr>
                <w:rFonts w:hint="eastAsia" w:ascii="宋体" w:hAnsi="宋体" w:eastAsia="宋体" w:cs="宋体"/>
                <w:i w:val="0"/>
                <w:iCs w:val="0"/>
                <w:color w:val="000000"/>
                <w:sz w:val="18"/>
                <w:szCs w:val="18"/>
                <w:u w:val="none"/>
              </w:rPr>
            </w:pP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B9EB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4FEEA4">
            <w:pPr>
              <w:jc w:val="left"/>
              <w:rPr>
                <w:rFonts w:hint="default" w:ascii="Times New Roman" w:hAnsi="Times New Roman" w:eastAsia="宋体" w:cs="Times New Roman"/>
                <w:i w:val="0"/>
                <w:iCs w:val="0"/>
                <w:color w:val="000000"/>
                <w:sz w:val="18"/>
                <w:szCs w:val="18"/>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A0676C">
            <w:pPr>
              <w:jc w:val="left"/>
              <w:rPr>
                <w:rFonts w:hint="default" w:ascii="Times New Roman" w:hAnsi="Times New Roman" w:eastAsia="宋体" w:cs="Times New Roman"/>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18E9FC">
            <w:pPr>
              <w:jc w:val="left"/>
              <w:rPr>
                <w:rFonts w:hint="default" w:ascii="Times New Roman" w:hAnsi="Times New Roman" w:eastAsia="宋体" w:cs="Times New Roman"/>
                <w:i w:val="0"/>
                <w:iCs w:val="0"/>
                <w:color w:val="000000"/>
                <w:sz w:val="18"/>
                <w:szCs w:val="18"/>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2C4A49">
            <w:pPr>
              <w:jc w:val="left"/>
              <w:rPr>
                <w:rFonts w:hint="default" w:ascii="Times New Roman" w:hAnsi="Times New Roman" w:eastAsia="宋体" w:cs="Times New Roman"/>
                <w:i w:val="0"/>
                <w:iCs w:val="0"/>
                <w:color w:val="000000"/>
                <w:sz w:val="18"/>
                <w:szCs w:val="18"/>
                <w:u w:val="none"/>
              </w:rPr>
            </w:pPr>
          </w:p>
        </w:tc>
      </w:tr>
      <w:tr w14:paraId="6BC4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47B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 目标</w:t>
            </w:r>
          </w:p>
        </w:tc>
        <w:tc>
          <w:tcPr>
            <w:tcW w:w="53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CE5B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3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D31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完成情况</w:t>
            </w:r>
          </w:p>
        </w:tc>
      </w:tr>
      <w:tr w14:paraId="003F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4BF45B">
            <w:pPr>
              <w:jc w:val="center"/>
              <w:rPr>
                <w:rFonts w:hint="eastAsia" w:ascii="宋体" w:hAnsi="宋体" w:eastAsia="宋体" w:cs="宋体"/>
                <w:i w:val="0"/>
                <w:iCs w:val="0"/>
                <w:color w:val="000000"/>
                <w:sz w:val="18"/>
                <w:szCs w:val="18"/>
                <w:u w:val="none"/>
              </w:rPr>
            </w:pPr>
          </w:p>
        </w:tc>
        <w:tc>
          <w:tcPr>
            <w:tcW w:w="5324" w:type="dxa"/>
            <w:gridSpan w:val="5"/>
            <w:tcBorders>
              <w:top w:val="single" w:color="000000" w:sz="4" w:space="0"/>
              <w:left w:val="single" w:color="000000" w:sz="4" w:space="0"/>
              <w:bottom w:val="single" w:color="000000" w:sz="4" w:space="0"/>
              <w:right w:val="single" w:color="000000" w:sz="4" w:space="0"/>
            </w:tcBorders>
            <w:shd w:val="clear" w:color="auto" w:fill="FFFFFF"/>
            <w:vAlign w:val="top"/>
          </w:tcPr>
          <w:p w14:paraId="5815D866">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r>
              <w:rPr>
                <w:rStyle w:val="42"/>
                <w:lang w:val="en-US" w:eastAsia="zh-CN" w:bidi="ar"/>
              </w:rPr>
              <w:t>年底完成建设并投入使用运营.2022年地平整351亩；新建建筑面积9000㎡等</w:t>
            </w:r>
          </w:p>
        </w:tc>
        <w:tc>
          <w:tcPr>
            <w:tcW w:w="3339"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42C1CBE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完成土地征收90亩，尚未开工建设</w:t>
            </w:r>
          </w:p>
        </w:tc>
      </w:tr>
      <w:tr w14:paraId="742B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4D96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EA0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08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E46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5E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F0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F8984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 改进措施</w:t>
            </w:r>
          </w:p>
        </w:tc>
      </w:tr>
      <w:tr w14:paraId="0E339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3DC6F1">
            <w:pPr>
              <w:jc w:val="left"/>
              <w:rPr>
                <w:rFonts w:hint="eastAsia" w:ascii="宋体" w:hAnsi="宋体" w:eastAsia="宋体" w:cs="宋体"/>
                <w:i w:val="0"/>
                <w:iCs w:val="0"/>
                <w:color w:val="000000"/>
                <w:sz w:val="18"/>
                <w:szCs w:val="18"/>
                <w:u w:val="none"/>
              </w:rPr>
            </w:pP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0FE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45" w:type="dxa"/>
            <w:vMerge w:val="restart"/>
            <w:tcBorders>
              <w:top w:val="single" w:color="000000" w:sz="4" w:space="0"/>
              <w:left w:val="single" w:color="000000" w:sz="4" w:space="0"/>
              <w:bottom w:val="nil"/>
              <w:right w:val="single" w:color="000000" w:sz="4" w:space="0"/>
            </w:tcBorders>
            <w:shd w:val="clear" w:color="auto" w:fill="FFFFFF"/>
            <w:vAlign w:val="center"/>
          </w:tcPr>
          <w:p w14:paraId="279CC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482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场地平整面积</w:t>
            </w:r>
          </w:p>
        </w:tc>
        <w:tc>
          <w:tcPr>
            <w:tcW w:w="1504" w:type="dxa"/>
            <w:tcBorders>
              <w:top w:val="single" w:color="000000" w:sz="4" w:space="0"/>
              <w:left w:val="nil"/>
              <w:bottom w:val="single" w:color="000000" w:sz="4" w:space="0"/>
              <w:right w:val="single" w:color="000000" w:sz="4" w:space="0"/>
            </w:tcBorders>
            <w:shd w:val="clear" w:color="auto" w:fill="auto"/>
            <w:vAlign w:val="center"/>
          </w:tcPr>
          <w:p w14:paraId="088E6D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≥351亩</w:t>
            </w: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FF211B6">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E8930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尚未开工建设</w:t>
            </w:r>
          </w:p>
        </w:tc>
      </w:tr>
      <w:tr w14:paraId="23BE9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164336">
            <w:pPr>
              <w:jc w:val="left"/>
              <w:rPr>
                <w:rFonts w:hint="eastAsia" w:ascii="宋体" w:hAnsi="宋体" w:eastAsia="宋体" w:cs="宋体"/>
                <w:i w:val="0"/>
                <w:iCs w:val="0"/>
                <w:color w:val="000000"/>
                <w:sz w:val="18"/>
                <w:szCs w:val="18"/>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389482">
            <w:pPr>
              <w:jc w:val="center"/>
              <w:rPr>
                <w:rFonts w:hint="eastAsia" w:ascii="宋体" w:hAnsi="宋体" w:eastAsia="宋体" w:cs="宋体"/>
                <w:i w:val="0"/>
                <w:iCs w:val="0"/>
                <w:color w:val="000000"/>
                <w:sz w:val="18"/>
                <w:szCs w:val="18"/>
                <w:u w:val="none"/>
              </w:rPr>
            </w:pPr>
          </w:p>
        </w:tc>
        <w:tc>
          <w:tcPr>
            <w:tcW w:w="1145" w:type="dxa"/>
            <w:vMerge w:val="continue"/>
            <w:tcBorders>
              <w:top w:val="single" w:color="000000" w:sz="4" w:space="0"/>
              <w:left w:val="single" w:color="000000" w:sz="4" w:space="0"/>
              <w:bottom w:val="nil"/>
              <w:right w:val="single" w:color="000000" w:sz="4" w:space="0"/>
            </w:tcBorders>
            <w:shd w:val="clear" w:color="auto" w:fill="FFFFFF"/>
            <w:vAlign w:val="center"/>
          </w:tcPr>
          <w:p w14:paraId="57E95EC1">
            <w:pPr>
              <w:jc w:val="center"/>
              <w:rPr>
                <w:rFonts w:hint="eastAsia" w:ascii="宋体" w:hAnsi="宋体" w:eastAsia="宋体" w:cs="宋体"/>
                <w:i w:val="0"/>
                <w:iCs w:val="0"/>
                <w:color w:val="000000"/>
                <w:sz w:val="18"/>
                <w:szCs w:val="18"/>
                <w:u w:val="none"/>
              </w:rPr>
            </w:pP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79E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新建建筑面积</w:t>
            </w:r>
          </w:p>
        </w:tc>
        <w:tc>
          <w:tcPr>
            <w:tcW w:w="1504" w:type="dxa"/>
            <w:tcBorders>
              <w:top w:val="single" w:color="000000" w:sz="4" w:space="0"/>
              <w:left w:val="nil"/>
              <w:bottom w:val="single" w:color="000000" w:sz="4" w:space="0"/>
              <w:right w:val="single" w:color="000000" w:sz="4" w:space="0"/>
            </w:tcBorders>
            <w:shd w:val="clear" w:color="auto" w:fill="auto"/>
            <w:vAlign w:val="center"/>
          </w:tcPr>
          <w:p w14:paraId="1934D6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B37FC22">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7A815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尚未开工建设</w:t>
            </w:r>
          </w:p>
        </w:tc>
      </w:tr>
      <w:tr w14:paraId="59E33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6E8597">
            <w:pPr>
              <w:jc w:val="left"/>
              <w:rPr>
                <w:rFonts w:hint="eastAsia" w:ascii="宋体" w:hAnsi="宋体" w:eastAsia="宋体" w:cs="宋体"/>
                <w:i w:val="0"/>
                <w:iCs w:val="0"/>
                <w:color w:val="000000"/>
                <w:sz w:val="18"/>
                <w:szCs w:val="18"/>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891FA2">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nil"/>
              <w:right w:val="single" w:color="000000" w:sz="4" w:space="0"/>
            </w:tcBorders>
            <w:shd w:val="clear" w:color="auto" w:fill="FFFFFF"/>
            <w:vAlign w:val="center"/>
          </w:tcPr>
          <w:p w14:paraId="06D35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836" w:type="dxa"/>
            <w:gridSpan w:val="2"/>
            <w:tcBorders>
              <w:top w:val="single" w:color="000000" w:sz="4" w:space="0"/>
              <w:left w:val="single" w:color="000000" w:sz="4" w:space="0"/>
              <w:bottom w:val="nil"/>
              <w:right w:val="single" w:color="000000" w:sz="4" w:space="0"/>
            </w:tcBorders>
            <w:shd w:val="clear" w:color="auto" w:fill="auto"/>
            <w:vAlign w:val="center"/>
          </w:tcPr>
          <w:p w14:paraId="6D31C0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设计变更率</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77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E3E3BC4">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B58D5E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尚未开工建设</w:t>
            </w:r>
          </w:p>
        </w:tc>
      </w:tr>
      <w:tr w14:paraId="593AB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7E2DA3">
            <w:pPr>
              <w:jc w:val="left"/>
              <w:rPr>
                <w:rFonts w:hint="eastAsia" w:ascii="宋体" w:hAnsi="宋体" w:eastAsia="宋体" w:cs="宋体"/>
                <w:i w:val="0"/>
                <w:iCs w:val="0"/>
                <w:color w:val="000000"/>
                <w:sz w:val="18"/>
                <w:szCs w:val="18"/>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1CE99D">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393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836" w:type="dxa"/>
            <w:gridSpan w:val="2"/>
            <w:tcBorders>
              <w:top w:val="nil"/>
              <w:left w:val="single" w:color="000000" w:sz="4" w:space="0"/>
              <w:bottom w:val="nil"/>
              <w:right w:val="nil"/>
            </w:tcBorders>
            <w:shd w:val="clear" w:color="auto" w:fill="auto"/>
            <w:vAlign w:val="center"/>
          </w:tcPr>
          <w:p w14:paraId="555342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建设工期</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C7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≤3年</w:t>
            </w:r>
          </w:p>
        </w:tc>
        <w:tc>
          <w:tcPr>
            <w:tcW w:w="0" w:type="auto"/>
            <w:tcBorders>
              <w:top w:val="nil"/>
              <w:left w:val="nil"/>
              <w:bottom w:val="nil"/>
              <w:right w:val="nil"/>
            </w:tcBorders>
            <w:shd w:val="clear" w:color="auto" w:fill="auto"/>
            <w:noWrap/>
            <w:vAlign w:val="center"/>
          </w:tcPr>
          <w:p w14:paraId="6D034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A1AA3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尚未开工建设</w:t>
            </w:r>
          </w:p>
        </w:tc>
      </w:tr>
      <w:tr w14:paraId="62E88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25B4BE">
            <w:pPr>
              <w:jc w:val="left"/>
              <w:rPr>
                <w:rFonts w:hint="eastAsia" w:ascii="宋体" w:hAnsi="宋体" w:eastAsia="宋体" w:cs="宋体"/>
                <w:i w:val="0"/>
                <w:iCs w:val="0"/>
                <w:color w:val="000000"/>
                <w:sz w:val="18"/>
                <w:szCs w:val="18"/>
                <w:u w:val="none"/>
              </w:rPr>
            </w:pP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8A1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96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836" w:type="dxa"/>
            <w:gridSpan w:val="2"/>
            <w:tcBorders>
              <w:top w:val="nil"/>
              <w:left w:val="single" w:color="000000" w:sz="4" w:space="0"/>
              <w:bottom w:val="single" w:color="000000" w:sz="4" w:space="0"/>
              <w:right w:val="single" w:color="000000" w:sz="4" w:space="0"/>
            </w:tcBorders>
            <w:shd w:val="clear" w:color="auto" w:fill="auto"/>
            <w:vAlign w:val="center"/>
          </w:tcPr>
          <w:p w14:paraId="422BDE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项目投资成本</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90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≤39154.8万元</w:t>
            </w: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3A346BB">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4C5C7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尚未开工建设</w:t>
            </w:r>
          </w:p>
        </w:tc>
      </w:tr>
      <w:tr w14:paraId="04F47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354145">
            <w:pPr>
              <w:jc w:val="left"/>
              <w:rPr>
                <w:rFonts w:hint="eastAsia" w:ascii="宋体" w:hAnsi="宋体" w:eastAsia="宋体" w:cs="宋体"/>
                <w:i w:val="0"/>
                <w:iCs w:val="0"/>
                <w:color w:val="000000"/>
                <w:sz w:val="18"/>
                <w:szCs w:val="18"/>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8B3C7D">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47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4F8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债券资金实际支出</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4C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≤17000万元</w:t>
            </w: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3E49C4E">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720</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2D4570">
            <w:pPr>
              <w:jc w:val="left"/>
              <w:rPr>
                <w:rFonts w:hint="eastAsia" w:ascii="宋体" w:hAnsi="宋体" w:eastAsia="宋体" w:cs="宋体"/>
                <w:i w:val="0"/>
                <w:iCs w:val="0"/>
                <w:color w:val="000000"/>
                <w:sz w:val="18"/>
                <w:szCs w:val="18"/>
                <w:u w:val="none"/>
              </w:rPr>
            </w:pPr>
          </w:p>
        </w:tc>
      </w:tr>
      <w:tr w14:paraId="0485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F8D32A">
            <w:pPr>
              <w:jc w:val="left"/>
              <w:rPr>
                <w:rFonts w:hint="eastAsia" w:ascii="宋体" w:hAnsi="宋体" w:eastAsia="宋体" w:cs="宋体"/>
                <w:i w:val="0"/>
                <w:iCs w:val="0"/>
                <w:color w:val="000000"/>
                <w:sz w:val="18"/>
                <w:szCs w:val="18"/>
                <w:u w:val="none"/>
              </w:rPr>
            </w:pP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8FE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42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7C5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项目年均收入</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80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≥6000万元</w:t>
            </w: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CA68D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尚未建设，暂未产生效益</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34EC71">
            <w:pPr>
              <w:jc w:val="left"/>
              <w:rPr>
                <w:rFonts w:hint="eastAsia" w:ascii="宋体" w:hAnsi="宋体" w:eastAsia="宋体" w:cs="宋体"/>
                <w:i w:val="0"/>
                <w:iCs w:val="0"/>
                <w:color w:val="000000"/>
                <w:sz w:val="18"/>
                <w:szCs w:val="18"/>
                <w:u w:val="none"/>
              </w:rPr>
            </w:pPr>
          </w:p>
        </w:tc>
      </w:tr>
      <w:tr w14:paraId="28F77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B4EA3C">
            <w:pPr>
              <w:jc w:val="left"/>
              <w:rPr>
                <w:rFonts w:hint="eastAsia" w:ascii="宋体" w:hAnsi="宋体" w:eastAsia="宋体" w:cs="宋体"/>
                <w:i w:val="0"/>
                <w:iCs w:val="0"/>
                <w:color w:val="000000"/>
                <w:sz w:val="18"/>
                <w:szCs w:val="18"/>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29E91A">
            <w:pPr>
              <w:jc w:val="center"/>
              <w:rPr>
                <w:rFonts w:hint="eastAsia" w:ascii="宋体" w:hAnsi="宋体" w:eastAsia="宋体" w:cs="宋体"/>
                <w:i w:val="0"/>
                <w:iCs w:val="0"/>
                <w:color w:val="000000"/>
                <w:sz w:val="18"/>
                <w:szCs w:val="18"/>
                <w:u w:val="none"/>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5BD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ADF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物流运输环境</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88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66718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尚未建设，暂未产生效益</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7938F28">
            <w:pPr>
              <w:jc w:val="left"/>
              <w:rPr>
                <w:rFonts w:hint="eastAsia" w:ascii="宋体" w:hAnsi="宋体" w:eastAsia="宋体" w:cs="宋体"/>
                <w:i w:val="0"/>
                <w:iCs w:val="0"/>
                <w:color w:val="000000"/>
                <w:sz w:val="18"/>
                <w:szCs w:val="18"/>
                <w:u w:val="none"/>
              </w:rPr>
            </w:pPr>
          </w:p>
        </w:tc>
      </w:tr>
      <w:tr w14:paraId="4BEF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6A7E0C">
            <w:pPr>
              <w:jc w:val="left"/>
              <w:rPr>
                <w:rFonts w:hint="eastAsia" w:ascii="宋体" w:hAnsi="宋体" w:eastAsia="宋体" w:cs="宋体"/>
                <w:i w:val="0"/>
                <w:iCs w:val="0"/>
                <w:color w:val="000000"/>
                <w:sz w:val="18"/>
                <w:szCs w:val="18"/>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6A5A9A">
            <w:pPr>
              <w:jc w:val="center"/>
              <w:rPr>
                <w:rFonts w:hint="eastAsia" w:ascii="宋体" w:hAnsi="宋体" w:eastAsia="宋体" w:cs="宋体"/>
                <w:i w:val="0"/>
                <w:iCs w:val="0"/>
                <w:color w:val="000000"/>
                <w:sz w:val="18"/>
                <w:szCs w:val="18"/>
                <w:u w:val="none"/>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77F7A">
            <w:pPr>
              <w:jc w:val="left"/>
              <w:rPr>
                <w:rFonts w:hint="eastAsia" w:ascii="宋体" w:hAnsi="宋体" w:eastAsia="宋体" w:cs="宋体"/>
                <w:i w:val="0"/>
                <w:iCs w:val="0"/>
                <w:color w:val="000000"/>
                <w:sz w:val="18"/>
                <w:szCs w:val="18"/>
                <w:u w:val="none"/>
              </w:rPr>
            </w:pP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753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项目收益覆盖倍数</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7B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≥1.2倍</w:t>
            </w: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20EAE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尚未建设，暂未产生效益</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C2A654D">
            <w:pPr>
              <w:jc w:val="left"/>
              <w:rPr>
                <w:rFonts w:hint="eastAsia" w:ascii="宋体" w:hAnsi="宋体" w:eastAsia="宋体" w:cs="宋体"/>
                <w:i w:val="0"/>
                <w:iCs w:val="0"/>
                <w:color w:val="000000"/>
                <w:sz w:val="18"/>
                <w:szCs w:val="18"/>
                <w:u w:val="none"/>
              </w:rPr>
            </w:pPr>
          </w:p>
        </w:tc>
      </w:tr>
      <w:tr w14:paraId="4B1F5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254294">
            <w:pPr>
              <w:jc w:val="left"/>
              <w:rPr>
                <w:rFonts w:hint="eastAsia" w:ascii="宋体" w:hAnsi="宋体" w:eastAsia="宋体" w:cs="宋体"/>
                <w:i w:val="0"/>
                <w:iCs w:val="0"/>
                <w:color w:val="000000"/>
                <w:sz w:val="18"/>
                <w:szCs w:val="18"/>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FE800F">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BE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52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运营期限</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EA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≥10年</w:t>
            </w: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26322B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尚未建设，暂未产生效益</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2A762A">
            <w:pPr>
              <w:jc w:val="left"/>
              <w:rPr>
                <w:rFonts w:hint="eastAsia" w:ascii="宋体" w:hAnsi="宋体" w:eastAsia="宋体" w:cs="宋体"/>
                <w:i w:val="0"/>
                <w:iCs w:val="0"/>
                <w:color w:val="000000"/>
                <w:sz w:val="18"/>
                <w:szCs w:val="18"/>
                <w:u w:val="none"/>
              </w:rPr>
            </w:pPr>
          </w:p>
        </w:tc>
      </w:tr>
      <w:tr w14:paraId="6A303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6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6E60D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13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37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r>
    </w:tbl>
    <w:p w14:paraId="7CC2B2CE">
      <w:pPr>
        <w:pStyle w:val="15"/>
        <w:keepNext w:val="0"/>
        <w:keepLines w:val="0"/>
        <w:widowControl/>
        <w:suppressLineNumbers w:val="0"/>
        <w:spacing w:before="0" w:beforeAutospacing="0" w:after="0" w:afterAutospacing="0" w:line="240" w:lineRule="atLeast"/>
        <w:ind w:left="0" w:right="0" w:firstLine="0"/>
        <w:jc w:val="left"/>
        <w:rPr>
          <w:rFonts w:hint="eastAsia" w:ascii="宋体" w:hAnsi="宋体" w:eastAsia="宋体" w:cs="宋体"/>
          <w:b/>
          <w:bCs/>
          <w:kern w:val="2"/>
          <w:sz w:val="28"/>
          <w:szCs w:val="28"/>
          <w:lang w:val="zh-CN" w:eastAsia="zh-CN" w:bidi="ar-SA"/>
        </w:rPr>
      </w:pPr>
    </w:p>
    <w:p w14:paraId="1C7C3FCA">
      <w:pPr>
        <w:pStyle w:val="15"/>
        <w:keepNext w:val="0"/>
        <w:keepLines w:val="0"/>
        <w:widowControl/>
        <w:suppressLineNumbers w:val="0"/>
        <w:spacing w:before="0" w:beforeAutospacing="0" w:after="0" w:afterAutospacing="0" w:line="240" w:lineRule="atLeast"/>
        <w:ind w:left="0" w:right="0" w:firstLine="0"/>
        <w:jc w:val="left"/>
        <w:rPr>
          <w:rFonts w:hint="eastAsia" w:ascii="宋体" w:hAnsi="宋体" w:eastAsia="宋体" w:cs="宋体"/>
          <w:b/>
          <w:bCs/>
          <w:kern w:val="2"/>
          <w:sz w:val="28"/>
          <w:szCs w:val="28"/>
          <w:lang w:val="zh-CN" w:eastAsia="zh-CN" w:bidi="ar-SA"/>
        </w:rPr>
      </w:pPr>
    </w:p>
    <w:p w14:paraId="1F398558">
      <w:pPr>
        <w:pStyle w:val="15"/>
        <w:keepNext w:val="0"/>
        <w:keepLines w:val="0"/>
        <w:widowControl/>
        <w:suppressLineNumbers w:val="0"/>
        <w:spacing w:before="0" w:beforeAutospacing="0" w:after="0" w:afterAutospacing="0" w:line="240" w:lineRule="atLeast"/>
        <w:ind w:left="0" w:right="0" w:firstLine="0"/>
        <w:jc w:val="left"/>
        <w:rPr>
          <w:rFonts w:hint="default"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zh-CN" w:eastAsia="zh-CN" w:bidi="ar-SA"/>
        </w:rPr>
        <w:t>附件</w:t>
      </w:r>
      <w:r>
        <w:rPr>
          <w:rFonts w:hint="eastAsia" w:ascii="宋体" w:hAnsi="宋体" w:eastAsia="宋体" w:cs="宋体"/>
          <w:b/>
          <w:bCs/>
          <w:kern w:val="2"/>
          <w:sz w:val="28"/>
          <w:szCs w:val="28"/>
          <w:lang w:val="en-US" w:eastAsia="zh-CN" w:bidi="ar-SA"/>
        </w:rPr>
        <w:t>4：</w:t>
      </w:r>
    </w:p>
    <w:p w14:paraId="74AEDED9">
      <w:pPr>
        <w:pStyle w:val="15"/>
        <w:keepNext w:val="0"/>
        <w:keepLines w:val="0"/>
        <w:widowControl/>
        <w:suppressLineNumbers w:val="0"/>
        <w:spacing w:before="0" w:beforeAutospacing="0" w:after="0" w:afterAutospacing="0" w:line="240" w:lineRule="atLeast"/>
        <w:ind w:left="0" w:right="0" w:firstLine="0"/>
        <w:jc w:val="center"/>
        <w:rPr>
          <w:rFonts w:hint="eastAsia" w:ascii="宋体" w:hAnsi="宋体" w:eastAsia="宋体" w:cs="宋体"/>
          <w:sz w:val="36"/>
          <w:szCs w:val="36"/>
        </w:rPr>
      </w:pPr>
      <w:r>
        <w:rPr>
          <w:rFonts w:hint="eastAsia" w:ascii="宋体" w:hAnsi="宋体" w:eastAsia="宋体" w:cs="宋体"/>
          <w:sz w:val="36"/>
          <w:szCs w:val="36"/>
        </w:rPr>
        <w:t>202</w:t>
      </w:r>
      <w:r>
        <w:rPr>
          <w:rFonts w:hint="eastAsia" w:cs="宋体"/>
          <w:sz w:val="36"/>
          <w:szCs w:val="36"/>
          <w:lang w:val="en-US" w:eastAsia="zh-CN"/>
        </w:rPr>
        <w:t>2</w:t>
      </w:r>
      <w:r>
        <w:rPr>
          <w:rFonts w:hint="eastAsia" w:ascii="宋体" w:hAnsi="宋体" w:eastAsia="宋体" w:cs="宋体"/>
          <w:sz w:val="36"/>
          <w:szCs w:val="36"/>
        </w:rPr>
        <w:t>年</w:t>
      </w:r>
      <w:r>
        <w:rPr>
          <w:rFonts w:hint="eastAsia" w:ascii="宋体" w:hAnsi="宋体" w:eastAsia="宋体" w:cs="宋体"/>
          <w:color w:val="auto"/>
          <w:kern w:val="2"/>
          <w:sz w:val="36"/>
          <w:szCs w:val="36"/>
          <w:lang w:val="en-US" w:eastAsia="zh-CN" w:bidi="ar-SA"/>
        </w:rPr>
        <w:t>中国西部（广元）绿色家居产业城启动区新胜组团</w:t>
      </w:r>
      <w:r>
        <w:rPr>
          <w:rFonts w:hint="eastAsia" w:cs="宋体"/>
          <w:color w:val="auto"/>
          <w:kern w:val="2"/>
          <w:sz w:val="36"/>
          <w:szCs w:val="36"/>
          <w:lang w:val="en-US" w:eastAsia="zh-CN" w:bidi="ar-SA"/>
        </w:rPr>
        <w:t>项目</w:t>
      </w:r>
      <w:r>
        <w:rPr>
          <w:rFonts w:hint="eastAsia" w:ascii="宋体" w:hAnsi="宋体" w:eastAsia="宋体" w:cs="宋体"/>
          <w:sz w:val="36"/>
          <w:szCs w:val="36"/>
        </w:rPr>
        <w:t>债劵资金</w:t>
      </w:r>
      <w:r>
        <w:rPr>
          <w:rFonts w:hint="eastAsia" w:cs="宋体"/>
          <w:sz w:val="36"/>
          <w:szCs w:val="36"/>
          <w:lang w:eastAsia="zh-CN"/>
        </w:rPr>
        <w:t>项目</w:t>
      </w:r>
      <w:r>
        <w:rPr>
          <w:rFonts w:hint="eastAsia" w:ascii="宋体" w:hAnsi="宋体" w:cs="宋体"/>
          <w:sz w:val="36"/>
          <w:szCs w:val="36"/>
          <w:lang w:eastAsia="zh-CN"/>
        </w:rPr>
        <w:t>支出</w:t>
      </w:r>
      <w:r>
        <w:rPr>
          <w:rFonts w:hint="eastAsia" w:ascii="宋体" w:hAnsi="宋体" w:eastAsia="宋体" w:cs="宋体"/>
          <w:sz w:val="36"/>
          <w:szCs w:val="36"/>
        </w:rPr>
        <w:t>绩效评价自评报告</w:t>
      </w:r>
    </w:p>
    <w:p w14:paraId="41114692">
      <w:pPr>
        <w:pStyle w:val="15"/>
        <w:keepNext w:val="0"/>
        <w:keepLines w:val="0"/>
        <w:widowControl/>
        <w:suppressLineNumbers w:val="0"/>
        <w:spacing w:before="0" w:beforeAutospacing="0" w:after="0" w:afterAutospacing="0" w:line="240" w:lineRule="atLeast"/>
        <w:ind w:left="0" w:right="0" w:firstLine="0"/>
        <w:jc w:val="center"/>
        <w:rPr>
          <w:rFonts w:hint="eastAsia" w:ascii="宋体" w:hAnsi="宋体" w:eastAsia="宋体" w:cs="宋体"/>
          <w:sz w:val="36"/>
          <w:szCs w:val="36"/>
        </w:rPr>
      </w:pPr>
    </w:p>
    <w:p w14:paraId="781BA58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bCs/>
          <w:sz w:val="28"/>
          <w:szCs w:val="28"/>
          <w:lang w:val="zh-CN" w:eastAsia="zh-CN"/>
        </w:rPr>
      </w:pPr>
      <w:r>
        <w:rPr>
          <w:rFonts w:hint="eastAsia" w:ascii="宋体" w:hAnsi="宋体" w:cs="宋体"/>
          <w:b/>
          <w:bCs/>
          <w:sz w:val="28"/>
          <w:szCs w:val="28"/>
          <w:lang w:val="zh-CN" w:eastAsia="zh-CN"/>
        </w:rPr>
        <w:t>一、项目概况</w:t>
      </w:r>
    </w:p>
    <w:p w14:paraId="5DA7733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（一）项目基本情况</w:t>
      </w:r>
    </w:p>
    <w:p w14:paraId="7D12BA7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cs="宋体"/>
          <w:sz w:val="28"/>
          <w:szCs w:val="28"/>
          <w:lang w:val="en-US" w:eastAsia="zh-CN"/>
        </w:rPr>
        <w:t>1.</w:t>
      </w:r>
      <w:r>
        <w:rPr>
          <w:rFonts w:hint="eastAsia" w:ascii="宋体" w:hAnsi="宋体" w:eastAsia="宋体" w:cs="宋体"/>
          <w:sz w:val="28"/>
          <w:szCs w:val="28"/>
          <w:lang w:val="zh-CN"/>
        </w:rPr>
        <w:t>项目主管部门（单位）在该项目管理中的职能。</w:t>
      </w:r>
    </w:p>
    <w:p w14:paraId="79766C1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rPr>
        <w:t>四川广元昭化经济开发区管理委员会是项目实施机构</w:t>
      </w:r>
      <w:r>
        <w:rPr>
          <w:rFonts w:hint="eastAsia" w:ascii="宋体" w:hAnsi="宋体" w:eastAsia="宋体" w:cs="宋体"/>
          <w:sz w:val="28"/>
          <w:szCs w:val="28"/>
          <w:lang w:val="zh-CN" w:eastAsia="zh-CN"/>
        </w:rPr>
        <w:t>，在项目中的职能包括：</w:t>
      </w:r>
    </w:p>
    <w:p w14:paraId="2DC7E8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①配合协调相关部门做好项目的规划、投资计划、收益和融资平衡方案、预期收入等测算，做好项目的申报安排。</w:t>
      </w:r>
    </w:p>
    <w:p w14:paraId="5338CA0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②做好专项债券年度项目库与政府债务管理系统的衔接。</w:t>
      </w:r>
    </w:p>
    <w:p w14:paraId="3D7AB3F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③项目发行阶段:配合做好专项债券发行各项准备工作，加强对项目实施情况的监控，并统筹协调相关部门保障项目建设进度，如期实现项目收入，保障项目的还本付息。</w:t>
      </w:r>
    </w:p>
    <w:p w14:paraId="76C3A34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rPr>
        <w:t>④后续管理阶段:做好债券资金的管理、项目对应资产的管理等工作。专项债券资金收入应全额纳入国库，支出应实行国库集中支付、债券项目的专项收入和支出做好专账核算，明确反映资金的收支状况。各类专项债券项目对应形成的资产应纳入国有资产管理，建立相应的资产登记和统计报告制度，加强资产日常统计和动态监控。项目业主是</w:t>
      </w:r>
      <w:r>
        <w:rPr>
          <w:rFonts w:hint="eastAsia" w:ascii="宋体" w:hAnsi="宋体" w:eastAsia="宋体" w:cs="宋体"/>
          <w:sz w:val="28"/>
          <w:szCs w:val="28"/>
          <w:lang w:val="en-US" w:eastAsia="zh-CN"/>
        </w:rPr>
        <w:t>四川昭旺家居产业投资有限责任公司。</w:t>
      </w:r>
    </w:p>
    <w:p w14:paraId="7B2924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2.项目立项、资金申报的依据。</w:t>
      </w:r>
    </w:p>
    <w:p w14:paraId="1D3D053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rPr>
        <w:t>该项目由昭化区发改局批复立项（昭发改发〔2018〕278号），立项总投资199800万元</w:t>
      </w:r>
      <w:r>
        <w:rPr>
          <w:rFonts w:hint="eastAsia" w:ascii="宋体" w:hAnsi="宋体" w:eastAsia="宋体" w:cs="宋体"/>
          <w:sz w:val="28"/>
          <w:szCs w:val="28"/>
          <w:lang w:val="zh-CN" w:eastAsia="zh-CN"/>
        </w:rPr>
        <w:t>，</w:t>
      </w:r>
      <w:r>
        <w:rPr>
          <w:rFonts w:hint="eastAsia" w:ascii="宋体" w:hAnsi="宋体" w:eastAsia="宋体" w:cs="宋体"/>
          <w:sz w:val="28"/>
          <w:szCs w:val="28"/>
          <w:lang w:val="zh-CN"/>
        </w:rPr>
        <w:t>主要建设内容为：规划占地约369.72公顷，新建主次干道9.6千米(其中30米宽道路3.8千米，20米宽道路1.8千米，12米宽道路4千米),以及配套桥涵工程、路线交叉工程、交通安全设施、道路绿化、公交站台、照明、雨污水管线、强弱电、通信、给水、燃气、边坡防护等工程建设；新建厂房及配套设施用房51.6万平方米，其中厂房建设46.5万平方米，配套设施用房5.1万平方米，以及新胜组团3、4、5号地块场地平整等配套基础设施工程建设</w:t>
      </w:r>
      <w:r>
        <w:rPr>
          <w:rFonts w:hint="eastAsia" w:ascii="宋体" w:hAnsi="宋体" w:cs="宋体"/>
          <w:sz w:val="28"/>
          <w:szCs w:val="28"/>
          <w:lang w:val="zh-CN" w:eastAsia="zh-CN"/>
        </w:rPr>
        <w:t>。</w:t>
      </w:r>
    </w:p>
    <w:p w14:paraId="6A5A4A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资金或项目管理办法制定情况</w:t>
      </w:r>
      <w:r>
        <w:rPr>
          <w:rFonts w:hint="eastAsia" w:ascii="宋体" w:hAnsi="宋体" w:cs="宋体"/>
          <w:sz w:val="28"/>
          <w:szCs w:val="28"/>
          <w:lang w:val="en-US" w:eastAsia="zh-CN"/>
        </w:rPr>
        <w:t>。</w:t>
      </w:r>
    </w:p>
    <w:p w14:paraId="7F2B2B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严格按照债券资金管理办法执行，实行四位一体管理模式。</w:t>
      </w:r>
    </w:p>
    <w:p w14:paraId="527C6C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eastAsia="宋体" w:cs="宋体"/>
          <w:sz w:val="28"/>
          <w:szCs w:val="28"/>
          <w:lang w:val="en-US" w:eastAsia="zh-CN"/>
        </w:rPr>
        <w:t>资金分配的原则及考虑因素</w:t>
      </w:r>
      <w:r>
        <w:rPr>
          <w:rFonts w:hint="eastAsia" w:ascii="宋体" w:hAnsi="宋体" w:cs="宋体"/>
          <w:sz w:val="28"/>
          <w:szCs w:val="28"/>
          <w:lang w:val="en-US" w:eastAsia="zh-CN"/>
        </w:rPr>
        <w:t>。</w:t>
      </w:r>
    </w:p>
    <w:p w14:paraId="060A9E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按照项目实施方案分配资金</w:t>
      </w:r>
      <w:r>
        <w:rPr>
          <w:rFonts w:hint="eastAsia" w:ascii="宋体" w:hAnsi="宋体" w:cs="宋体"/>
          <w:sz w:val="28"/>
          <w:szCs w:val="28"/>
          <w:lang w:val="en-US" w:eastAsia="zh-CN"/>
        </w:rPr>
        <w:t>。</w:t>
      </w:r>
    </w:p>
    <w:p w14:paraId="1DF8B98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（二）项目绩效目标</w:t>
      </w:r>
    </w:p>
    <w:p w14:paraId="3B77841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1．项目主要内容。</w:t>
      </w:r>
    </w:p>
    <w:p w14:paraId="05FCFF3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zh-CN" w:eastAsia="zh-CN" w:bidi="ar-SA"/>
        </w:rPr>
      </w:pPr>
      <w:r>
        <w:rPr>
          <w:rFonts w:hint="eastAsia" w:ascii="宋体" w:hAnsi="宋体" w:eastAsia="宋体" w:cs="宋体"/>
          <w:color w:val="auto"/>
          <w:kern w:val="2"/>
          <w:sz w:val="28"/>
          <w:szCs w:val="28"/>
          <w:lang w:val="zh-CN" w:eastAsia="zh-CN" w:bidi="ar-SA"/>
        </w:rPr>
        <w:t>项目建设内容：续建市政道路9.6Km，续建标准化厂房46.5万m2及配套设施用房5.1万m2等配套基础设施工程建。</w:t>
      </w:r>
    </w:p>
    <w:p w14:paraId="6FD1EC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2．项目应实现的具体绩效目标，包括目标的量化、细化情况以及项目实施进度计划等。</w:t>
      </w:r>
    </w:p>
    <w:p w14:paraId="556B20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（1）年度总目标</w:t>
      </w:r>
    </w:p>
    <w:p w14:paraId="3862AC8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目标1：续建道路长度9.6km</w:t>
      </w:r>
      <w:r>
        <w:rPr>
          <w:rFonts w:hint="eastAsia" w:ascii="宋体" w:hAnsi="宋体" w:cs="宋体"/>
          <w:sz w:val="28"/>
          <w:szCs w:val="28"/>
          <w:lang w:val="zh-CN"/>
        </w:rPr>
        <w:t>。</w:t>
      </w:r>
    </w:p>
    <w:p w14:paraId="0BE4E5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目标2：续建标准化厂房面积465000㎡</w:t>
      </w:r>
      <w:r>
        <w:rPr>
          <w:rFonts w:hint="eastAsia" w:ascii="宋体" w:hAnsi="宋体" w:cs="宋体"/>
          <w:sz w:val="28"/>
          <w:szCs w:val="28"/>
          <w:lang w:val="zh-CN"/>
        </w:rPr>
        <w:t>。</w:t>
      </w:r>
    </w:p>
    <w:p w14:paraId="455B7DB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目标3：续建配套设施用房面积51000㎡</w:t>
      </w:r>
      <w:r>
        <w:rPr>
          <w:rFonts w:hint="eastAsia" w:ascii="宋体" w:hAnsi="宋体" w:cs="宋体"/>
          <w:sz w:val="28"/>
          <w:szCs w:val="28"/>
          <w:lang w:val="zh-CN"/>
        </w:rPr>
        <w:t>。</w:t>
      </w:r>
    </w:p>
    <w:p w14:paraId="76BC72E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w:t>
      </w:r>
      <w:r>
        <w:rPr>
          <w:rFonts w:hint="eastAsia" w:ascii="宋体" w:hAnsi="宋体" w:cs="宋体"/>
          <w:sz w:val="28"/>
          <w:szCs w:val="28"/>
          <w:lang w:val="en-US" w:eastAsia="zh-CN"/>
        </w:rPr>
        <w:t>2</w:t>
      </w:r>
      <w:r>
        <w:rPr>
          <w:rFonts w:hint="eastAsia" w:ascii="宋体" w:hAnsi="宋体" w:eastAsia="宋体" w:cs="宋体"/>
          <w:sz w:val="28"/>
          <w:szCs w:val="28"/>
          <w:lang w:val="zh-CN" w:eastAsia="zh-CN"/>
        </w:rPr>
        <w:t>）项目实施进度计划</w:t>
      </w:r>
    </w:p>
    <w:p w14:paraId="5428A50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2022年1-3月，计划完成投资3000万元，计划1#-4#楼厂房主体工程完成至80%；14#-20#楼配套设施用房主体工程完成至70%；市政道路管网工程、路基处理完成至30%；</w:t>
      </w:r>
    </w:p>
    <w:p w14:paraId="074C45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2022年4-6月，计划完成投资5000万元，计划1#-4#楼厂房主体工程完成至100%；14#-20#楼配套设施用房主体工程完成至100%；市政道路管网工程、路基处理完成至50%；</w:t>
      </w:r>
    </w:p>
    <w:p w14:paraId="1C49210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2022年7-9月，计划完成投资5000万元，计划1#-4#楼厂房装饰安装工程完成至40%；14#-20#楼配套设施用房装饰安装工程完成至45%；市政道路管网工程、路基处理完成至80%；</w:t>
      </w:r>
    </w:p>
    <w:p w14:paraId="0094FE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2022年10-12月，计划完成投资3000万元，计划1#-4#楼厂房装饰安装工程完成至70%；14#-20#楼配套设施用房装饰安装工程完成至80%；市政道路管网工程、路基处理完成至100%。</w:t>
      </w:r>
    </w:p>
    <w:p w14:paraId="6AFDBC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申报内容与目标</w:t>
      </w:r>
      <w:r>
        <w:rPr>
          <w:rFonts w:hint="eastAsia" w:ascii="宋体" w:hAnsi="宋体" w:cs="宋体"/>
          <w:sz w:val="28"/>
          <w:szCs w:val="28"/>
          <w:lang w:val="en-US" w:eastAsia="zh-CN"/>
        </w:rPr>
        <w:t>。</w:t>
      </w:r>
    </w:p>
    <w:p w14:paraId="519F8B7B">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zh-CN" w:eastAsia="zh-CN" w:bidi="ar-SA"/>
        </w:rPr>
      </w:pPr>
      <w:r>
        <w:rPr>
          <w:rFonts w:hint="eastAsia" w:ascii="宋体" w:hAnsi="宋体" w:cs="宋体"/>
          <w:sz w:val="28"/>
          <w:szCs w:val="28"/>
          <w:lang w:val="en-US" w:eastAsia="zh-CN"/>
        </w:rPr>
        <w:t>2022年</w:t>
      </w:r>
      <w:r>
        <w:rPr>
          <w:rFonts w:hint="eastAsia" w:ascii="宋体" w:hAnsi="宋体" w:eastAsia="宋体" w:cs="宋体"/>
          <w:sz w:val="28"/>
          <w:szCs w:val="28"/>
          <w:lang w:val="en-US" w:eastAsia="zh-CN"/>
        </w:rPr>
        <w:t>均按照项目实施方案申报</w:t>
      </w:r>
      <w:r>
        <w:rPr>
          <w:rFonts w:hint="eastAsia" w:ascii="宋体" w:hAnsi="宋体" w:cs="宋体"/>
          <w:sz w:val="28"/>
          <w:szCs w:val="28"/>
          <w:lang w:val="en-US" w:eastAsia="zh-CN"/>
        </w:rPr>
        <w:t>实施内容和目标</w:t>
      </w:r>
      <w:r>
        <w:rPr>
          <w:rFonts w:hint="eastAsia" w:ascii="宋体" w:hAnsi="宋体" w:eastAsia="宋体" w:cs="宋体"/>
          <w:sz w:val="28"/>
          <w:szCs w:val="28"/>
          <w:lang w:val="en-US" w:eastAsia="zh-CN"/>
        </w:rPr>
        <w:t>，</w:t>
      </w:r>
      <w:r>
        <w:rPr>
          <w:rFonts w:hint="eastAsia" w:ascii="宋体" w:hAnsi="宋体" w:eastAsia="宋体" w:cs="宋体"/>
          <w:color w:val="auto"/>
          <w:kern w:val="2"/>
          <w:sz w:val="28"/>
          <w:szCs w:val="28"/>
          <w:lang w:val="en-US" w:eastAsia="zh-CN" w:bidi="ar-SA"/>
        </w:rPr>
        <w:t>申报的资金为</w:t>
      </w:r>
      <w:r>
        <w:rPr>
          <w:rFonts w:hint="eastAsia" w:ascii="宋体" w:hAnsi="宋体" w:eastAsia="宋体" w:cs="宋体"/>
          <w:color w:val="auto"/>
          <w:kern w:val="2"/>
          <w:sz w:val="28"/>
          <w:szCs w:val="28"/>
          <w:lang w:val="zh-CN" w:eastAsia="zh-CN" w:bidi="ar-SA"/>
        </w:rPr>
        <w:t>中国西部（广元）绿色家居产业城启动区新胜组团</w:t>
      </w:r>
      <w:r>
        <w:rPr>
          <w:rFonts w:hint="eastAsia" w:ascii="宋体" w:hAnsi="宋体" w:eastAsia="宋体" w:cs="宋体"/>
          <w:color w:val="auto"/>
          <w:kern w:val="2"/>
          <w:sz w:val="28"/>
          <w:szCs w:val="28"/>
          <w:lang w:val="en-US" w:eastAsia="zh-CN" w:bidi="ar-SA"/>
        </w:rPr>
        <w:t>项目债券资金，与实际相符。申报目标</w:t>
      </w:r>
      <w:r>
        <w:rPr>
          <w:rFonts w:hint="eastAsia" w:ascii="宋体" w:hAnsi="宋体" w:cs="宋体"/>
          <w:color w:val="auto"/>
          <w:kern w:val="2"/>
          <w:sz w:val="28"/>
          <w:szCs w:val="28"/>
          <w:lang w:val="en-US" w:eastAsia="zh-CN" w:bidi="ar-SA"/>
        </w:rPr>
        <w:t>与</w:t>
      </w:r>
      <w:r>
        <w:rPr>
          <w:rFonts w:hint="eastAsia" w:ascii="宋体" w:hAnsi="宋体" w:eastAsia="宋体" w:cs="宋体"/>
          <w:color w:val="auto"/>
          <w:kern w:val="2"/>
          <w:sz w:val="28"/>
          <w:szCs w:val="28"/>
          <w:lang w:val="en-US" w:eastAsia="zh-CN" w:bidi="ar-SA"/>
        </w:rPr>
        <w:t>《中国西部（广元）绿色家居产业城启动区新胜组团收益与融资自求平衡专项债券实施方案》中的绩效目标对应，</w:t>
      </w:r>
      <w:r>
        <w:rPr>
          <w:rFonts w:hint="eastAsia" w:ascii="宋体" w:hAnsi="宋体" w:eastAsia="宋体" w:cs="宋体"/>
          <w:color w:val="auto"/>
          <w:kern w:val="2"/>
          <w:sz w:val="28"/>
          <w:szCs w:val="28"/>
          <w:lang w:val="zh-CN" w:eastAsia="zh-CN" w:bidi="ar-SA"/>
        </w:rPr>
        <w:t>申报目标合理可行。</w:t>
      </w:r>
    </w:p>
    <w:p w14:paraId="0F096FB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lang w:val="zh-CN"/>
        </w:rPr>
        <w:t>项目自评步骤及方法</w:t>
      </w:r>
    </w:p>
    <w:p w14:paraId="53A79D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我单位对此次自评工作高度重视，成立了2022年绩效自评工作小组，按照下列程序实施：</w:t>
      </w:r>
    </w:p>
    <w:p w14:paraId="229C214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明确绩效自评项目，根据自评项目制定绩效自评方案，成立绩效自评工作小组，分配任务到各实施股室，明确各项目自评责任人；</w:t>
      </w:r>
    </w:p>
    <w:p w14:paraId="1D7F024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各责任股室收集自评相关资料，采集相关数据；</w:t>
      </w:r>
    </w:p>
    <w:p w14:paraId="55EFFEA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开展项目自评，组织专家参加评审，并实地踏勘现场；</w:t>
      </w:r>
    </w:p>
    <w:p w14:paraId="58F3604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cs="宋体"/>
          <w:sz w:val="28"/>
          <w:szCs w:val="28"/>
          <w:lang w:val="en-US" w:eastAsia="zh-CN"/>
        </w:rPr>
        <w:t>4.</w:t>
      </w:r>
      <w:r>
        <w:rPr>
          <w:rFonts w:hint="eastAsia" w:ascii="宋体" w:hAnsi="宋体" w:eastAsia="宋体" w:cs="宋体"/>
          <w:sz w:val="28"/>
          <w:szCs w:val="28"/>
          <w:lang w:val="zh-CN" w:eastAsia="zh-CN"/>
        </w:rPr>
        <w:t>形成自评结论，并形成自评报告；</w:t>
      </w:r>
    </w:p>
    <w:p w14:paraId="2B8E40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5.</w:t>
      </w:r>
      <w:r>
        <w:rPr>
          <w:rFonts w:hint="eastAsia" w:ascii="宋体" w:hAnsi="宋体" w:eastAsia="宋体" w:cs="宋体"/>
          <w:sz w:val="28"/>
          <w:szCs w:val="28"/>
          <w:lang w:val="en-US" w:eastAsia="zh-CN"/>
        </w:rPr>
        <w:t>自评工作小组以会议方式对自评结果进行会审</w:t>
      </w:r>
      <w:r>
        <w:rPr>
          <w:rFonts w:hint="eastAsia" w:ascii="宋体" w:hAnsi="宋体" w:cs="宋体"/>
          <w:sz w:val="28"/>
          <w:szCs w:val="28"/>
          <w:lang w:val="en-US" w:eastAsia="zh-CN"/>
        </w:rPr>
        <w:t>；</w:t>
      </w:r>
    </w:p>
    <w:p w14:paraId="146762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cs="宋体"/>
          <w:sz w:val="28"/>
          <w:szCs w:val="28"/>
          <w:lang w:val="en-US" w:eastAsia="zh-CN"/>
        </w:rPr>
        <w:t>6.</w:t>
      </w:r>
      <w:r>
        <w:rPr>
          <w:rFonts w:hint="eastAsia" w:ascii="宋体" w:hAnsi="宋体" w:eastAsia="宋体" w:cs="宋体"/>
          <w:sz w:val="28"/>
          <w:szCs w:val="28"/>
          <w:lang w:val="en-US" w:eastAsia="zh-CN"/>
        </w:rPr>
        <w:t>修改完善后按照要求将自评结果上报区财政局。</w:t>
      </w:r>
    </w:p>
    <w:p w14:paraId="50C3CA1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bCs/>
          <w:sz w:val="28"/>
          <w:szCs w:val="28"/>
          <w:lang w:val="zh-CN" w:eastAsia="zh-CN"/>
        </w:rPr>
      </w:pPr>
      <w:r>
        <w:rPr>
          <w:rFonts w:hint="eastAsia" w:ascii="宋体" w:hAnsi="宋体" w:cs="宋体"/>
          <w:b/>
          <w:bCs/>
          <w:sz w:val="28"/>
          <w:szCs w:val="28"/>
          <w:lang w:val="zh-CN" w:eastAsia="zh-CN"/>
        </w:rPr>
        <w:t>二、项目资金申报及使用情况</w:t>
      </w:r>
    </w:p>
    <w:p w14:paraId="7EAFCE1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（一）项目资金申报及批复情况。</w:t>
      </w:r>
    </w:p>
    <w:p w14:paraId="5CD23FE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en-US" w:eastAsia="zh-CN"/>
        </w:rPr>
        <w:t>本项目估算总投资</w:t>
      </w:r>
      <w:r>
        <w:rPr>
          <w:rFonts w:hint="eastAsia" w:ascii="宋体" w:hAnsi="宋体" w:cs="宋体"/>
          <w:sz w:val="28"/>
          <w:szCs w:val="28"/>
          <w:lang w:val="en-US" w:eastAsia="zh-CN"/>
        </w:rPr>
        <w:t>199800</w:t>
      </w:r>
      <w:r>
        <w:rPr>
          <w:rFonts w:hint="eastAsia" w:ascii="宋体" w:hAnsi="宋体" w:eastAsia="宋体" w:cs="宋体"/>
          <w:sz w:val="28"/>
          <w:szCs w:val="28"/>
          <w:lang w:val="en-US" w:eastAsia="zh-CN"/>
        </w:rPr>
        <w:t>万元，资金来源于发行地方债券资金</w:t>
      </w:r>
      <w:r>
        <w:rPr>
          <w:rFonts w:hint="eastAsia" w:ascii="宋体" w:hAnsi="宋体" w:cs="宋体"/>
          <w:sz w:val="28"/>
          <w:szCs w:val="28"/>
          <w:lang w:val="en-US" w:eastAsia="zh-CN"/>
        </w:rPr>
        <w:t>和</w:t>
      </w:r>
      <w:r>
        <w:rPr>
          <w:rFonts w:hint="eastAsia" w:ascii="宋体" w:hAnsi="宋体" w:eastAsia="宋体" w:cs="宋体"/>
          <w:sz w:val="28"/>
          <w:szCs w:val="28"/>
          <w:lang w:val="en-US" w:eastAsia="zh-CN"/>
        </w:rPr>
        <w:t>业主自筹。</w:t>
      </w:r>
      <w:r>
        <w:rPr>
          <w:rFonts w:hint="eastAsia" w:ascii="宋体" w:hAnsi="宋体" w:cs="宋体"/>
          <w:sz w:val="28"/>
          <w:szCs w:val="28"/>
          <w:lang w:val="en-US" w:eastAsia="zh-CN"/>
        </w:rPr>
        <w:t>2018年12月</w:t>
      </w:r>
      <w:r>
        <w:rPr>
          <w:rFonts w:hint="eastAsia" w:ascii="宋体" w:hAnsi="宋体" w:cs="宋体"/>
          <w:sz w:val="28"/>
          <w:szCs w:val="28"/>
          <w:lang w:val="zh-CN" w:eastAsia="zh-CN"/>
        </w:rPr>
        <w:t>项目收益与融资自求平衡专项债券实施方案、收益与融资自求平衡专项债券</w:t>
      </w:r>
      <w:r>
        <w:rPr>
          <w:rFonts w:hint="eastAsia" w:ascii="宋体" w:hAnsi="宋体" w:eastAsia="宋体" w:cs="宋体"/>
          <w:sz w:val="28"/>
          <w:szCs w:val="28"/>
          <w:lang w:val="zh-CN" w:eastAsia="zh-CN"/>
        </w:rPr>
        <w:t>财务评价报告、收益与融资自求平衡专项债券法律意见书均通过审核。</w:t>
      </w:r>
    </w:p>
    <w:p w14:paraId="224BBB1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2022年到位债券资金</w:t>
      </w:r>
      <w:r>
        <w:rPr>
          <w:rFonts w:hint="eastAsia" w:ascii="宋体" w:hAnsi="宋体" w:cs="宋体"/>
          <w:sz w:val="28"/>
          <w:szCs w:val="28"/>
          <w:lang w:val="en-US" w:eastAsia="zh-CN"/>
        </w:rPr>
        <w:t>160</w:t>
      </w:r>
      <w:r>
        <w:rPr>
          <w:rFonts w:hint="eastAsia" w:ascii="宋体" w:hAnsi="宋体" w:eastAsia="宋体" w:cs="宋体"/>
          <w:sz w:val="28"/>
          <w:szCs w:val="28"/>
          <w:lang w:val="en-US" w:eastAsia="zh-CN"/>
        </w:rPr>
        <w:t>00万元。</w:t>
      </w:r>
    </w:p>
    <w:p w14:paraId="7468D3A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w:t>
      </w:r>
      <w:r>
        <w:rPr>
          <w:rFonts w:hint="eastAsia" w:ascii="宋体" w:hAnsi="宋体" w:cs="宋体"/>
          <w:b/>
          <w:bCs/>
          <w:sz w:val="28"/>
          <w:szCs w:val="28"/>
          <w:lang w:val="zh-CN"/>
        </w:rPr>
        <w:t>二</w:t>
      </w:r>
      <w:r>
        <w:rPr>
          <w:rFonts w:hint="eastAsia" w:ascii="宋体" w:hAnsi="宋体" w:eastAsia="宋体" w:cs="宋体"/>
          <w:b/>
          <w:bCs/>
          <w:sz w:val="28"/>
          <w:szCs w:val="28"/>
          <w:lang w:val="zh-CN"/>
        </w:rPr>
        <w:t>）资金计划、到位及使用情况</w:t>
      </w:r>
      <w:r>
        <w:rPr>
          <w:rFonts w:hint="eastAsia" w:ascii="宋体" w:hAnsi="宋体" w:cs="宋体"/>
          <w:b/>
          <w:bCs/>
          <w:sz w:val="28"/>
          <w:szCs w:val="28"/>
          <w:lang w:val="zh-CN"/>
        </w:rPr>
        <w:t>。</w:t>
      </w:r>
    </w:p>
    <w:p w14:paraId="239CC99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eastAsia="zh-CN"/>
        </w:rPr>
        <w:t>1．资金计划。</w:t>
      </w:r>
      <w:r>
        <w:rPr>
          <w:rFonts w:hint="eastAsia" w:ascii="宋体" w:hAnsi="宋体" w:eastAsia="宋体" w:cs="宋体"/>
          <w:sz w:val="28"/>
          <w:szCs w:val="28"/>
          <w:lang w:val="en-US" w:eastAsia="zh-CN"/>
        </w:rPr>
        <w:t>本项目2022年计划投入资金16000万元</w:t>
      </w:r>
      <w:r>
        <w:rPr>
          <w:rFonts w:hint="eastAsia" w:ascii="宋体" w:hAnsi="宋体" w:cs="宋体"/>
          <w:sz w:val="28"/>
          <w:szCs w:val="28"/>
          <w:lang w:val="en-US" w:eastAsia="zh-CN"/>
        </w:rPr>
        <w:t>。</w:t>
      </w:r>
    </w:p>
    <w:p w14:paraId="26060F3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eastAsia="zh-CN"/>
        </w:rPr>
        <w:t>2．资金到位。资金到位</w:t>
      </w:r>
      <w:r>
        <w:rPr>
          <w:rFonts w:hint="eastAsia" w:ascii="宋体" w:hAnsi="宋体" w:eastAsia="宋体" w:cs="宋体"/>
          <w:sz w:val="28"/>
          <w:szCs w:val="28"/>
          <w:lang w:val="en-US" w:eastAsia="zh-CN"/>
        </w:rPr>
        <w:t>16000万元，</w:t>
      </w:r>
      <w:r>
        <w:rPr>
          <w:rFonts w:hint="eastAsia" w:ascii="宋体" w:hAnsi="宋体" w:eastAsia="宋体" w:cs="宋体"/>
          <w:sz w:val="28"/>
          <w:szCs w:val="28"/>
          <w:lang w:val="zh-CN" w:eastAsia="zh-CN"/>
        </w:rPr>
        <w:t>资金到位率</w:t>
      </w:r>
      <w:r>
        <w:rPr>
          <w:rFonts w:hint="eastAsia" w:ascii="宋体" w:hAnsi="宋体" w:eastAsia="宋体" w:cs="宋体"/>
          <w:sz w:val="28"/>
          <w:szCs w:val="28"/>
          <w:lang w:val="en-US" w:eastAsia="zh-CN"/>
        </w:rPr>
        <w:t>100%，</w:t>
      </w:r>
      <w:r>
        <w:rPr>
          <w:rFonts w:hint="eastAsia" w:ascii="宋体" w:hAnsi="宋体" w:eastAsia="宋体" w:cs="宋体"/>
          <w:sz w:val="28"/>
          <w:szCs w:val="28"/>
          <w:lang w:val="zh-CN" w:eastAsia="zh-CN"/>
        </w:rPr>
        <w:t>到位及时率</w:t>
      </w:r>
      <w:r>
        <w:rPr>
          <w:rFonts w:hint="eastAsia" w:ascii="宋体" w:hAnsi="宋体" w:eastAsia="宋体" w:cs="宋体"/>
          <w:sz w:val="28"/>
          <w:szCs w:val="28"/>
          <w:lang w:val="en-US" w:eastAsia="zh-CN"/>
        </w:rPr>
        <w:t>100%。</w:t>
      </w:r>
    </w:p>
    <w:p w14:paraId="1C13659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eastAsia="zh-CN"/>
        </w:rPr>
        <w:t>3．资金使用。</w:t>
      </w:r>
      <w:r>
        <w:rPr>
          <w:rFonts w:hint="eastAsia" w:ascii="宋体" w:hAnsi="宋体" w:eastAsia="宋体" w:cs="宋体"/>
          <w:sz w:val="28"/>
          <w:szCs w:val="28"/>
          <w:lang w:val="en-US" w:eastAsia="zh-CN"/>
        </w:rPr>
        <w:t>实际累计使用16000万元，资金使用率为100%。资金按照项目建设进度及时到位，完全符合资金计划。同时资金支付严格按照工程进度支付，资金的开支范围、支付标准、支付进度、支付依据均合规合法，资金支付与预算相符。</w:t>
      </w:r>
    </w:p>
    <w:p w14:paraId="3F43A555">
      <w:pPr>
        <w:pStyle w:val="7"/>
        <w:spacing w:line="600" w:lineRule="exact"/>
        <w:ind w:firstLine="562"/>
        <w:jc w:val="center"/>
        <w:rPr>
          <w:rFonts w:hAnsi="Times New Roman" w:eastAsia="仿宋_GB2312" w:cs="Times New Roman"/>
          <w:b/>
          <w:sz w:val="28"/>
          <w:szCs w:val="28"/>
        </w:rPr>
      </w:pPr>
      <w:r>
        <w:rPr>
          <w:rFonts w:hint="eastAsia" w:hAnsi="Times New Roman" w:eastAsia="仿宋_GB2312" w:cs="Times New Roman"/>
          <w:b/>
          <w:sz w:val="28"/>
          <w:szCs w:val="28"/>
        </w:rPr>
        <w:t>资金使用情况明细表（单位：元）</w:t>
      </w:r>
    </w:p>
    <w:p w14:paraId="1438AF04">
      <w:pPr>
        <w:pStyle w:val="7"/>
        <w:spacing w:line="576" w:lineRule="exact"/>
        <w:rPr>
          <w:rFonts w:hAnsi="Times New Roman" w:eastAsia="仿宋_GB2312" w:cs="Times New Roman"/>
          <w:sz w:val="32"/>
          <w:szCs w:val="32"/>
        </w:rPr>
      </w:pPr>
      <w:r>
        <w:rPr>
          <w:rFonts w:hint="eastAsia" w:hAnsi="Times New Roman" w:eastAsia="仿宋_GB2312" w:cs="Times New Roman"/>
          <w:sz w:val="32"/>
          <w:szCs w:val="32"/>
        </w:rPr>
        <w:drawing>
          <wp:anchor distT="0" distB="0" distL="114300" distR="114300" simplePos="0" relativeHeight="251660288" behindDoc="0" locked="0" layoutInCell="1" allowOverlap="1">
            <wp:simplePos x="0" y="0"/>
            <wp:positionH relativeFrom="column">
              <wp:posOffset>-71755</wp:posOffset>
            </wp:positionH>
            <wp:positionV relativeFrom="paragraph">
              <wp:posOffset>165735</wp:posOffset>
            </wp:positionV>
            <wp:extent cx="5638800" cy="2924175"/>
            <wp:effectExtent l="0" t="0" r="0" b="952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2"/>
                    <a:stretch>
                      <a:fillRect/>
                    </a:stretch>
                  </pic:blipFill>
                  <pic:spPr>
                    <a:xfrm>
                      <a:off x="0" y="0"/>
                      <a:ext cx="5638800" cy="2924175"/>
                    </a:xfrm>
                    <a:prstGeom prst="rect">
                      <a:avLst/>
                    </a:prstGeom>
                    <a:noFill/>
                    <a:ln>
                      <a:noFill/>
                    </a:ln>
                  </pic:spPr>
                </pic:pic>
              </a:graphicData>
            </a:graphic>
          </wp:anchor>
        </w:drawing>
      </w:r>
    </w:p>
    <w:p w14:paraId="052976BD">
      <w:pPr>
        <w:pStyle w:val="7"/>
        <w:spacing w:line="576" w:lineRule="exact"/>
        <w:rPr>
          <w:rFonts w:hAnsi="Times New Roman" w:eastAsia="仿宋_GB2312" w:cs="Times New Roman"/>
          <w:sz w:val="32"/>
          <w:szCs w:val="32"/>
        </w:rPr>
      </w:pPr>
    </w:p>
    <w:p w14:paraId="1E9563E5">
      <w:pPr>
        <w:pStyle w:val="7"/>
        <w:spacing w:line="576" w:lineRule="exact"/>
        <w:rPr>
          <w:rFonts w:hAnsi="Times New Roman" w:eastAsia="仿宋_GB2312" w:cs="Times New Roman"/>
          <w:sz w:val="32"/>
          <w:szCs w:val="32"/>
        </w:rPr>
      </w:pPr>
    </w:p>
    <w:p w14:paraId="36D20B9C">
      <w:pPr>
        <w:pStyle w:val="7"/>
        <w:spacing w:line="576" w:lineRule="exact"/>
        <w:rPr>
          <w:rFonts w:hAnsi="Times New Roman" w:eastAsia="仿宋_GB2312" w:cs="Times New Roman"/>
          <w:sz w:val="32"/>
          <w:szCs w:val="32"/>
        </w:rPr>
      </w:pPr>
    </w:p>
    <w:p w14:paraId="47CD7BBA">
      <w:pPr>
        <w:pStyle w:val="7"/>
        <w:spacing w:line="576" w:lineRule="exact"/>
        <w:rPr>
          <w:rFonts w:hAnsi="Times New Roman" w:eastAsia="仿宋_GB2312" w:cs="Times New Roman"/>
          <w:sz w:val="32"/>
          <w:szCs w:val="32"/>
        </w:rPr>
      </w:pPr>
    </w:p>
    <w:p w14:paraId="7EA80C7D">
      <w:pPr>
        <w:pStyle w:val="7"/>
        <w:spacing w:line="576" w:lineRule="exact"/>
        <w:rPr>
          <w:rFonts w:hAnsi="Times New Roman" w:eastAsia="仿宋_GB2312" w:cs="Times New Roman"/>
          <w:sz w:val="32"/>
          <w:szCs w:val="32"/>
        </w:rPr>
      </w:pPr>
    </w:p>
    <w:p w14:paraId="18BE9A65">
      <w:pPr>
        <w:pStyle w:val="7"/>
        <w:spacing w:line="576" w:lineRule="exact"/>
        <w:rPr>
          <w:rFonts w:hAnsi="Times New Roman" w:eastAsia="仿宋_GB2312" w:cs="Times New Roman"/>
          <w:sz w:val="32"/>
          <w:szCs w:val="32"/>
        </w:rPr>
      </w:pPr>
    </w:p>
    <w:p w14:paraId="2ECE6F90">
      <w:pPr>
        <w:pStyle w:val="7"/>
        <w:spacing w:line="576" w:lineRule="exact"/>
        <w:rPr>
          <w:rFonts w:hAnsi="Times New Roman" w:eastAsia="仿宋_GB2312" w:cs="Times New Roman"/>
          <w:sz w:val="32"/>
          <w:szCs w:val="32"/>
        </w:rPr>
      </w:pPr>
    </w:p>
    <w:p w14:paraId="7588FE20">
      <w:pPr>
        <w:pStyle w:val="7"/>
        <w:spacing w:line="576" w:lineRule="exact"/>
        <w:rPr>
          <w:rFonts w:hAnsi="Times New Roman" w:eastAsia="仿宋_GB2312" w:cs="Times New Roman"/>
          <w:sz w:val="32"/>
          <w:szCs w:val="32"/>
        </w:rPr>
      </w:pPr>
    </w:p>
    <w:p w14:paraId="02980F88">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w:t>
      </w:r>
      <w:r>
        <w:rPr>
          <w:rFonts w:hint="eastAsia" w:ascii="宋体" w:hAnsi="宋体" w:cs="宋体"/>
          <w:b/>
          <w:bCs/>
          <w:sz w:val="28"/>
          <w:szCs w:val="28"/>
          <w:lang w:val="zh-CN"/>
        </w:rPr>
        <w:t>三</w:t>
      </w:r>
      <w:r>
        <w:rPr>
          <w:rFonts w:hint="eastAsia" w:ascii="宋体" w:hAnsi="宋体" w:eastAsia="宋体" w:cs="宋体"/>
          <w:b/>
          <w:bCs/>
          <w:sz w:val="28"/>
          <w:szCs w:val="28"/>
          <w:lang w:val="zh-CN"/>
        </w:rPr>
        <w:t>）项目财务管理情况</w:t>
      </w:r>
      <w:r>
        <w:rPr>
          <w:rFonts w:hint="eastAsia" w:ascii="宋体" w:hAnsi="宋体" w:cs="宋体"/>
          <w:b/>
          <w:bCs/>
          <w:sz w:val="28"/>
          <w:szCs w:val="28"/>
          <w:lang w:val="zh-CN"/>
        </w:rPr>
        <w:t>。</w:t>
      </w:r>
    </w:p>
    <w:p w14:paraId="490BB3A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本单位财务管理制度健全，</w:t>
      </w:r>
      <w:r>
        <w:rPr>
          <w:rFonts w:hint="eastAsia" w:ascii="宋体" w:hAnsi="宋体" w:cs="宋体"/>
          <w:sz w:val="28"/>
          <w:szCs w:val="28"/>
          <w:lang w:val="zh-CN"/>
        </w:rPr>
        <w:t>项目</w:t>
      </w:r>
      <w:r>
        <w:rPr>
          <w:rFonts w:hint="eastAsia" w:ascii="宋体" w:hAnsi="宋体" w:eastAsia="宋体" w:cs="宋体"/>
          <w:sz w:val="28"/>
          <w:szCs w:val="28"/>
          <w:lang w:val="zh-CN"/>
        </w:rPr>
        <w:t>严格执行财务管理制度，账务处理及时，会计核算规范。</w:t>
      </w:r>
    </w:p>
    <w:p w14:paraId="7609029E">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14:paraId="1CAF98B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本单位财务管理制度健全，</w:t>
      </w:r>
      <w:r>
        <w:rPr>
          <w:rFonts w:hint="eastAsia" w:ascii="宋体" w:hAnsi="宋体" w:cs="宋体"/>
          <w:sz w:val="28"/>
          <w:szCs w:val="28"/>
          <w:lang w:val="zh-CN"/>
        </w:rPr>
        <w:t>项目</w:t>
      </w:r>
      <w:r>
        <w:rPr>
          <w:rFonts w:hint="eastAsia" w:ascii="宋体" w:hAnsi="宋体" w:eastAsia="宋体" w:cs="宋体"/>
          <w:sz w:val="28"/>
          <w:szCs w:val="28"/>
          <w:lang w:val="zh-CN"/>
        </w:rPr>
        <w:t>严格执行财务管理制度，账务处理及时，会计核算规范。</w:t>
      </w:r>
    </w:p>
    <w:p w14:paraId="799082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eastAsia="zh-CN"/>
        </w:rPr>
        <w:t>四川昭旺家居产业投资有限责任公司按照</w:t>
      </w:r>
      <w:r>
        <w:rPr>
          <w:rFonts w:hint="eastAsia" w:ascii="宋体" w:hAnsi="宋体" w:eastAsia="宋体" w:cs="宋体"/>
          <w:sz w:val="28"/>
          <w:szCs w:val="28"/>
          <w:lang w:val="zh-CN"/>
        </w:rPr>
        <w:t>提交拨付申请→项目实施主体审核→区财政局审核→监管银行复核的资金拨付审批流程，同时项目单位还制定了项目财务管理制度，设置了资金支付发起人→项目会计→项目主管→财务负责人→财务分管副总→总经理→董事长→出纳的项目资金支付审批流程。资金的拨付和使用严格按照项目资金管理办法要求，严格执行财务管理制度，并且及时、规范的对收支进行账务处理和会计核算。</w:t>
      </w:r>
    </w:p>
    <w:p w14:paraId="1884FEF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三、项目实施及管理情况</w:t>
      </w:r>
    </w:p>
    <w:p w14:paraId="3DB7C52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eastAsia="zh-CN"/>
        </w:rPr>
      </w:pPr>
      <w:r>
        <w:rPr>
          <w:rFonts w:hint="eastAsia" w:ascii="宋体" w:hAnsi="宋体" w:cs="宋体"/>
          <w:b/>
          <w:bCs/>
          <w:sz w:val="28"/>
          <w:szCs w:val="28"/>
          <w:lang w:val="en-US" w:eastAsia="zh-CN"/>
        </w:rPr>
        <w:t>（一）</w:t>
      </w:r>
      <w:r>
        <w:rPr>
          <w:rFonts w:hint="eastAsia" w:ascii="宋体" w:hAnsi="宋体" w:eastAsia="宋体" w:cs="宋体"/>
          <w:b/>
          <w:bCs/>
          <w:sz w:val="28"/>
          <w:szCs w:val="28"/>
          <w:lang w:val="zh-CN" w:eastAsia="zh-CN"/>
        </w:rPr>
        <w:t>项目组织架构及实施流程。</w:t>
      </w:r>
    </w:p>
    <w:p w14:paraId="7F38C8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hAnsi="Times New Roman" w:eastAsia="仿宋_GB2312" w:cs="Times New Roman"/>
          <w:sz w:val="32"/>
          <w:szCs w:val="32"/>
        </w:rPr>
      </w:pPr>
      <w:r>
        <w:rPr>
          <w:rFonts w:hint="eastAsia" w:ascii="宋体" w:hAnsi="宋体" w:eastAsia="宋体" w:cs="宋体"/>
          <w:sz w:val="28"/>
          <w:szCs w:val="28"/>
          <w:lang w:val="zh-CN" w:eastAsia="zh-CN"/>
        </w:rPr>
        <w:t>该项目是在市政府工作推进领导小组和昭化区中国西部家居绿色产业城领导小组直接领导下，由四川昭旺家居产业投资有限责任公司作为项目业主单位实施本项目，在整个项目建设期间，市、区两级领导小组设立有办公室、工程部、招商部、财务部、征地拆迁办公室等专项职能机构。</w:t>
      </w:r>
    </w:p>
    <w:p w14:paraId="250EED6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我单位作为实施单位，成立了项目领导小组负责项目统筹安排及管理，安排专人负责实施。具体工作由项目业主</w:t>
      </w:r>
      <w:r>
        <w:rPr>
          <w:rFonts w:hint="eastAsia" w:ascii="宋体" w:hAnsi="宋体" w:eastAsia="宋体" w:cs="宋体"/>
          <w:sz w:val="28"/>
          <w:szCs w:val="28"/>
          <w:lang w:val="en-US" w:eastAsia="zh-CN"/>
        </w:rPr>
        <w:t>四川昭旺家居产业投资有限责任公司负责。</w:t>
      </w:r>
      <w:r>
        <w:rPr>
          <w:rFonts w:hint="eastAsia" w:ascii="宋体" w:hAnsi="宋体" w:cs="宋体"/>
          <w:sz w:val="28"/>
          <w:szCs w:val="28"/>
          <w:lang w:val="en-US" w:eastAsia="zh-CN"/>
        </w:rPr>
        <w:t>其</w:t>
      </w:r>
      <w:r>
        <w:rPr>
          <w:rFonts w:hint="eastAsia" w:ascii="宋体" w:hAnsi="宋体" w:eastAsia="宋体" w:cs="宋体"/>
          <w:sz w:val="28"/>
          <w:szCs w:val="28"/>
          <w:lang w:val="zh-CN" w:eastAsia="zh-CN"/>
        </w:rPr>
        <w:t>主要职责：</w:t>
      </w:r>
    </w:p>
    <w:p w14:paraId="39BCB35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①对项目建设的全过程负责，对项目的工程质量、工程进度、工程安全和资金管理负总责。</w:t>
      </w:r>
    </w:p>
    <w:p w14:paraId="0143A8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a.负责组建现场建设管理机构或指派专职管理人员；</w:t>
      </w:r>
    </w:p>
    <w:p w14:paraId="11DF0E6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b.负责拟订工程建设计划、质量管理制度、岗位责任制和安全生产责任制；</w:t>
      </w:r>
    </w:p>
    <w:p w14:paraId="46E411C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c.负责对工程质量、进度、安全、投资等进行管理、检查和监督；</w:t>
      </w:r>
    </w:p>
    <w:p w14:paraId="05FBCB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d.负责协调项目政策处理等外部关系；</w:t>
      </w:r>
    </w:p>
    <w:p w14:paraId="5DFCCD3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e.负责向主管部门定期汇报各项工作进展情况。</w:t>
      </w:r>
    </w:p>
    <w:p w14:paraId="2956C00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eastAsia="zh-CN"/>
        </w:rPr>
        <w:t>②按照</w:t>
      </w:r>
      <w:r>
        <w:rPr>
          <w:rFonts w:hint="eastAsia" w:ascii="宋体" w:hAnsi="宋体" w:cs="宋体"/>
          <w:sz w:val="28"/>
          <w:szCs w:val="28"/>
          <w:lang w:val="zh-CN" w:eastAsia="zh-CN"/>
        </w:rPr>
        <w:t>《中华人民共和国招标投标法》</w:t>
      </w:r>
      <w:r>
        <w:rPr>
          <w:rFonts w:hint="eastAsia" w:ascii="宋体" w:hAnsi="宋体" w:eastAsia="宋体" w:cs="宋体"/>
          <w:sz w:val="28"/>
          <w:szCs w:val="28"/>
          <w:lang w:val="zh-CN" w:eastAsia="zh-CN"/>
        </w:rPr>
        <w:t>、《中华人民共和国合同法》和《建设工程质量管理条例》的有关规定，通过公开招投标确定具有相应资质的勘察设计单位、施工单位、监理单位，并明确勘察设计单位、施工单位、工程监理单位质量终身责任人及其所应负的责任。</w:t>
      </w:r>
    </w:p>
    <w:p w14:paraId="025677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rPr>
      </w:pPr>
      <w:r>
        <w:rPr>
          <w:rFonts w:hint="eastAsia" w:ascii="宋体" w:hAnsi="宋体" w:cs="宋体"/>
          <w:b/>
          <w:bCs/>
          <w:sz w:val="28"/>
          <w:szCs w:val="28"/>
          <w:lang w:val="en-US" w:eastAsia="zh-CN"/>
        </w:rPr>
        <w:t>（二）</w:t>
      </w:r>
      <w:r>
        <w:rPr>
          <w:rFonts w:hint="eastAsia" w:ascii="宋体" w:hAnsi="宋体" w:eastAsia="宋体" w:cs="宋体"/>
          <w:b/>
          <w:bCs/>
          <w:sz w:val="28"/>
          <w:szCs w:val="28"/>
          <w:lang w:val="en-US" w:eastAsia="zh-CN"/>
        </w:rPr>
        <w:t>项目管理</w:t>
      </w:r>
      <w:r>
        <w:rPr>
          <w:rFonts w:hint="eastAsia" w:ascii="宋体" w:hAnsi="宋体" w:eastAsia="宋体" w:cs="宋体"/>
          <w:b/>
          <w:bCs/>
          <w:sz w:val="28"/>
          <w:szCs w:val="28"/>
          <w:lang w:val="zh-CN"/>
        </w:rPr>
        <w:t>理情况</w:t>
      </w:r>
      <w:r>
        <w:rPr>
          <w:rFonts w:hint="eastAsia" w:ascii="宋体" w:hAnsi="宋体" w:cs="宋体"/>
          <w:b/>
          <w:bCs/>
          <w:sz w:val="28"/>
          <w:szCs w:val="28"/>
          <w:lang w:val="zh-CN"/>
        </w:rPr>
        <w:t>。</w:t>
      </w:r>
    </w:p>
    <w:p w14:paraId="156E978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Ansi="Times New Roman" w:eastAsia="仿宋_GB2312" w:cs="Times New Roman"/>
          <w:sz w:val="32"/>
          <w:szCs w:val="32"/>
        </w:rPr>
      </w:pPr>
      <w:r>
        <w:rPr>
          <w:rFonts w:hint="eastAsia" w:ascii="宋体" w:hAnsi="宋体" w:eastAsia="宋体" w:cs="宋体"/>
          <w:sz w:val="28"/>
          <w:szCs w:val="28"/>
          <w:lang w:val="zh-CN"/>
        </w:rPr>
        <w:t>本项目作为基本建设项目，严格按照基本建设程序实施，包括立项审批、勘察设计、预算评审、变更审批、质量监督、竣工验收、结算审查等</w:t>
      </w:r>
      <w:r>
        <w:rPr>
          <w:rFonts w:hint="eastAsia" w:ascii="宋体" w:hAnsi="宋体" w:cs="宋体"/>
          <w:sz w:val="28"/>
          <w:szCs w:val="28"/>
          <w:lang w:val="zh-CN"/>
        </w:rPr>
        <w:t>。</w:t>
      </w:r>
      <w:r>
        <w:rPr>
          <w:rFonts w:hint="eastAsia" w:ascii="宋体" w:hAnsi="宋体" w:eastAsia="宋体" w:cs="宋体"/>
          <w:sz w:val="28"/>
          <w:szCs w:val="28"/>
          <w:lang w:val="zh-CN"/>
        </w:rPr>
        <w:t>四川昭旺家居产业投资有限责任公司作为项目业主设立了工程部，负责项目施工进度与质量保证</w:t>
      </w:r>
      <w:r>
        <w:rPr>
          <w:rFonts w:hint="eastAsia" w:ascii="宋体" w:hAnsi="宋体" w:cs="宋体"/>
          <w:sz w:val="28"/>
          <w:szCs w:val="28"/>
          <w:lang w:val="zh-CN"/>
        </w:rPr>
        <w:t>，</w:t>
      </w:r>
      <w:r>
        <w:rPr>
          <w:rFonts w:hint="eastAsia" w:ascii="宋体" w:hAnsi="宋体" w:eastAsia="宋体" w:cs="宋体"/>
          <w:sz w:val="28"/>
          <w:szCs w:val="28"/>
          <w:lang w:val="zh-CN"/>
        </w:rPr>
        <w:t>施工单位河北建设集团股份有限公司建立了项目经理部，四川瑞达工程项目管理有限公司作为监理单位对项目进行监理，项目在实施过程中严格执行国家、地方相关管理制度，并严格执行公司《安全生产责任追究制度》、《阳光采购监督管理办法》、《工程建设项目选聘管理办法》等制度，进行了项目招投标、项目公示等</w:t>
      </w:r>
      <w:r>
        <w:rPr>
          <w:rFonts w:hint="eastAsia" w:ascii="仿宋" w:hAnsi="仿宋" w:eastAsia="仿宋"/>
          <w:bCs/>
          <w:sz w:val="32"/>
          <w:szCs w:val="32"/>
        </w:rPr>
        <w:t>。</w:t>
      </w:r>
    </w:p>
    <w:p w14:paraId="45E515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rPr>
      </w:pPr>
      <w:r>
        <w:rPr>
          <w:rFonts w:hint="eastAsia" w:ascii="宋体" w:hAnsi="宋体" w:cs="宋体"/>
          <w:b/>
          <w:bCs/>
          <w:sz w:val="28"/>
          <w:szCs w:val="28"/>
          <w:lang w:val="en-US" w:eastAsia="zh-CN"/>
        </w:rPr>
        <w:t>（三）</w:t>
      </w:r>
      <w:r>
        <w:rPr>
          <w:rFonts w:hint="eastAsia" w:ascii="宋体" w:hAnsi="宋体" w:eastAsia="宋体" w:cs="宋体"/>
          <w:b/>
          <w:bCs/>
          <w:sz w:val="28"/>
          <w:szCs w:val="28"/>
          <w:lang w:val="zh-CN"/>
        </w:rPr>
        <w:t>项目监管情况。</w:t>
      </w:r>
    </w:p>
    <w:p w14:paraId="14EE92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项目的实施接受建设主管部门的日常监管。债券资金的使用按照《广元市财政局关于全面实施专项债券资金在线监管得到通知》要求实行一债一户，项目单位、主管部门、财政部门、开户银行共同监管。</w:t>
      </w:r>
      <w:r>
        <w:rPr>
          <w:rFonts w:hint="eastAsia" w:ascii="宋体" w:hAnsi="宋体" w:cs="宋体"/>
          <w:sz w:val="28"/>
          <w:szCs w:val="28"/>
          <w:lang w:val="zh-CN"/>
        </w:rPr>
        <w:t>我单位</w:t>
      </w:r>
      <w:r>
        <w:rPr>
          <w:rFonts w:hint="eastAsia" w:ascii="宋体" w:hAnsi="宋体" w:eastAsia="宋体" w:cs="宋体"/>
          <w:sz w:val="28"/>
          <w:szCs w:val="28"/>
          <w:lang w:val="zh-CN"/>
        </w:rPr>
        <w:t>对债券项目的专项收入和支出做好专账核算，明确反映资金的收支状况。将各类专项债券项目对应形成的资产纳入国有资产管理，建立相应的资产登记和统计报告制度，加强对资产的日常统计和动态监控。</w:t>
      </w:r>
    </w:p>
    <w:p w14:paraId="2325F21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四、项目绩效情况</w:t>
      </w:r>
      <w:r>
        <w:rPr>
          <w:rFonts w:hint="eastAsia" w:ascii="宋体" w:hAnsi="宋体" w:eastAsia="宋体" w:cs="宋体"/>
          <w:b/>
          <w:bCs/>
          <w:sz w:val="28"/>
          <w:szCs w:val="28"/>
          <w:lang w:val="zh-CN" w:eastAsia="zh-CN"/>
        </w:rPr>
        <w:tab/>
      </w:r>
    </w:p>
    <w:p w14:paraId="5970652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（一）项目完成情况</w:t>
      </w:r>
    </w:p>
    <w:p w14:paraId="1FCE113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rPr>
        <w:t>项目</w:t>
      </w:r>
      <w:r>
        <w:rPr>
          <w:rFonts w:hint="eastAsia" w:ascii="宋体" w:hAnsi="宋体" w:eastAsia="宋体" w:cs="宋体"/>
          <w:sz w:val="28"/>
          <w:szCs w:val="28"/>
          <w:lang w:val="en-US" w:eastAsia="zh-CN"/>
        </w:rPr>
        <w:t>202</w:t>
      </w:r>
      <w:r>
        <w:rPr>
          <w:rFonts w:hint="eastAsia" w:ascii="宋体" w:hAnsi="宋体" w:eastAsia="宋体" w:cs="宋体"/>
          <w:color w:val="auto"/>
          <w:sz w:val="28"/>
          <w:szCs w:val="28"/>
          <w:lang w:val="en-US" w:eastAsia="zh-CN"/>
        </w:rPr>
        <w:t>2年</w:t>
      </w:r>
      <w:r>
        <w:rPr>
          <w:rFonts w:hint="eastAsia" w:ascii="宋体" w:hAnsi="宋体" w:eastAsia="宋体" w:cs="宋体"/>
          <w:color w:val="auto"/>
          <w:sz w:val="28"/>
          <w:szCs w:val="28"/>
          <w:lang w:val="zh-CN"/>
        </w:rPr>
        <w:t>实际完成任务量为总工程量的80%，1#-4#楼厂房装饰安装工程完成至40%；14#-20#</w:t>
      </w:r>
      <w:r>
        <w:rPr>
          <w:rFonts w:hint="eastAsia" w:ascii="宋体" w:hAnsi="宋体" w:eastAsia="宋体" w:cs="宋体"/>
          <w:sz w:val="28"/>
          <w:szCs w:val="28"/>
          <w:lang w:val="zh-CN"/>
        </w:rPr>
        <w:t>楼配套设施用房装饰安装工程完成至30%；市政道路管网工程、路基处理完成至100%。因新冠疫情反复的影响，整体项目实施进度略滞后于项目目标进度</w:t>
      </w:r>
      <w:r>
        <w:rPr>
          <w:rFonts w:hint="eastAsia" w:ascii="Times New Roman" w:hAnsi="Times New Roman" w:eastAsia="仿宋_GB2312" w:cs="Times New Roman"/>
          <w:bCs/>
          <w:sz w:val="32"/>
          <w:szCs w:val="32"/>
        </w:rPr>
        <w:t>。</w:t>
      </w:r>
      <w:r>
        <w:rPr>
          <w:rFonts w:hint="eastAsia" w:ascii="宋体" w:hAnsi="宋体" w:eastAsia="宋体" w:cs="宋体"/>
          <w:sz w:val="28"/>
          <w:szCs w:val="28"/>
          <w:lang w:val="zh-CN"/>
        </w:rPr>
        <w:t>无资金结余，无违规违纪情况。</w:t>
      </w:r>
      <w:r>
        <w:rPr>
          <w:rFonts w:hint="eastAsia" w:ascii="宋体" w:hAnsi="宋体" w:eastAsia="宋体" w:cs="宋体"/>
          <w:sz w:val="28"/>
          <w:szCs w:val="28"/>
          <w:lang w:val="en-US" w:eastAsia="zh-CN"/>
        </w:rPr>
        <w:t xml:space="preserve">      </w:t>
      </w:r>
    </w:p>
    <w:p w14:paraId="4BDBB3F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（二）项目效益情况</w:t>
      </w:r>
    </w:p>
    <w:p w14:paraId="694E634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项目</w:t>
      </w:r>
      <w:r>
        <w:rPr>
          <w:rFonts w:hint="eastAsia" w:ascii="宋体" w:hAnsi="宋体" w:cs="宋体"/>
          <w:sz w:val="28"/>
          <w:szCs w:val="28"/>
          <w:lang w:val="en-US" w:eastAsia="zh-CN"/>
        </w:rPr>
        <w:t>工期2年</w:t>
      </w:r>
      <w:r>
        <w:rPr>
          <w:rFonts w:hint="eastAsia" w:ascii="宋体" w:hAnsi="宋体" w:eastAsia="宋体" w:cs="宋体"/>
          <w:sz w:val="28"/>
          <w:szCs w:val="28"/>
          <w:lang w:val="en-US" w:eastAsia="zh-CN"/>
        </w:rPr>
        <w:t>，建成</w:t>
      </w:r>
      <w:r>
        <w:rPr>
          <w:rFonts w:hint="eastAsia" w:ascii="宋体" w:hAnsi="宋体" w:cs="宋体"/>
          <w:sz w:val="28"/>
          <w:szCs w:val="28"/>
          <w:lang w:val="en-US" w:eastAsia="zh-CN"/>
        </w:rPr>
        <w:t>投产</w:t>
      </w:r>
      <w:r>
        <w:rPr>
          <w:rFonts w:hint="eastAsia" w:ascii="宋体" w:hAnsi="宋体" w:eastAsia="宋体" w:cs="宋体"/>
          <w:sz w:val="28"/>
          <w:szCs w:val="28"/>
          <w:lang w:val="en-US" w:eastAsia="zh-CN"/>
        </w:rPr>
        <w:t>后</w:t>
      </w:r>
      <w:r>
        <w:rPr>
          <w:rFonts w:hint="eastAsia" w:ascii="宋体" w:hAnsi="宋体" w:cs="宋体"/>
          <w:sz w:val="28"/>
          <w:szCs w:val="28"/>
          <w:lang w:val="en-US" w:eastAsia="zh-CN"/>
        </w:rPr>
        <w:t>带动经济发展、社会就业、改善投资环境、完善产业链，</w:t>
      </w:r>
      <w:r>
        <w:rPr>
          <w:rFonts w:hint="eastAsia" w:ascii="宋体" w:hAnsi="宋体" w:cs="宋体"/>
          <w:sz w:val="28"/>
          <w:szCs w:val="28"/>
          <w:lang w:val="zh-CN"/>
        </w:rPr>
        <w:t>取得较好的经济和社会效益：</w:t>
      </w:r>
    </w:p>
    <w:p w14:paraId="24642EFB">
      <w:pPr>
        <w:pStyle w:val="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1.经济效益</w:t>
      </w:r>
    </w:p>
    <w:p w14:paraId="0D00D76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该项目预期经济效益较好，目前部分商家已入驻厂房，项目的建成将带来厂房年出租效益600万元以上，税收年收入500万元以及运营成本节约效益、节约时间效益、减少拥挤效益、土地增值效益、改善环境效益等间接效益1000万元/年。</w:t>
      </w:r>
    </w:p>
    <w:p w14:paraId="689EEAE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2.社会效益</w:t>
      </w:r>
    </w:p>
    <w:p w14:paraId="117072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val="0"/>
          <w:bCs w:val="0"/>
          <w:kern w:val="2"/>
          <w:sz w:val="28"/>
          <w:szCs w:val="28"/>
          <w:lang w:val="en-US" w:eastAsia="zh-CN" w:bidi="ar-SA"/>
        </w:rPr>
        <w:t>该项目建成后可提供近200人的就业岗位，带动当地居民增收，提高当</w:t>
      </w:r>
      <w:r>
        <w:rPr>
          <w:rFonts w:hint="eastAsia" w:ascii="宋体" w:hAnsi="宋体" w:eastAsia="宋体" w:cs="宋体"/>
          <w:color w:val="auto"/>
          <w:kern w:val="2"/>
          <w:sz w:val="28"/>
          <w:szCs w:val="28"/>
          <w:lang w:val="en-US" w:eastAsia="zh-CN" w:bidi="ar-SA"/>
        </w:rPr>
        <w:t>地居民生活水平和生活质量，促进地方经济发展，维护社会稳定，构建和谐社会。同时，本项目的建设有利于完善家居产业城的基础设施，推进区域家具产业链集群发展，提升广元市现代家居产业的竞争力，并带动周边区域的开发建设进程，加快当地其他产业的发展</w:t>
      </w:r>
      <w:r>
        <w:rPr>
          <w:rFonts w:hint="eastAsia" w:ascii="宋体" w:hAnsi="宋体" w:cs="宋体"/>
          <w:color w:val="auto"/>
          <w:kern w:val="2"/>
          <w:sz w:val="28"/>
          <w:szCs w:val="28"/>
          <w:lang w:val="en-US" w:eastAsia="zh-CN" w:bidi="ar-SA"/>
        </w:rPr>
        <w:t>。</w:t>
      </w:r>
    </w:p>
    <w:p w14:paraId="52F9F75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五、评价结论及建议</w:t>
      </w:r>
    </w:p>
    <w:p w14:paraId="316D81D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（一）评价结论</w:t>
      </w:r>
      <w:r>
        <w:rPr>
          <w:rFonts w:hint="eastAsia" w:ascii="宋体" w:hAnsi="宋体" w:cs="宋体"/>
          <w:b/>
          <w:bCs/>
          <w:sz w:val="28"/>
          <w:szCs w:val="28"/>
          <w:lang w:val="zh-CN"/>
        </w:rPr>
        <w:t>。</w:t>
      </w:r>
    </w:p>
    <w:p w14:paraId="7600B56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项目有立项批复，</w:t>
      </w:r>
      <w:r>
        <w:rPr>
          <w:rFonts w:hint="eastAsia" w:ascii="宋体" w:hAnsi="宋体" w:eastAsia="宋体" w:cs="宋体"/>
          <w:sz w:val="28"/>
          <w:szCs w:val="28"/>
          <w:lang w:val="zh-CN" w:eastAsia="zh-CN"/>
        </w:rPr>
        <w:t>项目收益与融资自求平衡专项债券实施方案、收益与融资自求平衡专项债券财务评价报告、收益与融资自求平衡专项债券法律意见书均通过审核</w:t>
      </w:r>
      <w:r>
        <w:rPr>
          <w:rFonts w:hint="eastAsia" w:ascii="宋体" w:hAnsi="宋体" w:cs="宋体"/>
          <w:sz w:val="28"/>
          <w:szCs w:val="28"/>
          <w:lang w:val="zh-CN" w:eastAsia="zh-CN"/>
        </w:rPr>
        <w:t>，项目程序严密、规划合理、制度完备；</w:t>
      </w:r>
      <w:r>
        <w:rPr>
          <w:rFonts w:hint="eastAsia" w:ascii="宋体" w:hAnsi="宋体" w:eastAsia="宋体" w:cs="宋体"/>
          <w:sz w:val="28"/>
          <w:szCs w:val="28"/>
          <w:lang w:val="en-US" w:eastAsia="zh-CN"/>
        </w:rPr>
        <w:t>项目严格按照基本建设管理制度</w:t>
      </w:r>
      <w:r>
        <w:rPr>
          <w:rFonts w:hint="eastAsia" w:ascii="宋体" w:hAnsi="宋体" w:cs="宋体"/>
          <w:sz w:val="28"/>
          <w:szCs w:val="28"/>
          <w:lang w:val="en-US" w:eastAsia="zh-CN"/>
        </w:rPr>
        <w:t>和地方政府债券管理要求执行，分配合理、使用合规、执行有效；项目无资金结余，及时完成年度预期目标，</w:t>
      </w:r>
      <w:r>
        <w:rPr>
          <w:rFonts w:hint="eastAsia" w:ascii="宋体" w:hAnsi="宋体" w:eastAsia="宋体" w:cs="宋体"/>
          <w:sz w:val="28"/>
          <w:szCs w:val="28"/>
          <w:lang w:val="en-US" w:eastAsia="zh-CN"/>
        </w:rPr>
        <w:t>管理良好，实施有序，</w:t>
      </w:r>
      <w:r>
        <w:rPr>
          <w:rFonts w:hint="eastAsia" w:ascii="宋体" w:hAnsi="宋体" w:cs="宋体"/>
          <w:sz w:val="28"/>
          <w:szCs w:val="28"/>
          <w:lang w:val="en-US" w:eastAsia="zh-CN"/>
        </w:rPr>
        <w:t>完成后取得预期效益</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2022年</w:t>
      </w:r>
      <w:r>
        <w:rPr>
          <w:rFonts w:hint="eastAsia" w:ascii="宋体" w:hAnsi="宋体" w:eastAsia="宋体" w:cs="宋体"/>
          <w:sz w:val="28"/>
          <w:szCs w:val="28"/>
          <w:lang w:val="en-US" w:eastAsia="zh-CN"/>
        </w:rPr>
        <w:t>达到了</w:t>
      </w:r>
      <w:r>
        <w:rPr>
          <w:rFonts w:hint="eastAsia" w:ascii="宋体" w:hAnsi="宋体" w:cs="宋体"/>
          <w:sz w:val="28"/>
          <w:szCs w:val="28"/>
          <w:lang w:val="en-US" w:eastAsia="zh-CN"/>
        </w:rPr>
        <w:t>年度</w:t>
      </w:r>
      <w:r>
        <w:rPr>
          <w:rFonts w:hint="eastAsia" w:ascii="宋体" w:hAnsi="宋体" w:eastAsia="宋体" w:cs="宋体"/>
          <w:sz w:val="28"/>
          <w:szCs w:val="28"/>
          <w:lang w:val="en-US" w:eastAsia="zh-CN"/>
        </w:rPr>
        <w:t>预期目标</w:t>
      </w:r>
      <w:r>
        <w:rPr>
          <w:rFonts w:hint="eastAsia" w:ascii="宋体" w:hAnsi="宋体" w:eastAsia="宋体" w:cs="宋体"/>
          <w:sz w:val="28"/>
          <w:szCs w:val="28"/>
          <w:lang w:val="zh-CN"/>
        </w:rPr>
        <w:t>。</w:t>
      </w:r>
      <w:r>
        <w:rPr>
          <w:rFonts w:hint="eastAsia" w:ascii="宋体" w:hAnsi="宋体" w:cs="宋体"/>
          <w:sz w:val="28"/>
          <w:szCs w:val="28"/>
          <w:lang w:val="zh-CN"/>
        </w:rPr>
        <w:t>自评</w:t>
      </w:r>
      <w:r>
        <w:rPr>
          <w:rFonts w:hint="eastAsia" w:ascii="宋体" w:hAnsi="宋体" w:eastAsia="宋体" w:cs="宋体"/>
          <w:sz w:val="28"/>
          <w:szCs w:val="28"/>
          <w:lang w:val="zh-CN"/>
        </w:rPr>
        <w:t>得分</w:t>
      </w:r>
      <w:r>
        <w:rPr>
          <w:rFonts w:hint="eastAsia" w:ascii="宋体" w:hAnsi="宋体" w:cs="宋体"/>
          <w:sz w:val="28"/>
          <w:szCs w:val="28"/>
          <w:lang w:val="en-US" w:eastAsia="zh-CN"/>
        </w:rPr>
        <w:t>96</w:t>
      </w:r>
      <w:r>
        <w:rPr>
          <w:rFonts w:hint="eastAsia" w:ascii="宋体" w:hAnsi="宋体" w:eastAsia="宋体" w:cs="宋体"/>
          <w:sz w:val="28"/>
          <w:szCs w:val="28"/>
          <w:lang w:val="en-US" w:eastAsia="zh-CN"/>
        </w:rPr>
        <w:t>分。</w:t>
      </w:r>
    </w:p>
    <w:p w14:paraId="287C7CB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（二）存在的问题</w:t>
      </w:r>
      <w:r>
        <w:rPr>
          <w:rFonts w:hint="eastAsia" w:ascii="宋体" w:hAnsi="宋体" w:cs="宋体"/>
          <w:b/>
          <w:bCs/>
          <w:sz w:val="28"/>
          <w:szCs w:val="28"/>
          <w:lang w:val="zh-CN"/>
        </w:rPr>
        <w:t>。</w:t>
      </w:r>
    </w:p>
    <w:p w14:paraId="21E170D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cs="宋体"/>
          <w:sz w:val="28"/>
          <w:szCs w:val="28"/>
          <w:lang w:val="zh-CN"/>
        </w:rPr>
        <w:t>受疫情反复影响，建设进度滞后。</w:t>
      </w:r>
    </w:p>
    <w:p w14:paraId="4B598D6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（三）相关建议</w:t>
      </w:r>
      <w:r>
        <w:rPr>
          <w:rFonts w:hint="eastAsia" w:ascii="宋体" w:hAnsi="宋体" w:cs="宋体"/>
          <w:b/>
          <w:bCs/>
          <w:sz w:val="28"/>
          <w:szCs w:val="28"/>
          <w:lang w:val="zh-CN"/>
        </w:rPr>
        <w:t>。</w:t>
      </w:r>
    </w:p>
    <w:p w14:paraId="18E652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eastAsia="zh-CN"/>
        </w:rPr>
      </w:pPr>
      <w:r>
        <w:rPr>
          <w:rFonts w:hint="eastAsia" w:ascii="宋体" w:hAnsi="宋体" w:cs="宋体"/>
          <w:sz w:val="28"/>
          <w:szCs w:val="28"/>
          <w:lang w:eastAsia="zh-CN"/>
        </w:rPr>
        <w:t>在后期的建设中调整施工进度方案，加快建设进度，争取早日完工，及早投入使用和运营，取得运营收入，按计划还本付息，实现预期目标。</w:t>
      </w:r>
    </w:p>
    <w:p w14:paraId="3BA00E98">
      <w:pPr>
        <w:pStyle w:val="2"/>
        <w:rPr>
          <w:rFonts w:hint="eastAsia" w:ascii="宋体" w:hAnsi="宋体" w:cs="宋体"/>
          <w:sz w:val="28"/>
          <w:szCs w:val="28"/>
          <w:lang w:eastAsia="zh-CN"/>
        </w:rPr>
      </w:pPr>
    </w:p>
    <w:p w14:paraId="1A34DB83">
      <w:pPr>
        <w:rPr>
          <w:rFonts w:hint="eastAsia" w:ascii="宋体" w:hAnsi="宋体" w:cs="宋体"/>
          <w:sz w:val="28"/>
          <w:szCs w:val="28"/>
          <w:lang w:eastAsia="zh-CN"/>
        </w:rPr>
      </w:pPr>
    </w:p>
    <w:p w14:paraId="687388B2">
      <w:pPr>
        <w:pStyle w:val="2"/>
        <w:rPr>
          <w:rFonts w:hint="eastAsia" w:ascii="宋体" w:hAnsi="宋体" w:cs="宋体"/>
          <w:sz w:val="28"/>
          <w:szCs w:val="28"/>
          <w:lang w:eastAsia="zh-CN"/>
        </w:rPr>
      </w:pPr>
    </w:p>
    <w:p w14:paraId="6607AE3C">
      <w:pPr>
        <w:rPr>
          <w:rFonts w:hint="eastAsia" w:ascii="宋体" w:hAnsi="宋体" w:cs="宋体"/>
          <w:sz w:val="28"/>
          <w:szCs w:val="28"/>
          <w:lang w:eastAsia="zh-CN"/>
        </w:rPr>
      </w:pPr>
    </w:p>
    <w:p w14:paraId="6F735CDC">
      <w:pPr>
        <w:pStyle w:val="2"/>
        <w:rPr>
          <w:rFonts w:hint="eastAsia" w:ascii="宋体" w:hAnsi="宋体" w:cs="宋体"/>
          <w:sz w:val="28"/>
          <w:szCs w:val="28"/>
          <w:lang w:eastAsia="zh-CN"/>
        </w:rPr>
      </w:pPr>
    </w:p>
    <w:p w14:paraId="2A7FD2BB">
      <w:pPr>
        <w:rPr>
          <w:rFonts w:hint="eastAsia" w:ascii="宋体" w:hAnsi="宋体" w:cs="宋体"/>
          <w:sz w:val="28"/>
          <w:szCs w:val="28"/>
          <w:lang w:eastAsia="zh-CN"/>
        </w:rPr>
      </w:pPr>
    </w:p>
    <w:p w14:paraId="015E63B9">
      <w:pPr>
        <w:pStyle w:val="2"/>
        <w:rPr>
          <w:rFonts w:hint="eastAsia" w:ascii="宋体" w:hAnsi="宋体" w:cs="宋体"/>
          <w:sz w:val="28"/>
          <w:szCs w:val="28"/>
          <w:lang w:eastAsia="zh-CN"/>
        </w:rPr>
      </w:pPr>
    </w:p>
    <w:p w14:paraId="3A273A8C">
      <w:pPr>
        <w:rPr>
          <w:rFonts w:hint="eastAsia" w:ascii="宋体" w:hAnsi="宋体" w:cs="宋体"/>
          <w:sz w:val="28"/>
          <w:szCs w:val="28"/>
          <w:lang w:eastAsia="zh-CN"/>
        </w:rPr>
      </w:pPr>
    </w:p>
    <w:p w14:paraId="4B77D89A">
      <w:pPr>
        <w:pStyle w:val="2"/>
        <w:rPr>
          <w:rFonts w:hint="eastAsia" w:ascii="宋体" w:hAnsi="宋体" w:cs="宋体"/>
          <w:sz w:val="28"/>
          <w:szCs w:val="28"/>
          <w:lang w:eastAsia="zh-CN"/>
        </w:rPr>
      </w:pPr>
    </w:p>
    <w:p w14:paraId="66533AFC">
      <w:pPr>
        <w:rPr>
          <w:rFonts w:hint="eastAsia" w:ascii="宋体" w:hAnsi="宋体" w:cs="宋体"/>
          <w:sz w:val="28"/>
          <w:szCs w:val="28"/>
          <w:lang w:eastAsia="zh-CN"/>
        </w:rPr>
      </w:pPr>
    </w:p>
    <w:p w14:paraId="361D846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eastAsia="zh-CN"/>
        </w:rPr>
      </w:pPr>
      <w:r>
        <w:rPr>
          <w:rFonts w:hint="eastAsia" w:ascii="宋体" w:hAnsi="宋体" w:cs="宋体"/>
          <w:sz w:val="28"/>
          <w:szCs w:val="28"/>
          <w:lang w:eastAsia="zh-CN"/>
        </w:rPr>
        <w:t>附表：</w:t>
      </w:r>
    </w:p>
    <w:tbl>
      <w:tblPr>
        <w:tblStyle w:val="16"/>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8"/>
        <w:gridCol w:w="607"/>
        <w:gridCol w:w="936"/>
        <w:gridCol w:w="912"/>
        <w:gridCol w:w="974"/>
        <w:gridCol w:w="1379"/>
        <w:gridCol w:w="1734"/>
        <w:gridCol w:w="2230"/>
      </w:tblGrid>
      <w:tr w14:paraId="319A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9240" w:type="dxa"/>
            <w:gridSpan w:val="8"/>
            <w:tcBorders>
              <w:top w:val="nil"/>
              <w:left w:val="nil"/>
              <w:bottom w:val="nil"/>
              <w:right w:val="nil"/>
            </w:tcBorders>
            <w:shd w:val="clear" w:color="auto" w:fill="auto"/>
            <w:noWrap/>
            <w:vAlign w:val="center"/>
          </w:tcPr>
          <w:p w14:paraId="3063DFFD">
            <w:pPr>
              <w:keepNext w:val="0"/>
              <w:keepLines w:val="0"/>
              <w:widowControl/>
              <w:suppressLineNumbers w:val="0"/>
              <w:jc w:val="center"/>
              <w:textAlignment w:val="center"/>
              <w:rPr>
                <w:rFonts w:hint="eastAsia" w:ascii="宋体" w:hAnsi="宋体" w:eastAsia="宋体" w:cs="宋体"/>
                <w:i w:val="0"/>
                <w:iCs w:val="0"/>
                <w:color w:val="000000"/>
                <w:sz w:val="34"/>
                <w:szCs w:val="34"/>
                <w:u w:val="none"/>
              </w:rPr>
            </w:pPr>
            <w:r>
              <w:rPr>
                <w:rFonts w:hint="eastAsia" w:ascii="宋体" w:hAnsi="宋体" w:eastAsia="宋体" w:cs="宋体"/>
                <w:i w:val="0"/>
                <w:iCs w:val="0"/>
                <w:color w:val="000000"/>
                <w:kern w:val="0"/>
                <w:sz w:val="34"/>
                <w:szCs w:val="34"/>
                <w:u w:val="none"/>
                <w:lang w:val="en-US" w:eastAsia="zh-CN" w:bidi="ar"/>
              </w:rPr>
              <w:t>广元市昭化区财政项目支出绩效自评表</w:t>
            </w:r>
          </w:p>
        </w:tc>
      </w:tr>
      <w:tr w14:paraId="28F62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0" w:type="auto"/>
            <w:gridSpan w:val="8"/>
            <w:tcBorders>
              <w:top w:val="nil"/>
              <w:left w:val="nil"/>
              <w:bottom w:val="nil"/>
              <w:right w:val="nil"/>
            </w:tcBorders>
            <w:shd w:val="clear" w:color="auto" w:fill="auto"/>
            <w:noWrap/>
            <w:vAlign w:val="center"/>
          </w:tcPr>
          <w:p w14:paraId="3E83B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2022年度）</w:t>
            </w:r>
          </w:p>
        </w:tc>
      </w:tr>
      <w:tr w14:paraId="7BB5A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7B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1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001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2022年中国西部（广元）绿色家居产业城启动区新胜组团项目债券资金</w:t>
            </w:r>
          </w:p>
        </w:tc>
      </w:tr>
      <w:tr w14:paraId="2332E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EF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65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四川广元昭化经济开发区管理委员会</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0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3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56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四川昭旺家居产业投资有限责任公司</w:t>
            </w:r>
          </w:p>
        </w:tc>
      </w:tr>
      <w:tr w14:paraId="1CA3F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075"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35B37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D354E">
            <w:pPr>
              <w:jc w:val="center"/>
              <w:rPr>
                <w:rFonts w:hint="eastAsia" w:ascii="宋体" w:hAnsi="宋体" w:eastAsia="宋体" w:cs="宋体"/>
                <w:i w:val="0"/>
                <w:iCs w:val="0"/>
                <w:color w:val="000000"/>
                <w:sz w:val="18"/>
                <w:szCs w:val="18"/>
                <w:u w:val="none"/>
              </w:rPr>
            </w:pPr>
          </w:p>
        </w:tc>
        <w:tc>
          <w:tcPr>
            <w:tcW w:w="2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76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0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B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782FF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07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D326A3E">
            <w:pPr>
              <w:jc w:val="center"/>
              <w:rPr>
                <w:rFonts w:hint="eastAsia" w:ascii="宋体" w:hAnsi="宋体" w:eastAsia="宋体" w:cs="宋体"/>
                <w:i w:val="0"/>
                <w:iCs w:val="0"/>
                <w:color w:val="000000"/>
                <w:sz w:val="18"/>
                <w:szCs w:val="18"/>
                <w:u w:val="none"/>
              </w:rPr>
            </w:pP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F0C8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D7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1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4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411BE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07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FD21FED">
            <w:pPr>
              <w:jc w:val="center"/>
              <w:rPr>
                <w:rFonts w:hint="eastAsia" w:ascii="宋体" w:hAnsi="宋体" w:eastAsia="宋体" w:cs="宋体"/>
                <w:i w:val="0"/>
                <w:iCs w:val="0"/>
                <w:color w:val="000000"/>
                <w:sz w:val="18"/>
                <w:szCs w:val="18"/>
                <w:u w:val="none"/>
              </w:rPr>
            </w:pP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CFE4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30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C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E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3C0C2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07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75B6566">
            <w:pPr>
              <w:jc w:val="center"/>
              <w:rPr>
                <w:rFonts w:hint="eastAsia" w:ascii="宋体" w:hAnsi="宋体" w:eastAsia="宋体" w:cs="宋体"/>
                <w:i w:val="0"/>
                <w:iCs w:val="0"/>
                <w:color w:val="000000"/>
                <w:sz w:val="18"/>
                <w:szCs w:val="18"/>
                <w:u w:val="none"/>
              </w:rPr>
            </w:pP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4B92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EE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0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D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9626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07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B04CFAF">
            <w:pPr>
              <w:jc w:val="center"/>
              <w:rPr>
                <w:rFonts w:hint="eastAsia" w:ascii="宋体" w:hAnsi="宋体" w:eastAsia="宋体" w:cs="宋体"/>
                <w:i w:val="0"/>
                <w:iCs w:val="0"/>
                <w:color w:val="000000"/>
                <w:sz w:val="18"/>
                <w:szCs w:val="18"/>
                <w:u w:val="none"/>
              </w:rPr>
            </w:pP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B367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2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24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E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1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CA28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07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5B29732">
            <w:pPr>
              <w:jc w:val="center"/>
              <w:rPr>
                <w:rFonts w:hint="eastAsia" w:ascii="宋体" w:hAnsi="宋体" w:eastAsia="宋体" w:cs="宋体"/>
                <w:i w:val="0"/>
                <w:iCs w:val="0"/>
                <w:color w:val="000000"/>
                <w:sz w:val="18"/>
                <w:szCs w:val="18"/>
                <w:u w:val="none"/>
              </w:rPr>
            </w:pP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A367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54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C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4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10FE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07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EAF30E3">
            <w:pPr>
              <w:jc w:val="center"/>
              <w:rPr>
                <w:rFonts w:hint="eastAsia" w:ascii="宋体" w:hAnsi="宋体" w:eastAsia="宋体" w:cs="宋体"/>
                <w:i w:val="0"/>
                <w:iCs w:val="0"/>
                <w:color w:val="000000"/>
                <w:sz w:val="18"/>
                <w:szCs w:val="18"/>
                <w:u w:val="none"/>
              </w:rPr>
            </w:pP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1004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4.社保基金</w:t>
            </w:r>
          </w:p>
        </w:tc>
        <w:tc>
          <w:tcPr>
            <w:tcW w:w="2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4A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A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2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3FF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07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224AE13">
            <w:pPr>
              <w:jc w:val="center"/>
              <w:rPr>
                <w:rFonts w:hint="eastAsia" w:ascii="宋体" w:hAnsi="宋体" w:eastAsia="宋体" w:cs="宋体"/>
                <w:i w:val="0"/>
                <w:iCs w:val="0"/>
                <w:color w:val="000000"/>
                <w:sz w:val="18"/>
                <w:szCs w:val="18"/>
                <w:u w:val="none"/>
              </w:rPr>
            </w:pP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2B64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4B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9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F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7FBD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DA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6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1CB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6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24EB2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9E852">
            <w:pPr>
              <w:jc w:val="center"/>
              <w:rPr>
                <w:rFonts w:hint="eastAsia" w:ascii="宋体" w:hAnsi="宋体" w:eastAsia="宋体" w:cs="宋体"/>
                <w:i w:val="0"/>
                <w:iCs w:val="0"/>
                <w:color w:val="000000"/>
                <w:sz w:val="18"/>
                <w:szCs w:val="18"/>
                <w:u w:val="none"/>
              </w:rPr>
            </w:pPr>
          </w:p>
        </w:tc>
        <w:tc>
          <w:tcPr>
            <w:tcW w:w="6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F57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续建完成市政道路9.6Km，续建标准化厂房46.5万m2及配套设施用房5.1万m2</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E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项目2022年实际完成任务量为总工程量的80%，1#-4#楼厂房装饰安装工程完成至40%；14#-20#楼配套设施用房装饰安装工程完成至30%；市政道路管网工程、路基处理完成至100%。</w:t>
            </w:r>
          </w:p>
        </w:tc>
      </w:tr>
      <w:tr w14:paraId="4DA66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8A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C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B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B9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79" w:type="dxa"/>
            <w:tcBorders>
              <w:top w:val="single" w:color="000000" w:sz="4" w:space="0"/>
              <w:left w:val="single" w:color="000000" w:sz="4" w:space="0"/>
              <w:bottom w:val="nil"/>
              <w:right w:val="single" w:color="000000" w:sz="4" w:space="0"/>
            </w:tcBorders>
            <w:shd w:val="clear" w:color="auto" w:fill="auto"/>
            <w:vAlign w:val="center"/>
          </w:tcPr>
          <w:p w14:paraId="7DEDA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2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2230" w:type="dxa"/>
            <w:tcBorders>
              <w:top w:val="nil"/>
              <w:left w:val="single" w:color="000000" w:sz="4" w:space="0"/>
              <w:bottom w:val="single" w:color="000000" w:sz="4" w:space="0"/>
              <w:right w:val="single" w:color="000000" w:sz="4" w:space="0"/>
            </w:tcBorders>
            <w:shd w:val="clear" w:color="auto" w:fill="auto"/>
            <w:vAlign w:val="center"/>
          </w:tcPr>
          <w:p w14:paraId="3D8E9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3F6DB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06147">
            <w:pPr>
              <w:jc w:val="center"/>
              <w:rPr>
                <w:rFonts w:hint="eastAsia" w:ascii="宋体" w:hAnsi="宋体" w:eastAsia="宋体" w:cs="宋体"/>
                <w:i w:val="0"/>
                <w:iCs w:val="0"/>
                <w:color w:val="000000"/>
                <w:sz w:val="18"/>
                <w:szCs w:val="18"/>
                <w:u w:val="none"/>
              </w:rPr>
            </w:pPr>
          </w:p>
        </w:tc>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5F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nil"/>
              <w:right w:val="single" w:color="000000" w:sz="4" w:space="0"/>
            </w:tcBorders>
            <w:shd w:val="clear" w:color="auto" w:fill="auto"/>
            <w:vAlign w:val="center"/>
          </w:tcPr>
          <w:p w14:paraId="1CCC3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2F5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续建完成标准化厂房面积</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E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6.5万m2</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F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主体完成，装修完成40%</w:t>
            </w:r>
          </w:p>
        </w:tc>
        <w:tc>
          <w:tcPr>
            <w:tcW w:w="2230" w:type="dxa"/>
            <w:tcBorders>
              <w:top w:val="nil"/>
              <w:left w:val="single" w:color="000000" w:sz="4" w:space="0"/>
              <w:bottom w:val="single" w:color="000000" w:sz="4" w:space="0"/>
              <w:right w:val="single" w:color="000000" w:sz="4" w:space="0"/>
            </w:tcBorders>
            <w:shd w:val="clear" w:color="auto" w:fill="auto"/>
            <w:vAlign w:val="center"/>
          </w:tcPr>
          <w:p w14:paraId="6B1E1C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原因：新冠疫情反复影响</w:t>
            </w:r>
          </w:p>
          <w:p w14:paraId="409DD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改进措施：加快施工进度</w:t>
            </w:r>
          </w:p>
        </w:tc>
      </w:tr>
      <w:tr w14:paraId="280B9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AA3B3">
            <w:pPr>
              <w:jc w:val="center"/>
              <w:rPr>
                <w:rFonts w:hint="eastAsia" w:ascii="宋体" w:hAnsi="宋体" w:eastAsia="宋体" w:cs="宋体"/>
                <w:i w:val="0"/>
                <w:iCs w:val="0"/>
                <w:color w:val="000000"/>
                <w:sz w:val="18"/>
                <w:szCs w:val="18"/>
                <w:u w:val="none"/>
              </w:rPr>
            </w:pPr>
          </w:p>
        </w:tc>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9E29E">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nil"/>
              <w:right w:val="single" w:color="000000" w:sz="4" w:space="0"/>
            </w:tcBorders>
            <w:shd w:val="clear" w:color="auto" w:fill="auto"/>
            <w:vAlign w:val="center"/>
          </w:tcPr>
          <w:p w14:paraId="39F22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03D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续建完成道路长度</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2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9.6公里</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9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9.6公里</w:t>
            </w:r>
          </w:p>
        </w:tc>
        <w:tc>
          <w:tcPr>
            <w:tcW w:w="2230" w:type="dxa"/>
            <w:tcBorders>
              <w:top w:val="nil"/>
              <w:left w:val="single" w:color="000000" w:sz="4" w:space="0"/>
              <w:bottom w:val="single" w:color="000000" w:sz="4" w:space="0"/>
              <w:right w:val="single" w:color="000000" w:sz="4" w:space="0"/>
            </w:tcBorders>
            <w:shd w:val="clear" w:color="auto" w:fill="auto"/>
            <w:vAlign w:val="center"/>
          </w:tcPr>
          <w:p w14:paraId="51EE528C">
            <w:pPr>
              <w:jc w:val="center"/>
              <w:rPr>
                <w:rFonts w:hint="eastAsia" w:ascii="宋体" w:hAnsi="宋体" w:eastAsia="宋体" w:cs="宋体"/>
                <w:i w:val="0"/>
                <w:iCs w:val="0"/>
                <w:color w:val="000000"/>
                <w:sz w:val="18"/>
                <w:szCs w:val="18"/>
                <w:u w:val="none"/>
              </w:rPr>
            </w:pPr>
          </w:p>
        </w:tc>
      </w:tr>
      <w:tr w14:paraId="0F86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40C23">
            <w:pPr>
              <w:jc w:val="center"/>
              <w:rPr>
                <w:rFonts w:hint="eastAsia" w:ascii="宋体" w:hAnsi="宋体" w:eastAsia="宋体" w:cs="宋体"/>
                <w:i w:val="0"/>
                <w:iCs w:val="0"/>
                <w:color w:val="000000"/>
                <w:sz w:val="18"/>
                <w:szCs w:val="18"/>
                <w:u w:val="none"/>
              </w:rPr>
            </w:pPr>
          </w:p>
        </w:tc>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E33FD">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nil"/>
              <w:right w:val="single" w:color="000000" w:sz="4" w:space="0"/>
            </w:tcBorders>
            <w:shd w:val="clear" w:color="auto" w:fill="auto"/>
            <w:vAlign w:val="center"/>
          </w:tcPr>
          <w:p w14:paraId="7A650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501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续建完成配套设施用房面积</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A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8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主体完成，装修完成30%</w:t>
            </w:r>
          </w:p>
        </w:tc>
        <w:tc>
          <w:tcPr>
            <w:tcW w:w="2230" w:type="dxa"/>
            <w:tcBorders>
              <w:top w:val="nil"/>
              <w:left w:val="single" w:color="000000" w:sz="4" w:space="0"/>
              <w:bottom w:val="single" w:color="000000" w:sz="4" w:space="0"/>
              <w:right w:val="single" w:color="000000" w:sz="4" w:space="0"/>
            </w:tcBorders>
            <w:shd w:val="clear" w:color="auto" w:fill="auto"/>
            <w:vAlign w:val="center"/>
          </w:tcPr>
          <w:p w14:paraId="54FD9D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原因：新冠疫情反复影响</w:t>
            </w:r>
          </w:p>
          <w:p w14:paraId="45FA5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改进措施：加快施工进度</w:t>
            </w:r>
          </w:p>
        </w:tc>
      </w:tr>
      <w:tr w14:paraId="5BA13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73DCE">
            <w:pPr>
              <w:jc w:val="center"/>
              <w:rPr>
                <w:rFonts w:hint="eastAsia" w:ascii="宋体" w:hAnsi="宋体" w:eastAsia="宋体" w:cs="宋体"/>
                <w:i w:val="0"/>
                <w:iCs w:val="0"/>
                <w:color w:val="000000"/>
                <w:sz w:val="18"/>
                <w:szCs w:val="18"/>
                <w:u w:val="none"/>
              </w:rPr>
            </w:pPr>
          </w:p>
        </w:tc>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BE167">
            <w:pPr>
              <w:jc w:val="center"/>
              <w:rPr>
                <w:rFonts w:hint="eastAsia" w:ascii="宋体" w:hAnsi="宋体" w:eastAsia="宋体" w:cs="宋体"/>
                <w:i w:val="0"/>
                <w:iCs w:val="0"/>
                <w:color w:val="000000"/>
                <w:sz w:val="18"/>
                <w:szCs w:val="18"/>
                <w:u w:val="none"/>
              </w:rPr>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DF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B51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道路竣工验收达标率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D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D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7F93">
            <w:pPr>
              <w:jc w:val="center"/>
              <w:rPr>
                <w:rFonts w:hint="eastAsia" w:ascii="宋体" w:hAnsi="宋体" w:eastAsia="宋体" w:cs="宋体"/>
                <w:i w:val="0"/>
                <w:iCs w:val="0"/>
                <w:color w:val="000000"/>
                <w:sz w:val="18"/>
                <w:szCs w:val="18"/>
                <w:u w:val="none"/>
              </w:rPr>
            </w:pPr>
          </w:p>
        </w:tc>
      </w:tr>
      <w:tr w14:paraId="2C49F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89ED7">
            <w:pPr>
              <w:jc w:val="center"/>
              <w:rPr>
                <w:rFonts w:hint="eastAsia" w:ascii="宋体" w:hAnsi="宋体" w:eastAsia="宋体" w:cs="宋体"/>
                <w:i w:val="0"/>
                <w:iCs w:val="0"/>
                <w:color w:val="000000"/>
                <w:sz w:val="18"/>
                <w:szCs w:val="18"/>
                <w:u w:val="none"/>
              </w:rPr>
            </w:pPr>
          </w:p>
        </w:tc>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EB65F">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F4748">
            <w:pPr>
              <w:jc w:val="center"/>
              <w:rPr>
                <w:rFonts w:hint="eastAsia" w:ascii="宋体" w:hAnsi="宋体" w:eastAsia="宋体" w:cs="宋体"/>
                <w:i w:val="0"/>
                <w:iCs w:val="0"/>
                <w:color w:val="000000"/>
                <w:sz w:val="18"/>
                <w:szCs w:val="18"/>
                <w:u w:val="none"/>
              </w:rPr>
            </w:pPr>
          </w:p>
        </w:tc>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251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标准化厂房验收合格率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9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DF96">
            <w:pPr>
              <w:jc w:val="center"/>
              <w:rPr>
                <w:rFonts w:hint="eastAsia" w:ascii="宋体" w:hAnsi="宋体" w:eastAsia="宋体" w:cs="宋体"/>
                <w:i w:val="0"/>
                <w:iCs w:val="0"/>
                <w:color w:val="000000"/>
                <w:sz w:val="18"/>
                <w:szCs w:val="18"/>
                <w:u w:val="none"/>
              </w:rPr>
            </w:pP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7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尚未验收</w:t>
            </w:r>
          </w:p>
        </w:tc>
      </w:tr>
      <w:tr w14:paraId="00814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56493">
            <w:pPr>
              <w:jc w:val="center"/>
              <w:rPr>
                <w:rFonts w:hint="eastAsia" w:ascii="宋体" w:hAnsi="宋体" w:eastAsia="宋体" w:cs="宋体"/>
                <w:i w:val="0"/>
                <w:iCs w:val="0"/>
                <w:color w:val="000000"/>
                <w:sz w:val="18"/>
                <w:szCs w:val="18"/>
                <w:u w:val="none"/>
              </w:rPr>
            </w:pPr>
          </w:p>
        </w:tc>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CEEFF">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E6499">
            <w:pPr>
              <w:jc w:val="center"/>
              <w:rPr>
                <w:rFonts w:hint="eastAsia" w:ascii="宋体" w:hAnsi="宋体" w:eastAsia="宋体" w:cs="宋体"/>
                <w:i w:val="0"/>
                <w:iCs w:val="0"/>
                <w:color w:val="000000"/>
                <w:sz w:val="18"/>
                <w:szCs w:val="18"/>
                <w:u w:val="none"/>
              </w:rPr>
            </w:pPr>
          </w:p>
        </w:tc>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D2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配套设施用房竣工验收合格率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7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FA20">
            <w:pPr>
              <w:jc w:val="center"/>
              <w:rPr>
                <w:rFonts w:hint="eastAsia" w:ascii="宋体" w:hAnsi="宋体" w:eastAsia="宋体" w:cs="宋体"/>
                <w:i w:val="0"/>
                <w:iCs w:val="0"/>
                <w:color w:val="000000"/>
                <w:sz w:val="18"/>
                <w:szCs w:val="18"/>
                <w:u w:val="none"/>
              </w:rPr>
            </w:pP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8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尚未验收</w:t>
            </w:r>
          </w:p>
        </w:tc>
      </w:tr>
      <w:tr w14:paraId="1CF78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6EE4D">
            <w:pPr>
              <w:jc w:val="center"/>
              <w:rPr>
                <w:rFonts w:hint="eastAsia" w:ascii="宋体" w:hAnsi="宋体" w:eastAsia="宋体" w:cs="宋体"/>
                <w:i w:val="0"/>
                <w:iCs w:val="0"/>
                <w:color w:val="000000"/>
                <w:sz w:val="18"/>
                <w:szCs w:val="18"/>
                <w:u w:val="none"/>
              </w:rPr>
            </w:pPr>
          </w:p>
        </w:tc>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7FC3E">
            <w:pPr>
              <w:jc w:val="center"/>
              <w:rPr>
                <w:rFonts w:hint="eastAsia" w:ascii="宋体" w:hAnsi="宋体" w:eastAsia="宋体" w:cs="宋体"/>
                <w:i w:val="0"/>
                <w:iCs w:val="0"/>
                <w:color w:val="000000"/>
                <w:sz w:val="18"/>
                <w:szCs w:val="18"/>
                <w:u w:val="none"/>
              </w:rPr>
            </w:pPr>
          </w:p>
        </w:tc>
        <w:tc>
          <w:tcPr>
            <w:tcW w:w="936" w:type="dxa"/>
            <w:tcBorders>
              <w:top w:val="nil"/>
              <w:left w:val="single" w:color="000000" w:sz="4" w:space="0"/>
              <w:bottom w:val="single" w:color="000000" w:sz="4" w:space="0"/>
              <w:right w:val="single" w:color="000000" w:sz="4" w:space="0"/>
            </w:tcBorders>
            <w:shd w:val="clear" w:color="auto" w:fill="auto"/>
            <w:vAlign w:val="center"/>
          </w:tcPr>
          <w:p w14:paraId="0FA67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237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工程工期</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B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12个月</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B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项目进行中</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06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原因：新冠疫情反复影响</w:t>
            </w:r>
          </w:p>
          <w:p w14:paraId="7FEC9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改进措施：加快施工进度</w:t>
            </w:r>
          </w:p>
        </w:tc>
      </w:tr>
      <w:tr w14:paraId="7F0E5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B7F97">
            <w:pPr>
              <w:jc w:val="center"/>
              <w:rPr>
                <w:rFonts w:hint="eastAsia" w:ascii="宋体" w:hAnsi="宋体" w:eastAsia="宋体" w:cs="宋体"/>
                <w:i w:val="0"/>
                <w:iCs w:val="0"/>
                <w:color w:val="000000"/>
                <w:sz w:val="18"/>
                <w:szCs w:val="18"/>
                <w:u w:val="none"/>
              </w:rPr>
            </w:pPr>
          </w:p>
        </w:tc>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22EFF">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0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1F0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项目建设投资总成本</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6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≦199800万元</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0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199800万元</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15E9">
            <w:pPr>
              <w:jc w:val="center"/>
              <w:rPr>
                <w:rFonts w:hint="eastAsia" w:ascii="宋体" w:hAnsi="宋体" w:eastAsia="宋体" w:cs="宋体"/>
                <w:i w:val="0"/>
                <w:iCs w:val="0"/>
                <w:color w:val="000000"/>
                <w:sz w:val="18"/>
                <w:szCs w:val="18"/>
                <w:u w:val="none"/>
              </w:rPr>
            </w:pPr>
          </w:p>
        </w:tc>
      </w:tr>
      <w:tr w14:paraId="0F591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B202C">
            <w:pPr>
              <w:jc w:val="center"/>
              <w:rPr>
                <w:rFonts w:hint="eastAsia" w:ascii="宋体" w:hAnsi="宋体" w:eastAsia="宋体" w:cs="宋体"/>
                <w:i w:val="0"/>
                <w:iCs w:val="0"/>
                <w:color w:val="000000"/>
                <w:sz w:val="18"/>
                <w:szCs w:val="18"/>
                <w:u w:val="none"/>
              </w:rPr>
            </w:pPr>
          </w:p>
        </w:tc>
        <w:tc>
          <w:tcPr>
            <w:tcW w:w="607" w:type="dxa"/>
            <w:vMerge w:val="restart"/>
            <w:tcBorders>
              <w:top w:val="nil"/>
              <w:left w:val="single" w:color="000000" w:sz="4" w:space="0"/>
              <w:bottom w:val="single" w:color="000000" w:sz="4" w:space="0"/>
              <w:right w:val="single" w:color="000000" w:sz="4" w:space="0"/>
            </w:tcBorders>
            <w:shd w:val="clear" w:color="auto" w:fill="auto"/>
            <w:vAlign w:val="center"/>
          </w:tcPr>
          <w:p w14:paraId="27D77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nil"/>
              <w:right w:val="single" w:color="000000" w:sz="4" w:space="0"/>
            </w:tcBorders>
            <w:shd w:val="clear" w:color="auto" w:fill="auto"/>
            <w:vAlign w:val="center"/>
          </w:tcPr>
          <w:p w14:paraId="4D4AE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经济效益税收</w:t>
            </w:r>
          </w:p>
        </w:tc>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AB1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年租金及税收</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3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≧1100万元</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1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项目建设中，暂未产生效益</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377F">
            <w:pPr>
              <w:jc w:val="center"/>
              <w:rPr>
                <w:rFonts w:hint="eastAsia" w:ascii="宋体" w:hAnsi="宋体" w:eastAsia="宋体" w:cs="宋体"/>
                <w:i w:val="0"/>
                <w:iCs w:val="0"/>
                <w:color w:val="000000"/>
                <w:sz w:val="18"/>
                <w:szCs w:val="18"/>
                <w:u w:val="none"/>
              </w:rPr>
            </w:pPr>
          </w:p>
        </w:tc>
      </w:tr>
      <w:tr w14:paraId="23F00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AFC5E">
            <w:pPr>
              <w:jc w:val="center"/>
              <w:rPr>
                <w:rFonts w:hint="eastAsia" w:ascii="宋体" w:hAnsi="宋体" w:eastAsia="宋体" w:cs="宋体"/>
                <w:i w:val="0"/>
                <w:iCs w:val="0"/>
                <w:color w:val="000000"/>
                <w:sz w:val="18"/>
                <w:szCs w:val="18"/>
                <w:u w:val="none"/>
              </w:rPr>
            </w:pPr>
          </w:p>
        </w:tc>
        <w:tc>
          <w:tcPr>
            <w:tcW w:w="607" w:type="dxa"/>
            <w:vMerge w:val="continue"/>
            <w:tcBorders>
              <w:top w:val="nil"/>
              <w:left w:val="single" w:color="000000" w:sz="4" w:space="0"/>
              <w:bottom w:val="single" w:color="000000" w:sz="4" w:space="0"/>
              <w:right w:val="single" w:color="000000" w:sz="4" w:space="0"/>
            </w:tcBorders>
            <w:shd w:val="clear" w:color="auto" w:fill="auto"/>
            <w:vAlign w:val="center"/>
          </w:tcPr>
          <w:p w14:paraId="491617C1">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nil"/>
              <w:right w:val="single" w:color="000000" w:sz="4" w:space="0"/>
            </w:tcBorders>
            <w:shd w:val="clear" w:color="auto" w:fill="auto"/>
            <w:vAlign w:val="center"/>
          </w:tcPr>
          <w:p w14:paraId="516C2F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w:t>
            </w:r>
          </w:p>
          <w:p w14:paraId="6921F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6EF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促进当地就业人数</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0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B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项目建设中，暂未产生效益</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3B31">
            <w:pPr>
              <w:jc w:val="center"/>
              <w:rPr>
                <w:rFonts w:hint="eastAsia" w:ascii="宋体" w:hAnsi="宋体" w:eastAsia="宋体" w:cs="宋体"/>
                <w:i w:val="0"/>
                <w:iCs w:val="0"/>
                <w:color w:val="000000"/>
                <w:sz w:val="18"/>
                <w:szCs w:val="18"/>
                <w:u w:val="none"/>
              </w:rPr>
            </w:pPr>
          </w:p>
        </w:tc>
      </w:tr>
      <w:tr w14:paraId="401BC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CDB25">
            <w:pPr>
              <w:jc w:val="center"/>
              <w:rPr>
                <w:rFonts w:hint="eastAsia" w:ascii="宋体" w:hAnsi="宋体" w:eastAsia="宋体" w:cs="宋体"/>
                <w:i w:val="0"/>
                <w:iCs w:val="0"/>
                <w:color w:val="000000"/>
                <w:sz w:val="18"/>
                <w:szCs w:val="18"/>
                <w:u w:val="none"/>
              </w:rPr>
            </w:pPr>
          </w:p>
        </w:tc>
        <w:tc>
          <w:tcPr>
            <w:tcW w:w="607" w:type="dxa"/>
            <w:vMerge w:val="continue"/>
            <w:tcBorders>
              <w:top w:val="nil"/>
              <w:left w:val="single" w:color="000000" w:sz="4" w:space="0"/>
              <w:bottom w:val="single" w:color="000000" w:sz="4" w:space="0"/>
              <w:right w:val="single" w:color="000000" w:sz="4" w:space="0"/>
            </w:tcBorders>
            <w:shd w:val="clear" w:color="auto" w:fill="auto"/>
            <w:vAlign w:val="center"/>
          </w:tcPr>
          <w:p w14:paraId="701630D2">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E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0EF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项目建成后可持续发展情况</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5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≧9年</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5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9年</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1AA8">
            <w:pPr>
              <w:jc w:val="center"/>
              <w:rPr>
                <w:rFonts w:hint="eastAsia" w:ascii="宋体" w:hAnsi="宋体" w:eastAsia="宋体" w:cs="宋体"/>
                <w:i w:val="0"/>
                <w:iCs w:val="0"/>
                <w:color w:val="000000"/>
                <w:sz w:val="18"/>
                <w:szCs w:val="18"/>
                <w:u w:val="none"/>
              </w:rPr>
            </w:pPr>
          </w:p>
        </w:tc>
      </w:tr>
      <w:tr w14:paraId="17CE6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701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5587C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F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r>
    </w:tbl>
    <w:p w14:paraId="45403029">
      <w:pPr>
        <w:pStyle w:val="2"/>
        <w:spacing w:before="93"/>
        <w:rPr>
          <w:rFonts w:hint="eastAsia" w:ascii="宋体" w:hAnsi="宋体" w:eastAsia="宋体" w:cs="宋体"/>
          <w:b/>
          <w:bCs/>
          <w:kern w:val="2"/>
          <w:sz w:val="28"/>
          <w:szCs w:val="28"/>
          <w:lang w:val="zh-CN" w:eastAsia="zh-CN" w:bidi="ar-SA"/>
        </w:rPr>
      </w:pPr>
    </w:p>
    <w:p w14:paraId="382BB807">
      <w:pPr>
        <w:pStyle w:val="2"/>
        <w:spacing w:before="93"/>
        <w:rPr>
          <w:rFonts w:hint="eastAsia" w:ascii="宋体" w:hAnsi="宋体" w:eastAsia="宋体" w:cs="宋体"/>
          <w:b/>
          <w:bCs/>
          <w:kern w:val="2"/>
          <w:sz w:val="28"/>
          <w:szCs w:val="28"/>
          <w:lang w:val="zh-CN" w:eastAsia="zh-CN" w:bidi="ar-SA"/>
        </w:rPr>
      </w:pPr>
    </w:p>
    <w:p w14:paraId="43B9D9C3">
      <w:pPr>
        <w:pStyle w:val="2"/>
        <w:spacing w:before="93"/>
        <w:rPr>
          <w:rFonts w:hint="eastAsia" w:ascii="宋体" w:hAnsi="宋体" w:eastAsia="宋体" w:cs="宋体"/>
          <w:b/>
          <w:bCs/>
          <w:kern w:val="2"/>
          <w:sz w:val="28"/>
          <w:szCs w:val="28"/>
          <w:lang w:val="zh-CN" w:eastAsia="zh-CN" w:bidi="ar-SA"/>
        </w:rPr>
      </w:pPr>
    </w:p>
    <w:p w14:paraId="3516F710">
      <w:pPr>
        <w:pStyle w:val="2"/>
        <w:spacing w:before="93"/>
        <w:rPr>
          <w:rFonts w:hint="eastAsia" w:ascii="宋体" w:hAnsi="宋体" w:eastAsia="宋体" w:cs="宋体"/>
          <w:b/>
          <w:bCs/>
          <w:kern w:val="2"/>
          <w:sz w:val="28"/>
          <w:szCs w:val="28"/>
          <w:lang w:val="zh-CN" w:eastAsia="zh-CN" w:bidi="ar-SA"/>
        </w:rPr>
      </w:pPr>
    </w:p>
    <w:p w14:paraId="12B9D736">
      <w:pPr>
        <w:pStyle w:val="2"/>
        <w:spacing w:before="93"/>
        <w:rPr>
          <w:rFonts w:hint="eastAsia" w:ascii="宋体" w:hAnsi="宋体" w:eastAsia="宋体" w:cs="宋体"/>
          <w:b/>
          <w:bCs/>
          <w:kern w:val="2"/>
          <w:sz w:val="28"/>
          <w:szCs w:val="28"/>
          <w:lang w:val="zh-CN" w:eastAsia="zh-CN" w:bidi="ar-SA"/>
        </w:rPr>
      </w:pPr>
    </w:p>
    <w:p w14:paraId="6840500E">
      <w:pPr>
        <w:pStyle w:val="2"/>
        <w:spacing w:before="93"/>
        <w:rPr>
          <w:rFonts w:hint="eastAsia" w:ascii="宋体" w:hAnsi="宋体" w:eastAsia="宋体" w:cs="宋体"/>
          <w:b/>
          <w:bCs/>
          <w:kern w:val="2"/>
          <w:sz w:val="28"/>
          <w:szCs w:val="28"/>
          <w:lang w:val="zh-CN" w:eastAsia="zh-CN" w:bidi="ar-SA"/>
        </w:rPr>
      </w:pPr>
    </w:p>
    <w:p w14:paraId="33AF1282">
      <w:pPr>
        <w:pStyle w:val="2"/>
        <w:spacing w:before="93"/>
        <w:rPr>
          <w:rFonts w:hint="eastAsia" w:ascii="宋体" w:hAnsi="宋体" w:eastAsia="宋体" w:cs="宋体"/>
          <w:b/>
          <w:bCs/>
          <w:kern w:val="2"/>
          <w:sz w:val="28"/>
          <w:szCs w:val="28"/>
          <w:lang w:val="zh-CN" w:eastAsia="zh-CN" w:bidi="ar-SA"/>
        </w:rPr>
      </w:pPr>
    </w:p>
    <w:p w14:paraId="755C8811">
      <w:pPr>
        <w:pStyle w:val="2"/>
        <w:spacing w:before="93"/>
        <w:rPr>
          <w:rFonts w:hint="eastAsia" w:ascii="宋体" w:hAnsi="宋体" w:eastAsia="宋体" w:cs="宋体"/>
          <w:b/>
          <w:bCs/>
          <w:kern w:val="2"/>
          <w:sz w:val="28"/>
          <w:szCs w:val="28"/>
          <w:lang w:val="zh-CN" w:eastAsia="zh-CN" w:bidi="ar-SA"/>
        </w:rPr>
      </w:pPr>
    </w:p>
    <w:p w14:paraId="19074F21">
      <w:pPr>
        <w:pStyle w:val="2"/>
        <w:spacing w:before="93"/>
        <w:rPr>
          <w:rFonts w:hint="eastAsia" w:ascii="宋体" w:hAnsi="宋体" w:eastAsia="宋体" w:cs="宋体"/>
          <w:b/>
          <w:bCs/>
          <w:kern w:val="2"/>
          <w:sz w:val="28"/>
          <w:szCs w:val="28"/>
          <w:lang w:val="zh-CN" w:eastAsia="zh-CN" w:bidi="ar-SA"/>
        </w:rPr>
      </w:pPr>
    </w:p>
    <w:p w14:paraId="07C09C24">
      <w:pPr>
        <w:pStyle w:val="2"/>
        <w:spacing w:before="93"/>
        <w:rPr>
          <w:rFonts w:hint="default"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zh-CN" w:eastAsia="zh-CN" w:bidi="ar-SA"/>
        </w:rPr>
        <w:t>附件</w:t>
      </w:r>
      <w:r>
        <w:rPr>
          <w:rFonts w:hint="eastAsia" w:ascii="宋体" w:hAnsi="宋体" w:eastAsia="宋体" w:cs="宋体"/>
          <w:b/>
          <w:bCs/>
          <w:kern w:val="2"/>
          <w:sz w:val="28"/>
          <w:szCs w:val="28"/>
          <w:lang w:val="en-US" w:eastAsia="zh-CN" w:bidi="ar-SA"/>
        </w:rPr>
        <w:t>5：</w:t>
      </w:r>
    </w:p>
    <w:p w14:paraId="4395E493">
      <w:pPr>
        <w:keepNext w:val="0"/>
        <w:keepLines w:val="0"/>
        <w:pageBreakBefore w:val="0"/>
        <w:widowControl w:val="0"/>
        <w:kinsoku/>
        <w:wordWrap/>
        <w:overflowPunct/>
        <w:topLinePunct w:val="0"/>
        <w:autoSpaceDE/>
        <w:autoSpaceDN/>
        <w:bidi w:val="0"/>
        <w:adjustRightInd/>
        <w:snapToGrid/>
        <w:spacing w:line="240" w:lineRule="auto"/>
        <w:ind w:right="420" w:rightChars="200"/>
        <w:jc w:val="center"/>
        <w:textAlignment w:val="auto"/>
        <w:rPr>
          <w:rFonts w:hint="eastAsia" w:ascii="宋体" w:hAnsi="宋体" w:eastAsia="宋体" w:cs="宋体"/>
          <w:sz w:val="36"/>
          <w:szCs w:val="36"/>
        </w:rPr>
      </w:pPr>
      <w:r>
        <w:rPr>
          <w:rFonts w:hint="eastAsia" w:ascii="宋体" w:hAnsi="宋体" w:eastAsia="宋体" w:cs="宋体"/>
          <w:sz w:val="36"/>
          <w:szCs w:val="36"/>
        </w:rPr>
        <w:t>2022年家居产业城新增建设用地土地征收资金</w:t>
      </w:r>
    </w:p>
    <w:p w14:paraId="7915861C">
      <w:pPr>
        <w:keepNext w:val="0"/>
        <w:keepLines w:val="0"/>
        <w:pageBreakBefore w:val="0"/>
        <w:widowControl w:val="0"/>
        <w:kinsoku/>
        <w:wordWrap/>
        <w:overflowPunct/>
        <w:topLinePunct w:val="0"/>
        <w:autoSpaceDE/>
        <w:autoSpaceDN/>
        <w:bidi w:val="0"/>
        <w:adjustRightInd/>
        <w:snapToGrid/>
        <w:spacing w:line="240" w:lineRule="auto"/>
        <w:ind w:right="420" w:rightChars="200"/>
        <w:jc w:val="center"/>
        <w:textAlignment w:val="auto"/>
        <w:rPr>
          <w:rFonts w:hint="eastAsia" w:ascii="宋体" w:hAnsi="宋体" w:eastAsia="宋体" w:cs="宋体"/>
          <w:sz w:val="36"/>
          <w:szCs w:val="36"/>
        </w:rPr>
      </w:pPr>
      <w:r>
        <w:rPr>
          <w:rFonts w:hint="eastAsia" w:ascii="宋体" w:hAnsi="宋体" w:cs="宋体"/>
          <w:sz w:val="36"/>
          <w:szCs w:val="36"/>
          <w:lang w:eastAsia="zh-CN"/>
        </w:rPr>
        <w:t>项目支出</w:t>
      </w:r>
      <w:r>
        <w:rPr>
          <w:rFonts w:hint="eastAsia" w:ascii="宋体" w:hAnsi="宋体" w:eastAsia="宋体" w:cs="宋体"/>
          <w:sz w:val="36"/>
          <w:szCs w:val="36"/>
        </w:rPr>
        <w:t>绩效评价自评报告</w:t>
      </w:r>
    </w:p>
    <w:p w14:paraId="7D95A5D1">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一、项目概况</w:t>
      </w:r>
    </w:p>
    <w:p w14:paraId="3B9F56C4">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（一）项目基本情况</w:t>
      </w:r>
      <w:r>
        <w:rPr>
          <w:rFonts w:hint="eastAsia" w:ascii="宋体" w:hAnsi="宋体" w:cs="宋体"/>
          <w:b/>
          <w:bCs/>
          <w:sz w:val="28"/>
          <w:szCs w:val="28"/>
          <w:lang w:val="zh-CN"/>
        </w:rPr>
        <w:t>。</w:t>
      </w:r>
    </w:p>
    <w:p w14:paraId="2A962C4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rPr>
      </w:pPr>
      <w:r>
        <w:rPr>
          <w:rFonts w:hint="eastAsia" w:ascii="宋体" w:hAnsi="宋体" w:cs="宋体"/>
          <w:sz w:val="28"/>
          <w:szCs w:val="28"/>
          <w:lang w:val="en-US" w:eastAsia="zh-CN"/>
        </w:rPr>
        <w:t>1.</w:t>
      </w:r>
      <w:r>
        <w:rPr>
          <w:rFonts w:hint="eastAsia" w:ascii="宋体" w:hAnsi="宋体" w:eastAsia="宋体" w:cs="宋体"/>
          <w:sz w:val="28"/>
          <w:szCs w:val="28"/>
          <w:lang w:val="zh-CN"/>
        </w:rPr>
        <w:t>项目主管部门（单位）在该项目管理中的职能。</w:t>
      </w:r>
    </w:p>
    <w:p w14:paraId="5BB68C2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rPr>
        <w:t>四川广元昭化经济开发区管理委员会是项目实施机构</w:t>
      </w:r>
      <w:r>
        <w:rPr>
          <w:rFonts w:hint="eastAsia" w:ascii="宋体" w:hAnsi="宋体" w:eastAsia="宋体" w:cs="宋体"/>
          <w:sz w:val="28"/>
          <w:szCs w:val="28"/>
          <w:lang w:val="zh-CN" w:eastAsia="zh-CN"/>
        </w:rPr>
        <w:t>，在项目中的职能包括：</w:t>
      </w:r>
      <w:r>
        <w:rPr>
          <w:rFonts w:hint="eastAsia" w:ascii="宋体" w:hAnsi="宋体" w:cs="宋体"/>
          <w:sz w:val="28"/>
          <w:szCs w:val="28"/>
          <w:lang w:val="zh-CN" w:eastAsia="zh-CN"/>
        </w:rPr>
        <w:t>项目申报、资金拨付、实施监督。具体实施由昭化区土地房屋征收中心实施。</w:t>
      </w:r>
    </w:p>
    <w:p w14:paraId="14924F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2.项目立项、资金申报的依据。</w:t>
      </w:r>
    </w:p>
    <w:p w14:paraId="6C541CD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eastAsia="zh-CN"/>
        </w:rPr>
        <w:t>家居产业城</w:t>
      </w:r>
      <w:r>
        <w:rPr>
          <w:rFonts w:hint="eastAsia" w:ascii="宋体" w:hAnsi="宋体" w:eastAsia="宋体" w:cs="宋体"/>
          <w:sz w:val="28"/>
          <w:szCs w:val="28"/>
          <w:lang w:val="en-US" w:eastAsia="zh-CN"/>
        </w:rPr>
        <w:t>经昭化区发改局批准建设，2019</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2022年连续4年列为省重点推进项目之一。2022年4月《</w:t>
      </w:r>
      <w:r>
        <w:rPr>
          <w:rFonts w:hint="default" w:ascii="宋体" w:hAnsi="宋体" w:eastAsia="宋体" w:cs="宋体"/>
          <w:sz w:val="28"/>
          <w:szCs w:val="28"/>
          <w:lang w:val="en-US" w:eastAsia="zh-CN"/>
        </w:rPr>
        <w:t>广元市昭化区中国西部绿色家居产业城建设推进领导小组办公室</w:t>
      </w:r>
      <w:r>
        <w:rPr>
          <w:rFonts w:hint="eastAsia" w:ascii="宋体" w:hAnsi="宋体" w:eastAsia="宋体" w:cs="宋体"/>
          <w:sz w:val="28"/>
          <w:szCs w:val="28"/>
          <w:lang w:val="en-US" w:eastAsia="zh-CN"/>
        </w:rPr>
        <w:t>关于印发2022年家居产业城建设推进目标工作</w:t>
      </w:r>
      <w:r>
        <w:rPr>
          <w:rFonts w:hint="default" w:ascii="宋体" w:hAnsi="宋体" w:eastAsia="宋体" w:cs="宋体"/>
          <w:sz w:val="28"/>
          <w:szCs w:val="28"/>
          <w:lang w:val="en-US" w:eastAsia="zh-CN"/>
        </w:rPr>
        <w:t>要点</w:t>
      </w:r>
      <w:r>
        <w:rPr>
          <w:rFonts w:hint="eastAsia" w:ascii="宋体" w:hAnsi="宋体" w:eastAsia="宋体" w:cs="宋体"/>
          <w:sz w:val="28"/>
          <w:szCs w:val="28"/>
          <w:lang w:val="en-US" w:eastAsia="zh-CN"/>
        </w:rPr>
        <w:t>的通知》</w:t>
      </w:r>
      <w:r>
        <w:rPr>
          <w:rFonts w:hint="default" w:ascii="宋体" w:hAnsi="宋体" w:eastAsia="宋体" w:cs="宋体"/>
          <w:sz w:val="28"/>
          <w:szCs w:val="28"/>
          <w:lang w:val="en-US" w:eastAsia="zh-CN"/>
        </w:rPr>
        <w:t>昭家居产业领办〔2022〕</w:t>
      </w:r>
      <w:r>
        <w:rPr>
          <w:rFonts w:hint="eastAsia" w:ascii="宋体" w:hAnsi="宋体" w:eastAsia="宋体" w:cs="宋体"/>
          <w:sz w:val="28"/>
          <w:szCs w:val="28"/>
          <w:lang w:val="en-US" w:eastAsia="zh-CN"/>
        </w:rPr>
        <w:t>2</w:t>
      </w:r>
      <w:r>
        <w:rPr>
          <w:rFonts w:hint="default" w:ascii="宋体" w:hAnsi="宋体" w:eastAsia="宋体" w:cs="宋体"/>
          <w:sz w:val="28"/>
          <w:szCs w:val="28"/>
          <w:lang w:val="en-US" w:eastAsia="zh-CN"/>
        </w:rPr>
        <w:t>号</w:t>
      </w:r>
      <w:r>
        <w:rPr>
          <w:rFonts w:hint="eastAsia" w:ascii="宋体" w:hAnsi="宋体" w:eastAsia="宋体" w:cs="宋体"/>
          <w:sz w:val="28"/>
          <w:szCs w:val="28"/>
          <w:lang w:val="en-US" w:eastAsia="zh-CN"/>
        </w:rPr>
        <w:t>明确了土地保障任务。</w:t>
      </w:r>
      <w:r>
        <w:rPr>
          <w:rFonts w:hint="eastAsia" w:ascii="宋体" w:hAnsi="宋体" w:eastAsia="宋体" w:cs="宋体"/>
          <w:sz w:val="28"/>
          <w:szCs w:val="28"/>
          <w:lang w:val="zh-CN" w:eastAsia="zh-CN"/>
        </w:rPr>
        <w:t>本</w:t>
      </w:r>
      <w:r>
        <w:rPr>
          <w:rFonts w:hint="eastAsia" w:ascii="宋体" w:hAnsi="宋体" w:eastAsia="宋体" w:cs="宋体"/>
          <w:sz w:val="28"/>
          <w:szCs w:val="28"/>
          <w:lang w:val="en-US" w:eastAsia="zh-CN"/>
        </w:rPr>
        <w:t>项目红线规划用地共69.39亩（其中耕地9.0亩）土地征收补偿，涉及20户农户土地补偿，概算资金需求472万元。报经区政府</w:t>
      </w:r>
      <w:r>
        <w:rPr>
          <w:rFonts w:hint="eastAsia" w:ascii="宋体" w:hAnsi="宋体" w:cs="宋体"/>
          <w:sz w:val="28"/>
          <w:szCs w:val="28"/>
          <w:lang w:val="en-US" w:eastAsia="zh-CN"/>
        </w:rPr>
        <w:t>领导</w:t>
      </w:r>
      <w:r>
        <w:rPr>
          <w:rFonts w:hint="eastAsia" w:ascii="宋体" w:hAnsi="宋体" w:eastAsia="宋体" w:cs="宋体"/>
          <w:sz w:val="28"/>
          <w:szCs w:val="28"/>
          <w:lang w:val="en-US" w:eastAsia="zh-CN"/>
        </w:rPr>
        <w:t>批示同意。</w:t>
      </w:r>
    </w:p>
    <w:p w14:paraId="359640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资金或项目管理办法制定情况</w:t>
      </w:r>
      <w:r>
        <w:rPr>
          <w:rFonts w:hint="eastAsia" w:ascii="宋体" w:hAnsi="宋体" w:cs="宋体"/>
          <w:sz w:val="28"/>
          <w:szCs w:val="28"/>
          <w:lang w:val="en-US" w:eastAsia="zh-CN"/>
        </w:rPr>
        <w:t>。</w:t>
      </w:r>
    </w:p>
    <w:p w14:paraId="0E4ED3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严格按照</w:t>
      </w:r>
      <w:r>
        <w:rPr>
          <w:rFonts w:hint="eastAsia" w:ascii="宋体" w:hAnsi="宋体" w:cs="宋体"/>
          <w:sz w:val="28"/>
          <w:szCs w:val="28"/>
          <w:lang w:val="en-US" w:eastAsia="zh-CN"/>
        </w:rPr>
        <w:t>征拆</w:t>
      </w:r>
      <w:r>
        <w:rPr>
          <w:rFonts w:hint="eastAsia" w:ascii="宋体" w:hAnsi="宋体" w:eastAsia="宋体" w:cs="宋体"/>
          <w:sz w:val="28"/>
          <w:szCs w:val="28"/>
          <w:lang w:val="en-US" w:eastAsia="zh-CN"/>
        </w:rPr>
        <w:t>资金管理办法执行。</w:t>
      </w:r>
    </w:p>
    <w:p w14:paraId="020319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eastAsia="宋体" w:cs="宋体"/>
          <w:sz w:val="28"/>
          <w:szCs w:val="28"/>
          <w:lang w:val="en-US" w:eastAsia="zh-CN"/>
        </w:rPr>
        <w:t>资金分配的原则及考虑因素</w:t>
      </w:r>
      <w:r>
        <w:rPr>
          <w:rFonts w:hint="eastAsia" w:ascii="宋体" w:hAnsi="宋体" w:cs="宋体"/>
          <w:sz w:val="28"/>
          <w:szCs w:val="28"/>
          <w:lang w:val="en-US" w:eastAsia="zh-CN"/>
        </w:rPr>
        <w:t>。</w:t>
      </w:r>
    </w:p>
    <w:p w14:paraId="5BDBDA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按照项目实施方案分配资金</w:t>
      </w:r>
      <w:r>
        <w:rPr>
          <w:rFonts w:hint="eastAsia" w:ascii="宋体" w:hAnsi="宋体" w:cs="宋体"/>
          <w:sz w:val="28"/>
          <w:szCs w:val="28"/>
          <w:lang w:val="en-US" w:eastAsia="zh-CN"/>
        </w:rPr>
        <w:t>。</w:t>
      </w:r>
    </w:p>
    <w:p w14:paraId="42B5B948">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（二）项目绩效目标</w:t>
      </w:r>
      <w:r>
        <w:rPr>
          <w:rFonts w:hint="eastAsia" w:ascii="宋体" w:hAnsi="宋体" w:cs="宋体"/>
          <w:b/>
          <w:bCs/>
          <w:sz w:val="28"/>
          <w:szCs w:val="28"/>
          <w:lang w:val="zh-CN"/>
        </w:rPr>
        <w:t>。</w:t>
      </w:r>
    </w:p>
    <w:p w14:paraId="4C14DB7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1．项目主要内容。</w:t>
      </w:r>
    </w:p>
    <w:p w14:paraId="077B62A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eastAsia="zh-CN"/>
        </w:rPr>
        <w:t>本</w:t>
      </w:r>
      <w:r>
        <w:rPr>
          <w:rFonts w:hint="eastAsia" w:ascii="宋体" w:hAnsi="宋体" w:eastAsia="宋体" w:cs="宋体"/>
          <w:sz w:val="28"/>
          <w:szCs w:val="28"/>
          <w:lang w:val="en-US" w:eastAsia="zh-CN"/>
        </w:rPr>
        <w:t>项目红线规划用地共69.39亩（其中耕地9.0亩）土地征收补偿，涉及20户农户土地补偿，概算资金需求472万元。</w:t>
      </w:r>
    </w:p>
    <w:p w14:paraId="22E2D6A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2．项目应实现的具体绩效目标，包括目标的量化、细化情况以及项目实施进度计划等。</w:t>
      </w:r>
    </w:p>
    <w:p w14:paraId="72BA170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项目设立绩效目标</w:t>
      </w:r>
      <w:r>
        <w:rPr>
          <w:rFonts w:hint="eastAsia" w:ascii="宋体" w:hAnsi="宋体" w:cs="宋体"/>
          <w:sz w:val="28"/>
          <w:szCs w:val="28"/>
          <w:lang w:val="en-US" w:eastAsia="zh-CN"/>
        </w:rPr>
        <w:t>，并进行了细化、量化，</w:t>
      </w:r>
      <w:r>
        <w:rPr>
          <w:rFonts w:hint="eastAsia" w:ascii="宋体" w:hAnsi="宋体" w:eastAsia="宋体" w:cs="宋体"/>
          <w:sz w:val="28"/>
          <w:szCs w:val="28"/>
          <w:lang w:val="en-US" w:eastAsia="zh-CN"/>
        </w:rPr>
        <w:t>包括完成69.39亩土地征收补偿</w:t>
      </w:r>
      <w:r>
        <w:rPr>
          <w:rFonts w:hint="eastAsia" w:ascii="宋体" w:hAnsi="宋体" w:cs="宋体"/>
          <w:sz w:val="28"/>
          <w:szCs w:val="28"/>
          <w:lang w:val="en-US" w:eastAsia="zh-CN"/>
        </w:rPr>
        <w:t>、完成征收补偿补偿率100%、4个月完成、征收补偿费≤472万元、解决就业人数100人、持续发挥作用的期限50年、村民对补偿资金到位的满意度≥95%。</w:t>
      </w:r>
    </w:p>
    <w:p w14:paraId="1BE8EF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申报内容与目标</w:t>
      </w:r>
      <w:r>
        <w:rPr>
          <w:rFonts w:hint="eastAsia" w:ascii="宋体" w:hAnsi="宋体" w:cs="宋体"/>
          <w:sz w:val="28"/>
          <w:szCs w:val="28"/>
          <w:lang w:val="en-US" w:eastAsia="zh-CN"/>
        </w:rPr>
        <w:t>。</w:t>
      </w:r>
    </w:p>
    <w:p w14:paraId="78F4C658">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2022年</w:t>
      </w:r>
      <w:r>
        <w:rPr>
          <w:rFonts w:hint="eastAsia" w:ascii="宋体" w:hAnsi="宋体" w:eastAsia="宋体" w:cs="宋体"/>
          <w:sz w:val="28"/>
          <w:szCs w:val="28"/>
          <w:lang w:val="en-US" w:eastAsia="zh-CN"/>
        </w:rPr>
        <w:t>均按照项目实施方案申报</w:t>
      </w:r>
      <w:r>
        <w:rPr>
          <w:rFonts w:hint="eastAsia" w:ascii="宋体" w:hAnsi="宋体" w:cs="宋体"/>
          <w:sz w:val="28"/>
          <w:szCs w:val="28"/>
          <w:lang w:val="en-US" w:eastAsia="zh-CN"/>
        </w:rPr>
        <w:t>实施内容和目标</w:t>
      </w:r>
      <w:r>
        <w:rPr>
          <w:rFonts w:hint="eastAsia" w:ascii="宋体" w:hAnsi="宋体" w:eastAsia="宋体" w:cs="宋体"/>
          <w:sz w:val="28"/>
          <w:szCs w:val="28"/>
          <w:lang w:val="en-US" w:eastAsia="zh-CN"/>
        </w:rPr>
        <w:t>，</w:t>
      </w:r>
      <w:r>
        <w:rPr>
          <w:rFonts w:hint="eastAsia" w:ascii="宋体" w:hAnsi="宋体" w:eastAsia="宋体" w:cs="宋体"/>
          <w:color w:val="auto"/>
          <w:kern w:val="2"/>
          <w:sz w:val="28"/>
          <w:szCs w:val="28"/>
          <w:lang w:val="en-US" w:eastAsia="zh-CN" w:bidi="ar-SA"/>
        </w:rPr>
        <w:t>申报的资金为</w:t>
      </w:r>
      <w:r>
        <w:rPr>
          <w:rFonts w:hint="eastAsia" w:ascii="宋体" w:hAnsi="宋体" w:cs="宋体"/>
          <w:color w:val="auto"/>
          <w:kern w:val="2"/>
          <w:sz w:val="28"/>
          <w:szCs w:val="28"/>
          <w:lang w:val="zh-CN" w:eastAsia="zh-CN" w:bidi="ar-SA"/>
        </w:rPr>
        <w:t>征拆补偿</w:t>
      </w:r>
      <w:r>
        <w:rPr>
          <w:rFonts w:hint="eastAsia" w:ascii="宋体" w:hAnsi="宋体" w:eastAsia="宋体" w:cs="宋体"/>
          <w:color w:val="auto"/>
          <w:kern w:val="2"/>
          <w:sz w:val="28"/>
          <w:szCs w:val="28"/>
          <w:lang w:val="en-US" w:eastAsia="zh-CN" w:bidi="ar-SA"/>
        </w:rPr>
        <w:t>，与实际相符。申报目标</w:t>
      </w:r>
      <w:r>
        <w:rPr>
          <w:rFonts w:hint="eastAsia" w:ascii="宋体" w:hAnsi="宋体" w:cs="宋体"/>
          <w:color w:val="auto"/>
          <w:kern w:val="2"/>
          <w:sz w:val="28"/>
          <w:szCs w:val="28"/>
          <w:lang w:val="en-US" w:eastAsia="zh-CN" w:bidi="ar-SA"/>
        </w:rPr>
        <w:t>与征拆计划</w:t>
      </w:r>
      <w:r>
        <w:rPr>
          <w:rFonts w:hint="eastAsia" w:ascii="宋体" w:hAnsi="宋体" w:eastAsia="宋体" w:cs="宋体"/>
          <w:color w:val="auto"/>
          <w:kern w:val="2"/>
          <w:sz w:val="28"/>
          <w:szCs w:val="28"/>
          <w:lang w:val="en-US" w:eastAsia="zh-CN" w:bidi="ar-SA"/>
        </w:rPr>
        <w:t>中的绩效目标对应，</w:t>
      </w:r>
      <w:r>
        <w:rPr>
          <w:rFonts w:hint="eastAsia" w:ascii="宋体" w:hAnsi="宋体" w:eastAsia="宋体" w:cs="宋体"/>
          <w:color w:val="auto"/>
          <w:kern w:val="2"/>
          <w:sz w:val="28"/>
          <w:szCs w:val="28"/>
          <w:lang w:val="zh-CN" w:eastAsia="zh-CN" w:bidi="ar-SA"/>
        </w:rPr>
        <w:t>申报目标合理可行。</w:t>
      </w:r>
      <w:r>
        <w:rPr>
          <w:rFonts w:hint="eastAsia" w:ascii="宋体" w:hAnsi="宋体" w:eastAsia="宋体" w:cs="宋体"/>
          <w:sz w:val="28"/>
          <w:szCs w:val="28"/>
          <w:lang w:val="en-US" w:eastAsia="zh-CN"/>
        </w:rPr>
        <w:t>项目进度计划按照</w:t>
      </w:r>
      <w:r>
        <w:rPr>
          <w:rFonts w:hint="eastAsia" w:ascii="宋体" w:hAnsi="宋体" w:cs="宋体"/>
          <w:sz w:val="28"/>
          <w:szCs w:val="28"/>
          <w:lang w:val="en-US" w:eastAsia="zh-CN"/>
        </w:rPr>
        <w:t>拆迁方案</w:t>
      </w:r>
      <w:r>
        <w:rPr>
          <w:rFonts w:hint="eastAsia" w:ascii="宋体" w:hAnsi="宋体" w:eastAsia="宋体" w:cs="宋体"/>
          <w:sz w:val="28"/>
          <w:szCs w:val="28"/>
          <w:lang w:val="en-US" w:eastAsia="zh-CN"/>
        </w:rPr>
        <w:t>相关内容执行。</w:t>
      </w:r>
    </w:p>
    <w:p w14:paraId="203548E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lang w:val="zh-CN"/>
        </w:rPr>
        <w:t>项目自评步骤及方法</w:t>
      </w:r>
      <w:r>
        <w:rPr>
          <w:rFonts w:hint="eastAsia" w:ascii="宋体" w:hAnsi="宋体" w:cs="宋体"/>
          <w:b/>
          <w:bCs/>
          <w:sz w:val="28"/>
          <w:szCs w:val="28"/>
          <w:lang w:val="zh-CN"/>
        </w:rPr>
        <w:t>。</w:t>
      </w:r>
    </w:p>
    <w:p w14:paraId="22C9430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我单位对此次自评工作高度重视，成立了2022年绩效自评工作小组，按照下列程序实施：</w:t>
      </w:r>
    </w:p>
    <w:p w14:paraId="14A51A7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明确绩效自评项目，根据自评项目制定绩效自评方案，成立绩效自评工作小组，分配任务到各实施股室，明确各项目自评责任人；</w:t>
      </w:r>
    </w:p>
    <w:p w14:paraId="46DD1C5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各责任股室收集自评相关资料，采集相关数据；</w:t>
      </w:r>
    </w:p>
    <w:p w14:paraId="4B06688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开展项目自评，组织专家参加评审，并实地踏勘现场；</w:t>
      </w:r>
    </w:p>
    <w:p w14:paraId="6EC5F58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eastAsia="zh-CN"/>
        </w:rPr>
      </w:pPr>
      <w:r>
        <w:rPr>
          <w:rFonts w:hint="eastAsia" w:ascii="宋体" w:hAnsi="宋体" w:cs="宋体"/>
          <w:sz w:val="28"/>
          <w:szCs w:val="28"/>
          <w:lang w:val="en-US" w:eastAsia="zh-CN"/>
        </w:rPr>
        <w:t>4.</w:t>
      </w:r>
      <w:r>
        <w:rPr>
          <w:rFonts w:hint="eastAsia" w:ascii="宋体" w:hAnsi="宋体" w:eastAsia="宋体" w:cs="宋体"/>
          <w:sz w:val="28"/>
          <w:szCs w:val="28"/>
          <w:lang w:val="zh-CN" w:eastAsia="zh-CN"/>
        </w:rPr>
        <w:t>形成自评结论，并形成自评报告；</w:t>
      </w:r>
    </w:p>
    <w:p w14:paraId="4DAC14E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5.</w:t>
      </w:r>
      <w:r>
        <w:rPr>
          <w:rFonts w:hint="eastAsia" w:ascii="宋体" w:hAnsi="宋体" w:eastAsia="宋体" w:cs="宋体"/>
          <w:sz w:val="28"/>
          <w:szCs w:val="28"/>
          <w:lang w:val="en-US" w:eastAsia="zh-CN"/>
        </w:rPr>
        <w:t>自评工作小组以会议方式对自评结果进行会审</w:t>
      </w:r>
      <w:r>
        <w:rPr>
          <w:rFonts w:hint="eastAsia" w:ascii="宋体" w:hAnsi="宋体" w:cs="宋体"/>
          <w:sz w:val="28"/>
          <w:szCs w:val="28"/>
          <w:lang w:val="en-US" w:eastAsia="zh-CN"/>
        </w:rPr>
        <w:t>；</w:t>
      </w:r>
    </w:p>
    <w:p w14:paraId="00B651B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eastAsia="zh-CN"/>
        </w:rPr>
      </w:pPr>
      <w:r>
        <w:rPr>
          <w:rFonts w:hint="eastAsia" w:ascii="宋体" w:hAnsi="宋体" w:cs="宋体"/>
          <w:sz w:val="28"/>
          <w:szCs w:val="28"/>
          <w:lang w:val="en-US" w:eastAsia="zh-CN"/>
        </w:rPr>
        <w:t>6.</w:t>
      </w:r>
      <w:r>
        <w:rPr>
          <w:rFonts w:hint="eastAsia" w:ascii="宋体" w:hAnsi="宋体" w:eastAsia="宋体" w:cs="宋体"/>
          <w:sz w:val="28"/>
          <w:szCs w:val="28"/>
          <w:lang w:val="en-US" w:eastAsia="zh-CN"/>
        </w:rPr>
        <w:t>修改完善后按照要求将自评结果上报区财政局。</w:t>
      </w:r>
    </w:p>
    <w:p w14:paraId="38657F4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二、项目资金申报及使用情况</w:t>
      </w:r>
    </w:p>
    <w:p w14:paraId="20749131">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（一）项目资金申报及批复情况。</w:t>
      </w:r>
    </w:p>
    <w:p w14:paraId="2EE04093">
      <w:pPr>
        <w:pStyle w:val="15"/>
        <w:keepNext w:val="0"/>
        <w:keepLines w:val="0"/>
        <w:pageBreakBefore w:val="0"/>
        <w:widowControl w:val="0"/>
        <w:suppressLineNumbers w:val="0"/>
        <w:shd w:val="clear" w:color="auto" w:fill="auto"/>
        <w:kinsoku/>
        <w:wordWrap/>
        <w:overflowPunct/>
        <w:topLinePunct/>
        <w:autoSpaceDE/>
        <w:autoSpaceDN/>
        <w:bidi w:val="0"/>
        <w:adjustRightInd/>
        <w:snapToGrid/>
        <w:spacing w:beforeAutospacing="0" w:after="0" w:afterAutospacing="0" w:line="360" w:lineRule="auto"/>
        <w:ind w:left="0" w:leftChars="0" w:right="0" w:firstLine="560" w:firstLineChars="200"/>
        <w:jc w:val="both"/>
        <w:textAlignment w:val="auto"/>
        <w:rPr>
          <w:rFonts w:hint="eastAsia" w:cs="宋体"/>
          <w:b w:val="0"/>
          <w:bCs/>
          <w:color w:val="000000"/>
          <w:sz w:val="28"/>
          <w:szCs w:val="28"/>
          <w:lang w:val="en-US" w:eastAsia="zh-CN"/>
        </w:rPr>
      </w:pPr>
      <w:r>
        <w:rPr>
          <w:rFonts w:hint="eastAsia" w:cs="宋体"/>
          <w:b w:val="0"/>
          <w:bCs/>
          <w:color w:val="000000"/>
          <w:sz w:val="28"/>
          <w:szCs w:val="28"/>
          <w:lang w:val="en-US" w:eastAsia="zh-CN"/>
        </w:rPr>
        <w:t>中国西部（广元）绿色家居产业城项目是响应国家“一带一路”倡议发展，贯彻实施《中国西部（广元）绿色家居产业城—启动区总体规划》和区域发展的整体规划，促进区域经济发展的必要措施；是对外开放和招商引资的重要措施。</w:t>
      </w:r>
    </w:p>
    <w:p w14:paraId="35611380">
      <w:pPr>
        <w:pStyle w:val="15"/>
        <w:keepNext w:val="0"/>
        <w:keepLines w:val="0"/>
        <w:pageBreakBefore w:val="0"/>
        <w:widowControl w:val="0"/>
        <w:suppressLineNumbers w:val="0"/>
        <w:shd w:val="clear" w:color="auto" w:fill="auto"/>
        <w:kinsoku/>
        <w:wordWrap/>
        <w:overflowPunct/>
        <w:topLinePunct/>
        <w:autoSpaceDE/>
        <w:autoSpaceDN/>
        <w:bidi w:val="0"/>
        <w:adjustRightInd/>
        <w:snapToGrid/>
        <w:spacing w:beforeAutospacing="0" w:after="0" w:afterAutospacing="0" w:line="360" w:lineRule="auto"/>
        <w:ind w:left="0" w:leftChars="0" w:right="0" w:firstLine="560" w:firstLineChars="200"/>
        <w:jc w:val="both"/>
        <w:textAlignment w:val="auto"/>
        <w:rPr>
          <w:rFonts w:hint="eastAsia" w:ascii="宋体" w:hAnsi="宋体" w:eastAsia="宋体" w:cs="宋体"/>
          <w:b w:val="0"/>
          <w:bCs/>
          <w:color w:val="000000"/>
          <w:sz w:val="28"/>
          <w:szCs w:val="28"/>
          <w:lang w:val="en-US" w:eastAsia="zh-CN"/>
        </w:rPr>
      </w:pPr>
      <w:r>
        <w:rPr>
          <w:rFonts w:hint="eastAsia" w:cs="宋体"/>
          <w:b w:val="0"/>
          <w:bCs/>
          <w:color w:val="000000"/>
          <w:sz w:val="28"/>
          <w:szCs w:val="28"/>
          <w:lang w:val="en-US" w:eastAsia="zh-CN"/>
        </w:rPr>
        <w:t>申报资金按照拆迁补偿标准和数量测算，申报与实际相符。</w:t>
      </w:r>
    </w:p>
    <w:p w14:paraId="73FF93BB">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w:t>
      </w:r>
      <w:r>
        <w:rPr>
          <w:rFonts w:hint="eastAsia" w:ascii="宋体" w:hAnsi="宋体" w:cs="宋体"/>
          <w:b/>
          <w:bCs/>
          <w:sz w:val="28"/>
          <w:szCs w:val="28"/>
          <w:lang w:val="zh-CN"/>
        </w:rPr>
        <w:t>二</w:t>
      </w:r>
      <w:r>
        <w:rPr>
          <w:rFonts w:hint="eastAsia" w:ascii="宋体" w:hAnsi="宋体" w:eastAsia="宋体" w:cs="宋体"/>
          <w:b/>
          <w:bCs/>
          <w:sz w:val="28"/>
          <w:szCs w:val="28"/>
          <w:lang w:val="zh-CN"/>
        </w:rPr>
        <w:t>）资金计划、到位及使用情况</w:t>
      </w:r>
      <w:r>
        <w:rPr>
          <w:rFonts w:hint="eastAsia" w:ascii="宋体" w:hAnsi="宋体" w:cs="宋体"/>
          <w:b/>
          <w:bCs/>
          <w:sz w:val="28"/>
          <w:szCs w:val="28"/>
          <w:lang w:val="zh-CN"/>
        </w:rPr>
        <w:t>。</w:t>
      </w:r>
    </w:p>
    <w:p w14:paraId="3CC37E5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rPr>
        <w:t>1．资金计划。</w:t>
      </w:r>
      <w:r>
        <w:rPr>
          <w:rFonts w:hint="eastAsia" w:ascii="宋体" w:hAnsi="宋体" w:eastAsia="宋体" w:cs="宋体"/>
          <w:sz w:val="28"/>
          <w:szCs w:val="28"/>
          <w:lang w:val="en-US" w:eastAsia="zh-CN"/>
        </w:rPr>
        <w:t>项目资金计划</w:t>
      </w:r>
      <w:r>
        <w:rPr>
          <w:rFonts w:hint="eastAsia" w:ascii="宋体" w:hAnsi="宋体" w:cs="宋体"/>
          <w:sz w:val="28"/>
          <w:szCs w:val="28"/>
          <w:lang w:val="en-US" w:eastAsia="zh-CN"/>
        </w:rPr>
        <w:t>472</w:t>
      </w:r>
      <w:r>
        <w:rPr>
          <w:rFonts w:hint="eastAsia" w:ascii="宋体" w:hAnsi="宋体" w:eastAsia="宋体" w:cs="宋体"/>
          <w:sz w:val="28"/>
          <w:szCs w:val="28"/>
          <w:lang w:val="en-US" w:eastAsia="zh-CN"/>
        </w:rPr>
        <w:t>万元。</w:t>
      </w:r>
    </w:p>
    <w:p w14:paraId="5BDCA00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rPr>
        <w:t>2．资金到位。资金到位</w:t>
      </w:r>
      <w:r>
        <w:rPr>
          <w:rFonts w:hint="eastAsia" w:ascii="宋体" w:hAnsi="宋体" w:cs="宋体"/>
          <w:sz w:val="28"/>
          <w:szCs w:val="28"/>
          <w:lang w:val="en-US" w:eastAsia="zh-CN"/>
        </w:rPr>
        <w:t>472万元。到位</w:t>
      </w:r>
      <w:r>
        <w:rPr>
          <w:rFonts w:hint="eastAsia" w:ascii="宋体" w:hAnsi="宋体" w:eastAsia="宋体" w:cs="宋体"/>
          <w:sz w:val="28"/>
          <w:szCs w:val="28"/>
          <w:lang w:val="zh-CN"/>
        </w:rPr>
        <w:t>率</w:t>
      </w:r>
      <w:r>
        <w:rPr>
          <w:rFonts w:hint="eastAsia" w:ascii="宋体" w:hAnsi="宋体" w:eastAsia="宋体" w:cs="宋体"/>
          <w:sz w:val="28"/>
          <w:szCs w:val="28"/>
          <w:lang w:val="en-US" w:eastAsia="zh-CN"/>
        </w:rPr>
        <w:t>100%，</w:t>
      </w:r>
      <w:r>
        <w:rPr>
          <w:rFonts w:hint="eastAsia" w:ascii="宋体" w:hAnsi="宋体" w:eastAsia="宋体" w:cs="宋体"/>
          <w:sz w:val="28"/>
          <w:szCs w:val="28"/>
          <w:lang w:val="zh-CN"/>
        </w:rPr>
        <w:t>到位及时率</w:t>
      </w:r>
      <w:r>
        <w:rPr>
          <w:rFonts w:hint="eastAsia" w:ascii="宋体" w:hAnsi="宋体" w:eastAsia="宋体" w:cs="宋体"/>
          <w:sz w:val="28"/>
          <w:szCs w:val="28"/>
          <w:lang w:val="en-US" w:eastAsia="zh-CN"/>
        </w:rPr>
        <w:t>100%。</w:t>
      </w:r>
    </w:p>
    <w:p w14:paraId="055484D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3．资金使用。资金支出</w:t>
      </w:r>
      <w:r>
        <w:rPr>
          <w:rFonts w:hint="eastAsia" w:ascii="宋体" w:hAnsi="宋体" w:cs="宋体"/>
          <w:sz w:val="28"/>
          <w:szCs w:val="28"/>
          <w:lang w:val="en-US" w:eastAsia="zh-CN"/>
        </w:rPr>
        <w:t>472</w:t>
      </w:r>
      <w:r>
        <w:rPr>
          <w:rFonts w:hint="eastAsia" w:ascii="宋体" w:hAnsi="宋体" w:eastAsia="宋体" w:cs="宋体"/>
          <w:sz w:val="28"/>
          <w:szCs w:val="28"/>
          <w:lang w:val="en-US" w:eastAsia="zh-CN"/>
        </w:rPr>
        <w:t>万元，</w:t>
      </w:r>
      <w:r>
        <w:rPr>
          <w:rFonts w:hint="eastAsia" w:ascii="宋体" w:hAnsi="宋体" w:eastAsia="宋体" w:cs="宋体"/>
          <w:sz w:val="28"/>
          <w:szCs w:val="28"/>
          <w:lang w:val="zh-CN"/>
        </w:rPr>
        <w:t>资金使用安全、规范、效果显著。资金支付范围</w:t>
      </w:r>
      <w:r>
        <w:rPr>
          <w:rFonts w:hint="eastAsia" w:ascii="宋体" w:hAnsi="宋体" w:eastAsia="宋体" w:cs="宋体"/>
          <w:sz w:val="28"/>
          <w:szCs w:val="28"/>
          <w:lang w:val="en-US" w:eastAsia="zh-CN"/>
        </w:rPr>
        <w:t>全用于</w:t>
      </w:r>
      <w:r>
        <w:rPr>
          <w:rFonts w:hint="eastAsia" w:ascii="宋体" w:hAnsi="宋体" w:cs="宋体"/>
          <w:sz w:val="28"/>
          <w:szCs w:val="28"/>
          <w:lang w:val="en-US" w:eastAsia="zh-CN"/>
        </w:rPr>
        <w:t>土地房屋征收</w:t>
      </w:r>
      <w:r>
        <w:rPr>
          <w:rFonts w:hint="eastAsia" w:ascii="宋体" w:hAnsi="宋体" w:eastAsia="宋体" w:cs="宋体"/>
          <w:sz w:val="28"/>
          <w:szCs w:val="28"/>
          <w:lang w:val="zh-CN"/>
        </w:rPr>
        <w:t>。根据项目实施进度支付款项，支付依据合规合法，支出金额与预算相符。</w:t>
      </w:r>
    </w:p>
    <w:p w14:paraId="26B82409">
      <w:pPr>
        <w:pStyle w:val="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1"/>
          <w:szCs w:val="21"/>
          <w:lang w:val="en-US" w:eastAsia="zh-CN"/>
        </w:rPr>
      </w:pPr>
      <w:r>
        <w:rPr>
          <w:rFonts w:hint="eastAsia" w:ascii="宋体" w:hAnsi="宋体" w:eastAsia="宋体" w:cs="宋体"/>
          <w:sz w:val="21"/>
          <w:szCs w:val="21"/>
          <w:lang w:val="zh-CN"/>
        </w:rPr>
        <w:t>家居产业城建筑产业园新增建设用地项目土地征收费用</w:t>
      </w:r>
      <w:r>
        <w:rPr>
          <w:rFonts w:hint="eastAsia" w:ascii="宋体" w:hAnsi="宋体" w:cs="宋体"/>
          <w:sz w:val="21"/>
          <w:szCs w:val="21"/>
          <w:lang w:val="en-US" w:eastAsia="zh-CN"/>
        </w:rPr>
        <w:t>资金情况表</w:t>
      </w:r>
    </w:p>
    <w:p w14:paraId="1666FCCA">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1"/>
          <w:szCs w:val="21"/>
          <w:lang w:val="en-US" w:eastAsia="zh-CN"/>
        </w:rPr>
      </w:pPr>
      <w:r>
        <w:rPr>
          <w:rFonts w:hint="eastAsia" w:ascii="宋体" w:hAnsi="宋体" w:cs="宋体"/>
          <w:sz w:val="21"/>
          <w:szCs w:val="21"/>
          <w:lang w:val="en-US" w:eastAsia="zh-CN"/>
        </w:rPr>
        <w:t xml:space="preserve">                                                            单位：万元</w:t>
      </w:r>
    </w:p>
    <w:tbl>
      <w:tblPr>
        <w:tblStyle w:val="16"/>
        <w:tblW w:w="9358" w:type="dxa"/>
        <w:jc w:val="center"/>
        <w:tblLayout w:type="fixed"/>
        <w:tblCellMar>
          <w:top w:w="0" w:type="dxa"/>
          <w:left w:w="0" w:type="dxa"/>
          <w:bottom w:w="0" w:type="dxa"/>
          <w:right w:w="0" w:type="dxa"/>
        </w:tblCellMar>
      </w:tblPr>
      <w:tblGrid>
        <w:gridCol w:w="2169"/>
        <w:gridCol w:w="1545"/>
        <w:gridCol w:w="1936"/>
        <w:gridCol w:w="1854"/>
        <w:gridCol w:w="1854"/>
      </w:tblGrid>
      <w:tr w14:paraId="667DB535">
        <w:tblPrEx>
          <w:tblCellMar>
            <w:top w:w="0" w:type="dxa"/>
            <w:left w:w="0" w:type="dxa"/>
            <w:bottom w:w="0" w:type="dxa"/>
            <w:right w:w="0" w:type="dxa"/>
          </w:tblCellMar>
        </w:tblPrEx>
        <w:trPr>
          <w:trHeight w:val="686" w:hRule="atLeast"/>
          <w:jc w:val="center"/>
        </w:trPr>
        <w:tc>
          <w:tcPr>
            <w:tcW w:w="216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52E7F4">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项目名称</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C278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18"/>
                <w:szCs w:val="18"/>
              </w:rPr>
            </w:pPr>
            <w:r>
              <w:rPr>
                <w:rFonts w:hint="eastAsia" w:ascii="宋体" w:hAnsi="宋体" w:cs="宋体"/>
                <w:sz w:val="18"/>
                <w:szCs w:val="18"/>
                <w:lang w:val="en-US" w:eastAsia="zh-CN"/>
              </w:rPr>
              <w:t>资金计划</w:t>
            </w:r>
          </w:p>
        </w:tc>
        <w:tc>
          <w:tcPr>
            <w:tcW w:w="1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C14DF7">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资金到位</w:t>
            </w:r>
          </w:p>
        </w:tc>
        <w:tc>
          <w:tcPr>
            <w:tcW w:w="18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4473B5">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资金使用</w:t>
            </w:r>
          </w:p>
        </w:tc>
        <w:tc>
          <w:tcPr>
            <w:tcW w:w="18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8681CD">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结余</w:t>
            </w:r>
          </w:p>
        </w:tc>
      </w:tr>
      <w:tr w14:paraId="6BCA43A8">
        <w:tblPrEx>
          <w:tblCellMar>
            <w:top w:w="0" w:type="dxa"/>
            <w:left w:w="0" w:type="dxa"/>
            <w:bottom w:w="0" w:type="dxa"/>
            <w:right w:w="0" w:type="dxa"/>
          </w:tblCellMar>
        </w:tblPrEx>
        <w:trPr>
          <w:trHeight w:val="686" w:hRule="atLeast"/>
          <w:jc w:val="center"/>
        </w:trPr>
        <w:tc>
          <w:tcPr>
            <w:tcW w:w="216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A7E9D6">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center"/>
              <w:textAlignment w:val="auto"/>
              <w:rPr>
                <w:rFonts w:hint="eastAsia" w:ascii="宋体" w:hAnsi="宋体" w:eastAsia="宋体" w:cs="宋体"/>
                <w:sz w:val="18"/>
                <w:szCs w:val="18"/>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87705B">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财政资金</w:t>
            </w:r>
          </w:p>
        </w:tc>
        <w:tc>
          <w:tcPr>
            <w:tcW w:w="1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8CEFA5">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财政资金</w:t>
            </w:r>
          </w:p>
        </w:tc>
        <w:tc>
          <w:tcPr>
            <w:tcW w:w="18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FC8FC4">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财政资金</w:t>
            </w:r>
          </w:p>
        </w:tc>
        <w:tc>
          <w:tcPr>
            <w:tcW w:w="18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E6F38">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财政资金</w:t>
            </w:r>
          </w:p>
        </w:tc>
      </w:tr>
      <w:tr w14:paraId="7E10A0AE">
        <w:tblPrEx>
          <w:tblCellMar>
            <w:top w:w="0" w:type="dxa"/>
            <w:left w:w="0" w:type="dxa"/>
            <w:bottom w:w="0" w:type="dxa"/>
            <w:right w:w="0" w:type="dxa"/>
          </w:tblCellMar>
        </w:tblPrEx>
        <w:trPr>
          <w:trHeight w:val="1010" w:hRule="atLeast"/>
          <w:jc w:val="center"/>
        </w:trPr>
        <w:tc>
          <w:tcPr>
            <w:tcW w:w="21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62DC8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zh-CN"/>
              </w:rPr>
              <w:t>家居产业城建筑产业园新增建设用地项目土地征收费用</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7A36E">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center"/>
              <w:textAlignment w:val="auto"/>
              <w:rPr>
                <w:rFonts w:hint="default" w:ascii="宋体" w:hAnsi="宋体" w:eastAsia="宋体" w:cs="宋体"/>
                <w:sz w:val="18"/>
                <w:szCs w:val="18"/>
                <w:lang w:val="en-US"/>
              </w:rPr>
            </w:pPr>
            <w:r>
              <w:rPr>
                <w:rFonts w:hint="eastAsia" w:ascii="宋体" w:hAnsi="宋体" w:cs="宋体"/>
                <w:sz w:val="18"/>
                <w:szCs w:val="18"/>
                <w:lang w:val="en-US" w:eastAsia="zh-CN"/>
              </w:rPr>
              <w:t>472</w:t>
            </w:r>
          </w:p>
        </w:tc>
        <w:tc>
          <w:tcPr>
            <w:tcW w:w="1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4DB9B9">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center"/>
              <w:textAlignment w:val="auto"/>
              <w:rPr>
                <w:rFonts w:hint="default" w:ascii="宋体" w:hAnsi="宋体" w:eastAsia="宋体" w:cs="宋体"/>
                <w:sz w:val="18"/>
                <w:szCs w:val="18"/>
                <w:lang w:val="en-US"/>
              </w:rPr>
            </w:pPr>
            <w:r>
              <w:rPr>
                <w:rFonts w:hint="eastAsia" w:ascii="宋体" w:hAnsi="宋体" w:cs="宋体"/>
                <w:sz w:val="18"/>
                <w:szCs w:val="18"/>
                <w:lang w:val="en-US" w:eastAsia="zh-CN"/>
              </w:rPr>
              <w:t>472</w:t>
            </w:r>
          </w:p>
        </w:tc>
        <w:tc>
          <w:tcPr>
            <w:tcW w:w="18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C0591A">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center"/>
              <w:textAlignment w:val="auto"/>
              <w:rPr>
                <w:rFonts w:hint="default" w:ascii="宋体" w:hAnsi="宋体" w:eastAsia="宋体" w:cs="宋体"/>
                <w:sz w:val="18"/>
                <w:szCs w:val="18"/>
                <w:lang w:val="en-US"/>
              </w:rPr>
            </w:pPr>
            <w:r>
              <w:rPr>
                <w:rFonts w:hint="eastAsia" w:ascii="宋体" w:hAnsi="宋体" w:cs="宋体"/>
                <w:sz w:val="18"/>
                <w:szCs w:val="18"/>
                <w:lang w:val="en-US" w:eastAsia="zh-CN"/>
              </w:rPr>
              <w:t>472</w:t>
            </w:r>
          </w:p>
        </w:tc>
        <w:tc>
          <w:tcPr>
            <w:tcW w:w="18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0A5C5">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0</w:t>
            </w:r>
          </w:p>
        </w:tc>
      </w:tr>
    </w:tbl>
    <w:p w14:paraId="4AFBBC4D">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w:t>
      </w:r>
      <w:r>
        <w:rPr>
          <w:rFonts w:hint="eastAsia" w:ascii="宋体" w:hAnsi="宋体" w:cs="宋体"/>
          <w:b/>
          <w:bCs/>
          <w:sz w:val="28"/>
          <w:szCs w:val="28"/>
          <w:lang w:val="zh-CN"/>
        </w:rPr>
        <w:t>三</w:t>
      </w:r>
      <w:r>
        <w:rPr>
          <w:rFonts w:hint="eastAsia" w:ascii="宋体" w:hAnsi="宋体" w:eastAsia="宋体" w:cs="宋体"/>
          <w:b/>
          <w:bCs/>
          <w:sz w:val="28"/>
          <w:szCs w:val="28"/>
          <w:lang w:val="zh-CN"/>
        </w:rPr>
        <w:t>）项目财务管理情况</w:t>
      </w:r>
    </w:p>
    <w:p w14:paraId="7CD1270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本单位</w:t>
      </w:r>
      <w:r>
        <w:rPr>
          <w:rFonts w:hint="eastAsia" w:ascii="宋体" w:hAnsi="宋体" w:cs="宋体"/>
          <w:sz w:val="28"/>
          <w:szCs w:val="28"/>
          <w:lang w:val="zh-CN"/>
        </w:rPr>
        <w:t>和具体实施单位昭化区土地房屋征收中心</w:t>
      </w:r>
      <w:r>
        <w:rPr>
          <w:rFonts w:hint="eastAsia" w:ascii="宋体" w:hAnsi="宋体" w:eastAsia="宋体" w:cs="宋体"/>
          <w:sz w:val="28"/>
          <w:szCs w:val="28"/>
          <w:lang w:val="zh-CN"/>
        </w:rPr>
        <w:t>财务管理制度健全，</w:t>
      </w:r>
      <w:r>
        <w:rPr>
          <w:rFonts w:hint="eastAsia" w:ascii="宋体" w:hAnsi="宋体" w:cs="宋体"/>
          <w:sz w:val="28"/>
          <w:szCs w:val="28"/>
          <w:lang w:val="zh-CN"/>
        </w:rPr>
        <w:t>项目</w:t>
      </w:r>
      <w:r>
        <w:rPr>
          <w:rFonts w:hint="eastAsia" w:ascii="宋体" w:hAnsi="宋体" w:eastAsia="宋体" w:cs="宋体"/>
          <w:sz w:val="28"/>
          <w:szCs w:val="28"/>
          <w:lang w:val="zh-CN"/>
        </w:rPr>
        <w:t>严格执行财务管理制度，账务处理及时，会计核算规范。</w:t>
      </w:r>
    </w:p>
    <w:p w14:paraId="4D005AE0">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三、项目实施及管理情况</w:t>
      </w:r>
    </w:p>
    <w:p w14:paraId="6B648730">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eastAsia="zh-CN"/>
        </w:rPr>
      </w:pPr>
      <w:r>
        <w:rPr>
          <w:rFonts w:hint="eastAsia" w:ascii="宋体" w:hAnsi="宋体" w:cs="宋体"/>
          <w:b/>
          <w:bCs/>
          <w:sz w:val="28"/>
          <w:szCs w:val="28"/>
          <w:lang w:val="en-US" w:eastAsia="zh-CN"/>
        </w:rPr>
        <w:t>（一）</w:t>
      </w:r>
      <w:r>
        <w:rPr>
          <w:rFonts w:hint="eastAsia" w:ascii="宋体" w:hAnsi="宋体" w:eastAsia="宋体" w:cs="宋体"/>
          <w:b/>
          <w:bCs/>
          <w:sz w:val="28"/>
          <w:szCs w:val="28"/>
          <w:lang w:val="zh-CN" w:eastAsia="zh-CN"/>
        </w:rPr>
        <w:t>项目组织架构及实施流程。</w:t>
      </w:r>
    </w:p>
    <w:p w14:paraId="26ED17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rPr>
      </w:pPr>
      <w:r>
        <w:rPr>
          <w:rFonts w:hint="eastAsia" w:ascii="宋体" w:hAnsi="宋体" w:eastAsia="宋体" w:cs="宋体"/>
          <w:sz w:val="28"/>
          <w:szCs w:val="28"/>
          <w:lang w:val="zh-CN" w:eastAsia="zh-CN"/>
        </w:rPr>
        <w:t>我单位作为实施单位，成立了项目领导小组负责项目统筹安排及管理，安排专人负责实施。具体工作由</w:t>
      </w:r>
      <w:r>
        <w:rPr>
          <w:rFonts w:hint="eastAsia" w:ascii="宋体" w:hAnsi="宋体" w:cs="宋体"/>
          <w:sz w:val="28"/>
          <w:szCs w:val="28"/>
          <w:lang w:val="zh-CN" w:eastAsia="zh-CN"/>
        </w:rPr>
        <w:t>昭化区土</w:t>
      </w:r>
      <w:r>
        <w:rPr>
          <w:rFonts w:hint="eastAsia" w:ascii="宋体" w:hAnsi="宋体" w:cs="宋体"/>
          <w:color w:val="auto"/>
          <w:sz w:val="28"/>
          <w:szCs w:val="28"/>
          <w:lang w:val="zh-CN" w:eastAsia="zh-CN"/>
        </w:rPr>
        <w:t>地房屋征收中</w:t>
      </w:r>
      <w:r>
        <w:rPr>
          <w:rFonts w:hint="eastAsia" w:ascii="宋体" w:hAnsi="宋体" w:cs="宋体"/>
          <w:sz w:val="28"/>
          <w:szCs w:val="28"/>
          <w:lang w:val="zh-CN" w:eastAsia="zh-CN"/>
        </w:rPr>
        <w:t>心实施</w:t>
      </w:r>
      <w:r>
        <w:rPr>
          <w:rFonts w:hint="eastAsia" w:ascii="宋体" w:hAnsi="宋体" w:eastAsia="宋体" w:cs="宋体"/>
          <w:sz w:val="28"/>
          <w:szCs w:val="28"/>
          <w:lang w:val="en-US" w:eastAsia="zh-CN"/>
        </w:rPr>
        <w:t>。</w:t>
      </w:r>
    </w:p>
    <w:p w14:paraId="7AFA38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rPr>
      </w:pPr>
      <w:r>
        <w:rPr>
          <w:rFonts w:hint="eastAsia" w:ascii="宋体" w:hAnsi="宋体" w:cs="宋体"/>
          <w:b/>
          <w:bCs/>
          <w:sz w:val="28"/>
          <w:szCs w:val="28"/>
          <w:lang w:val="en-US" w:eastAsia="zh-CN"/>
        </w:rPr>
        <w:t>（二）</w:t>
      </w:r>
      <w:r>
        <w:rPr>
          <w:rFonts w:hint="eastAsia" w:ascii="宋体" w:hAnsi="宋体" w:eastAsia="宋体" w:cs="宋体"/>
          <w:b/>
          <w:bCs/>
          <w:sz w:val="28"/>
          <w:szCs w:val="28"/>
          <w:lang w:val="en-US" w:eastAsia="zh-CN"/>
        </w:rPr>
        <w:t>项目管理</w:t>
      </w:r>
      <w:r>
        <w:rPr>
          <w:rFonts w:hint="eastAsia" w:ascii="宋体" w:hAnsi="宋体" w:eastAsia="宋体" w:cs="宋体"/>
          <w:b/>
          <w:bCs/>
          <w:sz w:val="28"/>
          <w:szCs w:val="28"/>
          <w:lang w:val="zh-CN"/>
        </w:rPr>
        <w:t>理情况</w:t>
      </w:r>
      <w:r>
        <w:rPr>
          <w:rFonts w:hint="eastAsia" w:ascii="宋体" w:hAnsi="宋体" w:cs="宋体"/>
          <w:b/>
          <w:bCs/>
          <w:sz w:val="28"/>
          <w:szCs w:val="28"/>
          <w:lang w:val="zh-CN"/>
        </w:rPr>
        <w:t>。</w:t>
      </w:r>
    </w:p>
    <w:p w14:paraId="5D2A75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《广元市昭化区中国西部（广元）绿色家居产业城项目集体土地征收补偿安置方案》</w:t>
      </w:r>
      <w:r>
        <w:rPr>
          <w:rFonts w:hint="eastAsia" w:ascii="宋体" w:hAnsi="宋体" w:eastAsia="宋体" w:cs="宋体"/>
          <w:sz w:val="28"/>
          <w:szCs w:val="28"/>
          <w:lang w:val="en-US" w:eastAsia="zh-CN"/>
        </w:rPr>
        <w:t>对</w:t>
      </w:r>
      <w:r>
        <w:rPr>
          <w:rFonts w:hint="default" w:ascii="宋体" w:hAnsi="宋体" w:eastAsia="宋体" w:cs="宋体"/>
          <w:sz w:val="28"/>
          <w:szCs w:val="28"/>
          <w:lang w:val="en-US" w:eastAsia="zh-CN"/>
        </w:rPr>
        <w:t>征收土地补偿与安置</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房屋征收补偿与安置</w:t>
      </w:r>
      <w:r>
        <w:rPr>
          <w:rFonts w:hint="eastAsia" w:ascii="宋体" w:hAnsi="宋体" w:eastAsia="宋体" w:cs="宋体"/>
          <w:sz w:val="28"/>
          <w:szCs w:val="28"/>
          <w:lang w:val="en-US" w:eastAsia="zh-CN"/>
        </w:rPr>
        <w:t>的范围、标准、公示、程序等进行了明确，包括了各项活动内容、范围、时间节点等，实施方案经过充分调查研究和论证并得到区政府批复，实施内容明确。</w:t>
      </w:r>
    </w:p>
    <w:p w14:paraId="66C2EE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zh-CN" w:eastAsia="zh-CN"/>
        </w:rPr>
        <w:t>土地房屋征收中心按照</w:t>
      </w:r>
      <w:r>
        <w:rPr>
          <w:rFonts w:hint="default" w:ascii="宋体" w:hAnsi="宋体" w:eastAsia="宋体" w:cs="宋体"/>
          <w:sz w:val="28"/>
          <w:szCs w:val="28"/>
          <w:lang w:val="en-US" w:eastAsia="zh-CN"/>
        </w:rPr>
        <w:t>《广元市昭化区中国西部（广元）绿色家居产业城项目集体土地征收补偿安置方案》</w:t>
      </w:r>
      <w:r>
        <w:rPr>
          <w:rFonts w:hint="eastAsia" w:ascii="宋体" w:hAnsi="宋体" w:eastAsia="宋体" w:cs="宋体"/>
          <w:sz w:val="28"/>
          <w:szCs w:val="28"/>
          <w:lang w:val="en-US" w:eastAsia="zh-CN"/>
        </w:rPr>
        <w:t xml:space="preserve">与被征拆单位和个人签订合同，打卡到被征拆对象银行账户。      </w:t>
      </w:r>
    </w:p>
    <w:p w14:paraId="173F2A1A">
      <w:pPr>
        <w:keepNext w:val="0"/>
        <w:keepLines w:val="0"/>
        <w:pageBreakBefore w:val="0"/>
        <w:widowControl w:val="0"/>
        <w:numPr>
          <w:ilvl w:val="0"/>
          <w:numId w:val="0"/>
        </w:numPr>
        <w:kinsoku/>
        <w:wordWrap/>
        <w:overflowPunct/>
        <w:autoSpaceDE/>
        <w:autoSpaceDN/>
        <w:bidi w:val="0"/>
        <w:spacing w:line="360" w:lineRule="auto"/>
        <w:ind w:firstLine="562" w:firstLineChars="200"/>
        <w:jc w:val="both"/>
        <w:textAlignment w:val="auto"/>
        <w:rPr>
          <w:rFonts w:hint="eastAsia" w:ascii="宋体" w:hAnsi="宋体" w:eastAsia="宋体" w:cs="宋体"/>
          <w:b/>
          <w:bCs/>
          <w:sz w:val="28"/>
          <w:szCs w:val="28"/>
          <w:lang w:val="zh-CN"/>
        </w:rPr>
      </w:pPr>
      <w:r>
        <w:rPr>
          <w:rFonts w:hint="eastAsia" w:ascii="宋体" w:hAnsi="宋体" w:cs="宋体"/>
          <w:b/>
          <w:bCs/>
          <w:sz w:val="28"/>
          <w:szCs w:val="28"/>
          <w:lang w:val="en-US" w:eastAsia="zh-CN"/>
        </w:rPr>
        <w:t>（三）</w:t>
      </w:r>
      <w:r>
        <w:rPr>
          <w:rFonts w:hint="eastAsia" w:ascii="宋体" w:hAnsi="宋体" w:eastAsia="宋体" w:cs="宋体"/>
          <w:b/>
          <w:bCs/>
          <w:sz w:val="28"/>
          <w:szCs w:val="28"/>
          <w:lang w:val="zh-CN"/>
        </w:rPr>
        <w:t>项目监管情况。</w:t>
      </w:r>
    </w:p>
    <w:p w14:paraId="603D3AD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zh-CN"/>
        </w:rPr>
      </w:pPr>
      <w:r>
        <w:rPr>
          <w:rFonts w:hint="eastAsia" w:ascii="宋体" w:hAnsi="宋体" w:cs="宋体"/>
          <w:sz w:val="28"/>
          <w:szCs w:val="28"/>
          <w:lang w:val="zh-CN"/>
        </w:rPr>
        <w:t>我单位负责资金拨付。</w:t>
      </w:r>
      <w:r>
        <w:rPr>
          <w:rFonts w:hint="eastAsia" w:cs="宋体"/>
          <w:b w:val="0"/>
          <w:bCs w:val="0"/>
          <w:i w:val="0"/>
          <w:iCs w:val="0"/>
          <w:caps w:val="0"/>
          <w:color w:val="000000"/>
          <w:spacing w:val="0"/>
          <w:kern w:val="0"/>
          <w:sz w:val="28"/>
          <w:szCs w:val="28"/>
          <w:highlight w:val="none"/>
          <w:shd w:val="clear" w:color="auto" w:fill="FFFFFF"/>
          <w:lang w:val="en-US" w:eastAsia="zh-CN" w:bidi="ar"/>
        </w:rPr>
        <w:t>项目的征拆补偿由专业的征收部门广元市昭化区土地房屋征收中心实施，该中心</w:t>
      </w: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
        </w:rPr>
        <w:t>具备适用项目的完整性、可操作性的管理制度</w:t>
      </w:r>
      <w:r>
        <w:rPr>
          <w:rFonts w:hint="eastAsia" w:ascii="宋体" w:hAnsi="宋体" w:eastAsia="宋体" w:cs="宋体"/>
          <w:sz w:val="28"/>
          <w:szCs w:val="28"/>
          <w:lang w:val="zh-CN"/>
        </w:rPr>
        <w:t>。</w:t>
      </w:r>
      <w:r>
        <w:rPr>
          <w:rFonts w:hint="eastAsia" w:ascii="宋体" w:hAnsi="宋体" w:cs="宋体"/>
          <w:sz w:val="28"/>
          <w:szCs w:val="28"/>
          <w:lang w:val="zh-CN"/>
        </w:rPr>
        <w:t>按照征拆资金监管要求实施监管。</w:t>
      </w:r>
    </w:p>
    <w:p w14:paraId="64157F69">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四、项目绩效情况</w:t>
      </w:r>
      <w:r>
        <w:rPr>
          <w:rFonts w:hint="eastAsia" w:ascii="宋体" w:hAnsi="宋体" w:eastAsia="宋体" w:cs="宋体"/>
          <w:b/>
          <w:bCs/>
          <w:sz w:val="28"/>
          <w:szCs w:val="28"/>
          <w:lang w:val="zh-CN" w:eastAsia="zh-CN"/>
        </w:rPr>
        <w:tab/>
      </w:r>
    </w:p>
    <w:p w14:paraId="5B6DE5BC">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（一）项目完成情况</w:t>
      </w:r>
      <w:r>
        <w:rPr>
          <w:rFonts w:hint="eastAsia" w:ascii="宋体" w:hAnsi="宋体" w:cs="宋体"/>
          <w:b/>
          <w:bCs/>
          <w:sz w:val="28"/>
          <w:szCs w:val="28"/>
          <w:lang w:val="zh-CN" w:eastAsia="zh-CN"/>
        </w:rPr>
        <w:t>。</w:t>
      </w:r>
    </w:p>
    <w:p w14:paraId="4CBDA9A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rPr>
        <w:t>项目</w:t>
      </w:r>
      <w:r>
        <w:rPr>
          <w:rFonts w:hint="eastAsia" w:ascii="宋体" w:hAnsi="宋体" w:eastAsia="宋体" w:cs="宋体"/>
          <w:sz w:val="28"/>
          <w:szCs w:val="28"/>
          <w:lang w:val="en-US" w:eastAsia="zh-CN"/>
        </w:rPr>
        <w:t>2022年完成20户农户拆迁补偿，征收土地69.39亩，</w:t>
      </w:r>
      <w:r>
        <w:rPr>
          <w:rFonts w:hint="eastAsia" w:ascii="宋体" w:hAnsi="宋体" w:eastAsia="宋体" w:cs="宋体"/>
          <w:sz w:val="28"/>
          <w:szCs w:val="28"/>
          <w:lang w:val="zh-CN"/>
        </w:rPr>
        <w:t>全部完成预期目标，均达到数量计划值，质量良好、按时完成、未超预算，无资金结余，无违规违纪情况。</w:t>
      </w:r>
      <w:r>
        <w:rPr>
          <w:rFonts w:hint="eastAsia" w:ascii="宋体" w:hAnsi="宋体" w:eastAsia="宋体" w:cs="宋体"/>
          <w:sz w:val="28"/>
          <w:szCs w:val="28"/>
          <w:lang w:val="en-US" w:eastAsia="zh-CN"/>
        </w:rPr>
        <w:t xml:space="preserve">      </w:t>
      </w:r>
    </w:p>
    <w:p w14:paraId="7E6A953A">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（二）项目效益情况</w:t>
      </w:r>
      <w:r>
        <w:rPr>
          <w:rFonts w:hint="eastAsia" w:ascii="宋体" w:hAnsi="宋体" w:cs="宋体"/>
          <w:b/>
          <w:bCs/>
          <w:sz w:val="28"/>
          <w:szCs w:val="28"/>
          <w:lang w:val="zh-CN" w:eastAsia="zh-CN"/>
        </w:rPr>
        <w:t>。</w:t>
      </w:r>
    </w:p>
    <w:p w14:paraId="0081E25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right="0" w:rightChars="0" w:firstLine="560" w:firstLineChars="200"/>
        <w:contextualSpacing/>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宋体" w:hAnsi="宋体" w:eastAsia="宋体" w:cs="宋体"/>
          <w:sz w:val="28"/>
          <w:szCs w:val="28"/>
          <w:lang w:val="zh-CN" w:eastAsia="zh-CN"/>
        </w:rPr>
        <w:t>通过该项目实施，为项目实施场平打下基础，可逐步满足招商引资企业入驻</w:t>
      </w:r>
      <w:r>
        <w:rPr>
          <w:rFonts w:hint="eastAsia" w:ascii="宋体" w:hAnsi="宋体" w:eastAsia="宋体" w:cs="宋体"/>
          <w:sz w:val="28"/>
          <w:szCs w:val="28"/>
          <w:lang w:val="en-US" w:eastAsia="zh-CN"/>
        </w:rPr>
        <w:t>2家，</w:t>
      </w:r>
      <w:r>
        <w:rPr>
          <w:rFonts w:hint="eastAsia" w:ascii="宋体" w:hAnsi="宋体" w:eastAsia="宋体" w:cs="宋体"/>
          <w:sz w:val="28"/>
          <w:szCs w:val="28"/>
          <w:lang w:val="zh-CN" w:eastAsia="zh-CN"/>
        </w:rPr>
        <w:t>不断为入驻企业提供优良的投资环境，到</w:t>
      </w:r>
      <w:r>
        <w:rPr>
          <w:rFonts w:hint="eastAsia" w:ascii="宋体" w:hAnsi="宋体" w:eastAsia="宋体" w:cs="宋体"/>
          <w:sz w:val="28"/>
          <w:szCs w:val="28"/>
          <w:lang w:val="en-US" w:eastAsia="zh-CN"/>
        </w:rPr>
        <w:t>2022年底，总体可达到23家以上企业入驻。</w:t>
      </w:r>
    </w:p>
    <w:p w14:paraId="68857141">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五、自评结论及建议</w:t>
      </w:r>
    </w:p>
    <w:p w14:paraId="150F7826">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（一）评价结论</w:t>
      </w:r>
      <w:r>
        <w:rPr>
          <w:rFonts w:hint="eastAsia" w:ascii="宋体" w:hAnsi="宋体" w:cs="宋体"/>
          <w:b/>
          <w:bCs/>
          <w:sz w:val="28"/>
          <w:szCs w:val="28"/>
          <w:lang w:val="zh-CN"/>
        </w:rPr>
        <w:t>。</w:t>
      </w:r>
    </w:p>
    <w:p w14:paraId="646FA6E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项目属于拆迁补偿资金</w:t>
      </w:r>
      <w:r>
        <w:rPr>
          <w:rFonts w:hint="eastAsia" w:ascii="宋体" w:hAnsi="宋体" w:cs="宋体"/>
          <w:sz w:val="28"/>
          <w:szCs w:val="28"/>
          <w:lang w:val="zh-CN" w:eastAsia="zh-CN"/>
        </w:rPr>
        <w:t>，项目程序严密、规划合理、制度完备；</w:t>
      </w:r>
      <w:r>
        <w:rPr>
          <w:rFonts w:hint="eastAsia" w:ascii="宋体" w:hAnsi="宋体" w:eastAsia="宋体" w:cs="宋体"/>
          <w:sz w:val="28"/>
          <w:szCs w:val="28"/>
          <w:lang w:val="en-US" w:eastAsia="zh-CN"/>
        </w:rPr>
        <w:t>项目严格按照</w:t>
      </w:r>
      <w:r>
        <w:rPr>
          <w:rFonts w:hint="eastAsia" w:ascii="宋体" w:hAnsi="宋体" w:cs="宋体"/>
          <w:sz w:val="28"/>
          <w:szCs w:val="28"/>
          <w:lang w:val="en-US" w:eastAsia="zh-CN"/>
        </w:rPr>
        <w:t>征拆管理办法及相关管理要求执行，分配合理、使用合规、执行有效；项目无资金结余，及时完成年度预期目标，</w:t>
      </w:r>
      <w:r>
        <w:rPr>
          <w:rFonts w:hint="eastAsia" w:ascii="宋体" w:hAnsi="宋体" w:eastAsia="宋体" w:cs="宋体"/>
          <w:sz w:val="28"/>
          <w:szCs w:val="28"/>
          <w:lang w:val="en-US" w:eastAsia="zh-CN"/>
        </w:rPr>
        <w:t>管理良好，实施有序，</w:t>
      </w:r>
      <w:r>
        <w:rPr>
          <w:rFonts w:hint="eastAsia" w:ascii="宋体" w:hAnsi="宋体" w:cs="宋体"/>
          <w:sz w:val="28"/>
          <w:szCs w:val="28"/>
          <w:lang w:val="en-US" w:eastAsia="zh-CN"/>
        </w:rPr>
        <w:t>完成后取得预期效益</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2022年</w:t>
      </w:r>
      <w:r>
        <w:rPr>
          <w:rFonts w:hint="eastAsia" w:ascii="宋体" w:hAnsi="宋体" w:eastAsia="宋体" w:cs="宋体"/>
          <w:sz w:val="28"/>
          <w:szCs w:val="28"/>
          <w:lang w:val="en-US" w:eastAsia="zh-CN"/>
        </w:rPr>
        <w:t>达到了</w:t>
      </w:r>
      <w:r>
        <w:rPr>
          <w:rFonts w:hint="eastAsia" w:ascii="宋体" w:hAnsi="宋体" w:cs="宋体"/>
          <w:sz w:val="28"/>
          <w:szCs w:val="28"/>
          <w:lang w:val="en-US" w:eastAsia="zh-CN"/>
        </w:rPr>
        <w:t>年度</w:t>
      </w:r>
      <w:r>
        <w:rPr>
          <w:rFonts w:hint="eastAsia" w:ascii="宋体" w:hAnsi="宋体" w:eastAsia="宋体" w:cs="宋体"/>
          <w:sz w:val="28"/>
          <w:szCs w:val="28"/>
          <w:lang w:val="en-US" w:eastAsia="zh-CN"/>
        </w:rPr>
        <w:t>预期目标</w:t>
      </w:r>
      <w:r>
        <w:rPr>
          <w:rFonts w:hint="eastAsia" w:ascii="宋体" w:hAnsi="宋体" w:eastAsia="宋体" w:cs="宋体"/>
          <w:sz w:val="28"/>
          <w:szCs w:val="28"/>
          <w:lang w:val="zh-CN"/>
        </w:rPr>
        <w:t>。</w:t>
      </w:r>
      <w:r>
        <w:rPr>
          <w:rFonts w:hint="eastAsia" w:ascii="宋体" w:hAnsi="宋体" w:cs="宋体"/>
          <w:sz w:val="28"/>
          <w:szCs w:val="28"/>
          <w:lang w:val="zh-CN"/>
        </w:rPr>
        <w:t>自评</w:t>
      </w:r>
      <w:r>
        <w:rPr>
          <w:rFonts w:hint="eastAsia" w:ascii="宋体" w:hAnsi="宋体" w:eastAsia="宋体" w:cs="宋体"/>
          <w:sz w:val="28"/>
          <w:szCs w:val="28"/>
          <w:lang w:val="zh-CN"/>
        </w:rPr>
        <w:t>得分</w:t>
      </w:r>
      <w:r>
        <w:rPr>
          <w:rFonts w:hint="eastAsia" w:ascii="宋体" w:hAnsi="宋体" w:eastAsia="宋体" w:cs="宋体"/>
          <w:sz w:val="28"/>
          <w:szCs w:val="28"/>
          <w:lang w:val="en-US" w:eastAsia="zh-CN"/>
        </w:rPr>
        <w:t>99分。</w:t>
      </w:r>
    </w:p>
    <w:p w14:paraId="41476918">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（二）存在的问题</w:t>
      </w:r>
      <w:r>
        <w:rPr>
          <w:rFonts w:hint="eastAsia" w:ascii="宋体" w:hAnsi="宋体" w:cs="宋体"/>
          <w:b/>
          <w:bCs/>
          <w:sz w:val="28"/>
          <w:szCs w:val="28"/>
          <w:lang w:val="zh-CN"/>
        </w:rPr>
        <w:t>。</w:t>
      </w:r>
    </w:p>
    <w:p w14:paraId="44745941">
      <w:pPr>
        <w:keepNext w:val="0"/>
        <w:keepLines w:val="0"/>
        <w:pageBreakBefore w:val="0"/>
        <w:widowControl w:val="0"/>
        <w:numPr>
          <w:ilvl w:val="0"/>
          <w:numId w:val="0"/>
        </w:numPr>
        <w:kinsoku/>
        <w:wordWrap/>
        <w:overflowPunct/>
        <w:topLinePunct/>
        <w:autoSpaceDE/>
        <w:autoSpaceDN/>
        <w:bidi w:val="0"/>
        <w:adjustRightInd w:val="0"/>
        <w:snapToGrid w:val="0"/>
        <w:spacing w:line="360" w:lineRule="auto"/>
        <w:ind w:right="0" w:rightChars="0" w:firstLine="560" w:firstLineChars="200"/>
        <w:jc w:val="both"/>
        <w:textAlignment w:val="auto"/>
        <w:outlineLvl w:val="9"/>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征拆工作不仅工作量大，涉及面广，需安置人员情况复杂，容易遗留问题，包括就业等。</w:t>
      </w:r>
    </w:p>
    <w:p w14:paraId="14C9C3BE">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（三）相关建议</w:t>
      </w:r>
      <w:r>
        <w:rPr>
          <w:rFonts w:hint="eastAsia" w:ascii="宋体" w:hAnsi="宋体" w:cs="宋体"/>
          <w:b/>
          <w:bCs/>
          <w:sz w:val="28"/>
          <w:szCs w:val="28"/>
          <w:lang w:val="zh-CN"/>
        </w:rPr>
        <w:t>。</w:t>
      </w:r>
    </w:p>
    <w:p w14:paraId="5FBF69A8">
      <w:pPr>
        <w:keepNext w:val="0"/>
        <w:keepLines w:val="0"/>
        <w:pageBreakBefore w:val="0"/>
        <w:widowControl w:val="0"/>
        <w:numPr>
          <w:ilvl w:val="0"/>
          <w:numId w:val="0"/>
        </w:numPr>
        <w:kinsoku/>
        <w:wordWrap/>
        <w:overflowPunct/>
        <w:topLinePunct/>
        <w:autoSpaceDE/>
        <w:autoSpaceDN/>
        <w:bidi w:val="0"/>
        <w:adjustRightInd w:val="0"/>
        <w:snapToGrid w:val="0"/>
        <w:spacing w:line="360" w:lineRule="auto"/>
        <w:ind w:right="0" w:rightChars="0" w:firstLine="560" w:firstLineChars="200"/>
        <w:jc w:val="both"/>
        <w:textAlignment w:val="auto"/>
        <w:outlineLvl w:val="9"/>
        <w:rPr>
          <w:rFonts w:hint="eastAsia" w:ascii="宋体" w:hAnsi="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相关部门要及时跟进，深入</w:t>
      </w:r>
      <w:r>
        <w:rPr>
          <w:rFonts w:hint="eastAsia" w:ascii="宋体" w:hAnsi="宋体" w:cs="宋体"/>
          <w:b w:val="0"/>
          <w:bCs w:val="0"/>
          <w:color w:val="000000"/>
          <w:sz w:val="28"/>
          <w:szCs w:val="28"/>
          <w:highlight w:val="none"/>
          <w:lang w:val="en-US" w:eastAsia="zh-CN"/>
        </w:rPr>
        <w:t>了解</w:t>
      </w:r>
      <w:r>
        <w:rPr>
          <w:rFonts w:hint="eastAsia" w:ascii="宋体" w:hAnsi="宋体" w:eastAsia="宋体" w:cs="宋体"/>
          <w:b w:val="0"/>
          <w:bCs w:val="0"/>
          <w:color w:val="000000"/>
          <w:sz w:val="28"/>
          <w:szCs w:val="28"/>
          <w:highlight w:val="none"/>
          <w:lang w:val="en-US" w:eastAsia="zh-CN"/>
        </w:rPr>
        <w:t>补偿资金的落实情况，监督补偿专项资金的流向和使用，维护国家资金安全、保护群众利益。</w:t>
      </w:r>
      <w:r>
        <w:rPr>
          <w:rFonts w:hint="eastAsia" w:ascii="宋体" w:hAnsi="宋体" w:cs="宋体"/>
          <w:b w:val="0"/>
          <w:bCs w:val="0"/>
          <w:color w:val="000000"/>
          <w:sz w:val="28"/>
          <w:szCs w:val="28"/>
          <w:highlight w:val="none"/>
          <w:lang w:val="en-US" w:eastAsia="zh-CN"/>
        </w:rPr>
        <w:t>同时解决被征拆农民存在的就业等方面客观困难。</w:t>
      </w:r>
    </w:p>
    <w:p w14:paraId="3970C9DB">
      <w:pPr>
        <w:pStyle w:val="2"/>
        <w:ind w:firstLine="560" w:firstLineChars="200"/>
        <w:rPr>
          <w:rFonts w:hint="eastAsia" w:ascii="宋体" w:hAnsi="宋体" w:eastAsia="宋体" w:cs="宋体"/>
          <w:b w:val="0"/>
          <w:bCs w:val="0"/>
          <w:color w:val="000000"/>
          <w:kern w:val="2"/>
          <w:sz w:val="28"/>
          <w:szCs w:val="28"/>
          <w:highlight w:val="none"/>
          <w:lang w:val="en-US" w:eastAsia="zh-CN" w:bidi="ar-SA"/>
        </w:rPr>
      </w:pPr>
    </w:p>
    <w:p w14:paraId="0A070324">
      <w:pPr>
        <w:pStyle w:val="2"/>
        <w:ind w:firstLine="560" w:firstLineChars="200"/>
        <w:rPr>
          <w:rFonts w:hint="eastAsia" w:ascii="宋体" w:hAnsi="宋体" w:eastAsia="宋体" w:cs="宋体"/>
          <w:b w:val="0"/>
          <w:bCs w:val="0"/>
          <w:color w:val="000000"/>
          <w:kern w:val="2"/>
          <w:sz w:val="28"/>
          <w:szCs w:val="28"/>
          <w:highlight w:val="none"/>
          <w:lang w:val="en-US" w:eastAsia="zh-CN" w:bidi="ar-SA"/>
        </w:rPr>
      </w:pPr>
    </w:p>
    <w:p w14:paraId="2280AFBC">
      <w:pPr>
        <w:pStyle w:val="2"/>
        <w:ind w:firstLine="560" w:firstLineChars="200"/>
        <w:rPr>
          <w:rFonts w:hint="eastAsia" w:ascii="宋体" w:hAnsi="宋体" w:eastAsia="宋体" w:cs="宋体"/>
          <w:b w:val="0"/>
          <w:bCs w:val="0"/>
          <w:color w:val="000000"/>
          <w:kern w:val="2"/>
          <w:sz w:val="28"/>
          <w:szCs w:val="28"/>
          <w:highlight w:val="none"/>
          <w:lang w:val="en-US" w:eastAsia="zh-CN" w:bidi="ar-SA"/>
        </w:rPr>
      </w:pPr>
      <w:r>
        <w:rPr>
          <w:rFonts w:hint="eastAsia" w:ascii="宋体" w:hAnsi="宋体" w:eastAsia="宋体" w:cs="宋体"/>
          <w:b w:val="0"/>
          <w:bCs w:val="0"/>
          <w:color w:val="000000"/>
          <w:kern w:val="2"/>
          <w:sz w:val="28"/>
          <w:szCs w:val="28"/>
          <w:highlight w:val="none"/>
          <w:lang w:val="en-US" w:eastAsia="zh-CN" w:bidi="ar-SA"/>
        </w:rPr>
        <w:t>附表：</w:t>
      </w:r>
    </w:p>
    <w:tbl>
      <w:tblPr>
        <w:tblStyle w:val="16"/>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6"/>
        <w:gridCol w:w="918"/>
        <w:gridCol w:w="2016"/>
        <w:gridCol w:w="303"/>
        <w:gridCol w:w="1787"/>
        <w:gridCol w:w="1389"/>
        <w:gridCol w:w="1275"/>
        <w:gridCol w:w="1226"/>
      </w:tblGrid>
      <w:tr w14:paraId="6E2CC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9360" w:type="dxa"/>
            <w:gridSpan w:val="8"/>
            <w:tcBorders>
              <w:top w:val="nil"/>
              <w:left w:val="nil"/>
              <w:bottom w:val="nil"/>
              <w:right w:val="nil"/>
            </w:tcBorders>
            <w:shd w:val="clear" w:color="auto" w:fill="auto"/>
            <w:noWrap/>
            <w:vAlign w:val="center"/>
          </w:tcPr>
          <w:p w14:paraId="181816E2">
            <w:pPr>
              <w:keepNext w:val="0"/>
              <w:keepLines w:val="0"/>
              <w:widowControl/>
              <w:suppressLineNumbers w:val="0"/>
              <w:jc w:val="center"/>
              <w:textAlignment w:val="center"/>
              <w:rPr>
                <w:rFonts w:hint="eastAsia" w:ascii="宋体" w:hAnsi="宋体" w:eastAsia="宋体" w:cs="宋体"/>
                <w:i w:val="0"/>
                <w:iCs w:val="0"/>
                <w:color w:val="000000"/>
                <w:sz w:val="34"/>
                <w:szCs w:val="34"/>
                <w:u w:val="none"/>
              </w:rPr>
            </w:pPr>
            <w:r>
              <w:rPr>
                <w:rFonts w:hint="eastAsia" w:ascii="宋体" w:hAnsi="宋体" w:cs="宋体"/>
                <w:b w:val="0"/>
                <w:bCs w:val="0"/>
                <w:color w:val="000000"/>
                <w:sz w:val="28"/>
                <w:szCs w:val="28"/>
                <w:highlight w:val="none"/>
                <w:lang w:val="en-US" w:eastAsia="zh-CN"/>
              </w:rPr>
              <w:t>广元市昭化区财政项目支出绩效自评表</w:t>
            </w:r>
          </w:p>
        </w:tc>
      </w:tr>
      <w:tr w14:paraId="0A7E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0" w:type="auto"/>
            <w:gridSpan w:val="8"/>
            <w:tcBorders>
              <w:top w:val="nil"/>
              <w:left w:val="nil"/>
              <w:bottom w:val="nil"/>
              <w:right w:val="nil"/>
            </w:tcBorders>
            <w:shd w:val="clear" w:color="auto" w:fill="auto"/>
            <w:noWrap/>
            <w:vAlign w:val="center"/>
          </w:tcPr>
          <w:p w14:paraId="01045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2022年度）</w:t>
            </w:r>
          </w:p>
        </w:tc>
      </w:tr>
      <w:tr w14:paraId="26BAC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36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3CF1E0F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996" w:type="dxa"/>
            <w:gridSpan w:val="6"/>
            <w:tcBorders>
              <w:top w:val="single" w:color="000000" w:sz="4" w:space="0"/>
              <w:left w:val="single" w:color="000000" w:sz="4" w:space="0"/>
              <w:bottom w:val="single" w:color="000000" w:sz="4" w:space="0"/>
              <w:right w:val="single" w:color="000000" w:sz="4" w:space="0"/>
            </w:tcBorders>
            <w:shd w:val="clear" w:color="auto" w:fill="FFFFFF"/>
            <w:vAlign w:val="top"/>
          </w:tcPr>
          <w:p w14:paraId="51C7739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2022年家居产业城新增建设用地土地征收资金</w:t>
            </w:r>
          </w:p>
        </w:tc>
      </w:tr>
      <w:tr w14:paraId="6721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136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552467D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106" w:type="dxa"/>
            <w:gridSpan w:val="3"/>
            <w:tcBorders>
              <w:top w:val="nil"/>
              <w:left w:val="single" w:color="000000" w:sz="4" w:space="0"/>
              <w:bottom w:val="single" w:color="000000" w:sz="4" w:space="0"/>
              <w:right w:val="single" w:color="000000" w:sz="4" w:space="0"/>
            </w:tcBorders>
            <w:shd w:val="clear" w:color="auto" w:fill="FFFFFF"/>
            <w:vAlign w:val="center"/>
          </w:tcPr>
          <w:p w14:paraId="428C5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四川广元昭化经济开发区管理委员会</w:t>
            </w:r>
          </w:p>
        </w:tc>
        <w:tc>
          <w:tcPr>
            <w:tcW w:w="1389" w:type="dxa"/>
            <w:tcBorders>
              <w:top w:val="nil"/>
              <w:left w:val="single" w:color="000000" w:sz="4" w:space="0"/>
              <w:bottom w:val="single" w:color="000000" w:sz="4" w:space="0"/>
              <w:right w:val="single" w:color="000000" w:sz="4" w:space="0"/>
            </w:tcBorders>
            <w:shd w:val="clear" w:color="auto" w:fill="FFFFFF"/>
            <w:vAlign w:val="bottom"/>
          </w:tcPr>
          <w:p w14:paraId="2028280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501"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48425F9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四川广元昭化经济开发区管理委员会</w:t>
            </w:r>
          </w:p>
        </w:tc>
      </w:tr>
      <w:tr w14:paraId="09F63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36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E13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 （万元）</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5DC791EB">
            <w:pPr>
              <w:jc w:val="left"/>
              <w:rPr>
                <w:rFonts w:hint="default" w:ascii="Times New Roman" w:hAnsi="Times New Roman" w:eastAsia="宋体" w:cs="Times New Roman"/>
                <w:i w:val="0"/>
                <w:iCs w:val="0"/>
                <w:color w:val="000000"/>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D8ADD8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D9CA33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275" w:type="dxa"/>
            <w:tcBorders>
              <w:top w:val="nil"/>
              <w:left w:val="single" w:color="000000" w:sz="4" w:space="0"/>
              <w:bottom w:val="single" w:color="000000" w:sz="4" w:space="0"/>
              <w:right w:val="single" w:color="000000" w:sz="4" w:space="0"/>
            </w:tcBorders>
            <w:shd w:val="clear" w:color="auto" w:fill="FFFFFF"/>
            <w:vAlign w:val="bottom"/>
          </w:tcPr>
          <w:p w14:paraId="3FEDBD8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226" w:type="dxa"/>
            <w:tcBorders>
              <w:top w:val="nil"/>
              <w:left w:val="single" w:color="000000" w:sz="4" w:space="0"/>
              <w:bottom w:val="single" w:color="000000" w:sz="4" w:space="0"/>
              <w:right w:val="single" w:color="000000" w:sz="4" w:space="0"/>
            </w:tcBorders>
            <w:shd w:val="clear" w:color="auto" w:fill="FFFFFF"/>
            <w:vAlign w:val="bottom"/>
          </w:tcPr>
          <w:p w14:paraId="17B3F8A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55CD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36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787968">
            <w:pPr>
              <w:jc w:val="center"/>
              <w:rPr>
                <w:rFonts w:hint="eastAsia" w:ascii="宋体" w:hAnsi="宋体" w:eastAsia="宋体" w:cs="宋体"/>
                <w:i w:val="0"/>
                <w:iCs w:val="0"/>
                <w:color w:val="000000"/>
                <w:sz w:val="20"/>
                <w:szCs w:val="20"/>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3DE85AF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3E8F5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136686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9C395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12968E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C12B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36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5805F7">
            <w:pPr>
              <w:jc w:val="center"/>
              <w:rPr>
                <w:rFonts w:hint="eastAsia" w:ascii="宋体" w:hAnsi="宋体" w:eastAsia="宋体" w:cs="宋体"/>
                <w:i w:val="0"/>
                <w:iCs w:val="0"/>
                <w:color w:val="000000"/>
                <w:sz w:val="20"/>
                <w:szCs w:val="20"/>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2CA5DD4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（-）财政拨款小计</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D10761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2A9EE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68DE0B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F100A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6224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36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11E21A">
            <w:pPr>
              <w:jc w:val="center"/>
              <w:rPr>
                <w:rFonts w:hint="eastAsia" w:ascii="宋体" w:hAnsi="宋体" w:eastAsia="宋体" w:cs="宋体"/>
                <w:i w:val="0"/>
                <w:iCs w:val="0"/>
                <w:color w:val="000000"/>
                <w:sz w:val="20"/>
                <w:szCs w:val="20"/>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23E4213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一般公共预算</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C2F55CE">
            <w:pPr>
              <w:jc w:val="left"/>
              <w:rPr>
                <w:rFonts w:hint="default" w:ascii="Times New Roman" w:hAnsi="Times New Roman" w:eastAsia="宋体" w:cs="Times New Roman"/>
                <w:i w:val="0"/>
                <w:iCs w:val="0"/>
                <w:color w:val="000000"/>
                <w:sz w:val="20"/>
                <w:szCs w:val="20"/>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35BF4E7">
            <w:pPr>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36EECC">
            <w:pPr>
              <w:jc w:val="left"/>
              <w:rPr>
                <w:rFonts w:hint="eastAsia" w:ascii="宋体" w:hAnsi="宋体" w:eastAsia="宋体" w:cs="宋体"/>
                <w:i w:val="0"/>
                <w:iCs w:val="0"/>
                <w:color w:val="000000"/>
                <w:sz w:val="20"/>
                <w:szCs w:val="20"/>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54C418">
            <w:pPr>
              <w:jc w:val="left"/>
              <w:rPr>
                <w:rFonts w:hint="eastAsia" w:ascii="宋体" w:hAnsi="宋体" w:eastAsia="宋体" w:cs="宋体"/>
                <w:i w:val="0"/>
                <w:iCs w:val="0"/>
                <w:color w:val="000000"/>
                <w:sz w:val="20"/>
                <w:szCs w:val="20"/>
                <w:u w:val="none"/>
              </w:rPr>
            </w:pPr>
          </w:p>
        </w:tc>
      </w:tr>
      <w:tr w14:paraId="58DD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36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5372E2">
            <w:pPr>
              <w:jc w:val="center"/>
              <w:rPr>
                <w:rFonts w:hint="eastAsia" w:ascii="宋体" w:hAnsi="宋体" w:eastAsia="宋体" w:cs="宋体"/>
                <w:i w:val="0"/>
                <w:iCs w:val="0"/>
                <w:color w:val="000000"/>
                <w:sz w:val="20"/>
                <w:szCs w:val="20"/>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7B848E3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2.政府性基金</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3830BE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953E1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9659D4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0EF59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61EE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36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FB68E3">
            <w:pPr>
              <w:jc w:val="center"/>
              <w:rPr>
                <w:rFonts w:hint="eastAsia" w:ascii="宋体" w:hAnsi="宋体" w:eastAsia="宋体" w:cs="宋体"/>
                <w:i w:val="0"/>
                <w:iCs w:val="0"/>
                <w:color w:val="000000"/>
                <w:sz w:val="20"/>
                <w:szCs w:val="20"/>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00544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3.国有资本经营预算</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F84ED22">
            <w:pPr>
              <w:jc w:val="left"/>
              <w:rPr>
                <w:rFonts w:hint="default" w:ascii="Times New Roman" w:hAnsi="Times New Roman" w:eastAsia="宋体" w:cs="Times New Roman"/>
                <w:i w:val="0"/>
                <w:iCs w:val="0"/>
                <w:color w:val="000000"/>
                <w:sz w:val="20"/>
                <w:szCs w:val="20"/>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29C7D24">
            <w:pPr>
              <w:jc w:val="left"/>
              <w:rPr>
                <w:rFonts w:hint="default" w:ascii="Times New Roman" w:hAnsi="Times New Roman" w:eastAsia="宋体" w:cs="Times New Roman"/>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0452F68F">
            <w:pPr>
              <w:jc w:val="left"/>
              <w:rPr>
                <w:rFonts w:hint="default" w:ascii="Times New Roman" w:hAnsi="Times New Roman" w:eastAsia="宋体" w:cs="Times New Roman"/>
                <w:i w:val="0"/>
                <w:iCs w:val="0"/>
                <w:color w:val="000000"/>
                <w:sz w:val="20"/>
                <w:szCs w:val="20"/>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3693E19">
            <w:pPr>
              <w:jc w:val="left"/>
              <w:rPr>
                <w:rFonts w:hint="default" w:ascii="Times New Roman" w:hAnsi="Times New Roman" w:eastAsia="宋体" w:cs="Times New Roman"/>
                <w:i w:val="0"/>
                <w:iCs w:val="0"/>
                <w:color w:val="000000"/>
                <w:sz w:val="20"/>
                <w:szCs w:val="20"/>
                <w:u w:val="none"/>
              </w:rPr>
            </w:pPr>
          </w:p>
        </w:tc>
      </w:tr>
      <w:tr w14:paraId="6C34B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36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D9B415">
            <w:pPr>
              <w:jc w:val="center"/>
              <w:rPr>
                <w:rFonts w:hint="eastAsia" w:ascii="宋体" w:hAnsi="宋体" w:eastAsia="宋体" w:cs="宋体"/>
                <w:i w:val="0"/>
                <w:iCs w:val="0"/>
                <w:color w:val="000000"/>
                <w:sz w:val="20"/>
                <w:szCs w:val="20"/>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008FA57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4.社保基金</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4232DE">
            <w:pPr>
              <w:jc w:val="left"/>
              <w:rPr>
                <w:rFonts w:hint="default" w:ascii="Times New Roman" w:hAnsi="Times New Roman" w:eastAsia="宋体" w:cs="Times New Roman"/>
                <w:i w:val="0"/>
                <w:iCs w:val="0"/>
                <w:color w:val="000000"/>
                <w:sz w:val="20"/>
                <w:szCs w:val="20"/>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BE5321">
            <w:pPr>
              <w:jc w:val="left"/>
              <w:rPr>
                <w:rFonts w:hint="default" w:ascii="Times New Roman" w:hAnsi="Times New Roman" w:eastAsia="宋体" w:cs="Times New Roman"/>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9AC1F87">
            <w:pPr>
              <w:jc w:val="left"/>
              <w:rPr>
                <w:rFonts w:hint="default" w:ascii="Times New Roman" w:hAnsi="Times New Roman" w:eastAsia="宋体" w:cs="Times New Roman"/>
                <w:i w:val="0"/>
                <w:iCs w:val="0"/>
                <w:color w:val="000000"/>
                <w:sz w:val="20"/>
                <w:szCs w:val="20"/>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1D46EAF">
            <w:pPr>
              <w:jc w:val="left"/>
              <w:rPr>
                <w:rFonts w:hint="default" w:ascii="Times New Roman" w:hAnsi="Times New Roman" w:eastAsia="宋体" w:cs="Times New Roman"/>
                <w:i w:val="0"/>
                <w:iCs w:val="0"/>
                <w:color w:val="000000"/>
                <w:sz w:val="20"/>
                <w:szCs w:val="20"/>
                <w:u w:val="none"/>
              </w:rPr>
            </w:pPr>
          </w:p>
        </w:tc>
      </w:tr>
      <w:tr w14:paraId="1D335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36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5940EE">
            <w:pPr>
              <w:jc w:val="center"/>
              <w:rPr>
                <w:rFonts w:hint="eastAsia" w:ascii="宋体" w:hAnsi="宋体" w:eastAsia="宋体" w:cs="宋体"/>
                <w:i w:val="0"/>
                <w:iCs w:val="0"/>
                <w:color w:val="000000"/>
                <w:sz w:val="20"/>
                <w:szCs w:val="20"/>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2B04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（二）其他资金</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A96F7E">
            <w:pPr>
              <w:jc w:val="left"/>
              <w:rPr>
                <w:rFonts w:hint="default" w:ascii="Times New Roman" w:hAnsi="Times New Roman" w:eastAsia="宋体" w:cs="Times New Roman"/>
                <w:i w:val="0"/>
                <w:iCs w:val="0"/>
                <w:color w:val="000000"/>
                <w:sz w:val="20"/>
                <w:szCs w:val="20"/>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A87770">
            <w:pPr>
              <w:jc w:val="left"/>
              <w:rPr>
                <w:rFonts w:hint="default" w:ascii="Times New Roman" w:hAnsi="Times New Roman" w:eastAsia="宋体" w:cs="Times New Roman"/>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E37D47">
            <w:pPr>
              <w:jc w:val="left"/>
              <w:rPr>
                <w:rFonts w:hint="default" w:ascii="Times New Roman" w:hAnsi="Times New Roman" w:eastAsia="宋体" w:cs="Times New Roman"/>
                <w:i w:val="0"/>
                <w:iCs w:val="0"/>
                <w:color w:val="000000"/>
                <w:sz w:val="20"/>
                <w:szCs w:val="20"/>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A589A9">
            <w:pPr>
              <w:jc w:val="left"/>
              <w:rPr>
                <w:rFonts w:hint="default" w:ascii="Times New Roman" w:hAnsi="Times New Roman" w:eastAsia="宋体" w:cs="Times New Roman"/>
                <w:i w:val="0"/>
                <w:iCs w:val="0"/>
                <w:color w:val="000000"/>
                <w:sz w:val="20"/>
                <w:szCs w:val="20"/>
                <w:u w:val="none"/>
              </w:rPr>
            </w:pPr>
          </w:p>
        </w:tc>
      </w:tr>
      <w:tr w14:paraId="756C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4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1F1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 目标</w:t>
            </w:r>
          </w:p>
        </w:tc>
        <w:tc>
          <w:tcPr>
            <w:tcW w:w="641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DFB2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5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D52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完成情况</w:t>
            </w:r>
          </w:p>
        </w:tc>
      </w:tr>
      <w:tr w14:paraId="3FE79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1" w:hRule="atLeast"/>
        </w:trPr>
        <w:tc>
          <w:tcPr>
            <w:tcW w:w="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6DDE72">
            <w:pPr>
              <w:jc w:val="center"/>
              <w:rPr>
                <w:rFonts w:hint="eastAsia" w:ascii="宋体" w:hAnsi="宋体" w:eastAsia="宋体" w:cs="宋体"/>
                <w:i w:val="0"/>
                <w:iCs w:val="0"/>
                <w:color w:val="000000"/>
                <w:sz w:val="20"/>
                <w:szCs w:val="20"/>
                <w:u w:val="none"/>
              </w:rPr>
            </w:pPr>
          </w:p>
        </w:tc>
        <w:tc>
          <w:tcPr>
            <w:tcW w:w="6413" w:type="dxa"/>
            <w:gridSpan w:val="5"/>
            <w:tcBorders>
              <w:top w:val="single" w:color="000000" w:sz="4" w:space="0"/>
              <w:left w:val="single" w:color="000000" w:sz="4" w:space="0"/>
              <w:bottom w:val="single" w:color="000000" w:sz="4" w:space="0"/>
              <w:right w:val="single" w:color="000000" w:sz="4" w:space="0"/>
            </w:tcBorders>
            <w:shd w:val="clear" w:color="auto" w:fill="FFFFFF"/>
            <w:vAlign w:val="top"/>
          </w:tcPr>
          <w:p w14:paraId="63785E50">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43"/>
                <w:lang w:val="en-US" w:eastAsia="zh-CN" w:bidi="ar"/>
              </w:rPr>
              <w:t>完成项目用地</w:t>
            </w:r>
            <w:r>
              <w:rPr>
                <w:rStyle w:val="44"/>
                <w:rFonts w:eastAsia="宋体"/>
                <w:lang w:val="en-US" w:eastAsia="zh-CN" w:bidi="ar"/>
              </w:rPr>
              <w:t>69.39</w:t>
            </w:r>
            <w:r>
              <w:rPr>
                <w:rStyle w:val="43"/>
                <w:lang w:val="en-US" w:eastAsia="zh-CN" w:bidi="ar"/>
              </w:rPr>
              <w:t>亩涉及</w:t>
            </w:r>
            <w:r>
              <w:rPr>
                <w:rStyle w:val="44"/>
                <w:rFonts w:eastAsia="宋体"/>
                <w:lang w:val="en-US" w:eastAsia="zh-CN" w:bidi="ar"/>
              </w:rPr>
              <w:t>20</w:t>
            </w:r>
            <w:r>
              <w:rPr>
                <w:rStyle w:val="43"/>
                <w:lang w:val="en-US" w:eastAsia="zh-CN" w:bidi="ar"/>
              </w:rPr>
              <w:t>户农户土地补偿，通过该项目实施，为项目实施场平打下基础，可逐步满足招商引资企业入驻</w:t>
            </w:r>
            <w:r>
              <w:rPr>
                <w:rStyle w:val="44"/>
                <w:rFonts w:eastAsia="宋体"/>
                <w:lang w:val="en-US" w:eastAsia="zh-CN" w:bidi="ar"/>
              </w:rPr>
              <w:t>2</w:t>
            </w:r>
            <w:r>
              <w:rPr>
                <w:rStyle w:val="43"/>
                <w:lang w:val="en-US" w:eastAsia="zh-CN" w:bidi="ar"/>
              </w:rPr>
              <w:t>家。</w:t>
            </w:r>
          </w:p>
        </w:tc>
        <w:tc>
          <w:tcPr>
            <w:tcW w:w="2501" w:type="dxa"/>
            <w:gridSpan w:val="2"/>
            <w:tcBorders>
              <w:top w:val="single" w:color="000000" w:sz="4" w:space="0"/>
              <w:left w:val="nil"/>
              <w:bottom w:val="single" w:color="000000" w:sz="4" w:space="0"/>
              <w:right w:val="single" w:color="000000" w:sz="4" w:space="0"/>
            </w:tcBorders>
            <w:shd w:val="clear" w:color="auto" w:fill="FFFFFF"/>
            <w:vAlign w:val="top"/>
          </w:tcPr>
          <w:p w14:paraId="2F31E7C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完成项目用地69.39亩，20户农户土地补偿</w:t>
            </w:r>
          </w:p>
        </w:tc>
      </w:tr>
      <w:tr w14:paraId="63BB4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4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7597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07B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CF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3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23D4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16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16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85B8D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 改进措施</w:t>
            </w:r>
          </w:p>
        </w:tc>
      </w:tr>
      <w:tr w14:paraId="0AC65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AE7113">
            <w:pPr>
              <w:jc w:val="left"/>
              <w:rPr>
                <w:rFonts w:hint="eastAsia" w:ascii="宋体" w:hAnsi="宋体" w:eastAsia="宋体" w:cs="宋体"/>
                <w:i w:val="0"/>
                <w:iCs w:val="0"/>
                <w:color w:val="000000"/>
                <w:sz w:val="20"/>
                <w:szCs w:val="20"/>
                <w:u w:val="none"/>
              </w:rPr>
            </w:pP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A15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713" w:type="dxa"/>
            <w:tcBorders>
              <w:top w:val="single" w:color="000000" w:sz="4" w:space="0"/>
              <w:left w:val="single" w:color="000000" w:sz="4" w:space="0"/>
              <w:bottom w:val="nil"/>
              <w:right w:val="single" w:color="000000" w:sz="4" w:space="0"/>
            </w:tcBorders>
            <w:shd w:val="clear" w:color="auto" w:fill="FFFFFF"/>
            <w:vAlign w:val="center"/>
          </w:tcPr>
          <w:p w14:paraId="0381B7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41E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完成土地征收</w:t>
            </w:r>
          </w:p>
        </w:tc>
        <w:tc>
          <w:tcPr>
            <w:tcW w:w="1389" w:type="dxa"/>
            <w:tcBorders>
              <w:top w:val="single" w:color="000000" w:sz="4" w:space="0"/>
              <w:left w:val="single" w:color="000000" w:sz="4" w:space="0"/>
              <w:bottom w:val="single" w:color="000000" w:sz="4" w:space="0"/>
              <w:right w:val="nil"/>
            </w:tcBorders>
            <w:shd w:val="clear" w:color="auto" w:fill="auto"/>
            <w:vAlign w:val="center"/>
          </w:tcPr>
          <w:p w14:paraId="3E37FF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≥69.39亩</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397DE1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69.39亩</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8D95B7">
            <w:pPr>
              <w:jc w:val="left"/>
              <w:rPr>
                <w:rFonts w:hint="default" w:ascii="Times New Roman" w:hAnsi="Times New Roman" w:eastAsia="宋体" w:cs="Times New Roman"/>
                <w:i w:val="0"/>
                <w:iCs w:val="0"/>
                <w:color w:val="000000"/>
                <w:sz w:val="20"/>
                <w:szCs w:val="20"/>
                <w:u w:val="none"/>
              </w:rPr>
            </w:pPr>
          </w:p>
        </w:tc>
      </w:tr>
      <w:tr w14:paraId="5C6A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886BC4">
            <w:pPr>
              <w:jc w:val="left"/>
              <w:rPr>
                <w:rFonts w:hint="eastAsia" w:ascii="宋体" w:hAnsi="宋体" w:eastAsia="宋体" w:cs="宋体"/>
                <w:i w:val="0"/>
                <w:iCs w:val="0"/>
                <w:color w:val="000000"/>
                <w:sz w:val="20"/>
                <w:szCs w:val="20"/>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B20D77">
            <w:pPr>
              <w:jc w:val="center"/>
              <w:rPr>
                <w:rFonts w:hint="eastAsia" w:ascii="宋体" w:hAnsi="宋体" w:eastAsia="宋体" w:cs="宋体"/>
                <w:i w:val="0"/>
                <w:iCs w:val="0"/>
                <w:color w:val="000000"/>
                <w:sz w:val="20"/>
                <w:szCs w:val="20"/>
                <w:u w:val="none"/>
              </w:rPr>
            </w:pPr>
          </w:p>
        </w:tc>
        <w:tc>
          <w:tcPr>
            <w:tcW w:w="1713" w:type="dxa"/>
            <w:tcBorders>
              <w:top w:val="single" w:color="000000" w:sz="4" w:space="0"/>
              <w:left w:val="single" w:color="000000" w:sz="4" w:space="0"/>
              <w:bottom w:val="nil"/>
              <w:right w:val="single" w:color="000000" w:sz="4" w:space="0"/>
            </w:tcBorders>
            <w:shd w:val="clear" w:color="auto" w:fill="FFFFFF"/>
            <w:vAlign w:val="center"/>
          </w:tcPr>
          <w:p w14:paraId="7B370F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B0B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完成征收补偿补偿率</w:t>
            </w:r>
          </w:p>
        </w:tc>
        <w:tc>
          <w:tcPr>
            <w:tcW w:w="1389" w:type="dxa"/>
            <w:tcBorders>
              <w:top w:val="single" w:color="000000" w:sz="4" w:space="0"/>
              <w:left w:val="single" w:color="000000" w:sz="4" w:space="0"/>
              <w:bottom w:val="single" w:color="000000" w:sz="4" w:space="0"/>
              <w:right w:val="nil"/>
            </w:tcBorders>
            <w:shd w:val="clear" w:color="auto" w:fill="auto"/>
            <w:vAlign w:val="center"/>
          </w:tcPr>
          <w:p w14:paraId="02EEEA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1530A2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D644A7">
            <w:pPr>
              <w:jc w:val="left"/>
              <w:rPr>
                <w:rFonts w:hint="default" w:ascii="Times New Roman" w:hAnsi="Times New Roman" w:eastAsia="宋体" w:cs="Times New Roman"/>
                <w:i w:val="0"/>
                <w:iCs w:val="0"/>
                <w:color w:val="000000"/>
                <w:sz w:val="20"/>
                <w:szCs w:val="20"/>
                <w:u w:val="none"/>
              </w:rPr>
            </w:pPr>
          </w:p>
        </w:tc>
      </w:tr>
      <w:tr w14:paraId="1EAE5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3441EF">
            <w:pPr>
              <w:jc w:val="left"/>
              <w:rPr>
                <w:rFonts w:hint="eastAsia" w:ascii="宋体" w:hAnsi="宋体" w:eastAsia="宋体" w:cs="宋体"/>
                <w:i w:val="0"/>
                <w:iCs w:val="0"/>
                <w:color w:val="000000"/>
                <w:sz w:val="20"/>
                <w:szCs w:val="20"/>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2149A6">
            <w:pPr>
              <w:jc w:val="center"/>
              <w:rPr>
                <w:rFonts w:hint="eastAsia" w:ascii="宋体" w:hAnsi="宋体" w:eastAsia="宋体" w:cs="宋体"/>
                <w:i w:val="0"/>
                <w:iCs w:val="0"/>
                <w:color w:val="000000"/>
                <w:sz w:val="20"/>
                <w:szCs w:val="20"/>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3AA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D5D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完成时间</w:t>
            </w:r>
          </w:p>
        </w:tc>
        <w:tc>
          <w:tcPr>
            <w:tcW w:w="1389" w:type="dxa"/>
            <w:tcBorders>
              <w:top w:val="single" w:color="000000" w:sz="4" w:space="0"/>
              <w:left w:val="single" w:color="000000" w:sz="4" w:space="0"/>
              <w:bottom w:val="single" w:color="000000" w:sz="4" w:space="0"/>
              <w:right w:val="nil"/>
            </w:tcBorders>
            <w:shd w:val="clear" w:color="auto" w:fill="auto"/>
            <w:vAlign w:val="center"/>
          </w:tcPr>
          <w:p w14:paraId="13EE46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≤4个月</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591C45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4个月</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9C1778">
            <w:pPr>
              <w:jc w:val="left"/>
              <w:rPr>
                <w:rFonts w:hint="default" w:ascii="Times New Roman" w:hAnsi="Times New Roman" w:eastAsia="宋体" w:cs="Times New Roman"/>
                <w:i w:val="0"/>
                <w:iCs w:val="0"/>
                <w:color w:val="000000"/>
                <w:sz w:val="20"/>
                <w:szCs w:val="20"/>
                <w:u w:val="none"/>
              </w:rPr>
            </w:pPr>
          </w:p>
        </w:tc>
      </w:tr>
      <w:tr w14:paraId="617B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7B5ED5">
            <w:pPr>
              <w:jc w:val="left"/>
              <w:rPr>
                <w:rFonts w:hint="eastAsia" w:ascii="宋体" w:hAnsi="宋体" w:eastAsia="宋体" w:cs="宋体"/>
                <w:i w:val="0"/>
                <w:iCs w:val="0"/>
                <w:color w:val="000000"/>
                <w:sz w:val="20"/>
                <w:szCs w:val="20"/>
                <w:u w:val="none"/>
              </w:rPr>
            </w:pPr>
          </w:p>
        </w:tc>
        <w:tc>
          <w:tcPr>
            <w:tcW w:w="918" w:type="dxa"/>
            <w:tcBorders>
              <w:top w:val="single" w:color="000000" w:sz="4" w:space="0"/>
              <w:left w:val="single" w:color="000000" w:sz="4" w:space="0"/>
              <w:bottom w:val="nil"/>
              <w:right w:val="single" w:color="000000" w:sz="4" w:space="0"/>
            </w:tcBorders>
            <w:shd w:val="clear" w:color="auto" w:fill="FFFFFF"/>
            <w:vAlign w:val="center"/>
          </w:tcPr>
          <w:p w14:paraId="52E55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1E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907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征收补偿费用</w:t>
            </w:r>
          </w:p>
        </w:tc>
        <w:tc>
          <w:tcPr>
            <w:tcW w:w="1389" w:type="dxa"/>
            <w:tcBorders>
              <w:top w:val="single" w:color="000000" w:sz="4" w:space="0"/>
              <w:left w:val="single" w:color="000000" w:sz="4" w:space="0"/>
              <w:bottom w:val="single" w:color="000000" w:sz="4" w:space="0"/>
              <w:right w:val="nil"/>
            </w:tcBorders>
            <w:shd w:val="clear" w:color="auto" w:fill="auto"/>
            <w:vAlign w:val="center"/>
          </w:tcPr>
          <w:p w14:paraId="13CAEC06">
            <w:pPr>
              <w:keepNext w:val="0"/>
              <w:keepLines w:val="0"/>
              <w:widowControl/>
              <w:suppressLineNumbers w:val="0"/>
              <w:jc w:val="left"/>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472万元</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7A19EF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472万元</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905ACF">
            <w:pPr>
              <w:jc w:val="left"/>
              <w:rPr>
                <w:rFonts w:hint="default" w:ascii="Times New Roman" w:hAnsi="Times New Roman" w:eastAsia="宋体" w:cs="Times New Roman"/>
                <w:i w:val="0"/>
                <w:iCs w:val="0"/>
                <w:color w:val="000000"/>
                <w:sz w:val="20"/>
                <w:szCs w:val="20"/>
                <w:u w:val="none"/>
              </w:rPr>
            </w:pPr>
          </w:p>
        </w:tc>
      </w:tr>
      <w:tr w14:paraId="20C48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517793">
            <w:pPr>
              <w:jc w:val="left"/>
              <w:rPr>
                <w:rFonts w:hint="eastAsia" w:ascii="宋体" w:hAnsi="宋体" w:eastAsia="宋体" w:cs="宋体"/>
                <w:i w:val="0"/>
                <w:iCs w:val="0"/>
                <w:color w:val="000000"/>
                <w:sz w:val="20"/>
                <w:szCs w:val="20"/>
                <w:u w:val="none"/>
              </w:rPr>
            </w:pP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D5A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58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社会益指标</w:t>
            </w:r>
          </w:p>
        </w:tc>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315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解决就业人数</w:t>
            </w:r>
          </w:p>
        </w:tc>
        <w:tc>
          <w:tcPr>
            <w:tcW w:w="1389" w:type="dxa"/>
            <w:tcBorders>
              <w:top w:val="single" w:color="000000" w:sz="4" w:space="0"/>
              <w:left w:val="single" w:color="000000" w:sz="4" w:space="0"/>
              <w:bottom w:val="single" w:color="000000" w:sz="4" w:space="0"/>
              <w:right w:val="nil"/>
            </w:tcBorders>
            <w:shd w:val="clear" w:color="auto" w:fill="auto"/>
            <w:vAlign w:val="center"/>
          </w:tcPr>
          <w:p w14:paraId="343EEE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≥100人</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4B9207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100人</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421B060">
            <w:pPr>
              <w:jc w:val="left"/>
              <w:rPr>
                <w:rFonts w:hint="default" w:ascii="Times New Roman" w:hAnsi="Times New Roman" w:eastAsia="宋体" w:cs="Times New Roman"/>
                <w:i w:val="0"/>
                <w:iCs w:val="0"/>
                <w:color w:val="000000"/>
                <w:sz w:val="20"/>
                <w:szCs w:val="20"/>
                <w:u w:val="none"/>
              </w:rPr>
            </w:pPr>
          </w:p>
        </w:tc>
      </w:tr>
      <w:tr w14:paraId="5206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7ED09F">
            <w:pPr>
              <w:jc w:val="left"/>
              <w:rPr>
                <w:rFonts w:hint="eastAsia" w:ascii="宋体" w:hAnsi="宋体" w:eastAsia="宋体" w:cs="宋体"/>
                <w:i w:val="0"/>
                <w:iCs w:val="0"/>
                <w:color w:val="000000"/>
                <w:sz w:val="20"/>
                <w:szCs w:val="20"/>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5EA086">
            <w:pPr>
              <w:jc w:val="center"/>
              <w:rPr>
                <w:rFonts w:hint="eastAsia" w:ascii="宋体" w:hAnsi="宋体" w:eastAsia="宋体" w:cs="宋体"/>
                <w:i w:val="0"/>
                <w:iCs w:val="0"/>
                <w:color w:val="000000"/>
                <w:sz w:val="20"/>
                <w:szCs w:val="20"/>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14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DC1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持续发挥作用的期限</w:t>
            </w:r>
          </w:p>
        </w:tc>
        <w:tc>
          <w:tcPr>
            <w:tcW w:w="1389" w:type="dxa"/>
            <w:tcBorders>
              <w:top w:val="single" w:color="000000" w:sz="4" w:space="0"/>
              <w:left w:val="single" w:color="000000" w:sz="4" w:space="0"/>
              <w:bottom w:val="single" w:color="000000" w:sz="4" w:space="0"/>
              <w:right w:val="nil"/>
            </w:tcBorders>
            <w:shd w:val="clear" w:color="auto" w:fill="auto"/>
            <w:vAlign w:val="center"/>
          </w:tcPr>
          <w:p w14:paraId="11D2EE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50年</w:t>
            </w:r>
          </w:p>
        </w:tc>
        <w:tc>
          <w:tcPr>
            <w:tcW w:w="1275" w:type="dxa"/>
            <w:tcBorders>
              <w:top w:val="single" w:color="000000" w:sz="4" w:space="0"/>
              <w:left w:val="single" w:color="000000" w:sz="4" w:space="0"/>
              <w:bottom w:val="single" w:color="000000" w:sz="4" w:space="0"/>
              <w:right w:val="nil"/>
            </w:tcBorders>
            <w:shd w:val="clear" w:color="auto" w:fill="auto"/>
            <w:vAlign w:val="center"/>
          </w:tcPr>
          <w:p w14:paraId="67F81D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50年</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48B0D4">
            <w:pPr>
              <w:jc w:val="left"/>
              <w:rPr>
                <w:rFonts w:hint="default" w:ascii="Times New Roman" w:hAnsi="Times New Roman" w:eastAsia="宋体" w:cs="Times New Roman"/>
                <w:i w:val="0"/>
                <w:iCs w:val="0"/>
                <w:color w:val="000000"/>
                <w:sz w:val="20"/>
                <w:szCs w:val="20"/>
                <w:u w:val="none"/>
              </w:rPr>
            </w:pPr>
          </w:p>
        </w:tc>
      </w:tr>
      <w:tr w14:paraId="23F77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A13BD4">
            <w:pPr>
              <w:jc w:val="left"/>
              <w:rPr>
                <w:rFonts w:hint="eastAsia" w:ascii="宋体" w:hAnsi="宋体" w:eastAsia="宋体" w:cs="宋体"/>
                <w:i w:val="0"/>
                <w:iCs w:val="0"/>
                <w:color w:val="000000"/>
                <w:sz w:val="20"/>
                <w:szCs w:val="20"/>
                <w:u w:val="none"/>
              </w:rPr>
            </w:pPr>
          </w:p>
        </w:tc>
        <w:tc>
          <w:tcPr>
            <w:tcW w:w="918" w:type="dxa"/>
            <w:tcBorders>
              <w:top w:val="nil"/>
              <w:left w:val="single" w:color="000000" w:sz="4" w:space="0"/>
              <w:bottom w:val="single" w:color="000000" w:sz="4" w:space="0"/>
              <w:right w:val="single" w:color="000000" w:sz="4" w:space="0"/>
            </w:tcBorders>
            <w:shd w:val="clear" w:color="auto" w:fill="FFFFFF"/>
            <w:vAlign w:val="center"/>
          </w:tcPr>
          <w:p w14:paraId="469333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5E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393" w:type="dxa"/>
            <w:gridSpan w:val="2"/>
            <w:tcBorders>
              <w:top w:val="single" w:color="000000" w:sz="4" w:space="0"/>
              <w:left w:val="single" w:color="000000" w:sz="4" w:space="0"/>
              <w:bottom w:val="single" w:color="000000" w:sz="4" w:space="0"/>
              <w:right w:val="nil"/>
            </w:tcBorders>
            <w:shd w:val="clear" w:color="auto" w:fill="auto"/>
            <w:vAlign w:val="center"/>
          </w:tcPr>
          <w:p w14:paraId="19B8D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村民对补偿资金到位的满意度</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15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B2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01B426">
            <w:pPr>
              <w:jc w:val="left"/>
              <w:rPr>
                <w:rFonts w:hint="default" w:ascii="Times New Roman" w:hAnsi="Times New Roman" w:eastAsia="宋体" w:cs="Times New Roman"/>
                <w:i w:val="0"/>
                <w:iCs w:val="0"/>
                <w:color w:val="000000"/>
                <w:sz w:val="20"/>
                <w:szCs w:val="20"/>
                <w:u w:val="none"/>
              </w:rPr>
            </w:pPr>
          </w:p>
        </w:tc>
      </w:tr>
      <w:tr w14:paraId="0738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8134"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7C304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8E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r>
    </w:tbl>
    <w:p w14:paraId="5489FB7D">
      <w:pPr>
        <w:pStyle w:val="2"/>
        <w:rPr>
          <w:rFonts w:hint="eastAsia"/>
          <w:lang w:val="en-US" w:eastAsia="zh-CN"/>
        </w:rPr>
      </w:pPr>
    </w:p>
    <w:p w14:paraId="63AE7A9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eastAsia="zh-CN"/>
        </w:rPr>
      </w:pPr>
    </w:p>
    <w:p w14:paraId="5A2D5038">
      <w:pPr>
        <w:pStyle w:val="2"/>
        <w:rPr>
          <w:rFonts w:hint="eastAsia" w:ascii="宋体" w:hAnsi="宋体" w:eastAsia="宋体" w:cs="宋体"/>
          <w:sz w:val="28"/>
          <w:szCs w:val="28"/>
          <w:lang w:eastAsia="zh-CN"/>
        </w:rPr>
      </w:pPr>
    </w:p>
    <w:p w14:paraId="0B5F5B1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zh-CN" w:eastAsia="zh-CN"/>
        </w:rPr>
        <w:t>附件</w:t>
      </w:r>
      <w:r>
        <w:rPr>
          <w:rFonts w:hint="eastAsia" w:ascii="宋体" w:hAnsi="宋体" w:eastAsia="宋体" w:cs="宋体"/>
          <w:b/>
          <w:bCs/>
          <w:sz w:val="28"/>
          <w:szCs w:val="28"/>
          <w:lang w:val="en-US" w:eastAsia="zh-CN"/>
        </w:rPr>
        <w:t>6：</w:t>
      </w:r>
    </w:p>
    <w:p w14:paraId="74E62E10">
      <w:pPr>
        <w:keepNext w:val="0"/>
        <w:keepLines w:val="0"/>
        <w:pageBreakBefore w:val="0"/>
        <w:widowControl w:val="0"/>
        <w:kinsoku/>
        <w:wordWrap/>
        <w:overflowPunct/>
        <w:topLinePunct w:val="0"/>
        <w:autoSpaceDE/>
        <w:autoSpaceDN/>
        <w:bidi w:val="0"/>
        <w:adjustRightInd/>
        <w:snapToGrid/>
        <w:spacing w:line="240" w:lineRule="auto"/>
        <w:ind w:right="420" w:rightChars="200"/>
        <w:jc w:val="center"/>
        <w:textAlignment w:val="auto"/>
        <w:rPr>
          <w:rFonts w:hint="eastAsia" w:ascii="宋体" w:hAnsi="宋体" w:eastAsia="宋体" w:cs="宋体"/>
          <w:sz w:val="36"/>
          <w:szCs w:val="36"/>
        </w:rPr>
      </w:pPr>
      <w:r>
        <w:rPr>
          <w:rFonts w:hint="eastAsia" w:ascii="宋体" w:hAnsi="宋体" w:eastAsia="宋体" w:cs="宋体"/>
          <w:sz w:val="36"/>
          <w:szCs w:val="36"/>
        </w:rPr>
        <w:t>中国西部（广元）绿色家居产业城生态园区</w:t>
      </w:r>
    </w:p>
    <w:p w14:paraId="7A21EA10">
      <w:pPr>
        <w:keepNext w:val="0"/>
        <w:keepLines w:val="0"/>
        <w:pageBreakBefore w:val="0"/>
        <w:widowControl w:val="0"/>
        <w:kinsoku/>
        <w:wordWrap/>
        <w:overflowPunct/>
        <w:topLinePunct w:val="0"/>
        <w:autoSpaceDE/>
        <w:autoSpaceDN/>
        <w:bidi w:val="0"/>
        <w:adjustRightInd/>
        <w:snapToGrid/>
        <w:spacing w:line="240" w:lineRule="auto"/>
        <w:ind w:right="420" w:rightChars="200"/>
        <w:jc w:val="center"/>
        <w:textAlignment w:val="auto"/>
        <w:rPr>
          <w:rFonts w:hint="eastAsia" w:ascii="宋体" w:hAnsi="宋体" w:eastAsia="宋体" w:cs="宋体"/>
          <w:sz w:val="36"/>
          <w:szCs w:val="36"/>
        </w:rPr>
      </w:pPr>
      <w:r>
        <w:rPr>
          <w:rFonts w:hint="eastAsia" w:ascii="宋体" w:hAnsi="宋体" w:eastAsia="宋体" w:cs="宋体"/>
          <w:sz w:val="36"/>
          <w:szCs w:val="36"/>
        </w:rPr>
        <w:t>综合治理产业扶贫项目——林木制品仓房（二期）</w:t>
      </w:r>
    </w:p>
    <w:p w14:paraId="7F19F556">
      <w:pPr>
        <w:keepNext w:val="0"/>
        <w:keepLines w:val="0"/>
        <w:pageBreakBefore w:val="0"/>
        <w:widowControl w:val="0"/>
        <w:kinsoku/>
        <w:wordWrap/>
        <w:overflowPunct/>
        <w:topLinePunct w:val="0"/>
        <w:autoSpaceDE/>
        <w:autoSpaceDN/>
        <w:bidi w:val="0"/>
        <w:adjustRightInd/>
        <w:snapToGrid/>
        <w:spacing w:line="240" w:lineRule="auto"/>
        <w:ind w:right="420" w:rightChars="200"/>
        <w:jc w:val="center"/>
        <w:textAlignment w:val="auto"/>
        <w:rPr>
          <w:rFonts w:hint="eastAsia" w:ascii="宋体" w:hAnsi="宋体" w:eastAsia="宋体" w:cs="宋体"/>
          <w:sz w:val="36"/>
          <w:szCs w:val="36"/>
        </w:rPr>
      </w:pPr>
      <w:r>
        <w:rPr>
          <w:rFonts w:hint="eastAsia" w:ascii="宋体" w:hAnsi="宋体" w:cs="宋体"/>
          <w:sz w:val="36"/>
          <w:szCs w:val="36"/>
          <w:lang w:eastAsia="zh-CN"/>
        </w:rPr>
        <w:t>项目支出</w:t>
      </w:r>
      <w:r>
        <w:rPr>
          <w:rFonts w:hint="eastAsia" w:ascii="宋体" w:hAnsi="宋体" w:eastAsia="宋体" w:cs="宋体"/>
          <w:sz w:val="36"/>
          <w:szCs w:val="36"/>
        </w:rPr>
        <w:t>绩效评价自评报告</w:t>
      </w:r>
    </w:p>
    <w:p w14:paraId="0A92021A">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lang w:val="zh-CN"/>
        </w:rPr>
      </w:pPr>
    </w:p>
    <w:p w14:paraId="216A1E9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一、项目概况</w:t>
      </w:r>
    </w:p>
    <w:p w14:paraId="7457EC0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（一）项目基本情况</w:t>
      </w:r>
    </w:p>
    <w:p w14:paraId="44894A0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cs="宋体"/>
          <w:sz w:val="28"/>
          <w:szCs w:val="28"/>
          <w:lang w:val="en-US" w:eastAsia="zh-CN"/>
        </w:rPr>
        <w:t>1.</w:t>
      </w:r>
      <w:r>
        <w:rPr>
          <w:rFonts w:hint="eastAsia" w:ascii="宋体" w:hAnsi="宋体" w:eastAsia="宋体" w:cs="宋体"/>
          <w:sz w:val="28"/>
          <w:szCs w:val="28"/>
          <w:lang w:val="zh-CN"/>
        </w:rPr>
        <w:t>项目主管部门（单位）在该项目管理中的职能。</w:t>
      </w:r>
    </w:p>
    <w:p w14:paraId="529FB7E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eastAsia="宋体" w:cs="宋体"/>
          <w:sz w:val="28"/>
          <w:szCs w:val="28"/>
          <w:lang w:val="zh-CN"/>
        </w:rPr>
        <w:t>项目主管部门（单位）在该项目管理中的职能。四川广元昭化经济开发区管理委员会是项目实施机构</w:t>
      </w:r>
      <w:r>
        <w:rPr>
          <w:rFonts w:hint="eastAsia" w:ascii="宋体" w:hAnsi="宋体" w:eastAsia="宋体" w:cs="宋体"/>
          <w:sz w:val="28"/>
          <w:szCs w:val="28"/>
          <w:lang w:val="zh-CN" w:eastAsia="zh-CN"/>
        </w:rPr>
        <w:t>，在项目中的职能包括</w:t>
      </w:r>
      <w:r>
        <w:rPr>
          <w:rFonts w:hint="eastAsia" w:ascii="宋体" w:hAnsi="宋体" w:cs="宋体"/>
          <w:sz w:val="28"/>
          <w:szCs w:val="28"/>
          <w:lang w:val="en-US" w:eastAsia="zh-CN"/>
        </w:rPr>
        <w:t>:项目申报、具体实施、项目监管等。</w:t>
      </w:r>
    </w:p>
    <w:p w14:paraId="535F99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2.项目立项、资金申报的依据。</w:t>
      </w:r>
    </w:p>
    <w:p w14:paraId="6CAFFD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中国西部（广元）绿色家居产业城生态园区综合治理产业扶贫项目——林木制品仓房</w:t>
      </w:r>
      <w:r>
        <w:rPr>
          <w:rFonts w:hint="eastAsia" w:ascii="宋体" w:hAnsi="宋体" w:cs="宋体"/>
          <w:sz w:val="28"/>
          <w:szCs w:val="28"/>
          <w:lang w:val="en-US" w:eastAsia="zh-CN"/>
        </w:rPr>
        <w:t>经昭发改发[2020]269号批复，</w:t>
      </w:r>
      <w:r>
        <w:rPr>
          <w:rFonts w:hint="eastAsia" w:ascii="宋体" w:hAnsi="宋体" w:eastAsia="宋体" w:cs="宋体"/>
          <w:color w:val="auto"/>
          <w:kern w:val="2"/>
          <w:sz w:val="28"/>
          <w:szCs w:val="28"/>
          <w:lang w:val="en-US" w:eastAsia="zh-CN" w:bidi="ar-SA"/>
        </w:rPr>
        <w:t>本项目总投资11000万元。其中配套9000万元</w:t>
      </w:r>
      <w:r>
        <w:rPr>
          <w:rFonts w:hint="eastAsia" w:ascii="宋体" w:hAnsi="宋体" w:cs="宋体"/>
          <w:color w:val="auto"/>
          <w:kern w:val="2"/>
          <w:sz w:val="28"/>
          <w:szCs w:val="28"/>
          <w:lang w:val="en-US" w:eastAsia="zh-CN" w:bidi="ar-SA"/>
        </w:rPr>
        <w:t>、</w:t>
      </w:r>
      <w:r>
        <w:rPr>
          <w:rFonts w:hint="eastAsia" w:ascii="宋体" w:hAnsi="宋体" w:eastAsia="宋体" w:cs="宋体"/>
          <w:color w:val="auto"/>
          <w:kern w:val="2"/>
          <w:sz w:val="28"/>
          <w:szCs w:val="28"/>
          <w:lang w:val="en-US" w:eastAsia="zh-CN" w:bidi="ar-SA"/>
        </w:rPr>
        <w:t>2021年东西部协作已帮扶资金2000万元</w:t>
      </w:r>
      <w:r>
        <w:rPr>
          <w:rFonts w:hint="eastAsia" w:ascii="宋体" w:hAnsi="宋体" w:cs="宋体"/>
          <w:color w:val="auto"/>
          <w:kern w:val="2"/>
          <w:sz w:val="28"/>
          <w:szCs w:val="28"/>
          <w:lang w:val="en-US" w:eastAsia="zh-CN" w:bidi="ar-SA"/>
        </w:rPr>
        <w:t>。</w:t>
      </w:r>
      <w:r>
        <w:rPr>
          <w:rFonts w:hint="eastAsia" w:ascii="宋体" w:hAnsi="宋体" w:eastAsia="宋体" w:cs="宋体"/>
          <w:sz w:val="28"/>
          <w:szCs w:val="28"/>
          <w:lang w:val="en-US" w:eastAsia="zh-CN"/>
        </w:rPr>
        <w:t>（二期）项目</w:t>
      </w:r>
      <w:r>
        <w:rPr>
          <w:rFonts w:hint="eastAsia" w:ascii="宋体" w:hAnsi="宋体" w:eastAsia="宋体" w:cs="宋体"/>
          <w:sz w:val="28"/>
          <w:szCs w:val="28"/>
          <w:lang w:val="zh-CN"/>
        </w:rPr>
        <w:t>主要是续建标准化厂房7#楼、8#楼，共0.7万平方米。</w:t>
      </w:r>
      <w:r>
        <w:rPr>
          <w:rFonts w:hint="eastAsia" w:ascii="宋体" w:hAnsi="宋体" w:eastAsia="宋体" w:cs="宋体"/>
          <w:color w:val="auto"/>
          <w:kern w:val="2"/>
          <w:sz w:val="28"/>
          <w:szCs w:val="28"/>
          <w:lang w:val="en-US" w:eastAsia="zh-CN" w:bidi="ar-SA"/>
        </w:rPr>
        <w:t>2022年拟计划东西部协作帮扶资金2000万元用于本次申报项目的7#、8#楼标准化厂房建设。</w:t>
      </w:r>
      <w:r>
        <w:rPr>
          <w:rFonts w:hint="eastAsia" w:ascii="宋体" w:hAnsi="宋体" w:eastAsia="宋体" w:cs="宋体"/>
          <w:sz w:val="28"/>
          <w:szCs w:val="28"/>
          <w:lang w:val="en-US" w:eastAsia="zh-CN"/>
        </w:rPr>
        <w:t>申请2022年东西部协作项目资金2000万元，获批金额为2000万元。</w:t>
      </w:r>
    </w:p>
    <w:p w14:paraId="5B75D6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资金或项目管理办法制定情况</w:t>
      </w:r>
      <w:r>
        <w:rPr>
          <w:rFonts w:hint="eastAsia" w:ascii="宋体" w:hAnsi="宋体" w:cs="宋体"/>
          <w:sz w:val="28"/>
          <w:szCs w:val="28"/>
          <w:lang w:val="en-US" w:eastAsia="zh-CN"/>
        </w:rPr>
        <w:t>。</w:t>
      </w:r>
    </w:p>
    <w:p w14:paraId="161107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严格按照东西部协作项目资金管理办法执行。</w:t>
      </w:r>
    </w:p>
    <w:p w14:paraId="243A98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eastAsia="宋体" w:cs="宋体"/>
          <w:sz w:val="28"/>
          <w:szCs w:val="28"/>
          <w:lang w:val="en-US" w:eastAsia="zh-CN"/>
        </w:rPr>
        <w:t>资金分配的原则及考虑因素</w:t>
      </w:r>
      <w:r>
        <w:rPr>
          <w:rFonts w:hint="eastAsia" w:ascii="宋体" w:hAnsi="宋体" w:cs="宋体"/>
          <w:sz w:val="28"/>
          <w:szCs w:val="28"/>
          <w:lang w:val="en-US" w:eastAsia="zh-CN"/>
        </w:rPr>
        <w:t>。</w:t>
      </w:r>
    </w:p>
    <w:p w14:paraId="71A020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按照项目实施方案分配资金</w:t>
      </w:r>
      <w:r>
        <w:rPr>
          <w:rFonts w:hint="eastAsia" w:ascii="宋体" w:hAnsi="宋体" w:cs="宋体"/>
          <w:sz w:val="28"/>
          <w:szCs w:val="28"/>
          <w:lang w:val="en-US" w:eastAsia="zh-CN"/>
        </w:rPr>
        <w:t>。</w:t>
      </w:r>
    </w:p>
    <w:p w14:paraId="5F53393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（二）项目绩效目标</w:t>
      </w:r>
    </w:p>
    <w:p w14:paraId="04482A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1．项目主要内容。</w:t>
      </w:r>
    </w:p>
    <w:p w14:paraId="536187B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rPr>
        <w:t>续建标准化厂房7#楼、8#楼，共0.7万平方米</w:t>
      </w:r>
      <w:r>
        <w:rPr>
          <w:rFonts w:hint="eastAsia" w:ascii="宋体" w:hAnsi="宋体" w:eastAsia="宋体" w:cs="宋体"/>
          <w:sz w:val="28"/>
          <w:szCs w:val="28"/>
          <w:lang w:val="en-US" w:eastAsia="zh-CN"/>
        </w:rPr>
        <w:t>.</w:t>
      </w:r>
    </w:p>
    <w:p w14:paraId="7C15636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2．项目应实现的具体绩效目标，包括目标的量化、细化情况以及项目实施进度计划等。</w:t>
      </w:r>
    </w:p>
    <w:p w14:paraId="243BF78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eastAsia="宋体" w:cs="宋体"/>
          <w:color w:val="auto"/>
          <w:kern w:val="2"/>
          <w:sz w:val="28"/>
          <w:szCs w:val="28"/>
          <w:lang w:val="en-US" w:eastAsia="zh-CN" w:bidi="ar-SA"/>
        </w:rPr>
        <w:t>绩效指标三级指标内容齐全，指标值明确，项目完成</w:t>
      </w:r>
      <w:r>
        <w:rPr>
          <w:rFonts w:hint="eastAsia" w:ascii="宋体" w:hAnsi="宋体" w:cs="宋体"/>
          <w:color w:val="auto"/>
          <w:kern w:val="2"/>
          <w:sz w:val="28"/>
          <w:szCs w:val="28"/>
          <w:lang w:val="en-US" w:eastAsia="zh-CN" w:bidi="ar-SA"/>
        </w:rPr>
        <w:t>,</w:t>
      </w:r>
      <w:r>
        <w:rPr>
          <w:rFonts w:hint="eastAsia" w:ascii="宋体" w:hAnsi="宋体" w:eastAsia="宋体" w:cs="宋体"/>
          <w:color w:val="auto"/>
          <w:kern w:val="2"/>
          <w:sz w:val="28"/>
          <w:szCs w:val="28"/>
          <w:lang w:val="en-US" w:eastAsia="zh-CN" w:bidi="ar-SA"/>
        </w:rPr>
        <w:t>指标中数量、质量、时效指标完整。</w:t>
      </w:r>
      <w:r>
        <w:rPr>
          <w:rFonts w:hint="eastAsia" w:ascii="宋体" w:hAnsi="宋体" w:eastAsia="宋体" w:cs="宋体"/>
          <w:sz w:val="28"/>
          <w:szCs w:val="28"/>
          <w:lang w:val="en-US" w:eastAsia="zh-CN"/>
        </w:rPr>
        <w:t>项目设立绩效目标包括</w:t>
      </w:r>
      <w:r>
        <w:rPr>
          <w:rFonts w:hint="eastAsia" w:ascii="宋体" w:hAnsi="宋体" w:cs="宋体"/>
          <w:sz w:val="28"/>
          <w:szCs w:val="28"/>
          <w:lang w:val="en-US" w:eastAsia="zh-CN"/>
        </w:rPr>
        <w:t>建设标准化厂房0.7</w:t>
      </w:r>
      <w:r>
        <w:rPr>
          <w:rFonts w:hint="eastAsia" w:ascii="宋体" w:hAnsi="宋体" w:eastAsia="宋体" w:cs="宋体"/>
          <w:sz w:val="28"/>
          <w:szCs w:val="28"/>
          <w:lang w:val="en-US" w:eastAsia="zh-CN"/>
        </w:rPr>
        <w:t>万平方米、验收达标率</w:t>
      </w:r>
      <w:r>
        <w:rPr>
          <w:rFonts w:hint="eastAsia" w:ascii="宋体" w:hAnsi="宋体" w:cs="宋体"/>
          <w:sz w:val="28"/>
          <w:szCs w:val="28"/>
          <w:lang w:val="en-US" w:eastAsia="zh-CN"/>
        </w:rPr>
        <w:t>100%</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项目完成时间6个月</w:t>
      </w:r>
      <w:r>
        <w:rPr>
          <w:rFonts w:hint="eastAsia" w:ascii="宋体" w:hAnsi="宋体" w:eastAsia="宋体" w:cs="宋体"/>
          <w:sz w:val="28"/>
          <w:szCs w:val="28"/>
          <w:lang w:val="en-US" w:eastAsia="zh-CN"/>
        </w:rPr>
        <w:t>、项目总投资≤</w:t>
      </w:r>
      <w:r>
        <w:rPr>
          <w:rFonts w:hint="eastAsia" w:ascii="宋体" w:hAnsi="宋体" w:cs="宋体"/>
          <w:sz w:val="28"/>
          <w:szCs w:val="28"/>
          <w:lang w:val="en-US" w:eastAsia="zh-CN"/>
        </w:rPr>
        <w:t>2000</w:t>
      </w:r>
      <w:r>
        <w:rPr>
          <w:rFonts w:hint="eastAsia" w:ascii="宋体" w:hAnsi="宋体" w:eastAsia="宋体" w:cs="宋体"/>
          <w:sz w:val="28"/>
          <w:szCs w:val="28"/>
          <w:lang w:val="en-US" w:eastAsia="zh-CN"/>
        </w:rPr>
        <w:t>万元、</w:t>
      </w:r>
      <w:r>
        <w:rPr>
          <w:rFonts w:hint="eastAsia" w:ascii="宋体" w:hAnsi="宋体" w:cs="宋体"/>
          <w:sz w:val="28"/>
          <w:szCs w:val="28"/>
          <w:lang w:val="en-US" w:eastAsia="zh-CN"/>
        </w:rPr>
        <w:t>较好的促进当地就业，带动地方人均收入、扬尘治理达到国家标准</w:t>
      </w:r>
      <w:r>
        <w:rPr>
          <w:rFonts w:hint="eastAsia" w:ascii="宋体" w:hAnsi="宋体" w:eastAsia="宋体" w:cs="宋体"/>
          <w:sz w:val="28"/>
          <w:szCs w:val="28"/>
          <w:lang w:val="en-US" w:eastAsia="zh-CN"/>
        </w:rPr>
        <w:t>等指标。</w:t>
      </w:r>
      <w:r>
        <w:rPr>
          <w:rFonts w:hint="eastAsia" w:ascii="宋体" w:hAnsi="宋体" w:cs="宋体"/>
          <w:sz w:val="28"/>
          <w:szCs w:val="28"/>
          <w:lang w:val="en-US" w:eastAsia="zh-CN"/>
        </w:rPr>
        <w:t>绩效目标根据工作任务内容设定，工作内容全面体现在绩效目标中，目标具体细致。项目绩效目标设置了经济、社会、环境、满意度等指标，所有项目绩效目标均有对应指标。产出指标中数量、时效、成本指标均设置了具体的数量或时点，项目效益指标中对经济效益进行了量化。</w:t>
      </w:r>
    </w:p>
    <w:p w14:paraId="2F60AB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3.申报内容与目标。</w:t>
      </w:r>
    </w:p>
    <w:p w14:paraId="1ABB99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2022年均按照项目</w:t>
      </w:r>
      <w:r>
        <w:rPr>
          <w:rFonts w:hint="eastAsia" w:ascii="宋体" w:hAnsi="宋体" w:eastAsia="宋体" w:cs="宋体"/>
          <w:sz w:val="28"/>
          <w:szCs w:val="28"/>
          <w:lang w:val="en-US" w:eastAsia="zh-CN"/>
        </w:rPr>
        <w:t>实施方案申报</w:t>
      </w:r>
      <w:r>
        <w:rPr>
          <w:rFonts w:hint="eastAsia" w:ascii="宋体" w:hAnsi="宋体" w:cs="宋体"/>
          <w:sz w:val="28"/>
          <w:szCs w:val="28"/>
          <w:lang w:val="en-US" w:eastAsia="zh-CN"/>
        </w:rPr>
        <w:t>实施内容和目标</w:t>
      </w:r>
      <w:r>
        <w:rPr>
          <w:rFonts w:hint="eastAsia" w:ascii="宋体" w:hAnsi="宋体" w:eastAsia="宋体" w:cs="宋体"/>
          <w:sz w:val="28"/>
          <w:szCs w:val="28"/>
          <w:lang w:val="en-US" w:eastAsia="zh-CN"/>
        </w:rPr>
        <w:t>，</w:t>
      </w:r>
      <w:r>
        <w:rPr>
          <w:rFonts w:hint="eastAsia" w:ascii="宋体" w:hAnsi="宋体" w:eastAsia="宋体" w:cs="宋体"/>
          <w:color w:val="auto"/>
          <w:kern w:val="2"/>
          <w:sz w:val="28"/>
          <w:szCs w:val="28"/>
          <w:lang w:val="en-US" w:eastAsia="zh-CN" w:bidi="ar-SA"/>
        </w:rPr>
        <w:t>申报的</w:t>
      </w:r>
      <w:r>
        <w:rPr>
          <w:rFonts w:hint="eastAsia" w:ascii="宋体" w:hAnsi="宋体" w:cs="宋体"/>
          <w:color w:val="auto"/>
          <w:kern w:val="2"/>
          <w:sz w:val="28"/>
          <w:szCs w:val="28"/>
          <w:lang w:val="en-US" w:eastAsia="zh-CN" w:bidi="ar-SA"/>
        </w:rPr>
        <w:t>内容</w:t>
      </w:r>
      <w:r>
        <w:rPr>
          <w:rFonts w:hint="eastAsia" w:ascii="宋体" w:hAnsi="宋体" w:eastAsia="宋体" w:cs="宋体"/>
          <w:color w:val="auto"/>
          <w:kern w:val="2"/>
          <w:sz w:val="28"/>
          <w:szCs w:val="28"/>
          <w:lang w:val="en-US" w:eastAsia="zh-CN" w:bidi="ar-SA"/>
        </w:rPr>
        <w:t>为</w:t>
      </w:r>
      <w:r>
        <w:rPr>
          <w:rFonts w:hint="eastAsia" w:ascii="宋体" w:hAnsi="宋体" w:eastAsia="宋体" w:cs="宋体"/>
          <w:color w:val="auto"/>
          <w:sz w:val="28"/>
          <w:szCs w:val="28"/>
          <w:lang w:val="zh-CN"/>
        </w:rPr>
        <w:t>续建标准</w:t>
      </w:r>
      <w:r>
        <w:rPr>
          <w:rFonts w:hint="eastAsia" w:ascii="宋体" w:hAnsi="宋体" w:eastAsia="宋体" w:cs="宋体"/>
          <w:sz w:val="28"/>
          <w:szCs w:val="28"/>
          <w:lang w:val="zh-CN"/>
        </w:rPr>
        <w:t>化厂房7#楼、8#楼</w:t>
      </w:r>
      <w:r>
        <w:rPr>
          <w:rFonts w:hint="eastAsia" w:ascii="宋体" w:hAnsi="宋体" w:eastAsia="宋体" w:cs="宋体"/>
          <w:color w:val="auto"/>
          <w:kern w:val="2"/>
          <w:sz w:val="28"/>
          <w:szCs w:val="28"/>
          <w:lang w:val="en-US" w:eastAsia="zh-CN" w:bidi="ar-SA"/>
        </w:rPr>
        <w:t>，与实际相符。申报目标</w:t>
      </w:r>
      <w:r>
        <w:rPr>
          <w:rFonts w:hint="eastAsia" w:ascii="宋体" w:hAnsi="宋体" w:cs="宋体"/>
          <w:color w:val="auto"/>
          <w:kern w:val="2"/>
          <w:sz w:val="28"/>
          <w:szCs w:val="28"/>
          <w:lang w:val="en-US" w:eastAsia="zh-CN" w:bidi="ar-SA"/>
        </w:rPr>
        <w:t>与方案</w:t>
      </w:r>
      <w:r>
        <w:rPr>
          <w:rFonts w:hint="eastAsia" w:ascii="宋体" w:hAnsi="宋体" w:eastAsia="宋体" w:cs="宋体"/>
          <w:color w:val="auto"/>
          <w:kern w:val="2"/>
          <w:sz w:val="28"/>
          <w:szCs w:val="28"/>
          <w:lang w:val="en-US" w:eastAsia="zh-CN" w:bidi="ar-SA"/>
        </w:rPr>
        <w:t>绩效目标对应，</w:t>
      </w:r>
      <w:r>
        <w:rPr>
          <w:rFonts w:hint="eastAsia" w:ascii="宋体" w:hAnsi="宋体" w:eastAsia="宋体" w:cs="宋体"/>
          <w:color w:val="auto"/>
          <w:kern w:val="2"/>
          <w:sz w:val="28"/>
          <w:szCs w:val="28"/>
          <w:lang w:val="zh-CN" w:eastAsia="zh-CN" w:bidi="ar-SA"/>
        </w:rPr>
        <w:t>申报目标合理可行。</w:t>
      </w:r>
      <w:r>
        <w:rPr>
          <w:rFonts w:hint="eastAsia" w:ascii="宋体" w:hAnsi="宋体" w:eastAsia="宋体" w:cs="宋体"/>
          <w:sz w:val="28"/>
          <w:szCs w:val="28"/>
          <w:lang w:val="en-US" w:eastAsia="zh-CN"/>
        </w:rPr>
        <w:t>项目进度计划按照</w:t>
      </w:r>
      <w:r>
        <w:rPr>
          <w:rFonts w:hint="eastAsia" w:ascii="宋体" w:hAnsi="宋体" w:cs="宋体"/>
          <w:sz w:val="28"/>
          <w:szCs w:val="28"/>
          <w:lang w:val="en-US" w:eastAsia="zh-CN"/>
        </w:rPr>
        <w:t>拆迁方案</w:t>
      </w:r>
      <w:r>
        <w:rPr>
          <w:rFonts w:hint="eastAsia" w:ascii="宋体" w:hAnsi="宋体" w:eastAsia="宋体" w:cs="宋体"/>
          <w:sz w:val="28"/>
          <w:szCs w:val="28"/>
          <w:lang w:val="en-US" w:eastAsia="zh-CN"/>
        </w:rPr>
        <w:t>相关内容执行。</w:t>
      </w:r>
    </w:p>
    <w:p w14:paraId="1FA6DB5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lang w:val="zh-CN"/>
        </w:rPr>
        <w:t>项目自评步骤及方法</w:t>
      </w:r>
    </w:p>
    <w:p w14:paraId="42B2C1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我单位对此次自评工作高度重视，成立了2022年绩效自评工作小组，按照下列程序实施：</w:t>
      </w:r>
    </w:p>
    <w:p w14:paraId="4CE3C6C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明确绩效自评项目，根据自评项目制定绩效自评方案，成立绩效自评工作小组，分配任务到各实施股室，明确各项目自评责任人；</w:t>
      </w:r>
    </w:p>
    <w:p w14:paraId="10601B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各责任股室收集自评相关资料，采集相关数据；</w:t>
      </w:r>
    </w:p>
    <w:p w14:paraId="6E41829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开展项目自评，组织专家参加评审，并实地踏勘现场；</w:t>
      </w:r>
    </w:p>
    <w:p w14:paraId="4C7F08D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cs="宋体"/>
          <w:sz w:val="28"/>
          <w:szCs w:val="28"/>
          <w:lang w:val="en-US" w:eastAsia="zh-CN"/>
        </w:rPr>
        <w:t>4.</w:t>
      </w:r>
      <w:r>
        <w:rPr>
          <w:rFonts w:hint="eastAsia" w:ascii="宋体" w:hAnsi="宋体" w:eastAsia="宋体" w:cs="宋体"/>
          <w:sz w:val="28"/>
          <w:szCs w:val="28"/>
          <w:lang w:val="zh-CN" w:eastAsia="zh-CN"/>
        </w:rPr>
        <w:t>形成自评结论，并形成自评报告；</w:t>
      </w:r>
    </w:p>
    <w:p w14:paraId="37E91AD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5.</w:t>
      </w:r>
      <w:r>
        <w:rPr>
          <w:rFonts w:hint="eastAsia" w:ascii="宋体" w:hAnsi="宋体" w:eastAsia="宋体" w:cs="宋体"/>
          <w:sz w:val="28"/>
          <w:szCs w:val="28"/>
          <w:lang w:val="en-US" w:eastAsia="zh-CN"/>
        </w:rPr>
        <w:t>自评工作小组以会议方式对自评结果进行会审</w:t>
      </w:r>
      <w:r>
        <w:rPr>
          <w:rFonts w:hint="eastAsia" w:ascii="宋体" w:hAnsi="宋体" w:cs="宋体"/>
          <w:sz w:val="28"/>
          <w:szCs w:val="28"/>
          <w:lang w:val="en-US" w:eastAsia="zh-CN"/>
        </w:rPr>
        <w:t>；</w:t>
      </w:r>
    </w:p>
    <w:p w14:paraId="0CF0096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cs="宋体"/>
          <w:sz w:val="28"/>
          <w:szCs w:val="28"/>
          <w:lang w:val="en-US" w:eastAsia="zh-CN"/>
        </w:rPr>
        <w:t>6.</w:t>
      </w:r>
      <w:r>
        <w:rPr>
          <w:rFonts w:hint="eastAsia" w:ascii="宋体" w:hAnsi="宋体" w:eastAsia="宋体" w:cs="宋体"/>
          <w:sz w:val="28"/>
          <w:szCs w:val="28"/>
          <w:lang w:val="en-US" w:eastAsia="zh-CN"/>
        </w:rPr>
        <w:t>修改完善后按照要求将自评结果上报区财政局。</w:t>
      </w:r>
    </w:p>
    <w:p w14:paraId="05610CB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二、项目资金申报及使用情况</w:t>
      </w:r>
    </w:p>
    <w:p w14:paraId="11E7DBE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zh-CN"/>
        </w:rPr>
        <w:t>（一）项目资金申报及批复情况。</w:t>
      </w:r>
    </w:p>
    <w:p w14:paraId="3FB1D3D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u w:val="none"/>
          <w:shd w:val="clear" w:color="auto" w:fill="auto"/>
          <w:lang w:val="zh-CN" w:eastAsia="zh-CN" w:bidi="ar-SA"/>
        </w:rPr>
      </w:pPr>
      <w:r>
        <w:rPr>
          <w:rFonts w:hint="eastAsia" w:ascii="宋体" w:hAnsi="宋体" w:eastAsia="宋体" w:cs="宋体"/>
          <w:color w:val="auto"/>
          <w:kern w:val="2"/>
          <w:sz w:val="28"/>
          <w:szCs w:val="28"/>
          <w:u w:val="none"/>
          <w:shd w:val="clear" w:color="auto" w:fill="auto"/>
          <w:lang w:val="en-US" w:eastAsia="zh-CN" w:bidi="ar-SA"/>
        </w:rPr>
        <w:t>项目属于中国西部（广元）绿色家居产业城扶贫项目 -启动区大坝项目中的“标准化厂房及配套设施用房”部分建设内容，编制了可行性研究报告，并由区发改局进行审核通过</w:t>
      </w:r>
      <w:r>
        <w:rPr>
          <w:rFonts w:hint="eastAsia" w:ascii="宋体" w:hAnsi="宋体" w:cs="宋体"/>
          <w:color w:val="auto"/>
          <w:kern w:val="2"/>
          <w:sz w:val="28"/>
          <w:szCs w:val="28"/>
          <w:u w:val="none"/>
          <w:shd w:val="clear" w:color="auto" w:fill="auto"/>
          <w:lang w:val="en-US" w:eastAsia="zh-CN" w:bidi="ar-SA"/>
        </w:rPr>
        <w:t>。项目资金申报，获得批复资金2000万元。</w:t>
      </w:r>
    </w:p>
    <w:p w14:paraId="227358B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w:t>
      </w:r>
      <w:r>
        <w:rPr>
          <w:rFonts w:hint="eastAsia" w:ascii="宋体" w:hAnsi="宋体" w:cs="宋体"/>
          <w:b/>
          <w:bCs/>
          <w:sz w:val="28"/>
          <w:szCs w:val="28"/>
          <w:lang w:val="zh-CN"/>
        </w:rPr>
        <w:t>二</w:t>
      </w:r>
      <w:r>
        <w:rPr>
          <w:rFonts w:hint="eastAsia" w:ascii="宋体" w:hAnsi="宋体" w:eastAsia="宋体" w:cs="宋体"/>
          <w:b/>
          <w:bCs/>
          <w:sz w:val="28"/>
          <w:szCs w:val="28"/>
          <w:lang w:val="zh-CN"/>
        </w:rPr>
        <w:t>）资金计划、到位及使用情况</w:t>
      </w:r>
      <w:r>
        <w:rPr>
          <w:rFonts w:hint="eastAsia" w:ascii="宋体" w:hAnsi="宋体" w:cs="宋体"/>
          <w:b/>
          <w:bCs/>
          <w:sz w:val="28"/>
          <w:szCs w:val="28"/>
          <w:lang w:val="zh-CN"/>
        </w:rPr>
        <w:t>。</w:t>
      </w:r>
    </w:p>
    <w:p w14:paraId="65808AE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rPr>
        <w:t>1．资金计划。</w:t>
      </w:r>
      <w:r>
        <w:rPr>
          <w:rFonts w:hint="eastAsia" w:ascii="宋体" w:hAnsi="宋体" w:eastAsia="宋体" w:cs="宋体"/>
          <w:sz w:val="28"/>
          <w:szCs w:val="28"/>
          <w:lang w:val="en-US" w:eastAsia="zh-CN"/>
        </w:rPr>
        <w:t>项目资金计划</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000万元。</w:t>
      </w:r>
    </w:p>
    <w:p w14:paraId="4C7C766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rPr>
        <w:t>2．资金到位。资金</w:t>
      </w:r>
      <w:r>
        <w:rPr>
          <w:rFonts w:hint="eastAsia" w:ascii="宋体" w:hAnsi="宋体" w:cs="宋体"/>
          <w:sz w:val="28"/>
          <w:szCs w:val="28"/>
          <w:lang w:val="zh-CN"/>
        </w:rPr>
        <w:t>到位</w:t>
      </w:r>
      <w:r>
        <w:rPr>
          <w:rFonts w:hint="eastAsia" w:ascii="宋体" w:hAnsi="宋体" w:cs="宋体"/>
          <w:sz w:val="28"/>
          <w:szCs w:val="28"/>
          <w:lang w:val="en-US" w:eastAsia="zh-CN"/>
        </w:rPr>
        <w:t>2000万元，</w:t>
      </w:r>
      <w:r>
        <w:rPr>
          <w:rFonts w:hint="eastAsia" w:ascii="宋体" w:hAnsi="宋体" w:eastAsia="宋体" w:cs="宋体"/>
          <w:sz w:val="28"/>
          <w:szCs w:val="28"/>
          <w:lang w:val="zh-CN"/>
        </w:rPr>
        <w:t>到位率</w:t>
      </w:r>
      <w:r>
        <w:rPr>
          <w:rFonts w:hint="eastAsia" w:ascii="宋体" w:hAnsi="宋体" w:eastAsia="宋体" w:cs="宋体"/>
          <w:sz w:val="28"/>
          <w:szCs w:val="28"/>
          <w:lang w:val="en-US" w:eastAsia="zh-CN"/>
        </w:rPr>
        <w:t>100%，</w:t>
      </w:r>
      <w:r>
        <w:rPr>
          <w:rFonts w:hint="eastAsia" w:ascii="宋体" w:hAnsi="宋体" w:eastAsia="宋体" w:cs="宋体"/>
          <w:sz w:val="28"/>
          <w:szCs w:val="28"/>
          <w:lang w:val="zh-CN"/>
        </w:rPr>
        <w:t>到位及时率</w:t>
      </w:r>
      <w:r>
        <w:rPr>
          <w:rFonts w:hint="eastAsia" w:ascii="宋体" w:hAnsi="宋体" w:eastAsia="宋体" w:cs="宋体"/>
          <w:sz w:val="28"/>
          <w:szCs w:val="28"/>
          <w:lang w:val="en-US" w:eastAsia="zh-CN"/>
        </w:rPr>
        <w:t>100%。</w:t>
      </w:r>
    </w:p>
    <w:p w14:paraId="1544728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3．资金使用。资金支出</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000万元，</w:t>
      </w:r>
      <w:r>
        <w:rPr>
          <w:rFonts w:hint="eastAsia" w:ascii="宋体" w:hAnsi="宋体" w:eastAsia="宋体" w:cs="宋体"/>
          <w:sz w:val="28"/>
          <w:szCs w:val="28"/>
          <w:lang w:val="zh-CN"/>
        </w:rPr>
        <w:t>资金使用安全、规范、效果显著。资金支付范围</w:t>
      </w:r>
      <w:r>
        <w:rPr>
          <w:rFonts w:hint="eastAsia" w:ascii="宋体" w:hAnsi="宋体" w:eastAsia="宋体" w:cs="宋体"/>
          <w:sz w:val="28"/>
          <w:szCs w:val="28"/>
          <w:lang w:val="en-US" w:eastAsia="zh-CN"/>
        </w:rPr>
        <w:t>全用于项目实施</w:t>
      </w:r>
      <w:r>
        <w:rPr>
          <w:rFonts w:hint="eastAsia" w:ascii="宋体" w:hAnsi="宋体" w:eastAsia="宋体" w:cs="宋体"/>
          <w:sz w:val="28"/>
          <w:szCs w:val="28"/>
          <w:lang w:val="zh-CN"/>
        </w:rPr>
        <w:t>。根据项目实施进度支付款项，支付依据合规合法，支出金额与预算相符。</w:t>
      </w:r>
    </w:p>
    <w:p w14:paraId="754D5AA5">
      <w:pPr>
        <w:pStyle w:val="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zh-CN" w:eastAsia="zh-CN" w:bidi="ar-SA"/>
        </w:rPr>
        <w:t>绿色家居产业城生态园区综合治理产业扶贫项目——林木制品仓房（二期）项目</w:t>
      </w:r>
      <w:r>
        <w:rPr>
          <w:rFonts w:hint="eastAsia" w:ascii="宋体" w:hAnsi="宋体" w:eastAsia="宋体" w:cs="宋体"/>
          <w:b w:val="0"/>
          <w:bCs w:val="0"/>
          <w:kern w:val="2"/>
          <w:sz w:val="24"/>
          <w:szCs w:val="24"/>
          <w:lang w:val="en-US" w:eastAsia="zh-CN" w:bidi="ar-SA"/>
        </w:rPr>
        <w:t>资金情况表</w:t>
      </w:r>
    </w:p>
    <w:p w14:paraId="68816AC1">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1"/>
          <w:szCs w:val="21"/>
          <w:lang w:val="en-US" w:eastAsia="zh-CN"/>
        </w:rPr>
      </w:pPr>
      <w:r>
        <w:rPr>
          <w:rFonts w:hint="eastAsia" w:ascii="宋体" w:hAnsi="宋体" w:cs="宋体"/>
          <w:sz w:val="21"/>
          <w:szCs w:val="21"/>
          <w:lang w:val="en-US" w:eastAsia="zh-CN"/>
        </w:rPr>
        <w:t xml:space="preserve">                                                            单位：万元</w:t>
      </w:r>
    </w:p>
    <w:tbl>
      <w:tblPr>
        <w:tblStyle w:val="16"/>
        <w:tblW w:w="8292" w:type="dxa"/>
        <w:jc w:val="center"/>
        <w:tblLayout w:type="fixed"/>
        <w:tblCellMar>
          <w:top w:w="0" w:type="dxa"/>
          <w:left w:w="0" w:type="dxa"/>
          <w:bottom w:w="0" w:type="dxa"/>
          <w:right w:w="0" w:type="dxa"/>
        </w:tblCellMar>
      </w:tblPr>
      <w:tblGrid>
        <w:gridCol w:w="3329"/>
        <w:gridCol w:w="1335"/>
        <w:gridCol w:w="1245"/>
        <w:gridCol w:w="1260"/>
        <w:gridCol w:w="1123"/>
      </w:tblGrid>
      <w:tr w14:paraId="34E3432B">
        <w:tblPrEx>
          <w:tblCellMar>
            <w:top w:w="0" w:type="dxa"/>
            <w:left w:w="0" w:type="dxa"/>
            <w:bottom w:w="0" w:type="dxa"/>
            <w:right w:w="0" w:type="dxa"/>
          </w:tblCellMar>
        </w:tblPrEx>
        <w:trPr>
          <w:trHeight w:val="511" w:hRule="atLeast"/>
          <w:jc w:val="center"/>
        </w:trPr>
        <w:tc>
          <w:tcPr>
            <w:tcW w:w="33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1B512C">
            <w:pPr>
              <w:keepNext w:val="0"/>
              <w:keepLines w:val="0"/>
              <w:pageBreakBefore w:val="0"/>
              <w:widowControl w:val="0"/>
              <w:kinsoku/>
              <w:wordWrap/>
              <w:overflowPunct/>
              <w:topLinePunct w:val="0"/>
              <w:autoSpaceDE/>
              <w:autoSpaceDN/>
              <w:bidi w:val="0"/>
              <w:adjustRightInd/>
              <w:snapToGrid/>
              <w:spacing w:line="300" w:lineRule="exact"/>
              <w:ind w:firstLine="900" w:firstLineChars="500"/>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项目名称</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CA97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rPr>
            </w:pPr>
            <w:r>
              <w:rPr>
                <w:rFonts w:hint="eastAsia" w:ascii="宋体" w:hAnsi="宋体" w:cs="宋体"/>
                <w:sz w:val="18"/>
                <w:szCs w:val="18"/>
                <w:lang w:val="en-US" w:eastAsia="zh-CN"/>
              </w:rPr>
              <w:t>资金计划</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7A0F43">
            <w:pPr>
              <w:keepNext w:val="0"/>
              <w:keepLines w:val="0"/>
              <w:pageBreakBefore w:val="0"/>
              <w:widowControl w:val="0"/>
              <w:kinsoku/>
              <w:wordWrap/>
              <w:overflowPunct/>
              <w:topLinePunct w:val="0"/>
              <w:autoSpaceDE/>
              <w:autoSpaceDN/>
              <w:bidi w:val="0"/>
              <w:adjustRightInd/>
              <w:snapToGrid/>
              <w:spacing w:line="300" w:lineRule="exact"/>
              <w:ind w:firstLine="360" w:firstLineChars="20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资金到位</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7A378">
            <w:pPr>
              <w:keepNext w:val="0"/>
              <w:keepLines w:val="0"/>
              <w:pageBreakBefore w:val="0"/>
              <w:widowControl w:val="0"/>
              <w:kinsoku/>
              <w:wordWrap/>
              <w:overflowPunct/>
              <w:topLinePunct w:val="0"/>
              <w:autoSpaceDE/>
              <w:autoSpaceDN/>
              <w:bidi w:val="0"/>
              <w:adjustRightInd/>
              <w:snapToGrid/>
              <w:spacing w:line="300" w:lineRule="exact"/>
              <w:ind w:firstLine="360" w:firstLineChars="20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资金使用</w:t>
            </w:r>
          </w:p>
        </w:tc>
        <w:tc>
          <w:tcPr>
            <w:tcW w:w="11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1F6BFF">
            <w:pPr>
              <w:keepNext w:val="0"/>
              <w:keepLines w:val="0"/>
              <w:pageBreakBefore w:val="0"/>
              <w:widowControl w:val="0"/>
              <w:kinsoku/>
              <w:wordWrap/>
              <w:overflowPunct/>
              <w:topLinePunct w:val="0"/>
              <w:autoSpaceDE/>
              <w:autoSpaceDN/>
              <w:bidi w:val="0"/>
              <w:adjustRightInd/>
              <w:snapToGrid/>
              <w:spacing w:line="300" w:lineRule="exact"/>
              <w:ind w:firstLine="360" w:firstLineChars="200"/>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结余</w:t>
            </w:r>
          </w:p>
        </w:tc>
      </w:tr>
      <w:tr w14:paraId="6AB83024">
        <w:tblPrEx>
          <w:tblCellMar>
            <w:top w:w="0" w:type="dxa"/>
            <w:left w:w="0" w:type="dxa"/>
            <w:bottom w:w="0" w:type="dxa"/>
            <w:right w:w="0" w:type="dxa"/>
          </w:tblCellMar>
        </w:tblPrEx>
        <w:trPr>
          <w:trHeight w:val="511" w:hRule="atLeast"/>
          <w:jc w:val="center"/>
        </w:trPr>
        <w:tc>
          <w:tcPr>
            <w:tcW w:w="33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E12CD0">
            <w:pPr>
              <w:keepNext w:val="0"/>
              <w:keepLines w:val="0"/>
              <w:pageBreakBefore w:val="0"/>
              <w:widowControl w:val="0"/>
              <w:kinsoku/>
              <w:wordWrap/>
              <w:overflowPunct/>
              <w:topLinePunct w:val="0"/>
              <w:autoSpaceDE/>
              <w:autoSpaceDN/>
              <w:bidi w:val="0"/>
              <w:adjustRightInd/>
              <w:snapToGrid/>
              <w:spacing w:line="300" w:lineRule="exact"/>
              <w:ind w:firstLine="360" w:firstLineChars="200"/>
              <w:jc w:val="center"/>
              <w:textAlignment w:val="auto"/>
              <w:rPr>
                <w:rFonts w:hint="eastAsia" w:ascii="宋体" w:hAnsi="宋体" w:eastAsia="宋体" w:cs="宋体"/>
                <w:sz w:val="18"/>
                <w:szCs w:val="18"/>
              </w:rPr>
            </w:pP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348424">
            <w:pPr>
              <w:keepNext w:val="0"/>
              <w:keepLines w:val="0"/>
              <w:pageBreakBefore w:val="0"/>
              <w:widowControl w:val="0"/>
              <w:kinsoku/>
              <w:wordWrap/>
              <w:overflowPunct/>
              <w:topLinePunct w:val="0"/>
              <w:autoSpaceDE/>
              <w:autoSpaceDN/>
              <w:bidi w:val="0"/>
              <w:adjustRightInd/>
              <w:snapToGrid/>
              <w:spacing w:line="300" w:lineRule="exact"/>
              <w:ind w:firstLine="360" w:firstLineChars="20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财政资金</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48DD37">
            <w:pPr>
              <w:keepNext w:val="0"/>
              <w:keepLines w:val="0"/>
              <w:pageBreakBefore w:val="0"/>
              <w:widowControl w:val="0"/>
              <w:kinsoku/>
              <w:wordWrap/>
              <w:overflowPunct/>
              <w:topLinePunct w:val="0"/>
              <w:autoSpaceDE/>
              <w:autoSpaceDN/>
              <w:bidi w:val="0"/>
              <w:adjustRightInd/>
              <w:snapToGrid/>
              <w:spacing w:line="300" w:lineRule="exact"/>
              <w:ind w:firstLine="360" w:firstLineChars="20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财政资金</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A34702">
            <w:pPr>
              <w:keepNext w:val="0"/>
              <w:keepLines w:val="0"/>
              <w:pageBreakBefore w:val="0"/>
              <w:widowControl w:val="0"/>
              <w:kinsoku/>
              <w:wordWrap/>
              <w:overflowPunct/>
              <w:topLinePunct w:val="0"/>
              <w:autoSpaceDE/>
              <w:autoSpaceDN/>
              <w:bidi w:val="0"/>
              <w:adjustRightInd/>
              <w:snapToGrid/>
              <w:spacing w:line="300" w:lineRule="exact"/>
              <w:ind w:firstLine="360" w:firstLineChars="20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财政资金</w:t>
            </w:r>
          </w:p>
        </w:tc>
        <w:tc>
          <w:tcPr>
            <w:tcW w:w="11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E514D2">
            <w:pPr>
              <w:keepNext w:val="0"/>
              <w:keepLines w:val="0"/>
              <w:pageBreakBefore w:val="0"/>
              <w:widowControl w:val="0"/>
              <w:kinsoku/>
              <w:wordWrap/>
              <w:overflowPunct/>
              <w:topLinePunct w:val="0"/>
              <w:autoSpaceDE/>
              <w:autoSpaceDN/>
              <w:bidi w:val="0"/>
              <w:adjustRightInd/>
              <w:snapToGrid/>
              <w:spacing w:line="300" w:lineRule="exact"/>
              <w:ind w:firstLine="360" w:firstLineChars="200"/>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财政资金</w:t>
            </w:r>
          </w:p>
        </w:tc>
      </w:tr>
      <w:tr w14:paraId="462D93C8">
        <w:tblPrEx>
          <w:tblCellMar>
            <w:top w:w="0" w:type="dxa"/>
            <w:left w:w="0" w:type="dxa"/>
            <w:bottom w:w="0" w:type="dxa"/>
            <w:right w:w="0" w:type="dxa"/>
          </w:tblCellMar>
        </w:tblPrEx>
        <w:trPr>
          <w:trHeight w:val="848" w:hRule="atLeast"/>
          <w:jc w:val="center"/>
        </w:trPr>
        <w:tc>
          <w:tcPr>
            <w:tcW w:w="33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95F0C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zh-CN"/>
              </w:rPr>
              <w:t>绿色家居产业城生态园区综合治理产业扶贫项目——林木制品仓房（二期）</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7B050F">
            <w:pPr>
              <w:keepNext w:val="0"/>
              <w:keepLines w:val="0"/>
              <w:pageBreakBefore w:val="0"/>
              <w:widowControl w:val="0"/>
              <w:kinsoku/>
              <w:wordWrap/>
              <w:overflowPunct/>
              <w:topLinePunct w:val="0"/>
              <w:autoSpaceDE/>
              <w:autoSpaceDN/>
              <w:bidi w:val="0"/>
              <w:adjustRightInd/>
              <w:snapToGrid/>
              <w:spacing w:line="300" w:lineRule="exact"/>
              <w:ind w:firstLine="360" w:firstLineChars="200"/>
              <w:jc w:val="center"/>
              <w:textAlignment w:val="auto"/>
              <w:rPr>
                <w:rFonts w:hint="eastAsia" w:ascii="宋体" w:hAnsi="宋体" w:eastAsia="宋体" w:cs="宋体"/>
                <w:sz w:val="18"/>
                <w:szCs w:val="18"/>
                <w:lang w:val="en-US"/>
              </w:rPr>
            </w:pPr>
            <w:r>
              <w:rPr>
                <w:rFonts w:hint="eastAsia" w:ascii="宋体" w:hAnsi="宋体" w:cs="宋体"/>
                <w:sz w:val="18"/>
                <w:szCs w:val="18"/>
                <w:lang w:val="en-US" w:eastAsia="zh-CN"/>
              </w:rPr>
              <w:t>2</w:t>
            </w:r>
            <w:r>
              <w:rPr>
                <w:rFonts w:hint="eastAsia" w:ascii="宋体" w:hAnsi="宋体" w:eastAsia="宋体" w:cs="宋体"/>
                <w:sz w:val="18"/>
                <w:szCs w:val="18"/>
                <w:lang w:val="en-US" w:eastAsia="zh-CN"/>
              </w:rPr>
              <w:t>000</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3273A">
            <w:pPr>
              <w:keepNext w:val="0"/>
              <w:keepLines w:val="0"/>
              <w:pageBreakBefore w:val="0"/>
              <w:widowControl w:val="0"/>
              <w:kinsoku/>
              <w:wordWrap/>
              <w:overflowPunct/>
              <w:topLinePunct w:val="0"/>
              <w:autoSpaceDE/>
              <w:autoSpaceDN/>
              <w:bidi w:val="0"/>
              <w:adjustRightInd/>
              <w:snapToGrid/>
              <w:spacing w:line="300" w:lineRule="exact"/>
              <w:ind w:firstLine="360" w:firstLineChars="200"/>
              <w:jc w:val="center"/>
              <w:textAlignment w:val="auto"/>
              <w:rPr>
                <w:rFonts w:hint="eastAsia" w:ascii="宋体" w:hAnsi="宋体" w:eastAsia="宋体" w:cs="宋体"/>
                <w:sz w:val="18"/>
                <w:szCs w:val="18"/>
                <w:lang w:val="en-US"/>
              </w:rPr>
            </w:pPr>
            <w:r>
              <w:rPr>
                <w:rFonts w:hint="eastAsia" w:ascii="宋体" w:hAnsi="宋体" w:cs="宋体"/>
                <w:sz w:val="18"/>
                <w:szCs w:val="18"/>
                <w:lang w:val="en-US" w:eastAsia="zh-CN"/>
              </w:rPr>
              <w:t>2</w:t>
            </w:r>
            <w:r>
              <w:rPr>
                <w:rFonts w:hint="eastAsia" w:ascii="宋体" w:hAnsi="宋体" w:eastAsia="宋体" w:cs="宋体"/>
                <w:sz w:val="18"/>
                <w:szCs w:val="18"/>
                <w:lang w:val="en-US" w:eastAsia="zh-CN"/>
              </w:rPr>
              <w:t>000</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FBF243">
            <w:pPr>
              <w:keepNext w:val="0"/>
              <w:keepLines w:val="0"/>
              <w:pageBreakBefore w:val="0"/>
              <w:widowControl w:val="0"/>
              <w:kinsoku/>
              <w:wordWrap/>
              <w:overflowPunct/>
              <w:topLinePunct w:val="0"/>
              <w:autoSpaceDE/>
              <w:autoSpaceDN/>
              <w:bidi w:val="0"/>
              <w:adjustRightInd/>
              <w:snapToGrid/>
              <w:spacing w:line="300" w:lineRule="exact"/>
              <w:ind w:firstLine="360" w:firstLineChars="200"/>
              <w:jc w:val="center"/>
              <w:textAlignment w:val="auto"/>
              <w:rPr>
                <w:rFonts w:hint="eastAsia" w:ascii="宋体" w:hAnsi="宋体" w:eastAsia="宋体" w:cs="宋体"/>
                <w:sz w:val="18"/>
                <w:szCs w:val="18"/>
                <w:lang w:val="en-US"/>
              </w:rPr>
            </w:pPr>
            <w:r>
              <w:rPr>
                <w:rFonts w:hint="eastAsia" w:ascii="宋体" w:hAnsi="宋体" w:cs="宋体"/>
                <w:sz w:val="18"/>
                <w:szCs w:val="18"/>
                <w:lang w:val="en-US" w:eastAsia="zh-CN"/>
              </w:rPr>
              <w:t>2</w:t>
            </w:r>
            <w:r>
              <w:rPr>
                <w:rFonts w:hint="eastAsia" w:ascii="宋体" w:hAnsi="宋体" w:eastAsia="宋体" w:cs="宋体"/>
                <w:sz w:val="18"/>
                <w:szCs w:val="18"/>
                <w:lang w:val="en-US" w:eastAsia="zh-CN"/>
              </w:rPr>
              <w:t>000</w:t>
            </w:r>
          </w:p>
        </w:tc>
        <w:tc>
          <w:tcPr>
            <w:tcW w:w="11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937B16">
            <w:pPr>
              <w:keepNext w:val="0"/>
              <w:keepLines w:val="0"/>
              <w:pageBreakBefore w:val="0"/>
              <w:widowControl w:val="0"/>
              <w:kinsoku/>
              <w:wordWrap/>
              <w:overflowPunct/>
              <w:topLinePunct w:val="0"/>
              <w:autoSpaceDE/>
              <w:autoSpaceDN/>
              <w:bidi w:val="0"/>
              <w:adjustRightInd/>
              <w:snapToGrid/>
              <w:spacing w:line="300" w:lineRule="exact"/>
              <w:ind w:firstLine="360" w:firstLineChars="20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0</w:t>
            </w:r>
          </w:p>
        </w:tc>
      </w:tr>
    </w:tbl>
    <w:p w14:paraId="6FDED15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w:t>
      </w:r>
      <w:r>
        <w:rPr>
          <w:rFonts w:hint="eastAsia" w:ascii="宋体" w:hAnsi="宋体" w:cs="宋体"/>
          <w:b/>
          <w:bCs/>
          <w:sz w:val="28"/>
          <w:szCs w:val="28"/>
          <w:lang w:val="zh-CN"/>
        </w:rPr>
        <w:t>三</w:t>
      </w:r>
      <w:r>
        <w:rPr>
          <w:rFonts w:hint="eastAsia" w:ascii="宋体" w:hAnsi="宋体" w:eastAsia="宋体" w:cs="宋体"/>
          <w:b/>
          <w:bCs/>
          <w:sz w:val="28"/>
          <w:szCs w:val="28"/>
          <w:lang w:val="zh-CN"/>
        </w:rPr>
        <w:t>）项目财务管理情况</w:t>
      </w:r>
      <w:r>
        <w:rPr>
          <w:rFonts w:hint="eastAsia" w:ascii="宋体" w:hAnsi="宋体" w:cs="宋体"/>
          <w:b/>
          <w:bCs/>
          <w:sz w:val="28"/>
          <w:szCs w:val="28"/>
          <w:lang w:val="zh-CN"/>
        </w:rPr>
        <w:t>。</w:t>
      </w:r>
    </w:p>
    <w:p w14:paraId="2DF32AB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本单位财务管理制度健全，</w:t>
      </w:r>
      <w:r>
        <w:rPr>
          <w:rFonts w:hint="eastAsia" w:ascii="宋体" w:hAnsi="宋体" w:cs="宋体"/>
          <w:sz w:val="28"/>
          <w:szCs w:val="28"/>
          <w:lang w:val="zh-CN"/>
        </w:rPr>
        <w:t>项目</w:t>
      </w:r>
      <w:r>
        <w:rPr>
          <w:rFonts w:hint="eastAsia" w:ascii="宋体" w:hAnsi="宋体" w:eastAsia="宋体" w:cs="宋体"/>
          <w:sz w:val="28"/>
          <w:szCs w:val="28"/>
          <w:lang w:val="zh-CN"/>
        </w:rPr>
        <w:t>严格执行财务管理制度，账务处理及时，会计核算规范。</w:t>
      </w:r>
    </w:p>
    <w:p w14:paraId="2776B73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三、项目实施及管理情况</w:t>
      </w:r>
    </w:p>
    <w:p w14:paraId="5B8BB6E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eastAsia="zh-CN"/>
        </w:rPr>
      </w:pPr>
      <w:r>
        <w:rPr>
          <w:rFonts w:hint="eastAsia" w:ascii="宋体" w:hAnsi="宋体" w:cs="宋体"/>
          <w:b/>
          <w:bCs/>
          <w:sz w:val="28"/>
          <w:szCs w:val="28"/>
          <w:lang w:val="en-US" w:eastAsia="zh-CN"/>
        </w:rPr>
        <w:t>（一）</w:t>
      </w:r>
      <w:r>
        <w:rPr>
          <w:rFonts w:hint="eastAsia" w:ascii="宋体" w:hAnsi="宋体" w:eastAsia="宋体" w:cs="宋体"/>
          <w:b/>
          <w:bCs/>
          <w:sz w:val="28"/>
          <w:szCs w:val="28"/>
          <w:lang w:val="zh-CN" w:eastAsia="zh-CN"/>
        </w:rPr>
        <w:t>项目组织架构及实施流程。</w:t>
      </w:r>
    </w:p>
    <w:p w14:paraId="3BAC463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zh-CN" w:eastAsia="zh-CN"/>
        </w:rPr>
      </w:pPr>
      <w:r>
        <w:rPr>
          <w:rFonts w:hint="eastAsia" w:ascii="宋体" w:hAnsi="宋体" w:eastAsia="宋体" w:cs="宋体"/>
          <w:sz w:val="28"/>
          <w:szCs w:val="28"/>
          <w:lang w:val="zh-CN" w:eastAsia="zh-CN"/>
        </w:rPr>
        <w:t>我单位作为实施单位，成立了项目领导小组负责项目统筹安排及管理，安排专人负责实施。具体工作由项目业主</w:t>
      </w:r>
      <w:r>
        <w:rPr>
          <w:rFonts w:hint="eastAsia" w:ascii="宋体" w:hAnsi="宋体" w:eastAsia="宋体" w:cs="宋体"/>
          <w:b w:val="0"/>
          <w:bCs w:val="0"/>
          <w:color w:val="auto"/>
          <w:sz w:val="28"/>
          <w:szCs w:val="28"/>
          <w:lang w:val="en-US" w:eastAsia="zh-CN"/>
        </w:rPr>
        <w:t>四川昭旺家居产业投资有限责任公司负责。</w:t>
      </w:r>
      <w:r>
        <w:rPr>
          <w:rFonts w:hint="eastAsia" w:ascii="宋体" w:hAnsi="宋体" w:cs="宋体"/>
          <w:b w:val="0"/>
          <w:bCs w:val="0"/>
          <w:color w:val="auto"/>
          <w:sz w:val="28"/>
          <w:szCs w:val="28"/>
          <w:lang w:val="en-US" w:eastAsia="zh-CN"/>
        </w:rPr>
        <w:t>其</w:t>
      </w:r>
      <w:r>
        <w:rPr>
          <w:rFonts w:hint="eastAsia" w:ascii="宋体" w:hAnsi="宋体" w:eastAsia="宋体" w:cs="宋体"/>
          <w:b w:val="0"/>
          <w:bCs w:val="0"/>
          <w:color w:val="auto"/>
          <w:sz w:val="28"/>
          <w:szCs w:val="28"/>
          <w:lang w:val="zh-CN" w:eastAsia="zh-CN"/>
        </w:rPr>
        <w:t>主要职责：</w:t>
      </w:r>
    </w:p>
    <w:p w14:paraId="703F0EF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①对项目建设的全过程负责，对项目的工程质量、工程进度、工程安全和资金管理负总责。</w:t>
      </w:r>
    </w:p>
    <w:p w14:paraId="3A2397F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a.负责组建现场建设管理机构或指派专职管理人员；</w:t>
      </w:r>
    </w:p>
    <w:p w14:paraId="72A5C88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b.负责拟订工程建设计划、质量管理制度、岗位责任制和安全生产责任制；</w:t>
      </w:r>
    </w:p>
    <w:p w14:paraId="1A67AB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c.负责对工程质量、进度、安全、投资等进行管理、检查和监督；</w:t>
      </w:r>
    </w:p>
    <w:p w14:paraId="4DE4048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d.负责协调项目政策处理等外部关系；</w:t>
      </w:r>
    </w:p>
    <w:p w14:paraId="0D4825C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e.负责向主管部门定期汇报各项工作进展情况。</w:t>
      </w:r>
    </w:p>
    <w:p w14:paraId="479ACC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eastAsia="zh-CN"/>
        </w:rPr>
        <w:t>②按照</w:t>
      </w:r>
      <w:r>
        <w:rPr>
          <w:rFonts w:hint="eastAsia" w:ascii="宋体" w:hAnsi="宋体" w:cs="宋体"/>
          <w:sz w:val="28"/>
          <w:szCs w:val="28"/>
          <w:lang w:val="zh-CN" w:eastAsia="zh-CN"/>
        </w:rPr>
        <w:t>《中华人民共和国招标投标法》</w:t>
      </w:r>
      <w:r>
        <w:rPr>
          <w:rFonts w:hint="eastAsia" w:ascii="宋体" w:hAnsi="宋体" w:eastAsia="宋体" w:cs="宋体"/>
          <w:sz w:val="28"/>
          <w:szCs w:val="28"/>
          <w:lang w:val="zh-CN" w:eastAsia="zh-CN"/>
        </w:rPr>
        <w:t>、《中华人民共和国合同法》和《建设工程质量管理条例》的有关规定，通过公开招投标确定具有相应资质的勘察设计单位、施工单位、监理单位，并明确勘察设计单位、施工单位、工程监理单位质量终身责任人及其所应负的责任。</w:t>
      </w:r>
    </w:p>
    <w:p w14:paraId="317EE7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rPr>
      </w:pPr>
      <w:r>
        <w:rPr>
          <w:rFonts w:hint="eastAsia" w:ascii="宋体" w:hAnsi="宋体" w:cs="宋体"/>
          <w:b/>
          <w:bCs/>
          <w:sz w:val="28"/>
          <w:szCs w:val="28"/>
          <w:lang w:val="en-US" w:eastAsia="zh-CN"/>
        </w:rPr>
        <w:t>（二）</w:t>
      </w:r>
      <w:r>
        <w:rPr>
          <w:rFonts w:hint="eastAsia" w:ascii="宋体" w:hAnsi="宋体" w:eastAsia="宋体" w:cs="宋体"/>
          <w:b/>
          <w:bCs/>
          <w:sz w:val="28"/>
          <w:szCs w:val="28"/>
          <w:lang w:val="en-US" w:eastAsia="zh-CN"/>
        </w:rPr>
        <w:t>项目管理</w:t>
      </w:r>
      <w:r>
        <w:rPr>
          <w:rFonts w:hint="eastAsia" w:ascii="宋体" w:hAnsi="宋体" w:eastAsia="宋体" w:cs="宋体"/>
          <w:b/>
          <w:bCs/>
          <w:sz w:val="28"/>
          <w:szCs w:val="28"/>
          <w:lang w:val="zh-CN"/>
        </w:rPr>
        <w:t>理情况</w:t>
      </w:r>
      <w:r>
        <w:rPr>
          <w:rFonts w:hint="eastAsia" w:ascii="宋体" w:hAnsi="宋体" w:cs="宋体"/>
          <w:b/>
          <w:bCs/>
          <w:sz w:val="28"/>
          <w:szCs w:val="28"/>
          <w:lang w:val="zh-CN"/>
        </w:rPr>
        <w:t>。</w:t>
      </w:r>
    </w:p>
    <w:p w14:paraId="11BF1B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本项目作为基本建设项目，严格按照基本建设程序实施，包括立项审批、勘察设计、预算评审、变更审批、质量监督、竣工验收、结算审查等，管理中严格遵守业主法人制度、招投标制度、监理制度（按照监理规范执行监理）、书面合同制度（均按照合同范本签订了书面合同），管理有序。项目在实施过程中严格执行国家、地方相关管理制度，并严格执行公司《安全生产责任追究制度》、《阳光采购监督管理办法》、《工程建设项目选聘管理办法》等制度，进行了项目招投标、项目公示等。</w:t>
      </w:r>
    </w:p>
    <w:p w14:paraId="4F5257C5">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sz w:val="28"/>
          <w:szCs w:val="28"/>
          <w:lang w:val="zh-CN"/>
        </w:rPr>
      </w:pPr>
      <w:r>
        <w:rPr>
          <w:rFonts w:hint="eastAsia" w:ascii="宋体" w:hAnsi="宋体" w:eastAsia="宋体" w:cs="宋体"/>
          <w:b/>
          <w:bCs/>
          <w:sz w:val="28"/>
          <w:szCs w:val="28"/>
          <w:lang w:val="zh-CN"/>
        </w:rPr>
        <w:t>项目监管情况</w:t>
      </w:r>
      <w:r>
        <w:rPr>
          <w:rFonts w:hint="eastAsia" w:ascii="宋体" w:hAnsi="宋体" w:eastAsia="宋体" w:cs="宋体"/>
          <w:sz w:val="28"/>
          <w:szCs w:val="28"/>
          <w:lang w:val="zh-CN"/>
        </w:rPr>
        <w:t>。</w:t>
      </w:r>
    </w:p>
    <w:p w14:paraId="31DE16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项目的实施接受建设主管部门的日常监管。</w:t>
      </w:r>
      <w:r>
        <w:rPr>
          <w:rFonts w:hint="eastAsia" w:ascii="宋体" w:hAnsi="宋体" w:cs="宋体"/>
          <w:sz w:val="28"/>
          <w:szCs w:val="28"/>
          <w:lang w:val="zh-CN"/>
        </w:rPr>
        <w:t>资金我单位按照专项资金管理办法监管。</w:t>
      </w:r>
    </w:p>
    <w:p w14:paraId="4966544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四、项目绩效情况</w:t>
      </w:r>
      <w:r>
        <w:rPr>
          <w:rFonts w:hint="eastAsia" w:ascii="宋体" w:hAnsi="宋体" w:eastAsia="宋体" w:cs="宋体"/>
          <w:b/>
          <w:bCs/>
          <w:sz w:val="28"/>
          <w:szCs w:val="28"/>
          <w:lang w:val="zh-CN" w:eastAsia="zh-CN"/>
        </w:rPr>
        <w:tab/>
      </w:r>
    </w:p>
    <w:p w14:paraId="6F293E0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（一）项目完成情况</w:t>
      </w:r>
      <w:r>
        <w:rPr>
          <w:rFonts w:hint="eastAsia" w:ascii="宋体" w:hAnsi="宋体" w:cs="宋体"/>
          <w:b/>
          <w:bCs/>
          <w:sz w:val="28"/>
          <w:szCs w:val="28"/>
          <w:lang w:val="zh-CN" w:eastAsia="zh-CN"/>
        </w:rPr>
        <w:t>。</w:t>
      </w:r>
    </w:p>
    <w:p w14:paraId="7DE486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rPr>
        <w:t>项目</w:t>
      </w:r>
      <w:r>
        <w:rPr>
          <w:rFonts w:hint="eastAsia" w:ascii="宋体" w:hAnsi="宋体" w:cs="宋体"/>
          <w:sz w:val="28"/>
          <w:szCs w:val="28"/>
          <w:lang w:val="en-US" w:eastAsia="zh-CN"/>
        </w:rPr>
        <w:t>2022年完成</w:t>
      </w:r>
      <w:r>
        <w:rPr>
          <w:rFonts w:hint="eastAsia" w:ascii="宋体" w:hAnsi="宋体" w:eastAsia="宋体" w:cs="宋体"/>
          <w:sz w:val="28"/>
          <w:szCs w:val="28"/>
          <w:lang w:val="zh-CN"/>
        </w:rPr>
        <w:t>7#、8#楼标准化厂房建设</w:t>
      </w:r>
      <w:r>
        <w:rPr>
          <w:rFonts w:hint="eastAsia" w:ascii="宋体" w:hAnsi="宋体" w:cs="宋体"/>
          <w:sz w:val="28"/>
          <w:szCs w:val="28"/>
          <w:lang w:val="en-US" w:eastAsia="zh-CN"/>
        </w:rPr>
        <w:t>，</w:t>
      </w:r>
      <w:r>
        <w:rPr>
          <w:rFonts w:hint="eastAsia" w:ascii="宋体" w:hAnsi="宋体" w:eastAsia="宋体" w:cs="宋体"/>
          <w:sz w:val="28"/>
          <w:szCs w:val="28"/>
          <w:lang w:val="zh-CN"/>
        </w:rPr>
        <w:t>全部完成预期目标，均达到数量计划值，质量良好、按时完成、未超预算，无资金结余，无违规违纪情况。</w:t>
      </w:r>
      <w:r>
        <w:rPr>
          <w:rFonts w:hint="eastAsia" w:ascii="宋体" w:hAnsi="宋体" w:eastAsia="宋体" w:cs="宋体"/>
          <w:sz w:val="28"/>
          <w:szCs w:val="28"/>
          <w:lang w:val="en-US" w:eastAsia="zh-CN"/>
        </w:rPr>
        <w:t xml:space="preserve">      </w:t>
      </w:r>
    </w:p>
    <w:p w14:paraId="6A7623D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（二）项目效益情况</w:t>
      </w:r>
      <w:r>
        <w:rPr>
          <w:rFonts w:hint="eastAsia" w:ascii="宋体" w:hAnsi="宋体" w:cs="宋体"/>
          <w:b/>
          <w:bCs/>
          <w:sz w:val="28"/>
          <w:szCs w:val="28"/>
          <w:lang w:val="zh-CN" w:eastAsia="zh-CN"/>
        </w:rPr>
        <w:t>。</w:t>
      </w:r>
    </w:p>
    <w:p w14:paraId="359700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en-US" w:eastAsia="zh-CN"/>
        </w:rPr>
        <w:t>项目</w:t>
      </w:r>
      <w:r>
        <w:rPr>
          <w:rFonts w:hint="eastAsia" w:ascii="宋体" w:hAnsi="宋体" w:cs="宋体"/>
          <w:sz w:val="28"/>
          <w:szCs w:val="28"/>
          <w:lang w:val="en-US" w:eastAsia="zh-CN"/>
        </w:rPr>
        <w:t>已完成建设</w:t>
      </w:r>
      <w:r>
        <w:rPr>
          <w:rFonts w:hint="eastAsia" w:ascii="宋体" w:hAnsi="宋体" w:eastAsia="宋体" w:cs="宋体"/>
          <w:sz w:val="28"/>
          <w:szCs w:val="28"/>
          <w:lang w:val="zh-CN" w:eastAsia="zh-CN"/>
        </w:rPr>
        <w:t>。投</w:t>
      </w:r>
      <w:r>
        <w:rPr>
          <w:rFonts w:hint="eastAsia" w:ascii="宋体" w:hAnsi="宋体" w:eastAsia="宋体" w:cs="宋体"/>
          <w:color w:val="auto"/>
          <w:sz w:val="28"/>
          <w:szCs w:val="28"/>
          <w:lang w:val="zh-CN" w:eastAsia="zh-CN"/>
        </w:rPr>
        <w:t>入使用后预计</w:t>
      </w:r>
      <w:r>
        <w:rPr>
          <w:rFonts w:hint="eastAsia" w:ascii="宋体" w:hAnsi="宋体" w:eastAsia="宋体" w:cs="宋体"/>
          <w:sz w:val="28"/>
          <w:szCs w:val="28"/>
          <w:lang w:val="zh-CN" w:eastAsia="zh-CN"/>
        </w:rPr>
        <w:t>年可实现经营收入2000万元左右，纳税100万元左右。同时，本项目的建设有利于完善家居产业城的基础设施，推进区域家具产业链集群发展，提升广元市现代家居产业的竞争力，并带动周边区域的开发建设进程，加快当地其他产业的发展，增加新的就业机会，为当地群众增收。本项目在建设过程中，已吸纳昭化本地群众就近务工41人。项目建成后，预计能吸纳昭化本地群众稳定就业30人。</w:t>
      </w:r>
    </w:p>
    <w:p w14:paraId="2E708CB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五、评价结论及建议</w:t>
      </w:r>
    </w:p>
    <w:p w14:paraId="382DF42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（一）评价结论</w:t>
      </w:r>
      <w:r>
        <w:rPr>
          <w:rFonts w:hint="eastAsia" w:ascii="宋体" w:hAnsi="宋体" w:cs="宋体"/>
          <w:b/>
          <w:bCs/>
          <w:sz w:val="28"/>
          <w:szCs w:val="28"/>
          <w:lang w:val="zh-CN"/>
        </w:rPr>
        <w:t>。</w:t>
      </w:r>
    </w:p>
    <w:p w14:paraId="69708E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zh-CN" w:eastAsia="zh-CN"/>
        </w:rPr>
        <w:t>项目程序严密、规划合理、制度完备；</w:t>
      </w:r>
      <w:r>
        <w:rPr>
          <w:rFonts w:hint="eastAsia" w:ascii="宋体" w:hAnsi="宋体" w:eastAsia="宋体" w:cs="宋体"/>
          <w:sz w:val="28"/>
          <w:szCs w:val="28"/>
          <w:lang w:val="en-US" w:eastAsia="zh-CN"/>
        </w:rPr>
        <w:t>项目严格按照基本建设管理制度</w:t>
      </w:r>
      <w:r>
        <w:rPr>
          <w:rFonts w:hint="eastAsia" w:ascii="宋体" w:hAnsi="宋体" w:cs="宋体"/>
          <w:sz w:val="28"/>
          <w:szCs w:val="28"/>
          <w:lang w:val="en-US" w:eastAsia="zh-CN"/>
        </w:rPr>
        <w:t>管理要求执行，分配合理、使用合规、执行有效；项目无资金结余，及时完成年度预期目标，</w:t>
      </w:r>
      <w:r>
        <w:rPr>
          <w:rFonts w:hint="eastAsia" w:ascii="宋体" w:hAnsi="宋体" w:eastAsia="宋体" w:cs="宋体"/>
          <w:sz w:val="28"/>
          <w:szCs w:val="28"/>
          <w:lang w:val="en-US" w:eastAsia="zh-CN"/>
        </w:rPr>
        <w:t>管理良好，实施有序，</w:t>
      </w:r>
      <w:r>
        <w:rPr>
          <w:rFonts w:hint="eastAsia" w:ascii="宋体" w:hAnsi="宋体" w:cs="宋体"/>
          <w:sz w:val="28"/>
          <w:szCs w:val="28"/>
          <w:lang w:val="en-US" w:eastAsia="zh-CN"/>
        </w:rPr>
        <w:t>完成后取得预期效益</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2022年</w:t>
      </w:r>
      <w:r>
        <w:rPr>
          <w:rFonts w:hint="eastAsia" w:ascii="宋体" w:hAnsi="宋体" w:eastAsia="宋体" w:cs="宋体"/>
          <w:sz w:val="28"/>
          <w:szCs w:val="28"/>
          <w:lang w:val="en-US" w:eastAsia="zh-CN"/>
        </w:rPr>
        <w:t>达到了</w:t>
      </w:r>
      <w:r>
        <w:rPr>
          <w:rFonts w:hint="eastAsia" w:ascii="宋体" w:hAnsi="宋体" w:cs="宋体"/>
          <w:sz w:val="28"/>
          <w:szCs w:val="28"/>
          <w:lang w:val="en-US" w:eastAsia="zh-CN"/>
        </w:rPr>
        <w:t>年度</w:t>
      </w:r>
      <w:r>
        <w:rPr>
          <w:rFonts w:hint="eastAsia" w:ascii="宋体" w:hAnsi="宋体" w:eastAsia="宋体" w:cs="宋体"/>
          <w:sz w:val="28"/>
          <w:szCs w:val="28"/>
          <w:lang w:val="en-US" w:eastAsia="zh-CN"/>
        </w:rPr>
        <w:t>预期目标</w:t>
      </w:r>
      <w:r>
        <w:rPr>
          <w:rFonts w:hint="eastAsia" w:ascii="宋体" w:hAnsi="宋体" w:eastAsia="宋体" w:cs="宋体"/>
          <w:sz w:val="28"/>
          <w:szCs w:val="28"/>
          <w:lang w:val="zh-CN"/>
        </w:rPr>
        <w:t>。</w:t>
      </w:r>
      <w:r>
        <w:rPr>
          <w:rFonts w:hint="eastAsia" w:ascii="宋体" w:hAnsi="宋体" w:cs="宋体"/>
          <w:sz w:val="28"/>
          <w:szCs w:val="28"/>
          <w:lang w:val="zh-CN"/>
        </w:rPr>
        <w:t>自评</w:t>
      </w:r>
      <w:r>
        <w:rPr>
          <w:rFonts w:hint="eastAsia" w:ascii="宋体" w:hAnsi="宋体" w:eastAsia="宋体" w:cs="宋体"/>
          <w:sz w:val="28"/>
          <w:szCs w:val="28"/>
          <w:lang w:val="zh-CN"/>
        </w:rPr>
        <w:t>得分</w:t>
      </w:r>
      <w:r>
        <w:rPr>
          <w:rFonts w:hint="eastAsia" w:ascii="宋体" w:hAnsi="宋体" w:eastAsia="宋体" w:cs="宋体"/>
          <w:sz w:val="28"/>
          <w:szCs w:val="28"/>
          <w:lang w:val="en-US" w:eastAsia="zh-CN"/>
        </w:rPr>
        <w:t>99分。</w:t>
      </w:r>
    </w:p>
    <w:p w14:paraId="79DC24F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（二）存在的问题</w:t>
      </w:r>
      <w:r>
        <w:rPr>
          <w:rFonts w:hint="eastAsia" w:ascii="宋体" w:hAnsi="宋体" w:cs="宋体"/>
          <w:b/>
          <w:bCs/>
          <w:sz w:val="28"/>
          <w:szCs w:val="28"/>
          <w:lang w:val="zh-CN"/>
        </w:rPr>
        <w:t>。</w:t>
      </w:r>
    </w:p>
    <w:p w14:paraId="200B1F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zh-CN"/>
        </w:rPr>
      </w:pPr>
      <w:r>
        <w:rPr>
          <w:rFonts w:hint="eastAsia" w:ascii="宋体" w:hAnsi="宋体" w:cs="宋体"/>
          <w:sz w:val="28"/>
          <w:szCs w:val="28"/>
          <w:lang w:val="zh-CN"/>
        </w:rPr>
        <w:t>无。</w:t>
      </w:r>
    </w:p>
    <w:p w14:paraId="17C4E7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ab/>
      </w:r>
      <w:r>
        <w:rPr>
          <w:rFonts w:hint="eastAsia" w:ascii="宋体" w:hAnsi="宋体" w:eastAsia="宋体" w:cs="宋体"/>
          <w:b/>
          <w:bCs/>
          <w:sz w:val="28"/>
          <w:szCs w:val="28"/>
          <w:lang w:val="zh-CN"/>
        </w:rPr>
        <w:t>（三）相关建议</w:t>
      </w:r>
      <w:r>
        <w:rPr>
          <w:rFonts w:hint="eastAsia" w:ascii="宋体" w:hAnsi="宋体" w:cs="宋体"/>
          <w:b/>
          <w:bCs/>
          <w:sz w:val="28"/>
          <w:szCs w:val="28"/>
          <w:lang w:val="zh-CN"/>
        </w:rPr>
        <w:t>。</w:t>
      </w:r>
    </w:p>
    <w:p w14:paraId="44B7F50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eastAsia="zh-CN"/>
        </w:rPr>
      </w:pPr>
      <w:r>
        <w:rPr>
          <w:rFonts w:hint="eastAsia" w:ascii="宋体" w:hAnsi="宋体" w:cs="宋体"/>
          <w:sz w:val="28"/>
          <w:szCs w:val="28"/>
          <w:lang w:eastAsia="zh-CN"/>
        </w:rPr>
        <w:t>加大招商引资力度，及时投入使用为入园企业提供好的生产平台，促使企业尽快投入生产，推动家居产业城的发展壮大。</w:t>
      </w:r>
    </w:p>
    <w:p w14:paraId="5AAA81F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zh-CN" w:eastAsia="zh-CN"/>
        </w:rPr>
      </w:pPr>
    </w:p>
    <w:p w14:paraId="0485EDF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zh-CN" w:eastAsia="zh-CN"/>
        </w:rPr>
      </w:pPr>
    </w:p>
    <w:p w14:paraId="53B3872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zh-CN" w:eastAsia="zh-CN"/>
        </w:rPr>
      </w:pPr>
    </w:p>
    <w:p w14:paraId="670115B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zh-CN" w:eastAsia="zh-CN"/>
        </w:rPr>
      </w:pPr>
    </w:p>
    <w:p w14:paraId="7834C2C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zh-CN" w:eastAsia="zh-CN"/>
        </w:rPr>
      </w:pPr>
    </w:p>
    <w:p w14:paraId="23859A6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zh-CN" w:eastAsia="zh-CN"/>
        </w:rPr>
      </w:pPr>
      <w:r>
        <w:rPr>
          <w:rFonts w:hint="eastAsia" w:ascii="宋体" w:hAnsi="宋体" w:cs="宋体"/>
          <w:sz w:val="28"/>
          <w:szCs w:val="28"/>
          <w:lang w:val="zh-CN" w:eastAsia="zh-CN"/>
        </w:rPr>
        <w:t>附表：</w:t>
      </w:r>
    </w:p>
    <w:tbl>
      <w:tblPr>
        <w:tblStyle w:val="16"/>
        <w:tblW w:w="9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959"/>
        <w:gridCol w:w="1717"/>
        <w:gridCol w:w="959"/>
        <w:gridCol w:w="1291"/>
        <w:gridCol w:w="1451"/>
        <w:gridCol w:w="1331"/>
        <w:gridCol w:w="1027"/>
      </w:tblGrid>
      <w:tr w14:paraId="43673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440" w:type="dxa"/>
            <w:gridSpan w:val="8"/>
            <w:tcBorders>
              <w:top w:val="nil"/>
              <w:left w:val="nil"/>
              <w:bottom w:val="nil"/>
              <w:right w:val="nil"/>
            </w:tcBorders>
            <w:shd w:val="clear" w:color="auto" w:fill="auto"/>
            <w:noWrap/>
            <w:vAlign w:val="center"/>
          </w:tcPr>
          <w:p w14:paraId="3DB7B854">
            <w:pPr>
              <w:keepNext w:val="0"/>
              <w:keepLines w:val="0"/>
              <w:widowControl/>
              <w:suppressLineNumbers w:val="0"/>
              <w:jc w:val="center"/>
              <w:textAlignment w:val="center"/>
              <w:rPr>
                <w:rFonts w:hint="eastAsia" w:ascii="宋体" w:hAnsi="宋体" w:eastAsia="宋体" w:cs="宋体"/>
                <w:i w:val="0"/>
                <w:iCs w:val="0"/>
                <w:color w:val="000000"/>
                <w:sz w:val="34"/>
                <w:szCs w:val="34"/>
                <w:u w:val="none"/>
              </w:rPr>
            </w:pPr>
            <w:r>
              <w:rPr>
                <w:rFonts w:hint="eastAsia" w:ascii="宋体" w:hAnsi="宋体" w:cs="宋体"/>
                <w:sz w:val="28"/>
                <w:szCs w:val="28"/>
                <w:lang w:val="en-US" w:eastAsia="zh-CN"/>
              </w:rPr>
              <w:t>广元市昭化区财政项目支出绩效自评表</w:t>
            </w:r>
          </w:p>
        </w:tc>
      </w:tr>
      <w:tr w14:paraId="1118B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8"/>
            <w:tcBorders>
              <w:top w:val="nil"/>
              <w:left w:val="nil"/>
              <w:bottom w:val="nil"/>
              <w:right w:val="nil"/>
            </w:tcBorders>
            <w:shd w:val="clear" w:color="auto" w:fill="auto"/>
            <w:noWrap/>
            <w:vAlign w:val="center"/>
          </w:tcPr>
          <w:p w14:paraId="5A643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2022年度）</w:t>
            </w:r>
          </w:p>
        </w:tc>
      </w:tr>
      <w:tr w14:paraId="6A8B3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6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2479145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776" w:type="dxa"/>
            <w:gridSpan w:val="6"/>
            <w:tcBorders>
              <w:top w:val="single" w:color="000000" w:sz="4" w:space="0"/>
              <w:left w:val="single" w:color="000000" w:sz="4" w:space="0"/>
              <w:bottom w:val="single" w:color="000000" w:sz="4" w:space="0"/>
              <w:right w:val="single" w:color="000000" w:sz="4" w:space="0"/>
            </w:tcBorders>
            <w:shd w:val="clear" w:color="auto" w:fill="FFFFFF"/>
            <w:vAlign w:val="top"/>
          </w:tcPr>
          <w:p w14:paraId="7E24E49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中国西部（广元）绿色家居产业城生态园区综合治理产业扶贫项目——林木制品仓房（二期）</w:t>
            </w:r>
          </w:p>
        </w:tc>
      </w:tr>
      <w:tr w14:paraId="1A933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6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0F50023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967" w:type="dxa"/>
            <w:gridSpan w:val="3"/>
            <w:tcBorders>
              <w:top w:val="nil"/>
              <w:left w:val="single" w:color="000000" w:sz="4" w:space="0"/>
              <w:bottom w:val="single" w:color="000000" w:sz="4" w:space="0"/>
              <w:right w:val="single" w:color="000000" w:sz="4" w:space="0"/>
            </w:tcBorders>
            <w:shd w:val="clear" w:color="auto" w:fill="FFFFFF"/>
            <w:vAlign w:val="center"/>
          </w:tcPr>
          <w:p w14:paraId="541A4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四川广元昭化经济开发区管理委员会</w:t>
            </w:r>
          </w:p>
        </w:tc>
        <w:tc>
          <w:tcPr>
            <w:tcW w:w="1451" w:type="dxa"/>
            <w:tcBorders>
              <w:top w:val="nil"/>
              <w:left w:val="single" w:color="000000" w:sz="4" w:space="0"/>
              <w:bottom w:val="single" w:color="000000" w:sz="4" w:space="0"/>
              <w:right w:val="single" w:color="000000" w:sz="4" w:space="0"/>
            </w:tcBorders>
            <w:shd w:val="clear" w:color="auto" w:fill="FFFFFF"/>
            <w:vAlign w:val="bottom"/>
          </w:tcPr>
          <w:p w14:paraId="4BE4B90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0ABE33E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四川广元昭化经济开发区管理委员会</w:t>
            </w:r>
          </w:p>
        </w:tc>
      </w:tr>
      <w:tr w14:paraId="36823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6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F21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 （万元）</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27521ADD">
            <w:pPr>
              <w:jc w:val="left"/>
              <w:rPr>
                <w:rFonts w:hint="default" w:ascii="Times New Roman" w:hAnsi="Times New Roman" w:eastAsia="宋体" w:cs="Times New Roman"/>
                <w:i w:val="0"/>
                <w:iCs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4361BE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451"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A49554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331" w:type="dxa"/>
            <w:tcBorders>
              <w:top w:val="nil"/>
              <w:left w:val="single" w:color="000000" w:sz="4" w:space="0"/>
              <w:bottom w:val="single" w:color="000000" w:sz="4" w:space="0"/>
              <w:right w:val="single" w:color="000000" w:sz="4" w:space="0"/>
            </w:tcBorders>
            <w:shd w:val="clear" w:color="auto" w:fill="FFFFFF"/>
            <w:vAlign w:val="bottom"/>
          </w:tcPr>
          <w:p w14:paraId="7CABCF0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027" w:type="dxa"/>
            <w:tcBorders>
              <w:top w:val="nil"/>
              <w:left w:val="single" w:color="000000" w:sz="4" w:space="0"/>
              <w:bottom w:val="single" w:color="000000" w:sz="4" w:space="0"/>
              <w:right w:val="single" w:color="000000" w:sz="4" w:space="0"/>
            </w:tcBorders>
            <w:shd w:val="clear" w:color="auto" w:fill="FFFFFF"/>
            <w:vAlign w:val="bottom"/>
          </w:tcPr>
          <w:p w14:paraId="0AE6DD5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2E8EE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6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D9F0EC">
            <w:pPr>
              <w:jc w:val="center"/>
              <w:rPr>
                <w:rFonts w:hint="eastAsia" w:ascii="宋体" w:hAnsi="宋体" w:eastAsia="宋体" w:cs="宋体"/>
                <w:i w:val="0"/>
                <w:iCs w:val="0"/>
                <w:color w:val="000000"/>
                <w:sz w:val="20"/>
                <w:szCs w:val="20"/>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3F2D89A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12C5D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451"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05CC5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331"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370E0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54528D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E6EF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6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FCC2B3">
            <w:pPr>
              <w:jc w:val="center"/>
              <w:rPr>
                <w:rFonts w:hint="eastAsia" w:ascii="宋体" w:hAnsi="宋体" w:eastAsia="宋体" w:cs="宋体"/>
                <w:i w:val="0"/>
                <w:iCs w:val="0"/>
                <w:color w:val="000000"/>
                <w:sz w:val="20"/>
                <w:szCs w:val="20"/>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506DFC6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（-）财政拨款小计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top"/>
          </w:tcPr>
          <w:p w14:paraId="5121804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451" w:type="dxa"/>
            <w:tcBorders>
              <w:top w:val="single" w:color="000000" w:sz="4" w:space="0"/>
              <w:left w:val="single" w:color="000000" w:sz="4" w:space="0"/>
              <w:bottom w:val="single" w:color="000000" w:sz="4" w:space="0"/>
              <w:right w:val="single" w:color="000000" w:sz="4" w:space="0"/>
            </w:tcBorders>
            <w:shd w:val="clear" w:color="auto" w:fill="FFFFFF"/>
            <w:vAlign w:val="top"/>
          </w:tcPr>
          <w:p w14:paraId="1B30830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331"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99629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42E9294">
            <w:pPr>
              <w:jc w:val="left"/>
              <w:rPr>
                <w:rFonts w:hint="default" w:ascii="Times New Roman" w:hAnsi="Times New Roman" w:eastAsia="宋体" w:cs="Times New Roman"/>
                <w:i w:val="0"/>
                <w:iCs w:val="0"/>
                <w:color w:val="000000"/>
                <w:sz w:val="20"/>
                <w:szCs w:val="20"/>
                <w:u w:val="none"/>
              </w:rPr>
            </w:pPr>
          </w:p>
        </w:tc>
      </w:tr>
      <w:tr w14:paraId="0861D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6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7B49BB">
            <w:pPr>
              <w:jc w:val="center"/>
              <w:rPr>
                <w:rFonts w:hint="eastAsia" w:ascii="宋体" w:hAnsi="宋体" w:eastAsia="宋体" w:cs="宋体"/>
                <w:i w:val="0"/>
                <w:iCs w:val="0"/>
                <w:color w:val="000000"/>
                <w:sz w:val="20"/>
                <w:szCs w:val="20"/>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25358E3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一般公共预算</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152A0A">
            <w:pPr>
              <w:jc w:val="left"/>
              <w:rPr>
                <w:rFonts w:hint="default" w:ascii="Times New Roman" w:hAnsi="Times New Roman" w:eastAsia="宋体" w:cs="Times New Roman"/>
                <w:i w:val="0"/>
                <w:iCs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AFDD0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331" w:type="dxa"/>
            <w:tcBorders>
              <w:top w:val="single" w:color="000000" w:sz="4" w:space="0"/>
              <w:left w:val="single" w:color="000000" w:sz="4" w:space="0"/>
              <w:bottom w:val="single" w:color="000000" w:sz="4" w:space="0"/>
              <w:right w:val="single" w:color="000000" w:sz="4" w:space="0"/>
            </w:tcBorders>
            <w:shd w:val="clear" w:color="auto" w:fill="FFFFFF"/>
            <w:vAlign w:val="top"/>
          </w:tcPr>
          <w:p w14:paraId="6BC1D92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FCA5BC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810F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6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FCEF5F">
            <w:pPr>
              <w:jc w:val="center"/>
              <w:rPr>
                <w:rFonts w:hint="eastAsia" w:ascii="宋体" w:hAnsi="宋体" w:eastAsia="宋体" w:cs="宋体"/>
                <w:i w:val="0"/>
                <w:iCs w:val="0"/>
                <w:color w:val="000000"/>
                <w:sz w:val="20"/>
                <w:szCs w:val="20"/>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071E5FE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2.政府性基金</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603420">
            <w:pPr>
              <w:jc w:val="left"/>
              <w:rPr>
                <w:rFonts w:hint="default" w:ascii="Times New Roman" w:hAnsi="Times New Roman" w:eastAsia="宋体" w:cs="Times New Roman"/>
                <w:i w:val="0"/>
                <w:iCs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FFFFFF"/>
            <w:vAlign w:val="top"/>
          </w:tcPr>
          <w:p w14:paraId="608C36E2">
            <w:pPr>
              <w:jc w:val="left"/>
              <w:rPr>
                <w:rFonts w:hint="eastAsia" w:ascii="宋体" w:hAnsi="宋体" w:eastAsia="宋体" w:cs="宋体"/>
                <w:i w:val="0"/>
                <w:iCs w:val="0"/>
                <w:color w:val="000000"/>
                <w:sz w:val="20"/>
                <w:szCs w:val="20"/>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A9BAC4">
            <w:pPr>
              <w:jc w:val="left"/>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80BE4C">
            <w:pPr>
              <w:jc w:val="left"/>
              <w:rPr>
                <w:rFonts w:hint="eastAsia" w:ascii="宋体" w:hAnsi="宋体" w:eastAsia="宋体" w:cs="宋体"/>
                <w:i w:val="0"/>
                <w:iCs w:val="0"/>
                <w:color w:val="000000"/>
                <w:sz w:val="20"/>
                <w:szCs w:val="20"/>
                <w:u w:val="none"/>
              </w:rPr>
            </w:pPr>
          </w:p>
        </w:tc>
      </w:tr>
      <w:tr w14:paraId="64DEA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6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BC2B62">
            <w:pPr>
              <w:jc w:val="center"/>
              <w:rPr>
                <w:rFonts w:hint="eastAsia" w:ascii="宋体" w:hAnsi="宋体" w:eastAsia="宋体" w:cs="宋体"/>
                <w:i w:val="0"/>
                <w:iCs w:val="0"/>
                <w:color w:val="000000"/>
                <w:sz w:val="20"/>
                <w:szCs w:val="20"/>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D9D2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3.国有资本经营预算</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top"/>
          </w:tcPr>
          <w:p w14:paraId="69C1206D">
            <w:pPr>
              <w:jc w:val="left"/>
              <w:rPr>
                <w:rFonts w:hint="default" w:ascii="Times New Roman" w:hAnsi="Times New Roman" w:eastAsia="宋体" w:cs="Times New Roman"/>
                <w:i w:val="0"/>
                <w:iCs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FFFFFF"/>
            <w:vAlign w:val="top"/>
          </w:tcPr>
          <w:p w14:paraId="7296B7C3">
            <w:pPr>
              <w:jc w:val="left"/>
              <w:rPr>
                <w:rFonts w:hint="default" w:ascii="Times New Roman" w:hAnsi="Times New Roman" w:eastAsia="宋体" w:cs="Times New Roman"/>
                <w:i w:val="0"/>
                <w:iCs w:val="0"/>
                <w:color w:val="000000"/>
                <w:sz w:val="20"/>
                <w:szCs w:val="20"/>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0E8259">
            <w:pPr>
              <w:jc w:val="left"/>
              <w:rPr>
                <w:rFonts w:hint="default" w:ascii="Times New Roman" w:hAnsi="Times New Roman" w:eastAsia="宋体" w:cs="Times New Roman"/>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66E5DF4">
            <w:pPr>
              <w:jc w:val="left"/>
              <w:rPr>
                <w:rFonts w:hint="default" w:ascii="Times New Roman" w:hAnsi="Times New Roman" w:eastAsia="宋体" w:cs="Times New Roman"/>
                <w:i w:val="0"/>
                <w:iCs w:val="0"/>
                <w:color w:val="000000"/>
                <w:sz w:val="20"/>
                <w:szCs w:val="20"/>
                <w:u w:val="none"/>
              </w:rPr>
            </w:pPr>
          </w:p>
        </w:tc>
      </w:tr>
      <w:tr w14:paraId="5DC48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6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03269B">
            <w:pPr>
              <w:jc w:val="center"/>
              <w:rPr>
                <w:rFonts w:hint="eastAsia" w:ascii="宋体" w:hAnsi="宋体" w:eastAsia="宋体" w:cs="宋体"/>
                <w:i w:val="0"/>
                <w:iCs w:val="0"/>
                <w:color w:val="000000"/>
                <w:sz w:val="20"/>
                <w:szCs w:val="20"/>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14:paraId="296E125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4.社保基金</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FC7D30">
            <w:pPr>
              <w:jc w:val="left"/>
              <w:rPr>
                <w:rFonts w:hint="default" w:ascii="Times New Roman" w:hAnsi="Times New Roman" w:eastAsia="宋体" w:cs="Times New Roman"/>
                <w:i w:val="0"/>
                <w:iCs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FFFFFF"/>
            <w:vAlign w:val="top"/>
          </w:tcPr>
          <w:p w14:paraId="511EC145">
            <w:pPr>
              <w:jc w:val="left"/>
              <w:rPr>
                <w:rFonts w:hint="default" w:ascii="Times New Roman" w:hAnsi="Times New Roman" w:eastAsia="宋体" w:cs="Times New Roman"/>
                <w:i w:val="0"/>
                <w:iCs w:val="0"/>
                <w:color w:val="000000"/>
                <w:sz w:val="20"/>
                <w:szCs w:val="20"/>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4BCE91">
            <w:pPr>
              <w:jc w:val="left"/>
              <w:rPr>
                <w:rFonts w:hint="default" w:ascii="Times New Roman" w:hAnsi="Times New Roman" w:eastAsia="宋体" w:cs="Times New Roman"/>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D4E89D">
            <w:pPr>
              <w:jc w:val="left"/>
              <w:rPr>
                <w:rFonts w:hint="default" w:ascii="Times New Roman" w:hAnsi="Times New Roman" w:eastAsia="宋体" w:cs="Times New Roman"/>
                <w:i w:val="0"/>
                <w:iCs w:val="0"/>
                <w:color w:val="000000"/>
                <w:sz w:val="20"/>
                <w:szCs w:val="20"/>
                <w:u w:val="none"/>
              </w:rPr>
            </w:pPr>
          </w:p>
        </w:tc>
      </w:tr>
      <w:tr w14:paraId="181B0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6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43C549">
            <w:pPr>
              <w:jc w:val="center"/>
              <w:rPr>
                <w:rFonts w:hint="eastAsia" w:ascii="宋体" w:hAnsi="宋体" w:eastAsia="宋体" w:cs="宋体"/>
                <w:i w:val="0"/>
                <w:iCs w:val="0"/>
                <w:color w:val="000000"/>
                <w:sz w:val="20"/>
                <w:szCs w:val="20"/>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4F88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（二）其他资金</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top"/>
          </w:tcPr>
          <w:p w14:paraId="3F07372A">
            <w:pPr>
              <w:jc w:val="left"/>
              <w:rPr>
                <w:rFonts w:hint="default" w:ascii="Times New Roman" w:hAnsi="Times New Roman" w:eastAsia="宋体" w:cs="Times New Roman"/>
                <w:i w:val="0"/>
                <w:iCs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C409ED">
            <w:pPr>
              <w:jc w:val="left"/>
              <w:rPr>
                <w:rFonts w:hint="default" w:ascii="Times New Roman" w:hAnsi="Times New Roman" w:eastAsia="宋体" w:cs="Times New Roman"/>
                <w:i w:val="0"/>
                <w:iCs w:val="0"/>
                <w:color w:val="000000"/>
                <w:sz w:val="20"/>
                <w:szCs w:val="20"/>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DDA4C0">
            <w:pPr>
              <w:jc w:val="left"/>
              <w:rPr>
                <w:rFonts w:hint="default" w:ascii="Times New Roman" w:hAnsi="Times New Roman" w:eastAsia="宋体" w:cs="Times New Roman"/>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BB34D42">
            <w:pPr>
              <w:jc w:val="left"/>
              <w:rPr>
                <w:rFonts w:hint="default" w:ascii="Times New Roman" w:hAnsi="Times New Roman" w:eastAsia="宋体" w:cs="Times New Roman"/>
                <w:i w:val="0"/>
                <w:iCs w:val="0"/>
                <w:color w:val="000000"/>
                <w:sz w:val="20"/>
                <w:szCs w:val="20"/>
                <w:u w:val="none"/>
              </w:rPr>
            </w:pPr>
          </w:p>
        </w:tc>
      </w:tr>
      <w:tr w14:paraId="1D5D2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9DA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 目标</w:t>
            </w:r>
          </w:p>
        </w:tc>
        <w:tc>
          <w:tcPr>
            <w:tcW w:w="637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35A1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82D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完成情况</w:t>
            </w:r>
          </w:p>
        </w:tc>
      </w:tr>
      <w:tr w14:paraId="68B13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6F367B">
            <w:pPr>
              <w:jc w:val="center"/>
              <w:rPr>
                <w:rFonts w:hint="eastAsia" w:ascii="宋体" w:hAnsi="宋体" w:eastAsia="宋体" w:cs="宋体"/>
                <w:i w:val="0"/>
                <w:iCs w:val="0"/>
                <w:color w:val="000000"/>
                <w:sz w:val="20"/>
                <w:szCs w:val="20"/>
                <w:u w:val="none"/>
              </w:rPr>
            </w:pPr>
          </w:p>
        </w:tc>
        <w:tc>
          <w:tcPr>
            <w:tcW w:w="6377" w:type="dxa"/>
            <w:gridSpan w:val="5"/>
            <w:tcBorders>
              <w:top w:val="single" w:color="000000" w:sz="4" w:space="0"/>
              <w:left w:val="single" w:color="000000" w:sz="4" w:space="0"/>
              <w:bottom w:val="single" w:color="000000" w:sz="4" w:space="0"/>
              <w:right w:val="nil"/>
            </w:tcBorders>
            <w:shd w:val="clear" w:color="auto" w:fill="FFFFFF"/>
            <w:vAlign w:val="top"/>
          </w:tcPr>
          <w:p w14:paraId="063BD15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续建标准化厂房7#楼、8#楼，共0.7万平方米。</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1557290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完成厂房7#楼、8#楼，共0.7万平方米</w:t>
            </w:r>
          </w:p>
        </w:tc>
      </w:tr>
      <w:tr w14:paraId="25BE8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9B6C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1CF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8A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E35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2E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0E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2E9B3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 改进措施</w:t>
            </w:r>
          </w:p>
        </w:tc>
      </w:tr>
      <w:tr w14:paraId="66B9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D40B60">
            <w:pPr>
              <w:jc w:val="left"/>
              <w:rPr>
                <w:rFonts w:hint="eastAsia" w:ascii="宋体" w:hAnsi="宋体" w:eastAsia="宋体" w:cs="宋体"/>
                <w:i w:val="0"/>
                <w:iCs w:val="0"/>
                <w:color w:val="000000"/>
                <w:sz w:val="20"/>
                <w:szCs w:val="20"/>
                <w:u w:val="none"/>
              </w:rPr>
            </w:pPr>
          </w:p>
        </w:tc>
        <w:tc>
          <w:tcPr>
            <w:tcW w:w="959" w:type="dxa"/>
            <w:vMerge w:val="restart"/>
            <w:tcBorders>
              <w:top w:val="single" w:color="000000" w:sz="4" w:space="0"/>
              <w:left w:val="single" w:color="000000" w:sz="4" w:space="0"/>
              <w:bottom w:val="nil"/>
              <w:right w:val="single" w:color="000000" w:sz="4" w:space="0"/>
            </w:tcBorders>
            <w:shd w:val="clear" w:color="auto" w:fill="FFFFFF"/>
            <w:vAlign w:val="center"/>
          </w:tcPr>
          <w:p w14:paraId="0201F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D47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E23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标准化厂房面积</w:t>
            </w:r>
          </w:p>
        </w:tc>
        <w:tc>
          <w:tcPr>
            <w:tcW w:w="1451" w:type="dxa"/>
            <w:tcBorders>
              <w:top w:val="single" w:color="000000" w:sz="4" w:space="0"/>
              <w:left w:val="nil"/>
              <w:bottom w:val="single" w:color="000000" w:sz="4" w:space="0"/>
              <w:right w:val="single" w:color="000000" w:sz="4" w:space="0"/>
            </w:tcBorders>
            <w:shd w:val="clear" w:color="auto" w:fill="auto"/>
            <w:vAlign w:val="center"/>
          </w:tcPr>
          <w:p w14:paraId="180F11C1">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≥0.7万平方米</w:t>
            </w:r>
          </w:p>
        </w:tc>
        <w:tc>
          <w:tcPr>
            <w:tcW w:w="1331" w:type="dxa"/>
            <w:tcBorders>
              <w:top w:val="single" w:color="000000" w:sz="4" w:space="0"/>
              <w:left w:val="nil"/>
              <w:bottom w:val="single" w:color="000000" w:sz="4" w:space="0"/>
              <w:right w:val="single" w:color="000000" w:sz="4" w:space="0"/>
            </w:tcBorders>
            <w:shd w:val="clear" w:color="auto" w:fill="auto"/>
            <w:vAlign w:val="center"/>
          </w:tcPr>
          <w:p w14:paraId="17417D3E">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0.7万平方米</w:t>
            </w: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0CE2F9">
            <w:pPr>
              <w:jc w:val="left"/>
              <w:rPr>
                <w:rFonts w:hint="default" w:ascii="Times New Roman" w:hAnsi="Times New Roman" w:eastAsia="宋体" w:cs="Times New Roman"/>
                <w:i w:val="0"/>
                <w:iCs w:val="0"/>
                <w:color w:val="000000"/>
                <w:sz w:val="20"/>
                <w:szCs w:val="20"/>
                <w:u w:val="none"/>
              </w:rPr>
            </w:pPr>
          </w:p>
        </w:tc>
      </w:tr>
      <w:tr w14:paraId="34E43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8D9C65">
            <w:pPr>
              <w:jc w:val="left"/>
              <w:rPr>
                <w:rFonts w:hint="eastAsia" w:ascii="宋体" w:hAnsi="宋体" w:eastAsia="宋体" w:cs="宋体"/>
                <w:i w:val="0"/>
                <w:iCs w:val="0"/>
                <w:color w:val="000000"/>
                <w:sz w:val="20"/>
                <w:szCs w:val="20"/>
                <w:u w:val="none"/>
              </w:rPr>
            </w:pPr>
          </w:p>
        </w:tc>
        <w:tc>
          <w:tcPr>
            <w:tcW w:w="959" w:type="dxa"/>
            <w:vMerge w:val="continue"/>
            <w:tcBorders>
              <w:top w:val="single" w:color="000000" w:sz="4" w:space="0"/>
              <w:left w:val="single" w:color="000000" w:sz="4" w:space="0"/>
              <w:bottom w:val="nil"/>
              <w:right w:val="single" w:color="000000" w:sz="4" w:space="0"/>
            </w:tcBorders>
            <w:shd w:val="clear" w:color="auto" w:fill="FFFFFF"/>
            <w:vAlign w:val="center"/>
          </w:tcPr>
          <w:p w14:paraId="3E02A5B2">
            <w:pPr>
              <w:jc w:val="center"/>
              <w:rPr>
                <w:rFonts w:hint="eastAsia" w:ascii="宋体" w:hAnsi="宋体" w:eastAsia="宋体" w:cs="宋体"/>
                <w:i w:val="0"/>
                <w:iCs w:val="0"/>
                <w:color w:val="000000"/>
                <w:sz w:val="20"/>
                <w:szCs w:val="20"/>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216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519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竣工验收合格率</w:t>
            </w:r>
          </w:p>
        </w:tc>
        <w:tc>
          <w:tcPr>
            <w:tcW w:w="1451" w:type="dxa"/>
            <w:tcBorders>
              <w:top w:val="single" w:color="000000" w:sz="4" w:space="0"/>
              <w:left w:val="nil"/>
              <w:bottom w:val="single" w:color="000000" w:sz="4" w:space="0"/>
              <w:right w:val="single" w:color="000000" w:sz="4" w:space="0"/>
            </w:tcBorders>
            <w:shd w:val="clear" w:color="auto" w:fill="auto"/>
            <w:vAlign w:val="center"/>
          </w:tcPr>
          <w:p w14:paraId="29F6EFD5">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1331" w:type="dxa"/>
            <w:tcBorders>
              <w:top w:val="single" w:color="000000" w:sz="4" w:space="0"/>
              <w:left w:val="nil"/>
              <w:bottom w:val="single" w:color="000000" w:sz="4" w:space="0"/>
              <w:right w:val="single" w:color="000000" w:sz="4" w:space="0"/>
            </w:tcBorders>
            <w:shd w:val="clear" w:color="auto" w:fill="auto"/>
            <w:vAlign w:val="center"/>
          </w:tcPr>
          <w:p w14:paraId="09E9D879">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2AFF00">
            <w:pPr>
              <w:jc w:val="left"/>
              <w:rPr>
                <w:rFonts w:hint="default" w:ascii="Times New Roman" w:hAnsi="Times New Roman" w:eastAsia="宋体" w:cs="Times New Roman"/>
                <w:i w:val="0"/>
                <w:iCs w:val="0"/>
                <w:color w:val="000000"/>
                <w:sz w:val="20"/>
                <w:szCs w:val="20"/>
                <w:u w:val="none"/>
              </w:rPr>
            </w:pPr>
          </w:p>
        </w:tc>
      </w:tr>
      <w:tr w14:paraId="57C64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C92059">
            <w:pPr>
              <w:jc w:val="left"/>
              <w:rPr>
                <w:rFonts w:hint="eastAsia" w:ascii="宋体" w:hAnsi="宋体" w:eastAsia="宋体" w:cs="宋体"/>
                <w:i w:val="0"/>
                <w:iCs w:val="0"/>
                <w:color w:val="000000"/>
                <w:sz w:val="20"/>
                <w:szCs w:val="20"/>
                <w:u w:val="none"/>
              </w:rPr>
            </w:pPr>
          </w:p>
        </w:tc>
        <w:tc>
          <w:tcPr>
            <w:tcW w:w="959" w:type="dxa"/>
            <w:vMerge w:val="continue"/>
            <w:tcBorders>
              <w:top w:val="single" w:color="000000" w:sz="4" w:space="0"/>
              <w:left w:val="single" w:color="000000" w:sz="4" w:space="0"/>
              <w:bottom w:val="nil"/>
              <w:right w:val="single" w:color="000000" w:sz="4" w:space="0"/>
            </w:tcBorders>
            <w:shd w:val="clear" w:color="auto" w:fill="FFFFFF"/>
            <w:vAlign w:val="center"/>
          </w:tcPr>
          <w:p w14:paraId="5358E103">
            <w:pPr>
              <w:jc w:val="center"/>
              <w:rPr>
                <w:rFonts w:hint="eastAsia" w:ascii="宋体" w:hAnsi="宋体" w:eastAsia="宋体" w:cs="宋体"/>
                <w:i w:val="0"/>
                <w:iCs w:val="0"/>
                <w:color w:val="000000"/>
                <w:sz w:val="20"/>
                <w:szCs w:val="20"/>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FE6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583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项目完成时间</w:t>
            </w:r>
          </w:p>
        </w:tc>
        <w:tc>
          <w:tcPr>
            <w:tcW w:w="1451" w:type="dxa"/>
            <w:tcBorders>
              <w:top w:val="single" w:color="000000" w:sz="4" w:space="0"/>
              <w:left w:val="nil"/>
              <w:bottom w:val="single" w:color="000000" w:sz="4" w:space="0"/>
              <w:right w:val="single" w:color="000000" w:sz="4" w:space="0"/>
            </w:tcBorders>
            <w:shd w:val="clear" w:color="auto" w:fill="auto"/>
            <w:vAlign w:val="center"/>
          </w:tcPr>
          <w:p w14:paraId="6E3536DB">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≤6个月</w:t>
            </w:r>
          </w:p>
        </w:tc>
        <w:tc>
          <w:tcPr>
            <w:tcW w:w="1331" w:type="dxa"/>
            <w:tcBorders>
              <w:top w:val="single" w:color="000000" w:sz="4" w:space="0"/>
              <w:left w:val="nil"/>
              <w:bottom w:val="single" w:color="000000" w:sz="4" w:space="0"/>
              <w:right w:val="single" w:color="000000" w:sz="4" w:space="0"/>
            </w:tcBorders>
            <w:shd w:val="clear" w:color="auto" w:fill="auto"/>
            <w:vAlign w:val="center"/>
          </w:tcPr>
          <w:p w14:paraId="1FAB3BB2">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6个月</w:t>
            </w: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A882F9">
            <w:pPr>
              <w:jc w:val="left"/>
              <w:rPr>
                <w:rFonts w:hint="default" w:ascii="Times New Roman" w:hAnsi="Times New Roman" w:eastAsia="宋体" w:cs="Times New Roman"/>
                <w:i w:val="0"/>
                <w:iCs w:val="0"/>
                <w:color w:val="000000"/>
                <w:sz w:val="20"/>
                <w:szCs w:val="20"/>
                <w:u w:val="none"/>
              </w:rPr>
            </w:pPr>
          </w:p>
        </w:tc>
      </w:tr>
      <w:tr w14:paraId="54323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DC51B9">
            <w:pPr>
              <w:jc w:val="left"/>
              <w:rPr>
                <w:rFonts w:hint="eastAsia" w:ascii="宋体" w:hAnsi="宋体" w:eastAsia="宋体" w:cs="宋体"/>
                <w:i w:val="0"/>
                <w:iCs w:val="0"/>
                <w:color w:val="000000"/>
                <w:sz w:val="20"/>
                <w:szCs w:val="20"/>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A55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D4A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C1B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项目建设成本</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3947">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≤2000万</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0CE6">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2000万</w:t>
            </w: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14B314B">
            <w:pPr>
              <w:jc w:val="left"/>
              <w:rPr>
                <w:rFonts w:hint="default" w:ascii="Times New Roman" w:hAnsi="Times New Roman" w:eastAsia="宋体" w:cs="Times New Roman"/>
                <w:i w:val="0"/>
                <w:iCs w:val="0"/>
                <w:color w:val="000000"/>
                <w:sz w:val="20"/>
                <w:szCs w:val="20"/>
                <w:u w:val="none"/>
              </w:rPr>
            </w:pPr>
          </w:p>
        </w:tc>
      </w:tr>
      <w:tr w14:paraId="2A990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E7F891">
            <w:pPr>
              <w:jc w:val="left"/>
              <w:rPr>
                <w:rFonts w:hint="eastAsia" w:ascii="宋体" w:hAnsi="宋体" w:eastAsia="宋体" w:cs="宋体"/>
                <w:i w:val="0"/>
                <w:iCs w:val="0"/>
                <w:color w:val="000000"/>
                <w:sz w:val="20"/>
                <w:szCs w:val="20"/>
                <w:u w:val="none"/>
              </w:rPr>
            </w:pP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D51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7A9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250" w:type="dxa"/>
            <w:gridSpan w:val="2"/>
            <w:tcBorders>
              <w:top w:val="single" w:color="000000" w:sz="4" w:space="0"/>
              <w:left w:val="single" w:color="000000" w:sz="4" w:space="0"/>
              <w:bottom w:val="nil"/>
              <w:right w:val="single" w:color="000000" w:sz="4" w:space="0"/>
            </w:tcBorders>
            <w:shd w:val="clear" w:color="auto" w:fill="auto"/>
            <w:vAlign w:val="center"/>
          </w:tcPr>
          <w:p w14:paraId="74C0C5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就业岗位</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CB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≥100个</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9EEE">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100个</w:t>
            </w: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3765E49">
            <w:pPr>
              <w:jc w:val="left"/>
              <w:rPr>
                <w:rFonts w:hint="default" w:ascii="Times New Roman" w:hAnsi="Times New Roman" w:eastAsia="宋体" w:cs="Times New Roman"/>
                <w:i w:val="0"/>
                <w:iCs w:val="0"/>
                <w:color w:val="000000"/>
                <w:sz w:val="20"/>
                <w:szCs w:val="20"/>
                <w:u w:val="none"/>
              </w:rPr>
            </w:pPr>
          </w:p>
        </w:tc>
      </w:tr>
      <w:tr w14:paraId="3005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81D7B2">
            <w:pPr>
              <w:jc w:val="left"/>
              <w:rPr>
                <w:rFonts w:hint="eastAsia" w:ascii="宋体" w:hAnsi="宋体" w:eastAsia="宋体" w:cs="宋体"/>
                <w:i w:val="0"/>
                <w:iCs w:val="0"/>
                <w:color w:val="000000"/>
                <w:sz w:val="20"/>
                <w:szCs w:val="20"/>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6ED296">
            <w:pPr>
              <w:jc w:val="center"/>
              <w:rPr>
                <w:rFonts w:hint="eastAsia" w:ascii="宋体" w:hAnsi="宋体" w:eastAsia="宋体" w:cs="宋体"/>
                <w:i w:val="0"/>
                <w:iCs w:val="0"/>
                <w:color w:val="000000"/>
                <w:sz w:val="20"/>
                <w:szCs w:val="20"/>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658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250" w:type="dxa"/>
            <w:gridSpan w:val="2"/>
            <w:tcBorders>
              <w:top w:val="nil"/>
              <w:left w:val="single" w:color="000000" w:sz="4" w:space="0"/>
              <w:bottom w:val="nil"/>
              <w:right w:val="nil"/>
            </w:tcBorders>
            <w:shd w:val="clear" w:color="auto" w:fill="auto"/>
            <w:vAlign w:val="center"/>
          </w:tcPr>
          <w:p w14:paraId="73EF88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扬尘治理</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EF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达到国家标准</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AC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达到国家标准</w:t>
            </w: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C70AB9">
            <w:pPr>
              <w:jc w:val="left"/>
              <w:rPr>
                <w:rFonts w:hint="default" w:ascii="Times New Roman" w:hAnsi="Times New Roman" w:eastAsia="宋体" w:cs="Times New Roman"/>
                <w:i w:val="0"/>
                <w:iCs w:val="0"/>
                <w:color w:val="000000"/>
                <w:sz w:val="20"/>
                <w:szCs w:val="20"/>
                <w:u w:val="none"/>
              </w:rPr>
            </w:pPr>
          </w:p>
        </w:tc>
      </w:tr>
      <w:tr w14:paraId="4C4A6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A63A95">
            <w:pPr>
              <w:jc w:val="left"/>
              <w:rPr>
                <w:rFonts w:hint="eastAsia" w:ascii="宋体" w:hAnsi="宋体" w:eastAsia="宋体" w:cs="宋体"/>
                <w:i w:val="0"/>
                <w:iCs w:val="0"/>
                <w:color w:val="000000"/>
                <w:sz w:val="20"/>
                <w:szCs w:val="20"/>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F38C85">
            <w:pPr>
              <w:jc w:val="center"/>
              <w:rPr>
                <w:rFonts w:hint="eastAsia" w:ascii="宋体" w:hAnsi="宋体" w:eastAsia="宋体" w:cs="宋体"/>
                <w:i w:val="0"/>
                <w:iCs w:val="0"/>
                <w:color w:val="000000"/>
                <w:sz w:val="20"/>
                <w:szCs w:val="20"/>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5A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可持续性影响指标</w:t>
            </w:r>
          </w:p>
        </w:tc>
        <w:tc>
          <w:tcPr>
            <w:tcW w:w="2250" w:type="dxa"/>
            <w:gridSpan w:val="2"/>
            <w:tcBorders>
              <w:top w:val="nil"/>
              <w:left w:val="single" w:color="000000" w:sz="4" w:space="0"/>
              <w:bottom w:val="single" w:color="000000" w:sz="4" w:space="0"/>
              <w:right w:val="single" w:color="000000" w:sz="4" w:space="0"/>
            </w:tcBorders>
            <w:shd w:val="clear" w:color="auto" w:fill="auto"/>
            <w:vAlign w:val="center"/>
          </w:tcPr>
          <w:p w14:paraId="53445F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项目建成后可持续发展情况</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17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较好</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B0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50年</w:t>
            </w: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76CC529">
            <w:pPr>
              <w:jc w:val="left"/>
              <w:rPr>
                <w:rFonts w:hint="default" w:ascii="Times New Roman" w:hAnsi="Times New Roman" w:eastAsia="宋体" w:cs="Times New Roman"/>
                <w:i w:val="0"/>
                <w:iCs w:val="0"/>
                <w:color w:val="000000"/>
                <w:sz w:val="20"/>
                <w:szCs w:val="20"/>
                <w:u w:val="none"/>
              </w:rPr>
            </w:pPr>
          </w:p>
        </w:tc>
      </w:tr>
      <w:tr w14:paraId="4466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0CF012">
            <w:pPr>
              <w:jc w:val="left"/>
              <w:rPr>
                <w:rFonts w:hint="eastAsia" w:ascii="宋体" w:hAnsi="宋体" w:eastAsia="宋体" w:cs="宋体"/>
                <w:i w:val="0"/>
                <w:iCs w:val="0"/>
                <w:color w:val="000000"/>
                <w:sz w:val="20"/>
                <w:szCs w:val="20"/>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F93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90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8B0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受益群众满意度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F97D">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较好</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975C">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95%</w:t>
            </w: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696C5BD">
            <w:pPr>
              <w:jc w:val="left"/>
              <w:rPr>
                <w:rFonts w:hint="default" w:ascii="Times New Roman" w:hAnsi="Times New Roman" w:eastAsia="宋体" w:cs="Times New Roman"/>
                <w:i w:val="0"/>
                <w:iCs w:val="0"/>
                <w:color w:val="000000"/>
                <w:sz w:val="20"/>
                <w:szCs w:val="20"/>
                <w:u w:val="none"/>
              </w:rPr>
            </w:pPr>
          </w:p>
        </w:tc>
      </w:tr>
      <w:tr w14:paraId="6A726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413"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25D22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52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r>
    </w:tbl>
    <w:p w14:paraId="7787F613">
      <w:pPr>
        <w:pStyle w:val="2"/>
        <w:rPr>
          <w:rFonts w:hint="eastAsia"/>
          <w:lang w:eastAsia="zh-CN"/>
        </w:rPr>
      </w:pPr>
    </w:p>
    <w:p w14:paraId="46017EA4">
      <w:pPr>
        <w:spacing w:line="600" w:lineRule="exact"/>
        <w:jc w:val="center"/>
        <w:outlineLvl w:val="0"/>
        <w:rPr>
          <w:rFonts w:ascii="仿宋" w:hAnsi="仿宋" w:eastAsia="仿宋"/>
        </w:rPr>
      </w:pPr>
      <w:bookmarkStart w:id="96" w:name="_Toc9106"/>
      <w:r>
        <w:rPr>
          <w:rFonts w:hint="eastAsia" w:ascii="黑体" w:hAnsi="黑体" w:eastAsia="黑体"/>
          <w:sz w:val="44"/>
          <w:szCs w:val="44"/>
        </w:rPr>
        <w:t>第</w:t>
      </w:r>
      <w:r>
        <w:rPr>
          <w:rStyle w:val="30"/>
          <w:rFonts w:hint="eastAsia" w:ascii="黑体" w:hAnsi="黑体" w:eastAsia="黑体"/>
          <w:b w:val="0"/>
        </w:rPr>
        <w:t>五部分 附表</w:t>
      </w:r>
      <w:bookmarkEnd w:id="84"/>
      <w:bookmarkEnd w:id="95"/>
      <w:bookmarkEnd w:id="96"/>
      <w:bookmarkStart w:id="97" w:name="_Toc15396619"/>
    </w:p>
    <w:p w14:paraId="71D44E6F">
      <w:pPr>
        <w:pStyle w:val="4"/>
        <w:rPr>
          <w:rFonts w:ascii="仿宋" w:hAnsi="仿宋" w:eastAsia="仿宋"/>
        </w:rPr>
      </w:pPr>
      <w:bookmarkStart w:id="98" w:name="_Toc4151"/>
      <w:r>
        <w:rPr>
          <w:rFonts w:hint="eastAsia" w:ascii="仿宋" w:hAnsi="仿宋" w:eastAsia="仿宋"/>
          <w:b w:val="0"/>
        </w:rPr>
        <w:t>一、收</w:t>
      </w:r>
      <w:r>
        <w:rPr>
          <w:rStyle w:val="31"/>
          <w:rFonts w:hint="eastAsia" w:ascii="仿宋" w:hAnsi="仿宋" w:eastAsia="仿宋"/>
          <w:b w:val="0"/>
          <w:bCs w:val="0"/>
        </w:rPr>
        <w:t>入支出决算总表</w:t>
      </w:r>
      <w:bookmarkEnd w:id="97"/>
      <w:bookmarkEnd w:id="98"/>
    </w:p>
    <w:p w14:paraId="10C81B87">
      <w:pPr>
        <w:pStyle w:val="4"/>
        <w:rPr>
          <w:rFonts w:ascii="仿宋" w:hAnsi="仿宋" w:eastAsia="仿宋"/>
        </w:rPr>
      </w:pPr>
      <w:bookmarkStart w:id="99" w:name="_Toc15396620"/>
      <w:bookmarkStart w:id="100" w:name="_Toc24314"/>
      <w:r>
        <w:rPr>
          <w:rFonts w:hint="eastAsia" w:ascii="仿宋" w:hAnsi="仿宋" w:eastAsia="仿宋"/>
          <w:b w:val="0"/>
        </w:rPr>
        <w:t>二、收</w:t>
      </w:r>
      <w:r>
        <w:rPr>
          <w:rStyle w:val="31"/>
          <w:rFonts w:hint="eastAsia" w:ascii="仿宋" w:hAnsi="仿宋" w:eastAsia="仿宋"/>
          <w:b w:val="0"/>
          <w:bCs w:val="0"/>
        </w:rPr>
        <w:t>入决算表</w:t>
      </w:r>
      <w:bookmarkEnd w:id="99"/>
      <w:bookmarkEnd w:id="100"/>
    </w:p>
    <w:p w14:paraId="2C5B2FF2">
      <w:pPr>
        <w:pStyle w:val="4"/>
        <w:rPr>
          <w:rFonts w:ascii="仿宋" w:hAnsi="仿宋" w:eastAsia="仿宋"/>
        </w:rPr>
      </w:pPr>
      <w:bookmarkStart w:id="101" w:name="_Toc15396621"/>
      <w:bookmarkStart w:id="102" w:name="_Toc6476"/>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101"/>
      <w:bookmarkEnd w:id="102"/>
    </w:p>
    <w:p w14:paraId="1FD745DA">
      <w:pPr>
        <w:pStyle w:val="4"/>
        <w:rPr>
          <w:rFonts w:ascii="仿宋" w:hAnsi="仿宋" w:eastAsia="仿宋"/>
          <w:b w:val="0"/>
        </w:rPr>
      </w:pPr>
      <w:bookmarkStart w:id="103" w:name="_Toc2162"/>
      <w:bookmarkStart w:id="104" w:name="_Toc15396622"/>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103"/>
      <w:bookmarkEnd w:id="104"/>
    </w:p>
    <w:p w14:paraId="28027DCE">
      <w:pPr>
        <w:pStyle w:val="4"/>
        <w:rPr>
          <w:rStyle w:val="31"/>
          <w:rFonts w:ascii="仿宋" w:hAnsi="仿宋" w:eastAsia="仿宋"/>
          <w:b w:val="0"/>
          <w:bCs w:val="0"/>
        </w:rPr>
      </w:pPr>
      <w:bookmarkStart w:id="105" w:name="_Toc15396623"/>
      <w:bookmarkStart w:id="106" w:name="_Toc27355"/>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105"/>
      <w:bookmarkEnd w:id="106"/>
      <w:bookmarkStart w:id="107" w:name="_Toc15396624"/>
    </w:p>
    <w:p w14:paraId="172D628B">
      <w:pPr>
        <w:pStyle w:val="4"/>
        <w:rPr>
          <w:rFonts w:ascii="仿宋" w:hAnsi="仿宋" w:eastAsia="仿宋"/>
        </w:rPr>
      </w:pPr>
      <w:bookmarkStart w:id="108" w:name="_Toc21891"/>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107"/>
      <w:bookmarkEnd w:id="108"/>
    </w:p>
    <w:p w14:paraId="1EBA9220">
      <w:pPr>
        <w:pStyle w:val="4"/>
        <w:rPr>
          <w:rFonts w:ascii="仿宋" w:hAnsi="仿宋" w:eastAsia="仿宋"/>
        </w:rPr>
      </w:pPr>
      <w:bookmarkStart w:id="109" w:name="_Toc15248"/>
      <w:bookmarkStart w:id="110" w:name="_Toc15396625"/>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109"/>
      <w:bookmarkEnd w:id="110"/>
    </w:p>
    <w:p w14:paraId="08469422">
      <w:pPr>
        <w:pStyle w:val="4"/>
        <w:rPr>
          <w:rFonts w:ascii="仿宋" w:hAnsi="仿宋" w:eastAsia="仿宋"/>
        </w:rPr>
      </w:pPr>
      <w:bookmarkStart w:id="111" w:name="_Toc17478"/>
      <w:bookmarkStart w:id="112"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111"/>
      <w:bookmarkEnd w:id="112"/>
    </w:p>
    <w:p w14:paraId="5E53C210">
      <w:pPr>
        <w:pStyle w:val="4"/>
        <w:rPr>
          <w:rFonts w:ascii="仿宋" w:hAnsi="仿宋" w:eastAsia="仿宋"/>
        </w:rPr>
      </w:pPr>
      <w:bookmarkStart w:id="113" w:name="_Toc15396627"/>
      <w:bookmarkStart w:id="114" w:name="_Toc12992"/>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113"/>
      <w:bookmarkEnd w:id="114"/>
    </w:p>
    <w:p w14:paraId="4AAA8BA8">
      <w:pPr>
        <w:pStyle w:val="4"/>
        <w:rPr>
          <w:rFonts w:ascii="仿宋" w:hAnsi="仿宋" w:eastAsia="仿宋"/>
        </w:rPr>
      </w:pPr>
      <w:bookmarkStart w:id="115" w:name="_Toc15396628"/>
      <w:bookmarkStart w:id="116" w:name="_Toc25074"/>
      <w:r>
        <w:rPr>
          <w:rStyle w:val="31"/>
          <w:rFonts w:hint="eastAsia" w:ascii="仿宋" w:hAnsi="仿宋" w:eastAsia="仿宋"/>
          <w:b w:val="0"/>
          <w:bCs w:val="0"/>
        </w:rPr>
        <w:t>十、</w:t>
      </w:r>
      <w:r>
        <w:rPr>
          <w:rFonts w:hint="eastAsia" w:ascii="仿宋" w:hAnsi="仿宋" w:eastAsia="仿宋"/>
          <w:b w:val="0"/>
        </w:rPr>
        <w:t>一</w:t>
      </w:r>
      <w:r>
        <w:rPr>
          <w:rStyle w:val="31"/>
          <w:rFonts w:hint="eastAsia" w:ascii="仿宋" w:hAnsi="仿宋" w:eastAsia="仿宋"/>
          <w:b w:val="0"/>
          <w:bCs w:val="0"/>
        </w:rPr>
        <w:t>般公共预算财政拨款“三公”经费支出决算表</w:t>
      </w:r>
      <w:bookmarkEnd w:id="115"/>
      <w:bookmarkEnd w:id="116"/>
    </w:p>
    <w:p w14:paraId="1E7C6A61">
      <w:pPr>
        <w:pStyle w:val="4"/>
        <w:rPr>
          <w:rFonts w:ascii="仿宋" w:hAnsi="仿宋" w:eastAsia="仿宋"/>
        </w:rPr>
      </w:pPr>
      <w:bookmarkStart w:id="117" w:name="_Toc26411"/>
      <w:bookmarkStart w:id="118" w:name="_Toc15396629"/>
      <w:r>
        <w:rPr>
          <w:rStyle w:val="31"/>
          <w:rFonts w:hint="eastAsia" w:ascii="仿宋" w:hAnsi="仿宋" w:eastAsia="仿宋"/>
          <w:b w:val="0"/>
          <w:bCs w:val="0"/>
        </w:rPr>
        <w:t>十一、</w:t>
      </w:r>
      <w:r>
        <w:rPr>
          <w:rFonts w:hint="eastAsia" w:ascii="仿宋" w:hAnsi="仿宋" w:eastAsia="仿宋"/>
          <w:b w:val="0"/>
        </w:rPr>
        <w:t>政</w:t>
      </w:r>
      <w:r>
        <w:rPr>
          <w:rStyle w:val="31"/>
          <w:rFonts w:hint="eastAsia" w:ascii="仿宋" w:hAnsi="仿宋" w:eastAsia="仿宋"/>
          <w:b w:val="0"/>
          <w:bCs w:val="0"/>
        </w:rPr>
        <w:t>府性基金预算财政拨款收入支出决算表</w:t>
      </w:r>
      <w:bookmarkEnd w:id="117"/>
      <w:bookmarkEnd w:id="118"/>
    </w:p>
    <w:p w14:paraId="57BA9E3D">
      <w:pPr>
        <w:pStyle w:val="4"/>
        <w:rPr>
          <w:rFonts w:ascii="仿宋" w:hAnsi="仿宋" w:eastAsia="仿宋"/>
        </w:rPr>
      </w:pPr>
      <w:bookmarkStart w:id="119" w:name="_Toc15396630"/>
      <w:bookmarkStart w:id="120" w:name="_Toc22280"/>
      <w:r>
        <w:rPr>
          <w:rStyle w:val="31"/>
          <w:rFonts w:hint="eastAsia" w:ascii="仿宋" w:hAnsi="仿宋" w:eastAsia="仿宋"/>
          <w:b w:val="0"/>
          <w:bCs w:val="0"/>
        </w:rPr>
        <w:t>十二、</w:t>
      </w:r>
      <w:r>
        <w:rPr>
          <w:rFonts w:hint="eastAsia" w:ascii="仿宋" w:hAnsi="仿宋" w:eastAsia="仿宋"/>
          <w:b w:val="0"/>
        </w:rPr>
        <w:t>政</w:t>
      </w:r>
      <w:r>
        <w:rPr>
          <w:rStyle w:val="31"/>
          <w:rFonts w:hint="eastAsia" w:ascii="仿宋" w:hAnsi="仿宋" w:eastAsia="仿宋"/>
          <w:b w:val="0"/>
          <w:bCs w:val="0"/>
        </w:rPr>
        <w:t>府性基金预算财政拨款“三公”经费支出决算表</w:t>
      </w:r>
      <w:bookmarkEnd w:id="119"/>
      <w:bookmarkEnd w:id="120"/>
    </w:p>
    <w:p w14:paraId="4FB1F5AB">
      <w:pPr>
        <w:pStyle w:val="4"/>
        <w:rPr>
          <w:rStyle w:val="31"/>
          <w:rFonts w:ascii="仿宋" w:hAnsi="仿宋" w:eastAsia="仿宋"/>
          <w:b w:val="0"/>
          <w:bCs w:val="0"/>
        </w:rPr>
      </w:pPr>
      <w:bookmarkStart w:id="121" w:name="_Toc15396631"/>
      <w:bookmarkStart w:id="122" w:name="_Toc8454"/>
      <w:r>
        <w:rPr>
          <w:rStyle w:val="31"/>
          <w:rFonts w:hint="eastAsia" w:ascii="仿宋" w:hAnsi="仿宋" w:eastAsia="仿宋"/>
          <w:b w:val="0"/>
          <w:bCs w:val="0"/>
        </w:rPr>
        <w:t>十三、</w:t>
      </w:r>
      <w:r>
        <w:rPr>
          <w:rFonts w:hint="eastAsia" w:ascii="仿宋" w:hAnsi="仿宋" w:eastAsia="仿宋"/>
          <w:b w:val="0"/>
        </w:rPr>
        <w:t>国</w:t>
      </w:r>
      <w:r>
        <w:rPr>
          <w:rStyle w:val="31"/>
          <w:rFonts w:hint="eastAsia" w:ascii="仿宋" w:hAnsi="仿宋" w:eastAsia="仿宋"/>
          <w:b w:val="0"/>
          <w:bCs w:val="0"/>
        </w:rPr>
        <w:t>有资本经营预算财政拨款收入支出决算表</w:t>
      </w:r>
      <w:bookmarkEnd w:id="121"/>
      <w:bookmarkEnd w:id="122"/>
    </w:p>
    <w:p w14:paraId="7D661502">
      <w:pPr>
        <w:rPr>
          <w:rFonts w:eastAsia="仿宋"/>
        </w:rPr>
      </w:pPr>
      <w:bookmarkStart w:id="123" w:name="_Toc28088"/>
      <w:r>
        <w:rPr>
          <w:rStyle w:val="31"/>
          <w:rFonts w:hint="eastAsia" w:ascii="仿宋" w:hAnsi="仿宋" w:eastAsia="仿宋"/>
          <w:b w:val="0"/>
          <w:bCs w:val="0"/>
        </w:rPr>
        <w:t>十四、国有资本经营预算财政拨款支出决算表</w:t>
      </w:r>
      <w:bookmarkEnd w:id="123"/>
    </w:p>
    <w:sectPr>
      <w:footerReference r:id="rId12" w:type="first"/>
      <w:footerReference r:id="rId11"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338E0BE-1A74-4969-8ADA-99D3CECCFB48}"/>
  </w:font>
  <w:font w:name="黑体">
    <w:panose1 w:val="02010609060101010101"/>
    <w:charset w:val="86"/>
    <w:family w:val="auto"/>
    <w:pitch w:val="default"/>
    <w:sig w:usb0="800002BF" w:usb1="38CF7CFA" w:usb2="00000016" w:usb3="00000000" w:csb0="00040001" w:csb1="00000000"/>
    <w:embedRegular r:id="rId2" w:fontKey="{FDC39FB4-3583-43A8-9C03-4FA2DF1811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FAF61D5-2F0F-45B1-99CA-411CD52795FB}"/>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4" w:fontKey="{D9728AAF-6457-4AB3-9D5B-8690D160AE5C}"/>
  </w:font>
  <w:font w:name="仿宋">
    <w:panose1 w:val="02010609060101010101"/>
    <w:charset w:val="86"/>
    <w:family w:val="modern"/>
    <w:pitch w:val="default"/>
    <w:sig w:usb0="800002BF" w:usb1="38CF7CFA" w:usb2="00000016" w:usb3="00000000" w:csb0="00040001" w:csb1="00000000"/>
    <w:embedRegular r:id="rId5" w:fontKey="{B1400A52-5694-4605-BA6F-3EF48B357928}"/>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6" w:fontKey="{E793CD9E-6422-4A33-B43E-5716CE7C43D5}"/>
  </w:font>
  <w:font w:name="楷体_GB2312">
    <w:panose1 w:val="02010609030101010101"/>
    <w:charset w:val="86"/>
    <w:family w:val="auto"/>
    <w:pitch w:val="default"/>
    <w:sig w:usb0="00000001" w:usb1="080E0000" w:usb2="00000000" w:usb3="00000000" w:csb0="00040000" w:csb1="00000000"/>
    <w:embedRegular r:id="rId7" w:fontKey="{BD6221A7-F895-4B7C-838C-AA62FACF8E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1ED0B">
    <w:pPr>
      <w:pStyle w:val="11"/>
      <w:jc w:val="center"/>
    </w:pPr>
  </w:p>
  <w:p w14:paraId="210CD2B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AE68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8F915">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2B6BF">
    <w:pPr>
      <w:pStyle w:val="11"/>
      <w:jc w:val="center"/>
    </w:pPr>
    <w:r>
      <w:pict>
        <v:shape id="_x0000_s3077" o:spid="_x0000_s3077"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4F455535">
                <w:pPr>
                  <w:pStyle w:val="11"/>
                  <w:jc w:val="center"/>
                </w:pPr>
                <w:r>
                  <w:fldChar w:fldCharType="begin"/>
                </w:r>
                <w:r>
                  <w:instrText xml:space="preserve">PAGE   \* MERGEFORMAT</w:instrText>
                </w:r>
                <w:r>
                  <w:fldChar w:fldCharType="separate"/>
                </w:r>
                <w:r>
                  <w:rPr>
                    <w:lang w:val="zh-CN"/>
                  </w:rPr>
                  <w:t>-</w:t>
                </w:r>
                <w:r>
                  <w:t xml:space="preserve"> 1 -</w:t>
                </w:r>
                <w:r>
                  <w:rPr>
                    <w:lang w:val="zh-CN"/>
                  </w:rPr>
                  <w:fldChar w:fldCharType="end"/>
                </w:r>
              </w:p>
              <w:p w14:paraId="550B1A07">
                <w:pPr>
                  <w:pStyle w:val="8"/>
                </w:pPr>
              </w:p>
            </w:txbxContent>
          </v:textbox>
        </v:shape>
      </w:pict>
    </w:r>
  </w:p>
  <w:p w14:paraId="44F526AF">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677E9">
    <w:pPr>
      <w:pStyle w:val="11"/>
    </w:pPr>
    <w:r>
      <w:pict>
        <v:shape id="_x0000_s3078" o:spid="_x0000_s3078"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71A6541C">
                <w:pPr>
                  <w:pStyle w:val="11"/>
                </w:pPr>
                <w:r>
                  <w:fldChar w:fldCharType="begin"/>
                </w:r>
                <w:r>
                  <w:instrText xml:space="preserve"> PAGE  \* MERGEFORMAT </w:instrText>
                </w:r>
                <w:r>
                  <w:fldChar w:fldCharType="separate"/>
                </w:r>
                <w:r>
                  <w:t>- 1 -</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E58DD">
    <w:pPr>
      <w:pStyle w:val="11"/>
      <w:jc w:val="center"/>
    </w:pPr>
    <w:r>
      <w:pict>
        <v:shape id="_x0000_s3075" o:spid="_x0000_s3075"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sdt>
                <w:sdtPr>
                  <w:id w:val="-1"/>
                </w:sdtPr>
                <w:sdtContent>
                  <w:p w14:paraId="4D6FDD25">
                    <w:pPr>
                      <w:pStyle w:val="11"/>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17 -</w:t>
                    </w:r>
                    <w:r>
                      <w:rPr>
                        <w:rFonts w:hint="eastAsia" w:ascii="宋体" w:hAnsi="宋体" w:cs="宋体"/>
                        <w:sz w:val="28"/>
                        <w:szCs w:val="28"/>
                        <w:lang w:val="zh-CN"/>
                      </w:rPr>
                      <w:fldChar w:fldCharType="end"/>
                    </w:r>
                  </w:p>
                </w:sdtContent>
              </w:sdt>
              <w:p w14:paraId="6D12640D">
                <w:pPr>
                  <w:pStyle w:val="8"/>
                </w:pPr>
              </w:p>
            </w:txbxContent>
          </v:textbox>
        </v:shape>
      </w:pict>
    </w:r>
  </w:p>
  <w:p w14:paraId="485B5317">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52DA5">
    <w:pPr>
      <w:pStyle w:val="11"/>
    </w:pPr>
    <w:r>
      <w:pict>
        <v:shape id="_x0000_s3076" o:spid="_x0000_s3076"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2C17CDFA">
                <w:pPr>
                  <w:pStyle w:val="11"/>
                </w:pPr>
                <w:r>
                  <w:fldChar w:fldCharType="begin"/>
                </w:r>
                <w:r>
                  <w:instrText xml:space="preserve"> PAGE  \* MERGEFORMAT </w:instrText>
                </w:r>
                <w:r>
                  <w:fldChar w:fldCharType="separate"/>
                </w:r>
                <w:r>
                  <w:t>- 4 -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4D7C7">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E610A">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D8A0B">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97FA54"/>
    <w:multiLevelType w:val="singleLevel"/>
    <w:tmpl w:val="CE97FA54"/>
    <w:lvl w:ilvl="0" w:tentative="0">
      <w:start w:val="1"/>
      <w:numFmt w:val="chineseCounting"/>
      <w:suff w:val="nothing"/>
      <w:lvlText w:val="（%1）"/>
      <w:lvlJc w:val="left"/>
      <w:pPr>
        <w:ind w:left="70"/>
      </w:pPr>
      <w:rPr>
        <w:rFonts w:hint="eastAsia"/>
      </w:rPr>
    </w:lvl>
  </w:abstractNum>
  <w:abstractNum w:abstractNumId="1">
    <w:nsid w:val="DD7D443A"/>
    <w:multiLevelType w:val="singleLevel"/>
    <w:tmpl w:val="DD7D443A"/>
    <w:lvl w:ilvl="0" w:tentative="0">
      <w:start w:val="2"/>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E6F0C2BC"/>
    <w:multiLevelType w:val="singleLevel"/>
    <w:tmpl w:val="E6F0C2BC"/>
    <w:lvl w:ilvl="0" w:tentative="0">
      <w:start w:val="1"/>
      <w:numFmt w:val="decimal"/>
      <w:suff w:val="nothing"/>
      <w:lvlText w:val="%1、"/>
      <w:lvlJc w:val="left"/>
    </w:lvl>
  </w:abstractNum>
  <w:abstractNum w:abstractNumId="4">
    <w:nsid w:val="F3DE8C9F"/>
    <w:multiLevelType w:val="singleLevel"/>
    <w:tmpl w:val="F3DE8C9F"/>
    <w:lvl w:ilvl="0" w:tentative="0">
      <w:start w:val="2"/>
      <w:numFmt w:val="chineseCounting"/>
      <w:suff w:val="nothing"/>
      <w:lvlText w:val="（%1）"/>
      <w:lvlJc w:val="left"/>
      <w:pPr>
        <w:ind w:left="68"/>
      </w:pPr>
      <w:rPr>
        <w:rFonts w:hint="eastAsia"/>
      </w:rPr>
    </w:lvl>
  </w:abstractNum>
  <w:abstractNum w:abstractNumId="5">
    <w:nsid w:val="5B01BD8D"/>
    <w:multiLevelType w:val="singleLevel"/>
    <w:tmpl w:val="5B01BD8D"/>
    <w:lvl w:ilvl="0" w:tentative="0">
      <w:start w:val="3"/>
      <w:numFmt w:val="decimal"/>
      <w:suff w:val="nothing"/>
      <w:lvlText w:val="（%1）"/>
      <w:lvlJc w:val="left"/>
    </w:lvl>
  </w:abstractNum>
  <w:abstractNum w:abstractNumId="6">
    <w:nsid w:val="6FAC1C60"/>
    <w:multiLevelType w:val="singleLevel"/>
    <w:tmpl w:val="6FAC1C60"/>
    <w:lvl w:ilvl="0" w:tentative="0">
      <w:start w:val="2"/>
      <w:numFmt w:val="chineseCounting"/>
      <w:suff w:val="nothing"/>
      <w:lvlText w:val="（%1）"/>
      <w:lvlJc w:val="left"/>
      <w:pPr>
        <w:ind w:left="-140"/>
      </w:pPr>
      <w:rPr>
        <w:rFonts w:hint="eastAsia"/>
      </w:rPr>
    </w:lvl>
  </w:abstractNum>
  <w:abstractNum w:abstractNumId="7">
    <w:nsid w:val="7A1D3ABA"/>
    <w:multiLevelType w:val="singleLevel"/>
    <w:tmpl w:val="7A1D3ABA"/>
    <w:lvl w:ilvl="0" w:tentative="0">
      <w:start w:val="3"/>
      <w:numFmt w:val="chineseCounting"/>
      <w:suff w:val="nothing"/>
      <w:lvlText w:val="（%1）"/>
      <w:lvlJc w:val="left"/>
      <w:rPr>
        <w:rFonts w:hint="eastAsia"/>
      </w:rPr>
    </w:lvl>
  </w:abstractNum>
  <w:num w:numId="1">
    <w:abstractNumId w:val="2"/>
  </w:num>
  <w:num w:numId="2">
    <w:abstractNumId w:val="0"/>
  </w:num>
  <w:num w:numId="3">
    <w:abstractNumId w:val="6"/>
  </w:num>
  <w:num w:numId="4">
    <w:abstractNumId w:val="1"/>
  </w:num>
  <w:num w:numId="5">
    <w:abstractNumId w:val="4"/>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VhYTg4NGNkZWJkODFjNzcyZDRjM2M4Y2UzNjI5ZmUifQ=="/>
  </w:docVars>
  <w:rsids>
    <w:rsidRoot w:val="00F1361C"/>
    <w:rsid w:val="00004841"/>
    <w:rsid w:val="00011F76"/>
    <w:rsid w:val="00014E85"/>
    <w:rsid w:val="000222C6"/>
    <w:rsid w:val="0002549F"/>
    <w:rsid w:val="00041B2D"/>
    <w:rsid w:val="000468DB"/>
    <w:rsid w:val="0006487A"/>
    <w:rsid w:val="00065F8F"/>
    <w:rsid w:val="00070A43"/>
    <w:rsid w:val="00075847"/>
    <w:rsid w:val="000768F2"/>
    <w:rsid w:val="00076FB7"/>
    <w:rsid w:val="00082E3E"/>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2918"/>
    <w:rsid w:val="00144D6A"/>
    <w:rsid w:val="0014729F"/>
    <w:rsid w:val="00155369"/>
    <w:rsid w:val="00157BAB"/>
    <w:rsid w:val="001654D1"/>
    <w:rsid w:val="00174518"/>
    <w:rsid w:val="00175D69"/>
    <w:rsid w:val="0018106D"/>
    <w:rsid w:val="001877A7"/>
    <w:rsid w:val="00191536"/>
    <w:rsid w:val="00196687"/>
    <w:rsid w:val="001B0E08"/>
    <w:rsid w:val="001C0962"/>
    <w:rsid w:val="001D7531"/>
    <w:rsid w:val="001E737D"/>
    <w:rsid w:val="001F0592"/>
    <w:rsid w:val="001F7506"/>
    <w:rsid w:val="002006CD"/>
    <w:rsid w:val="00202B36"/>
    <w:rsid w:val="00204B7A"/>
    <w:rsid w:val="00204CDE"/>
    <w:rsid w:val="002051E9"/>
    <w:rsid w:val="0021101A"/>
    <w:rsid w:val="00220536"/>
    <w:rsid w:val="002205D1"/>
    <w:rsid w:val="00224214"/>
    <w:rsid w:val="0022719C"/>
    <w:rsid w:val="00231403"/>
    <w:rsid w:val="00235629"/>
    <w:rsid w:val="002478B7"/>
    <w:rsid w:val="00251A3D"/>
    <w:rsid w:val="00260C38"/>
    <w:rsid w:val="002616C0"/>
    <w:rsid w:val="00265372"/>
    <w:rsid w:val="002662AA"/>
    <w:rsid w:val="00280496"/>
    <w:rsid w:val="00294DC9"/>
    <w:rsid w:val="00295495"/>
    <w:rsid w:val="002A31DE"/>
    <w:rsid w:val="002B2613"/>
    <w:rsid w:val="002B6B14"/>
    <w:rsid w:val="002D6D05"/>
    <w:rsid w:val="002F1818"/>
    <w:rsid w:val="002F567B"/>
    <w:rsid w:val="002F7CE9"/>
    <w:rsid w:val="00315F3F"/>
    <w:rsid w:val="003216A9"/>
    <w:rsid w:val="00325785"/>
    <w:rsid w:val="00335A74"/>
    <w:rsid w:val="00344131"/>
    <w:rsid w:val="00363342"/>
    <w:rsid w:val="0036561B"/>
    <w:rsid w:val="0037013F"/>
    <w:rsid w:val="00380C92"/>
    <w:rsid w:val="00386615"/>
    <w:rsid w:val="003A484F"/>
    <w:rsid w:val="003A4883"/>
    <w:rsid w:val="003B0BE0"/>
    <w:rsid w:val="003B0C1B"/>
    <w:rsid w:val="003B48F2"/>
    <w:rsid w:val="003B688C"/>
    <w:rsid w:val="003B725C"/>
    <w:rsid w:val="003C0291"/>
    <w:rsid w:val="003C39AE"/>
    <w:rsid w:val="003C3C44"/>
    <w:rsid w:val="003C3D57"/>
    <w:rsid w:val="003C7B60"/>
    <w:rsid w:val="003D0C0F"/>
    <w:rsid w:val="003D1FB2"/>
    <w:rsid w:val="003D66DA"/>
    <w:rsid w:val="003E1310"/>
    <w:rsid w:val="003E6F55"/>
    <w:rsid w:val="00406254"/>
    <w:rsid w:val="0041146B"/>
    <w:rsid w:val="004223DE"/>
    <w:rsid w:val="00434489"/>
    <w:rsid w:val="00437085"/>
    <w:rsid w:val="00443880"/>
    <w:rsid w:val="004464F4"/>
    <w:rsid w:val="00471401"/>
    <w:rsid w:val="00471996"/>
    <w:rsid w:val="00473F31"/>
    <w:rsid w:val="0048263A"/>
    <w:rsid w:val="00487E5D"/>
    <w:rsid w:val="004A711F"/>
    <w:rsid w:val="004B199D"/>
    <w:rsid w:val="004B44E0"/>
    <w:rsid w:val="004B4690"/>
    <w:rsid w:val="004E0A2D"/>
    <w:rsid w:val="004E206B"/>
    <w:rsid w:val="004E6575"/>
    <w:rsid w:val="004E6DF7"/>
    <w:rsid w:val="004F0FBD"/>
    <w:rsid w:val="00503A1A"/>
    <w:rsid w:val="00505A47"/>
    <w:rsid w:val="00512FDA"/>
    <w:rsid w:val="0051529B"/>
    <w:rsid w:val="00520DA0"/>
    <w:rsid w:val="005664BB"/>
    <w:rsid w:val="00566FFA"/>
    <w:rsid w:val="0057481D"/>
    <w:rsid w:val="0058486E"/>
    <w:rsid w:val="00585B33"/>
    <w:rsid w:val="0059014D"/>
    <w:rsid w:val="00591054"/>
    <w:rsid w:val="005A71D3"/>
    <w:rsid w:val="005B5C64"/>
    <w:rsid w:val="005C5337"/>
    <w:rsid w:val="005C6BD0"/>
    <w:rsid w:val="005D1C8B"/>
    <w:rsid w:val="005D468D"/>
    <w:rsid w:val="005D5CED"/>
    <w:rsid w:val="005F1A4C"/>
    <w:rsid w:val="00605688"/>
    <w:rsid w:val="006070AF"/>
    <w:rsid w:val="00607E6C"/>
    <w:rsid w:val="006101B1"/>
    <w:rsid w:val="00613A44"/>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1063"/>
    <w:rsid w:val="006A3141"/>
    <w:rsid w:val="006A5E34"/>
    <w:rsid w:val="006B0485"/>
    <w:rsid w:val="006B05DB"/>
    <w:rsid w:val="006B2422"/>
    <w:rsid w:val="006B2B9A"/>
    <w:rsid w:val="006C1937"/>
    <w:rsid w:val="006F020C"/>
    <w:rsid w:val="007011C2"/>
    <w:rsid w:val="007127B7"/>
    <w:rsid w:val="00712D6A"/>
    <w:rsid w:val="0071798E"/>
    <w:rsid w:val="007416B6"/>
    <w:rsid w:val="00746F48"/>
    <w:rsid w:val="0075404D"/>
    <w:rsid w:val="0075683C"/>
    <w:rsid w:val="0076182A"/>
    <w:rsid w:val="00761865"/>
    <w:rsid w:val="00767B7E"/>
    <w:rsid w:val="00773AAF"/>
    <w:rsid w:val="00776ECB"/>
    <w:rsid w:val="007770C3"/>
    <w:rsid w:val="00784D24"/>
    <w:rsid w:val="00785FBA"/>
    <w:rsid w:val="00786E4A"/>
    <w:rsid w:val="007875EB"/>
    <w:rsid w:val="00791F28"/>
    <w:rsid w:val="00792188"/>
    <w:rsid w:val="0079426B"/>
    <w:rsid w:val="007D1682"/>
    <w:rsid w:val="007D312A"/>
    <w:rsid w:val="007D3F19"/>
    <w:rsid w:val="007E23B0"/>
    <w:rsid w:val="007E23E5"/>
    <w:rsid w:val="007F1991"/>
    <w:rsid w:val="007F2C2F"/>
    <w:rsid w:val="007F55FC"/>
    <w:rsid w:val="007F5665"/>
    <w:rsid w:val="00800112"/>
    <w:rsid w:val="00804199"/>
    <w:rsid w:val="00813348"/>
    <w:rsid w:val="008161FE"/>
    <w:rsid w:val="008253BB"/>
    <w:rsid w:val="0082702C"/>
    <w:rsid w:val="0083706E"/>
    <w:rsid w:val="008408F6"/>
    <w:rsid w:val="008423A5"/>
    <w:rsid w:val="00842CA8"/>
    <w:rsid w:val="00850625"/>
    <w:rsid w:val="00853718"/>
    <w:rsid w:val="00855221"/>
    <w:rsid w:val="00860645"/>
    <w:rsid w:val="00871F71"/>
    <w:rsid w:val="00872FD8"/>
    <w:rsid w:val="0088374F"/>
    <w:rsid w:val="00885AF4"/>
    <w:rsid w:val="008939CD"/>
    <w:rsid w:val="008B768C"/>
    <w:rsid w:val="008C4DB1"/>
    <w:rsid w:val="008C4EAF"/>
    <w:rsid w:val="008C5176"/>
    <w:rsid w:val="008C7FD0"/>
    <w:rsid w:val="008D2CDC"/>
    <w:rsid w:val="008E1DE7"/>
    <w:rsid w:val="008E707C"/>
    <w:rsid w:val="00900B08"/>
    <w:rsid w:val="00902155"/>
    <w:rsid w:val="00902FA3"/>
    <w:rsid w:val="00907E53"/>
    <w:rsid w:val="00923564"/>
    <w:rsid w:val="0092392E"/>
    <w:rsid w:val="009315F9"/>
    <w:rsid w:val="00933499"/>
    <w:rsid w:val="00935C98"/>
    <w:rsid w:val="00946945"/>
    <w:rsid w:val="00951248"/>
    <w:rsid w:val="0095152F"/>
    <w:rsid w:val="00954C49"/>
    <w:rsid w:val="00955E37"/>
    <w:rsid w:val="00966E5F"/>
    <w:rsid w:val="0097099F"/>
    <w:rsid w:val="00971997"/>
    <w:rsid w:val="00971FFC"/>
    <w:rsid w:val="00974730"/>
    <w:rsid w:val="00976E73"/>
    <w:rsid w:val="00984040"/>
    <w:rsid w:val="0098660A"/>
    <w:rsid w:val="009931C3"/>
    <w:rsid w:val="009A21AA"/>
    <w:rsid w:val="009A57FA"/>
    <w:rsid w:val="009B2C43"/>
    <w:rsid w:val="009B3B9F"/>
    <w:rsid w:val="009B4EAE"/>
    <w:rsid w:val="009B7573"/>
    <w:rsid w:val="009C22F4"/>
    <w:rsid w:val="009C2A4B"/>
    <w:rsid w:val="009C2E98"/>
    <w:rsid w:val="009D3447"/>
    <w:rsid w:val="009D425C"/>
    <w:rsid w:val="009D4711"/>
    <w:rsid w:val="009F1185"/>
    <w:rsid w:val="009F18CD"/>
    <w:rsid w:val="009F2A13"/>
    <w:rsid w:val="009F7527"/>
    <w:rsid w:val="00A04EB0"/>
    <w:rsid w:val="00A06154"/>
    <w:rsid w:val="00A13CC1"/>
    <w:rsid w:val="00A16847"/>
    <w:rsid w:val="00A237D8"/>
    <w:rsid w:val="00A268C4"/>
    <w:rsid w:val="00A307CD"/>
    <w:rsid w:val="00A331C8"/>
    <w:rsid w:val="00A40A00"/>
    <w:rsid w:val="00A40FDE"/>
    <w:rsid w:val="00A4142F"/>
    <w:rsid w:val="00A422EB"/>
    <w:rsid w:val="00A454B9"/>
    <w:rsid w:val="00A45BB7"/>
    <w:rsid w:val="00A56DF2"/>
    <w:rsid w:val="00A56E6E"/>
    <w:rsid w:val="00A6600D"/>
    <w:rsid w:val="00A67AB5"/>
    <w:rsid w:val="00A70B07"/>
    <w:rsid w:val="00A733B2"/>
    <w:rsid w:val="00A741C2"/>
    <w:rsid w:val="00A91760"/>
    <w:rsid w:val="00A93B00"/>
    <w:rsid w:val="00A93C21"/>
    <w:rsid w:val="00A964E6"/>
    <w:rsid w:val="00AB64C9"/>
    <w:rsid w:val="00AC3C6A"/>
    <w:rsid w:val="00AD311C"/>
    <w:rsid w:val="00AD48DB"/>
    <w:rsid w:val="00AD52A4"/>
    <w:rsid w:val="00AD5620"/>
    <w:rsid w:val="00AD656B"/>
    <w:rsid w:val="00AD721D"/>
    <w:rsid w:val="00AD7C1B"/>
    <w:rsid w:val="00AE16BA"/>
    <w:rsid w:val="00AE1EBE"/>
    <w:rsid w:val="00AE54F2"/>
    <w:rsid w:val="00AE6E94"/>
    <w:rsid w:val="00B03C9D"/>
    <w:rsid w:val="00B060AE"/>
    <w:rsid w:val="00B104D3"/>
    <w:rsid w:val="00B10517"/>
    <w:rsid w:val="00B14E76"/>
    <w:rsid w:val="00B161B8"/>
    <w:rsid w:val="00B17085"/>
    <w:rsid w:val="00B2048C"/>
    <w:rsid w:val="00B310B9"/>
    <w:rsid w:val="00B35F3F"/>
    <w:rsid w:val="00B36CBB"/>
    <w:rsid w:val="00B425E0"/>
    <w:rsid w:val="00B440AA"/>
    <w:rsid w:val="00B44B70"/>
    <w:rsid w:val="00B44D91"/>
    <w:rsid w:val="00B53C56"/>
    <w:rsid w:val="00B57DAF"/>
    <w:rsid w:val="00B61A8D"/>
    <w:rsid w:val="00B77EA6"/>
    <w:rsid w:val="00B81598"/>
    <w:rsid w:val="00B83A47"/>
    <w:rsid w:val="00B841F1"/>
    <w:rsid w:val="00B944D6"/>
    <w:rsid w:val="00BB4DF0"/>
    <w:rsid w:val="00BC289F"/>
    <w:rsid w:val="00BC2D50"/>
    <w:rsid w:val="00BC5361"/>
    <w:rsid w:val="00BC5460"/>
    <w:rsid w:val="00BC6B50"/>
    <w:rsid w:val="00BD0E25"/>
    <w:rsid w:val="00BE3DA1"/>
    <w:rsid w:val="00BF5BD6"/>
    <w:rsid w:val="00C03E31"/>
    <w:rsid w:val="00C33E72"/>
    <w:rsid w:val="00C34033"/>
    <w:rsid w:val="00C354B2"/>
    <w:rsid w:val="00C35554"/>
    <w:rsid w:val="00C42709"/>
    <w:rsid w:val="00C533CC"/>
    <w:rsid w:val="00C55BC8"/>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14833"/>
    <w:rsid w:val="00D20620"/>
    <w:rsid w:val="00D254F7"/>
    <w:rsid w:val="00D26091"/>
    <w:rsid w:val="00D2685C"/>
    <w:rsid w:val="00D306D1"/>
    <w:rsid w:val="00D34E7C"/>
    <w:rsid w:val="00D35489"/>
    <w:rsid w:val="00D36AFE"/>
    <w:rsid w:val="00D51276"/>
    <w:rsid w:val="00D7035F"/>
    <w:rsid w:val="00DA634F"/>
    <w:rsid w:val="00DA65AC"/>
    <w:rsid w:val="00DB1913"/>
    <w:rsid w:val="00DC334E"/>
    <w:rsid w:val="00DC410D"/>
    <w:rsid w:val="00DC5A81"/>
    <w:rsid w:val="00DC68CA"/>
    <w:rsid w:val="00DC7CBA"/>
    <w:rsid w:val="00DD73B7"/>
    <w:rsid w:val="00DF28BC"/>
    <w:rsid w:val="00DF34B9"/>
    <w:rsid w:val="00E01053"/>
    <w:rsid w:val="00E07ACF"/>
    <w:rsid w:val="00E331A1"/>
    <w:rsid w:val="00E33202"/>
    <w:rsid w:val="00E336A9"/>
    <w:rsid w:val="00E42895"/>
    <w:rsid w:val="00E472B1"/>
    <w:rsid w:val="00E50624"/>
    <w:rsid w:val="00E568DF"/>
    <w:rsid w:val="00E64269"/>
    <w:rsid w:val="00E70563"/>
    <w:rsid w:val="00E82267"/>
    <w:rsid w:val="00E853CE"/>
    <w:rsid w:val="00E867B6"/>
    <w:rsid w:val="00E94CCF"/>
    <w:rsid w:val="00EA010F"/>
    <w:rsid w:val="00EA4F51"/>
    <w:rsid w:val="00EB00EB"/>
    <w:rsid w:val="00ED1B63"/>
    <w:rsid w:val="00ED3C1F"/>
    <w:rsid w:val="00ED4085"/>
    <w:rsid w:val="00ED420E"/>
    <w:rsid w:val="00ED6FBE"/>
    <w:rsid w:val="00EE2F57"/>
    <w:rsid w:val="00EE5A8C"/>
    <w:rsid w:val="00EE7B16"/>
    <w:rsid w:val="00EF4C34"/>
    <w:rsid w:val="00EF77C6"/>
    <w:rsid w:val="00F05438"/>
    <w:rsid w:val="00F10B19"/>
    <w:rsid w:val="00F124DF"/>
    <w:rsid w:val="00F1361C"/>
    <w:rsid w:val="00F156F0"/>
    <w:rsid w:val="00F160C7"/>
    <w:rsid w:val="00F16749"/>
    <w:rsid w:val="00F21CF7"/>
    <w:rsid w:val="00F2408F"/>
    <w:rsid w:val="00F240E9"/>
    <w:rsid w:val="00F36D8F"/>
    <w:rsid w:val="00F417B1"/>
    <w:rsid w:val="00F45853"/>
    <w:rsid w:val="00F602DF"/>
    <w:rsid w:val="00F754A1"/>
    <w:rsid w:val="00F81FD9"/>
    <w:rsid w:val="00F841AA"/>
    <w:rsid w:val="00F84A94"/>
    <w:rsid w:val="00F87E96"/>
    <w:rsid w:val="00FA1585"/>
    <w:rsid w:val="00FA23E8"/>
    <w:rsid w:val="00FB5C8C"/>
    <w:rsid w:val="00FD1648"/>
    <w:rsid w:val="00FD3CC1"/>
    <w:rsid w:val="00FF1E02"/>
    <w:rsid w:val="00FF30B4"/>
    <w:rsid w:val="00FF7A84"/>
    <w:rsid w:val="01DA0C2B"/>
    <w:rsid w:val="0220601B"/>
    <w:rsid w:val="03130CCB"/>
    <w:rsid w:val="039C3802"/>
    <w:rsid w:val="03C57F39"/>
    <w:rsid w:val="03E33071"/>
    <w:rsid w:val="041358F2"/>
    <w:rsid w:val="04351B1E"/>
    <w:rsid w:val="05917228"/>
    <w:rsid w:val="05F862F6"/>
    <w:rsid w:val="061C55CE"/>
    <w:rsid w:val="06941C32"/>
    <w:rsid w:val="075632F4"/>
    <w:rsid w:val="08B233AF"/>
    <w:rsid w:val="0A2032A3"/>
    <w:rsid w:val="0AB93C3A"/>
    <w:rsid w:val="0B612169"/>
    <w:rsid w:val="0B8A37D8"/>
    <w:rsid w:val="0C623372"/>
    <w:rsid w:val="0CF377A2"/>
    <w:rsid w:val="0D2A46B7"/>
    <w:rsid w:val="0E214EC1"/>
    <w:rsid w:val="0FFD4225"/>
    <w:rsid w:val="0FFF0C53"/>
    <w:rsid w:val="104C23CE"/>
    <w:rsid w:val="10C055FF"/>
    <w:rsid w:val="116A3044"/>
    <w:rsid w:val="118107EC"/>
    <w:rsid w:val="11DD6519"/>
    <w:rsid w:val="12C80001"/>
    <w:rsid w:val="15842905"/>
    <w:rsid w:val="15F8627F"/>
    <w:rsid w:val="16BB723D"/>
    <w:rsid w:val="18015F3F"/>
    <w:rsid w:val="190855FC"/>
    <w:rsid w:val="1A635396"/>
    <w:rsid w:val="1A8B1D70"/>
    <w:rsid w:val="1A910C2F"/>
    <w:rsid w:val="1B006C56"/>
    <w:rsid w:val="1B970EB9"/>
    <w:rsid w:val="1BE8440E"/>
    <w:rsid w:val="1C381D54"/>
    <w:rsid w:val="1CFC2692"/>
    <w:rsid w:val="1D155CEE"/>
    <w:rsid w:val="1FAB7966"/>
    <w:rsid w:val="1FD73CD4"/>
    <w:rsid w:val="1FF669F3"/>
    <w:rsid w:val="203E7B55"/>
    <w:rsid w:val="205F700C"/>
    <w:rsid w:val="20F57F95"/>
    <w:rsid w:val="211E7F3B"/>
    <w:rsid w:val="21276E25"/>
    <w:rsid w:val="23CC3E1E"/>
    <w:rsid w:val="23EB3B50"/>
    <w:rsid w:val="240371BF"/>
    <w:rsid w:val="24643DF0"/>
    <w:rsid w:val="25C741E6"/>
    <w:rsid w:val="2697452C"/>
    <w:rsid w:val="27842671"/>
    <w:rsid w:val="28FD358A"/>
    <w:rsid w:val="29DB05EB"/>
    <w:rsid w:val="29FD04D3"/>
    <w:rsid w:val="2ABE7A3E"/>
    <w:rsid w:val="2B393102"/>
    <w:rsid w:val="2CDE3E85"/>
    <w:rsid w:val="2D8755B3"/>
    <w:rsid w:val="2EFA178C"/>
    <w:rsid w:val="2FAC61D3"/>
    <w:rsid w:val="30AE5672"/>
    <w:rsid w:val="30B46D73"/>
    <w:rsid w:val="30BC6FA0"/>
    <w:rsid w:val="30C70B46"/>
    <w:rsid w:val="30D20571"/>
    <w:rsid w:val="31237440"/>
    <w:rsid w:val="319F7F4E"/>
    <w:rsid w:val="32052280"/>
    <w:rsid w:val="36783969"/>
    <w:rsid w:val="36E25286"/>
    <w:rsid w:val="36FE2630"/>
    <w:rsid w:val="385559D3"/>
    <w:rsid w:val="387F4A5C"/>
    <w:rsid w:val="391A323E"/>
    <w:rsid w:val="39AE70AB"/>
    <w:rsid w:val="3A097A07"/>
    <w:rsid w:val="3BA55A54"/>
    <w:rsid w:val="3BE20558"/>
    <w:rsid w:val="3BFEC550"/>
    <w:rsid w:val="3C0C0783"/>
    <w:rsid w:val="3C7E2851"/>
    <w:rsid w:val="3F5536D7"/>
    <w:rsid w:val="3F795B0E"/>
    <w:rsid w:val="3F9F3A96"/>
    <w:rsid w:val="3FD133DB"/>
    <w:rsid w:val="409322AE"/>
    <w:rsid w:val="40C81049"/>
    <w:rsid w:val="42A555E7"/>
    <w:rsid w:val="43AF16C9"/>
    <w:rsid w:val="43BA0A1B"/>
    <w:rsid w:val="444924A1"/>
    <w:rsid w:val="457079D0"/>
    <w:rsid w:val="466060B3"/>
    <w:rsid w:val="468123C6"/>
    <w:rsid w:val="46AB6703"/>
    <w:rsid w:val="47264F1F"/>
    <w:rsid w:val="478B62E5"/>
    <w:rsid w:val="48CC36A0"/>
    <w:rsid w:val="49115557"/>
    <w:rsid w:val="493C27E9"/>
    <w:rsid w:val="496F39ED"/>
    <w:rsid w:val="49FF41D3"/>
    <w:rsid w:val="4A185DC8"/>
    <w:rsid w:val="4A266D3E"/>
    <w:rsid w:val="4A985F30"/>
    <w:rsid w:val="4A997DD6"/>
    <w:rsid w:val="4BE068DB"/>
    <w:rsid w:val="4BF6002B"/>
    <w:rsid w:val="4C646F3A"/>
    <w:rsid w:val="4CBA3DFF"/>
    <w:rsid w:val="4CD174D7"/>
    <w:rsid w:val="4D127A4D"/>
    <w:rsid w:val="4D603C4D"/>
    <w:rsid w:val="4E6F4FE9"/>
    <w:rsid w:val="4EAC3D58"/>
    <w:rsid w:val="4ECE2238"/>
    <w:rsid w:val="4F8C6D5C"/>
    <w:rsid w:val="4FBE4C49"/>
    <w:rsid w:val="51B11685"/>
    <w:rsid w:val="51DB4B86"/>
    <w:rsid w:val="52916D0F"/>
    <w:rsid w:val="530D4C8B"/>
    <w:rsid w:val="53DD58E7"/>
    <w:rsid w:val="54381450"/>
    <w:rsid w:val="54DA7145"/>
    <w:rsid w:val="55333C3E"/>
    <w:rsid w:val="555461F4"/>
    <w:rsid w:val="56DA5DB9"/>
    <w:rsid w:val="57545864"/>
    <w:rsid w:val="586631C9"/>
    <w:rsid w:val="58704048"/>
    <w:rsid w:val="58F05F63"/>
    <w:rsid w:val="5A4A2112"/>
    <w:rsid w:val="5AA177B2"/>
    <w:rsid w:val="5E323B4E"/>
    <w:rsid w:val="5FB74208"/>
    <w:rsid w:val="608E4BD8"/>
    <w:rsid w:val="61555058"/>
    <w:rsid w:val="64CA39A1"/>
    <w:rsid w:val="6703343B"/>
    <w:rsid w:val="67DA3E79"/>
    <w:rsid w:val="67DD3C0C"/>
    <w:rsid w:val="68CD2DF1"/>
    <w:rsid w:val="698701B1"/>
    <w:rsid w:val="6A8A163D"/>
    <w:rsid w:val="6B3667D6"/>
    <w:rsid w:val="6BAD2501"/>
    <w:rsid w:val="6BBB736F"/>
    <w:rsid w:val="6C254DAF"/>
    <w:rsid w:val="6C4A05C8"/>
    <w:rsid w:val="6CFF48EF"/>
    <w:rsid w:val="6D924450"/>
    <w:rsid w:val="6E442CB4"/>
    <w:rsid w:val="6F7833B8"/>
    <w:rsid w:val="70A94143"/>
    <w:rsid w:val="7180798A"/>
    <w:rsid w:val="72734D90"/>
    <w:rsid w:val="73623069"/>
    <w:rsid w:val="74E366CA"/>
    <w:rsid w:val="74EB2271"/>
    <w:rsid w:val="74EE6AD0"/>
    <w:rsid w:val="75B62DD5"/>
    <w:rsid w:val="76E46B01"/>
    <w:rsid w:val="772C6117"/>
    <w:rsid w:val="77CC7940"/>
    <w:rsid w:val="78B84744"/>
    <w:rsid w:val="79E7B28D"/>
    <w:rsid w:val="79FA15D9"/>
    <w:rsid w:val="7A480258"/>
    <w:rsid w:val="7A8B5891"/>
    <w:rsid w:val="7B46E866"/>
    <w:rsid w:val="7B8B357C"/>
    <w:rsid w:val="7CEC5AE4"/>
    <w:rsid w:val="7D3B1093"/>
    <w:rsid w:val="7DAE4B47"/>
    <w:rsid w:val="7E570A94"/>
    <w:rsid w:val="7F4A6959"/>
    <w:rsid w:val="7F9F20EE"/>
    <w:rsid w:val="7FF56841"/>
    <w:rsid w:val="7FFCA94C"/>
    <w:rsid w:val="9D7D6432"/>
    <w:rsid w:val="9E3A10E2"/>
    <w:rsid w:val="AEE9B94E"/>
    <w:rsid w:val="B7F761EB"/>
    <w:rsid w:val="D3BB4217"/>
    <w:rsid w:val="DFEFFE67"/>
    <w:rsid w:val="F2E1F9D4"/>
    <w:rsid w:val="F4EF7830"/>
    <w:rsid w:val="F4FE61D2"/>
    <w:rsid w:val="F7880819"/>
    <w:rsid w:val="FFFF477E"/>
    <w:rsid w:val="FFFF7A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paragraph" w:styleId="6">
    <w:name w:val="heading 4"/>
    <w:basedOn w:val="7"/>
    <w:next w:val="1"/>
    <w:link w:val="41"/>
    <w:qFormat/>
    <w:uiPriority w:val="0"/>
    <w:pPr>
      <w:outlineLvl w:val="3"/>
    </w:p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8"/>
    <w:qFormat/>
    <w:uiPriority w:val="99"/>
    <w:pPr>
      <w:spacing w:beforeLines="30"/>
    </w:pPr>
    <w:rPr>
      <w:rFonts w:ascii="仿宋_GB2312" w:eastAsia="仿宋_GB2312"/>
      <w:kern w:val="0"/>
      <w:sz w:val="30"/>
    </w:rPr>
  </w:style>
  <w:style w:type="paragraph" w:customStyle="1" w:styleId="7">
    <w:name w:val="样式1"/>
    <w:basedOn w:val="1"/>
    <w:qFormat/>
    <w:uiPriority w:val="0"/>
    <w:pPr>
      <w:spacing w:line="360" w:lineRule="auto"/>
      <w:ind w:firstLine="640" w:firstLineChars="200"/>
    </w:pPr>
    <w:rPr>
      <w:rFonts w:ascii="仿宋_GB2312"/>
    </w:rPr>
  </w:style>
  <w:style w:type="paragraph" w:styleId="8">
    <w:name w:val="Normal Indent"/>
    <w:basedOn w:val="1"/>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widowControl/>
      <w:jc w:val="left"/>
    </w:pPr>
    <w:rPr>
      <w:rFonts w:ascii="宋体" w:hAnsi="宋体" w:eastAsia="宋体" w:cs="宋体"/>
      <w:kern w:val="0"/>
      <w:sz w:val="24"/>
      <w:szCs w:val="20"/>
    </w:rPr>
  </w:style>
  <w:style w:type="character" w:styleId="18">
    <w:name w:val="Strong"/>
    <w:basedOn w:val="17"/>
    <w:qFormat/>
    <w:uiPriority w:val="99"/>
    <w:rPr>
      <w:b/>
    </w:rPr>
  </w:style>
  <w:style w:type="character" w:styleId="19">
    <w:name w:val="page number"/>
    <w:basedOn w:val="17"/>
    <w:qFormat/>
    <w:uiPriority w:val="0"/>
  </w:style>
  <w:style w:type="character" w:styleId="20">
    <w:name w:val="Hyperlink"/>
    <w:basedOn w:val="17"/>
    <w:unhideWhenUsed/>
    <w:qFormat/>
    <w:uiPriority w:val="99"/>
    <w:rPr>
      <w:color w:val="0000FF" w:themeColor="hyperlink"/>
      <w:u w:val="single"/>
    </w:rPr>
  </w:style>
  <w:style w:type="paragraph" w:customStyle="1" w:styleId="21">
    <w:name w:val="Default"/>
    <w:next w:val="22"/>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2">
    <w:name w:val="Quote"/>
    <w:next w:val="1"/>
    <w:qFormat/>
    <w:uiPriority w:val="0"/>
    <w:pPr>
      <w:ind w:left="864" w:right="864"/>
      <w:jc w:val="center"/>
    </w:pPr>
    <w:rPr>
      <w:rFonts w:ascii="Times New Roman" w:hAnsi="Times New Roman" w:eastAsia="Times New Roman" w:cs="Times New Roman"/>
      <w:i/>
      <w:color w:val="404040"/>
      <w:sz w:val="21"/>
      <w:szCs w:val="21"/>
      <w:lang w:val="en-US" w:eastAsia="zh-CN" w:bidi="ar-SA"/>
    </w:rPr>
  </w:style>
  <w:style w:type="character" w:customStyle="1" w:styleId="23">
    <w:name w:val="Header Char"/>
    <w:basedOn w:val="17"/>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7"/>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7"/>
    <w:semiHidden/>
    <w:qFormat/>
    <w:uiPriority w:val="99"/>
    <w:rPr>
      <w:rFonts w:ascii="Times New Roman" w:hAnsi="Times New Roman"/>
      <w:szCs w:val="24"/>
    </w:rPr>
  </w:style>
  <w:style w:type="character" w:customStyle="1" w:styleId="28">
    <w:name w:val="正文文本 Char"/>
    <w:link w:val="2"/>
    <w:qFormat/>
    <w:locked/>
    <w:uiPriority w:val="99"/>
    <w:rPr>
      <w:rFonts w:ascii="仿宋_GB2312" w:hAnsi="Times New Roman" w:eastAsia="仿宋_GB2312"/>
      <w:sz w:val="24"/>
    </w:rPr>
  </w:style>
  <w:style w:type="paragraph" w:styleId="29">
    <w:name w:val="List Paragraph"/>
    <w:basedOn w:val="1"/>
    <w:qFormat/>
    <w:uiPriority w:val="34"/>
    <w:pPr>
      <w:ind w:firstLine="420" w:firstLineChars="200"/>
    </w:pPr>
  </w:style>
  <w:style w:type="character" w:customStyle="1" w:styleId="30">
    <w:name w:val="标题 1 Char"/>
    <w:basedOn w:val="17"/>
    <w:link w:val="3"/>
    <w:qFormat/>
    <w:uiPriority w:val="9"/>
    <w:rPr>
      <w:rFonts w:ascii="Times New Roman" w:hAnsi="Times New Roman"/>
      <w:b/>
      <w:bCs/>
      <w:kern w:val="44"/>
      <w:sz w:val="44"/>
      <w:szCs w:val="44"/>
    </w:rPr>
  </w:style>
  <w:style w:type="character" w:customStyle="1" w:styleId="31">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框文本 Char"/>
    <w:basedOn w:val="17"/>
    <w:link w:val="10"/>
    <w:semiHidden/>
    <w:qFormat/>
    <w:uiPriority w:val="99"/>
    <w:rPr>
      <w:rFonts w:ascii="Times New Roman" w:hAnsi="Times New Roman"/>
      <w:kern w:val="2"/>
      <w:sz w:val="18"/>
      <w:szCs w:val="18"/>
    </w:rPr>
  </w:style>
  <w:style w:type="character" w:customStyle="1" w:styleId="34">
    <w:name w:val="标题 3 Char"/>
    <w:basedOn w:val="17"/>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6">
    <w:name w:val="常用样式（方正仿宋简）"/>
    <w:basedOn w:val="1"/>
    <w:qFormat/>
    <w:uiPriority w:val="0"/>
    <w:pPr>
      <w:spacing w:line="560" w:lineRule="exact"/>
      <w:ind w:firstLine="640" w:firstLineChars="200"/>
    </w:pPr>
    <w:rPr>
      <w:rFonts w:ascii="Calibri" w:hAnsi="Calibri" w:eastAsia="方正仿宋简体"/>
      <w:sz w:val="32"/>
    </w:rPr>
  </w:style>
  <w:style w:type="paragraph" w:customStyle="1" w:styleId="37">
    <w:name w:val="WPSOffice手动目录 1"/>
    <w:qFormat/>
    <w:uiPriority w:val="0"/>
    <w:rPr>
      <w:rFonts w:asciiTheme="minorHAnsi" w:hAnsiTheme="minorHAnsi" w:eastAsiaTheme="minorEastAsia" w:cstheme="minorBidi"/>
      <w:lang w:val="en-US" w:eastAsia="zh-CN" w:bidi="ar-SA"/>
    </w:rPr>
  </w:style>
  <w:style w:type="paragraph" w:customStyle="1" w:styleId="38">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9">
    <w:name w:val="font41"/>
    <w:basedOn w:val="17"/>
    <w:qFormat/>
    <w:uiPriority w:val="0"/>
    <w:rPr>
      <w:rFonts w:hint="eastAsia" w:ascii="宋体" w:hAnsi="宋体" w:eastAsia="宋体" w:cs="宋体"/>
      <w:color w:val="000000"/>
      <w:sz w:val="20"/>
      <w:szCs w:val="20"/>
      <w:u w:val="none"/>
    </w:rPr>
  </w:style>
  <w:style w:type="character" w:customStyle="1" w:styleId="40">
    <w:name w:val="font11"/>
    <w:basedOn w:val="17"/>
    <w:qFormat/>
    <w:uiPriority w:val="0"/>
    <w:rPr>
      <w:rFonts w:hint="eastAsia" w:ascii="宋体" w:hAnsi="宋体" w:eastAsia="宋体" w:cs="宋体"/>
      <w:color w:val="000000"/>
      <w:sz w:val="20"/>
      <w:szCs w:val="20"/>
      <w:u w:val="none"/>
    </w:rPr>
  </w:style>
  <w:style w:type="character" w:customStyle="1" w:styleId="41">
    <w:name w:val="标题 4 Char"/>
    <w:link w:val="6"/>
    <w:qFormat/>
    <w:uiPriority w:val="0"/>
  </w:style>
  <w:style w:type="character" w:customStyle="1" w:styleId="42">
    <w:name w:val="font71"/>
    <w:basedOn w:val="17"/>
    <w:qFormat/>
    <w:uiPriority w:val="0"/>
    <w:rPr>
      <w:rFonts w:hint="eastAsia" w:ascii="宋体" w:hAnsi="宋体" w:eastAsia="宋体" w:cs="宋体"/>
      <w:color w:val="000000"/>
      <w:sz w:val="18"/>
      <w:szCs w:val="18"/>
      <w:u w:val="none"/>
    </w:rPr>
  </w:style>
  <w:style w:type="character" w:customStyle="1" w:styleId="43">
    <w:name w:val="font61"/>
    <w:basedOn w:val="17"/>
    <w:qFormat/>
    <w:uiPriority w:val="0"/>
    <w:rPr>
      <w:rFonts w:hint="eastAsia" w:ascii="宋体" w:hAnsi="宋体" w:eastAsia="宋体" w:cs="宋体"/>
      <w:color w:val="000000"/>
      <w:sz w:val="20"/>
      <w:szCs w:val="20"/>
      <w:u w:val="none"/>
    </w:rPr>
  </w:style>
  <w:style w:type="character" w:customStyle="1" w:styleId="44">
    <w:name w:val="font51"/>
    <w:basedOn w:val="1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image" Target="media/image1.png"/><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6032;&#24314;%20XLS%20&#24037;&#20316;&#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工作表.xlsx]Sheet1'!$A$4:$B$4</c:f>
              <c:strCache>
                <c:ptCount val="2"/>
                <c:pt idx="0">
                  <c:v>2022年</c:v>
                </c:pt>
                <c:pt idx="1">
                  <c:v>2021年</c:v>
                </c:pt>
              </c:strCache>
            </c:strRef>
          </c:cat>
          <c:val>
            <c:numRef>
              <c:f>'[新建 XLSX 工作表.xlsx]Sheet1'!$A$5:$B$5</c:f>
              <c:numCache>
                <c:formatCode>General</c:formatCode>
                <c:ptCount val="2"/>
                <c:pt idx="0">
                  <c:v>26018.95</c:v>
                </c:pt>
                <c:pt idx="1">
                  <c:v>38665.3</c:v>
                </c:pt>
              </c:numCache>
            </c:numRef>
          </c:val>
        </c:ser>
        <c:dLbls>
          <c:showLegendKey val="0"/>
          <c:showVal val="1"/>
          <c:showCatName val="0"/>
          <c:showSerName val="0"/>
          <c:showPercent val="0"/>
          <c:showBubbleSize val="0"/>
        </c:dLbls>
        <c:gapWidth val="219"/>
        <c:overlap val="-27"/>
        <c:axId val="72423680"/>
        <c:axId val="72429568"/>
      </c:barChart>
      <c:catAx>
        <c:axId val="7242368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429568"/>
        <c:crosses val="autoZero"/>
        <c:auto val="1"/>
        <c:lblAlgn val="ctr"/>
        <c:lblOffset val="100"/>
        <c:noMultiLvlLbl val="0"/>
      </c:catAx>
      <c:valAx>
        <c:axId val="72429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423680"/>
        <c:crosses val="autoZero"/>
        <c:crossBetween val="between"/>
      </c:valAx>
      <c:spPr>
        <a:noFill/>
        <a:ln>
          <a:noFill/>
        </a:ln>
        <a:effectLst/>
      </c:spPr>
    </c:plotArea>
    <c:plotVisOnly val="1"/>
    <c:dispBlanksAs val="gap"/>
    <c:showDLblsOverMax val="0"/>
    <c:extLst>
      <c:ext uri="{0b15fc19-7d7d-44ad-8c2d-2c3a37ce22c3}">
        <chartProps xmlns="https://web.wps.cn/et/2018/main" chartId="{2e95569a-9ffa-47c5-a782-5d47db30f5d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工作表.xls]Sheet1'!$B$9:$B$10</c:f>
              <c:strCache>
                <c:ptCount val="2"/>
                <c:pt idx="0">
                  <c:v>一般公共预算财政预算拨款收入</c:v>
                </c:pt>
                <c:pt idx="1">
                  <c:v>政府性基金预算财政拨款收入</c:v>
                </c:pt>
              </c:strCache>
            </c:strRef>
          </c:cat>
          <c:val>
            <c:numRef>
              <c:f>'[新建 XLS 工作表.xls]Sheet1'!$C$9:$C$10</c:f>
              <c:numCache>
                <c:formatCode>General</c:formatCode>
                <c:ptCount val="2"/>
                <c:pt idx="0">
                  <c:v>2646.95</c:v>
                </c:pt>
                <c:pt idx="1">
                  <c:v>23272</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7cc42df6-e87b-4698-9e6a-d3f9ffc9d3d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工作表.xls]Sheet1'!$B$9:$B$10</c:f>
              <c:strCache>
                <c:ptCount val="2"/>
                <c:pt idx="0">
                  <c:v>2022年财政拨款收支总额</c:v>
                </c:pt>
                <c:pt idx="1">
                  <c:v>2021年财政拨款收支总额</c:v>
                </c:pt>
              </c:strCache>
            </c:strRef>
          </c:cat>
          <c:val>
            <c:numRef>
              <c:f>'[新建 XLS 工作表.xls]Sheet1'!$C$9:$C$10</c:f>
              <c:numCache>
                <c:formatCode>General</c:formatCode>
                <c:ptCount val="2"/>
                <c:pt idx="0">
                  <c:v>26018.95</c:v>
                </c:pt>
                <c:pt idx="1">
                  <c:v>38665.3</c:v>
                </c:pt>
              </c:numCache>
            </c:numRef>
          </c:val>
        </c:ser>
        <c:dLbls>
          <c:showLegendKey val="0"/>
          <c:showVal val="1"/>
          <c:showCatName val="0"/>
          <c:showSerName val="0"/>
          <c:showPercent val="0"/>
          <c:showBubbleSize val="0"/>
        </c:dLbls>
        <c:gapWidth val="219"/>
        <c:overlap val="-27"/>
        <c:axId val="38021760"/>
        <c:axId val="38044032"/>
      </c:barChart>
      <c:catAx>
        <c:axId val="380217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044032"/>
        <c:crosses val="autoZero"/>
        <c:auto val="1"/>
        <c:lblAlgn val="ctr"/>
        <c:lblOffset val="100"/>
        <c:noMultiLvlLbl val="0"/>
      </c:catAx>
      <c:valAx>
        <c:axId val="38044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021760"/>
        <c:crosses val="autoZero"/>
        <c:crossBetween val="between"/>
      </c:valAx>
      <c:spPr>
        <a:noFill/>
        <a:ln>
          <a:noFill/>
        </a:ln>
        <a:effectLst/>
      </c:spPr>
    </c:plotArea>
    <c:plotVisOnly val="1"/>
    <c:dispBlanksAs val="gap"/>
    <c:showDLblsOverMax val="0"/>
    <c:extLst>
      <c:ext uri="{0b15fc19-7d7d-44ad-8c2d-2c3a37ce22c3}">
        <chartProps xmlns="https://web.wps.cn/et/2018/main" chartId="{f6b8cd90-50da-4c03-94ed-313b08f8d7c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工作表.xls]Sheet1'!$B$9:$B$10</c:f>
              <c:strCache>
                <c:ptCount val="2"/>
                <c:pt idx="0">
                  <c:v>2022年一般公共预算财政拨款支出</c:v>
                </c:pt>
                <c:pt idx="1">
                  <c:v>2023年一般公共预算财政拨款支出</c:v>
                </c:pt>
              </c:strCache>
            </c:strRef>
          </c:cat>
          <c:val>
            <c:numRef>
              <c:f>'[新建 XLS 工作表.xls]Sheet1'!$C$9:$C$10</c:f>
              <c:numCache>
                <c:formatCode>General</c:formatCode>
                <c:ptCount val="2"/>
                <c:pt idx="0">
                  <c:v>2746.95</c:v>
                </c:pt>
                <c:pt idx="1">
                  <c:v>4039.99</c:v>
                </c:pt>
              </c:numCache>
            </c:numRef>
          </c:val>
        </c:ser>
        <c:dLbls>
          <c:showLegendKey val="0"/>
          <c:showVal val="1"/>
          <c:showCatName val="0"/>
          <c:showSerName val="0"/>
          <c:showPercent val="0"/>
          <c:showBubbleSize val="0"/>
        </c:dLbls>
        <c:gapWidth val="219"/>
        <c:overlap val="-27"/>
        <c:axId val="72482816"/>
        <c:axId val="72484352"/>
      </c:barChart>
      <c:catAx>
        <c:axId val="724828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484352"/>
        <c:crosses val="autoZero"/>
        <c:auto val="1"/>
        <c:lblAlgn val="ctr"/>
        <c:lblOffset val="100"/>
        <c:noMultiLvlLbl val="0"/>
      </c:catAx>
      <c:valAx>
        <c:axId val="72484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482816"/>
        <c:crosses val="autoZero"/>
        <c:crossBetween val="between"/>
      </c:valAx>
      <c:spPr>
        <a:noFill/>
        <a:ln>
          <a:noFill/>
        </a:ln>
        <a:effectLst/>
      </c:spPr>
    </c:plotArea>
    <c:plotVisOnly val="1"/>
    <c:dispBlanksAs val="gap"/>
    <c:showDLblsOverMax val="0"/>
    <c:extLst>
      <c:ext uri="{0b15fc19-7d7d-44ad-8c2d-2c3a37ce22c3}">
        <chartProps xmlns="https://web.wps.cn/et/2018/main" chartId="{cb2995dd-cc6c-4fb7-a972-c78705e9a75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2"/>
              <c:layout>
                <c:manualLayout>
                  <c:x val="0.000112720078245793"/>
                  <c:y val="0.055527867086305"/>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970833333333333"/>
                      <c:h val="0.0775462962962963"/>
                    </c:manualLayout>
                  </c15:layout>
                </c:ext>
              </c:extLst>
            </c:dLbl>
            <c:dLbl>
              <c:idx val="3"/>
              <c:layout>
                <c:manualLayout>
                  <c:x val="-0.0809655979004942"/>
                  <c:y val="-0.0790395447548174"/>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41944444444444"/>
                      <c:h val="0.0928240740740741"/>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工作表.xls]Sheet1'!$B$9:$B$13</c:f>
              <c:strCache>
                <c:ptCount val="5"/>
                <c:pt idx="0">
                  <c:v>一般公共服务（类）支出</c:v>
                </c:pt>
                <c:pt idx="1">
                  <c:v>社会保障和就业（类）支出</c:v>
                </c:pt>
                <c:pt idx="2">
                  <c:v>卫生健康支出</c:v>
                </c:pt>
                <c:pt idx="3">
                  <c:v>住房保障支出</c:v>
                </c:pt>
                <c:pt idx="4">
                  <c:v>农林水（类）</c:v>
                </c:pt>
              </c:strCache>
            </c:strRef>
          </c:cat>
          <c:val>
            <c:numRef>
              <c:f>'[新建 XLS 工作表.xls]Sheet1'!$C$9:$C$13</c:f>
              <c:numCache>
                <c:formatCode>General</c:formatCode>
                <c:ptCount val="5"/>
                <c:pt idx="0">
                  <c:v>478.53</c:v>
                </c:pt>
                <c:pt idx="1">
                  <c:v>19.85</c:v>
                </c:pt>
                <c:pt idx="2">
                  <c:v>10.18</c:v>
                </c:pt>
                <c:pt idx="3">
                  <c:v>20.39</c:v>
                </c:pt>
                <c:pt idx="4">
                  <c:v>2218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70d81d7f-80cd-45db-b511-4d11b89260c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工作表.xls]Sheet1'!$B$11:$B$13</c:f>
              <c:strCache>
                <c:ptCount val="3"/>
                <c:pt idx="0">
                  <c:v>公务接待费</c:v>
                </c:pt>
                <c:pt idx="1">
                  <c:v>因公出国（境）费</c:v>
                </c:pt>
                <c:pt idx="2">
                  <c:v>公务用车购置及运行维护费</c:v>
                </c:pt>
              </c:strCache>
            </c:strRef>
          </c:cat>
          <c:val>
            <c:numRef>
              <c:f>'[新建 XLS 工作表.xls]Sheet1'!$C$11:$C$13</c:f>
              <c:numCache>
                <c:formatCode>General</c:formatCode>
                <c:ptCount val="3"/>
                <c:pt idx="0">
                  <c:v>5.68</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5ad17bc5-36c8-402b-927c-408a40173b3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7"/>
    <customShpInfo spid="_x0000_s3078"/>
    <customShpInfo spid="_x0000_s3075"/>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72</Pages>
  <Words>14454</Words>
  <Characters>15873</Characters>
  <Lines>30</Lines>
  <Paragraphs>21</Paragraphs>
  <TotalTime>14</TotalTime>
  <ScaleCrop>false</ScaleCrop>
  <LinksUpToDate>false</LinksUpToDate>
  <CharactersWithSpaces>16132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2022-09-16T11:50:00Z</dcterms:created>
  <dc:creator>曹颖</dc:creator>
  <cp:lastModifiedBy>昭化融媒体</cp:lastModifiedBy>
  <cp:lastPrinted>2022-08-06T10:23:00Z</cp:lastPrinted>
  <dcterms:modified xsi:type="dcterms:W3CDTF">2024-12-20T02:18:51Z</dcterms:modified>
  <dc:title>四川省***</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18C4299B72334D3095585539B3212D20</vt:lpwstr>
  </property>
  <property fmtid="{D5CDD505-2E9C-101B-9397-08002B2CF9AE}" pid="4" name="KSOTemplateDocerSaveRecord">
    <vt:lpwstr>eyJoZGlkIjoiMGVhYTg4NGNkZWJkODFjNzcyZDRjM2M4Y2UzNjI5ZmUiLCJ1c2VySWQiOiI2MTE2MzEwMDYifQ==</vt:lpwstr>
  </property>
</Properties>
</file>