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6CA3C">
      <w:pPr>
        <w:wordWrap w:val="0"/>
        <w:ind w:firstLine="420" w:firstLineChars="15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部门、镇：</w:t>
      </w:r>
      <w:r>
        <w:rPr>
          <w:rFonts w:hint="eastAsia"/>
          <w:sz w:val="28"/>
          <w:szCs w:val="28"/>
          <w:u w:val="single"/>
        </w:rPr>
        <w:t xml:space="preserve"> 广元市昭化区统计局</w:t>
      </w:r>
    </w:p>
    <w:p w14:paraId="2F18CE94">
      <w:pPr>
        <w:wordWrap w:val="0"/>
        <w:ind w:firstLine="420" w:firstLineChars="150"/>
        <w:jc w:val="righ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撰 稿 人：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single"/>
          <w:lang w:eastAsia="zh-CN"/>
        </w:rPr>
        <w:t>王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</w:p>
    <w:p w14:paraId="65F1E0DE">
      <w:pPr>
        <w:wordWrap w:val="0"/>
        <w:ind w:firstLine="420" w:firstLineChars="150"/>
        <w:jc w:val="right"/>
        <w:rPr>
          <w:rFonts w:ascii="Times New Roman" w:hAnsi="Times New Roman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       分管领导：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</w:p>
    <w:p w14:paraId="6715FACC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昭化区统计局召开2025年防范和惩治统计造假工作暨警示教育会</w:t>
      </w:r>
    </w:p>
    <w:p w14:paraId="67958BA1">
      <w:pPr>
        <w:pStyle w:val="3"/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3416F90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436245</wp:posOffset>
            </wp:positionH>
            <wp:positionV relativeFrom="paragraph">
              <wp:posOffset>2012315</wp:posOffset>
            </wp:positionV>
            <wp:extent cx="4722495" cy="3542030"/>
            <wp:effectExtent l="0" t="0" r="1905" b="1270"/>
            <wp:wrapTopAndBottom/>
            <wp:docPr id="5" name="图片 5" descr="fd6675698810a11c26a523df1196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d6675698810a11c26a523df11967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2495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充分发挥统计造假典型案例警示教育震慑作用，进一步增强统计人员法律法规责任意识，引导推动广大干部职工树立正确政绩观，切实筑牢统计法治思想防线，2月10日，区统计局召开孙述涛统计造假典型案例警示教育会，并观看孙述涛统计造假典型案例警示教育片。</w:t>
      </w:r>
    </w:p>
    <w:p w14:paraId="4618396F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警示教育片以鲜活的警示案例揭示了统计造假的巨大危害，内容发人深省、引人深思。通过观看警示教育片，全体党员干部接受了一次深刻的党纪、党性思想教育洗礼，纷纷表示作为统计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干部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，要时刻保持清醒头脑，要把“牢牢守住数据质量生命线”这一根本要求贯穿于统计工作的各方面全过程，确保统计数据真实准确。</w:t>
      </w:r>
    </w:p>
    <w:p w14:paraId="456DA018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 xml:space="preserve">会议要求, </w:t>
      </w:r>
      <w:r>
        <w:rPr>
          <w:rFonts w:hint="eastAsia" w:ascii="仿宋_GB2312" w:hAnsi="仿宋_GB2312" w:eastAsia="仿宋_GB2312" w:cs="仿宋_GB2312"/>
          <w:b/>
          <w:color w:val="000000"/>
          <w:kern w:val="2"/>
          <w:sz w:val="32"/>
          <w:szCs w:val="32"/>
        </w:rPr>
        <w:t>一要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提高政治站位。要深入学习习近平总书记关于统计工作的重要讲话和指示批示精神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《意见》《办法》《规定》《监督意见》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及相关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统计法律法规，进一步树牢正确政绩观、发展观，筑牢依法统计、依法治统思想堤坝。</w:t>
      </w:r>
      <w:r>
        <w:rPr>
          <w:rFonts w:ascii="仿宋_GB2312" w:hAnsi="仿宋_GB2312" w:eastAsia="仿宋_GB2312" w:cs="仿宋_GB2312"/>
          <w:b/>
          <w:color w:val="000000"/>
          <w:kern w:val="2"/>
          <w:sz w:val="32"/>
          <w:szCs w:val="32"/>
        </w:rPr>
        <w:t>二要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扛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牢主体责任。要深化专业数据核查，有效提升统计源头数据质量；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要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强化统计执法检查，以零容忍的态度严肃查处统计违法案件；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要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健全数据质量管控、统计体系建设、监督贯通协同的举措办法，为防治统计造假提供制度保障。</w:t>
      </w:r>
      <w:r>
        <w:rPr>
          <w:rFonts w:ascii="仿宋_GB2312" w:hAnsi="仿宋_GB2312" w:eastAsia="仿宋_GB2312" w:cs="仿宋_GB2312"/>
          <w:b/>
          <w:color w:val="000000"/>
          <w:kern w:val="2"/>
          <w:sz w:val="32"/>
          <w:szCs w:val="32"/>
        </w:rPr>
        <w:t>三要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夯实法治基础。要加强执法队伍建设，配齐配强执法监督力量；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要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强化基层和企业统计业务指导和培训，着力夯实统计基层基础；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要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加强统计普法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宣传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教育，不断增强全社会的统计法纪意识；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要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促进统计工作数字化转型，筑牢防治统计造假技术防线，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护航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昭化经济社会高质量发展。</w:t>
      </w:r>
    </w:p>
    <w:p w14:paraId="52040F1E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EF7ADD1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0766023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D85139A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0479465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jExZWFhMjNmYmQ3OTRlMWU5MWM3YmQ3MDRhNDYifQ=="/>
  </w:docVars>
  <w:rsids>
    <w:rsidRoot w:val="5CDA26DB"/>
    <w:rsid w:val="00250D50"/>
    <w:rsid w:val="002A54DB"/>
    <w:rsid w:val="00B60575"/>
    <w:rsid w:val="00BA1EFE"/>
    <w:rsid w:val="00C832D3"/>
    <w:rsid w:val="02972BBA"/>
    <w:rsid w:val="032C3553"/>
    <w:rsid w:val="095E1B17"/>
    <w:rsid w:val="0980684D"/>
    <w:rsid w:val="0A20501F"/>
    <w:rsid w:val="0A8A693C"/>
    <w:rsid w:val="0EA71F4B"/>
    <w:rsid w:val="0FFA3C1C"/>
    <w:rsid w:val="145D5311"/>
    <w:rsid w:val="178E16A1"/>
    <w:rsid w:val="181D445F"/>
    <w:rsid w:val="19FA13E8"/>
    <w:rsid w:val="1B6C00C4"/>
    <w:rsid w:val="1E1E378A"/>
    <w:rsid w:val="219F597D"/>
    <w:rsid w:val="24441016"/>
    <w:rsid w:val="26D7485F"/>
    <w:rsid w:val="274F42F6"/>
    <w:rsid w:val="27B119B4"/>
    <w:rsid w:val="2F5F3B6A"/>
    <w:rsid w:val="301F34FF"/>
    <w:rsid w:val="305177F4"/>
    <w:rsid w:val="36F965D9"/>
    <w:rsid w:val="39C62C3D"/>
    <w:rsid w:val="3E36359D"/>
    <w:rsid w:val="3EAD617A"/>
    <w:rsid w:val="3FBA6DA0"/>
    <w:rsid w:val="45163349"/>
    <w:rsid w:val="456A0035"/>
    <w:rsid w:val="45EE1552"/>
    <w:rsid w:val="4BCF62ED"/>
    <w:rsid w:val="4DEA6AA2"/>
    <w:rsid w:val="5078344A"/>
    <w:rsid w:val="52E11C10"/>
    <w:rsid w:val="53061DFB"/>
    <w:rsid w:val="567C4958"/>
    <w:rsid w:val="573826DD"/>
    <w:rsid w:val="5886386C"/>
    <w:rsid w:val="5A9476DC"/>
    <w:rsid w:val="5AFF7905"/>
    <w:rsid w:val="5CAE513F"/>
    <w:rsid w:val="5CDA26DB"/>
    <w:rsid w:val="5EA507C4"/>
    <w:rsid w:val="5F68344D"/>
    <w:rsid w:val="60A37202"/>
    <w:rsid w:val="63975EEA"/>
    <w:rsid w:val="644D7933"/>
    <w:rsid w:val="66803948"/>
    <w:rsid w:val="682D5AB2"/>
    <w:rsid w:val="69D16911"/>
    <w:rsid w:val="6A152CA1"/>
    <w:rsid w:val="6B2A5B0F"/>
    <w:rsid w:val="6D396CA7"/>
    <w:rsid w:val="700852D9"/>
    <w:rsid w:val="72A738B3"/>
    <w:rsid w:val="72CB673E"/>
    <w:rsid w:val="73D14E7C"/>
    <w:rsid w:val="74E97204"/>
    <w:rsid w:val="79785950"/>
    <w:rsid w:val="79DE0793"/>
    <w:rsid w:val="7AE52708"/>
    <w:rsid w:val="7BD219B7"/>
    <w:rsid w:val="7C2A25DC"/>
    <w:rsid w:val="7DBA38D3"/>
    <w:rsid w:val="7E837D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99"/>
    <w:rPr>
      <w:rFonts w:ascii="Times New Roman" w:hAnsi="Times New Roman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标题一"/>
    <w:basedOn w:val="2"/>
    <w:next w:val="1"/>
    <w:qFormat/>
    <w:uiPriority w:val="0"/>
    <w:pPr>
      <w:jc w:val="center"/>
    </w:pPr>
    <w:rPr>
      <w:rFonts w:ascii="Times New Roman" w:hAnsi="Times New Roman" w:eastAsia="方正小标宋简体"/>
      <w:b w:val="0"/>
    </w:rPr>
  </w:style>
  <w:style w:type="character" w:customStyle="1" w:styleId="11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b-free-read-leaf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655</Characters>
  <Lines>5</Lines>
  <Paragraphs>1</Paragraphs>
  <TotalTime>2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2025-02-10T08:39:00Z</dcterms:created>
  <dc:creator>hhh</dc:creator>
  <cp:lastModifiedBy>WPS_1504323983</cp:lastModifiedBy>
  <cp:lastPrinted>2025-02-11T07:28:00Z</cp:lastPrinted>
  <dcterms:modified xsi:type="dcterms:W3CDTF">2025-02-11T08:24:16Z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5B94319DCF4044B79A43BAD617014E6E_13</vt:lpwstr>
  </property>
  <property fmtid="{D5CDD505-2E9C-101B-9397-08002B2CF9AE}" pid="4" name="KSOTemplateDocerSaveRecord">
    <vt:lpwstr>eyJoZGlkIjoiZTA3NTVkM2YxOGZjN2RiOTdlNmQ5NGY3M2NiNTUyZmIiLCJ1c2VySWQiOiIyOTk0MTU0NzkifQ==</vt:lpwstr>
  </property>
</Properties>
</file>