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5AB8B42">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p>
    <w:p w14:paraId="55F1DD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广元市昭化区统计局</w:t>
      </w:r>
    </w:p>
    <w:p w14:paraId="39340B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w:t>
      </w:r>
      <w:bookmarkStart w:id="3" w:name="_GoBack"/>
      <w:bookmarkEnd w:id="3"/>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说明</w:t>
      </w:r>
    </w:p>
    <w:p w14:paraId="70D3DF58">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4ABC38F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14:paraId="6CA2AB3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14:paraId="41B47CF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（二）单位2024年重点工作...........................(3)</w:t>
      </w:r>
    </w:p>
    <w:p w14:paraId="76BC267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二、部门预算单位构成................................(4)</w:t>
      </w:r>
    </w:p>
    <w:p w14:paraId="066985D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三、收支预算情况说明................................(4)</w:t>
      </w:r>
    </w:p>
    <w:p w14:paraId="1DE5039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14:paraId="2FFE8C0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（二）支出预算情况..................................(5)</w:t>
      </w:r>
    </w:p>
    <w:p w14:paraId="64688C1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p>
    <w:p w14:paraId="789A363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14:paraId="3A21107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14:paraId="3BC3B54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14:paraId="517A8C3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14:paraId="235F373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六、一般公共预算基本支出情况说明....................(7)</w:t>
      </w:r>
    </w:p>
    <w:p w14:paraId="32E15E5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七、“三公”经费财政拨款预算安排情况说明............(7)</w:t>
      </w:r>
    </w:p>
    <w:p w14:paraId="3D7F549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八、政府性基金预算支出情况说明......................(9)</w:t>
      </w:r>
    </w:p>
    <w:p w14:paraId="697F763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九、国有资本经营预算支出情况说明....................(9)</w:t>
      </w:r>
    </w:p>
    <w:p w14:paraId="4A72C5E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十、其他重要事项的情况说明........................(9)</w:t>
      </w:r>
    </w:p>
    <w:p w14:paraId="189E2D5A">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十一、名词解释....................................(10)</w:t>
      </w:r>
    </w:p>
    <w:p w14:paraId="2D7E50B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BE9E4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30C77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B2799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6CCDD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6849E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94C4D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57497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18E01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88CC0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1B550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7624E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1A7C0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AEB6E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199BB4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8FBE6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3DB83B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区统计局</w:t>
      </w:r>
      <w:r>
        <w:rPr>
          <w:rFonts w:hint="eastAsia" w:ascii="楷体_GB2312" w:hAnsi="楷体_GB2312" w:eastAsia="楷体_GB2312" w:cs="楷体_GB2312"/>
          <w:sz w:val="32"/>
          <w:szCs w:val="32"/>
        </w:rPr>
        <w:t>职能简介</w:t>
      </w:r>
    </w:p>
    <w:p w14:paraId="09DF73B6">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贯彻执行国家法律、法规和有关统计工作方针、政策，检查监督统计法规的实施，组织领导和协调全区统计工作，制订全区统计工作规划</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统计调查计划，并组织实施。</w:t>
      </w:r>
    </w:p>
    <w:p w14:paraId="774CB1E6">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贯彻执行国家国民经济核算体系和全国统一的基本统计报表制度，组织领导、协调本辖区各部门、镇统计工作和国民经济核算工作，统一组织管理全区统计报表工作。</w:t>
      </w:r>
    </w:p>
    <w:p w14:paraId="79E95E4A">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会同有关部门组织全区重大国情国力普查，组织协调全区国民经济和社会发展的各项典型调查和专项调查。</w:t>
      </w:r>
    </w:p>
    <w:p w14:paraId="7649C069">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搜集、整理、提供全区性的统计资料，对全区国民经济、社会发展和科技进步情况进行统计分析和监督，向区委、政府及有关部门提供咨询或建议，审定、管理、出版全区性统计资料，定期发布全区国民经济、社会发展和科技进步情况的统计公报。</w:t>
      </w:r>
    </w:p>
    <w:p w14:paraId="6B4A697F">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建立健全管理全区统计信息自动化系统和全区统计数据库体系、</w:t>
      </w:r>
      <w:r>
        <w:rPr>
          <w:rFonts w:hint="eastAsia" w:ascii="仿宋" w:hAnsi="仿宋" w:eastAsia="仿宋" w:cs="仿宋"/>
          <w:b w:val="0"/>
          <w:bCs w:val="0"/>
          <w:color w:val="000000"/>
          <w:sz w:val="32"/>
          <w:szCs w:val="32"/>
          <w:lang w:eastAsia="zh-CN"/>
        </w:rPr>
        <w:t>完善</w:t>
      </w:r>
      <w:r>
        <w:rPr>
          <w:rFonts w:hint="eastAsia" w:ascii="仿宋" w:hAnsi="仿宋" w:eastAsia="仿宋" w:cs="仿宋"/>
          <w:b w:val="0"/>
          <w:bCs w:val="0"/>
          <w:color w:val="000000"/>
          <w:sz w:val="32"/>
          <w:szCs w:val="32"/>
        </w:rPr>
        <w:t>统计工作网络，不断推进统计工作标准化、规范化。</w:t>
      </w:r>
    </w:p>
    <w:p w14:paraId="5A5E2D66">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6.</w:t>
      </w:r>
      <w:r>
        <w:rPr>
          <w:rFonts w:hint="eastAsia" w:ascii="仿宋" w:hAnsi="仿宋" w:eastAsia="仿宋" w:cs="仿宋"/>
          <w:b w:val="0"/>
          <w:bCs w:val="0"/>
          <w:color w:val="000000"/>
          <w:sz w:val="32"/>
          <w:szCs w:val="32"/>
        </w:rPr>
        <w:t>负责全区统计干部专业理论知识教育和业务培训工作，不断提高统计人员的业务素质。</w:t>
      </w:r>
    </w:p>
    <w:p w14:paraId="4BF3AE7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eastAsia="zh-CN"/>
        </w:rPr>
        <w:t>）</w:t>
      </w:r>
      <w:r>
        <w:rPr>
          <w:rFonts w:hint="eastAsia" w:ascii="仿宋" w:hAnsi="仿宋" w:eastAsia="仿宋" w:cs="仿宋"/>
          <w:b/>
          <w:bCs/>
          <w:sz w:val="32"/>
          <w:szCs w:val="32"/>
          <w:lang w:val="en-US" w:eastAsia="zh-CN"/>
        </w:rPr>
        <w:t>2024年</w:t>
      </w:r>
      <w:r>
        <w:rPr>
          <w:rFonts w:hint="eastAsia" w:ascii="仿宋" w:hAnsi="仿宋" w:eastAsia="仿宋" w:cs="仿宋"/>
          <w:b/>
          <w:bCs/>
          <w:sz w:val="32"/>
          <w:szCs w:val="32"/>
        </w:rPr>
        <w:t>重点工作</w:t>
      </w:r>
    </w:p>
    <w:p w14:paraId="45ED05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lang w:val="en-US" w:eastAsia="zh-CN" w:bidi="ar-SA"/>
        </w:rPr>
        <w:t>1.强化统计基层基础。</w:t>
      </w:r>
      <w:r>
        <w:rPr>
          <w:rFonts w:hint="eastAsia" w:ascii="仿宋" w:hAnsi="仿宋" w:eastAsia="仿宋" w:cs="仿宋"/>
          <w:sz w:val="32"/>
          <w:szCs w:val="32"/>
          <w:lang w:val="en-US" w:eastAsia="zh-CN"/>
        </w:rPr>
        <w:t>强化统计业务指导，持续推进统计基层基础规范化建设，抓好基本单位名录库建设，规范联网直报流程，确保源头统计数据质量。强化部门协作，加大信息共享力度，推进部门间统计信息共享。加大数据质量评估力度，完善数据质量评估体系，加强与关联部门、关联指标的衔接。</w:t>
      </w:r>
    </w:p>
    <w:p w14:paraId="700623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000000"/>
          <w:kern w:val="0"/>
          <w:sz w:val="32"/>
          <w:szCs w:val="32"/>
          <w:lang w:val="en-US" w:eastAsia="zh-CN" w:bidi="ar-SA"/>
        </w:rPr>
        <w:t>强化统计预警分析。</w:t>
      </w:r>
      <w:r>
        <w:rPr>
          <w:rFonts w:hint="eastAsia" w:ascii="仿宋" w:hAnsi="仿宋" w:eastAsia="仿宋" w:cs="仿宋"/>
          <w:sz w:val="32"/>
          <w:szCs w:val="32"/>
          <w:lang w:val="en-US" w:eastAsia="zh-CN"/>
        </w:rPr>
        <w:t>加强经济运行监测预警和数据研判分析，发挥好统计部门“晴雨表”作用。优化数据发布流程，扩宽数据发布渠道，为党委、政府和社会公众科学决策提供参考。</w:t>
      </w:r>
    </w:p>
    <w:p w14:paraId="033C00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3.持续牵头开展镇域经济发展考核工作。</w:t>
      </w:r>
    </w:p>
    <w:p w14:paraId="649F2C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SA"/>
        </w:rPr>
        <w:t>4.开展第五次全国经济普查工作。</w:t>
      </w:r>
      <w:r>
        <w:rPr>
          <w:rFonts w:hint="eastAsia" w:ascii="仿宋" w:hAnsi="仿宋" w:eastAsia="仿宋" w:cs="仿宋"/>
          <w:sz w:val="32"/>
          <w:szCs w:val="32"/>
          <w:lang w:val="en-US" w:eastAsia="zh-CN"/>
        </w:rPr>
        <w:t>完成普查登记、数据查疑、数据审核、数据验收、数据核查、数据开发等工作。</w:t>
      </w:r>
    </w:p>
    <w:p w14:paraId="2C39E4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SA"/>
        </w:rPr>
        <w:t>5.坚持依法治统。</w:t>
      </w:r>
      <w:r>
        <w:rPr>
          <w:rFonts w:hint="eastAsia" w:ascii="仿宋" w:hAnsi="仿宋" w:eastAsia="仿宋" w:cs="仿宋"/>
          <w:sz w:val="32"/>
          <w:szCs w:val="32"/>
          <w:lang w:val="en-US" w:eastAsia="zh-CN"/>
        </w:rPr>
        <w:t>强化统计法治建设，营造全社会关注统计、支持统计的良好氛围。加大统计执法检查力度，提前介入遏制重大统计违法行为发生。</w:t>
      </w:r>
    </w:p>
    <w:p w14:paraId="032AF1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bidi="ar-SA"/>
        </w:rPr>
        <w:t>6.完成各项年报、定报任务。</w:t>
      </w:r>
      <w:r>
        <w:rPr>
          <w:rFonts w:hint="eastAsia" w:ascii="仿宋" w:hAnsi="仿宋" w:eastAsia="仿宋" w:cs="仿宋"/>
          <w:sz w:val="32"/>
          <w:szCs w:val="32"/>
          <w:lang w:val="en-US" w:eastAsia="zh-CN"/>
        </w:rPr>
        <w:t>完成2023年年报工作，并按时间节点高质量完成2024年定期报表任务。</w:t>
      </w:r>
    </w:p>
    <w:p w14:paraId="2FACD3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4E2849D1">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right="0" w:firstLine="668"/>
        <w:jc w:val="both"/>
        <w:textAlignment w:val="auto"/>
        <w:rPr>
          <w:rFonts w:hint="eastAsia" w:ascii="仿宋" w:hAnsi="仿宋" w:eastAsia="仿宋" w:cs="仿宋"/>
          <w:b w:val="0"/>
          <w:bCs w:val="0"/>
          <w:color w:val="000000"/>
          <w:sz w:val="32"/>
          <w:szCs w:val="32"/>
          <w:highlight w:val="none"/>
        </w:rPr>
      </w:pPr>
      <w:r>
        <w:rPr>
          <w:rFonts w:ascii="Times New Roman" w:hAnsi="Times New Roman" w:eastAsia="仿宋_GB2312"/>
          <w:sz w:val="32"/>
          <w:szCs w:val="32"/>
        </w:rPr>
        <w:t>我单位为一级预算单位，</w:t>
      </w:r>
      <w:r>
        <w:rPr>
          <w:rFonts w:hint="eastAsia" w:ascii="Times New Roman" w:hAnsi="Times New Roman" w:eastAsia="仿宋_GB2312"/>
          <w:sz w:val="32"/>
          <w:szCs w:val="32"/>
          <w:lang w:eastAsia="zh-CN"/>
        </w:rPr>
        <w:t>无二级预算单位。</w:t>
      </w:r>
      <w:r>
        <w:rPr>
          <w:rFonts w:hint="eastAsia" w:ascii="仿宋" w:hAnsi="仿宋" w:eastAsia="仿宋" w:cs="仿宋"/>
          <w:b w:val="0"/>
          <w:bCs w:val="0"/>
          <w:color w:val="000000"/>
          <w:sz w:val="32"/>
          <w:szCs w:val="32"/>
          <w:highlight w:val="none"/>
          <w:lang w:eastAsia="zh-CN"/>
        </w:rPr>
        <w:t>下</w:t>
      </w:r>
      <w:r>
        <w:rPr>
          <w:rFonts w:hint="eastAsia" w:ascii="仿宋" w:hAnsi="仿宋" w:eastAsia="仿宋" w:cs="仿宋"/>
          <w:b w:val="0"/>
          <w:bCs w:val="0"/>
          <w:color w:val="000000"/>
          <w:sz w:val="32"/>
          <w:szCs w:val="32"/>
          <w:highlight w:val="none"/>
        </w:rPr>
        <w:t>设办公室（执法队）、综合核算股（能源环境统计）、农村经济股、工业投资股、服务业股。挂靠机构有广元市昭化区普查中心、广元市昭化区</w:t>
      </w:r>
      <w:r>
        <w:rPr>
          <w:rFonts w:hint="eastAsia" w:ascii="仿宋" w:hAnsi="仿宋" w:eastAsia="仿宋" w:cs="仿宋"/>
          <w:b w:val="0"/>
          <w:bCs w:val="0"/>
          <w:color w:val="000000"/>
          <w:sz w:val="32"/>
          <w:szCs w:val="32"/>
          <w:highlight w:val="none"/>
          <w:lang w:eastAsia="zh-CN"/>
        </w:rPr>
        <w:t>统计</w:t>
      </w:r>
      <w:r>
        <w:rPr>
          <w:rFonts w:hint="eastAsia" w:ascii="仿宋" w:hAnsi="仿宋" w:eastAsia="仿宋" w:cs="仿宋"/>
          <w:b w:val="0"/>
          <w:bCs w:val="0"/>
          <w:color w:val="000000"/>
          <w:sz w:val="32"/>
          <w:szCs w:val="32"/>
          <w:highlight w:val="none"/>
        </w:rPr>
        <w:t>调查大队（原为信息中心</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广元市昭化区社情民意调查中心</w:t>
      </w:r>
      <w:r>
        <w:rPr>
          <w:rFonts w:hint="eastAsia" w:ascii="仿宋" w:hAnsi="仿宋" w:eastAsia="仿宋" w:cs="仿宋"/>
          <w:b w:val="0"/>
          <w:bCs w:val="0"/>
          <w:color w:val="000000"/>
          <w:sz w:val="32"/>
          <w:szCs w:val="32"/>
          <w:highlight w:val="none"/>
          <w:lang w:eastAsia="zh-CN"/>
        </w:rPr>
        <w:t>挂靠在统计调查大队</w:t>
      </w:r>
      <w:r>
        <w:rPr>
          <w:rFonts w:hint="eastAsia" w:ascii="仿宋" w:hAnsi="仿宋" w:eastAsia="仿宋" w:cs="仿宋"/>
          <w:b w:val="0"/>
          <w:bCs w:val="0"/>
          <w:color w:val="000000"/>
          <w:sz w:val="32"/>
          <w:szCs w:val="32"/>
          <w:highlight w:val="none"/>
        </w:rPr>
        <w:t>）。</w:t>
      </w:r>
    </w:p>
    <w:p w14:paraId="069918EF">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right="0" w:firstLine="668"/>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收支预算情况说明</w:t>
      </w:r>
    </w:p>
    <w:p w14:paraId="3B66D06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 w:hAnsi="仿宋" w:eastAsia="仿宋" w:cs="仿宋"/>
          <w:b w:val="0"/>
          <w:bCs w:val="0"/>
          <w:color w:val="000000"/>
          <w:sz w:val="32"/>
          <w:szCs w:val="32"/>
        </w:rPr>
        <w:t>按照综合预算的原则，</w:t>
      </w:r>
      <w:r>
        <w:rPr>
          <w:rFonts w:hint="eastAsia" w:ascii="仿宋" w:hAnsi="仿宋" w:eastAsia="仿宋" w:cs="仿宋"/>
          <w:b w:val="0"/>
          <w:bCs w:val="0"/>
          <w:color w:val="000000"/>
          <w:sz w:val="32"/>
          <w:szCs w:val="32"/>
          <w:lang w:eastAsia="zh-CN"/>
        </w:rPr>
        <w:t>区统计局</w:t>
      </w:r>
      <w:r>
        <w:rPr>
          <w:rFonts w:hint="eastAsia" w:ascii="仿宋" w:hAnsi="仿宋" w:eastAsia="仿宋" w:cs="仿宋"/>
          <w:b w:val="0"/>
          <w:bCs w:val="0"/>
          <w:color w:val="000000"/>
          <w:sz w:val="32"/>
          <w:szCs w:val="32"/>
        </w:rPr>
        <w:t>所有收入和支出均纳入部门预算管理。收入包括一般公共预算拨款收入；支出包括一般公共服务支出、社会保障和就业支出、卫生健康支出、住房保障支出。区</w:t>
      </w:r>
      <w:r>
        <w:rPr>
          <w:rFonts w:hint="eastAsia" w:ascii="仿宋" w:hAnsi="仿宋" w:eastAsia="仿宋" w:cs="仿宋"/>
          <w:b w:val="0"/>
          <w:bCs w:val="0"/>
          <w:color w:val="000000"/>
          <w:sz w:val="32"/>
          <w:szCs w:val="32"/>
          <w:lang w:eastAsia="zh-CN"/>
        </w:rPr>
        <w:t>统计局202</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年部门预算收入</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color w:val="000000"/>
          <w:sz w:val="32"/>
          <w:szCs w:val="32"/>
        </w:rPr>
        <w:t>万元，较</w:t>
      </w:r>
      <w:r>
        <w:rPr>
          <w:rFonts w:hint="eastAsia" w:ascii="仿宋" w:hAnsi="仿宋" w:eastAsia="仿宋" w:cs="仿宋"/>
          <w:b w:val="0"/>
          <w:bCs w:val="0"/>
          <w:color w:val="000000"/>
          <w:sz w:val="32"/>
          <w:szCs w:val="32"/>
          <w:lang w:val="en-US" w:eastAsia="zh-CN"/>
        </w:rPr>
        <w:t>2023</w:t>
      </w:r>
      <w:r>
        <w:rPr>
          <w:rFonts w:hint="eastAsia" w:ascii="仿宋" w:hAnsi="仿宋" w:eastAsia="仿宋" w:cs="仿宋"/>
          <w:b w:val="0"/>
          <w:bCs w:val="0"/>
          <w:color w:val="000000"/>
          <w:sz w:val="32"/>
          <w:szCs w:val="32"/>
        </w:rPr>
        <w:t>年部门预算收入</w:t>
      </w:r>
      <w:r>
        <w:rPr>
          <w:rFonts w:hint="eastAsia" w:ascii="仿宋" w:hAnsi="仿宋" w:eastAsia="仿宋" w:cs="仿宋"/>
          <w:b w:val="0"/>
          <w:bCs w:val="0"/>
          <w:color w:val="000000"/>
          <w:sz w:val="32"/>
          <w:szCs w:val="32"/>
          <w:lang w:val="en-US" w:eastAsia="zh-CN"/>
        </w:rPr>
        <w:t>478.76</w:t>
      </w:r>
      <w:r>
        <w:rPr>
          <w:rFonts w:hint="eastAsia" w:ascii="仿宋" w:hAnsi="仿宋" w:eastAsia="仿宋" w:cs="仿宋"/>
          <w:b w:val="0"/>
          <w:bCs w:val="0"/>
          <w:color w:val="000000"/>
          <w:sz w:val="32"/>
          <w:szCs w:val="32"/>
        </w:rPr>
        <w:t>万元</w:t>
      </w:r>
      <w:r>
        <w:rPr>
          <w:rFonts w:hint="eastAsia" w:ascii="Times New Roman" w:hAnsi="Times New Roman" w:eastAsia="仿宋_GB2312" w:cs="Times New Roman"/>
          <w:color w:val="auto"/>
          <w:sz w:val="32"/>
          <w:szCs w:val="32"/>
          <w:lang w:val="en-US" w:eastAsia="zh-CN"/>
        </w:rPr>
        <w:t>26.6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5.55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，增加的主要原因是增加了</w:t>
      </w:r>
      <w:r>
        <w:rPr>
          <w:rFonts w:hint="eastAsia" w:ascii="Times New Roman" w:hAnsi="Times New Roman" w:eastAsia="仿宋_GB2312" w:cs="Times New Roman"/>
          <w:color w:val="auto"/>
          <w:sz w:val="32"/>
          <w:szCs w:val="32"/>
          <w:lang w:val="en-US" w:eastAsia="zh-CN"/>
        </w:rPr>
        <w:t>第五次全国经济普查和住户调查增加记账户户数。</w:t>
      </w:r>
    </w:p>
    <w:p w14:paraId="772F8CE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（一）收入预算情况</w:t>
      </w:r>
    </w:p>
    <w:p w14:paraId="249B13E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2024</w:t>
      </w:r>
      <w:r>
        <w:rPr>
          <w:rFonts w:hint="eastAsia" w:ascii="仿宋" w:hAnsi="仿宋" w:eastAsia="仿宋" w:cs="仿宋"/>
          <w:b w:val="0"/>
          <w:bCs w:val="0"/>
          <w:color w:val="000000"/>
          <w:sz w:val="32"/>
          <w:szCs w:val="32"/>
        </w:rPr>
        <w:t>年收入预算</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color w:val="000000"/>
          <w:sz w:val="32"/>
          <w:szCs w:val="32"/>
        </w:rPr>
        <w:t>万元，一般公共预算拨款收入</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100</w:t>
      </w:r>
      <w:r>
        <w:rPr>
          <w:rFonts w:hint="eastAsia" w:ascii="仿宋" w:hAnsi="仿宋" w:eastAsia="仿宋" w:cs="仿宋"/>
          <w:b w:val="0"/>
          <w:bCs w:val="0"/>
          <w:color w:val="000000"/>
          <w:sz w:val="32"/>
          <w:szCs w:val="32"/>
        </w:rPr>
        <w:t>%。</w:t>
      </w:r>
    </w:p>
    <w:p w14:paraId="4D88F1B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（二）支出预算情况</w:t>
      </w:r>
    </w:p>
    <w:p w14:paraId="1202D3F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 w:hAnsi="仿宋" w:eastAsia="仿宋" w:cs="仿宋"/>
          <w:b w:val="0"/>
          <w:bCs w:val="0"/>
          <w:color w:val="000000"/>
          <w:sz w:val="32"/>
          <w:szCs w:val="32"/>
          <w:lang w:val="en-US" w:eastAsia="zh-CN"/>
        </w:rPr>
        <w:t>2023</w:t>
      </w:r>
      <w:r>
        <w:rPr>
          <w:rFonts w:hint="eastAsia" w:ascii="仿宋" w:hAnsi="仿宋" w:eastAsia="仿宋" w:cs="仿宋"/>
          <w:b w:val="0"/>
          <w:bCs w:val="0"/>
          <w:color w:val="000000"/>
          <w:sz w:val="32"/>
          <w:szCs w:val="32"/>
        </w:rPr>
        <w:t>年支出预算</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color w:val="000000"/>
          <w:sz w:val="32"/>
          <w:szCs w:val="32"/>
        </w:rPr>
        <w:t>万元，基本支出</w:t>
      </w:r>
      <w:r>
        <w:rPr>
          <w:rFonts w:hint="eastAsia" w:ascii="仿宋" w:hAnsi="仿宋" w:eastAsia="仿宋" w:cs="仿宋"/>
          <w:b w:val="0"/>
          <w:bCs w:val="0"/>
          <w:color w:val="000000"/>
          <w:sz w:val="32"/>
          <w:szCs w:val="32"/>
          <w:lang w:val="en-US" w:eastAsia="zh-CN"/>
        </w:rPr>
        <w:t>249.36</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49.34</w:t>
      </w:r>
      <w:r>
        <w:rPr>
          <w:rFonts w:hint="eastAsia" w:ascii="仿宋" w:hAnsi="仿宋" w:eastAsia="仿宋" w:cs="仿宋"/>
          <w:b w:val="0"/>
          <w:bCs w:val="0"/>
          <w:color w:val="000000"/>
          <w:sz w:val="32"/>
          <w:szCs w:val="32"/>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；项目支出256万元，占50.66%。</w:t>
      </w:r>
    </w:p>
    <w:p w14:paraId="64FF11A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18BAED0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2024年财政拨款收支总预算</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万元,比2023年财政拨款收支总预算增加</w:t>
      </w:r>
      <w:r>
        <w:rPr>
          <w:rFonts w:hint="eastAsia" w:ascii="仿宋" w:hAnsi="仿宋" w:eastAsia="仿宋" w:cs="仿宋"/>
          <w:color w:val="auto"/>
          <w:sz w:val="32"/>
          <w:szCs w:val="32"/>
          <w:lang w:val="en-US" w:eastAsia="zh-CN"/>
        </w:rPr>
        <w:t>26.6</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万元，</w:t>
      </w:r>
      <w:r>
        <w:rPr>
          <w:rFonts w:hint="eastAsia" w:ascii="仿宋" w:hAnsi="仿宋" w:eastAsia="仿宋" w:cs="仿宋"/>
          <w:color w:val="auto"/>
          <w:sz w:val="32"/>
          <w:szCs w:val="32"/>
          <w:lang w:eastAsia="zh-CN"/>
        </w:rPr>
        <w:t>主要原因</w:t>
      </w:r>
      <w:r>
        <w:rPr>
          <w:rFonts w:hint="eastAsia" w:ascii="仿宋" w:hAnsi="仿宋" w:eastAsia="仿宋" w:cs="仿宋"/>
          <w:color w:val="auto"/>
          <w:sz w:val="32"/>
          <w:szCs w:val="32"/>
          <w:lang w:val="en-US" w:eastAsia="zh-CN"/>
        </w:rPr>
        <w:t>是</w:t>
      </w:r>
      <w:r>
        <w:rPr>
          <w:rFonts w:hint="eastAsia" w:ascii="仿宋" w:hAnsi="仿宋" w:eastAsia="仿宋" w:cs="仿宋"/>
          <w:color w:val="auto"/>
          <w:sz w:val="32"/>
          <w:szCs w:val="32"/>
          <w:lang w:eastAsia="zh-CN"/>
        </w:rPr>
        <w:t>增加了</w:t>
      </w:r>
      <w:r>
        <w:rPr>
          <w:rFonts w:hint="eastAsia" w:ascii="仿宋" w:hAnsi="仿宋" w:eastAsia="仿宋" w:cs="仿宋"/>
          <w:color w:val="auto"/>
          <w:sz w:val="32"/>
          <w:szCs w:val="32"/>
          <w:lang w:val="en-US" w:eastAsia="zh-CN"/>
        </w:rPr>
        <w:t>第五次全国经济普查和住户调查增加了记账户户数。</w:t>
      </w:r>
    </w:p>
    <w:p w14:paraId="2729449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收入包括本年一般公共预算拨款收入</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万元。支出包括一般公共服务支出449.39万元、社会保障和就业支出26.78万元、卫生健康支出9.55万元、住房保障支出19.64万元。</w:t>
      </w:r>
    </w:p>
    <w:p w14:paraId="6F32286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2956B6E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（一）一般公共预算当年拨款规模变化情况</w:t>
      </w:r>
    </w:p>
    <w:p w14:paraId="27115D7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2024年财政拨款收支总预算</w:t>
      </w:r>
      <w:r>
        <w:rPr>
          <w:rFonts w:hint="eastAsia" w:ascii="Times New Roman" w:hAnsi="Times New Roman" w:eastAsia="仿宋_GB2312" w:cs="Times New Roman"/>
          <w:color w:val="auto"/>
          <w:sz w:val="32"/>
          <w:szCs w:val="32"/>
          <w:lang w:val="en-US" w:eastAsia="zh-CN"/>
        </w:rPr>
        <w:t>505.36</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万元,比2023年财政拨款收支总预算增加</w:t>
      </w:r>
      <w:r>
        <w:rPr>
          <w:rFonts w:hint="eastAsia" w:ascii="仿宋" w:hAnsi="仿宋" w:eastAsia="仿宋" w:cs="仿宋"/>
          <w:color w:val="auto"/>
          <w:sz w:val="32"/>
          <w:szCs w:val="32"/>
          <w:lang w:val="en-US" w:eastAsia="zh-CN"/>
        </w:rPr>
        <w:t>26.6</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万元，</w:t>
      </w:r>
      <w:r>
        <w:rPr>
          <w:rFonts w:hint="eastAsia" w:ascii="仿宋" w:hAnsi="仿宋" w:eastAsia="仿宋" w:cs="仿宋"/>
          <w:color w:val="auto"/>
          <w:sz w:val="32"/>
          <w:szCs w:val="32"/>
          <w:lang w:eastAsia="zh-CN"/>
        </w:rPr>
        <w:t>主要原因是增加了</w:t>
      </w:r>
      <w:r>
        <w:rPr>
          <w:rFonts w:hint="eastAsia" w:ascii="仿宋" w:hAnsi="仿宋" w:eastAsia="仿宋" w:cs="仿宋"/>
          <w:color w:val="auto"/>
          <w:sz w:val="32"/>
          <w:szCs w:val="32"/>
          <w:lang w:val="en-US" w:eastAsia="zh-CN"/>
        </w:rPr>
        <w:t>第五次全国经济普查和住户调查增加了记账户户数。</w:t>
      </w:r>
    </w:p>
    <w:p w14:paraId="3FCBDCA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（二）一般公共预算当年拨款结构情况</w:t>
      </w:r>
    </w:p>
    <w:p w14:paraId="2BB7B1E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一般公共服务支出449.39万元，占88.92%；社会保障和就业支出26.78万元，占5.29%；卫生健康支出9.55万元，占1.88%；住房保障支出19.64万元，占3.91%。</w:t>
      </w:r>
    </w:p>
    <w:p w14:paraId="5382CCC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仿宋" w:hAnsi="仿宋" w:eastAsia="仿宋" w:cs="仿宋"/>
          <w:b w:val="0"/>
          <w:bCs w:val="0"/>
          <w:i w:val="0"/>
          <w:caps w:val="0"/>
          <w:color w:val="000000"/>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（三）一般公共预算当年拨款具体使用情况</w:t>
      </w:r>
    </w:p>
    <w:p w14:paraId="2C79F5C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行政运行</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194.59</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val="en-US" w:eastAsia="zh-CN"/>
          <w14:textFill>
            <w14:solidFill>
              <w14:schemeClr w14:val="tx1"/>
            </w14:solidFill>
          </w14:textFill>
        </w:rPr>
        <w:t>机关正常运转的基本支出，包括基本工资、津贴补贴等人员经费以及办公费、印刷费、水电费等日常公用经费,保障部门正常运转。</w:t>
      </w:r>
    </w:p>
    <w:p w14:paraId="76F7D6A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微软雅黑" w:eastAsia="仿宋_GB2312" w:cs="仿宋_GB2312"/>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2.社会保障和就业（类）</w:t>
      </w:r>
      <w:r>
        <w:rPr>
          <w:rFonts w:hint="eastAsia" w:ascii="仿宋" w:hAnsi="仿宋" w:eastAsia="仿宋" w:cs="仿宋"/>
          <w:b w:val="0"/>
          <w:bCs w:val="0"/>
          <w:color w:val="000000" w:themeColor="text1"/>
          <w:sz w:val="32"/>
          <w:szCs w:val="32"/>
          <w:lang w:eastAsia="zh-CN"/>
          <w14:textFill>
            <w14:solidFill>
              <w14:schemeClr w14:val="tx1"/>
            </w14:solidFill>
          </w14:textFill>
        </w:rPr>
        <w:t>行政事业单位养老支出</w:t>
      </w:r>
      <w:r>
        <w:rPr>
          <w:rFonts w:hint="eastAsia" w:ascii="仿宋" w:hAnsi="仿宋" w:eastAsia="仿宋" w:cs="仿宋"/>
          <w:b w:val="0"/>
          <w:bCs w:val="0"/>
          <w:color w:val="000000" w:themeColor="text1"/>
          <w:sz w:val="32"/>
          <w:szCs w:val="32"/>
          <w14:textFill>
            <w14:solidFill>
              <w14:schemeClr w14:val="tx1"/>
            </w14:solidFill>
          </w14:textFill>
        </w:rPr>
        <w:t>（款）机关事业单位基本养老保险缴费支出（项）</w:t>
      </w:r>
      <w:r>
        <w:rPr>
          <w:rFonts w:hint="eastAsia" w:ascii="仿宋" w:hAnsi="仿宋" w:eastAsia="仿宋" w:cs="仿宋"/>
          <w:b w:val="0"/>
          <w:bCs w:val="0"/>
          <w:color w:val="000000" w:themeColor="text1"/>
          <w:sz w:val="32"/>
          <w:szCs w:val="32"/>
          <w:lang w:eastAsia="zh-CN"/>
          <w14:textFill>
            <w14:solidFill>
              <w14:schemeClr w14:val="tx1"/>
            </w14:solidFill>
          </w14:textFill>
        </w:rPr>
        <w:t>202</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年预算数为</w:t>
      </w:r>
      <w:r>
        <w:rPr>
          <w:rFonts w:hint="eastAsia" w:ascii="仿宋" w:hAnsi="仿宋" w:eastAsia="仿宋" w:cs="仿宋"/>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25.58</w:t>
      </w:r>
      <w:r>
        <w:rPr>
          <w:rFonts w:hint="eastAsia" w:ascii="仿宋" w:hAnsi="仿宋" w:eastAsia="仿宋" w:cs="仿宋"/>
          <w:b w:val="0"/>
          <w:bCs w:val="0"/>
          <w:color w:val="000000" w:themeColor="text1"/>
          <w:sz w:val="32"/>
          <w:szCs w:val="32"/>
          <w14:textFill>
            <w14:solidFill>
              <w14:schemeClr w14:val="tx1"/>
            </w14:solidFill>
          </w14:textFill>
        </w:rPr>
        <w:t>万元</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default" w:ascii="仿宋_GB2312" w:hAnsi="微软雅黑" w:eastAsia="仿宋_GB2312" w:cs="仿宋_GB2312"/>
          <w:color w:val="000000" w:themeColor="text1"/>
          <w:sz w:val="32"/>
          <w:szCs w:val="32"/>
          <w14:textFill>
            <w14:solidFill>
              <w14:schemeClr w14:val="tx1"/>
            </w14:solidFill>
          </w14:textFill>
        </w:rPr>
        <w:t>主要用于：实施养老保险制度由单位缴纳的基本养老保险费</w:t>
      </w:r>
      <w:r>
        <w:rPr>
          <w:rFonts w:hint="eastAsia" w:ascii="仿宋_GB2312" w:hAnsi="微软雅黑"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行政事业单位</w:t>
      </w:r>
      <w:r>
        <w:rPr>
          <w:rFonts w:hint="eastAsia" w:ascii="仿宋" w:hAnsi="仿宋" w:eastAsia="仿宋" w:cs="仿宋"/>
          <w:b w:val="0"/>
          <w:bCs w:val="0"/>
          <w:color w:val="000000" w:themeColor="text1"/>
          <w:sz w:val="32"/>
          <w:szCs w:val="32"/>
          <w:lang w:val="en-US" w:eastAsia="zh-CN"/>
          <w14:textFill>
            <w14:solidFill>
              <w14:schemeClr w14:val="tx1"/>
            </w14:solidFill>
          </w14:textFill>
        </w:rPr>
        <w:t>的失业、工伤</w:t>
      </w:r>
      <w:r>
        <w:rPr>
          <w:rFonts w:hint="eastAsia" w:ascii="仿宋" w:hAnsi="仿宋" w:eastAsia="仿宋" w:cs="仿宋"/>
          <w:b w:val="0"/>
          <w:bCs w:val="0"/>
          <w:color w:val="000000" w:themeColor="text1"/>
          <w:sz w:val="32"/>
          <w:szCs w:val="32"/>
          <w14:textFill>
            <w14:solidFill>
              <w14:schemeClr w14:val="tx1"/>
            </w14:solidFill>
          </w14:textFill>
        </w:rPr>
        <w:t>等</w:t>
      </w:r>
      <w:r>
        <w:rPr>
          <w:rFonts w:hint="default" w:ascii="仿宋_GB2312" w:hAnsi="微软雅黑" w:eastAsia="仿宋_GB2312" w:cs="仿宋_GB2312"/>
          <w:color w:val="000000" w:themeColor="text1"/>
          <w:sz w:val="32"/>
          <w:szCs w:val="32"/>
          <w14:textFill>
            <w14:solidFill>
              <w14:schemeClr w14:val="tx1"/>
            </w14:solidFill>
          </w14:textFill>
        </w:rPr>
        <w:t>的支出</w:t>
      </w:r>
      <w:r>
        <w:rPr>
          <w:rFonts w:hint="eastAsia" w:ascii="仿宋_GB2312" w:hAnsi="微软雅黑" w:eastAsia="仿宋_GB2312" w:cs="仿宋_GB2312"/>
          <w:color w:val="000000" w:themeColor="text1"/>
          <w:sz w:val="32"/>
          <w:szCs w:val="32"/>
          <w:lang w:eastAsia="zh-CN"/>
          <w14:textFill>
            <w14:solidFill>
              <w14:schemeClr w14:val="tx1"/>
            </w14:solidFill>
          </w14:textFill>
        </w:rPr>
        <w:t>。</w:t>
      </w:r>
    </w:p>
    <w:p w14:paraId="5E0DC2C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3.卫生健康支出（类）行政事业单位医疗（款）行政单位医疗（项）2024</w:t>
      </w:r>
      <w:r>
        <w:rPr>
          <w:rFonts w:hint="eastAsia" w:ascii="仿宋" w:hAnsi="仿宋" w:eastAsia="仿宋" w:cs="仿宋"/>
          <w:b w:val="0"/>
          <w:bCs w:val="0"/>
          <w:color w:val="000000" w:themeColor="text1"/>
          <w:sz w:val="32"/>
          <w:szCs w:val="32"/>
          <w14:textFill>
            <w14:solidFill>
              <w14:schemeClr w14:val="tx1"/>
            </w14:solidFill>
          </w14:textFill>
        </w:rPr>
        <w:t>年预算数为</w:t>
      </w:r>
      <w:r>
        <w:rPr>
          <w:rFonts w:hint="eastAsia" w:ascii="仿宋" w:hAnsi="仿宋" w:eastAsia="仿宋" w:cs="仿宋"/>
          <w:b w:val="0"/>
          <w:bCs w:val="0"/>
          <w:color w:val="000000" w:themeColor="text1"/>
          <w:sz w:val="32"/>
          <w:szCs w:val="32"/>
          <w:lang w:val="en-US" w:eastAsia="zh-CN"/>
          <w14:textFill>
            <w14:solidFill>
              <w14:schemeClr w14:val="tx1"/>
            </w14:solidFill>
          </w14:textFill>
        </w:rPr>
        <w:t>9.55</w:t>
      </w:r>
      <w:r>
        <w:rPr>
          <w:rFonts w:hint="eastAsia" w:ascii="仿宋" w:hAnsi="仿宋" w:eastAsia="仿宋" w:cs="仿宋"/>
          <w:b w:val="0"/>
          <w:bCs w:val="0"/>
          <w:color w:val="000000" w:themeColor="text1"/>
          <w:sz w:val="32"/>
          <w:szCs w:val="32"/>
          <w14:textFill>
            <w14:solidFill>
              <w14:schemeClr w14:val="tx1"/>
            </w14:solidFill>
          </w14:textFill>
        </w:rPr>
        <w:t>万元</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机关</w:t>
      </w:r>
      <w:r>
        <w:rPr>
          <w:rFonts w:hint="eastAsia" w:ascii="仿宋" w:hAnsi="仿宋" w:eastAsia="仿宋" w:cs="仿宋"/>
          <w:b w:val="0"/>
          <w:bCs w:val="0"/>
          <w:color w:val="000000" w:themeColor="text1"/>
          <w:sz w:val="32"/>
          <w:szCs w:val="32"/>
          <w:lang w:val="en-US" w:eastAsia="zh-CN"/>
          <w14:textFill>
            <w14:solidFill>
              <w14:schemeClr w14:val="tx1"/>
            </w14:solidFill>
          </w14:textFill>
        </w:rPr>
        <w:t>事业人员</w:t>
      </w:r>
      <w:r>
        <w:rPr>
          <w:rFonts w:hint="eastAsia" w:ascii="仿宋" w:hAnsi="仿宋" w:eastAsia="仿宋" w:cs="仿宋"/>
          <w:b w:val="0"/>
          <w:bCs w:val="0"/>
          <w:color w:val="000000" w:themeColor="text1"/>
          <w:sz w:val="32"/>
          <w:szCs w:val="32"/>
          <w14:textFill>
            <w14:solidFill>
              <w14:schemeClr w14:val="tx1"/>
            </w14:solidFill>
          </w14:textFill>
        </w:rPr>
        <w:t>基本医疗保险缴费支出</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454E080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住房保障（类）住房改革支出（款）住房公积金（项）</w:t>
      </w:r>
      <w:r>
        <w:rPr>
          <w:rFonts w:hint="eastAsia" w:ascii="仿宋" w:hAnsi="仿宋" w:eastAsia="仿宋" w:cs="仿宋"/>
          <w:b w:val="0"/>
          <w:bCs w:val="0"/>
          <w:color w:val="000000" w:themeColor="text1"/>
          <w:sz w:val="32"/>
          <w:szCs w:val="32"/>
          <w:lang w:eastAsia="zh-CN"/>
          <w14:textFill>
            <w14:solidFill>
              <w14:schemeClr w14:val="tx1"/>
            </w14:solidFill>
          </w14:textFill>
        </w:rPr>
        <w:t>202</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年预算数为</w:t>
      </w:r>
      <w:r>
        <w:rPr>
          <w:rFonts w:hint="eastAsia" w:ascii="仿宋" w:hAnsi="仿宋" w:eastAsia="仿宋" w:cs="仿宋"/>
          <w:b w:val="0"/>
          <w:bCs w:val="0"/>
          <w:color w:val="000000" w:themeColor="text1"/>
          <w:sz w:val="32"/>
          <w:szCs w:val="32"/>
          <w:lang w:val="en-US" w:eastAsia="zh-CN"/>
          <w14:textFill>
            <w14:solidFill>
              <w14:schemeClr w14:val="tx1"/>
            </w14:solidFill>
          </w14:textFill>
        </w:rPr>
        <w:t>19.64</w:t>
      </w:r>
      <w:r>
        <w:rPr>
          <w:rFonts w:hint="eastAsia" w:ascii="仿宋" w:hAnsi="仿宋" w:eastAsia="仿宋" w:cs="仿宋"/>
          <w:b w:val="0"/>
          <w:bCs w:val="0"/>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4157818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专项普查查</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105</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第五次全国经济普查开展的业务培训费、资料费、印刷费、两员补助、办公费等，确保第五次全国经济普查工作顺利开展及高效完成。</w:t>
      </w:r>
    </w:p>
    <w:p w14:paraId="0125F1E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一般行政专项事务</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eastAsia="zh-CN"/>
          <w14:textFill>
            <w14:solidFill>
              <w14:schemeClr w14:val="tx1"/>
            </w14:solidFill>
          </w14:textFill>
        </w:rPr>
        <w:t>民</w:t>
      </w:r>
      <w:r>
        <w:rPr>
          <w:rFonts w:hint="eastAsia" w:ascii="仿宋" w:hAnsi="仿宋" w:eastAsia="仿宋" w:cs="仿宋"/>
          <w:b w:val="0"/>
          <w:bCs w:val="0"/>
          <w:color w:val="000000" w:themeColor="text1"/>
          <w:sz w:val="32"/>
          <w:szCs w:val="32"/>
          <w:lang w:val="en-US" w:eastAsia="zh-CN"/>
          <w14:textFill>
            <w14:solidFill>
              <w14:schemeClr w14:val="tx1"/>
            </w14:solidFill>
          </w14:textFill>
        </w:rPr>
        <w:t>调中心正常运行的网络费、办公费，农业统计、工业统计的办公费、资料费、培训费等，确保三次产业统计正常开展。</w:t>
      </w:r>
    </w:p>
    <w:p w14:paraId="02D7FBB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统计抽样调查</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146</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14:textFill>
            <w14:solidFill>
              <w14:schemeClr w14:val="tx1"/>
            </w14:solidFill>
          </w14:textFill>
        </w:rPr>
        <w:t>主要用于</w:t>
      </w:r>
      <w:r>
        <w:rPr>
          <w:rFonts w:hint="eastAsia" w:ascii="仿宋" w:hAnsi="仿宋" w:eastAsia="仿宋" w:cs="仿宋"/>
          <w:b w:val="0"/>
          <w:bCs w:val="0"/>
          <w:color w:val="000000" w:themeColor="text1"/>
          <w:sz w:val="32"/>
          <w:szCs w:val="32"/>
          <w:lang w:val="en-US" w:eastAsia="zh-CN"/>
          <w14:textFill>
            <w14:solidFill>
              <w14:schemeClr w14:val="tx1"/>
            </w14:solidFill>
          </w14:textFill>
        </w:rPr>
        <w:t>住户调查、劳动力调查、粮食抽样调查、畜禽监测调查、人口抽样调查、城镇化和就业失业调查等项目的办公费、印刷费、业务培训费、会议费等相关费用，确保抽样调查正常开展。</w:t>
      </w:r>
    </w:p>
    <w:p w14:paraId="10C8C83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533749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202</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年一般公共预算基本支出</w:t>
      </w:r>
      <w:r>
        <w:rPr>
          <w:rFonts w:hint="eastAsia" w:ascii="仿宋" w:hAnsi="仿宋" w:eastAsia="仿宋" w:cs="仿宋"/>
          <w:b w:val="0"/>
          <w:bCs w:val="0"/>
          <w:color w:val="000000"/>
          <w:sz w:val="32"/>
          <w:szCs w:val="32"/>
          <w:lang w:val="en-US" w:eastAsia="zh-CN"/>
        </w:rPr>
        <w:t>237.63</w:t>
      </w:r>
      <w:r>
        <w:rPr>
          <w:rFonts w:hint="eastAsia" w:ascii="仿宋" w:hAnsi="仿宋" w:eastAsia="仿宋" w:cs="仿宋"/>
          <w:b w:val="0"/>
          <w:bCs w:val="0"/>
          <w:color w:val="000000"/>
          <w:sz w:val="32"/>
          <w:szCs w:val="32"/>
        </w:rPr>
        <w:t>万元，其中：人员经费</w:t>
      </w:r>
      <w:r>
        <w:rPr>
          <w:rFonts w:hint="eastAsia" w:ascii="仿宋" w:hAnsi="仿宋" w:eastAsia="仿宋" w:cs="仿宋"/>
          <w:b w:val="0"/>
          <w:bCs w:val="0"/>
          <w:color w:val="000000"/>
          <w:sz w:val="32"/>
          <w:szCs w:val="32"/>
          <w:lang w:val="en-US" w:eastAsia="zh-CN"/>
        </w:rPr>
        <w:t>220.36</w:t>
      </w:r>
      <w:r>
        <w:rPr>
          <w:rFonts w:hint="eastAsia" w:ascii="仿宋" w:hAnsi="仿宋" w:eastAsia="仿宋" w:cs="仿宋"/>
          <w:b w:val="0"/>
          <w:bCs w:val="0"/>
          <w:color w:val="000000"/>
          <w:sz w:val="32"/>
          <w:szCs w:val="32"/>
        </w:rPr>
        <w:t>万元，主要包括基本工资、津贴补贴、奖金、住房公积金等支出。</w:t>
      </w:r>
    </w:p>
    <w:p w14:paraId="7D46E83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公</w:t>
      </w:r>
      <w:r>
        <w:rPr>
          <w:rFonts w:hint="eastAsia" w:ascii="仿宋" w:hAnsi="仿宋" w:eastAsia="仿宋" w:cs="仿宋"/>
          <w:b w:val="0"/>
          <w:bCs w:val="0"/>
          <w:color w:val="000000"/>
          <w:sz w:val="32"/>
          <w:szCs w:val="32"/>
        </w:rPr>
        <w:t>用经费</w:t>
      </w:r>
      <w:r>
        <w:rPr>
          <w:rFonts w:hint="eastAsia" w:ascii="仿宋" w:hAnsi="仿宋" w:eastAsia="仿宋" w:cs="仿宋"/>
          <w:b w:val="0"/>
          <w:bCs w:val="0"/>
          <w:color w:val="000000"/>
          <w:sz w:val="32"/>
          <w:szCs w:val="32"/>
          <w:lang w:val="en-US" w:eastAsia="zh-CN"/>
        </w:rPr>
        <w:t>22.4</w:t>
      </w:r>
      <w:r>
        <w:rPr>
          <w:rFonts w:hint="eastAsia" w:ascii="仿宋" w:hAnsi="仿宋" w:eastAsia="仿宋" w:cs="仿宋"/>
          <w:b w:val="0"/>
          <w:bCs w:val="0"/>
          <w:color w:val="000000"/>
          <w:sz w:val="32"/>
          <w:szCs w:val="32"/>
        </w:rPr>
        <w:t>万元，主要包括办公费、水费、电费、差旅费、会议费、公务接待费、其他交通费</w:t>
      </w:r>
      <w:r>
        <w:rPr>
          <w:rFonts w:hint="eastAsia" w:ascii="仿宋" w:hAnsi="仿宋" w:eastAsia="仿宋" w:cs="仿宋"/>
          <w:b w:val="0"/>
          <w:bCs w:val="0"/>
          <w:color w:val="000000"/>
          <w:sz w:val="32"/>
          <w:szCs w:val="32"/>
          <w:lang w:eastAsia="zh-CN"/>
        </w:rPr>
        <w:t>用</w:t>
      </w:r>
      <w:r>
        <w:rPr>
          <w:rFonts w:hint="eastAsia" w:ascii="仿宋" w:hAnsi="仿宋" w:eastAsia="仿宋" w:cs="仿宋"/>
          <w:b w:val="0"/>
          <w:bCs w:val="0"/>
          <w:color w:val="000000"/>
          <w:sz w:val="32"/>
          <w:szCs w:val="32"/>
        </w:rPr>
        <w:t>等支出。</w:t>
      </w:r>
    </w:p>
    <w:p w14:paraId="14EAB7A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E895B0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2024年“三公”经费财政拨款预算数7.05万元，其中：公务接待费7.05万元，公务用车购置及运行维护费0万元，因公出国（境）经费0万元。</w:t>
      </w:r>
    </w:p>
    <w:p w14:paraId="53ED84BC">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公务接待费与2023年预算相比增长0.5%。</w:t>
      </w:r>
    </w:p>
    <w:p w14:paraId="4C7ED76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lang w:val="en-US" w:eastAsia="zh-CN"/>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ar"/>
        </w:rPr>
        <w:t>公务接待费与2023年预算相比增长0.5%。</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原因是增加了第五次全国经济普查大型普查项目，除此之外主要用于执行接待考察调研、检查指导等公务活动开支的交通费、住宿费、用餐费等。</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14:paraId="43560CE0">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3"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公务用车购置及运行维护费。</w:t>
      </w:r>
    </w:p>
    <w:p w14:paraId="023E74D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14:paraId="5F99E1D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单位现有公务用车</w:t>
      </w:r>
      <w:r>
        <w:rPr>
          <w:rFonts w:hint="eastAsia" w:ascii="Times New Roman" w:hAnsi="Times New Roman" w:eastAsia="仿宋_GB2312" w:cs="Times New Roman"/>
          <w:b w:val="0"/>
          <w:bCs w:val="0"/>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辆，公务用车购置及运行维护费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年初未安排预算，与上年持平</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w:t>
      </w:r>
    </w:p>
    <w:p w14:paraId="65C5A633">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3" w:firstLineChars="200"/>
        <w:jc w:val="both"/>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因公出国（境）经费。</w:t>
      </w:r>
    </w:p>
    <w:p w14:paraId="5925DB6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14:paraId="5A6DFE4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2A1F4EE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统计局</w:t>
      </w:r>
      <w:r>
        <w:rPr>
          <w:rFonts w:hint="eastAsia" w:ascii="仿宋" w:hAnsi="仿宋" w:eastAsia="仿宋" w:cs="仿宋"/>
          <w:b w:val="0"/>
          <w:bCs w:val="0"/>
          <w:color w:val="000000"/>
          <w:sz w:val="32"/>
          <w:szCs w:val="32"/>
          <w:lang w:eastAsia="zh-CN"/>
        </w:rPr>
        <w:t>202</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年没有使用政府性基金预算拨款安排的支出。</w:t>
      </w:r>
      <w:bookmarkStart w:id="0" w:name="_Toc16586"/>
    </w:p>
    <w:p w14:paraId="5450BA2B">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国有资本经营预算支出情况说明</w:t>
      </w:r>
      <w:bookmarkEnd w:id="0"/>
    </w:p>
    <w:p w14:paraId="7592654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统计局2024年没有使用国有资本经营预算拨款安排的支出。</w:t>
      </w:r>
    </w:p>
    <w:p w14:paraId="31FF212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outlineLvl w:val="0"/>
        <w:rPr>
          <w:rFonts w:hint="eastAsia" w:ascii="黑体" w:hAnsi="黑体" w:eastAsia="黑体" w:cs="黑体"/>
          <w:b/>
          <w:bCs/>
          <w:i w:val="0"/>
          <w:caps w:val="0"/>
          <w:color w:val="000000"/>
          <w:spacing w:val="0"/>
          <w:kern w:val="0"/>
          <w:sz w:val="32"/>
          <w:szCs w:val="32"/>
          <w:shd w:val="clear" w:color="auto" w:fill="FFFFFF"/>
          <w:lang w:val="en-US" w:eastAsia="zh-CN" w:bidi="ar"/>
        </w:rPr>
      </w:pPr>
      <w:bookmarkStart w:id="1" w:name="_Toc3696"/>
      <w:r>
        <w:rPr>
          <w:rFonts w:hint="eastAsia" w:ascii="黑体" w:hAnsi="黑体" w:eastAsia="黑体" w:cs="黑体"/>
          <w:b/>
          <w:bCs/>
          <w:i w:val="0"/>
          <w:caps w:val="0"/>
          <w:color w:val="000000"/>
          <w:spacing w:val="0"/>
          <w:kern w:val="0"/>
          <w:sz w:val="32"/>
          <w:szCs w:val="32"/>
          <w:shd w:val="clear" w:color="auto" w:fill="FFFFFF"/>
          <w:lang w:val="en-US" w:eastAsia="zh-CN" w:bidi="ar"/>
        </w:rPr>
        <w:t>十、其他重要事项的情况说明</w:t>
      </w:r>
      <w:bookmarkEnd w:id="1"/>
    </w:p>
    <w:p w14:paraId="64573E4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仿宋" w:hAnsi="仿宋" w:eastAsia="仿宋" w:cs="仿宋"/>
          <w:b w:val="0"/>
          <w:bCs w:val="0"/>
          <w:color w:val="00000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（一）机关运行经费</w:t>
      </w:r>
    </w:p>
    <w:p w14:paraId="1455B4F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eastAsia="zh-CN"/>
        </w:rPr>
        <w:t>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rPr>
        <w:t>年，机关运行经费财政拨款预算为</w:t>
      </w:r>
      <w:r>
        <w:rPr>
          <w:rFonts w:hint="eastAsia" w:ascii="仿宋" w:hAnsi="仿宋" w:eastAsia="仿宋" w:cs="仿宋"/>
          <w:b w:val="0"/>
          <w:bCs w:val="0"/>
          <w:color w:val="000000"/>
          <w:sz w:val="32"/>
          <w:szCs w:val="32"/>
          <w:highlight w:val="none"/>
          <w:lang w:val="en-US" w:eastAsia="zh-CN"/>
        </w:rPr>
        <w:t>182.9</w:t>
      </w:r>
      <w:r>
        <w:rPr>
          <w:rFonts w:hint="eastAsia" w:ascii="仿宋" w:hAnsi="仿宋" w:eastAsia="仿宋" w:cs="仿宋"/>
          <w:b w:val="0"/>
          <w:bCs w:val="0"/>
          <w:color w:val="000000"/>
          <w:sz w:val="32"/>
          <w:szCs w:val="32"/>
          <w:highlight w:val="none"/>
        </w:rPr>
        <w:t>万元，比</w:t>
      </w:r>
      <w:r>
        <w:rPr>
          <w:rFonts w:hint="eastAsia" w:ascii="仿宋" w:hAnsi="仿宋" w:eastAsia="仿宋" w:cs="仿宋"/>
          <w:b w:val="0"/>
          <w:bCs w:val="0"/>
          <w:color w:val="000000"/>
          <w:sz w:val="32"/>
          <w:szCs w:val="32"/>
          <w:highlight w:val="none"/>
          <w:lang w:eastAsia="zh-CN"/>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年财政拨款收支总预算</w:t>
      </w:r>
      <w:r>
        <w:rPr>
          <w:rFonts w:hint="eastAsia" w:ascii="仿宋" w:hAnsi="仿宋" w:eastAsia="仿宋" w:cs="仿宋"/>
          <w:b w:val="0"/>
          <w:bCs w:val="0"/>
          <w:color w:val="000000"/>
          <w:sz w:val="32"/>
          <w:szCs w:val="32"/>
          <w:highlight w:val="none"/>
          <w:lang w:val="en-US" w:eastAsia="zh-CN"/>
        </w:rPr>
        <w:t>增加31.5</w:t>
      </w:r>
      <w:r>
        <w:rPr>
          <w:rFonts w:hint="eastAsia" w:ascii="仿宋" w:hAnsi="仿宋" w:eastAsia="仿宋" w:cs="仿宋"/>
          <w:b w:val="0"/>
          <w:bCs w:val="0"/>
          <w:color w:val="000000"/>
          <w:sz w:val="32"/>
          <w:szCs w:val="32"/>
          <w:highlight w:val="none"/>
        </w:rPr>
        <w:t>万元，主要原因</w:t>
      </w:r>
      <w:r>
        <w:rPr>
          <w:rFonts w:hint="eastAsia" w:ascii="仿宋" w:hAnsi="仿宋" w:eastAsia="仿宋" w:cs="仿宋"/>
          <w:b w:val="0"/>
          <w:bCs w:val="0"/>
          <w:color w:val="000000"/>
          <w:sz w:val="32"/>
          <w:szCs w:val="32"/>
          <w:highlight w:val="none"/>
          <w:lang w:val="en-US" w:eastAsia="zh-CN"/>
        </w:rPr>
        <w:t>是</w:t>
      </w:r>
      <w:r>
        <w:rPr>
          <w:rFonts w:hint="eastAsia" w:ascii="仿宋" w:hAnsi="仿宋" w:eastAsia="仿宋" w:cs="仿宋"/>
          <w:b w:val="0"/>
          <w:bCs w:val="0"/>
          <w:color w:val="000000"/>
          <w:sz w:val="32"/>
          <w:szCs w:val="32"/>
          <w:highlight w:val="none"/>
          <w:lang w:eastAsia="zh-CN"/>
        </w:rPr>
        <w:t>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rPr>
        <w:t>年部门预算中</w:t>
      </w:r>
      <w:r>
        <w:rPr>
          <w:rFonts w:hint="eastAsia" w:ascii="仿宋" w:hAnsi="仿宋" w:eastAsia="仿宋" w:cs="仿宋"/>
          <w:b w:val="0"/>
          <w:bCs w:val="0"/>
          <w:color w:val="000000"/>
          <w:sz w:val="32"/>
          <w:szCs w:val="32"/>
          <w:highlight w:val="none"/>
          <w:lang w:val="en-US" w:eastAsia="zh-CN"/>
        </w:rPr>
        <w:t>增加了第五次全国经济普查大型普查项目等。</w:t>
      </w:r>
    </w:p>
    <w:p w14:paraId="6489D077">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政府采购情况</w:t>
      </w:r>
    </w:p>
    <w:p w14:paraId="47A868A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本单位本年度无政府采购预算。</w:t>
      </w:r>
    </w:p>
    <w:p w14:paraId="441D4E0B">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fill="FFFFFF" w:themeFill="background1"/>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_GB2312" w:hAnsi="Times New Roman" w:eastAsia="仿宋_GB2312" w:cs="仿宋_GB2312"/>
          <w:i w:val="0"/>
          <w:caps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sz w:val="32"/>
          <w:szCs w:val="32"/>
          <w:highlight w:val="none"/>
          <w:lang w:val="en-US" w:eastAsia="zh-CN"/>
        </w:rPr>
        <w:t>国有资产占有使用情况</w:t>
      </w:r>
    </w:p>
    <w:p w14:paraId="5DC482B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年底，统计局共有车辆</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台（套）。</w:t>
      </w:r>
    </w:p>
    <w:p w14:paraId="521D301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14:paraId="0B472661">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3" w:firstLineChars="200"/>
        <w:jc w:val="both"/>
        <w:textAlignment w:val="auto"/>
        <w:rPr>
          <w:rFonts w:hint="eastAsia" w:ascii="楷体_GB2312" w:hAnsi="Times New Roman" w:eastAsia="楷体_GB2312" w:cs="楷体_GB2312"/>
          <w:b/>
          <w:i w:val="0"/>
          <w:caps w:val="0"/>
          <w:color w:val="000000" w:themeColor="text1"/>
          <w:spacing w:val="0"/>
          <w:kern w:val="0"/>
          <w:sz w:val="32"/>
          <w:szCs w:val="32"/>
          <w:highlight w:val="none"/>
          <w:shd w:val="clear" w:color="auto" w:fill="auto"/>
          <w:lang w:val="en-US" w:eastAsia="zh-CN" w:bidi="ar"/>
          <w14:textFill>
            <w14:solidFill>
              <w14:schemeClr w14:val="tx1"/>
            </w14:solidFill>
          </w14:textFill>
        </w:rPr>
      </w:pPr>
      <w:r>
        <w:rPr>
          <w:rFonts w:hint="eastAsia" w:ascii="楷体_GB2312" w:hAnsi="Times New Roman" w:eastAsia="楷体_GB2312" w:cs="楷体_GB2312"/>
          <w:b/>
          <w:i w:val="0"/>
          <w:caps w:val="0"/>
          <w:color w:val="000000" w:themeColor="text1"/>
          <w:spacing w:val="0"/>
          <w:kern w:val="0"/>
          <w:sz w:val="32"/>
          <w:szCs w:val="32"/>
          <w:highlight w:val="none"/>
          <w:shd w:val="clear" w:color="auto" w:fill="auto"/>
          <w:lang w:val="en-US" w:eastAsia="zh-CN" w:bidi="ar"/>
          <w14:textFill>
            <w14:solidFill>
              <w14:schemeClr w14:val="tx1"/>
            </w14:solidFill>
          </w14:textFill>
        </w:rPr>
        <w:t>绩效目标设置情况</w:t>
      </w:r>
      <w:bookmarkStart w:id="2" w:name="_Toc15929"/>
    </w:p>
    <w:p w14:paraId="778563D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2024年区统计局部开展绩效目标管理的项目8个，涉及预算256万元。其中：人员类项目2个，涉及预算5万元；运转类项目4个，涉及预算146万元；特定目标类项目2个，涉及预算105万元。</w:t>
      </w:r>
    </w:p>
    <w:p w14:paraId="454F2332">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名词解释</w:t>
      </w:r>
      <w:bookmarkEnd w:id="2"/>
    </w:p>
    <w:p w14:paraId="707627C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2"/>
          <w:sz w:val="32"/>
          <w:szCs w:val="32"/>
          <w:lang w:val="en-US" w:eastAsia="zh-CN" w:bidi="ar-SA"/>
        </w:rPr>
        <w:t>（一）</w:t>
      </w:r>
      <w:r>
        <w:rPr>
          <w:rFonts w:hint="eastAsia" w:ascii="仿宋" w:hAnsi="仿宋" w:eastAsia="仿宋" w:cs="仿宋"/>
          <w:b w:val="0"/>
          <w:bCs w:val="0"/>
          <w:color w:val="000000"/>
          <w:sz w:val="32"/>
          <w:szCs w:val="32"/>
        </w:rPr>
        <w:t>一般公共预算拨款收入：指</w:t>
      </w:r>
      <w:r>
        <w:rPr>
          <w:rFonts w:hint="eastAsia" w:ascii="仿宋" w:hAnsi="仿宋" w:eastAsia="仿宋" w:cs="仿宋"/>
          <w:b w:val="0"/>
          <w:bCs w:val="0"/>
          <w:color w:val="000000"/>
          <w:sz w:val="32"/>
          <w:szCs w:val="32"/>
          <w:lang w:val="en-US" w:eastAsia="zh-CN"/>
        </w:rPr>
        <w:t>区</w:t>
      </w:r>
      <w:r>
        <w:rPr>
          <w:rFonts w:hint="eastAsia" w:ascii="仿宋" w:hAnsi="仿宋" w:eastAsia="仿宋" w:cs="仿宋"/>
          <w:b w:val="0"/>
          <w:bCs w:val="0"/>
          <w:color w:val="000000"/>
          <w:sz w:val="32"/>
          <w:szCs w:val="32"/>
        </w:rPr>
        <w:t>级财政当年拨付的资金。</w:t>
      </w:r>
    </w:p>
    <w:p w14:paraId="6516D80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（二）</w:t>
      </w:r>
      <w:r>
        <w:rPr>
          <w:rFonts w:hint="eastAsia" w:ascii="仿宋" w:hAnsi="仿宋" w:eastAsia="仿宋" w:cs="仿宋"/>
          <w:b w:val="0"/>
          <w:bCs w:val="0"/>
          <w:color w:val="000000"/>
          <w:sz w:val="32"/>
          <w:szCs w:val="32"/>
          <w:highlight w:val="none"/>
          <w:shd w:val="clear" w:color="auto" w:fill="auto"/>
          <w:lang w:val="en-US" w:eastAsia="zh-CN"/>
        </w:rPr>
        <w:t>一般公共服务（类）统计行政事务（款）行政运行（项）：指机关单位用于保障机构正常运行、开展日常工作的基本支出。</w:t>
      </w:r>
    </w:p>
    <w:p w14:paraId="33EE2F7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仿宋" w:hAnsi="仿宋" w:eastAsia="仿宋" w:cs="仿宋"/>
          <w:b w:val="0"/>
          <w:bCs w:val="0"/>
          <w:color w:val="000000"/>
          <w:kern w:val="2"/>
          <w:sz w:val="32"/>
          <w:szCs w:val="32"/>
          <w:shd w:val="clear" w:fill="auto"/>
          <w:lang w:val="en-US" w:eastAsia="zh-CN" w:bidi="ar-SA"/>
        </w:rPr>
        <w:t>（三）</w:t>
      </w:r>
      <w:r>
        <w:rPr>
          <w:rFonts w:hint="eastAsia" w:ascii="仿宋" w:hAnsi="仿宋" w:eastAsia="仿宋" w:cs="仿宋"/>
          <w:b w:val="0"/>
          <w:bCs w:val="0"/>
          <w:color w:val="000000"/>
          <w:sz w:val="32"/>
          <w:szCs w:val="32"/>
          <w:highlight w:val="none"/>
          <w:shd w:val="clear" w:color="auto" w:fill="auto"/>
          <w:lang w:val="en-US" w:eastAsia="zh-CN"/>
        </w:rPr>
        <w:t>一般公共服务（类）统计行政事务（款）一般行政管理事务（项）：指机关单位开展财政综合业务、预决算编审等未单独设置项级科目的专门性财政管理工作的项目支出。</w:t>
      </w:r>
    </w:p>
    <w:p w14:paraId="14AF83F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仿宋" w:hAnsi="仿宋" w:eastAsia="仿宋" w:cs="仿宋"/>
          <w:b w:val="0"/>
          <w:bCs w:val="0"/>
          <w:color w:val="000000"/>
          <w:kern w:val="2"/>
          <w:sz w:val="32"/>
          <w:szCs w:val="32"/>
          <w:shd w:val="clear" w:fill="auto"/>
          <w:lang w:val="en-US" w:eastAsia="zh-CN" w:bidi="ar-SA"/>
        </w:rPr>
        <w:t>（四）</w:t>
      </w:r>
      <w:r>
        <w:rPr>
          <w:rFonts w:hint="eastAsia" w:ascii="仿宋" w:hAnsi="仿宋" w:eastAsia="仿宋" w:cs="仿宋"/>
          <w:b w:val="0"/>
          <w:bCs w:val="0"/>
          <w:color w:val="000000"/>
          <w:sz w:val="32"/>
          <w:szCs w:val="32"/>
          <w:highlight w:val="none"/>
          <w:shd w:val="clear" w:color="auto" w:fill="auto"/>
          <w:lang w:val="en-US" w:eastAsia="zh-CN"/>
        </w:rPr>
        <w:t>一般公共服务（类）统计信息事务（款）统计抽样调查（项）：指根据经济发展需要，将住户调查、粮食抽样调查、畜禽监测调查、劳动力调查、城镇化和失业就业监测调查、人口抽样调查纳入常年开展。常年调查监测数据作为省市区委政府决策参考依据。根据常年抽样调查工作开展需要，将所需费用纳年常年预算，并将专业统计费用用于专项统计工作中支出。</w:t>
      </w:r>
    </w:p>
    <w:p w14:paraId="4B8D296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仿宋" w:hAnsi="仿宋" w:eastAsia="仿宋" w:cs="仿宋"/>
          <w:b w:val="0"/>
          <w:bCs w:val="0"/>
          <w:color w:val="000000"/>
          <w:kern w:val="2"/>
          <w:sz w:val="32"/>
          <w:szCs w:val="32"/>
          <w:shd w:val="clear" w:fill="auto"/>
          <w:lang w:val="en-US" w:eastAsia="zh-CN" w:bidi="ar-SA"/>
        </w:rPr>
        <w:t>（五）</w:t>
      </w:r>
      <w:r>
        <w:rPr>
          <w:rFonts w:hint="eastAsia" w:ascii="仿宋" w:hAnsi="仿宋" w:eastAsia="仿宋" w:cs="仿宋"/>
          <w:b w:val="0"/>
          <w:bCs w:val="0"/>
          <w:color w:val="000000"/>
          <w:sz w:val="32"/>
          <w:szCs w:val="32"/>
          <w:highlight w:val="none"/>
          <w:shd w:val="clear" w:color="auto" w:fill="auto"/>
          <w:lang w:val="en-US" w:eastAsia="zh-CN"/>
        </w:rPr>
        <w:t>一般公共服务（类）统计信息事务（款）专项普查活动（项）：指依据《中华人民共和国统计法》《全国经济普查条例》《全国农业普查条例》《人口普查条例》规定，每五年开展一次全国经济普查，每十年开展一次人口普查和农业普查。根据条例规定，逢3和8年份为全国经济普查，逢0年份为人口普查，逢6年份为农业普查。根据统计法和普查条例规定，对相应年份的普查所有费用纳入当年预算，并专款专用，所以普查费用用于普查工作项目支出。</w:t>
      </w:r>
    </w:p>
    <w:p w14:paraId="7D0756C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（六）</w:t>
      </w:r>
      <w:r>
        <w:rPr>
          <w:rFonts w:hint="eastAsia" w:ascii="仿宋" w:hAnsi="仿宋" w:eastAsia="仿宋" w:cs="仿宋"/>
          <w:b w:val="0"/>
          <w:bCs w:val="0"/>
          <w:color w:val="000000"/>
          <w:sz w:val="32"/>
          <w:szCs w:val="32"/>
          <w:lang w:val="en-US" w:eastAsia="zh-CN"/>
        </w:rPr>
        <w:t>社会保障和就业（类）行政事业单位离退休（款）机关事业单位基本养老保险缴费支出（项）：指部门实施养老保险制度由单位缴纳的养老保险费的支出。</w:t>
      </w:r>
    </w:p>
    <w:p w14:paraId="0D97032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（七）</w:t>
      </w:r>
      <w:r>
        <w:rPr>
          <w:rFonts w:hint="eastAsia" w:ascii="仿宋" w:hAnsi="仿宋" w:eastAsia="仿宋" w:cs="仿宋"/>
          <w:b w:val="0"/>
          <w:bCs w:val="0"/>
          <w:color w:val="000000"/>
          <w:sz w:val="32"/>
          <w:szCs w:val="32"/>
          <w:lang w:val="en-US" w:eastAsia="zh-CN"/>
        </w:rPr>
        <w:t>社会保障和就业（类）行政事业单位离退休（款）机关事业单位职业年金缴费支出（项）：指部门实施养老保险制度由单位缴纳的职业年金的支出。</w:t>
      </w:r>
    </w:p>
    <w:p w14:paraId="4EDB41E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（八）</w:t>
      </w:r>
      <w:r>
        <w:rPr>
          <w:rFonts w:hint="eastAsia" w:ascii="仿宋" w:hAnsi="仿宋" w:eastAsia="仿宋" w:cs="仿宋"/>
          <w:b w:val="0"/>
          <w:bCs w:val="0"/>
          <w:color w:val="000000"/>
          <w:sz w:val="32"/>
          <w:szCs w:val="32"/>
          <w:lang w:val="en-US" w:eastAsia="zh-CN"/>
        </w:rPr>
        <w:t>卫生健康（类）行政事业单位医疗（款）行政单位医疗（项）：指机关及参公管理事业单位用于缴纳单位基本医疗保险支出。</w:t>
      </w:r>
    </w:p>
    <w:p w14:paraId="67AA9E8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（九）</w:t>
      </w:r>
      <w:r>
        <w:rPr>
          <w:rFonts w:hint="eastAsia" w:ascii="仿宋" w:hAnsi="仿宋" w:eastAsia="仿宋" w:cs="仿宋"/>
          <w:b w:val="0"/>
          <w:bCs w:val="0"/>
          <w:color w:val="000000"/>
          <w:sz w:val="32"/>
          <w:szCs w:val="32"/>
          <w:lang w:val="en-US" w:eastAsia="zh-CN"/>
        </w:rPr>
        <w:t>卫生健康（类）行政事业单位医疗（款）事业单位医疗（项）：指机关及参公管理事业单位用于集中缴纳公务员医疗补助支出。</w:t>
      </w:r>
    </w:p>
    <w:p w14:paraId="0512E68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w:t>
      </w:r>
      <w:r>
        <w:rPr>
          <w:rFonts w:hint="eastAsia" w:ascii="仿宋" w:hAnsi="仿宋" w:eastAsia="仿宋" w:cs="仿宋"/>
          <w:b w:val="0"/>
          <w:bCs w:val="0"/>
          <w:color w:val="000000"/>
          <w:sz w:val="32"/>
          <w:szCs w:val="32"/>
          <w:lang w:val="en-US" w:eastAsia="zh-CN"/>
        </w:rPr>
        <w:t>住房保障（类）住房改革支出（款）住房公积金（项）：指按照《住房公积金管理条例》的规定，由单位及其在职职工缴存的长期住房储金。</w:t>
      </w:r>
    </w:p>
    <w:p w14:paraId="1B7735A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（十一）</w:t>
      </w:r>
      <w:r>
        <w:rPr>
          <w:rFonts w:hint="eastAsia" w:ascii="仿宋" w:hAnsi="仿宋" w:eastAsia="仿宋" w:cs="仿宋"/>
          <w:b w:val="0"/>
          <w:bCs w:val="0"/>
          <w:color w:val="000000"/>
          <w:sz w:val="32"/>
          <w:szCs w:val="32"/>
          <w:lang w:val="en-US" w:eastAsia="zh-CN"/>
        </w:rPr>
        <w:t>基本支出：指为保证机构正常运转，完成日常工作任务而发生的人员支出和公用支出。</w:t>
      </w:r>
    </w:p>
    <w:p w14:paraId="53FFD15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（十二）</w:t>
      </w:r>
      <w:r>
        <w:rPr>
          <w:rFonts w:hint="eastAsia" w:ascii="仿宋" w:hAnsi="仿宋" w:eastAsia="仿宋" w:cs="仿宋"/>
          <w:b w:val="0"/>
          <w:bCs w:val="0"/>
          <w:color w:val="000000"/>
          <w:sz w:val="32"/>
          <w:szCs w:val="32"/>
          <w:lang w:val="en-US" w:eastAsia="zh-CN"/>
        </w:rPr>
        <w:t>项目支出：指在基本支出之外为完成特定行政任务和事业发展目标所发生的支出。</w:t>
      </w:r>
    </w:p>
    <w:p w14:paraId="4C3F556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（十三）</w:t>
      </w:r>
      <w:r>
        <w:rPr>
          <w:rFonts w:hint="eastAsia" w:ascii="仿宋" w:hAnsi="仿宋" w:eastAsia="仿宋" w:cs="仿宋"/>
          <w:b w:val="0"/>
          <w:bCs w:val="0"/>
          <w:color w:val="000000"/>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5CA19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楷体_GB2312" w:hAnsi="楷体_GB2312" w:eastAsia="楷体_GB2312" w:cs="楷体_GB2312"/>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一般设备购置费、办公用房水电费以及其他费用。</w:t>
      </w:r>
    </w:p>
    <w:p w14:paraId="5C2B17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6FA434FA">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151F0BE3">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3D3EE0B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0D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C953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CC953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9E453"/>
    <w:multiLevelType w:val="singleLevel"/>
    <w:tmpl w:val="8419E453"/>
    <w:lvl w:ilvl="0" w:tentative="0">
      <w:start w:val="2"/>
      <w:numFmt w:val="chineseCounting"/>
      <w:suff w:val="nothing"/>
      <w:lvlText w:val="（%1）"/>
      <w:lvlJc w:val="left"/>
      <w:rPr>
        <w:rFonts w:hint="eastAsia"/>
      </w:rPr>
    </w:lvl>
  </w:abstractNum>
  <w:abstractNum w:abstractNumId="1">
    <w:nsid w:val="C7D683AF"/>
    <w:multiLevelType w:val="singleLevel"/>
    <w:tmpl w:val="C7D683AF"/>
    <w:lvl w:ilvl="0" w:tentative="0">
      <w:start w:val="9"/>
      <w:numFmt w:val="chineseCounting"/>
      <w:suff w:val="nothing"/>
      <w:lvlText w:val="%1、"/>
      <w:lvlJc w:val="left"/>
      <w:rPr>
        <w:rFonts w:hint="eastAsia"/>
      </w:rPr>
    </w:lvl>
  </w:abstractNum>
  <w:abstractNum w:abstractNumId="2">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3">
    <w:nsid w:val="5E014214"/>
    <w:multiLevelType w:val="singleLevel"/>
    <w:tmpl w:val="5E014214"/>
    <w:lvl w:ilvl="0" w:tentative="0">
      <w:start w:val="3"/>
      <w:numFmt w:val="chineseCounting"/>
      <w:suff w:val="nothing"/>
      <w:lvlText w:val="%1、"/>
      <w:lvlJc w:val="left"/>
      <w:rPr>
        <w:rFonts w:hint="eastAsia"/>
      </w:rPr>
    </w:lvl>
  </w:abstractNum>
  <w:abstractNum w:abstractNumId="4">
    <w:nsid w:val="758D545B"/>
    <w:multiLevelType w:val="singleLevel"/>
    <w:tmpl w:val="758D545B"/>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000000"/>
    <w:rsid w:val="00621C19"/>
    <w:rsid w:val="012352D1"/>
    <w:rsid w:val="01527EDF"/>
    <w:rsid w:val="017E0CD4"/>
    <w:rsid w:val="08F438BE"/>
    <w:rsid w:val="0D6B5C68"/>
    <w:rsid w:val="0FD179CD"/>
    <w:rsid w:val="0FF97FE5"/>
    <w:rsid w:val="110034B4"/>
    <w:rsid w:val="130047EC"/>
    <w:rsid w:val="13A36145"/>
    <w:rsid w:val="15063063"/>
    <w:rsid w:val="1585042C"/>
    <w:rsid w:val="16677B31"/>
    <w:rsid w:val="1AA67475"/>
    <w:rsid w:val="1AD75285"/>
    <w:rsid w:val="1C1339B8"/>
    <w:rsid w:val="1F2D3175"/>
    <w:rsid w:val="1F7BF06F"/>
    <w:rsid w:val="1FEA15B7"/>
    <w:rsid w:val="1FEE4B73"/>
    <w:rsid w:val="22A20578"/>
    <w:rsid w:val="23CE9849"/>
    <w:rsid w:val="249917FE"/>
    <w:rsid w:val="2CEA4137"/>
    <w:rsid w:val="313F54DB"/>
    <w:rsid w:val="344D555F"/>
    <w:rsid w:val="368943BF"/>
    <w:rsid w:val="39F304DD"/>
    <w:rsid w:val="3B1D688D"/>
    <w:rsid w:val="3ECB6600"/>
    <w:rsid w:val="3F261E1A"/>
    <w:rsid w:val="3FE536F1"/>
    <w:rsid w:val="411029F0"/>
    <w:rsid w:val="45194C57"/>
    <w:rsid w:val="45F4643C"/>
    <w:rsid w:val="461005F2"/>
    <w:rsid w:val="4668272B"/>
    <w:rsid w:val="48D507A7"/>
    <w:rsid w:val="49B93C25"/>
    <w:rsid w:val="4EC312BB"/>
    <w:rsid w:val="4FC9093A"/>
    <w:rsid w:val="53055B12"/>
    <w:rsid w:val="53E75832"/>
    <w:rsid w:val="54244390"/>
    <w:rsid w:val="545A6004"/>
    <w:rsid w:val="54662A63"/>
    <w:rsid w:val="54745318"/>
    <w:rsid w:val="54EC18D4"/>
    <w:rsid w:val="58064E12"/>
    <w:rsid w:val="5BFEE015"/>
    <w:rsid w:val="60B371C8"/>
    <w:rsid w:val="61F44587"/>
    <w:rsid w:val="62012616"/>
    <w:rsid w:val="62546364"/>
    <w:rsid w:val="628D3A49"/>
    <w:rsid w:val="63EDCF55"/>
    <w:rsid w:val="63FBFBCF"/>
    <w:rsid w:val="657B5DDA"/>
    <w:rsid w:val="658600E3"/>
    <w:rsid w:val="669360FD"/>
    <w:rsid w:val="67F500C6"/>
    <w:rsid w:val="68FF6A83"/>
    <w:rsid w:val="6FBBC9CF"/>
    <w:rsid w:val="71771B4C"/>
    <w:rsid w:val="72513ACB"/>
    <w:rsid w:val="72BDE561"/>
    <w:rsid w:val="74C74B98"/>
    <w:rsid w:val="78462278"/>
    <w:rsid w:val="78615304"/>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0"/>
      <w:ind w:firstLine="420" w:firstLineChars="200"/>
    </w:pPr>
    <w:rPr>
      <w:sz w:val="32"/>
    </w:rPr>
  </w:style>
  <w:style w:type="paragraph" w:styleId="3">
    <w:name w:val="Body Text Indent"/>
    <w:basedOn w:val="1"/>
    <w:autoRedefine/>
    <w:qFormat/>
    <w:uiPriority w:val="0"/>
    <w:pPr>
      <w:spacing w:after="120"/>
      <w:ind w:left="420" w:left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before="0" w:after="140" w:line="276" w:lineRule="auto"/>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autoRedefine/>
    <w:qFormat/>
    <w:uiPriority w:val="0"/>
  </w:style>
  <w:style w:type="paragraph" w:styleId="10">
    <w:name w:val="table of figures"/>
    <w:basedOn w:val="1"/>
    <w:next w:val="1"/>
    <w:autoRedefine/>
    <w:qFormat/>
    <w:uiPriority w:val="0"/>
    <w:pPr>
      <w:ind w:left="200" w:leftChars="200" w:hanging="200" w:hangingChars="200"/>
    </w:pPr>
  </w:style>
  <w:style w:type="paragraph" w:styleId="11">
    <w:name w:val="Normal (Web)"/>
    <w:basedOn w:val="1"/>
    <w:autoRedefine/>
    <w:qFormat/>
    <w:uiPriority w:val="0"/>
    <w:rPr>
      <w:sz w:val="24"/>
    </w:rPr>
  </w:style>
  <w:style w:type="paragraph" w:styleId="12">
    <w:name w:val="Body Text First Indent"/>
    <w:basedOn w:val="6"/>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character" w:customStyle="1" w:styleId="15">
    <w:name w:val="默认段落字体1"/>
    <w:autoRedefine/>
    <w:qFormat/>
    <w:uiPriority w:val="0"/>
  </w:style>
  <w:style w:type="paragraph" w:customStyle="1" w:styleId="16">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 w:type="paragraph" w:customStyle="1" w:styleId="18">
    <w:name w:val="table of figures1"/>
    <w:basedOn w:val="1"/>
    <w:next w:val="1"/>
    <w:autoRedefine/>
    <w:qFormat/>
    <w:uiPriority w:val="99"/>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4570</Words>
  <Characters>5361</Characters>
  <TotalTime>21</TotalTime>
  <ScaleCrop>false</ScaleCrop>
  <LinksUpToDate>false</LinksUpToDate>
  <CharactersWithSpaces>5364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2025-11-03T01:20:46Z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2702901DB4B64AF6B4E87FCA08B765CA_13</vt:lpwstr>
  </property>
  <property fmtid="{D5CDD505-2E9C-101B-9397-08002B2CF9AE}" pid="4" name="KSOTemplateDocerSaveRecord">
    <vt:lpwstr>eyJoZGlkIjoiMGVhYTg4NGNkZWJkODFjNzcyZDRjM2M4Y2UzNjI5ZmUiLCJ1c2VySWQiOiI2MTE2MzEwMDYifQ==</vt:lpwstr>
  </property>
</Properties>
</file>