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986F6">
      <w:pPr>
        <w:spacing w:line="600" w:lineRule="exact"/>
        <w:jc w:val="center"/>
        <w:outlineLvl w:val="0"/>
        <w:rPr>
          <w:rFonts w:ascii="Times New Roman" w:hAnsi="Times New Roman" w:eastAsia="方正小标宋简体"/>
          <w:sz w:val="72"/>
          <w:szCs w:val="72"/>
        </w:rPr>
      </w:pPr>
      <w:bookmarkStart w:id="0" w:name="_Toc15306267"/>
      <w:bookmarkStart w:id="107" w:name="_GoBack"/>
      <w:bookmarkEnd w:id="107"/>
    </w:p>
    <w:p w14:paraId="1C84492D">
      <w:pPr>
        <w:spacing w:line="600" w:lineRule="exact"/>
        <w:jc w:val="center"/>
        <w:outlineLvl w:val="0"/>
        <w:rPr>
          <w:rFonts w:ascii="Times New Roman" w:hAnsi="Times New Roman" w:eastAsia="方正小标宋简体"/>
          <w:sz w:val="72"/>
          <w:szCs w:val="72"/>
        </w:rPr>
      </w:pPr>
    </w:p>
    <w:p w14:paraId="3361DCDD">
      <w:pPr>
        <w:spacing w:line="600" w:lineRule="exact"/>
        <w:jc w:val="center"/>
        <w:outlineLvl w:val="0"/>
        <w:rPr>
          <w:rFonts w:ascii="Times New Roman" w:hAnsi="Times New Roman" w:eastAsia="方正小标宋简体"/>
          <w:sz w:val="72"/>
          <w:szCs w:val="72"/>
        </w:rPr>
      </w:pPr>
    </w:p>
    <w:p w14:paraId="1583BFA2">
      <w:pPr>
        <w:spacing w:line="600" w:lineRule="exact"/>
        <w:jc w:val="center"/>
        <w:outlineLvl w:val="0"/>
        <w:rPr>
          <w:rFonts w:ascii="Times New Roman" w:hAnsi="Times New Roman" w:eastAsia="方正小标宋简体"/>
          <w:sz w:val="72"/>
          <w:szCs w:val="72"/>
        </w:rPr>
      </w:pPr>
    </w:p>
    <w:p w14:paraId="57EA39C1">
      <w:pPr>
        <w:adjustRightInd w:val="0"/>
        <w:snapToGrid w:val="0"/>
        <w:spacing w:line="360" w:lineRule="auto"/>
        <w:jc w:val="center"/>
        <w:outlineLvl w:val="0"/>
        <w:rPr>
          <w:rFonts w:ascii="Times New Roman" w:hAnsi="Times New Roman" w:eastAsia="方正小标宋简体" w:cs="方正小标宋简体"/>
          <w:sz w:val="72"/>
          <w:szCs w:val="72"/>
        </w:rPr>
      </w:pPr>
      <w:bookmarkStart w:id="1" w:name="_Toc15396475"/>
      <w:bookmarkStart w:id="2" w:name="_Toc15378441"/>
      <w:bookmarkStart w:id="3" w:name="_Toc15396597"/>
      <w:bookmarkStart w:id="4" w:name="_Toc15377193"/>
      <w:bookmarkStart w:id="5" w:name="_Toc3930"/>
      <w:bookmarkStart w:id="6" w:name="_Toc15377425"/>
      <w:r>
        <w:rPr>
          <w:rFonts w:hint="eastAsia" w:ascii="Times New Roman" w:hAnsi="Times New Roman" w:eastAsia="方正小标宋简体" w:cs="方正小标宋简体"/>
          <w:sz w:val="72"/>
          <w:szCs w:val="72"/>
        </w:rPr>
        <w:t>2021年度</w:t>
      </w:r>
      <w:bookmarkEnd w:id="1"/>
      <w:bookmarkEnd w:id="2"/>
      <w:bookmarkEnd w:id="3"/>
      <w:bookmarkEnd w:id="4"/>
      <w:bookmarkEnd w:id="5"/>
      <w:bookmarkEnd w:id="6"/>
    </w:p>
    <w:p w14:paraId="40C8B691">
      <w:pPr>
        <w:adjustRightInd w:val="0"/>
        <w:snapToGrid w:val="0"/>
        <w:spacing w:line="360" w:lineRule="auto"/>
        <w:jc w:val="center"/>
        <w:outlineLvl w:val="0"/>
        <w:rPr>
          <w:rFonts w:hint="eastAsia" w:ascii="Times New Roman" w:hAnsi="Times New Roman" w:eastAsia="方正小标宋简体" w:cs="方正小标宋简体"/>
          <w:w w:val="80"/>
          <w:sz w:val="72"/>
          <w:szCs w:val="72"/>
        </w:rPr>
      </w:pPr>
      <w:bookmarkStart w:id="7" w:name="_Toc15378442"/>
      <w:bookmarkStart w:id="8" w:name="_Toc15377426"/>
      <w:bookmarkStart w:id="9" w:name="_Toc15396476"/>
      <w:bookmarkStart w:id="10" w:name="_Toc15396598"/>
      <w:bookmarkStart w:id="11" w:name="_Toc15377194"/>
      <w:bookmarkStart w:id="12" w:name="_Toc31109"/>
      <w:r>
        <w:rPr>
          <w:rFonts w:hint="eastAsia" w:ascii="Times New Roman" w:hAnsi="Times New Roman" w:eastAsia="方正小标宋简体" w:cs="方正小标宋简体"/>
          <w:w w:val="80"/>
          <w:sz w:val="72"/>
          <w:szCs w:val="72"/>
        </w:rPr>
        <w:t>四川省</w:t>
      </w:r>
      <w:bookmarkEnd w:id="0"/>
      <w:bookmarkStart w:id="13" w:name="_Toc15306268"/>
      <w:r>
        <w:rPr>
          <w:rFonts w:hint="eastAsia" w:ascii="Times New Roman" w:hAnsi="Times New Roman" w:eastAsia="方正小标宋简体" w:cs="方正小标宋简体"/>
          <w:w w:val="80"/>
          <w:sz w:val="72"/>
          <w:szCs w:val="72"/>
        </w:rPr>
        <w:t>广元市昭化区应急管理局</w:t>
      </w:r>
    </w:p>
    <w:p w14:paraId="27715992">
      <w:pPr>
        <w:adjustRightInd w:val="0"/>
        <w:snapToGrid w:val="0"/>
        <w:spacing w:line="360" w:lineRule="auto"/>
        <w:jc w:val="center"/>
        <w:outlineLvl w:val="0"/>
        <w:rPr>
          <w:rFonts w:hint="eastAsia"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单位决算</w:t>
      </w:r>
      <w:bookmarkEnd w:id="7"/>
      <w:bookmarkEnd w:id="8"/>
      <w:bookmarkEnd w:id="9"/>
      <w:bookmarkEnd w:id="10"/>
      <w:bookmarkEnd w:id="11"/>
      <w:bookmarkEnd w:id="13"/>
      <w:r>
        <w:rPr>
          <w:rFonts w:hint="eastAsia" w:ascii="Times New Roman" w:hAnsi="Times New Roman" w:eastAsia="方正小标宋简体" w:cs="方正小标宋简体"/>
          <w:sz w:val="72"/>
          <w:szCs w:val="72"/>
        </w:rPr>
        <w:t>公开</w:t>
      </w:r>
      <w:r>
        <w:rPr>
          <w:rFonts w:ascii="Times New Roman" w:hAnsi="Times New Roman" w:eastAsia="方正小标宋简体" w:cs="方正小标宋简体"/>
          <w:sz w:val="72"/>
          <w:szCs w:val="72"/>
        </w:rPr>
        <w:t>说明</w:t>
      </w:r>
      <w:bookmarkEnd w:id="12"/>
    </w:p>
    <w:p w14:paraId="32389E4A">
      <w:pPr>
        <w:widowControl/>
        <w:jc w:val="center"/>
        <w:rPr>
          <w:rFonts w:hint="eastAsia" w:ascii="Times New Roman" w:hAnsi="Times New Roman" w:eastAsia="黑体"/>
          <w:sz w:val="48"/>
          <w:szCs w:val="48"/>
        </w:rPr>
        <w:sectPr>
          <w:headerReference r:id="rId3" w:type="default"/>
          <w:footerReference r:id="rId4" w:type="default"/>
          <w:pgSz w:w="11906" w:h="16838"/>
          <w:pgMar w:top="1587" w:right="1474" w:bottom="1417" w:left="1587" w:header="851" w:footer="1134" w:gutter="0"/>
          <w:pgNumType w:start="1"/>
          <w:cols w:space="0" w:num="1"/>
          <w:titlePg/>
          <w:rtlGutter w:val="0"/>
          <w:docGrid w:type="lines" w:linePitch="312" w:charSpace="0"/>
        </w:sectPr>
      </w:pPr>
    </w:p>
    <w:p w14:paraId="7F0A051E">
      <w:pPr>
        <w:widowControl/>
        <w:jc w:val="center"/>
        <w:rPr>
          <w:rFonts w:ascii="Times New Roman" w:hAnsi="Times New Roman" w:eastAsia="黑体"/>
          <w:sz w:val="48"/>
          <w:szCs w:val="48"/>
        </w:rPr>
      </w:pPr>
      <w:r>
        <w:rPr>
          <w:rFonts w:hint="eastAsia" w:ascii="Times New Roman" w:hAnsi="Times New Roman" w:eastAsia="黑体"/>
          <w:sz w:val="48"/>
          <w:szCs w:val="48"/>
        </w:rPr>
        <w:t>目</w:t>
      </w:r>
      <w:r>
        <w:rPr>
          <w:rFonts w:hint="eastAsia" w:ascii="Times New Roman" w:hAnsi="Times New Roman" w:eastAsia="黑体"/>
          <w:sz w:val="48"/>
          <w:szCs w:val="48"/>
          <w:lang w:val="en-US" w:eastAsia="zh-CN"/>
        </w:rPr>
        <w:t xml:space="preserve">    </w:t>
      </w:r>
      <w:r>
        <w:rPr>
          <w:rFonts w:hint="eastAsia" w:ascii="Times New Roman" w:hAnsi="Times New Roman" w:eastAsia="黑体"/>
          <w:sz w:val="48"/>
          <w:szCs w:val="48"/>
        </w:rPr>
        <w:t>录</w:t>
      </w:r>
    </w:p>
    <w:p w14:paraId="159CF8AB">
      <w:pPr>
        <w:pStyle w:val="10"/>
        <w:jc w:val="both"/>
        <w:rPr>
          <w:rFonts w:ascii="Times New Roman" w:hAnsi="Times New Roman"/>
        </w:rPr>
      </w:pPr>
    </w:p>
    <w:p w14:paraId="372DB58D">
      <w:pPr>
        <w:pStyle w:val="10"/>
        <w:tabs>
          <w:tab w:val="right" w:leader="middleDot" w:pos="8845"/>
          <w:tab w:val="clear" w:pos="8296"/>
        </w:tabs>
        <w:rPr>
          <w:rFonts w:hint="eastAsia" w:ascii="Times New Roman" w:hAnsi="Times New Roman" w:eastAsia="黑体" w:cs="黑体"/>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TOC \o "1-2" \h \u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HYPERLINK \l _Toc8909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 xml:space="preserve">第一部分 </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单位</w:t>
      </w:r>
      <w:r>
        <w:rPr>
          <w:rFonts w:hint="eastAsia" w:ascii="Times New Roman" w:hAnsi="Times New Roman" w:eastAsia="黑体" w:cs="黑体"/>
          <w:bCs w:val="0"/>
          <w:sz w:val="32"/>
          <w:szCs w:val="32"/>
          <w:highlight w:val="none"/>
        </w:rPr>
        <w:t>概况</w:t>
      </w:r>
      <w:r>
        <w:rPr>
          <w:rFonts w:hint="eastAsia" w:ascii="Times New Roman" w:hAnsi="Times New Roman" w:eastAsia="黑体" w:cs="黑体"/>
          <w:sz w:val="32"/>
          <w:szCs w:val="32"/>
          <w:highlight w:val="none"/>
        </w:rPr>
        <w:tab/>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PAGEREF _Toc8909 \h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1</w:t>
      </w:r>
      <w:r>
        <w:rPr>
          <w:rFonts w:hint="eastAsia" w:ascii="Times New Roman" w:hAnsi="Times New Roman" w:eastAsia="黑体" w:cs="黑体"/>
          <w:sz w:val="32"/>
          <w:szCs w:val="32"/>
          <w:highlight w:val="none"/>
        </w:rPr>
        <w:fldChar w:fldCharType="end"/>
      </w:r>
      <w:r>
        <w:rPr>
          <w:rFonts w:hint="eastAsia" w:ascii="Times New Roman" w:hAnsi="Times New Roman" w:eastAsia="黑体" w:cs="黑体"/>
          <w:sz w:val="32"/>
          <w:szCs w:val="32"/>
          <w:highlight w:val="none"/>
        </w:rPr>
        <w:fldChar w:fldCharType="end"/>
      </w:r>
    </w:p>
    <w:p w14:paraId="4569DECC">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_Toc32133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bCs w:val="0"/>
          <w:sz w:val="32"/>
          <w:szCs w:val="32"/>
          <w:highlight w:val="none"/>
          <w:lang w:val="en-US" w:eastAsia="zh-CN"/>
        </w:rPr>
        <w:t>一、</w:t>
      </w:r>
      <w:r>
        <w:rPr>
          <w:rFonts w:hint="eastAsia" w:ascii="Times New Roman" w:hAnsi="Times New Roman" w:eastAsia="仿宋_GB2312" w:cs="仿宋_GB2312"/>
          <w:bCs w:val="0"/>
          <w:sz w:val="32"/>
          <w:szCs w:val="32"/>
          <w:highlight w:val="none"/>
        </w:rPr>
        <w:t>职能简介</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_Toc32133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08A9EC3">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_Toc32734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二、2021年重点工作完成情况</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_Toc32734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4</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4BB4C87">
      <w:pPr>
        <w:pStyle w:val="10"/>
        <w:tabs>
          <w:tab w:val="right" w:leader="middleDot" w:pos="8845"/>
          <w:tab w:val="clear" w:pos="8296"/>
        </w:tabs>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HYPERLINK \l _Toc16067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第二部分</w:t>
      </w:r>
      <w:r>
        <w:rPr>
          <w:rFonts w:hint="eastAsia" w:ascii="Times New Roman" w:hAnsi="Times New Roman" w:eastAsia="黑体" w:cs="黑体"/>
          <w:sz w:val="32"/>
          <w:szCs w:val="32"/>
          <w:highlight w:val="none"/>
          <w:lang w:val="en-US" w:eastAsia="zh-CN"/>
        </w:rPr>
        <w:t xml:space="preserve"> </w:t>
      </w:r>
      <w:r>
        <w:rPr>
          <w:rFonts w:hint="eastAsia" w:ascii="Times New Roman" w:hAnsi="Times New Roman" w:eastAsia="黑体" w:cs="黑体"/>
          <w:sz w:val="32"/>
          <w:szCs w:val="32"/>
          <w:highlight w:val="none"/>
        </w:rPr>
        <w:t xml:space="preserve"> 2021年度单位决算情况说明</w:t>
      </w:r>
      <w:r>
        <w:rPr>
          <w:rFonts w:hint="eastAsia" w:ascii="Times New Roman" w:hAnsi="Times New Roman" w:eastAsia="黑体" w:cs="黑体"/>
          <w:sz w:val="32"/>
          <w:szCs w:val="32"/>
          <w:highlight w:val="none"/>
        </w:rPr>
        <w:tab/>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PAGEREF _Toc16067 \h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8</w:t>
      </w:r>
      <w:r>
        <w:rPr>
          <w:rFonts w:hint="eastAsia" w:ascii="Times New Roman" w:hAnsi="Times New Roman" w:eastAsia="黑体" w:cs="黑体"/>
          <w:sz w:val="32"/>
          <w:szCs w:val="32"/>
          <w:highlight w:val="none"/>
        </w:rPr>
        <w:fldChar w:fldCharType="end"/>
      </w:r>
      <w:r>
        <w:rPr>
          <w:rFonts w:hint="eastAsia" w:ascii="Times New Roman" w:hAnsi="Times New Roman" w:eastAsia="黑体" w:cs="黑体"/>
          <w:sz w:val="32"/>
          <w:szCs w:val="32"/>
          <w:highlight w:val="none"/>
        </w:rPr>
        <w:fldChar w:fldCharType="end"/>
      </w:r>
    </w:p>
    <w:p w14:paraId="645C41B3">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_Toc30714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一、收入支出决算总体情况说明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_Toc30714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8</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DAF9CD4">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_Toc21397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二、收入决算情况说明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_Toc21397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9</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65A2DE74">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_Toc31856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三、支出决算情况说明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_Toc31856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9</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181FF29B">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_Toc20473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四、财政拨款收入支出决算总体情况说明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_Toc20473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10</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04650D27">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_Toc5115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五、一般公共预算财政拨款支出决算情况说明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_Toc5115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10</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57619C7C">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_Toc8330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六、一般公共预算财政拨款基本支出决算情况说明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_Toc8330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7BDD8895">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_Toc14026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七、“三公”经费财政拨款支出决算情况说明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_Toc14026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13</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342EF68">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_Toc12079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八、政府性基金预算支出决算情况说明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_Toc12079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15</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699735EA">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_Toc1991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九、</w:t>
      </w:r>
      <w:r>
        <w:rPr>
          <w:rFonts w:hint="eastAsia" w:ascii="Times New Roman" w:hAnsi="Times New Roman" w:eastAsia="仿宋_GB2312" w:cs="仿宋_GB2312"/>
          <w:sz w:val="32"/>
          <w:szCs w:val="32"/>
          <w:highlight w:val="none"/>
        </w:rPr>
        <w:t>国有资本经营预算支出决算情况说明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_Toc1991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15</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3DF4CC36">
      <w:pPr>
        <w:pStyle w:val="11"/>
        <w:tabs>
          <w:tab w:val="right" w:leader="middleDot" w:pos="8845"/>
          <w:tab w:val="clear" w:pos="8296"/>
        </w:tabs>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_Toc7960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w:t>
      </w:r>
      <w:r>
        <w:rPr>
          <w:rFonts w:hint="eastAsia" w:ascii="Times New Roman" w:hAnsi="Times New Roman" w:eastAsia="仿宋_GB2312" w:cs="仿宋_GB2312"/>
          <w:sz w:val="32"/>
          <w:szCs w:val="32"/>
          <w:highlight w:val="none"/>
        </w:rPr>
        <w:t>预算绩效管理情况</w:t>
      </w:r>
      <w:r>
        <w:rPr>
          <w:rFonts w:hint="eastAsia" w:ascii="Times New Roman" w:hAnsi="Times New Roman" w:eastAsia="仿宋_GB2312" w:cs="仿宋_GB2312"/>
          <w:sz w:val="32"/>
          <w:szCs w:val="32"/>
          <w:highlight w:val="none"/>
        </w:rPr>
        <w:tab/>
      </w:r>
      <w:r>
        <w:rPr>
          <w:rFonts w:hint="eastAsia"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fldChar w:fldCharType="end"/>
      </w:r>
      <w:r>
        <w:rPr>
          <w:rFonts w:hint="eastAsia" w:eastAsia="仿宋_GB2312" w:cs="仿宋_GB2312"/>
          <w:sz w:val="32"/>
          <w:szCs w:val="32"/>
          <w:highlight w:val="none"/>
          <w:lang w:val="en-US" w:eastAsia="zh-CN"/>
        </w:rPr>
        <w:t>5</w:t>
      </w:r>
    </w:p>
    <w:p w14:paraId="742D0C2C">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_Toc643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十一、</w:t>
      </w:r>
      <w:r>
        <w:rPr>
          <w:rFonts w:hint="eastAsia" w:ascii="Times New Roman" w:hAnsi="Times New Roman" w:eastAsia="仿宋_GB2312" w:cs="仿宋_GB2312"/>
          <w:sz w:val="32"/>
          <w:szCs w:val="32"/>
          <w:highlight w:val="none"/>
        </w:rPr>
        <w:t>其他重要事项的情况说明</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_Toc643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15</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626F8803">
      <w:pPr>
        <w:pStyle w:val="10"/>
        <w:tabs>
          <w:tab w:val="right" w:leader="middleDot" w:pos="8845"/>
          <w:tab w:val="clear" w:pos="8296"/>
        </w:tabs>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HYPERLINK \l _Toc30233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lang w:val="en-US" w:eastAsia="zh-CN"/>
        </w:rPr>
        <w:t xml:space="preserve">第三部分  </w:t>
      </w:r>
      <w:r>
        <w:rPr>
          <w:rFonts w:hint="eastAsia" w:ascii="Times New Roman" w:hAnsi="Times New Roman" w:eastAsia="黑体" w:cs="黑体"/>
          <w:sz w:val="32"/>
          <w:szCs w:val="32"/>
          <w:highlight w:val="none"/>
        </w:rPr>
        <w:t>名词解释</w:t>
      </w:r>
      <w:r>
        <w:rPr>
          <w:rFonts w:hint="eastAsia" w:ascii="Times New Roman" w:hAnsi="Times New Roman" w:eastAsia="黑体" w:cs="黑体"/>
          <w:sz w:val="32"/>
          <w:szCs w:val="32"/>
          <w:highlight w:val="none"/>
        </w:rPr>
        <w:tab/>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PAGEREF _Toc30233 \h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16</w:t>
      </w:r>
      <w:r>
        <w:rPr>
          <w:rFonts w:hint="eastAsia" w:ascii="Times New Roman" w:hAnsi="Times New Roman" w:eastAsia="黑体" w:cs="黑体"/>
          <w:sz w:val="32"/>
          <w:szCs w:val="32"/>
          <w:highlight w:val="none"/>
        </w:rPr>
        <w:fldChar w:fldCharType="end"/>
      </w:r>
      <w:r>
        <w:rPr>
          <w:rFonts w:hint="eastAsia" w:ascii="Times New Roman" w:hAnsi="Times New Roman" w:eastAsia="黑体" w:cs="黑体"/>
          <w:sz w:val="32"/>
          <w:szCs w:val="32"/>
          <w:highlight w:val="none"/>
        </w:rPr>
        <w:fldChar w:fldCharType="end"/>
      </w:r>
    </w:p>
    <w:p w14:paraId="4F926369">
      <w:pPr>
        <w:pStyle w:val="10"/>
        <w:tabs>
          <w:tab w:val="right" w:leader="middleDot" w:pos="8845"/>
          <w:tab w:val="clear" w:pos="8296"/>
        </w:tabs>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HYPERLINK \l _Toc13316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lang w:val="en-US" w:eastAsia="zh-CN"/>
        </w:rPr>
        <w:t>第四部分  附件</w:t>
      </w:r>
      <w:r>
        <w:rPr>
          <w:rFonts w:hint="eastAsia" w:ascii="Times New Roman" w:hAnsi="Times New Roman" w:eastAsia="黑体" w:cs="黑体"/>
          <w:sz w:val="32"/>
          <w:szCs w:val="32"/>
          <w:highlight w:val="none"/>
        </w:rPr>
        <w:tab/>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PAGEREF _Toc13316 \h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18</w:t>
      </w:r>
      <w:r>
        <w:rPr>
          <w:rFonts w:hint="eastAsia" w:ascii="Times New Roman" w:hAnsi="Times New Roman" w:eastAsia="黑体" w:cs="黑体"/>
          <w:sz w:val="32"/>
          <w:szCs w:val="32"/>
          <w:highlight w:val="none"/>
        </w:rPr>
        <w:fldChar w:fldCharType="end"/>
      </w:r>
      <w:r>
        <w:rPr>
          <w:rFonts w:hint="eastAsia" w:ascii="Times New Roman" w:hAnsi="Times New Roman" w:eastAsia="黑体" w:cs="黑体"/>
          <w:sz w:val="32"/>
          <w:szCs w:val="32"/>
          <w:highlight w:val="none"/>
        </w:rPr>
        <w:fldChar w:fldCharType="end"/>
      </w:r>
    </w:p>
    <w:p w14:paraId="169FE8AC">
      <w:pPr>
        <w:pStyle w:val="10"/>
        <w:tabs>
          <w:tab w:val="right" w:leader="middleDot" w:pos="8845"/>
          <w:tab w:val="clear" w:pos="8296"/>
        </w:tabs>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HYPERLINK \l _Toc4604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lang w:val="en-US" w:eastAsia="zh-CN"/>
        </w:rPr>
        <w:t>第五部分  附表</w:t>
      </w:r>
      <w:r>
        <w:rPr>
          <w:rFonts w:hint="eastAsia" w:ascii="Times New Roman" w:hAnsi="Times New Roman" w:eastAsia="黑体" w:cs="黑体"/>
          <w:sz w:val="32"/>
          <w:szCs w:val="32"/>
          <w:highlight w:val="none"/>
        </w:rPr>
        <w:tab/>
      </w:r>
      <w:r>
        <w:rPr>
          <w:rFonts w:hint="eastAsia" w:ascii="Times New Roman" w:hAnsi="Times New Roman" w:eastAsia="黑体" w:cs="黑体"/>
          <w:sz w:val="32"/>
          <w:szCs w:val="32"/>
          <w:highlight w:val="none"/>
        </w:rPr>
        <w:fldChar w:fldCharType="begin"/>
      </w:r>
      <w:r>
        <w:rPr>
          <w:rFonts w:hint="eastAsia" w:ascii="Times New Roman" w:hAnsi="Times New Roman" w:eastAsia="黑体" w:cs="黑体"/>
          <w:sz w:val="32"/>
          <w:szCs w:val="32"/>
          <w:highlight w:val="none"/>
        </w:rPr>
        <w:instrText xml:space="preserve"> PAGEREF _Toc4604 \h </w:instrText>
      </w:r>
      <w:r>
        <w:rPr>
          <w:rFonts w:hint="eastAsia" w:ascii="Times New Roman" w:hAnsi="Times New Roman" w:eastAsia="黑体" w:cs="黑体"/>
          <w:sz w:val="32"/>
          <w:szCs w:val="32"/>
          <w:highlight w:val="none"/>
        </w:rPr>
        <w:fldChar w:fldCharType="separate"/>
      </w:r>
      <w:r>
        <w:rPr>
          <w:rFonts w:hint="eastAsia" w:ascii="Times New Roman" w:hAnsi="Times New Roman" w:eastAsia="黑体" w:cs="黑体"/>
          <w:sz w:val="32"/>
          <w:szCs w:val="32"/>
          <w:highlight w:val="none"/>
        </w:rPr>
        <w:t>22</w:t>
      </w:r>
      <w:r>
        <w:rPr>
          <w:rFonts w:hint="eastAsia" w:ascii="Times New Roman" w:hAnsi="Times New Roman" w:eastAsia="黑体" w:cs="黑体"/>
          <w:sz w:val="32"/>
          <w:szCs w:val="32"/>
          <w:highlight w:val="none"/>
        </w:rPr>
        <w:fldChar w:fldCharType="end"/>
      </w:r>
      <w:r>
        <w:rPr>
          <w:rFonts w:hint="eastAsia" w:ascii="Times New Roman" w:hAnsi="Times New Roman" w:eastAsia="黑体" w:cs="黑体"/>
          <w:sz w:val="32"/>
          <w:szCs w:val="32"/>
          <w:highlight w:val="none"/>
        </w:rPr>
        <w:fldChar w:fldCharType="end"/>
      </w:r>
    </w:p>
    <w:p w14:paraId="79FD64D7">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_Toc8253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一、收入支出决算总表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_Toc8253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214BE55C">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_Toc30281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二、收入决算表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_Toc30281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54A0630">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_Toc12712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三、支出决算表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_Toc12712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4D99650A">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_Toc18230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四、财政拨款收入支出决算总表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_Toc18230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0FD16591">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_Toc28416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五、财政拨款支出决算明细表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_Toc28416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08E5529C">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_Toc16373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六、一般公共预算财政拨款支出决算表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_Toc16373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27631CF1">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_Toc12047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七、一般公共预算财政拨款支出决算明细表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_Toc12047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325A5D32">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_Toc19202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八、一般公共预算财政拨款基本支出决算表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_Toc19202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2CF341DF">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_Toc19924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九、一般公共预算财政拨款项目支出决算表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_Toc19924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27032E75">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_Toc18960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十、一般公共预算财政拨款“三公”经费支出决算表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_Toc18960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59A96324">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_Toc27962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十一、政府性基金预算财政拨款收入支出决算表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_Toc27962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0179160D">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_Toc2642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十二、政府性基金预算财政拨款“三公”经费支出决算表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_Toc2642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7896A8E7">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_Toc29877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十三、国有资本经营预算财政拨款收入支出决算表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_Toc29877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666C61E2">
      <w:pPr>
        <w:pStyle w:val="11"/>
        <w:tabs>
          <w:tab w:val="right" w:leader="middleDot" w:pos="8845"/>
          <w:tab w:val="clear" w:pos="8296"/>
        </w:tabs>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HYPERLINK \l _Toc12343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lang w:val="en-US" w:eastAsia="zh-CN"/>
        </w:rPr>
        <w:t>十四、国有资本经营预算财政拨款支出决算表</w:t>
      </w:r>
      <w:r>
        <w:rPr>
          <w:rFonts w:hint="eastAsia" w:ascii="Times New Roman" w:hAnsi="Times New Roman" w:eastAsia="仿宋_GB2312" w:cs="仿宋_GB2312"/>
          <w:sz w:val="32"/>
          <w:szCs w:val="32"/>
          <w:highlight w:val="none"/>
        </w:rPr>
        <w:tab/>
      </w:r>
      <w:r>
        <w:rPr>
          <w:rFonts w:hint="eastAsia" w:ascii="Times New Roman" w:hAnsi="Times New Roman" w:eastAsia="仿宋_GB2312" w:cs="仿宋_GB2312"/>
          <w:sz w:val="32"/>
          <w:szCs w:val="32"/>
          <w:highlight w:val="none"/>
        </w:rPr>
        <w:fldChar w:fldCharType="begin"/>
      </w:r>
      <w:r>
        <w:rPr>
          <w:rFonts w:hint="eastAsia" w:ascii="Times New Roman" w:hAnsi="Times New Roman" w:eastAsia="仿宋_GB2312" w:cs="仿宋_GB2312"/>
          <w:sz w:val="32"/>
          <w:szCs w:val="32"/>
          <w:highlight w:val="none"/>
        </w:rPr>
        <w:instrText xml:space="preserve"> PAGEREF _Toc12343 \h </w:instrText>
      </w:r>
      <w:r>
        <w:rPr>
          <w:rFonts w:hint="eastAsia" w:ascii="Times New Roman" w:hAnsi="Times New Roman" w:eastAsia="仿宋_GB2312" w:cs="仿宋_GB2312"/>
          <w:sz w:val="32"/>
          <w:szCs w:val="32"/>
          <w:highlight w:val="none"/>
        </w:rPr>
        <w:fldChar w:fldCharType="separate"/>
      </w:r>
      <w:r>
        <w:rPr>
          <w:rFonts w:hint="eastAsia" w:ascii="Times New Roman" w:hAnsi="Times New Roman" w:eastAsia="仿宋_GB2312" w:cs="仿宋_GB2312"/>
          <w:sz w:val="32"/>
          <w:szCs w:val="32"/>
          <w:highlight w:val="none"/>
        </w:rPr>
        <w:t>22</w:t>
      </w:r>
      <w:r>
        <w:rPr>
          <w:rFonts w:hint="eastAsia" w:ascii="Times New Roman" w:hAnsi="Times New Roman" w:eastAsia="仿宋_GB2312" w:cs="仿宋_GB2312"/>
          <w:sz w:val="32"/>
          <w:szCs w:val="32"/>
          <w:highlight w:val="none"/>
        </w:rPr>
        <w:fldChar w:fldCharType="end"/>
      </w:r>
      <w:r>
        <w:rPr>
          <w:rFonts w:hint="eastAsia" w:ascii="Times New Roman" w:hAnsi="Times New Roman" w:eastAsia="仿宋_GB2312" w:cs="仿宋_GB2312"/>
          <w:sz w:val="32"/>
          <w:szCs w:val="32"/>
          <w:highlight w:val="none"/>
        </w:rPr>
        <w:fldChar w:fldCharType="end"/>
      </w:r>
    </w:p>
    <w:p w14:paraId="50668817">
      <w:pPr>
        <w:rPr>
          <w:rFonts w:ascii="Times New Roman" w:hAnsi="Times New Roman"/>
          <w:highlight w:val="none"/>
        </w:rPr>
      </w:pPr>
      <w:r>
        <w:rPr>
          <w:rFonts w:hint="eastAsia" w:ascii="Times New Roman" w:hAnsi="Times New Roman" w:eastAsia="仿宋_GB2312" w:cs="仿宋_GB2312"/>
          <w:sz w:val="32"/>
          <w:szCs w:val="32"/>
          <w:highlight w:val="none"/>
        </w:rPr>
        <w:fldChar w:fldCharType="end"/>
      </w:r>
    </w:p>
    <w:p w14:paraId="291A4802">
      <w:pPr>
        <w:rPr>
          <w:rFonts w:ascii="Times New Roman" w:hAnsi="Times New Roman"/>
          <w:highlight w:val="none"/>
        </w:rPr>
      </w:pPr>
    </w:p>
    <w:p w14:paraId="7716063D">
      <w:pPr>
        <w:widowControl/>
        <w:adjustRightInd w:val="0"/>
        <w:snapToGrid w:val="0"/>
        <w:spacing w:line="440" w:lineRule="exact"/>
        <w:ind w:firstLine="1320" w:firstLineChars="550"/>
        <w:jc w:val="left"/>
        <w:rPr>
          <w:rFonts w:ascii="Times New Roman" w:hAnsi="Times New Roman" w:eastAsia="仿宋"/>
          <w:sz w:val="24"/>
          <w:highlight w:val="none"/>
        </w:rPr>
      </w:pPr>
      <w:bookmarkStart w:id="14" w:name="_Toc15396599"/>
      <w:bookmarkStart w:id="15" w:name="_Toc15377196"/>
    </w:p>
    <w:p w14:paraId="48AD2D10">
      <w:pPr>
        <w:pStyle w:val="3"/>
        <w:pageBreakBefore w:val="0"/>
        <w:kinsoku/>
        <w:wordWrap/>
        <w:overflowPunct/>
        <w:topLinePunct w:val="0"/>
        <w:bidi w:val="0"/>
        <w:spacing w:before="0" w:after="0" w:line="576" w:lineRule="exact"/>
        <w:jc w:val="center"/>
        <w:textAlignment w:val="auto"/>
        <w:rPr>
          <w:rFonts w:hint="eastAsia" w:ascii="Times New Roman" w:hAnsi="Times New Roman" w:eastAsia="黑体"/>
          <w:b w:val="0"/>
          <w:highlight w:val="none"/>
        </w:rPr>
        <w:sectPr>
          <w:footerReference r:id="rId6" w:type="first"/>
          <w:footerReference r:id="rId5" w:type="default"/>
          <w:pgSz w:w="11906" w:h="16838"/>
          <w:pgMar w:top="1587" w:right="1474" w:bottom="1417" w:left="1587" w:header="851" w:footer="1134" w:gutter="0"/>
          <w:pgNumType w:start="1"/>
          <w:cols w:space="0" w:num="1"/>
          <w:rtlGutter w:val="0"/>
          <w:docGrid w:type="lines" w:linePitch="312" w:charSpace="0"/>
        </w:sectPr>
      </w:pPr>
      <w:bookmarkStart w:id="16" w:name="_Toc8909"/>
    </w:p>
    <w:p w14:paraId="6955DB40">
      <w:pPr>
        <w:pStyle w:val="3"/>
        <w:pageBreakBefore w:val="0"/>
        <w:kinsoku/>
        <w:wordWrap/>
        <w:overflowPunct/>
        <w:topLinePunct w:val="0"/>
        <w:bidi w:val="0"/>
        <w:spacing w:before="0" w:after="0" w:line="576" w:lineRule="exact"/>
        <w:jc w:val="center"/>
        <w:textAlignment w:val="auto"/>
        <w:rPr>
          <w:rStyle w:val="24"/>
          <w:rFonts w:ascii="Times New Roman" w:hAnsi="Times New Roman" w:eastAsia="黑体"/>
          <w:b/>
          <w:bCs w:val="0"/>
        </w:rPr>
      </w:pPr>
      <w:r>
        <w:rPr>
          <w:rFonts w:hint="eastAsia" w:ascii="Times New Roman" w:hAnsi="Times New Roman" w:eastAsia="黑体"/>
          <w:b w:val="0"/>
        </w:rPr>
        <w:t xml:space="preserve">第一部分 </w:t>
      </w:r>
      <w:r>
        <w:rPr>
          <w:rFonts w:hint="eastAsia" w:ascii="Times New Roman" w:hAnsi="Times New Roman" w:eastAsia="黑体"/>
          <w:b w:val="0"/>
          <w:lang w:val="en-US" w:eastAsia="zh-CN"/>
        </w:rPr>
        <w:t xml:space="preserve"> </w:t>
      </w:r>
      <w:r>
        <w:rPr>
          <w:rFonts w:hint="eastAsia" w:ascii="Times New Roman" w:hAnsi="Times New Roman" w:eastAsia="黑体"/>
          <w:b w:val="0"/>
        </w:rPr>
        <w:t>单位</w:t>
      </w:r>
      <w:r>
        <w:rPr>
          <w:rStyle w:val="24"/>
          <w:rFonts w:hint="eastAsia" w:ascii="Times New Roman" w:hAnsi="Times New Roman" w:eastAsia="黑体"/>
          <w:b w:val="0"/>
          <w:bCs w:val="0"/>
        </w:rPr>
        <w:t>概况</w:t>
      </w:r>
      <w:bookmarkEnd w:id="14"/>
      <w:bookmarkEnd w:id="15"/>
      <w:bookmarkEnd w:id="16"/>
    </w:p>
    <w:p w14:paraId="5E7C2BEF">
      <w:pPr>
        <w:pStyle w:val="4"/>
        <w:pageBreakBefore w:val="0"/>
        <w:numPr>
          <w:ilvl w:val="0"/>
          <w:numId w:val="0"/>
        </w:numPr>
        <w:kinsoku/>
        <w:wordWrap/>
        <w:overflowPunct/>
        <w:topLinePunct w:val="0"/>
        <w:bidi w:val="0"/>
        <w:spacing w:before="0" w:after="0" w:line="576" w:lineRule="exact"/>
        <w:ind w:firstLine="640" w:firstLineChars="200"/>
        <w:textAlignment w:val="auto"/>
        <w:rPr>
          <w:rStyle w:val="25"/>
          <w:rFonts w:hint="eastAsia" w:ascii="Times New Roman" w:hAnsi="Times New Roman" w:eastAsia="黑体"/>
          <w:b w:val="0"/>
          <w:bCs w:val="0"/>
          <w:lang w:val="en-US" w:eastAsia="zh-CN"/>
        </w:rPr>
      </w:pPr>
      <w:bookmarkStart w:id="17" w:name="_Toc15396600"/>
      <w:bookmarkStart w:id="18" w:name="_Toc15377197"/>
    </w:p>
    <w:p w14:paraId="009F7028">
      <w:pPr>
        <w:pStyle w:val="4"/>
        <w:pageBreakBefore w:val="0"/>
        <w:numPr>
          <w:ilvl w:val="0"/>
          <w:numId w:val="0"/>
        </w:numPr>
        <w:kinsoku/>
        <w:wordWrap/>
        <w:overflowPunct/>
        <w:topLinePunct w:val="0"/>
        <w:bidi w:val="0"/>
        <w:spacing w:before="0" w:after="0" w:line="576" w:lineRule="exact"/>
        <w:ind w:firstLine="640" w:firstLineChars="200"/>
        <w:textAlignment w:val="auto"/>
        <w:rPr>
          <w:rFonts w:ascii="Times New Roman" w:hAnsi="Times New Roman" w:eastAsia="黑体"/>
        </w:rPr>
      </w:pPr>
      <w:bookmarkStart w:id="19" w:name="_Toc32133"/>
      <w:r>
        <w:rPr>
          <w:rStyle w:val="25"/>
          <w:rFonts w:hint="eastAsia" w:ascii="Times New Roman" w:hAnsi="Times New Roman" w:eastAsia="黑体"/>
          <w:b w:val="0"/>
          <w:bCs w:val="0"/>
          <w:lang w:val="en-US" w:eastAsia="zh-CN"/>
        </w:rPr>
        <w:t>一、</w:t>
      </w:r>
      <w:r>
        <w:rPr>
          <w:rStyle w:val="25"/>
          <w:rFonts w:hint="eastAsia" w:ascii="Times New Roman" w:hAnsi="Times New Roman" w:eastAsia="黑体"/>
          <w:b w:val="0"/>
          <w:bCs w:val="0"/>
        </w:rPr>
        <w:t>职能简介</w:t>
      </w:r>
      <w:bookmarkEnd w:id="19"/>
      <w:bookmarkStart w:id="20" w:name="_Toc15378446"/>
      <w:bookmarkStart w:id="21" w:name="_Toc15377199"/>
    </w:p>
    <w:p w14:paraId="76D1A7FE">
      <w:pPr>
        <w:pStyle w:val="30"/>
        <w:pageBreakBefore w:val="0"/>
        <w:kinsoku/>
        <w:wordWrap/>
        <w:overflowPunct/>
        <w:topLinePunct w:val="0"/>
        <w:bidi w:val="0"/>
        <w:spacing w:line="576" w:lineRule="exact"/>
        <w:ind w:firstLine="640"/>
        <w:textAlignment w:val="auto"/>
        <w:rPr>
          <w:rFonts w:ascii="Times New Roman" w:hAnsi="Times New Roman"/>
          <w:sz w:val="32"/>
          <w:szCs w:val="32"/>
        </w:rPr>
      </w:pPr>
      <w:r>
        <w:rPr>
          <w:rFonts w:hint="eastAsia" w:ascii="Times New Roman" w:hAnsi="Times New Roman"/>
          <w:sz w:val="32"/>
          <w:szCs w:val="32"/>
        </w:rPr>
        <w:t>1、</w:t>
      </w:r>
      <w:r>
        <w:rPr>
          <w:rFonts w:ascii="Times New Roman" w:hAnsi="Times New Roman"/>
          <w:sz w:val="32"/>
          <w:szCs w:val="32"/>
        </w:rPr>
        <w:t>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52E0F76E">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2、</w:t>
      </w:r>
      <w:r>
        <w:rPr>
          <w:rFonts w:ascii="Times New Roman" w:hAnsi="Times New Roman"/>
          <w:sz w:val="32"/>
          <w:szCs w:val="32"/>
        </w:rPr>
        <w:t>拟订应急管理、安全生产等政策措施，组织编制应急体系建设、安全生产和综合防灾减灾规划。</w:t>
      </w:r>
    </w:p>
    <w:p w14:paraId="7509A53C">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3、</w:t>
      </w:r>
      <w:r>
        <w:rPr>
          <w:rFonts w:ascii="Times New Roman" w:hAnsi="Times New Roman"/>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43975D91">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4、</w:t>
      </w:r>
      <w:r>
        <w:rPr>
          <w:rFonts w:ascii="Times New Roman" w:hAnsi="Times New Roman"/>
          <w:sz w:val="32"/>
          <w:szCs w:val="32"/>
        </w:rPr>
        <w:t>牵头建立统一的应急管理信息系统，负责信息传输渠道的规划和布局，建立监测预警和灾情报告制度，健全自然灾害信息资源获取和共享机制，依法统一发布灾情。</w:t>
      </w:r>
    </w:p>
    <w:p w14:paraId="7458AE05">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5、</w:t>
      </w:r>
      <w:r>
        <w:rPr>
          <w:rFonts w:ascii="Times New Roman" w:hAnsi="Times New Roman"/>
          <w:sz w:val="32"/>
          <w:szCs w:val="32"/>
        </w:rPr>
        <w:t>负责组织、指导、协调安全生产类、自然灾害类等突发事件应急救援，承担全区应对灾害指挥部工作，综合研判突发事件发展态势并提出应对建议，负责组织灾害应急处置工作。</w:t>
      </w:r>
    </w:p>
    <w:p w14:paraId="2D1AFDF2">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6、</w:t>
      </w:r>
      <w:r>
        <w:rPr>
          <w:rFonts w:ascii="Times New Roman" w:hAnsi="Times New Roman"/>
          <w:sz w:val="32"/>
          <w:szCs w:val="32"/>
        </w:rPr>
        <w:t>统一协调指挥各类应急专业队伍，建立应急协调联动机制，推进指挥平台对接，提请衔接武警部队参与应急救援工作。</w:t>
      </w:r>
    </w:p>
    <w:p w14:paraId="3AFEFECD">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7、</w:t>
      </w:r>
      <w:r>
        <w:rPr>
          <w:rFonts w:ascii="Times New Roman" w:hAnsi="Times New Roman"/>
          <w:sz w:val="32"/>
          <w:szCs w:val="32"/>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3A7A85D6">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8、</w:t>
      </w:r>
      <w:r>
        <w:rPr>
          <w:rFonts w:ascii="Times New Roman" w:hAnsi="Times New Roman"/>
          <w:sz w:val="32"/>
          <w:szCs w:val="32"/>
        </w:rPr>
        <w:t>按照国家相关政策和省、市、区相关规定负责消防工作，组织和指导消防监督、火灾预防、火灾扑救等工作。</w:t>
      </w:r>
    </w:p>
    <w:p w14:paraId="0DD08F78">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9、</w:t>
      </w:r>
      <w:r>
        <w:rPr>
          <w:rFonts w:ascii="Times New Roman" w:hAnsi="Times New Roman"/>
          <w:sz w:val="32"/>
          <w:szCs w:val="32"/>
        </w:rPr>
        <w:t>负责自然灾害综合监测预警工作，承担自然灾害综合风险评估工作。指导协调森林火灾、水旱灾害、地质灾害等防治工作。</w:t>
      </w:r>
    </w:p>
    <w:p w14:paraId="26880509">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10、</w:t>
      </w:r>
      <w:r>
        <w:rPr>
          <w:rFonts w:ascii="Times New Roman" w:hAnsi="Times New Roman"/>
          <w:sz w:val="32"/>
          <w:szCs w:val="32"/>
        </w:rPr>
        <w:t>负责组织、协调灾害救助工作，组织和指导灾情核查、损失评估、救灾捐赠工作，管理、分配中央、省、市下拨及区级救灾款物并监督使用。</w:t>
      </w:r>
    </w:p>
    <w:p w14:paraId="39D922D6">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11、</w:t>
      </w:r>
      <w:r>
        <w:rPr>
          <w:rFonts w:ascii="Times New Roman" w:hAnsi="Times New Roman"/>
          <w:sz w:val="32"/>
          <w:szCs w:val="32"/>
        </w:rPr>
        <w:t>依法承担区政府安全生产综合监督管理责任，指导协调、监督检查各镇和区级有关部门安全生产工作，组织开展安全生产巡查、考核工作。</w:t>
      </w:r>
    </w:p>
    <w:p w14:paraId="2AEE4099">
      <w:pPr>
        <w:pStyle w:val="30"/>
        <w:pageBreakBefore w:val="0"/>
        <w:kinsoku/>
        <w:wordWrap/>
        <w:overflowPunct/>
        <w:topLinePunct w:val="0"/>
        <w:bidi w:val="0"/>
        <w:spacing w:line="576" w:lineRule="exact"/>
        <w:ind w:firstLine="640"/>
        <w:textAlignment w:val="auto"/>
        <w:rPr>
          <w:rFonts w:ascii="Times New Roman" w:hAnsi="Times New Roman" w:eastAsia="黑体"/>
          <w:strike/>
          <w:sz w:val="32"/>
          <w:szCs w:val="32"/>
        </w:rPr>
      </w:pPr>
      <w:r>
        <w:rPr>
          <w:rFonts w:hint="eastAsia" w:ascii="Times New Roman" w:hAnsi="Times New Roman"/>
          <w:sz w:val="32"/>
          <w:szCs w:val="32"/>
        </w:rPr>
        <w:t>12</w:t>
      </w:r>
      <w:r>
        <w:rPr>
          <w:rFonts w:ascii="Times New Roman" w:hAnsi="Times New Roman"/>
          <w:sz w:val="32"/>
          <w:szCs w:val="32"/>
        </w:rPr>
        <w:t>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23DE5B7D">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13、</w:t>
      </w:r>
      <w:r>
        <w:rPr>
          <w:rFonts w:ascii="Times New Roman" w:hAnsi="Times New Roman"/>
          <w:sz w:val="32"/>
          <w:szCs w:val="32"/>
        </w:rPr>
        <w:t>承担煤矿、非煤矿山、危险化学品和烟花爆竹等生产经营单位安全生产准入及非药品类易制毒化学品备案管理责任。</w:t>
      </w:r>
    </w:p>
    <w:p w14:paraId="1090CA92">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14、</w:t>
      </w:r>
      <w:r>
        <w:rPr>
          <w:rFonts w:ascii="Times New Roman" w:hAnsi="Times New Roman"/>
          <w:sz w:val="32"/>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14:paraId="0B573B42">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15、</w:t>
      </w:r>
      <w:r>
        <w:rPr>
          <w:rFonts w:ascii="Times New Roman" w:hAnsi="Times New Roman"/>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495E14BF">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16、</w:t>
      </w:r>
      <w:r>
        <w:rPr>
          <w:rFonts w:ascii="Times New Roman" w:hAnsi="Times New Roman"/>
          <w:sz w:val="32"/>
          <w:szCs w:val="32"/>
        </w:rPr>
        <w:t>承担防震减灾工作职责。负责地震监测设施和观测环境保护工作，负责全区工程建设场地地震安全性评价的监督管理工作，承担全区重大工程的抗震设防监督工作。接受省地震局的</w:t>
      </w:r>
      <w:r>
        <w:rPr>
          <w:rFonts w:hint="eastAsia" w:ascii="Times New Roman" w:hAnsi="Times New Roman"/>
          <w:sz w:val="32"/>
          <w:szCs w:val="32"/>
        </w:rPr>
        <w:t>业务指导。</w:t>
      </w:r>
    </w:p>
    <w:p w14:paraId="5B0185D0">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17、</w:t>
      </w:r>
      <w:r>
        <w:rPr>
          <w:rFonts w:ascii="Times New Roman" w:hAnsi="Times New Roman"/>
          <w:sz w:val="32"/>
          <w:szCs w:val="32"/>
        </w:rPr>
        <w:t>依法组织、指导生产安全事故调查处理，监督事故查处和责任追究落实情况。组织开展自然灾害类突发事件的调查评估工作。</w:t>
      </w:r>
    </w:p>
    <w:p w14:paraId="6B0901D3">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18、</w:t>
      </w:r>
      <w:r>
        <w:rPr>
          <w:rFonts w:ascii="Times New Roman" w:hAnsi="Times New Roman"/>
          <w:sz w:val="32"/>
          <w:szCs w:val="32"/>
        </w:rPr>
        <w:t>开展应急管理和安全生产方面的交流与合作，组织参与安全生产类、自然灾害类等突发事件的跨区域救援工作。</w:t>
      </w:r>
    </w:p>
    <w:p w14:paraId="73A95E7C">
      <w:pPr>
        <w:pStyle w:val="30"/>
        <w:pageBreakBefore w:val="0"/>
        <w:kinsoku/>
        <w:wordWrap/>
        <w:overflowPunct/>
        <w:topLinePunct w:val="0"/>
        <w:bidi w:val="0"/>
        <w:spacing w:line="576" w:lineRule="exact"/>
        <w:ind w:firstLine="640"/>
        <w:textAlignment w:val="auto"/>
        <w:rPr>
          <w:rFonts w:ascii="Times New Roman" w:hAnsi="Times New Roman"/>
          <w:sz w:val="32"/>
          <w:szCs w:val="32"/>
        </w:rPr>
      </w:pPr>
      <w:r>
        <w:rPr>
          <w:rFonts w:hint="eastAsia" w:ascii="Times New Roman" w:hAnsi="Times New Roman"/>
          <w:sz w:val="32"/>
          <w:szCs w:val="32"/>
        </w:rPr>
        <w:t>19、</w:t>
      </w:r>
      <w:r>
        <w:rPr>
          <w:rFonts w:ascii="Times New Roman" w:hAnsi="Times New Roman"/>
          <w:sz w:val="32"/>
          <w:szCs w:val="32"/>
        </w:rPr>
        <w:t>制定应急物资储备和应急救援装备规划并组织实施，会同区</w:t>
      </w:r>
      <w:r>
        <w:rPr>
          <w:rFonts w:hint="eastAsia" w:ascii="Times New Roman" w:hAnsi="Times New Roman"/>
          <w:sz w:val="32"/>
          <w:szCs w:val="32"/>
        </w:rPr>
        <w:t>发展</w:t>
      </w:r>
      <w:r>
        <w:rPr>
          <w:rFonts w:ascii="Times New Roman" w:hAnsi="Times New Roman"/>
          <w:sz w:val="32"/>
          <w:szCs w:val="32"/>
        </w:rPr>
        <w:t>改革局等部门建立健全应急物资信息平台和调拨制度，实行统一调度。</w:t>
      </w:r>
    </w:p>
    <w:p w14:paraId="5E941E92">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20、</w:t>
      </w:r>
      <w:r>
        <w:rPr>
          <w:rFonts w:ascii="Times New Roman" w:hAnsi="Times New Roman"/>
          <w:sz w:val="32"/>
          <w:szCs w:val="32"/>
        </w:rPr>
        <w:t>负责应急管理、安全生产宣传教育和培训工作，组织和指导应急管理、安全生产、地震灾害防御的科学技术研究、推广应用和信息化建设工作。</w:t>
      </w:r>
    </w:p>
    <w:p w14:paraId="5196C007">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21、</w:t>
      </w:r>
      <w:r>
        <w:rPr>
          <w:rFonts w:ascii="Times New Roman" w:hAnsi="Times New Roman"/>
          <w:sz w:val="32"/>
          <w:szCs w:val="32"/>
        </w:rPr>
        <w:t>负责职责范围内的职业健康、生态环境保护、审批服务便民化等工作。</w:t>
      </w:r>
    </w:p>
    <w:p w14:paraId="4C8D0345">
      <w:pPr>
        <w:pStyle w:val="30"/>
        <w:pageBreakBefore w:val="0"/>
        <w:kinsoku/>
        <w:wordWrap/>
        <w:overflowPunct/>
        <w:topLinePunct w:val="0"/>
        <w:bidi w:val="0"/>
        <w:spacing w:line="576" w:lineRule="exact"/>
        <w:ind w:firstLine="640"/>
        <w:textAlignment w:val="auto"/>
        <w:rPr>
          <w:rFonts w:ascii="Times New Roman" w:hAnsi="Times New Roman" w:eastAsia="黑体"/>
          <w:sz w:val="32"/>
          <w:szCs w:val="32"/>
        </w:rPr>
      </w:pPr>
      <w:r>
        <w:rPr>
          <w:rFonts w:hint="eastAsia" w:ascii="Times New Roman" w:hAnsi="Times New Roman"/>
          <w:sz w:val="32"/>
          <w:szCs w:val="32"/>
        </w:rPr>
        <w:t>22、</w:t>
      </w:r>
      <w:r>
        <w:rPr>
          <w:rFonts w:ascii="Times New Roman" w:hAnsi="Times New Roman"/>
          <w:sz w:val="32"/>
          <w:szCs w:val="32"/>
        </w:rPr>
        <w:t>完成区委、区政府交办的其他任务。</w:t>
      </w:r>
    </w:p>
    <w:p w14:paraId="4BC9F9CB">
      <w:pPr>
        <w:pStyle w:val="2"/>
        <w:pageBreakBefore w:val="0"/>
        <w:kinsoku/>
        <w:wordWrap/>
        <w:overflowPunct/>
        <w:topLinePunct w:val="0"/>
        <w:bidi w:val="0"/>
        <w:adjustRightInd w:val="0"/>
        <w:snapToGrid w:val="0"/>
        <w:spacing w:beforeLines="0" w:line="576" w:lineRule="exact"/>
        <w:ind w:firstLine="672" w:firstLineChars="210"/>
        <w:textAlignment w:val="auto"/>
        <w:outlineLvl w:val="2"/>
        <w:rPr>
          <w:rFonts w:ascii="Times New Roman" w:hAnsi="Times New Roman" w:eastAsia="仿宋"/>
          <w:bCs/>
          <w:color w:val="000000"/>
          <w:sz w:val="32"/>
          <w:szCs w:val="32"/>
        </w:rPr>
      </w:pPr>
      <w:r>
        <w:rPr>
          <w:rFonts w:hint="eastAsia" w:ascii="Times New Roman" w:hAnsi="Times New Roman"/>
          <w:sz w:val="32"/>
          <w:szCs w:val="32"/>
        </w:rPr>
        <w:t>23、</w:t>
      </w:r>
      <w:r>
        <w:rPr>
          <w:rFonts w:ascii="Times New Roman" w:hAnsi="Times New Roman"/>
          <w:sz w:val="32"/>
          <w:szCs w:val="32"/>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bookmarkEnd w:id="20"/>
    <w:bookmarkEnd w:id="21"/>
    <w:p w14:paraId="53406539">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22" w:name="_Toc32734"/>
      <w:r>
        <w:rPr>
          <w:rFonts w:hint="eastAsia" w:ascii="Times New Roman" w:hAnsi="Times New Roman" w:eastAsia="黑体"/>
          <w:b w:val="0"/>
        </w:rPr>
        <w:t>二、2021年重点工作</w:t>
      </w:r>
      <w:bookmarkEnd w:id="17"/>
      <w:bookmarkEnd w:id="18"/>
      <w:r>
        <w:rPr>
          <w:rFonts w:hint="eastAsia" w:ascii="Times New Roman" w:hAnsi="Times New Roman" w:eastAsia="黑体"/>
          <w:b w:val="0"/>
        </w:rPr>
        <w:t>完成情况</w:t>
      </w:r>
      <w:bookmarkEnd w:id="22"/>
    </w:p>
    <w:p w14:paraId="444BEC67">
      <w:pPr>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印发《昭化区安全生产委员会组成人员的通知》，对换届后区安委会组成单位及时进行了调整，并修订完善了区委、区政府领导党政同责工作制度；二是在区委常委会、政府常务会上深入学习习近平总书记关于安全生产重要论述，进一步强化红线意识和底线思维，在全社会凝聚安全发展共识；三是健全安全生产责任体系。坚持“管行业必须管安全、管业务必须管安全、管生产经营必须管安全”，区政府与区安委会成员单位签订了安全生产目标责任书，并对目标完成情况进行检查考核。</w:t>
      </w:r>
    </w:p>
    <w:p w14:paraId="4CFC9E01">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2、</w:t>
      </w:r>
      <w:r>
        <w:rPr>
          <w:rFonts w:ascii="Times New Roman" w:hAnsi="Times New Roman" w:eastAsia="楷体_GB2312"/>
          <w:sz w:val="32"/>
          <w:szCs w:val="32"/>
        </w:rPr>
        <w:t>扎实开展重大事故隐患排查整治。</w:t>
      </w:r>
      <w:r>
        <w:rPr>
          <w:rFonts w:ascii="Times New Roman" w:hAnsi="Times New Roman" w:eastAsia="仿宋_GB2312"/>
          <w:sz w:val="32"/>
          <w:szCs w:val="32"/>
        </w:rPr>
        <w:t>全面排查问题隐患，建立问题隐患和制度措施“两个清单”，边查边改、立查立改，在危险化学品、工矿商贸领域持续开展三月集中攻坚、“迎五一、战疫情、保安全”、“创安2021”、“三查”、安全生产新情况新问题等专项排查整治工作，进一步摸清危险化学品烟花爆竹及工贸企业底数及各项安全生产工作落实情况。成立检查组51个，督导检查次数117次，检查发现问题373条，行政处罚50次，罚款134.4155万元，约谈警示12家。督促区交通、住建、市场监管等重点行业监管等部门针对不同行业领域特点制定排查方案，开展重大事故隐患排查整治。</w:t>
      </w:r>
    </w:p>
    <w:p w14:paraId="22AF9D6D">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3、</w:t>
      </w:r>
      <w:r>
        <w:rPr>
          <w:rFonts w:ascii="Times New Roman" w:hAnsi="Times New Roman" w:eastAsia="楷体_GB2312"/>
          <w:sz w:val="32"/>
          <w:szCs w:val="32"/>
        </w:rPr>
        <w:t>严格执法检查。</w:t>
      </w:r>
      <w:r>
        <w:rPr>
          <w:rFonts w:ascii="Times New Roman" w:hAnsi="Times New Roman" w:eastAsia="仿宋_GB2312"/>
          <w:sz w:val="32"/>
          <w:szCs w:val="32"/>
        </w:rPr>
        <w:t>制定了《广元市昭化区2021年度安全生产执法检查计划》并经区政府批复予以实施。印发了《广元市昭化区安全生产“创安2021”监管执法专项行动实施方案》，围绕从根本上消除事故隐患，以“一整治一减少三提升”为目标，全面开展安全生产大执法行动。全年对76家生产经营单位实施执法检查117次，责令整改事故隐患373个，对安全生产违法行为实施行政处罚50次（含当场处罚），没收非法经营的烟花爆竹426件，预防性执法处罚款31.7万元。</w:t>
      </w:r>
    </w:p>
    <w:p w14:paraId="0B1D23D3">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4、</w:t>
      </w:r>
      <w:r>
        <w:rPr>
          <w:rFonts w:ascii="Times New Roman" w:hAnsi="Times New Roman" w:eastAsia="楷体_GB2312"/>
          <w:sz w:val="32"/>
          <w:szCs w:val="32"/>
        </w:rPr>
        <w:t>逗硬事故查处。</w:t>
      </w:r>
      <w:r>
        <w:rPr>
          <w:rFonts w:ascii="Times New Roman" w:hAnsi="Times New Roman" w:eastAsia="仿宋_GB2312"/>
          <w:sz w:val="32"/>
          <w:szCs w:val="32"/>
        </w:rPr>
        <w:t>按照安全生产“四不放过”原则，严肃查处各类事故和挂牌督办重大安全隐患。今年以来，全区共查处生产安全事故3起，事故责任追究37人（家），建议给予党纪政纪处分3人，移送追究刑事责任5人，给予事故责任单位和责任人行政处罚23次，共处罚款116.8万元。同时，区安办牵头挂牌督办了宗皇米酒、雨润食品加工、细家岩水厂等重大安全隐患3处，通过采取“把重大安全隐患当事故查处”和对违法行为的严管重罚有力措施，倒逼企业落实安全生产主体责任，从而营造了良好的安全生产氛围。</w:t>
      </w:r>
    </w:p>
    <w:p w14:paraId="2CBE20DD">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5、</w:t>
      </w:r>
      <w:r>
        <w:rPr>
          <w:rFonts w:ascii="Times New Roman" w:hAnsi="Times New Roman" w:eastAsia="楷体_GB2312"/>
          <w:sz w:val="32"/>
          <w:szCs w:val="32"/>
        </w:rPr>
        <w:t>切实提升防灾减灾和综合应急能力。</w:t>
      </w:r>
      <w:r>
        <w:rPr>
          <w:rFonts w:ascii="Times New Roman" w:hAnsi="Times New Roman" w:eastAsia="仿宋_GB2312"/>
          <w:b/>
          <w:bCs/>
          <w:sz w:val="32"/>
          <w:szCs w:val="32"/>
        </w:rPr>
        <w:t>一是</w:t>
      </w:r>
      <w:r>
        <w:rPr>
          <w:rFonts w:ascii="Times New Roman" w:hAnsi="Times New Roman" w:eastAsia="仿宋_GB2312"/>
          <w:sz w:val="32"/>
          <w:szCs w:val="32"/>
        </w:rPr>
        <w:t>进一步做好防灾减灾工作。扎实推进自然灾害风险普查工作。印发《广元市昭化区第一次全国自然灾害综合风险普查总体方案》，建立了组织机构，落实工作责任，明确了3个阶段，9个专项任务，各部门成立工作专班开展工作。积极争取项目资金600余万元，召开普查培训会及会商会议52场次，，完成调查数据1080条；同时组织开展地质灾害隐患排查工作。积极对接区自然资源分局,统计排查我区地质灾害隐患点情况,全区共排查地质灾害隐患点172处,其中崩塌90处、滑坡7处、地面塌陷73处、其他2处。对发现的隐患点自然资源部门已及时发放了“明白卡”、设置了“警示牌”；</w:t>
      </w:r>
      <w:r>
        <w:rPr>
          <w:rFonts w:ascii="Times New Roman" w:hAnsi="Times New Roman" w:eastAsia="仿宋_GB2312"/>
          <w:b/>
          <w:bCs/>
          <w:sz w:val="32"/>
          <w:szCs w:val="32"/>
        </w:rPr>
        <w:t>二是</w:t>
      </w:r>
      <w:r>
        <w:rPr>
          <w:rFonts w:ascii="Times New Roman" w:hAnsi="Times New Roman" w:eastAsia="仿宋_GB2312"/>
          <w:sz w:val="32"/>
          <w:szCs w:val="32"/>
        </w:rPr>
        <w:t>顺利完成汛期防范应对工作。完成防汛抗旱指挥部办公室由水利部门转隶至应急部门相关工作，完善全区防汛抗旱责任体系，调整充实了区防汛抗旱指挥部。汛前，对各水库、河流等地方进行隐患检查。召开了全区防汛抗旱工作会议，对今年防汛抗旱工作进行了全面部署与安排。修订完善了全区防汛抗旱总体预案、超标准洪水防御预案，督促各乡镇制订了防汛抗旱应急预案，督促并指导各镇开展应急演练。区级领导多次对重点水库、物资储备点开展防汛备汛督查；</w:t>
      </w:r>
      <w:r>
        <w:rPr>
          <w:rFonts w:ascii="Times New Roman" w:hAnsi="Times New Roman" w:eastAsia="仿宋_GB2312"/>
          <w:b/>
          <w:bCs/>
          <w:sz w:val="32"/>
          <w:szCs w:val="32"/>
        </w:rPr>
        <w:t>三是</w:t>
      </w:r>
      <w:r>
        <w:rPr>
          <w:rFonts w:ascii="Times New Roman" w:hAnsi="Times New Roman" w:eastAsia="仿宋_GB2312"/>
          <w:sz w:val="32"/>
          <w:szCs w:val="32"/>
        </w:rPr>
        <w:t>圆满完成森林防灭火专项整治工作各项任务。完善了森林防灭火相关体制机制，建立了一支专业扑火队伍，完成了一批基础设施建设，全区干部群众森林防火思想认识大幅提升，森林防灭火能力大幅提升，，全区未发生较大及以上森林火灾；</w:t>
      </w:r>
      <w:r>
        <w:rPr>
          <w:rFonts w:ascii="Times New Roman" w:hAnsi="Times New Roman" w:eastAsia="仿宋_GB2312"/>
          <w:b/>
          <w:bCs/>
          <w:sz w:val="32"/>
          <w:szCs w:val="32"/>
        </w:rPr>
        <w:t>四是</w:t>
      </w:r>
      <w:r>
        <w:rPr>
          <w:rFonts w:ascii="Times New Roman" w:hAnsi="Times New Roman" w:eastAsia="仿宋_GB2312"/>
          <w:kern w:val="0"/>
          <w:sz w:val="32"/>
          <w:szCs w:val="32"/>
        </w:rPr>
        <w:t>持续提升基层应急管理能力。基本建成以区域性中心乡镇消防救援站为主力，以镇应急队和村（社区）应急分队为辅助的“一主两辅”基层应急力量体系，实现数量精简，布局优化，效能提升；</w:t>
      </w:r>
      <w:r>
        <w:rPr>
          <w:rFonts w:ascii="Times New Roman" w:hAnsi="Times New Roman" w:eastAsia="仿宋_GB2312"/>
          <w:sz w:val="32"/>
          <w:szCs w:val="32"/>
        </w:rPr>
        <w:t>完成专门应急物资储备库建设，补充、完善了相关应急物资、装备及救灾物资；全区统筹规划应急避难场所76个，有效使用总面积达36万平方米，可临时安置19万人。积极推进预案体系建设，各镇和区级部门、重点行业相关预案修订工作正稳步推进。</w:t>
      </w:r>
      <w:r>
        <w:rPr>
          <w:rFonts w:ascii="Times New Roman" w:hAnsi="Times New Roman" w:eastAsia="仿宋_GB2312"/>
          <w:color w:val="000000"/>
          <w:sz w:val="32"/>
          <w:szCs w:val="32"/>
        </w:rPr>
        <w:t>全年开展各类专项</w:t>
      </w:r>
      <w:r>
        <w:rPr>
          <w:rFonts w:ascii="Times New Roman" w:hAnsi="Times New Roman" w:eastAsia="仿宋_GB2312"/>
          <w:sz w:val="32"/>
          <w:szCs w:val="32"/>
        </w:rPr>
        <w:t>应急演练150余场。区应急管理局全体干部全年枕戈待旦、严阵以待，严格领导带班，实行24小时值守。</w:t>
      </w:r>
      <w:r>
        <w:rPr>
          <w:rFonts w:ascii="Times New Roman" w:hAnsi="Times New Roman" w:eastAsia="仿宋_GB2312"/>
          <w:b/>
          <w:bCs/>
          <w:sz w:val="32"/>
          <w:szCs w:val="32"/>
        </w:rPr>
        <w:t>五是</w:t>
      </w:r>
      <w:r>
        <w:rPr>
          <w:rFonts w:ascii="Times New Roman" w:hAnsi="Times New Roman" w:eastAsia="仿宋_GB2312"/>
          <w:sz w:val="32"/>
          <w:szCs w:val="32"/>
        </w:rPr>
        <w:t>开展自然灾害救灾资金发放专项督导工作。组织督导组深入部分镇进行专项督导,促进了资金发放进度和台账规范管理工作，今年共发放应急救助资金16.68万元，过渡期安置补助20.25万元；</w:t>
      </w:r>
      <w:r>
        <w:rPr>
          <w:rFonts w:ascii="Times New Roman" w:hAnsi="Times New Roman" w:eastAsia="仿宋_GB2312"/>
          <w:b/>
          <w:bCs/>
          <w:sz w:val="32"/>
          <w:szCs w:val="32"/>
        </w:rPr>
        <w:t>六是</w:t>
      </w:r>
      <w:r>
        <w:rPr>
          <w:rFonts w:ascii="Times New Roman" w:hAnsi="Times New Roman" w:eastAsia="仿宋_GB2312"/>
          <w:sz w:val="32"/>
          <w:szCs w:val="32"/>
        </w:rPr>
        <w:t>加快救灾物资储备体系建设，着力推进减灾救灾工作。为充分做好救灾物资保障工作，采购了50余万元卫星通讯设备、48万余元备灾点防汛物资、安全生产执法车辆1台；</w:t>
      </w:r>
      <w:r>
        <w:rPr>
          <w:rFonts w:ascii="Times New Roman" w:hAnsi="Times New Roman" w:eastAsia="仿宋_GB2312"/>
          <w:b/>
          <w:bCs/>
          <w:sz w:val="32"/>
          <w:szCs w:val="32"/>
        </w:rPr>
        <w:t>七是</w:t>
      </w:r>
      <w:r>
        <w:rPr>
          <w:rFonts w:ascii="Times New Roman" w:hAnsi="Times New Roman" w:eastAsia="仿宋_GB2312"/>
          <w:sz w:val="32"/>
          <w:szCs w:val="32"/>
        </w:rPr>
        <w:t>建立了自然灾害预警接收联络机制。区应急管理局统计上报全区自然灾害预警接收人员信息,借助市气象局短信预警平台第一时间发布自然灾害预警信息,最大可能地避免和减轻自然灾害对人民群众生命及财产安全造成的损失；</w:t>
      </w:r>
    </w:p>
    <w:p w14:paraId="0A159152">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楷体_GB2312"/>
          <w:sz w:val="32"/>
          <w:szCs w:val="32"/>
        </w:rPr>
        <w:t>6、</w:t>
      </w:r>
      <w:r>
        <w:rPr>
          <w:rFonts w:ascii="Times New Roman" w:hAnsi="Times New Roman" w:eastAsia="楷体_GB2312"/>
          <w:sz w:val="32"/>
          <w:szCs w:val="32"/>
        </w:rPr>
        <w:t>深入开展各类安全生产宣传教育活动。</w:t>
      </w:r>
      <w:r>
        <w:rPr>
          <w:rFonts w:ascii="Times New Roman" w:hAnsi="Times New Roman" w:eastAsia="仿宋_GB2312"/>
          <w:b/>
          <w:bCs/>
          <w:sz w:val="32"/>
          <w:szCs w:val="32"/>
        </w:rPr>
        <w:t>一是</w:t>
      </w:r>
      <w:r>
        <w:rPr>
          <w:rFonts w:ascii="Times New Roman" w:hAnsi="Times New Roman" w:eastAsia="仿宋_GB2312"/>
          <w:sz w:val="32"/>
          <w:szCs w:val="32"/>
        </w:rPr>
        <w:t>加强新《安全生产法》宣贯。通过召开安委会、党组中心组学习等形式深入学习新《安全生产法》（以下简称“新安法”，结合我区实际印发了新安法宣贯方案，通过线上线下相结合的形式，开展广泛的宣传教育，营造浓厚的新安法宣传氛围；</w:t>
      </w:r>
      <w:r>
        <w:rPr>
          <w:rFonts w:ascii="Times New Roman" w:hAnsi="Times New Roman" w:eastAsia="仿宋_GB2312"/>
          <w:b/>
          <w:bCs/>
          <w:sz w:val="32"/>
          <w:szCs w:val="32"/>
        </w:rPr>
        <w:t>二是</w:t>
      </w:r>
      <w:r>
        <w:rPr>
          <w:rFonts w:ascii="Times New Roman" w:hAnsi="Times New Roman" w:eastAsia="仿宋_GB2312"/>
          <w:sz w:val="32"/>
          <w:szCs w:val="32"/>
        </w:rPr>
        <w:t>广泛开展安全生产宣传“五进”活动。在网站发布相关信息12篇，市局微信公众号、转发相关新闻、安全生产知识21篇，自制视频短片1个，累计推送各类自然灾害安全提示短信30万条、发放居民安全宣传知识手册3000余份、宣传彩页1000余份、宣传海报500余份等宣传资料。在线下，各个商户的电子屏幕应亮尽亮，横幅标语、宣传海报应挂尽挂，宣传彩页应发尽发，各乡镇在街道、居民小区巡回播放自然灾害、安全生产警示教育片；</w:t>
      </w:r>
      <w:r>
        <w:rPr>
          <w:rFonts w:ascii="Times New Roman" w:hAnsi="Times New Roman" w:eastAsia="仿宋_GB2312"/>
          <w:b/>
          <w:bCs/>
          <w:sz w:val="32"/>
          <w:szCs w:val="32"/>
        </w:rPr>
        <w:t>三是</w:t>
      </w:r>
      <w:r>
        <w:rPr>
          <w:rFonts w:ascii="Times New Roman" w:hAnsi="Times New Roman" w:eastAsia="仿宋_GB2312"/>
          <w:sz w:val="32"/>
          <w:szCs w:val="32"/>
        </w:rPr>
        <w:t>组织业务培训。对全区各镇、安委会成员单位进行应急管理与应急救援、安全生产监管执法、信息报送与处理等方面的知识专题业务培训。积极组织全区工贸行业、危化行业等企业负责人参加安全生产管理培训。在全区范围内形成了强大的宣传攻势，建立齐抓共管、人人参与的安全生产格局。</w:t>
      </w:r>
    </w:p>
    <w:p w14:paraId="088E00DA">
      <w:pPr>
        <w:pStyle w:val="2"/>
        <w:rPr>
          <w:rFonts w:ascii="Times New Roman" w:hAnsi="Times New Roman"/>
        </w:rPr>
      </w:pPr>
    </w:p>
    <w:p w14:paraId="7CE5113A">
      <w:pPr>
        <w:pStyle w:val="3"/>
        <w:keepNext/>
        <w:keepLines/>
        <w:pageBreakBefore w:val="0"/>
        <w:widowControl w:val="0"/>
        <w:kinsoku/>
        <w:wordWrap/>
        <w:overflowPunct/>
        <w:topLinePunct w:val="0"/>
        <w:autoSpaceDE/>
        <w:autoSpaceDN/>
        <w:bidi w:val="0"/>
        <w:adjustRightInd/>
        <w:snapToGrid/>
        <w:spacing w:before="313" w:beforeLines="100" w:after="0" w:line="576" w:lineRule="exact"/>
        <w:jc w:val="center"/>
        <w:textAlignment w:val="auto"/>
        <w:rPr>
          <w:rFonts w:hint="eastAsia" w:ascii="Times New Roman" w:hAnsi="Times New Roman" w:eastAsia="黑体"/>
          <w:b w:val="0"/>
        </w:rPr>
      </w:pPr>
      <w:bookmarkStart w:id="23" w:name="_Toc15396602"/>
      <w:bookmarkStart w:id="24" w:name="_Toc16067"/>
      <w:bookmarkStart w:id="25" w:name="_Toc15377204"/>
      <w:r>
        <w:rPr>
          <w:rFonts w:hint="eastAsia" w:ascii="Times New Roman" w:hAnsi="Times New Roman" w:eastAsia="黑体"/>
          <w:b w:val="0"/>
        </w:rPr>
        <w:t>第二部分</w:t>
      </w:r>
      <w:r>
        <w:rPr>
          <w:rFonts w:hint="eastAsia" w:ascii="Times New Roman" w:hAnsi="Times New Roman" w:eastAsia="黑体"/>
          <w:b w:val="0"/>
          <w:lang w:val="en-US" w:eastAsia="zh-CN"/>
        </w:rPr>
        <w:t xml:space="preserve"> </w:t>
      </w:r>
      <w:r>
        <w:rPr>
          <w:rFonts w:hint="eastAsia" w:ascii="Times New Roman" w:hAnsi="Times New Roman" w:eastAsia="黑体"/>
          <w:b w:val="0"/>
        </w:rPr>
        <w:t xml:space="preserve"> 2021年度单位决算情况说明</w:t>
      </w:r>
      <w:bookmarkEnd w:id="23"/>
      <w:bookmarkEnd w:id="24"/>
      <w:bookmarkEnd w:id="25"/>
    </w:p>
    <w:p w14:paraId="3E28EE68">
      <w:pPr>
        <w:pageBreakBefore w:val="0"/>
        <w:kinsoku/>
        <w:wordWrap/>
        <w:overflowPunct/>
        <w:topLinePunct w:val="0"/>
        <w:bidi w:val="0"/>
        <w:spacing w:line="576" w:lineRule="exact"/>
        <w:textAlignment w:val="auto"/>
        <w:rPr>
          <w:rFonts w:ascii="Times New Roman" w:hAnsi="Times New Roman"/>
        </w:rPr>
      </w:pPr>
    </w:p>
    <w:p w14:paraId="2DAFC447">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26" w:name="_Toc30714"/>
      <w:bookmarkStart w:id="27" w:name="_Toc15396603"/>
      <w:bookmarkStart w:id="28" w:name="_Toc15377205"/>
      <w:r>
        <w:rPr>
          <w:rFonts w:hint="eastAsia" w:ascii="Times New Roman" w:hAnsi="Times New Roman" w:eastAsia="黑体"/>
          <w:b w:val="0"/>
        </w:rPr>
        <w:t>一、收入支出决算总体情况说明</w:t>
      </w:r>
      <w:bookmarkEnd w:id="26"/>
      <w:bookmarkEnd w:id="27"/>
      <w:bookmarkEnd w:id="28"/>
    </w:p>
    <w:p w14:paraId="25588AC3">
      <w:pPr>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2021年度收、支总计1</w:t>
      </w:r>
      <w:r>
        <w:rPr>
          <w:rFonts w:hint="eastAsia" w:eastAsia="仿宋_GB2312" w:cs="仿宋_GB2312"/>
          <w:sz w:val="32"/>
          <w:szCs w:val="32"/>
          <w:lang w:val="en-US" w:eastAsia="zh-CN"/>
        </w:rPr>
        <w:t>488.1</w:t>
      </w:r>
      <w:r>
        <w:rPr>
          <w:rFonts w:hint="eastAsia" w:ascii="Times New Roman" w:hAnsi="Times New Roman" w:eastAsia="仿宋_GB2312" w:cs="仿宋_GB2312"/>
          <w:sz w:val="32"/>
          <w:szCs w:val="32"/>
        </w:rPr>
        <w:t>万元。与2020年相比，收、支总计</w:t>
      </w:r>
      <w:r>
        <w:rPr>
          <w:rFonts w:hint="eastAsia" w:eastAsia="仿宋_GB2312" w:cs="仿宋_GB2312"/>
          <w:sz w:val="32"/>
          <w:szCs w:val="32"/>
          <w:lang w:eastAsia="zh-CN"/>
        </w:rPr>
        <w:t>增加</w:t>
      </w:r>
      <w:r>
        <w:rPr>
          <w:rFonts w:hint="eastAsia" w:eastAsia="仿宋_GB2312" w:cs="仿宋_GB2312"/>
          <w:sz w:val="32"/>
          <w:szCs w:val="32"/>
          <w:lang w:val="en-US" w:eastAsia="zh-CN"/>
        </w:rPr>
        <w:t>110.51</w:t>
      </w:r>
      <w:r>
        <w:rPr>
          <w:rFonts w:hint="eastAsia" w:ascii="Times New Roman" w:hAnsi="Times New Roman" w:eastAsia="仿宋_GB2312" w:cs="仿宋_GB2312"/>
          <w:sz w:val="32"/>
          <w:szCs w:val="32"/>
        </w:rPr>
        <w:t>万元，</w:t>
      </w:r>
      <w:r>
        <w:rPr>
          <w:rFonts w:hint="eastAsia" w:eastAsia="仿宋_GB2312" w:cs="仿宋_GB2312"/>
          <w:sz w:val="32"/>
          <w:szCs w:val="32"/>
          <w:lang w:eastAsia="zh-CN"/>
        </w:rPr>
        <w:t>增长了</w:t>
      </w:r>
      <w:r>
        <w:rPr>
          <w:rFonts w:hint="eastAsia" w:eastAsia="仿宋_GB2312" w:cs="仿宋_GB2312"/>
          <w:sz w:val="32"/>
          <w:szCs w:val="32"/>
          <w:lang w:val="en-US" w:eastAsia="zh-CN"/>
        </w:rPr>
        <w:t>8%</w:t>
      </w:r>
      <w:r>
        <w:rPr>
          <w:rFonts w:hint="eastAsia" w:ascii="Times New Roman" w:hAnsi="Times New Roman" w:eastAsia="仿宋_GB2312" w:cs="仿宋_GB2312"/>
          <w:sz w:val="32"/>
          <w:szCs w:val="32"/>
        </w:rPr>
        <w:t>。主要变动原因是自然灾害救助资金</w:t>
      </w:r>
      <w:r>
        <w:rPr>
          <w:rFonts w:hint="eastAsia" w:eastAsia="仿宋_GB2312" w:cs="仿宋_GB2312"/>
          <w:sz w:val="32"/>
          <w:szCs w:val="32"/>
          <w:lang w:eastAsia="zh-CN"/>
        </w:rPr>
        <w:t>增加</w:t>
      </w:r>
      <w:r>
        <w:rPr>
          <w:rFonts w:hint="eastAsia" w:ascii="Times New Roman" w:hAnsi="Times New Roman" w:eastAsia="仿宋_GB2312" w:cs="仿宋_GB2312"/>
          <w:sz w:val="32"/>
          <w:szCs w:val="32"/>
        </w:rPr>
        <w:t>。</w:t>
      </w:r>
    </w:p>
    <w:p w14:paraId="524F0865">
      <w:pPr>
        <w:pStyle w:val="2"/>
        <w:rPr>
          <w:rFonts w:hint="eastAsia"/>
        </w:rPr>
      </w:pPr>
      <w:r>
        <w:drawing>
          <wp:anchor distT="0" distB="0" distL="114300" distR="114300" simplePos="0" relativeHeight="251659264" behindDoc="0" locked="0" layoutInCell="1" allowOverlap="1">
            <wp:simplePos x="0" y="0"/>
            <wp:positionH relativeFrom="column">
              <wp:posOffset>468630</wp:posOffset>
            </wp:positionH>
            <wp:positionV relativeFrom="page">
              <wp:posOffset>6924675</wp:posOffset>
            </wp:positionV>
            <wp:extent cx="4572000" cy="2743200"/>
            <wp:effectExtent l="4445" t="4445" r="14605" b="14605"/>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5EF0FD8">
      <w:pPr>
        <w:pStyle w:val="2"/>
        <w:rPr>
          <w:rFonts w:hint="eastAsia"/>
        </w:rPr>
      </w:pPr>
    </w:p>
    <w:p w14:paraId="00E2925B">
      <w:pPr>
        <w:pStyle w:val="2"/>
        <w:rPr>
          <w:rFonts w:hint="eastAsia"/>
        </w:rPr>
      </w:pPr>
    </w:p>
    <w:p w14:paraId="41CE9BBB">
      <w:pPr>
        <w:pStyle w:val="2"/>
        <w:rPr>
          <w:rFonts w:hint="eastAsia"/>
        </w:rPr>
      </w:pPr>
    </w:p>
    <w:p w14:paraId="0024ACCF">
      <w:pPr>
        <w:pStyle w:val="2"/>
        <w:rPr>
          <w:rFonts w:hint="eastAsia"/>
        </w:rPr>
      </w:pPr>
    </w:p>
    <w:p w14:paraId="743DB6D2">
      <w:pPr>
        <w:pStyle w:val="2"/>
        <w:rPr>
          <w:rFonts w:hint="eastAsia"/>
        </w:rPr>
      </w:pPr>
    </w:p>
    <w:p w14:paraId="55CEDE0D">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29" w:name="_Toc15396604"/>
      <w:bookmarkStart w:id="30" w:name="_Toc21397"/>
      <w:bookmarkStart w:id="31" w:name="_Toc15377206"/>
      <w:r>
        <w:rPr>
          <w:rFonts w:hint="eastAsia" w:ascii="Times New Roman" w:hAnsi="Times New Roman" w:eastAsia="黑体"/>
          <w:b w:val="0"/>
        </w:rPr>
        <w:t>二、收入决算情况说明</w:t>
      </w:r>
      <w:bookmarkEnd w:id="29"/>
      <w:bookmarkEnd w:id="30"/>
      <w:bookmarkEnd w:id="31"/>
    </w:p>
    <w:p w14:paraId="43E6BECC">
      <w:pPr>
        <w:pageBreakBefore w:val="0"/>
        <w:kinsoku/>
        <w:wordWrap/>
        <w:overflowPunct/>
        <w:topLinePunct w:val="0"/>
        <w:bidi w:val="0"/>
        <w:spacing w:line="576" w:lineRule="exact"/>
        <w:ind w:firstLine="640" w:firstLineChars="200"/>
        <w:textAlignment w:val="auto"/>
        <w:outlineLvl w:val="1"/>
        <w:rPr>
          <w:rFonts w:hint="eastAsia"/>
        </w:rPr>
      </w:pPr>
      <w:bookmarkStart w:id="32" w:name="_Toc12341"/>
      <w:r>
        <w:rPr>
          <w:rFonts w:hint="eastAsia" w:ascii="Times New Roman" w:hAnsi="Times New Roman" w:eastAsia="仿宋_GB2312" w:cs="仿宋_GB2312"/>
          <w:sz w:val="32"/>
          <w:szCs w:val="32"/>
        </w:rPr>
        <w:t>2021年本年收入合计1056.69万元，其中：一般公共预算财政拨款收入1056.69万元，占100%。</w:t>
      </w:r>
      <w:bookmarkEnd w:id="32"/>
      <w:r>
        <w:drawing>
          <wp:anchor distT="0" distB="0" distL="114300" distR="114300" simplePos="0" relativeHeight="251662336" behindDoc="0" locked="0" layoutInCell="1" allowOverlap="1">
            <wp:simplePos x="0" y="0"/>
            <wp:positionH relativeFrom="column">
              <wp:posOffset>547370</wp:posOffset>
            </wp:positionH>
            <wp:positionV relativeFrom="page">
              <wp:posOffset>2312035</wp:posOffset>
            </wp:positionV>
            <wp:extent cx="4572000" cy="2809875"/>
            <wp:effectExtent l="4445" t="4445" r="14605" b="508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9B5558B">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33" w:name="_Toc31856"/>
      <w:bookmarkStart w:id="34" w:name="_Toc15396605"/>
      <w:bookmarkStart w:id="35" w:name="_Toc15377207"/>
      <w:r>
        <w:rPr>
          <w:rFonts w:hint="eastAsia" w:ascii="Times New Roman" w:hAnsi="Times New Roman" w:eastAsia="黑体"/>
          <w:b w:val="0"/>
        </w:rPr>
        <w:t>三、支出决算情况说明</w:t>
      </w:r>
      <w:bookmarkEnd w:id="33"/>
      <w:bookmarkEnd w:id="34"/>
      <w:bookmarkEnd w:id="35"/>
    </w:p>
    <w:p w14:paraId="7DA3B393">
      <w:pPr>
        <w:pageBreakBefore w:val="0"/>
        <w:kinsoku/>
        <w:wordWrap/>
        <w:overflowPunct/>
        <w:topLinePunct w:val="0"/>
        <w:bidi w:val="0"/>
        <w:spacing w:line="576" w:lineRule="exact"/>
        <w:ind w:firstLine="640" w:firstLineChars="200"/>
        <w:textAlignment w:val="auto"/>
        <w:outlineLvl w:val="1"/>
        <w:rPr>
          <w:rFonts w:hint="eastAsia" w:ascii="Times New Roman" w:hAnsi="Times New Roman" w:eastAsia="仿宋_GB2312" w:cs="仿宋_GB2312"/>
          <w:sz w:val="32"/>
          <w:szCs w:val="32"/>
        </w:rPr>
      </w:pPr>
      <w:bookmarkStart w:id="36" w:name="_Toc8218"/>
      <w:r>
        <w:rPr>
          <w:rFonts w:hint="eastAsia" w:ascii="Times New Roman" w:hAnsi="Times New Roman" w:eastAsia="仿宋_GB2312" w:cs="仿宋_GB2312"/>
          <w:sz w:val="32"/>
          <w:szCs w:val="32"/>
        </w:rPr>
        <w:t>2021年本年支出合计1187.24万元，其中：基本支出681.63万元，占57.41%；项目支出505.61万元，占42.59%。</w:t>
      </w:r>
      <w:bookmarkEnd w:id="36"/>
    </w:p>
    <w:p w14:paraId="0F3CC1DD">
      <w:pPr>
        <w:pStyle w:val="2"/>
        <w:rPr>
          <w:rFonts w:hint="eastAsia"/>
        </w:rPr>
      </w:pPr>
      <w:r>
        <w:drawing>
          <wp:anchor distT="0" distB="0" distL="114300" distR="114300" simplePos="0" relativeHeight="251663360" behindDoc="0" locked="0" layoutInCell="1" allowOverlap="1">
            <wp:simplePos x="0" y="0"/>
            <wp:positionH relativeFrom="column">
              <wp:posOffset>490220</wp:posOffset>
            </wp:positionH>
            <wp:positionV relativeFrom="page">
              <wp:posOffset>6370955</wp:posOffset>
            </wp:positionV>
            <wp:extent cx="4572000" cy="2571750"/>
            <wp:effectExtent l="4445" t="4445" r="14605" b="14605"/>
            <wp:wrapTopAndBottom/>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158B7A1">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37" w:name="_Toc15377208"/>
      <w:bookmarkStart w:id="38" w:name="_Toc20473"/>
      <w:bookmarkStart w:id="39" w:name="_Toc15396606"/>
      <w:r>
        <w:rPr>
          <w:rFonts w:hint="eastAsia" w:ascii="Times New Roman" w:hAnsi="Times New Roman" w:eastAsia="黑体"/>
          <w:b w:val="0"/>
        </w:rPr>
        <w:t>四、财政拨款收入支出决算总体情况说明</w:t>
      </w:r>
      <w:bookmarkEnd w:id="37"/>
      <w:bookmarkEnd w:id="38"/>
      <w:bookmarkEnd w:id="39"/>
    </w:p>
    <w:p w14:paraId="4640E253">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color w:val="0000FF"/>
          <w:sz w:val="32"/>
          <w:szCs w:val="32"/>
        </w:rPr>
      </w:pPr>
      <w:r>
        <w:rPr>
          <w:rFonts w:hint="eastAsia" w:ascii="Times New Roman" w:hAnsi="Times New Roman" w:eastAsia="仿宋_GB2312" w:cs="仿宋_GB2312"/>
          <w:color w:val="auto"/>
          <w:sz w:val="32"/>
          <w:szCs w:val="32"/>
        </w:rPr>
        <w:t>2021年财政拨款收</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支</w:t>
      </w:r>
      <w:r>
        <w:rPr>
          <w:rFonts w:hint="eastAsia" w:ascii="Times New Roman" w:hAnsi="Times New Roman" w:eastAsia="仿宋_GB2312" w:cs="仿宋_GB2312"/>
          <w:color w:val="auto"/>
          <w:sz w:val="32"/>
          <w:szCs w:val="32"/>
        </w:rPr>
        <w:t>总计</w:t>
      </w:r>
      <w:r>
        <w:rPr>
          <w:rFonts w:hint="eastAsia" w:eastAsia="仿宋_GB2312" w:cs="仿宋_GB2312"/>
          <w:color w:val="auto"/>
          <w:sz w:val="32"/>
          <w:szCs w:val="32"/>
          <w:lang w:val="en-US" w:eastAsia="zh-CN"/>
        </w:rPr>
        <w:t>1488.1</w:t>
      </w:r>
      <w:r>
        <w:rPr>
          <w:rFonts w:hint="eastAsia" w:ascii="Times New Roman" w:hAnsi="Times New Roman" w:eastAsia="仿宋_GB2312" w:cs="仿宋_GB2312"/>
          <w:color w:val="auto"/>
          <w:sz w:val="32"/>
          <w:szCs w:val="32"/>
        </w:rPr>
        <w:t>万元。与2020年相比，财政拨款收</w:t>
      </w:r>
      <w:r>
        <w:rPr>
          <w:rFonts w:hint="eastAsia" w:eastAsia="仿宋_GB2312" w:cs="仿宋_GB2312"/>
          <w:color w:val="auto"/>
          <w:sz w:val="32"/>
          <w:szCs w:val="32"/>
          <w:lang w:eastAsia="zh-CN"/>
        </w:rPr>
        <w:t>、</w:t>
      </w:r>
      <w:r>
        <w:rPr>
          <w:rFonts w:hint="eastAsia" w:eastAsia="仿宋_GB2312" w:cs="仿宋_GB2312"/>
          <w:color w:val="auto"/>
          <w:sz w:val="32"/>
          <w:szCs w:val="32"/>
          <w:lang w:val="en-US" w:eastAsia="zh-CN"/>
        </w:rPr>
        <w:t>支</w:t>
      </w:r>
      <w:r>
        <w:rPr>
          <w:rFonts w:hint="eastAsia" w:ascii="Times New Roman" w:hAnsi="Times New Roman" w:eastAsia="仿宋_GB2312" w:cs="仿宋_GB2312"/>
          <w:color w:val="auto"/>
          <w:sz w:val="32"/>
          <w:szCs w:val="32"/>
        </w:rPr>
        <w:t>总计增</w:t>
      </w:r>
      <w:r>
        <w:rPr>
          <w:rFonts w:hint="eastAsia" w:eastAsia="仿宋_GB2312" w:cs="仿宋_GB2312"/>
          <w:color w:val="auto"/>
          <w:sz w:val="32"/>
          <w:szCs w:val="32"/>
          <w:lang w:eastAsia="zh-CN"/>
        </w:rPr>
        <w:t>增加</w:t>
      </w:r>
      <w:r>
        <w:rPr>
          <w:rFonts w:hint="eastAsia" w:eastAsia="仿宋_GB2312" w:cs="仿宋_GB2312"/>
          <w:color w:val="auto"/>
          <w:sz w:val="32"/>
          <w:szCs w:val="32"/>
          <w:lang w:val="en-US" w:eastAsia="zh-CN"/>
        </w:rPr>
        <w:t>110.51</w:t>
      </w:r>
      <w:r>
        <w:rPr>
          <w:rFonts w:hint="eastAsia" w:ascii="Times New Roman" w:hAnsi="Times New Roman" w:eastAsia="仿宋_GB2312" w:cs="仿宋_GB2312"/>
          <w:color w:val="auto"/>
          <w:sz w:val="32"/>
          <w:szCs w:val="32"/>
        </w:rPr>
        <w:t>万元，</w:t>
      </w:r>
      <w:r>
        <w:rPr>
          <w:rFonts w:hint="eastAsia" w:eastAsia="仿宋_GB2312" w:cs="仿宋_GB2312"/>
          <w:color w:val="auto"/>
          <w:sz w:val="32"/>
          <w:szCs w:val="32"/>
          <w:lang w:eastAsia="zh-CN"/>
        </w:rPr>
        <w:t>增加了</w:t>
      </w:r>
      <w:r>
        <w:rPr>
          <w:rFonts w:hint="eastAsia"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%，主要变动原因</w:t>
      </w:r>
      <w:r>
        <w:rPr>
          <w:rFonts w:hint="eastAsia"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rPr>
        <w:t>是上级追加的自然灾害救助资金数量</w:t>
      </w:r>
      <w:r>
        <w:rPr>
          <w:rFonts w:hint="eastAsia" w:eastAsia="仿宋_GB2312" w:cs="仿宋_GB2312"/>
          <w:color w:val="auto"/>
          <w:sz w:val="32"/>
          <w:szCs w:val="32"/>
          <w:lang w:eastAsia="zh-CN"/>
        </w:rPr>
        <w:t>增加，</w:t>
      </w:r>
      <w:r>
        <w:rPr>
          <w:rFonts w:hint="eastAsia"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rPr>
        <w:t>是当年其他灾害防治及应急管理支出增加。</w:t>
      </w:r>
    </w:p>
    <w:p w14:paraId="5DBC14EC">
      <w:pPr>
        <w:pStyle w:val="2"/>
        <w:rPr>
          <w:rFonts w:hint="eastAsia" w:ascii="Times New Roman" w:hAnsi="Times New Roman" w:eastAsia="黑体"/>
          <w:b w:val="0"/>
        </w:rPr>
      </w:pPr>
      <w:r>
        <w:drawing>
          <wp:anchor distT="0" distB="0" distL="114300" distR="114300" simplePos="0" relativeHeight="251666432" behindDoc="0" locked="0" layoutInCell="1" allowOverlap="1">
            <wp:simplePos x="0" y="0"/>
            <wp:positionH relativeFrom="column">
              <wp:posOffset>556895</wp:posOffset>
            </wp:positionH>
            <wp:positionV relativeFrom="page">
              <wp:posOffset>3647440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0" w:name="_Toc15377209"/>
      <w:bookmarkStart w:id="41" w:name="_Toc5115"/>
      <w:bookmarkStart w:id="42" w:name="_Toc15396607"/>
    </w:p>
    <w:p w14:paraId="7AD9D6C7">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r>
        <w:rPr>
          <w:rFonts w:hint="eastAsia" w:ascii="Times New Roman" w:hAnsi="Times New Roman" w:eastAsia="黑体"/>
          <w:b w:val="0"/>
        </w:rPr>
        <w:t>五、一般公共预算财政拨款支出决算情况说明</w:t>
      </w:r>
      <w:bookmarkEnd w:id="40"/>
      <w:bookmarkEnd w:id="41"/>
      <w:bookmarkEnd w:id="42"/>
    </w:p>
    <w:p w14:paraId="236154F4">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43" w:name="_Toc15377210"/>
      <w:r>
        <w:rPr>
          <w:rFonts w:hint="eastAsia" w:ascii="Times New Roman" w:hAnsi="Times New Roman" w:eastAsia="楷体_GB2312" w:cs="楷体_GB2312"/>
          <w:b w:val="0"/>
          <w:bCs/>
          <w:sz w:val="32"/>
          <w:szCs w:val="32"/>
        </w:rPr>
        <w:t>（一）一般公共预算财政拨款支出决算总体情况</w:t>
      </w:r>
      <w:bookmarkEnd w:id="43"/>
    </w:p>
    <w:p w14:paraId="49523D5B">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2021年一般公共预算财政拨款支出1187.24万元，占本年支出合计的100%。与2020年相比，一般公共预算财政拨款支出增加303.33万元，增长34.3%。主要变动原因是当年其他灾害防治及应急管理支出增加。</w:t>
      </w:r>
    </w:p>
    <w:p w14:paraId="27B48FBE">
      <w:pPr>
        <w:pStyle w:val="2"/>
        <w:rPr>
          <w:rFonts w:hint="eastAsia" w:ascii="Times New Roman" w:hAnsi="Times New Roman" w:eastAsia="仿宋_GB2312" w:cs="仿宋_GB2312"/>
          <w:sz w:val="32"/>
          <w:szCs w:val="32"/>
        </w:rPr>
      </w:pPr>
    </w:p>
    <w:p w14:paraId="34C54DAE">
      <w:pPr>
        <w:pStyle w:val="2"/>
        <w:rPr>
          <w:rFonts w:hint="eastAsia" w:ascii="Times New Roman" w:hAnsi="Times New Roman" w:eastAsia="仿宋_GB2312" w:cs="仿宋_GB2312"/>
          <w:sz w:val="32"/>
          <w:szCs w:val="32"/>
        </w:rPr>
      </w:pPr>
    </w:p>
    <w:p w14:paraId="39BCA0A4">
      <w:pPr>
        <w:pStyle w:val="2"/>
        <w:rPr>
          <w:rFonts w:hint="eastAsia" w:ascii="Times New Roman" w:hAnsi="Times New Roman" w:eastAsia="仿宋_GB2312" w:cs="仿宋_GB2312"/>
          <w:sz w:val="32"/>
          <w:szCs w:val="32"/>
        </w:rPr>
      </w:pPr>
    </w:p>
    <w:p w14:paraId="7DDEDCE9">
      <w:pPr>
        <w:pStyle w:val="2"/>
        <w:rPr>
          <w:rFonts w:hint="eastAsia" w:ascii="Times New Roman" w:hAnsi="Times New Roman" w:eastAsia="仿宋_GB2312" w:cs="仿宋_GB2312"/>
          <w:sz w:val="32"/>
          <w:szCs w:val="32"/>
        </w:rPr>
      </w:pPr>
      <w:r>
        <w:drawing>
          <wp:anchor distT="0" distB="0" distL="114300" distR="114300" simplePos="0" relativeHeight="251661312" behindDoc="0" locked="0" layoutInCell="1" allowOverlap="1">
            <wp:simplePos x="0" y="0"/>
            <wp:positionH relativeFrom="column">
              <wp:posOffset>537845</wp:posOffset>
            </wp:positionH>
            <wp:positionV relativeFrom="page">
              <wp:posOffset>435610</wp:posOffset>
            </wp:positionV>
            <wp:extent cx="4572000" cy="2743200"/>
            <wp:effectExtent l="4445" t="4445" r="14605" b="14605"/>
            <wp:wrapNone/>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25F5541">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44" w:name="_Toc15377211"/>
    </w:p>
    <w:p w14:paraId="7D930C7B">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p>
    <w:p w14:paraId="3906C57E">
      <w:pPr>
        <w:pageBreakBefore w:val="0"/>
        <w:kinsoku/>
        <w:wordWrap/>
        <w:overflowPunct/>
        <w:topLinePunct w:val="0"/>
        <w:bidi w:val="0"/>
        <w:spacing w:line="576" w:lineRule="exact"/>
        <w:textAlignment w:val="auto"/>
        <w:outlineLvl w:val="2"/>
        <w:rPr>
          <w:rFonts w:hint="eastAsia" w:ascii="Times New Roman" w:hAnsi="Times New Roman" w:eastAsia="楷体_GB2312" w:cs="楷体_GB2312"/>
          <w:b w:val="0"/>
          <w:bCs/>
          <w:sz w:val="32"/>
          <w:szCs w:val="32"/>
        </w:rPr>
      </w:pPr>
    </w:p>
    <w:p w14:paraId="172C0C8C">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r>
        <w:rPr>
          <w:rFonts w:hint="eastAsia" w:ascii="Times New Roman" w:hAnsi="Times New Roman" w:eastAsia="楷体_GB2312" w:cs="楷体_GB2312"/>
          <w:b w:val="0"/>
          <w:bCs/>
          <w:sz w:val="32"/>
          <w:szCs w:val="32"/>
        </w:rPr>
        <w:t>（二）一般公共预算财政拨款支出决算结构情况</w:t>
      </w:r>
      <w:bookmarkEnd w:id="44"/>
    </w:p>
    <w:p w14:paraId="25251861">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2021年一般公共预算财政拨款支出1187.24万元，主要用于以下方面:</w:t>
      </w:r>
      <w:r>
        <w:rPr>
          <w:rFonts w:hint="eastAsia" w:ascii="Times New Roman" w:hAnsi="Times New Roman" w:eastAsia="仿宋_GB2312" w:cs="仿宋_GB2312"/>
          <w:b/>
          <w:sz w:val="32"/>
          <w:szCs w:val="32"/>
        </w:rPr>
        <w:t>社会保障和就业（类）</w:t>
      </w:r>
      <w:r>
        <w:rPr>
          <w:rFonts w:hint="eastAsia" w:ascii="Times New Roman" w:hAnsi="Times New Roman" w:eastAsia="仿宋_GB2312" w:cs="仿宋_GB2312"/>
          <w:sz w:val="32"/>
          <w:szCs w:val="32"/>
        </w:rPr>
        <w:t>支出34.63万元，占2.9%；</w:t>
      </w:r>
      <w:r>
        <w:rPr>
          <w:rFonts w:hint="eastAsia" w:ascii="Times New Roman" w:hAnsi="Times New Roman" w:eastAsia="仿宋_GB2312" w:cs="仿宋_GB2312"/>
          <w:b/>
          <w:bCs/>
          <w:sz w:val="32"/>
          <w:szCs w:val="32"/>
        </w:rPr>
        <w:t>卫生健康支出18.53</w:t>
      </w:r>
      <w:r>
        <w:rPr>
          <w:rFonts w:hint="eastAsia" w:ascii="Times New Roman" w:hAnsi="Times New Roman" w:eastAsia="仿宋_GB2312" w:cs="仿宋_GB2312"/>
          <w:sz w:val="32"/>
          <w:szCs w:val="32"/>
        </w:rPr>
        <w:t>万元，占1.6%；住房保障支出41.79万元，占3.5%；灾害防治及应急管理支出（类）1092.29万元，占92%。</w:t>
      </w:r>
    </w:p>
    <w:p w14:paraId="1BFAB9CD">
      <w:pPr>
        <w:pStyle w:val="2"/>
        <w:rPr>
          <w:rFonts w:hint="eastAsia"/>
        </w:rPr>
      </w:pPr>
      <w:r>
        <w:drawing>
          <wp:anchor distT="0" distB="0" distL="114300" distR="114300" simplePos="0" relativeHeight="251664384" behindDoc="0" locked="0" layoutInCell="1" allowOverlap="1">
            <wp:simplePos x="0" y="0"/>
            <wp:positionH relativeFrom="column">
              <wp:posOffset>471170</wp:posOffset>
            </wp:positionH>
            <wp:positionV relativeFrom="page">
              <wp:posOffset>5245735</wp:posOffset>
            </wp:positionV>
            <wp:extent cx="4572000" cy="2743200"/>
            <wp:effectExtent l="4445" t="4445" r="14605" b="14605"/>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E84A629">
      <w:pPr>
        <w:pStyle w:val="2"/>
        <w:rPr>
          <w:rFonts w:hint="eastAsia"/>
        </w:rPr>
      </w:pPr>
    </w:p>
    <w:p w14:paraId="60F8F5F5">
      <w:pPr>
        <w:pStyle w:val="2"/>
        <w:rPr>
          <w:rFonts w:hint="eastAsia"/>
        </w:rPr>
      </w:pPr>
    </w:p>
    <w:p w14:paraId="5CF5D490">
      <w:pPr>
        <w:pStyle w:val="2"/>
        <w:rPr>
          <w:rFonts w:hint="eastAsia"/>
        </w:rPr>
      </w:pPr>
    </w:p>
    <w:p w14:paraId="13834408">
      <w:pPr>
        <w:pStyle w:val="2"/>
        <w:rPr>
          <w:rFonts w:hint="eastAsia"/>
        </w:rPr>
      </w:pPr>
    </w:p>
    <w:p w14:paraId="26B44FFB">
      <w:pPr>
        <w:pStyle w:val="2"/>
        <w:rPr>
          <w:rFonts w:hint="eastAsia"/>
        </w:rPr>
      </w:pPr>
    </w:p>
    <w:p w14:paraId="0D818FA8">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45" w:name="_Toc15377212"/>
    </w:p>
    <w:p w14:paraId="202C2927">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r>
        <w:rPr>
          <w:rFonts w:hint="eastAsia" w:ascii="Times New Roman" w:hAnsi="Times New Roman" w:eastAsia="楷体_GB2312" w:cs="楷体_GB2312"/>
          <w:b w:val="0"/>
          <w:bCs/>
          <w:sz w:val="32"/>
          <w:szCs w:val="32"/>
        </w:rPr>
        <w:t>（三）一般公共预算财政拨款支出决算具体情况</w:t>
      </w:r>
      <w:bookmarkEnd w:id="45"/>
    </w:p>
    <w:p w14:paraId="172C0D7C">
      <w:pPr>
        <w:pageBreakBefore w:val="0"/>
        <w:kinsoku/>
        <w:wordWrap/>
        <w:overflowPunct/>
        <w:topLinePunct w:val="0"/>
        <w:bidi w:val="0"/>
        <w:spacing w:line="576" w:lineRule="exact"/>
        <w:ind w:firstLine="643" w:firstLineChars="200"/>
        <w:textAlignment w:val="auto"/>
        <w:outlineLvl w:val="2"/>
        <w:rPr>
          <w:rFonts w:hint="eastAsia" w:ascii="Times New Roman" w:hAnsi="Times New Roman" w:eastAsia="仿宋_GB2312" w:cs="仿宋_GB2312"/>
          <w:sz w:val="32"/>
          <w:szCs w:val="32"/>
        </w:rPr>
      </w:pPr>
      <w:bookmarkStart w:id="46" w:name="_Toc15377444"/>
      <w:bookmarkStart w:id="47" w:name="_Toc15378460"/>
      <w:bookmarkStart w:id="48" w:name="_Toc15377213"/>
      <w:r>
        <w:rPr>
          <w:rFonts w:hint="eastAsia" w:ascii="Times New Roman" w:hAnsi="Times New Roman" w:eastAsia="仿宋_GB2312" w:cs="仿宋_GB2312"/>
          <w:b/>
          <w:sz w:val="32"/>
          <w:szCs w:val="32"/>
        </w:rPr>
        <w:t>2021年一般公共预算支出决算数为1187.24万元</w:t>
      </w:r>
      <w:r>
        <w:rPr>
          <w:rFonts w:hint="eastAsia" w:ascii="Times New Roman" w:hAnsi="Times New Roman" w:eastAsia="仿宋_GB2312" w:cs="仿宋_GB2312"/>
          <w:sz w:val="32"/>
          <w:szCs w:val="32"/>
        </w:rPr>
        <w:t>，</w:t>
      </w:r>
      <w:r>
        <w:rPr>
          <w:rStyle w:val="14"/>
          <w:rFonts w:hint="eastAsia" w:ascii="Times New Roman" w:hAnsi="Times New Roman" w:eastAsia="仿宋_GB2312" w:cs="仿宋_GB2312"/>
          <w:bCs/>
          <w:sz w:val="32"/>
          <w:szCs w:val="32"/>
        </w:rPr>
        <w:t>完成预算100%。其中：</w:t>
      </w:r>
      <w:bookmarkEnd w:id="46"/>
      <w:bookmarkEnd w:id="47"/>
      <w:bookmarkEnd w:id="48"/>
    </w:p>
    <w:p w14:paraId="5AF8017B">
      <w:pPr>
        <w:pageBreakBefore w:val="0"/>
        <w:kinsoku/>
        <w:wordWrap/>
        <w:overflowPunct/>
        <w:topLinePunct w:val="0"/>
        <w:bidi w:val="0"/>
        <w:spacing w:line="576" w:lineRule="exact"/>
        <w:ind w:firstLine="643" w:firstLineChars="200"/>
        <w:textAlignment w:val="auto"/>
        <w:rPr>
          <w:rFonts w:hint="eastAsia" w:ascii="Times New Roman" w:hAnsi="Times New Roman" w:eastAsia="仿宋_GB2312" w:cs="仿宋_GB2312"/>
          <w:b/>
          <w:color w:val="000000"/>
          <w:sz w:val="32"/>
          <w:szCs w:val="32"/>
        </w:rPr>
      </w:pPr>
      <w:r>
        <w:rPr>
          <w:rStyle w:val="14"/>
          <w:rFonts w:hint="eastAsia" w:ascii="Times New Roman" w:hAnsi="Times New Roman" w:eastAsia="仿宋_GB2312" w:cs="仿宋_GB2312"/>
          <w:bCs/>
          <w:color w:val="000000"/>
          <w:sz w:val="32"/>
          <w:szCs w:val="32"/>
        </w:rPr>
        <w:t>1.社会保障和就业（类）行政事业单位离退休（款）机关事业单位基本养老保险缴费支出（项）:</w:t>
      </w:r>
      <w:r>
        <w:rPr>
          <w:rStyle w:val="14"/>
          <w:rFonts w:hint="eastAsia" w:ascii="Times New Roman" w:hAnsi="Times New Roman" w:eastAsia="仿宋_GB2312" w:cs="仿宋_GB2312"/>
          <w:b w:val="0"/>
          <w:bCs/>
          <w:color w:val="000000"/>
          <w:sz w:val="32"/>
          <w:szCs w:val="32"/>
        </w:rPr>
        <w:t xml:space="preserve"> 支出决算为34.63万元，完成预算100%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6B0A525E">
      <w:pPr>
        <w:pageBreakBefore w:val="0"/>
        <w:kinsoku/>
        <w:wordWrap/>
        <w:overflowPunct/>
        <w:topLinePunct w:val="0"/>
        <w:bidi w:val="0"/>
        <w:spacing w:line="576" w:lineRule="exact"/>
        <w:ind w:firstLine="643" w:firstLineChars="200"/>
        <w:textAlignment w:val="auto"/>
        <w:rPr>
          <w:rStyle w:val="14"/>
          <w:rFonts w:hint="eastAsia" w:ascii="Times New Roman" w:hAnsi="Times New Roman" w:eastAsia="仿宋_GB2312" w:cs="仿宋_GB2312"/>
          <w:b w:val="0"/>
          <w:bCs/>
          <w:color w:val="000000"/>
          <w:sz w:val="32"/>
          <w:szCs w:val="32"/>
        </w:rPr>
      </w:pPr>
      <w:r>
        <w:rPr>
          <w:rStyle w:val="14"/>
          <w:rFonts w:hint="eastAsia" w:ascii="Times New Roman" w:hAnsi="Times New Roman" w:eastAsia="仿宋_GB2312" w:cs="仿宋_GB2312"/>
          <w:bCs/>
          <w:color w:val="000000"/>
          <w:sz w:val="32"/>
          <w:szCs w:val="32"/>
        </w:rPr>
        <w:t>2.</w:t>
      </w:r>
      <w:r>
        <w:rPr>
          <w:rFonts w:hint="eastAsia" w:ascii="Times New Roman" w:hAnsi="Times New Roman" w:eastAsia="仿宋_GB2312" w:cs="仿宋_GB2312"/>
          <w:b/>
          <w:bCs/>
          <w:color w:val="000000" w:themeColor="text1"/>
          <w:sz w:val="32"/>
          <w:szCs w:val="32"/>
          <w14:textFill>
            <w14:solidFill>
              <w14:schemeClr w14:val="tx1"/>
            </w14:solidFill>
          </w14:textFill>
        </w:rPr>
        <w:t>卫生健康</w:t>
      </w:r>
      <w:r>
        <w:rPr>
          <w:rStyle w:val="14"/>
          <w:rFonts w:hint="eastAsia" w:ascii="Times New Roman" w:hAnsi="Times New Roman" w:eastAsia="仿宋_GB2312" w:cs="仿宋_GB2312"/>
          <w:bCs/>
          <w:color w:val="000000"/>
          <w:sz w:val="32"/>
          <w:szCs w:val="32"/>
        </w:rPr>
        <w:t>（类）行政事业单位医疗（款）行政单位医疗，事业单位医疗（项）:</w:t>
      </w:r>
      <w:r>
        <w:rPr>
          <w:rStyle w:val="14"/>
          <w:rFonts w:hint="eastAsia" w:ascii="Times New Roman" w:hAnsi="Times New Roman" w:eastAsia="仿宋_GB2312" w:cs="仿宋_GB2312"/>
          <w:b w:val="0"/>
          <w:bCs/>
          <w:color w:val="000000"/>
          <w:sz w:val="32"/>
          <w:szCs w:val="32"/>
        </w:rPr>
        <w:t>支出决算为18.53万元，完成预算100%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1A47CCC6">
      <w:pPr>
        <w:pageBreakBefore w:val="0"/>
        <w:kinsoku/>
        <w:wordWrap/>
        <w:overflowPunct/>
        <w:topLinePunct w:val="0"/>
        <w:bidi w:val="0"/>
        <w:spacing w:line="576" w:lineRule="exact"/>
        <w:ind w:firstLine="643" w:firstLineChars="200"/>
        <w:textAlignment w:val="auto"/>
        <w:rPr>
          <w:rFonts w:hint="eastAsia" w:ascii="Times New Roman" w:hAnsi="Times New Roman" w:eastAsia="仿宋_GB2312" w:cs="仿宋_GB2312"/>
          <w:b/>
          <w:color w:val="000000"/>
          <w:sz w:val="32"/>
          <w:szCs w:val="32"/>
        </w:rPr>
      </w:pPr>
      <w:r>
        <w:rPr>
          <w:rStyle w:val="14"/>
          <w:rFonts w:hint="eastAsia" w:ascii="Times New Roman" w:hAnsi="Times New Roman" w:eastAsia="仿宋_GB2312" w:cs="仿宋_GB2312"/>
          <w:bCs/>
          <w:color w:val="000000"/>
          <w:sz w:val="32"/>
          <w:szCs w:val="32"/>
        </w:rPr>
        <w:t>3.</w:t>
      </w:r>
      <w:r>
        <w:rPr>
          <w:rFonts w:hint="eastAsia" w:ascii="Times New Roman" w:hAnsi="Times New Roman" w:eastAsia="仿宋_GB2312" w:cs="仿宋_GB2312"/>
          <w:b/>
          <w:bCs/>
          <w:color w:val="000000" w:themeColor="text1"/>
          <w:sz w:val="32"/>
          <w:szCs w:val="32"/>
          <w14:textFill>
            <w14:solidFill>
              <w14:schemeClr w14:val="tx1"/>
            </w14:solidFill>
          </w14:textFill>
        </w:rPr>
        <w:t>住房保障支出</w:t>
      </w:r>
      <w:r>
        <w:rPr>
          <w:rStyle w:val="14"/>
          <w:rFonts w:hint="eastAsia" w:ascii="Times New Roman" w:hAnsi="Times New Roman" w:eastAsia="仿宋_GB2312" w:cs="仿宋_GB2312"/>
          <w:bCs/>
          <w:color w:val="000000"/>
          <w:sz w:val="32"/>
          <w:szCs w:val="32"/>
        </w:rPr>
        <w:t>（类）住房改革支出（款）住房公积金（项）:</w:t>
      </w:r>
      <w:r>
        <w:rPr>
          <w:rStyle w:val="14"/>
          <w:rFonts w:hint="eastAsia" w:ascii="Times New Roman" w:hAnsi="Times New Roman" w:eastAsia="仿宋_GB2312" w:cs="仿宋_GB2312"/>
          <w:b w:val="0"/>
          <w:bCs/>
          <w:color w:val="000000"/>
          <w:sz w:val="32"/>
          <w:szCs w:val="32"/>
        </w:rPr>
        <w:t>支出决算为41.79万元，完成预算100%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00D0B5D0">
      <w:pPr>
        <w:pageBreakBefore w:val="0"/>
        <w:kinsoku/>
        <w:wordWrap/>
        <w:overflowPunct/>
        <w:topLinePunct w:val="0"/>
        <w:bidi w:val="0"/>
        <w:spacing w:line="576" w:lineRule="exact"/>
        <w:ind w:firstLine="643" w:firstLineChars="200"/>
        <w:textAlignment w:val="auto"/>
        <w:rPr>
          <w:rStyle w:val="14"/>
          <w:rFonts w:hint="eastAsia" w:ascii="Times New Roman" w:hAnsi="Times New Roman" w:eastAsia="仿宋_GB2312" w:cs="仿宋_GB2312"/>
          <w:b w:val="0"/>
          <w:bCs/>
          <w:color w:val="000000"/>
          <w:sz w:val="32"/>
          <w:szCs w:val="32"/>
        </w:rPr>
      </w:pPr>
      <w:r>
        <w:rPr>
          <w:rStyle w:val="14"/>
          <w:rFonts w:hint="eastAsia" w:ascii="Times New Roman" w:hAnsi="Times New Roman" w:eastAsia="仿宋_GB2312" w:cs="仿宋_GB2312"/>
          <w:bCs/>
          <w:color w:val="000000"/>
          <w:sz w:val="32"/>
          <w:szCs w:val="32"/>
        </w:rPr>
        <w:t>4.</w:t>
      </w:r>
      <w:r>
        <w:rPr>
          <w:rFonts w:hint="eastAsia" w:ascii="Times New Roman" w:hAnsi="Times New Roman" w:eastAsia="仿宋_GB2312" w:cs="仿宋_GB2312"/>
          <w:b/>
          <w:bCs/>
          <w:color w:val="000000" w:themeColor="text1"/>
          <w:sz w:val="32"/>
          <w:szCs w:val="32"/>
          <w14:textFill>
            <w14:solidFill>
              <w14:schemeClr w14:val="tx1"/>
            </w14:solidFill>
          </w14:textFill>
        </w:rPr>
        <w:t>灾害防治及应急管理支出</w:t>
      </w:r>
      <w:r>
        <w:rPr>
          <w:rStyle w:val="14"/>
          <w:rFonts w:hint="eastAsia" w:ascii="Times New Roman" w:hAnsi="Times New Roman" w:eastAsia="仿宋_GB2312" w:cs="仿宋_GB2312"/>
          <w:bCs/>
          <w:color w:val="000000"/>
          <w:sz w:val="32"/>
          <w:szCs w:val="32"/>
        </w:rPr>
        <w:t>（类）应急管理事务（款）行政运行（项）:</w:t>
      </w:r>
      <w:r>
        <w:rPr>
          <w:rStyle w:val="14"/>
          <w:rFonts w:hint="eastAsia" w:ascii="Times New Roman" w:hAnsi="Times New Roman" w:eastAsia="仿宋_GB2312" w:cs="仿宋_GB2312"/>
          <w:b w:val="0"/>
          <w:bCs/>
          <w:color w:val="000000"/>
          <w:sz w:val="32"/>
          <w:szCs w:val="32"/>
        </w:rPr>
        <w:t>支出决算为</w:t>
      </w:r>
      <w:r>
        <w:rPr>
          <w:rFonts w:hint="eastAsia" w:ascii="Times New Roman" w:hAnsi="Times New Roman" w:eastAsia="仿宋_GB2312" w:cs="仿宋_GB2312"/>
          <w:color w:val="000000" w:themeColor="text1"/>
          <w:sz w:val="32"/>
          <w:szCs w:val="32"/>
          <w14:textFill>
            <w14:solidFill>
              <w14:schemeClr w14:val="tx1"/>
            </w14:solidFill>
          </w14:textFill>
        </w:rPr>
        <w:t>586.68</w:t>
      </w:r>
      <w:r>
        <w:rPr>
          <w:rStyle w:val="14"/>
          <w:rFonts w:hint="eastAsia" w:ascii="Times New Roman" w:hAnsi="Times New Roman" w:eastAsia="仿宋_GB2312" w:cs="仿宋_GB2312"/>
          <w:b w:val="0"/>
          <w:bCs/>
          <w:color w:val="000000"/>
          <w:sz w:val="32"/>
          <w:szCs w:val="32"/>
        </w:rPr>
        <w:t>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24C3678F">
      <w:pPr>
        <w:pageBreakBefore w:val="0"/>
        <w:kinsoku/>
        <w:wordWrap/>
        <w:overflowPunct/>
        <w:topLinePunct w:val="0"/>
        <w:bidi w:val="0"/>
        <w:spacing w:line="576" w:lineRule="exact"/>
        <w:ind w:firstLine="643" w:firstLineChars="200"/>
        <w:textAlignment w:val="auto"/>
        <w:rPr>
          <w:rStyle w:val="14"/>
          <w:rFonts w:hint="eastAsia" w:ascii="Times New Roman" w:hAnsi="Times New Roman" w:eastAsia="仿宋_GB2312" w:cs="仿宋_GB2312"/>
          <w:b w:val="0"/>
          <w:bCs/>
          <w:color w:val="000000"/>
          <w:sz w:val="32"/>
          <w:szCs w:val="32"/>
        </w:rPr>
      </w:pPr>
      <w:r>
        <w:rPr>
          <w:rStyle w:val="14"/>
          <w:rFonts w:hint="eastAsia" w:ascii="Times New Roman" w:hAnsi="Times New Roman" w:eastAsia="仿宋_GB2312" w:cs="仿宋_GB2312"/>
          <w:bCs/>
          <w:color w:val="000000"/>
          <w:sz w:val="32"/>
          <w:szCs w:val="32"/>
        </w:rPr>
        <w:t>5.</w:t>
      </w:r>
      <w:r>
        <w:rPr>
          <w:rFonts w:hint="eastAsia" w:ascii="Times New Roman" w:hAnsi="Times New Roman" w:eastAsia="仿宋_GB2312" w:cs="仿宋_GB2312"/>
          <w:b/>
          <w:bCs/>
          <w:color w:val="000000" w:themeColor="text1"/>
          <w:sz w:val="32"/>
          <w:szCs w:val="32"/>
          <w14:textFill>
            <w14:solidFill>
              <w14:schemeClr w14:val="tx1"/>
            </w14:solidFill>
          </w14:textFill>
        </w:rPr>
        <w:t>灾害防治及应急管理支出</w:t>
      </w:r>
      <w:r>
        <w:rPr>
          <w:rStyle w:val="14"/>
          <w:rFonts w:hint="eastAsia" w:ascii="Times New Roman" w:hAnsi="Times New Roman" w:eastAsia="仿宋_GB2312" w:cs="仿宋_GB2312"/>
          <w:bCs/>
          <w:color w:val="000000"/>
          <w:sz w:val="32"/>
          <w:szCs w:val="32"/>
        </w:rPr>
        <w:t>（类）应急管理事务（款）其他应急管理支出（项）:</w:t>
      </w:r>
      <w:r>
        <w:rPr>
          <w:rStyle w:val="14"/>
          <w:rFonts w:hint="eastAsia" w:ascii="Times New Roman" w:hAnsi="Times New Roman" w:eastAsia="仿宋_GB2312" w:cs="仿宋_GB2312"/>
          <w:b w:val="0"/>
          <w:bCs/>
          <w:color w:val="000000"/>
          <w:sz w:val="32"/>
          <w:szCs w:val="32"/>
        </w:rPr>
        <w:t>支出决算为</w:t>
      </w:r>
      <w:r>
        <w:rPr>
          <w:rFonts w:hint="eastAsia" w:ascii="Times New Roman" w:hAnsi="Times New Roman" w:eastAsia="仿宋_GB2312" w:cs="仿宋_GB2312"/>
          <w:color w:val="000000" w:themeColor="text1"/>
          <w:sz w:val="32"/>
          <w:szCs w:val="32"/>
          <w14:textFill>
            <w14:solidFill>
              <w14:schemeClr w14:val="tx1"/>
            </w14:solidFill>
          </w14:textFill>
        </w:rPr>
        <w:t>147</w:t>
      </w:r>
      <w:r>
        <w:rPr>
          <w:rStyle w:val="14"/>
          <w:rFonts w:hint="eastAsia" w:ascii="Times New Roman" w:hAnsi="Times New Roman" w:eastAsia="仿宋_GB2312" w:cs="仿宋_GB2312"/>
          <w:b w:val="0"/>
          <w:bCs/>
          <w:color w:val="000000"/>
          <w:sz w:val="32"/>
          <w:szCs w:val="32"/>
        </w:rPr>
        <w:t>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546EE221">
      <w:pPr>
        <w:pageBreakBefore w:val="0"/>
        <w:kinsoku/>
        <w:wordWrap/>
        <w:overflowPunct/>
        <w:topLinePunct w:val="0"/>
        <w:bidi w:val="0"/>
        <w:spacing w:line="576" w:lineRule="exact"/>
        <w:ind w:firstLine="643" w:firstLineChars="200"/>
        <w:textAlignment w:val="auto"/>
        <w:rPr>
          <w:rStyle w:val="14"/>
          <w:rFonts w:hint="eastAsia" w:ascii="Times New Roman" w:hAnsi="Times New Roman" w:eastAsia="仿宋_GB2312" w:cs="仿宋_GB2312"/>
          <w:b w:val="0"/>
          <w:bCs/>
          <w:color w:val="000000"/>
          <w:sz w:val="32"/>
          <w:szCs w:val="32"/>
        </w:rPr>
      </w:pPr>
      <w:r>
        <w:rPr>
          <w:rStyle w:val="14"/>
          <w:rFonts w:hint="eastAsia" w:ascii="Times New Roman" w:hAnsi="Times New Roman" w:eastAsia="仿宋_GB2312" w:cs="仿宋_GB2312"/>
          <w:bCs/>
          <w:color w:val="000000"/>
          <w:sz w:val="32"/>
          <w:szCs w:val="32"/>
        </w:rPr>
        <w:t>6.</w:t>
      </w:r>
      <w:r>
        <w:rPr>
          <w:rFonts w:hint="eastAsia" w:ascii="Times New Roman" w:hAnsi="Times New Roman" w:eastAsia="仿宋_GB2312" w:cs="仿宋_GB2312"/>
          <w:b/>
          <w:bCs/>
          <w:color w:val="000000" w:themeColor="text1"/>
          <w:sz w:val="32"/>
          <w:szCs w:val="32"/>
          <w14:textFill>
            <w14:solidFill>
              <w14:schemeClr w14:val="tx1"/>
            </w14:solidFill>
          </w14:textFill>
        </w:rPr>
        <w:t>灾害防治及应急管理支出</w:t>
      </w:r>
      <w:r>
        <w:rPr>
          <w:rStyle w:val="14"/>
          <w:rFonts w:hint="eastAsia" w:ascii="Times New Roman" w:hAnsi="Times New Roman" w:eastAsia="仿宋_GB2312" w:cs="仿宋_GB2312"/>
          <w:bCs/>
          <w:color w:val="000000"/>
          <w:sz w:val="32"/>
          <w:szCs w:val="32"/>
        </w:rPr>
        <w:t>（类）自然灾害救灾及恢复重建支出（款）其他自然灾害救灾及恢复重建（项）:</w:t>
      </w:r>
      <w:r>
        <w:rPr>
          <w:rStyle w:val="14"/>
          <w:rFonts w:hint="eastAsia" w:ascii="Times New Roman" w:hAnsi="Times New Roman" w:eastAsia="仿宋_GB2312" w:cs="仿宋_GB2312"/>
          <w:b w:val="0"/>
          <w:bCs/>
          <w:color w:val="000000"/>
          <w:sz w:val="32"/>
          <w:szCs w:val="32"/>
        </w:rPr>
        <w:t>支出决算为43.61万元，完成预算100%</w:t>
      </w:r>
      <w:r>
        <w:rPr>
          <w:rStyle w:val="14"/>
          <w:rFonts w:hint="eastAsia" w:eastAsia="仿宋_GB2312" w:cs="仿宋_GB2312"/>
          <w:b w:val="0"/>
          <w:bCs/>
          <w:color w:val="000000"/>
          <w:sz w:val="32"/>
          <w:szCs w:val="32"/>
          <w:lang w:eastAsia="zh-CN"/>
        </w:rPr>
        <w:t>，</w:t>
      </w:r>
      <w:r>
        <w:rPr>
          <w:rStyle w:val="14"/>
          <w:rFonts w:hint="eastAsia" w:eastAsia="仿宋_GB2312" w:cs="仿宋_GB2312"/>
          <w:b w:val="0"/>
          <w:bCs/>
          <w:color w:val="000000"/>
          <w:sz w:val="32"/>
          <w:szCs w:val="32"/>
          <w:lang w:val="en-US" w:eastAsia="zh-CN"/>
        </w:rPr>
        <w:t>决算数等于预算数</w:t>
      </w:r>
      <w:r>
        <w:rPr>
          <w:rStyle w:val="14"/>
          <w:rFonts w:hint="eastAsia" w:ascii="Times New Roman" w:hAnsi="Times New Roman" w:eastAsia="仿宋_GB2312" w:cs="仿宋_GB2312"/>
          <w:b w:val="0"/>
          <w:bCs/>
          <w:color w:val="000000"/>
          <w:sz w:val="32"/>
          <w:szCs w:val="32"/>
        </w:rPr>
        <w:t>。</w:t>
      </w:r>
    </w:p>
    <w:p w14:paraId="25114DBA">
      <w:pPr>
        <w:pageBreakBefore w:val="0"/>
        <w:kinsoku/>
        <w:wordWrap/>
        <w:overflowPunct/>
        <w:topLinePunct w:val="0"/>
        <w:bidi w:val="0"/>
        <w:spacing w:line="576" w:lineRule="exact"/>
        <w:ind w:firstLine="643" w:firstLineChars="200"/>
        <w:textAlignment w:val="auto"/>
        <w:rPr>
          <w:rFonts w:hint="eastAsia" w:ascii="Times New Roman" w:hAnsi="Times New Roman" w:eastAsia="仿宋_GB2312" w:cs="仿宋_GB2312"/>
          <w:b/>
          <w:color w:val="000000"/>
          <w:sz w:val="32"/>
          <w:szCs w:val="32"/>
        </w:rPr>
      </w:pPr>
      <w:r>
        <w:rPr>
          <w:rStyle w:val="14"/>
          <w:rFonts w:hint="eastAsia" w:ascii="Times New Roman" w:hAnsi="Times New Roman" w:eastAsia="仿宋_GB2312" w:cs="仿宋_GB2312"/>
          <w:bCs/>
          <w:color w:val="000000"/>
          <w:sz w:val="32"/>
          <w:szCs w:val="32"/>
        </w:rPr>
        <w:t>7.</w:t>
      </w:r>
      <w:r>
        <w:rPr>
          <w:rFonts w:hint="eastAsia" w:ascii="Times New Roman" w:hAnsi="Times New Roman" w:eastAsia="仿宋_GB2312" w:cs="仿宋_GB2312"/>
          <w:b/>
          <w:bCs/>
          <w:color w:val="000000" w:themeColor="text1"/>
          <w:sz w:val="32"/>
          <w:szCs w:val="32"/>
          <w14:textFill>
            <w14:solidFill>
              <w14:schemeClr w14:val="tx1"/>
            </w14:solidFill>
          </w14:textFill>
        </w:rPr>
        <w:t>灾害防治及应急管理支出</w:t>
      </w:r>
      <w:r>
        <w:rPr>
          <w:rStyle w:val="14"/>
          <w:rFonts w:hint="eastAsia" w:ascii="Times New Roman" w:hAnsi="Times New Roman" w:eastAsia="仿宋_GB2312" w:cs="仿宋_GB2312"/>
          <w:bCs/>
          <w:color w:val="000000"/>
          <w:sz w:val="32"/>
          <w:szCs w:val="32"/>
        </w:rPr>
        <w:t>（类）其他灾害防治及应急管理支出（款）其他灾害防治及应急管理支出:</w:t>
      </w:r>
      <w:r>
        <w:rPr>
          <w:rStyle w:val="14"/>
          <w:rFonts w:hint="eastAsia" w:ascii="Times New Roman" w:hAnsi="Times New Roman" w:eastAsia="仿宋_GB2312" w:cs="仿宋_GB2312"/>
          <w:b w:val="0"/>
          <w:bCs/>
          <w:color w:val="000000"/>
          <w:sz w:val="32"/>
          <w:szCs w:val="32"/>
        </w:rPr>
        <w:t>支出决算为315万元，完成预算51.14%。</w:t>
      </w:r>
      <w:r>
        <w:rPr>
          <w:rStyle w:val="14"/>
          <w:rFonts w:hint="eastAsia" w:eastAsia="仿宋_GB2312" w:cs="仿宋_GB2312"/>
          <w:b w:val="0"/>
          <w:bCs/>
          <w:color w:val="000000"/>
          <w:sz w:val="32"/>
          <w:szCs w:val="32"/>
          <w:lang w:val="en-US" w:eastAsia="zh-CN"/>
        </w:rPr>
        <w:t>决算数小于</w:t>
      </w:r>
      <w:r>
        <w:rPr>
          <w:rStyle w:val="14"/>
          <w:rFonts w:hint="eastAsia" w:ascii="Times New Roman" w:hAnsi="Times New Roman" w:eastAsia="仿宋_GB2312" w:cs="仿宋_GB2312"/>
          <w:b w:val="0"/>
          <w:bCs/>
          <w:color w:val="000000"/>
          <w:sz w:val="32"/>
          <w:szCs w:val="32"/>
        </w:rPr>
        <w:t>的主要原因是部分自然灾害救助资金是年终决算追加的到账。</w:t>
      </w:r>
    </w:p>
    <w:p w14:paraId="0F560443">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color w:val="auto"/>
          <w:highlight w:val="none"/>
        </w:rPr>
      </w:pPr>
      <w:bookmarkStart w:id="49" w:name="_Toc15396608"/>
      <w:bookmarkStart w:id="50" w:name="_Toc15377214"/>
      <w:bookmarkStart w:id="51" w:name="_Toc8330"/>
      <w:r>
        <w:rPr>
          <w:rFonts w:hint="eastAsia" w:ascii="Times New Roman" w:hAnsi="Times New Roman" w:eastAsia="黑体"/>
          <w:b w:val="0"/>
          <w:color w:val="auto"/>
          <w:highlight w:val="none"/>
        </w:rPr>
        <w:t>六、一般公共预算财政拨款基本支出决算情况说明</w:t>
      </w:r>
      <w:bookmarkEnd w:id="49"/>
      <w:bookmarkEnd w:id="50"/>
      <w:bookmarkEnd w:id="51"/>
      <w:r>
        <w:rPr>
          <w:rFonts w:hint="eastAsia" w:ascii="Times New Roman" w:hAnsi="Times New Roman" w:eastAsia="黑体"/>
          <w:b w:val="0"/>
          <w:color w:val="auto"/>
          <w:highlight w:val="none"/>
        </w:rPr>
        <w:tab/>
      </w:r>
    </w:p>
    <w:p w14:paraId="2065C2C7">
      <w:pPr>
        <w:pageBreakBefore w:val="0"/>
        <w:kinsoku/>
        <w:wordWrap/>
        <w:overflowPunct/>
        <w:topLinePunct w:val="0"/>
        <w:bidi w:val="0"/>
        <w:spacing w:line="576" w:lineRule="exact"/>
        <w:ind w:firstLine="64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2021年一般公共预算财政拨款基本支出681.63万元，其中：</w:t>
      </w:r>
    </w:p>
    <w:p w14:paraId="183142FB">
      <w:pPr>
        <w:pageBreakBefore w:val="0"/>
        <w:kinsoku/>
        <w:wordWrap/>
        <w:overflowPunct/>
        <w:topLinePunct w:val="0"/>
        <w:bidi w:val="0"/>
        <w:spacing w:line="576" w:lineRule="exact"/>
        <w:jc w:val="left"/>
        <w:textAlignment w:val="auto"/>
        <w:rPr>
          <w:rFonts w:hint="eastAsia" w:ascii="Times New Roman" w:hAnsi="Times New Roman" w:eastAsia="仿宋_GB2312" w:cs="仿宋_GB2312"/>
          <w:sz w:val="32"/>
          <w:szCs w:val="32"/>
          <w:lang w:eastAsia="zh-CN"/>
        </w:rPr>
      </w:pPr>
      <w:r>
        <w:rPr>
          <w:rFonts w:hint="eastAsia" w:eastAsia="仿宋_GB2312" w:cs="仿宋_GB2312"/>
          <w:sz w:val="32"/>
          <w:szCs w:val="32"/>
          <w:lang w:val="en-US" w:eastAsia="zh-CN"/>
        </w:rPr>
        <w:t xml:space="preserve">  </w:t>
      </w:r>
      <w:r>
        <w:rPr>
          <w:rFonts w:hint="eastAsia" w:ascii="Times New Roman" w:hAnsi="Times New Roman" w:eastAsia="仿宋_GB2312" w:cs="仿宋_GB2312"/>
          <w:sz w:val="32"/>
          <w:szCs w:val="32"/>
        </w:rPr>
        <w:t>人员经费500万元，主要包括：基本工资、津贴补贴、伙</w:t>
      </w:r>
      <w:r>
        <w:rPr>
          <w:rFonts w:hint="eastAsia" w:eastAsia="仿宋_GB2312" w:cs="仿宋_GB2312"/>
          <w:sz w:val="32"/>
          <w:szCs w:val="32"/>
          <w:lang w:val="en-US" w:eastAsia="zh-CN"/>
        </w:rPr>
        <w:tab/>
      </w:r>
      <w:r>
        <w:rPr>
          <w:rFonts w:hint="eastAsia" w:ascii="Times New Roman" w:hAnsi="Times New Roman" w:eastAsia="仿宋_GB2312" w:cs="仿宋_GB2312"/>
          <w:sz w:val="32"/>
          <w:szCs w:val="32"/>
        </w:rPr>
        <w:t>食补助费、机关事业单位基本养老保险缴费、职业年金缴费、</w:t>
      </w:r>
      <w:r>
        <w:rPr>
          <w:rFonts w:hint="eastAsia" w:eastAsia="仿宋_GB2312" w:cs="仿宋_GB2312"/>
          <w:sz w:val="32"/>
          <w:szCs w:val="32"/>
          <w:lang w:eastAsia="zh-CN"/>
        </w:rPr>
        <w:t>职工基本医疗保险缴费、</w:t>
      </w:r>
      <w:r>
        <w:rPr>
          <w:rFonts w:hint="eastAsia" w:ascii="Times New Roman" w:hAnsi="Times New Roman" w:eastAsia="仿宋_GB2312" w:cs="仿宋_GB2312"/>
          <w:sz w:val="32"/>
          <w:szCs w:val="32"/>
        </w:rPr>
        <w:t>其他社会保障缴费、其他工资福利支出、退休费、</w:t>
      </w:r>
      <w:r>
        <w:rPr>
          <w:rFonts w:hint="eastAsia" w:eastAsia="仿宋_GB2312" w:cs="仿宋_GB2312"/>
          <w:sz w:val="32"/>
          <w:szCs w:val="32"/>
          <w:lang w:eastAsia="zh-CN"/>
        </w:rPr>
        <w:t>医疗费、</w:t>
      </w:r>
      <w:r>
        <w:rPr>
          <w:rFonts w:hint="eastAsia" w:ascii="Times New Roman" w:hAnsi="Times New Roman" w:eastAsia="仿宋_GB2312" w:cs="仿宋_GB2312"/>
          <w:sz w:val="32"/>
          <w:szCs w:val="32"/>
        </w:rPr>
        <w:t>生活补助、奖励金、住房公积金、其他对个人</w:t>
      </w:r>
      <w:r>
        <w:rPr>
          <w:rFonts w:hint="eastAsia" w:eastAsia="仿宋_GB2312" w:cs="仿宋_GB2312"/>
          <w:sz w:val="32"/>
          <w:szCs w:val="32"/>
          <w:lang w:eastAsia="zh-CN"/>
        </w:rPr>
        <w:t>和</w:t>
      </w:r>
      <w:r>
        <w:rPr>
          <w:rFonts w:hint="eastAsia" w:ascii="Times New Roman" w:hAnsi="Times New Roman" w:eastAsia="仿宋_GB2312" w:cs="仿宋_GB2312"/>
          <w:sz w:val="32"/>
          <w:szCs w:val="32"/>
        </w:rPr>
        <w:t>家庭的补助支出等。</w:t>
      </w:r>
    </w:p>
    <w:p w14:paraId="5A3503D7">
      <w:pPr>
        <w:pageBreakBefore w:val="0"/>
        <w:kinsoku/>
        <w:wordWrap/>
        <w:overflowPunct/>
        <w:topLinePunct w:val="0"/>
        <w:bidi w:val="0"/>
        <w:spacing w:line="576" w:lineRule="exact"/>
        <w:ind w:firstLine="64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公用经费181.63万元，主要包括：办公费、印刷费、手续费、水费、电费、邮电费、物业管理费、差旅费、维修（护）费、培训费、公务接待费、</w:t>
      </w:r>
      <w:r>
        <w:rPr>
          <w:rFonts w:hint="eastAsia" w:eastAsia="仿宋_GB2312" w:cs="仿宋_GB2312"/>
          <w:sz w:val="32"/>
          <w:szCs w:val="32"/>
          <w:lang w:eastAsia="zh-CN"/>
        </w:rPr>
        <w:t>专用材料费、</w:t>
      </w:r>
      <w:r>
        <w:rPr>
          <w:rFonts w:hint="eastAsia" w:ascii="Times New Roman" w:hAnsi="Times New Roman" w:eastAsia="仿宋_GB2312" w:cs="仿宋_GB2312"/>
          <w:sz w:val="32"/>
          <w:szCs w:val="32"/>
        </w:rPr>
        <w:t>劳务费、委托业务费、工会经费、公务用车运行维护费、其他交通费、其他商品和服务支出等。</w:t>
      </w:r>
    </w:p>
    <w:p w14:paraId="0BD9F865">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52" w:name="_Toc15396609"/>
      <w:bookmarkStart w:id="53" w:name="_Toc14026"/>
      <w:bookmarkStart w:id="54" w:name="_Toc15377215"/>
      <w:r>
        <w:rPr>
          <w:rFonts w:hint="eastAsia" w:ascii="Times New Roman" w:hAnsi="Times New Roman" w:eastAsia="黑体"/>
          <w:b w:val="0"/>
        </w:rPr>
        <w:t>七、“三公”经费财政拨款支出决算情况说明</w:t>
      </w:r>
      <w:bookmarkEnd w:id="52"/>
      <w:bookmarkEnd w:id="53"/>
      <w:bookmarkEnd w:id="54"/>
    </w:p>
    <w:p w14:paraId="390BDD09">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55" w:name="_Toc15377216"/>
      <w:r>
        <w:rPr>
          <w:rFonts w:hint="eastAsia" w:ascii="Times New Roman" w:hAnsi="Times New Roman" w:eastAsia="楷体_GB2312" w:cs="楷体_GB2312"/>
          <w:b w:val="0"/>
          <w:bCs/>
          <w:sz w:val="32"/>
          <w:szCs w:val="32"/>
        </w:rPr>
        <w:t>（一）“三公”经费财政拨款支出决算总体情况说明</w:t>
      </w:r>
      <w:bookmarkEnd w:id="55"/>
    </w:p>
    <w:p w14:paraId="1E880F34">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2021年“三公”经费财政拨款支出决算为14.15万元，完成预算20.35%，决算数小于预算数的主要原因是</w:t>
      </w:r>
      <w:r>
        <w:rPr>
          <w:rFonts w:hint="eastAsia" w:ascii="Times New Roman" w:hAnsi="Times New Roman" w:eastAsia="仿宋_GB2312" w:cs="仿宋_GB2312"/>
          <w:color w:val="000000"/>
          <w:sz w:val="32"/>
          <w:szCs w:val="32"/>
        </w:rPr>
        <w:t>严格执行中央八项规定，严格接待标准和规模，严格管理公务用车使用</w:t>
      </w:r>
      <w:r>
        <w:rPr>
          <w:rFonts w:hint="eastAsia" w:ascii="Times New Roman" w:hAnsi="Times New Roman" w:eastAsia="仿宋_GB2312" w:cs="仿宋_GB2312"/>
          <w:sz w:val="32"/>
          <w:szCs w:val="32"/>
        </w:rPr>
        <w:t>。</w:t>
      </w:r>
    </w:p>
    <w:p w14:paraId="0D0EFEB1">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56" w:name="_Toc15377217"/>
      <w:r>
        <w:rPr>
          <w:rFonts w:hint="eastAsia" w:ascii="Times New Roman" w:hAnsi="Times New Roman" w:eastAsia="楷体_GB2312" w:cs="楷体_GB2312"/>
          <w:b w:val="0"/>
          <w:bCs/>
          <w:sz w:val="32"/>
          <w:szCs w:val="32"/>
        </w:rPr>
        <w:t>（二）“三公”经费财政拨款支出决算具体情况说明</w:t>
      </w:r>
      <w:bookmarkEnd w:id="56"/>
    </w:p>
    <w:p w14:paraId="705632BD">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2021年“三公”经费财政拨款支出决算中，因公出国（境）费支出决算0万元，占0%；公务用车购置及运行维护费支出决算9.95万元，占70.3%；公务接待费支出决算4.2万元，占29.7%。</w:t>
      </w:r>
      <w:r>
        <w:drawing>
          <wp:anchor distT="0" distB="0" distL="114300" distR="114300" simplePos="0" relativeHeight="251665408" behindDoc="0" locked="0" layoutInCell="1" allowOverlap="1">
            <wp:simplePos x="0" y="0"/>
            <wp:positionH relativeFrom="column">
              <wp:posOffset>490220</wp:posOffset>
            </wp:positionH>
            <wp:positionV relativeFrom="page">
              <wp:posOffset>1185545</wp:posOffset>
            </wp:positionV>
            <wp:extent cx="4572000" cy="3000375"/>
            <wp:effectExtent l="4445" t="4445" r="14605" b="5080"/>
            <wp:wrapTopAndBottom/>
            <wp:docPr id="6"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sz w:val="32"/>
          <w:szCs w:val="32"/>
        </w:rPr>
        <w:t>具体情况如下：</w:t>
      </w:r>
    </w:p>
    <w:p w14:paraId="7FE72EBC">
      <w:pPr>
        <w:pageBreakBefore w:val="0"/>
        <w:kinsoku/>
        <w:wordWrap/>
        <w:overflowPunct/>
        <w:topLinePunct w:val="0"/>
        <w:bidi w:val="0"/>
        <w:spacing w:line="576" w:lineRule="exact"/>
        <w:ind w:firstLine="645"/>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1.因公出国（境）经费支出0</w:t>
      </w:r>
      <w:r>
        <w:rPr>
          <w:rFonts w:hint="eastAsia" w:ascii="Times New Roman" w:hAnsi="Times New Roman" w:eastAsia="仿宋_GB2312" w:cs="仿宋_GB2312"/>
          <w:sz w:val="32"/>
          <w:szCs w:val="32"/>
        </w:rPr>
        <w:t>万元，年初未安排预算。 因公出国（境）支出决算较2020年无变化。</w:t>
      </w:r>
    </w:p>
    <w:p w14:paraId="420A1CD6">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2.公务用车购置及运行维护费支出9.95</w:t>
      </w:r>
      <w:r>
        <w:rPr>
          <w:rFonts w:hint="eastAsia" w:ascii="Times New Roman" w:hAnsi="Times New Roman" w:eastAsia="仿宋_GB2312" w:cs="仿宋_GB2312"/>
          <w:sz w:val="32"/>
          <w:szCs w:val="32"/>
        </w:rPr>
        <w:t>万元,</w:t>
      </w:r>
      <w:r>
        <w:rPr>
          <w:rStyle w:val="14"/>
          <w:rFonts w:hint="eastAsia" w:ascii="Times New Roman" w:hAnsi="Times New Roman" w:eastAsia="仿宋_GB2312" w:cs="仿宋_GB2312"/>
          <w:b w:val="0"/>
          <w:bCs/>
          <w:sz w:val="32"/>
          <w:szCs w:val="32"/>
        </w:rPr>
        <w:t>完成预算34.7%。</w:t>
      </w:r>
      <w:r>
        <w:rPr>
          <w:rFonts w:hint="eastAsia" w:ascii="Times New Roman" w:hAnsi="Times New Roman" w:eastAsia="仿宋_GB2312" w:cs="仿宋_GB2312"/>
          <w:sz w:val="32"/>
          <w:szCs w:val="32"/>
        </w:rPr>
        <w:t>公务用车购置及运行维护费支出决算比2020年增加2.71万元，增长37.4%。主要原因是2021年末新购置执法车一辆。</w:t>
      </w:r>
    </w:p>
    <w:p w14:paraId="6880FE83">
      <w:pPr>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sz w:val="32"/>
          <w:szCs w:val="32"/>
        </w:rPr>
        <w:t>其中：</w:t>
      </w:r>
      <w:r>
        <w:rPr>
          <w:rFonts w:hint="eastAsia" w:ascii="Times New Roman" w:hAnsi="Times New Roman" w:eastAsia="仿宋_GB2312" w:cs="仿宋_GB2312"/>
          <w:b/>
          <w:sz w:val="32"/>
          <w:szCs w:val="32"/>
        </w:rPr>
        <w:t>公务用车购置支出0</w:t>
      </w:r>
      <w:r>
        <w:rPr>
          <w:rFonts w:hint="eastAsia" w:ascii="Times New Roman" w:hAnsi="Times New Roman" w:eastAsia="仿宋_GB2312" w:cs="仿宋_GB2312"/>
          <w:sz w:val="32"/>
          <w:szCs w:val="32"/>
        </w:rPr>
        <w:t>万元。全年按规定更新购置公务用车0辆。截至2021年12月底，单位共有公务用车6辆，其中：执法车3辆，特种作业车1辆，摩托车2辆。</w:t>
      </w:r>
    </w:p>
    <w:p w14:paraId="1D53906B">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公务用车运行维护费支出9.95</w:t>
      </w:r>
      <w:r>
        <w:rPr>
          <w:rFonts w:hint="eastAsia" w:ascii="Times New Roman" w:hAnsi="Times New Roman" w:eastAsia="仿宋_GB2312" w:cs="仿宋_GB2312"/>
          <w:sz w:val="32"/>
          <w:szCs w:val="32"/>
        </w:rPr>
        <w:t>万元。主要用于安全执法监督检查、森林防灭火、防汛指挥部，防灾救灾，应急抢险，人工影响天气等所需的公务用车燃料费、维修费、过路过桥费、保险费等支出。</w:t>
      </w:r>
    </w:p>
    <w:p w14:paraId="3A46A6A6">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3.公务接待费支出4.2</w:t>
      </w:r>
      <w:r>
        <w:rPr>
          <w:rFonts w:hint="eastAsia" w:ascii="Times New Roman" w:hAnsi="Times New Roman" w:eastAsia="仿宋_GB2312" w:cs="仿宋_GB2312"/>
          <w:sz w:val="32"/>
          <w:szCs w:val="32"/>
        </w:rPr>
        <w:t>万元，</w:t>
      </w:r>
      <w:r>
        <w:rPr>
          <w:rStyle w:val="14"/>
          <w:rFonts w:hint="eastAsia" w:ascii="Times New Roman" w:hAnsi="Times New Roman" w:eastAsia="仿宋_GB2312" w:cs="仿宋_GB2312"/>
          <w:b w:val="0"/>
          <w:bCs/>
          <w:sz w:val="32"/>
          <w:szCs w:val="32"/>
        </w:rPr>
        <w:t>完成预算72.4%。</w:t>
      </w:r>
      <w:r>
        <w:rPr>
          <w:rFonts w:hint="eastAsia" w:ascii="Times New Roman" w:hAnsi="Times New Roman" w:eastAsia="仿宋_GB2312" w:cs="仿宋_GB2312"/>
          <w:sz w:val="32"/>
          <w:szCs w:val="32"/>
        </w:rPr>
        <w:t>公务接待费支出决算比2020年增加1.81万元，增长75*%。主要原因是省市督导森工作增加及防汛指挥部职能划转。其中：</w:t>
      </w:r>
    </w:p>
    <w:p w14:paraId="31515EE8">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国内公务接待支出4.2</w:t>
      </w:r>
      <w:r>
        <w:rPr>
          <w:rFonts w:hint="eastAsia" w:ascii="Times New Roman" w:hAnsi="Times New Roman" w:eastAsia="仿宋_GB2312" w:cs="仿宋_GB2312"/>
          <w:sz w:val="32"/>
          <w:szCs w:val="32"/>
        </w:rPr>
        <w:t>万元，主要用于日常上级督导检查所发生的公务接待。国内公务接待140批次，690人次（不包括陪同人员），共计支出4.2万元，具体内容包括：省市督导检查生活支出4.2万元。</w:t>
      </w:r>
    </w:p>
    <w:p w14:paraId="725FC911">
      <w:pPr>
        <w:pageBreakBefore w:val="0"/>
        <w:kinsoku/>
        <w:wordWrap/>
        <w:overflowPunct/>
        <w:topLinePunct w:val="0"/>
        <w:bidi w:val="0"/>
        <w:spacing w:line="576" w:lineRule="exact"/>
        <w:ind w:firstLine="645"/>
        <w:textAlignment w:val="auto"/>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外事接待支出0</w:t>
      </w:r>
      <w:r>
        <w:rPr>
          <w:rFonts w:hint="eastAsia" w:ascii="Times New Roman" w:hAnsi="Times New Roman" w:eastAsia="仿宋_GB2312" w:cs="仿宋_GB2312"/>
          <w:sz w:val="32"/>
          <w:szCs w:val="32"/>
        </w:rPr>
        <w:t>万元</w:t>
      </w:r>
      <w:bookmarkStart w:id="57" w:name="_Toc15377218"/>
      <w:bookmarkStart w:id="58" w:name="_Toc15396610"/>
      <w:r>
        <w:rPr>
          <w:rFonts w:hint="eastAsia" w:ascii="Times New Roman" w:hAnsi="Times New Roman" w:eastAsia="仿宋_GB2312" w:cs="仿宋_GB2312"/>
          <w:sz w:val="32"/>
          <w:szCs w:val="32"/>
        </w:rPr>
        <w:t>。</w:t>
      </w:r>
    </w:p>
    <w:p w14:paraId="14751720">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59" w:name="_Toc12079"/>
      <w:r>
        <w:rPr>
          <w:rFonts w:hint="eastAsia" w:ascii="Times New Roman" w:hAnsi="Times New Roman" w:eastAsia="黑体"/>
          <w:b w:val="0"/>
        </w:rPr>
        <w:t>八、政府性基金预算支出决算情况说明</w:t>
      </w:r>
      <w:bookmarkEnd w:id="57"/>
      <w:bookmarkEnd w:id="58"/>
      <w:bookmarkEnd w:id="59"/>
    </w:p>
    <w:p w14:paraId="0E8BC1A3">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2021年政府性基金预算财政拨款支出0万元。</w:t>
      </w:r>
    </w:p>
    <w:p w14:paraId="476A4768">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60" w:name="_Toc1991"/>
      <w:bookmarkStart w:id="61" w:name="_Toc15377219"/>
      <w:bookmarkStart w:id="62" w:name="_Toc15396611"/>
      <w:r>
        <w:rPr>
          <w:rFonts w:hint="eastAsia" w:ascii="Times New Roman" w:hAnsi="Times New Roman" w:eastAsia="黑体"/>
          <w:b w:val="0"/>
          <w:lang w:val="en-US" w:eastAsia="zh-CN"/>
        </w:rPr>
        <w:t>九、</w:t>
      </w:r>
      <w:r>
        <w:rPr>
          <w:rFonts w:hint="eastAsia" w:ascii="Times New Roman" w:hAnsi="Times New Roman" w:eastAsia="黑体"/>
          <w:b w:val="0"/>
        </w:rPr>
        <w:t>国有资本经营预算支出决算情况说明</w:t>
      </w:r>
      <w:bookmarkEnd w:id="60"/>
      <w:bookmarkEnd w:id="61"/>
      <w:bookmarkEnd w:id="62"/>
    </w:p>
    <w:p w14:paraId="329D40C0">
      <w:pPr>
        <w:pageBreakBefore w:val="0"/>
        <w:kinsoku/>
        <w:wordWrap/>
        <w:overflowPunct/>
        <w:topLinePunct w:val="0"/>
        <w:bidi w:val="0"/>
        <w:spacing w:line="576"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2021年国有资本经营预算财政拨款支出0万元。</w:t>
      </w:r>
    </w:p>
    <w:p w14:paraId="5F8915C0">
      <w:pPr>
        <w:numPr>
          <w:ilvl w:val="0"/>
          <w:numId w:val="0"/>
        </w:numPr>
        <w:spacing w:line="600" w:lineRule="exact"/>
        <w:ind w:firstLine="640" w:firstLineChars="200"/>
        <w:outlineLvl w:val="1"/>
        <w:rPr>
          <w:rStyle w:val="25"/>
          <w:rFonts w:hint="eastAsia" w:ascii="黑体" w:hAnsi="黑体" w:eastAsia="黑体"/>
          <w:b w:val="0"/>
          <w:color w:val="auto"/>
          <w:highlight w:val="none"/>
        </w:rPr>
      </w:pPr>
      <w:bookmarkStart w:id="63" w:name="_Toc15396612"/>
      <w:bookmarkStart w:id="64" w:name="_Toc15377221"/>
      <w:r>
        <w:rPr>
          <w:rStyle w:val="25"/>
          <w:rFonts w:hint="eastAsia" w:ascii="黑体" w:hAnsi="黑体" w:eastAsia="黑体"/>
          <w:b w:val="0"/>
          <w:color w:val="auto"/>
          <w:highlight w:val="none"/>
          <w:lang w:val="en-US" w:eastAsia="zh-CN"/>
        </w:rPr>
        <w:t>十、预算绩效管理情况</w:t>
      </w:r>
    </w:p>
    <w:p w14:paraId="5F1759D0">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《全国第一次自然灾害风向普查工作经费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14:paraId="1EDD956C">
      <w:pPr>
        <w:pStyle w:val="4"/>
        <w:pageBreakBefore w:val="0"/>
        <w:kinsoku/>
        <w:wordWrap/>
        <w:overflowPunct/>
        <w:topLinePunct w:val="0"/>
        <w:bidi w:val="0"/>
        <w:spacing w:before="0" w:after="0" w:line="576" w:lineRule="exact"/>
        <w:ind w:firstLine="640" w:firstLineChars="200"/>
        <w:textAlignment w:val="auto"/>
        <w:rPr>
          <w:rFonts w:hint="eastAsia" w:ascii="Times New Roman" w:hAnsi="Times New Roman" w:eastAsia="黑体"/>
          <w:b w:val="0"/>
        </w:rPr>
      </w:pPr>
      <w:bookmarkStart w:id="65" w:name="_Toc643"/>
      <w:r>
        <w:rPr>
          <w:rFonts w:hint="eastAsia" w:ascii="Times New Roman" w:hAnsi="Times New Roman" w:eastAsia="黑体"/>
          <w:b w:val="0"/>
          <w:lang w:val="en-US" w:eastAsia="zh-CN"/>
        </w:rPr>
        <w:t>十一、</w:t>
      </w:r>
      <w:r>
        <w:rPr>
          <w:rFonts w:hint="eastAsia" w:ascii="Times New Roman" w:hAnsi="Times New Roman" w:eastAsia="黑体"/>
          <w:b w:val="0"/>
        </w:rPr>
        <w:t>其他重要事项的情况说明</w:t>
      </w:r>
      <w:bookmarkEnd w:id="63"/>
      <w:bookmarkEnd w:id="64"/>
      <w:bookmarkEnd w:id="65"/>
    </w:p>
    <w:p w14:paraId="532127B9">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66" w:name="_Toc15377222"/>
      <w:r>
        <w:rPr>
          <w:rFonts w:hint="eastAsia" w:ascii="Times New Roman" w:hAnsi="Times New Roman" w:eastAsia="楷体_GB2312" w:cs="楷体_GB2312"/>
          <w:b w:val="0"/>
          <w:bCs/>
          <w:sz w:val="32"/>
          <w:szCs w:val="32"/>
        </w:rPr>
        <w:t>（一）机关运行经费支出情况</w:t>
      </w:r>
      <w:bookmarkEnd w:id="66"/>
    </w:p>
    <w:p w14:paraId="7E3E67F1">
      <w:pPr>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2021年，区应急管理局机关运行经费支出181.63万元，比2020年增加20.76万元，增长12.9%。主要原因是职能划转，增加了防汛指挥部日常工作。</w:t>
      </w:r>
    </w:p>
    <w:p w14:paraId="068A7EFA">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67" w:name="_Toc15377223"/>
      <w:r>
        <w:rPr>
          <w:rFonts w:hint="eastAsia" w:ascii="Times New Roman" w:hAnsi="Times New Roman" w:eastAsia="楷体_GB2312" w:cs="楷体_GB2312"/>
          <w:b w:val="0"/>
          <w:bCs/>
          <w:sz w:val="32"/>
          <w:szCs w:val="32"/>
        </w:rPr>
        <w:t>（二）政府采购支出情况</w:t>
      </w:r>
      <w:bookmarkEnd w:id="67"/>
    </w:p>
    <w:p w14:paraId="5224414C">
      <w:pPr>
        <w:pageBreakBefore w:val="0"/>
        <w:kinsoku/>
        <w:wordWrap/>
        <w:overflowPunct/>
        <w:topLinePunct w:val="0"/>
        <w:bidi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2021年，区应急管理局政府采购支出总额0万元，</w:t>
      </w:r>
      <w:r>
        <w:rPr>
          <w:rFonts w:hint="eastAsia" w:ascii="仿宋_GB2312" w:eastAsia="仿宋_GB2312"/>
          <w:color w:val="auto"/>
          <w:sz w:val="32"/>
          <w:szCs w:val="32"/>
          <w:highlight w:val="none"/>
        </w:rPr>
        <w:t>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5CA5E39">
      <w:pPr>
        <w:pageBreakBefore w:val="0"/>
        <w:kinsoku/>
        <w:wordWrap/>
        <w:overflowPunct/>
        <w:topLinePunct w:val="0"/>
        <w:bidi w:val="0"/>
        <w:spacing w:line="576" w:lineRule="exact"/>
        <w:ind w:firstLine="640" w:firstLineChars="200"/>
        <w:textAlignment w:val="auto"/>
        <w:outlineLvl w:val="2"/>
        <w:rPr>
          <w:rFonts w:hint="eastAsia" w:ascii="Times New Roman" w:hAnsi="Times New Roman" w:eastAsia="楷体_GB2312" w:cs="楷体_GB2312"/>
          <w:b w:val="0"/>
          <w:bCs/>
          <w:sz w:val="32"/>
          <w:szCs w:val="32"/>
        </w:rPr>
      </w:pPr>
      <w:bookmarkStart w:id="68" w:name="_Toc15377224"/>
      <w:r>
        <w:rPr>
          <w:rFonts w:hint="eastAsia" w:ascii="Times New Roman" w:hAnsi="Times New Roman" w:eastAsia="楷体_GB2312" w:cs="楷体_GB2312"/>
          <w:b w:val="0"/>
          <w:bCs/>
          <w:sz w:val="32"/>
          <w:szCs w:val="32"/>
        </w:rPr>
        <w:t>（三）国有资产占有使用情况</w:t>
      </w:r>
      <w:bookmarkEnd w:id="68"/>
    </w:p>
    <w:p w14:paraId="32958A18">
      <w:pPr>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截至2021年12月31日，区应急管理局共有车辆6辆，其中：执法车3辆，特种作业车1辆，摩托车2辆。主要用于安全执法监督检查、森林防灭火、防汛指挥部，防灾救灾，应急抢险，人工影响天气等。单价50万元以上通用设备0台（套），单价100万元以上专用设备0台（套）。</w:t>
      </w:r>
    </w:p>
    <w:p w14:paraId="7CFCD536">
      <w:pPr>
        <w:pStyle w:val="2"/>
        <w:rPr>
          <w:rFonts w:hint="eastAsia" w:ascii="Times New Roman" w:hAnsi="Times New Roman"/>
        </w:rPr>
      </w:pPr>
    </w:p>
    <w:p w14:paraId="3DEA73CE">
      <w:pPr>
        <w:pStyle w:val="2"/>
        <w:keepNext w:val="0"/>
        <w:keepLines w:val="0"/>
        <w:pageBreakBefore w:val="0"/>
        <w:widowControl w:val="0"/>
        <w:kinsoku/>
        <w:wordWrap/>
        <w:overflowPunct/>
        <w:topLinePunct w:val="0"/>
        <w:autoSpaceDE/>
        <w:autoSpaceDN/>
        <w:bidi w:val="0"/>
        <w:adjustRightInd/>
        <w:snapToGrid/>
        <w:spacing w:beforeLines="0" w:line="240" w:lineRule="exact"/>
        <w:textAlignment w:val="auto"/>
        <w:rPr>
          <w:rFonts w:hint="eastAsia" w:ascii="Times New Roman" w:hAnsi="Times New Roman"/>
        </w:rPr>
      </w:pPr>
    </w:p>
    <w:p w14:paraId="76BD2BA7">
      <w:pPr>
        <w:pStyle w:val="3"/>
        <w:pageBreakBefore w:val="0"/>
        <w:kinsoku/>
        <w:wordWrap/>
        <w:overflowPunct/>
        <w:topLinePunct w:val="0"/>
        <w:bidi w:val="0"/>
        <w:spacing w:before="0" w:after="0" w:line="576" w:lineRule="exact"/>
        <w:jc w:val="center"/>
        <w:textAlignment w:val="auto"/>
        <w:rPr>
          <w:rFonts w:hint="eastAsia" w:ascii="Times New Roman" w:hAnsi="Times New Roman" w:eastAsia="黑体"/>
          <w:b w:val="0"/>
        </w:rPr>
      </w:pPr>
      <w:bookmarkStart w:id="69" w:name="_Toc30233"/>
      <w:bookmarkStart w:id="70" w:name="_Toc15377225"/>
      <w:bookmarkStart w:id="71" w:name="_Toc15396613"/>
      <w:r>
        <w:rPr>
          <w:rFonts w:hint="eastAsia" w:ascii="Times New Roman" w:hAnsi="Times New Roman" w:eastAsia="黑体"/>
          <w:b w:val="0"/>
          <w:lang w:val="en-US" w:eastAsia="zh-CN"/>
        </w:rPr>
        <w:t xml:space="preserve">第三部分  </w:t>
      </w:r>
      <w:r>
        <w:rPr>
          <w:rFonts w:hint="eastAsia" w:ascii="Times New Roman" w:hAnsi="Times New Roman" w:eastAsia="黑体"/>
          <w:b w:val="0"/>
        </w:rPr>
        <w:t>名词解释</w:t>
      </w:r>
      <w:bookmarkEnd w:id="69"/>
      <w:bookmarkEnd w:id="70"/>
      <w:bookmarkEnd w:id="71"/>
    </w:p>
    <w:p w14:paraId="6D689784">
      <w:pPr>
        <w:pageBreakBefore w:val="0"/>
        <w:kinsoku/>
        <w:wordWrap/>
        <w:overflowPunct/>
        <w:topLinePunct w:val="0"/>
        <w:bidi w:val="0"/>
        <w:spacing w:line="576" w:lineRule="exact"/>
        <w:jc w:val="left"/>
        <w:textAlignment w:val="auto"/>
        <w:rPr>
          <w:rFonts w:ascii="Times New Roman" w:hAnsi="Times New Roman"/>
          <w:b/>
          <w:sz w:val="44"/>
          <w:szCs w:val="44"/>
        </w:rPr>
      </w:pPr>
    </w:p>
    <w:p w14:paraId="7760A15A">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财政拨款收入：指单位从同级财政部门取得的财政预算资金。</w:t>
      </w:r>
    </w:p>
    <w:p w14:paraId="47636F5C">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2.</w:t>
      </w:r>
      <w:r>
        <w:rPr>
          <w:rFonts w:hint="eastAsia" w:ascii="Times New Roman" w:hAnsi="Times New Roman" w:eastAsia="仿宋_GB2312"/>
          <w:color w:val="auto"/>
          <w:sz w:val="32"/>
          <w:szCs w:val="32"/>
        </w:rPr>
        <w:t>事业收入：指事业单位开展专业业务活动及辅助活动取得的收入。。</w:t>
      </w:r>
    </w:p>
    <w:p w14:paraId="6509CFF1">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3.</w:t>
      </w:r>
      <w:r>
        <w:rPr>
          <w:rFonts w:hint="eastAsia" w:ascii="Times New Roman" w:hAnsi="Times New Roman" w:eastAsia="仿宋_GB2312"/>
          <w:color w:val="auto"/>
          <w:sz w:val="32"/>
          <w:szCs w:val="32"/>
        </w:rPr>
        <w:t>经营收入：指事业单位在专业业务活动及其辅助活动之外开展非独立核算经营活动取得的收入。</w:t>
      </w:r>
    </w:p>
    <w:p w14:paraId="2FD3B10C">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4.</w:t>
      </w:r>
      <w:r>
        <w:rPr>
          <w:rFonts w:hint="eastAsia" w:ascii="Times New Roman" w:hAnsi="Times New Roman" w:eastAsia="仿宋_GB2312"/>
          <w:color w:val="auto"/>
          <w:sz w:val="32"/>
          <w:szCs w:val="32"/>
        </w:rPr>
        <w:t>其他收入：指单位取得的除上述收入以外的各项收入。主要利息收入（收入类型）等。</w:t>
      </w:r>
      <w:r>
        <w:rPr>
          <w:rFonts w:ascii="Times New Roman" w:hAnsi="Times New Roman" w:eastAsia="仿宋_GB2312"/>
          <w:color w:val="auto"/>
          <w:sz w:val="32"/>
          <w:szCs w:val="32"/>
        </w:rPr>
        <w:t xml:space="preserve"> </w:t>
      </w:r>
    </w:p>
    <w:p w14:paraId="6D0DAD4B">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使用非财政拨款结余：指事业单位使用以前年度积累的非财政拨款结余弥补当年收支差额的金额。</w:t>
      </w:r>
      <w:r>
        <w:rPr>
          <w:rFonts w:ascii="Times New Roman" w:hAnsi="Times New Roman" w:eastAsia="仿宋_GB2312"/>
          <w:color w:val="auto"/>
          <w:sz w:val="32"/>
          <w:szCs w:val="32"/>
        </w:rPr>
        <w:t xml:space="preserve"> </w:t>
      </w:r>
    </w:p>
    <w:p w14:paraId="79FDE351">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6.</w:t>
      </w:r>
      <w:r>
        <w:rPr>
          <w:rFonts w:hint="eastAsia" w:ascii="Times New Roman" w:hAnsi="Times New Roman" w:eastAsia="仿宋_GB2312"/>
          <w:color w:val="auto"/>
          <w:sz w:val="32"/>
          <w:szCs w:val="32"/>
        </w:rPr>
        <w:t>年初结转和结余：指以前年度尚未完成、结转到本年按有关规定继续使用的资金。</w:t>
      </w:r>
      <w:r>
        <w:rPr>
          <w:rFonts w:ascii="Times New Roman" w:hAnsi="Times New Roman" w:eastAsia="仿宋_GB2312"/>
          <w:color w:val="auto"/>
          <w:sz w:val="32"/>
          <w:szCs w:val="32"/>
        </w:rPr>
        <w:t xml:space="preserve"> </w:t>
      </w:r>
    </w:p>
    <w:p w14:paraId="4783B943">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7.</w:t>
      </w:r>
      <w:r>
        <w:rPr>
          <w:rFonts w:hint="eastAsia" w:ascii="Times New Roman" w:hAnsi="Times New Roman" w:eastAsia="仿宋_GB2312"/>
          <w:color w:val="auto"/>
          <w:sz w:val="32"/>
          <w:szCs w:val="32"/>
        </w:rPr>
        <w:t>结余分配：指事业单位按照会计制度规定缴纳的所得税、提取的专用结余以及转入非财政拨款结余的金额等。</w:t>
      </w:r>
    </w:p>
    <w:p w14:paraId="7DFFAF88">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8</w:t>
      </w:r>
      <w:r>
        <w:rPr>
          <w:rFonts w:hint="eastAsia" w:ascii="Times New Roman" w:hAnsi="Times New Roman" w:eastAsia="仿宋_GB2312"/>
          <w:color w:val="auto"/>
          <w:sz w:val="32"/>
          <w:szCs w:val="32"/>
        </w:rPr>
        <w:t>、年末结转和结余：指单位按有关规定结转到下年或以后年度继续使用的资金。</w:t>
      </w:r>
    </w:p>
    <w:p w14:paraId="39ABCF6B">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w:t>
      </w:r>
      <w:r>
        <w:rPr>
          <w:rFonts w:hint="eastAsia" w:ascii="Times New Roman" w:hAnsi="Times New Roman" w:eastAsia="仿宋_GB2312"/>
          <w:sz w:val="32"/>
          <w:szCs w:val="32"/>
        </w:rPr>
        <w:t>社会保障和就业支出（类）行政事业单位养老支出（款）机关事业单位基本养老保险缴费支出（项）：指在单位编职工的全年基本养老保险支出。</w:t>
      </w:r>
    </w:p>
    <w:p w14:paraId="0F0EFA3A">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10</w:t>
      </w:r>
      <w:r>
        <w:rPr>
          <w:rFonts w:ascii="Times New Roman" w:hAnsi="Times New Roman" w:eastAsia="仿宋_GB2312"/>
          <w:sz w:val="32"/>
          <w:szCs w:val="32"/>
        </w:rPr>
        <w:t>.</w:t>
      </w:r>
      <w:r>
        <w:rPr>
          <w:rFonts w:hint="eastAsia" w:ascii="Times New Roman" w:hAnsi="Times New Roman" w:eastAsia="仿宋_GB2312"/>
          <w:sz w:val="32"/>
          <w:szCs w:val="32"/>
        </w:rPr>
        <w:t>卫生健康支出（类）行政事业单位医疗（款）行政（事业）单位医疗（项）：指单位在编人员公务员及事业人员全年的医疗保险支出。</w:t>
      </w:r>
    </w:p>
    <w:p w14:paraId="48B81F8E">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10.住房保障支出（类）住房改革支出（款）住房公积金（项）:指在编人员全年公积金单位应缴纳部分。</w:t>
      </w:r>
    </w:p>
    <w:p w14:paraId="5477E46D">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11.灾害防治及应急管理支出（类）应急管理事务（款）行政运行（项）:指区应急管理局全年单位应付职工工资，绩效及日常运转所需费用。</w:t>
      </w:r>
    </w:p>
    <w:p w14:paraId="2D6F9AFB">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12.灾害防治及应急管理支出（类）应急管理事务（款）其他应急管理支出（项）:指</w:t>
      </w:r>
      <w:r>
        <w:rPr>
          <w:rFonts w:hint="eastAsia" w:eastAsia="仿宋_GB2312"/>
          <w:sz w:val="32"/>
          <w:szCs w:val="32"/>
          <w:lang w:eastAsia="zh-CN"/>
        </w:rPr>
        <w:t>应急物资</w:t>
      </w:r>
      <w:r>
        <w:rPr>
          <w:rFonts w:hint="eastAsia" w:ascii="Times New Roman" w:hAnsi="Times New Roman" w:eastAsia="仿宋_GB2312"/>
          <w:sz w:val="32"/>
          <w:szCs w:val="32"/>
        </w:rPr>
        <w:t>储备等费用支出</w:t>
      </w:r>
    </w:p>
    <w:p w14:paraId="04A344E8">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13.灾害防治及应急管理支出（类）自然灾害救灾及恢复重建支出（款）其他自然灾害救灾及恢复重建（项）:指冬令春荒支出及受灾群众临时生活救助等。</w:t>
      </w:r>
    </w:p>
    <w:p w14:paraId="6AAB0F56">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14.灾害防治及应急管理支出（类）其他灾害防治及应急管理支出（款）其他灾害防治及应急管理支出:支地灾及洪灾抢险项目支出及农房重建支出等。</w:t>
      </w:r>
    </w:p>
    <w:p w14:paraId="79D972D3">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15</w:t>
      </w:r>
      <w:r>
        <w:rPr>
          <w:rFonts w:ascii="Times New Roman" w:hAnsi="Times New Roman" w:eastAsia="仿宋_GB2312"/>
          <w:sz w:val="32"/>
          <w:szCs w:val="32"/>
        </w:rPr>
        <w:t>.</w:t>
      </w:r>
      <w:r>
        <w:rPr>
          <w:rFonts w:hint="eastAsia" w:ascii="Times New Roman" w:hAnsi="Times New Roman" w:eastAsia="仿宋_GB2312"/>
          <w:sz w:val="32"/>
          <w:szCs w:val="32"/>
        </w:rPr>
        <w:t>基本支出：指为保障机构正常运转、完成日常工作任务而发生的人员支出和公用支出。</w:t>
      </w:r>
    </w:p>
    <w:p w14:paraId="1076197D">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16</w:t>
      </w:r>
      <w:r>
        <w:rPr>
          <w:rFonts w:ascii="Times New Roman" w:hAnsi="Times New Roman" w:eastAsia="仿宋_GB2312"/>
          <w:sz w:val="32"/>
          <w:szCs w:val="32"/>
        </w:rPr>
        <w:t>.</w:t>
      </w:r>
      <w:r>
        <w:rPr>
          <w:rFonts w:hint="eastAsia" w:ascii="Times New Roman" w:hAnsi="Times New Roman" w:eastAsia="仿宋_GB2312"/>
          <w:sz w:val="32"/>
          <w:szCs w:val="32"/>
        </w:rPr>
        <w:t>项目支出：指在基本支出之外为完成特定行政任务和事业发展目标所发生的支出。</w:t>
      </w:r>
      <w:r>
        <w:rPr>
          <w:rFonts w:ascii="Times New Roman" w:hAnsi="Times New Roman" w:eastAsia="仿宋_GB2312"/>
          <w:sz w:val="32"/>
          <w:szCs w:val="32"/>
        </w:rPr>
        <w:t xml:space="preserve"> </w:t>
      </w:r>
    </w:p>
    <w:p w14:paraId="5C53AABC">
      <w:pPr>
        <w:pageBreakBefore w:val="0"/>
        <w:kinsoku/>
        <w:wordWrap/>
        <w:overflowPunct/>
        <w:topLinePunct w:val="0"/>
        <w:bidi w:val="0"/>
        <w:spacing w:line="57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17</w:t>
      </w:r>
      <w:r>
        <w:rPr>
          <w:rFonts w:ascii="Times New Roman" w:hAnsi="Times New Roman" w:eastAsia="仿宋_GB2312"/>
          <w:sz w:val="32"/>
          <w:szCs w:val="32"/>
        </w:rPr>
        <w:t>.</w:t>
      </w:r>
      <w:r>
        <w:rPr>
          <w:rFonts w:hint="eastAsia" w:ascii="Times New Roman" w:hAnsi="Times New Roman" w:eastAsia="仿宋_GB2312"/>
          <w:sz w:val="32"/>
          <w:szCs w:val="32"/>
        </w:rPr>
        <w:t>经营支出：指事业单位在专业业务活动及其辅助活动之外开展非独立核算经营活动发生的支出。</w:t>
      </w:r>
    </w:p>
    <w:p w14:paraId="5BCD9E5D">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18</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A3B080">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19</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77857D2">
      <w:pPr>
        <w:pStyle w:val="22"/>
        <w:pageBreakBefore w:val="0"/>
        <w:kinsoku/>
        <w:wordWrap/>
        <w:overflowPunct/>
        <w:topLinePunct w:val="0"/>
        <w:bidi w:val="0"/>
        <w:spacing w:line="576" w:lineRule="exact"/>
        <w:ind w:firstLine="640" w:firstLineChars="200"/>
        <w:textAlignment w:val="auto"/>
        <w:rPr>
          <w:rFonts w:ascii="Times New Roman" w:hAnsi="Times New Roman" w:eastAsia="仿宋_GB2312" w:cs="黑体"/>
          <w:color w:val="auto"/>
          <w:sz w:val="32"/>
          <w:szCs w:val="32"/>
        </w:rPr>
      </w:pPr>
    </w:p>
    <w:p w14:paraId="2ECDB373">
      <w:pPr>
        <w:spacing w:line="600" w:lineRule="exact"/>
        <w:jc w:val="center"/>
        <w:outlineLvl w:val="0"/>
        <w:rPr>
          <w:rFonts w:ascii="Times New Roman" w:hAnsi="Times New Roman" w:eastAsia="黑体"/>
          <w:sz w:val="44"/>
          <w:szCs w:val="44"/>
        </w:rPr>
      </w:pPr>
      <w:bookmarkStart w:id="72" w:name="_Toc15396614"/>
      <w:bookmarkStart w:id="73" w:name="_Toc15377226"/>
    </w:p>
    <w:p w14:paraId="6B890FFA">
      <w:pPr>
        <w:pStyle w:val="3"/>
        <w:pageBreakBefore w:val="0"/>
        <w:kinsoku/>
        <w:wordWrap/>
        <w:overflowPunct/>
        <w:topLinePunct w:val="0"/>
        <w:bidi w:val="0"/>
        <w:spacing w:before="0" w:after="0" w:line="576" w:lineRule="exact"/>
        <w:jc w:val="center"/>
        <w:textAlignment w:val="auto"/>
        <w:rPr>
          <w:rFonts w:hint="eastAsia" w:ascii="Times New Roman" w:hAnsi="Times New Roman" w:eastAsia="黑体"/>
          <w:b w:val="0"/>
          <w:lang w:val="en-US" w:eastAsia="zh-CN"/>
        </w:rPr>
      </w:pPr>
      <w:bookmarkStart w:id="74" w:name="_Toc13316"/>
      <w:r>
        <w:rPr>
          <w:rFonts w:hint="eastAsia" w:ascii="Times New Roman" w:hAnsi="Times New Roman" w:eastAsia="黑体"/>
          <w:b w:val="0"/>
          <w:lang w:val="en-US" w:eastAsia="zh-CN"/>
        </w:rPr>
        <w:t>第四部分  附件</w:t>
      </w:r>
      <w:bookmarkEnd w:id="72"/>
      <w:bookmarkEnd w:id="74"/>
    </w:p>
    <w:p w14:paraId="114EC1F8">
      <w:pPr>
        <w:spacing w:line="572" w:lineRule="exact"/>
        <w:jc w:val="left"/>
        <w:outlineLvl w:val="0"/>
        <w:rPr>
          <w:rFonts w:hint="eastAsia" w:ascii="Times New Roman" w:hAnsi="Times New Roman" w:eastAsia="黑体" w:cs="黑体"/>
          <w:sz w:val="32"/>
          <w:szCs w:val="32"/>
        </w:rPr>
      </w:pPr>
    </w:p>
    <w:p w14:paraId="7E8890D3">
      <w:pPr>
        <w:spacing w:line="572" w:lineRule="exact"/>
        <w:jc w:val="left"/>
        <w:outlineLvl w:val="0"/>
        <w:rPr>
          <w:rFonts w:hint="eastAsia" w:ascii="Times New Roman" w:hAnsi="Times New Roman" w:eastAsia="黑体" w:cs="黑体"/>
          <w:sz w:val="32"/>
          <w:szCs w:val="32"/>
        </w:rPr>
      </w:pPr>
    </w:p>
    <w:p w14:paraId="37D4C420">
      <w:pPr>
        <w:spacing w:line="572" w:lineRule="exact"/>
        <w:jc w:val="left"/>
        <w:outlineLvl w:val="0"/>
        <w:rPr>
          <w:rFonts w:hint="eastAsia" w:ascii="Times New Roman" w:hAnsi="Times New Roman" w:eastAsia="黑体" w:cs="黑体"/>
          <w:sz w:val="32"/>
          <w:szCs w:val="32"/>
        </w:rPr>
      </w:pPr>
    </w:p>
    <w:p w14:paraId="343C0C66">
      <w:pPr>
        <w:spacing w:line="572" w:lineRule="exact"/>
        <w:jc w:val="left"/>
        <w:outlineLvl w:val="0"/>
        <w:rPr>
          <w:rFonts w:hint="eastAsia" w:ascii="Times New Roman" w:hAnsi="Times New Roman" w:eastAsia="黑体" w:cs="黑体"/>
          <w:sz w:val="32"/>
          <w:szCs w:val="32"/>
        </w:rPr>
      </w:pPr>
    </w:p>
    <w:p w14:paraId="3C399610">
      <w:pPr>
        <w:spacing w:line="572" w:lineRule="exact"/>
        <w:jc w:val="left"/>
        <w:outlineLvl w:val="0"/>
        <w:rPr>
          <w:rFonts w:hint="eastAsia" w:ascii="Times New Roman" w:hAnsi="Times New Roman" w:eastAsia="黑体" w:cs="黑体"/>
          <w:sz w:val="32"/>
          <w:szCs w:val="32"/>
        </w:rPr>
      </w:pPr>
      <w:bookmarkStart w:id="75" w:name="_Toc6577"/>
      <w:r>
        <w:rPr>
          <w:rFonts w:hint="eastAsia" w:ascii="Times New Roman" w:hAnsi="Times New Roman" w:eastAsia="黑体" w:cs="黑体"/>
          <w:sz w:val="32"/>
          <w:szCs w:val="32"/>
        </w:rPr>
        <w:t>附件1</w:t>
      </w:r>
      <w:bookmarkEnd w:id="75"/>
    </w:p>
    <w:p w14:paraId="2AFFD245">
      <w:pPr>
        <w:pStyle w:val="2"/>
        <w:ind w:left="0" w:leftChars="0" w:right="0" w:rightChars="0" w:firstLine="0" w:firstLineChars="0"/>
        <w:jc w:val="center"/>
        <w:rPr>
          <w:rFonts w:ascii="Times New Roman" w:hAnsi="Times New Roman"/>
          <w:w w:val="90"/>
        </w:rPr>
      </w:pPr>
      <w:r>
        <w:rPr>
          <w:rFonts w:hint="eastAsia" w:ascii="Times New Roman" w:hAnsi="Times New Roman" w:cs="宋体"/>
          <w:b/>
          <w:w w:val="90"/>
          <w:sz w:val="32"/>
          <w:szCs w:val="32"/>
        </w:rPr>
        <w:t>2021年部门预算项目（因</w:t>
      </w:r>
      <w:r>
        <w:rPr>
          <w:rFonts w:ascii="Times New Roman" w:hAnsi="Times New Roman" w:cs="宋体"/>
          <w:b/>
          <w:w w:val="90"/>
          <w:sz w:val="32"/>
          <w:szCs w:val="32"/>
        </w:rPr>
        <w:t>灾</w:t>
      </w:r>
      <w:r>
        <w:rPr>
          <w:rFonts w:hint="eastAsia" w:ascii="Times New Roman" w:hAnsi="Times New Roman" w:cs="宋体"/>
          <w:b/>
          <w:w w:val="90"/>
          <w:sz w:val="32"/>
          <w:szCs w:val="32"/>
        </w:rPr>
        <w:t>过渡期</w:t>
      </w:r>
      <w:r>
        <w:rPr>
          <w:rFonts w:ascii="Times New Roman" w:hAnsi="Times New Roman" w:cs="宋体"/>
          <w:b/>
          <w:w w:val="90"/>
          <w:sz w:val="32"/>
          <w:szCs w:val="32"/>
        </w:rPr>
        <w:t>临时生活救助</w:t>
      </w:r>
      <w:r>
        <w:rPr>
          <w:rFonts w:hint="eastAsia" w:ascii="Times New Roman" w:hAnsi="Times New Roman" w:cs="宋体"/>
          <w:b/>
          <w:w w:val="90"/>
          <w:sz w:val="32"/>
          <w:szCs w:val="32"/>
        </w:rPr>
        <w:t>）绩效目标自评</w:t>
      </w:r>
    </w:p>
    <w:tbl>
      <w:tblPr>
        <w:tblStyle w:val="12"/>
        <w:tblW w:w="9575" w:type="dxa"/>
        <w:jc w:val="center"/>
        <w:tblLayout w:type="fixed"/>
        <w:tblCellMar>
          <w:top w:w="0" w:type="dxa"/>
          <w:left w:w="108" w:type="dxa"/>
          <w:bottom w:w="0" w:type="dxa"/>
          <w:right w:w="108" w:type="dxa"/>
        </w:tblCellMar>
      </w:tblPr>
      <w:tblGrid>
        <w:gridCol w:w="1595"/>
        <w:gridCol w:w="1098"/>
        <w:gridCol w:w="1206"/>
        <w:gridCol w:w="1279"/>
        <w:gridCol w:w="941"/>
        <w:gridCol w:w="534"/>
        <w:gridCol w:w="1056"/>
        <w:gridCol w:w="1866"/>
      </w:tblGrid>
      <w:tr w14:paraId="0FF922F3">
        <w:tblPrEx>
          <w:tblCellMar>
            <w:top w:w="0" w:type="dxa"/>
            <w:left w:w="108" w:type="dxa"/>
            <w:bottom w:w="0" w:type="dxa"/>
            <w:right w:w="108" w:type="dxa"/>
          </w:tblCellMar>
        </w:tblPrEx>
        <w:trPr>
          <w:trHeight w:val="254" w:hRule="atLeast"/>
          <w:jc w:val="center"/>
        </w:trPr>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E76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主管部门</w:t>
            </w:r>
          </w:p>
          <w:p w14:paraId="2E69ED1E">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及代码</w:t>
            </w:r>
          </w:p>
        </w:tc>
        <w:tc>
          <w:tcPr>
            <w:tcW w:w="35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BFF92">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广元市应急管理局</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404D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实施单位</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C9F14">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广元市昭化区应急管理局</w:t>
            </w:r>
          </w:p>
        </w:tc>
      </w:tr>
      <w:tr w14:paraId="03B40C1D">
        <w:tblPrEx>
          <w:tblCellMar>
            <w:top w:w="0" w:type="dxa"/>
            <w:left w:w="108" w:type="dxa"/>
            <w:bottom w:w="0" w:type="dxa"/>
            <w:right w:w="108" w:type="dxa"/>
          </w:tblCellMar>
        </w:tblPrEx>
        <w:trPr>
          <w:trHeight w:val="341"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C28B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项目预算</w:t>
            </w:r>
          </w:p>
          <w:p w14:paraId="33DA02C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执行情况</w:t>
            </w:r>
          </w:p>
          <w:p w14:paraId="6116167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（万元）</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B2A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预算数：</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4F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39AA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执行数：</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1C7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w:t>
            </w:r>
          </w:p>
        </w:tc>
      </w:tr>
      <w:tr w14:paraId="449F9812">
        <w:tblPrEx>
          <w:tblCellMar>
            <w:top w:w="0" w:type="dxa"/>
            <w:left w:w="108" w:type="dxa"/>
            <w:bottom w:w="0" w:type="dxa"/>
            <w:right w:w="108" w:type="dxa"/>
          </w:tblCellMar>
        </w:tblPrEx>
        <w:trPr>
          <w:trHeight w:val="555"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658C">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950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7BA4235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8322">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w:t>
            </w: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62D5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5B51AA2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0FE8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w:t>
            </w:r>
          </w:p>
        </w:tc>
      </w:tr>
      <w:tr w14:paraId="21263FCA">
        <w:tblPrEx>
          <w:tblCellMar>
            <w:top w:w="0" w:type="dxa"/>
            <w:left w:w="108" w:type="dxa"/>
            <w:bottom w:w="0" w:type="dxa"/>
            <w:right w:w="108" w:type="dxa"/>
          </w:tblCellMar>
        </w:tblPrEx>
        <w:trPr>
          <w:trHeight w:val="341"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E1F56">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AC08E">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CB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c>
          <w:tcPr>
            <w:tcW w:w="1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236B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2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8632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r>
      <w:tr w14:paraId="64809A2B">
        <w:tblPrEx>
          <w:tblCellMar>
            <w:top w:w="0" w:type="dxa"/>
            <w:left w:w="108" w:type="dxa"/>
            <w:bottom w:w="0" w:type="dxa"/>
            <w:right w:w="108" w:type="dxa"/>
          </w:tblCellMar>
        </w:tblPrEx>
        <w:trPr>
          <w:trHeight w:val="217" w:hRule="atLeast"/>
          <w:jc w:val="center"/>
        </w:trPr>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6EAFD">
            <w:pPr>
              <w:widowControl/>
              <w:spacing w:line="320" w:lineRule="exact"/>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年度总体目标</w:t>
            </w:r>
          </w:p>
          <w:p w14:paraId="55DDE8F4">
            <w:pPr>
              <w:widowControl/>
              <w:spacing w:line="32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完成情况</w:t>
            </w: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662B6">
            <w:pPr>
              <w:widowControl/>
              <w:spacing w:line="32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预期目标</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D85B0">
            <w:pPr>
              <w:widowControl/>
              <w:spacing w:line="32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目标实际完成情况</w:t>
            </w:r>
          </w:p>
        </w:tc>
      </w:tr>
      <w:tr w14:paraId="7D0A1663">
        <w:tblPrEx>
          <w:tblCellMar>
            <w:top w:w="0" w:type="dxa"/>
            <w:left w:w="108" w:type="dxa"/>
            <w:bottom w:w="0" w:type="dxa"/>
            <w:right w:w="108" w:type="dxa"/>
          </w:tblCellMar>
        </w:tblPrEx>
        <w:trPr>
          <w:trHeight w:val="797" w:hRule="atLeast"/>
          <w:jc w:val="center"/>
        </w:trPr>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ACCAE">
            <w:pPr>
              <w:spacing w:line="320" w:lineRule="exact"/>
              <w:jc w:val="center"/>
              <w:rPr>
                <w:rFonts w:hint="eastAsia" w:ascii="Times New Roman" w:hAnsi="Times New Roman" w:eastAsia="仿宋_GB2312" w:cs="仿宋_GB2312"/>
                <w:sz w:val="24"/>
                <w:szCs w:val="24"/>
              </w:rPr>
            </w:pPr>
          </w:p>
        </w:tc>
        <w:tc>
          <w:tcPr>
            <w:tcW w:w="45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ACAFE4">
            <w:pPr>
              <w:widowControl/>
              <w:spacing w:line="320" w:lineRule="exact"/>
              <w:jc w:val="both"/>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1.对全区因灾紧急转移安置的556人补助生活救助资金16.68万元。2.对全区因灾倒损住房户90人进行过渡期生活救助20.25万元。</w:t>
            </w:r>
          </w:p>
        </w:tc>
        <w:tc>
          <w:tcPr>
            <w:tcW w:w="34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A61E8">
            <w:pPr>
              <w:widowControl/>
              <w:spacing w:line="320" w:lineRule="exact"/>
              <w:jc w:val="both"/>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1.对全区因灾紧急转移安置的556人补助生活救助资金16.68万元。2.对全区因灾倒损住房户90人进行过渡期生活救助20.25万元。</w:t>
            </w:r>
          </w:p>
        </w:tc>
      </w:tr>
      <w:tr w14:paraId="657C077E">
        <w:tblPrEx>
          <w:tblCellMar>
            <w:top w:w="0" w:type="dxa"/>
            <w:left w:w="108" w:type="dxa"/>
            <w:bottom w:w="0" w:type="dxa"/>
            <w:right w:w="108" w:type="dxa"/>
          </w:tblCellMar>
        </w:tblPrEx>
        <w:trPr>
          <w:trHeight w:val="693" w:hRule="atLeast"/>
          <w:jc w:val="center"/>
        </w:trPr>
        <w:tc>
          <w:tcPr>
            <w:tcW w:w="1595" w:type="dxa"/>
            <w:vMerge w:val="restart"/>
            <w:tcBorders>
              <w:top w:val="single" w:color="000000" w:sz="4" w:space="0"/>
              <w:left w:val="single" w:color="000000" w:sz="4" w:space="0"/>
              <w:right w:val="single" w:color="000000" w:sz="4" w:space="0"/>
            </w:tcBorders>
            <w:shd w:val="clear" w:color="auto" w:fill="auto"/>
            <w:vAlign w:val="center"/>
          </w:tcPr>
          <w:p w14:paraId="1B7757AB">
            <w:pPr>
              <w:widowControl/>
              <w:spacing w:line="320" w:lineRule="exact"/>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年度绩效指标</w:t>
            </w:r>
          </w:p>
          <w:p w14:paraId="5B8669C8">
            <w:pPr>
              <w:widowControl/>
              <w:spacing w:line="320" w:lineRule="exact"/>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完成情况</w:t>
            </w:r>
          </w:p>
        </w:tc>
        <w:tc>
          <w:tcPr>
            <w:tcW w:w="1098" w:type="dxa"/>
            <w:tcBorders>
              <w:top w:val="single" w:color="000000" w:sz="4" w:space="0"/>
              <w:left w:val="nil"/>
              <w:bottom w:val="single" w:color="000000" w:sz="4" w:space="0"/>
              <w:right w:val="single" w:color="000000" w:sz="4" w:space="0"/>
            </w:tcBorders>
            <w:shd w:val="clear" w:color="auto" w:fill="auto"/>
            <w:vAlign w:val="center"/>
          </w:tcPr>
          <w:p w14:paraId="74D0E044">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一级</w:t>
            </w:r>
          </w:p>
          <w:p w14:paraId="3F2C5A4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DA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二级</w:t>
            </w:r>
          </w:p>
          <w:p w14:paraId="7087A8B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B8D4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三级</w:t>
            </w:r>
          </w:p>
          <w:p w14:paraId="7B1EA14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7B07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预期指标值</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695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实际完成</w:t>
            </w:r>
          </w:p>
          <w:p w14:paraId="1307232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指标值</w:t>
            </w:r>
          </w:p>
        </w:tc>
      </w:tr>
      <w:tr w14:paraId="65A23EEA">
        <w:tblPrEx>
          <w:tblCellMar>
            <w:top w:w="0" w:type="dxa"/>
            <w:left w:w="108" w:type="dxa"/>
            <w:bottom w:w="0" w:type="dxa"/>
            <w:right w:w="108" w:type="dxa"/>
          </w:tblCellMar>
        </w:tblPrEx>
        <w:trPr>
          <w:trHeight w:val="950" w:hRule="atLeast"/>
          <w:jc w:val="center"/>
        </w:trPr>
        <w:tc>
          <w:tcPr>
            <w:tcW w:w="1595" w:type="dxa"/>
            <w:vMerge w:val="continue"/>
            <w:tcBorders>
              <w:left w:val="single" w:color="000000" w:sz="4" w:space="0"/>
              <w:right w:val="single" w:color="000000" w:sz="4" w:space="0"/>
            </w:tcBorders>
            <w:shd w:val="clear" w:color="auto" w:fill="auto"/>
            <w:vAlign w:val="center"/>
          </w:tcPr>
          <w:p w14:paraId="223EE9A9">
            <w:pPr>
              <w:spacing w:line="320" w:lineRule="exact"/>
              <w:jc w:val="center"/>
              <w:rPr>
                <w:rFonts w:hint="eastAsia" w:ascii="Times New Roman" w:hAnsi="Times New Roman" w:eastAsia="仿宋_GB2312" w:cs="仿宋_GB2312"/>
                <w:sz w:val="24"/>
                <w:szCs w:val="24"/>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6096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完成</w:t>
            </w:r>
          </w:p>
          <w:p w14:paraId="6CCCC0A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A08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数量</w:t>
            </w:r>
          </w:p>
          <w:p w14:paraId="25D2331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B187">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1.紧急转移安置救助。2.过渡期生活救助。</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B7E0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1、556人</w:t>
            </w:r>
          </w:p>
          <w:p w14:paraId="1354DD6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2、90人</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EC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1、556人</w:t>
            </w:r>
          </w:p>
          <w:p w14:paraId="6335667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2、90人</w:t>
            </w:r>
          </w:p>
        </w:tc>
      </w:tr>
      <w:tr w14:paraId="06B06B26">
        <w:tblPrEx>
          <w:tblCellMar>
            <w:top w:w="0" w:type="dxa"/>
            <w:left w:w="108" w:type="dxa"/>
            <w:bottom w:w="0" w:type="dxa"/>
            <w:right w:w="108" w:type="dxa"/>
          </w:tblCellMar>
        </w:tblPrEx>
        <w:trPr>
          <w:trHeight w:val="415" w:hRule="atLeast"/>
          <w:jc w:val="center"/>
        </w:trPr>
        <w:tc>
          <w:tcPr>
            <w:tcW w:w="1595" w:type="dxa"/>
            <w:vMerge w:val="continue"/>
            <w:tcBorders>
              <w:left w:val="single" w:color="000000" w:sz="4" w:space="0"/>
              <w:right w:val="single" w:color="000000" w:sz="4" w:space="0"/>
            </w:tcBorders>
            <w:shd w:val="clear" w:color="auto" w:fill="auto"/>
            <w:vAlign w:val="center"/>
          </w:tcPr>
          <w:p w14:paraId="2DA7C213">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B950">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38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质量</w:t>
            </w:r>
          </w:p>
          <w:p w14:paraId="31A6B80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81EF4">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确保受灾群众临时生活有保障</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D6D0">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646人</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AC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646人</w:t>
            </w:r>
          </w:p>
        </w:tc>
      </w:tr>
      <w:tr w14:paraId="53EE355F">
        <w:tblPrEx>
          <w:tblCellMar>
            <w:top w:w="0" w:type="dxa"/>
            <w:left w:w="108" w:type="dxa"/>
            <w:bottom w:w="0" w:type="dxa"/>
            <w:right w:w="108" w:type="dxa"/>
          </w:tblCellMar>
        </w:tblPrEx>
        <w:trPr>
          <w:trHeight w:val="415" w:hRule="atLeast"/>
          <w:jc w:val="center"/>
        </w:trPr>
        <w:tc>
          <w:tcPr>
            <w:tcW w:w="1595" w:type="dxa"/>
            <w:vMerge w:val="continue"/>
            <w:tcBorders>
              <w:left w:val="single" w:color="000000" w:sz="4" w:space="0"/>
              <w:right w:val="single" w:color="000000" w:sz="4" w:space="0"/>
            </w:tcBorders>
            <w:shd w:val="clear" w:color="auto" w:fill="auto"/>
            <w:vAlign w:val="center"/>
          </w:tcPr>
          <w:p w14:paraId="1D12ADB6">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538A">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E11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时效</w:t>
            </w:r>
          </w:p>
          <w:p w14:paraId="2315B524">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44C07">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灾情发生到灾情稳定，能保证基本生活结束</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769C4">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临时</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F23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临时</w:t>
            </w:r>
          </w:p>
        </w:tc>
      </w:tr>
      <w:tr w14:paraId="1EC07FFF">
        <w:tblPrEx>
          <w:tblCellMar>
            <w:top w:w="0" w:type="dxa"/>
            <w:left w:w="108" w:type="dxa"/>
            <w:bottom w:w="0" w:type="dxa"/>
            <w:right w:w="108" w:type="dxa"/>
          </w:tblCellMar>
        </w:tblPrEx>
        <w:trPr>
          <w:trHeight w:val="480" w:hRule="atLeast"/>
          <w:jc w:val="center"/>
        </w:trPr>
        <w:tc>
          <w:tcPr>
            <w:tcW w:w="1595" w:type="dxa"/>
            <w:vMerge w:val="continue"/>
            <w:tcBorders>
              <w:left w:val="single" w:color="000000" w:sz="4" w:space="0"/>
              <w:right w:val="single" w:color="000000" w:sz="4" w:space="0"/>
            </w:tcBorders>
            <w:shd w:val="clear" w:color="auto" w:fill="auto"/>
            <w:vAlign w:val="center"/>
          </w:tcPr>
          <w:p w14:paraId="143756CE">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3154">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10D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成本</w:t>
            </w:r>
          </w:p>
          <w:p w14:paraId="2C1F5E0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38E6">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省级资金36.93万元</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1140">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36.93万元</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8D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36.93万元</w:t>
            </w:r>
          </w:p>
        </w:tc>
      </w:tr>
      <w:tr w14:paraId="64F71135">
        <w:tblPrEx>
          <w:tblCellMar>
            <w:top w:w="0" w:type="dxa"/>
            <w:left w:w="108" w:type="dxa"/>
            <w:bottom w:w="0" w:type="dxa"/>
            <w:right w:w="108" w:type="dxa"/>
          </w:tblCellMar>
        </w:tblPrEx>
        <w:trPr>
          <w:trHeight w:val="840" w:hRule="atLeast"/>
          <w:jc w:val="center"/>
        </w:trPr>
        <w:tc>
          <w:tcPr>
            <w:tcW w:w="1595" w:type="dxa"/>
            <w:vMerge w:val="continue"/>
            <w:tcBorders>
              <w:left w:val="single" w:color="000000" w:sz="4" w:space="0"/>
              <w:right w:val="single" w:color="000000" w:sz="4" w:space="0"/>
            </w:tcBorders>
            <w:shd w:val="clear" w:color="auto" w:fill="auto"/>
            <w:vAlign w:val="center"/>
          </w:tcPr>
          <w:p w14:paraId="5116C242">
            <w:pPr>
              <w:spacing w:line="320" w:lineRule="exact"/>
              <w:jc w:val="center"/>
              <w:rPr>
                <w:rFonts w:hint="eastAsia" w:ascii="Times New Roman" w:hAnsi="Times New Roman" w:eastAsia="仿宋_GB2312" w:cs="仿宋_GB2312"/>
                <w:sz w:val="24"/>
                <w:szCs w:val="24"/>
              </w:rPr>
            </w:pPr>
          </w:p>
        </w:tc>
        <w:tc>
          <w:tcPr>
            <w:tcW w:w="1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699C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效益</w:t>
            </w:r>
          </w:p>
          <w:p w14:paraId="17D3DF6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3A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经济效益 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79418">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FAAF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0A6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r>
      <w:tr w14:paraId="4A03480B">
        <w:tblPrEx>
          <w:tblCellMar>
            <w:top w:w="0" w:type="dxa"/>
            <w:left w:w="108" w:type="dxa"/>
            <w:bottom w:w="0" w:type="dxa"/>
            <w:right w:w="108" w:type="dxa"/>
          </w:tblCellMar>
        </w:tblPrEx>
        <w:trPr>
          <w:trHeight w:val="480" w:hRule="atLeast"/>
          <w:jc w:val="center"/>
        </w:trPr>
        <w:tc>
          <w:tcPr>
            <w:tcW w:w="1595" w:type="dxa"/>
            <w:vMerge w:val="continue"/>
            <w:tcBorders>
              <w:left w:val="single" w:color="000000" w:sz="4" w:space="0"/>
              <w:right w:val="single" w:color="000000" w:sz="4" w:space="0"/>
            </w:tcBorders>
            <w:shd w:val="clear" w:color="auto" w:fill="auto"/>
            <w:vAlign w:val="center"/>
          </w:tcPr>
          <w:p w14:paraId="353D79AA">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04174">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44A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社会效益指标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9A3EF">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6273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D177">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受灾群众临时生活有保障</w:t>
            </w:r>
          </w:p>
        </w:tc>
      </w:tr>
      <w:tr w14:paraId="1E7CBDCF">
        <w:tblPrEx>
          <w:tblCellMar>
            <w:top w:w="0" w:type="dxa"/>
            <w:left w:w="108" w:type="dxa"/>
            <w:bottom w:w="0" w:type="dxa"/>
            <w:right w:w="108" w:type="dxa"/>
          </w:tblCellMar>
        </w:tblPrEx>
        <w:trPr>
          <w:trHeight w:val="577" w:hRule="atLeast"/>
          <w:jc w:val="center"/>
        </w:trPr>
        <w:tc>
          <w:tcPr>
            <w:tcW w:w="1595" w:type="dxa"/>
            <w:vMerge w:val="continue"/>
            <w:tcBorders>
              <w:left w:val="single" w:color="000000" w:sz="4" w:space="0"/>
              <w:right w:val="single" w:color="000000" w:sz="4" w:space="0"/>
            </w:tcBorders>
            <w:shd w:val="clear" w:color="auto" w:fill="auto"/>
            <w:vAlign w:val="center"/>
          </w:tcPr>
          <w:p w14:paraId="7E8DBF6A">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0A7F">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EF1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生态效益指标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7B551">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F5EE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22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p>
        </w:tc>
      </w:tr>
      <w:tr w14:paraId="0B1C6D27">
        <w:tblPrEx>
          <w:tblCellMar>
            <w:top w:w="0" w:type="dxa"/>
            <w:left w:w="108" w:type="dxa"/>
            <w:bottom w:w="0" w:type="dxa"/>
            <w:right w:w="108" w:type="dxa"/>
          </w:tblCellMar>
        </w:tblPrEx>
        <w:trPr>
          <w:trHeight w:val="480" w:hRule="atLeast"/>
          <w:jc w:val="center"/>
        </w:trPr>
        <w:tc>
          <w:tcPr>
            <w:tcW w:w="1595" w:type="dxa"/>
            <w:vMerge w:val="continue"/>
            <w:tcBorders>
              <w:left w:val="single" w:color="000000" w:sz="4" w:space="0"/>
              <w:right w:val="single" w:color="000000" w:sz="4" w:space="0"/>
            </w:tcBorders>
            <w:shd w:val="clear" w:color="auto" w:fill="auto"/>
            <w:vAlign w:val="center"/>
          </w:tcPr>
          <w:p w14:paraId="425F76E0">
            <w:pPr>
              <w:spacing w:line="320" w:lineRule="exact"/>
              <w:jc w:val="center"/>
              <w:rPr>
                <w:rFonts w:hint="eastAsia" w:ascii="Times New Roman" w:hAnsi="Times New Roman" w:eastAsia="仿宋_GB2312" w:cs="仿宋_GB2312"/>
                <w:sz w:val="24"/>
                <w:szCs w:val="24"/>
              </w:rPr>
            </w:pPr>
          </w:p>
        </w:tc>
        <w:tc>
          <w:tcPr>
            <w:tcW w:w="1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EF91">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87D">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可持续影响指标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70405">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确保社会稳定</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2473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确保社会稳定</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A56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确保社会稳定</w:t>
            </w:r>
          </w:p>
        </w:tc>
      </w:tr>
      <w:tr w14:paraId="3A68637F">
        <w:tblPrEx>
          <w:tblCellMar>
            <w:top w:w="0" w:type="dxa"/>
            <w:left w:w="108" w:type="dxa"/>
            <w:bottom w:w="0" w:type="dxa"/>
            <w:right w:w="108" w:type="dxa"/>
          </w:tblCellMar>
        </w:tblPrEx>
        <w:trPr>
          <w:trHeight w:val="530" w:hRule="atLeast"/>
          <w:jc w:val="center"/>
        </w:trPr>
        <w:tc>
          <w:tcPr>
            <w:tcW w:w="1595" w:type="dxa"/>
            <w:vMerge w:val="continue"/>
            <w:tcBorders>
              <w:left w:val="single" w:color="000000" w:sz="4" w:space="0"/>
              <w:bottom w:val="single" w:color="000000" w:sz="4" w:space="0"/>
              <w:right w:val="single" w:color="000000" w:sz="4" w:space="0"/>
            </w:tcBorders>
            <w:shd w:val="clear" w:color="auto" w:fill="auto"/>
            <w:vAlign w:val="center"/>
          </w:tcPr>
          <w:p w14:paraId="3467AD3C">
            <w:pPr>
              <w:spacing w:line="320" w:lineRule="exact"/>
              <w:jc w:val="center"/>
              <w:rPr>
                <w:rFonts w:hint="eastAsia" w:ascii="Times New Roman" w:hAnsi="Times New Roman" w:eastAsia="仿宋_GB2312" w:cs="仿宋_GB2312"/>
                <w:sz w:val="24"/>
                <w:szCs w:val="24"/>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16C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满意</w:t>
            </w:r>
          </w:p>
          <w:p w14:paraId="341C6B0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度指标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0D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满意度</w:t>
            </w:r>
          </w:p>
          <w:p w14:paraId="4D71B300">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1DE5">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受灾外交群众满意度</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0CFE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B6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bl>
    <w:p w14:paraId="227BDF90">
      <w:pPr>
        <w:spacing w:line="572" w:lineRule="exact"/>
        <w:jc w:val="left"/>
        <w:outlineLvl w:val="0"/>
        <w:rPr>
          <w:rFonts w:ascii="Times New Roman" w:hAnsi="Times New Roman" w:eastAsia="仿宋_GB2312" w:cs="仿宋_GB2312"/>
          <w:sz w:val="32"/>
          <w:szCs w:val="32"/>
        </w:rPr>
      </w:pPr>
    </w:p>
    <w:p w14:paraId="38F7C159">
      <w:pPr>
        <w:spacing w:line="572" w:lineRule="exact"/>
        <w:jc w:val="left"/>
        <w:outlineLvl w:val="0"/>
        <w:rPr>
          <w:rFonts w:hint="eastAsia" w:ascii="Times New Roman" w:hAnsi="Times New Roman" w:eastAsia="黑体" w:cs="黑体"/>
          <w:sz w:val="32"/>
          <w:szCs w:val="32"/>
        </w:rPr>
      </w:pPr>
      <w:bookmarkStart w:id="76" w:name="_Toc3602"/>
      <w:bookmarkStart w:id="77" w:name="_Toc15396618"/>
      <w:r>
        <w:rPr>
          <w:rFonts w:hint="eastAsia" w:ascii="Times New Roman" w:hAnsi="Times New Roman" w:eastAsia="黑体" w:cs="黑体"/>
          <w:sz w:val="32"/>
          <w:szCs w:val="32"/>
        </w:rPr>
        <w:t>附件2</w:t>
      </w:r>
      <w:bookmarkEnd w:id="76"/>
    </w:p>
    <w:p w14:paraId="71FA2EC8">
      <w:pPr>
        <w:pStyle w:val="2"/>
        <w:ind w:left="0" w:leftChars="0" w:right="0" w:rightChars="0" w:firstLine="0" w:firstLineChars="0"/>
        <w:jc w:val="center"/>
        <w:rPr>
          <w:rFonts w:ascii="Times New Roman" w:hAnsi="Times New Roman"/>
        </w:rPr>
      </w:pPr>
      <w:r>
        <w:rPr>
          <w:rFonts w:hint="eastAsia" w:ascii="Times New Roman" w:hAnsi="Times New Roman" w:cs="宋体"/>
          <w:b/>
          <w:sz w:val="32"/>
          <w:szCs w:val="32"/>
        </w:rPr>
        <w:t>2021年部门预算项目（冬令</w:t>
      </w:r>
      <w:r>
        <w:rPr>
          <w:rFonts w:ascii="Times New Roman" w:hAnsi="Times New Roman" w:cs="宋体"/>
          <w:b/>
          <w:sz w:val="32"/>
          <w:szCs w:val="32"/>
        </w:rPr>
        <w:t>春荒资金</w:t>
      </w:r>
      <w:r>
        <w:rPr>
          <w:rFonts w:hint="eastAsia" w:ascii="Times New Roman" w:hAnsi="Times New Roman" w:cs="宋体"/>
          <w:b/>
          <w:sz w:val="32"/>
          <w:szCs w:val="32"/>
        </w:rPr>
        <w:t>）绩效目标自评</w:t>
      </w:r>
    </w:p>
    <w:tbl>
      <w:tblPr>
        <w:tblStyle w:val="12"/>
        <w:tblW w:w="9515" w:type="dxa"/>
        <w:jc w:val="center"/>
        <w:tblLayout w:type="fixed"/>
        <w:tblCellMar>
          <w:top w:w="0" w:type="dxa"/>
          <w:left w:w="108" w:type="dxa"/>
          <w:bottom w:w="0" w:type="dxa"/>
          <w:right w:w="108" w:type="dxa"/>
        </w:tblCellMar>
      </w:tblPr>
      <w:tblGrid>
        <w:gridCol w:w="1300"/>
        <w:gridCol w:w="1019"/>
        <w:gridCol w:w="1179"/>
        <w:gridCol w:w="1028"/>
        <w:gridCol w:w="1766"/>
        <w:gridCol w:w="1417"/>
        <w:gridCol w:w="1806"/>
      </w:tblGrid>
      <w:tr w14:paraId="111FE7FA">
        <w:tblPrEx>
          <w:tblCellMar>
            <w:top w:w="0" w:type="dxa"/>
            <w:left w:w="108" w:type="dxa"/>
            <w:bottom w:w="0" w:type="dxa"/>
            <w:right w:w="108" w:type="dxa"/>
          </w:tblCellMar>
        </w:tblPrEx>
        <w:trPr>
          <w:trHeight w:val="254" w:hRule="atLeast"/>
          <w:jc w:val="center"/>
        </w:trPr>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E31">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主管部门及代码</w:t>
            </w:r>
          </w:p>
        </w:tc>
        <w:tc>
          <w:tcPr>
            <w:tcW w:w="32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9F0F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广元市应急管理局</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808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实施单位</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B2721">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广元市昭化区应急管理局</w:t>
            </w:r>
          </w:p>
        </w:tc>
      </w:tr>
      <w:tr w14:paraId="06E9E4D1">
        <w:tblPrEx>
          <w:tblCellMar>
            <w:top w:w="0" w:type="dxa"/>
            <w:left w:w="108" w:type="dxa"/>
            <w:bottom w:w="0" w:type="dxa"/>
            <w:right w:w="108" w:type="dxa"/>
          </w:tblCellMar>
        </w:tblPrEx>
        <w:trPr>
          <w:trHeight w:val="430"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A52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项目预算</w:t>
            </w:r>
          </w:p>
          <w:p w14:paraId="238525C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执行情况</w:t>
            </w:r>
          </w:p>
          <w:p w14:paraId="0935AC0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（万元）</w:t>
            </w: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2F45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预算数：</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F9E">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64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执行数：</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4E7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w:t>
            </w:r>
          </w:p>
        </w:tc>
      </w:tr>
      <w:tr w14:paraId="6CBA6E7B">
        <w:tblPrEx>
          <w:tblCellMar>
            <w:top w:w="0" w:type="dxa"/>
            <w:left w:w="108" w:type="dxa"/>
            <w:bottom w:w="0" w:type="dxa"/>
            <w:right w:w="108" w:type="dxa"/>
          </w:tblCellMar>
        </w:tblPrEx>
        <w:trPr>
          <w:trHeight w:val="750"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E0419">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2DC0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0B824CB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719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CAB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04342C7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35FB4">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w:t>
            </w:r>
          </w:p>
        </w:tc>
      </w:tr>
      <w:tr w14:paraId="1A8E97D5">
        <w:tblPrEx>
          <w:tblCellMar>
            <w:top w:w="0" w:type="dxa"/>
            <w:left w:w="108" w:type="dxa"/>
            <w:bottom w:w="0" w:type="dxa"/>
            <w:right w:w="108" w:type="dxa"/>
          </w:tblCellMar>
        </w:tblPrEx>
        <w:trPr>
          <w:trHeight w:val="341"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646DC">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6D5D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00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6D3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5C2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r>
      <w:tr w14:paraId="3C535A2F">
        <w:tblPrEx>
          <w:tblCellMar>
            <w:top w:w="0" w:type="dxa"/>
            <w:left w:w="108" w:type="dxa"/>
            <w:bottom w:w="0" w:type="dxa"/>
            <w:right w:w="108" w:type="dxa"/>
          </w:tblCellMar>
        </w:tblPrEx>
        <w:trPr>
          <w:trHeight w:val="217" w:hRule="atLeast"/>
          <w:jc w:val="center"/>
        </w:trPr>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F6C1">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年度总体目标</w:t>
            </w:r>
          </w:p>
          <w:p w14:paraId="06765CC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完成情况</w:t>
            </w: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13AD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预期目标</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7994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目标实际完成情况</w:t>
            </w:r>
          </w:p>
        </w:tc>
      </w:tr>
      <w:tr w14:paraId="51B83C1C">
        <w:tblPrEx>
          <w:tblCellMar>
            <w:top w:w="0" w:type="dxa"/>
            <w:left w:w="108" w:type="dxa"/>
            <w:bottom w:w="0" w:type="dxa"/>
            <w:right w:w="108" w:type="dxa"/>
          </w:tblCellMar>
        </w:tblPrEx>
        <w:trPr>
          <w:trHeight w:val="797" w:hRule="atLeast"/>
          <w:jc w:val="center"/>
        </w:trPr>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3599">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4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3E9BF1">
            <w:pPr>
              <w:widowControl/>
              <w:spacing w:line="320" w:lineRule="exact"/>
              <w:ind w:left="0" w:leftChars="0" w:right="0" w:rightChars="0" w:firstLine="0" w:firstLineChars="0"/>
              <w:jc w:val="both"/>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做好灾区受灾群众冬春期间口粮、饮水、衣被、取暖、医疗等基本生活救助，维护社会稳定。及时足额发放中央冬春救助资金，确保冬春期间受灾群众基本生活和安全温暖过冬。</w:t>
            </w:r>
          </w:p>
        </w:tc>
        <w:tc>
          <w:tcPr>
            <w:tcW w:w="3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C3406">
            <w:pPr>
              <w:widowControl/>
              <w:spacing w:line="320" w:lineRule="exact"/>
              <w:ind w:left="0" w:leftChars="0" w:right="0" w:rightChars="0" w:firstLine="0" w:firstLineChars="0"/>
              <w:jc w:val="both"/>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冬春期间向全区3094户5830人受灾困难群众发放救助资金104万元，帮助受灾群众克服冬春生活困难，保障基本生活需求。</w:t>
            </w:r>
          </w:p>
        </w:tc>
      </w:tr>
      <w:tr w14:paraId="5BE88319">
        <w:tblPrEx>
          <w:tblCellMar>
            <w:top w:w="0" w:type="dxa"/>
            <w:left w:w="108" w:type="dxa"/>
            <w:bottom w:w="0" w:type="dxa"/>
            <w:right w:w="108" w:type="dxa"/>
          </w:tblCellMar>
        </w:tblPrEx>
        <w:trPr>
          <w:trHeight w:val="593" w:hRule="atLeast"/>
          <w:jc w:val="center"/>
        </w:trPr>
        <w:tc>
          <w:tcPr>
            <w:tcW w:w="1300" w:type="dxa"/>
            <w:vMerge w:val="restart"/>
            <w:tcBorders>
              <w:top w:val="single" w:color="000000" w:sz="4" w:space="0"/>
              <w:left w:val="single" w:color="000000" w:sz="4" w:space="0"/>
              <w:right w:val="single" w:color="000000" w:sz="4" w:space="0"/>
            </w:tcBorders>
            <w:shd w:val="clear" w:color="auto" w:fill="auto"/>
            <w:vAlign w:val="center"/>
          </w:tcPr>
          <w:p w14:paraId="485A0CE4">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年度绩效指标完成情况</w:t>
            </w:r>
          </w:p>
        </w:tc>
        <w:tc>
          <w:tcPr>
            <w:tcW w:w="1019" w:type="dxa"/>
            <w:tcBorders>
              <w:top w:val="single" w:color="000000" w:sz="4" w:space="0"/>
              <w:left w:val="nil"/>
              <w:bottom w:val="single" w:color="000000" w:sz="4" w:space="0"/>
              <w:right w:val="single" w:color="000000" w:sz="4" w:space="0"/>
            </w:tcBorders>
            <w:shd w:val="clear" w:color="auto" w:fill="auto"/>
            <w:vAlign w:val="center"/>
          </w:tcPr>
          <w:p w14:paraId="7A508CF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一级</w:t>
            </w:r>
          </w:p>
          <w:p w14:paraId="7EA83B4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3ED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二级</w:t>
            </w:r>
          </w:p>
          <w:p w14:paraId="66212573">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3288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三级</w:t>
            </w:r>
          </w:p>
          <w:p w14:paraId="5354AA2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86E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预期指标值</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DB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实际完成</w:t>
            </w:r>
          </w:p>
          <w:p w14:paraId="4201B026">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指标值</w:t>
            </w:r>
          </w:p>
        </w:tc>
      </w:tr>
      <w:tr w14:paraId="1CF5F35B">
        <w:tblPrEx>
          <w:tblCellMar>
            <w:top w:w="0" w:type="dxa"/>
            <w:left w:w="108" w:type="dxa"/>
            <w:bottom w:w="0" w:type="dxa"/>
            <w:right w:w="108" w:type="dxa"/>
          </w:tblCellMar>
        </w:tblPrEx>
        <w:trPr>
          <w:trHeight w:val="897" w:hRule="atLeast"/>
          <w:jc w:val="center"/>
        </w:trPr>
        <w:tc>
          <w:tcPr>
            <w:tcW w:w="1300" w:type="dxa"/>
            <w:vMerge w:val="continue"/>
            <w:tcBorders>
              <w:left w:val="single" w:color="000000" w:sz="4" w:space="0"/>
              <w:right w:val="single" w:color="000000" w:sz="4" w:space="0"/>
            </w:tcBorders>
            <w:shd w:val="clear" w:color="auto" w:fill="auto"/>
            <w:vAlign w:val="center"/>
          </w:tcPr>
          <w:p w14:paraId="0CE0650B">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17CF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完成</w:t>
            </w:r>
          </w:p>
          <w:p w14:paraId="7658521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FA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数量</w:t>
            </w:r>
          </w:p>
          <w:p w14:paraId="0086738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8E00E">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1.2021年全区共需冬春救助3094户5830人，104万元。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166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D7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54ACB64D">
        <w:tblPrEx>
          <w:tblCellMar>
            <w:top w:w="0" w:type="dxa"/>
            <w:left w:w="108" w:type="dxa"/>
            <w:bottom w:w="0" w:type="dxa"/>
            <w:right w:w="108" w:type="dxa"/>
          </w:tblCellMar>
        </w:tblPrEx>
        <w:trPr>
          <w:trHeight w:val="1680" w:hRule="atLeast"/>
          <w:jc w:val="center"/>
        </w:trPr>
        <w:tc>
          <w:tcPr>
            <w:tcW w:w="1300" w:type="dxa"/>
            <w:vMerge w:val="continue"/>
            <w:tcBorders>
              <w:left w:val="single" w:color="000000" w:sz="4" w:space="0"/>
              <w:right w:val="single" w:color="000000" w:sz="4" w:space="0"/>
            </w:tcBorders>
            <w:shd w:val="clear" w:color="auto" w:fill="auto"/>
            <w:vAlign w:val="center"/>
          </w:tcPr>
          <w:p w14:paraId="0FD8BB28">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AD11">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99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质量</w:t>
            </w:r>
          </w:p>
          <w:p w14:paraId="36C8882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D14E4">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1.帮助受灾群众克服冬春生活困难，保障基本生活需求。2.确保救灾资金通过“一卡通”系统及时发放到位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F4A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C55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6D500B37">
        <w:tblPrEx>
          <w:tblCellMar>
            <w:top w:w="0" w:type="dxa"/>
            <w:left w:w="108" w:type="dxa"/>
            <w:bottom w:w="0" w:type="dxa"/>
            <w:right w:w="108" w:type="dxa"/>
          </w:tblCellMar>
        </w:tblPrEx>
        <w:trPr>
          <w:trHeight w:val="415" w:hRule="atLeast"/>
          <w:jc w:val="center"/>
        </w:trPr>
        <w:tc>
          <w:tcPr>
            <w:tcW w:w="1300" w:type="dxa"/>
            <w:vMerge w:val="continue"/>
            <w:tcBorders>
              <w:left w:val="single" w:color="000000" w:sz="4" w:space="0"/>
              <w:right w:val="single" w:color="000000" w:sz="4" w:space="0"/>
            </w:tcBorders>
            <w:shd w:val="clear" w:color="auto" w:fill="auto"/>
            <w:vAlign w:val="center"/>
          </w:tcPr>
          <w:p w14:paraId="50BE4334">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EB25F">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C32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时效</w:t>
            </w:r>
          </w:p>
          <w:p w14:paraId="50BF04C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6BADD">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项目完成时间</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212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2022年1月28日</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52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7FB96BB9">
        <w:tblPrEx>
          <w:tblCellMar>
            <w:top w:w="0" w:type="dxa"/>
            <w:left w:w="108" w:type="dxa"/>
            <w:bottom w:w="0" w:type="dxa"/>
            <w:right w:w="108" w:type="dxa"/>
          </w:tblCellMar>
        </w:tblPrEx>
        <w:trPr>
          <w:trHeight w:val="480" w:hRule="atLeast"/>
          <w:jc w:val="center"/>
        </w:trPr>
        <w:tc>
          <w:tcPr>
            <w:tcW w:w="1300" w:type="dxa"/>
            <w:vMerge w:val="continue"/>
            <w:tcBorders>
              <w:left w:val="single" w:color="000000" w:sz="4" w:space="0"/>
              <w:right w:val="single" w:color="000000" w:sz="4" w:space="0"/>
            </w:tcBorders>
            <w:shd w:val="clear" w:color="auto" w:fill="auto"/>
            <w:vAlign w:val="center"/>
          </w:tcPr>
          <w:p w14:paraId="4EC84A37">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90CF8">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179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成本</w:t>
            </w:r>
          </w:p>
          <w:p w14:paraId="77C385D3">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8011C">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中央资金104万元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CD1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104万元</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D8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104万元</w:t>
            </w:r>
          </w:p>
        </w:tc>
      </w:tr>
      <w:tr w14:paraId="539CA33B">
        <w:tblPrEx>
          <w:tblCellMar>
            <w:top w:w="0" w:type="dxa"/>
            <w:left w:w="108" w:type="dxa"/>
            <w:bottom w:w="0" w:type="dxa"/>
            <w:right w:w="108" w:type="dxa"/>
          </w:tblCellMar>
        </w:tblPrEx>
        <w:trPr>
          <w:trHeight w:val="840" w:hRule="atLeast"/>
          <w:jc w:val="center"/>
        </w:trPr>
        <w:tc>
          <w:tcPr>
            <w:tcW w:w="1300" w:type="dxa"/>
            <w:vMerge w:val="continue"/>
            <w:tcBorders>
              <w:left w:val="single" w:color="000000" w:sz="4" w:space="0"/>
              <w:right w:val="single" w:color="000000" w:sz="4" w:space="0"/>
            </w:tcBorders>
            <w:shd w:val="clear" w:color="auto" w:fill="auto"/>
            <w:vAlign w:val="center"/>
          </w:tcPr>
          <w:p w14:paraId="30EFC9A7">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8E4D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效益</w:t>
            </w:r>
          </w:p>
          <w:p w14:paraId="6812A13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D4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经济效益指标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50CB4">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1.确保受灾群众基本生活稳定、经济持续发展</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3E7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8FB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6D00B4D4">
        <w:tblPrEx>
          <w:tblCellMar>
            <w:top w:w="0" w:type="dxa"/>
            <w:left w:w="108" w:type="dxa"/>
            <w:bottom w:w="0" w:type="dxa"/>
            <w:right w:w="108" w:type="dxa"/>
          </w:tblCellMar>
        </w:tblPrEx>
        <w:trPr>
          <w:trHeight w:val="480" w:hRule="atLeast"/>
          <w:jc w:val="center"/>
        </w:trPr>
        <w:tc>
          <w:tcPr>
            <w:tcW w:w="1300" w:type="dxa"/>
            <w:vMerge w:val="continue"/>
            <w:tcBorders>
              <w:left w:val="single" w:color="000000" w:sz="4" w:space="0"/>
              <w:right w:val="single" w:color="000000" w:sz="4" w:space="0"/>
            </w:tcBorders>
            <w:shd w:val="clear" w:color="auto" w:fill="auto"/>
            <w:vAlign w:val="center"/>
          </w:tcPr>
          <w:p w14:paraId="7C300575">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0D41">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C6B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社会效益指标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16223">
            <w:pPr>
              <w:widowControl/>
              <w:numPr>
                <w:ilvl w:val="0"/>
                <w:numId w:val="1"/>
              </w:numPr>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提高公从满意度</w:t>
            </w:r>
          </w:p>
          <w:p w14:paraId="17410F24">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2.提升受灾群众受益率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7C3">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FEE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687FAC8A">
        <w:tblPrEx>
          <w:tblCellMar>
            <w:top w:w="0" w:type="dxa"/>
            <w:left w:w="108" w:type="dxa"/>
            <w:bottom w:w="0" w:type="dxa"/>
            <w:right w:w="108" w:type="dxa"/>
          </w:tblCellMar>
        </w:tblPrEx>
        <w:trPr>
          <w:trHeight w:val="707" w:hRule="atLeast"/>
          <w:jc w:val="center"/>
        </w:trPr>
        <w:tc>
          <w:tcPr>
            <w:tcW w:w="1300" w:type="dxa"/>
            <w:vMerge w:val="continue"/>
            <w:tcBorders>
              <w:left w:val="single" w:color="000000" w:sz="4" w:space="0"/>
              <w:right w:val="single" w:color="000000" w:sz="4" w:space="0"/>
            </w:tcBorders>
            <w:shd w:val="clear" w:color="auto" w:fill="auto"/>
            <w:vAlign w:val="center"/>
          </w:tcPr>
          <w:p w14:paraId="73A56763">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0BDC">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74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生态效益指标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547D2">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1.改善群众生产、生活条件</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F77">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9F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3F049FDE">
        <w:tblPrEx>
          <w:tblCellMar>
            <w:top w:w="0" w:type="dxa"/>
            <w:left w:w="108" w:type="dxa"/>
            <w:bottom w:w="0" w:type="dxa"/>
            <w:right w:w="108" w:type="dxa"/>
          </w:tblCellMar>
        </w:tblPrEx>
        <w:trPr>
          <w:trHeight w:val="480" w:hRule="atLeast"/>
          <w:jc w:val="center"/>
        </w:trPr>
        <w:tc>
          <w:tcPr>
            <w:tcW w:w="1300" w:type="dxa"/>
            <w:vMerge w:val="continue"/>
            <w:tcBorders>
              <w:left w:val="single" w:color="000000" w:sz="4" w:space="0"/>
              <w:right w:val="single" w:color="000000" w:sz="4" w:space="0"/>
            </w:tcBorders>
            <w:shd w:val="clear" w:color="auto" w:fill="auto"/>
            <w:vAlign w:val="center"/>
          </w:tcPr>
          <w:p w14:paraId="40EBCE7F">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0B546">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8C0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可持续影响指标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950C93">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1.持续提升防灾减灾救灾工作能力和水平</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FA0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797D">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471618DD">
        <w:tblPrEx>
          <w:tblCellMar>
            <w:top w:w="0" w:type="dxa"/>
            <w:left w:w="108" w:type="dxa"/>
            <w:bottom w:w="0" w:type="dxa"/>
            <w:right w:w="108" w:type="dxa"/>
          </w:tblCellMar>
        </w:tblPrEx>
        <w:trPr>
          <w:trHeight w:val="530" w:hRule="atLeast"/>
          <w:jc w:val="center"/>
        </w:trPr>
        <w:tc>
          <w:tcPr>
            <w:tcW w:w="1300" w:type="dxa"/>
            <w:vMerge w:val="continue"/>
            <w:tcBorders>
              <w:left w:val="single" w:color="000000" w:sz="4" w:space="0"/>
              <w:bottom w:val="single" w:color="000000" w:sz="4" w:space="0"/>
              <w:right w:val="single" w:color="000000" w:sz="4" w:space="0"/>
            </w:tcBorders>
            <w:shd w:val="clear" w:color="auto" w:fill="auto"/>
            <w:vAlign w:val="center"/>
          </w:tcPr>
          <w:p w14:paraId="3466A9D7">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83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满意</w:t>
            </w:r>
          </w:p>
          <w:p w14:paraId="408B5CF4">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C34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满意度</w:t>
            </w:r>
          </w:p>
          <w:p w14:paraId="2107D73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40FED">
            <w:pPr>
              <w:widowControl/>
              <w:spacing w:line="320" w:lineRule="exact"/>
              <w:ind w:left="0" w:leftChars="0" w:right="0" w:rightChars="0" w:firstLine="0" w:firstLineChars="0"/>
              <w:jc w:val="both"/>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1.受灾群众对冬春救助工作服务满意度</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FFB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24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bl>
    <w:p w14:paraId="26B6A744">
      <w:pPr>
        <w:spacing w:line="572" w:lineRule="exact"/>
        <w:jc w:val="left"/>
        <w:outlineLvl w:val="0"/>
        <w:rPr>
          <w:rFonts w:hint="eastAsia" w:ascii="Times New Roman" w:hAnsi="Times New Roman" w:eastAsia="黑体" w:cs="黑体"/>
          <w:sz w:val="32"/>
          <w:szCs w:val="32"/>
        </w:rPr>
      </w:pPr>
      <w:bookmarkStart w:id="78" w:name="_Toc30116"/>
      <w:r>
        <w:rPr>
          <w:rFonts w:hint="eastAsia" w:ascii="Times New Roman" w:hAnsi="Times New Roman" w:eastAsia="黑体" w:cs="黑体"/>
          <w:sz w:val="32"/>
          <w:szCs w:val="32"/>
        </w:rPr>
        <w:t>附件3</w:t>
      </w:r>
      <w:bookmarkEnd w:id="78"/>
    </w:p>
    <w:p w14:paraId="6755B270">
      <w:pPr>
        <w:pStyle w:val="2"/>
        <w:ind w:left="0" w:leftChars="0" w:right="0" w:rightChars="0" w:firstLine="0" w:firstLineChars="0"/>
        <w:jc w:val="center"/>
        <w:rPr>
          <w:rFonts w:ascii="Times New Roman" w:hAnsi="Times New Roman"/>
        </w:rPr>
      </w:pPr>
      <w:r>
        <w:rPr>
          <w:rFonts w:hint="eastAsia" w:ascii="Times New Roman" w:hAnsi="Times New Roman" w:cs="宋体"/>
          <w:b/>
          <w:sz w:val="32"/>
          <w:szCs w:val="32"/>
        </w:rPr>
        <w:t>2021年部门预算项目（洪灾</w:t>
      </w:r>
      <w:r>
        <w:rPr>
          <w:rFonts w:ascii="Times New Roman" w:hAnsi="Times New Roman" w:cs="宋体"/>
          <w:b/>
          <w:sz w:val="32"/>
          <w:szCs w:val="32"/>
        </w:rPr>
        <w:t>农房重建</w:t>
      </w:r>
      <w:r>
        <w:rPr>
          <w:rFonts w:hint="eastAsia" w:ascii="Times New Roman" w:hAnsi="Times New Roman" w:cs="宋体"/>
          <w:b/>
          <w:sz w:val="32"/>
          <w:szCs w:val="32"/>
        </w:rPr>
        <w:t>）绩效目标自评</w:t>
      </w:r>
    </w:p>
    <w:tbl>
      <w:tblPr>
        <w:tblStyle w:val="12"/>
        <w:tblW w:w="9397" w:type="dxa"/>
        <w:jc w:val="center"/>
        <w:tblLayout w:type="fixed"/>
        <w:tblCellMar>
          <w:top w:w="0" w:type="dxa"/>
          <w:left w:w="108" w:type="dxa"/>
          <w:bottom w:w="0" w:type="dxa"/>
          <w:right w:w="108" w:type="dxa"/>
        </w:tblCellMar>
      </w:tblPr>
      <w:tblGrid>
        <w:gridCol w:w="1275"/>
        <w:gridCol w:w="999"/>
        <w:gridCol w:w="1061"/>
        <w:gridCol w:w="1141"/>
        <w:gridCol w:w="1529"/>
        <w:gridCol w:w="1560"/>
        <w:gridCol w:w="1832"/>
      </w:tblGrid>
      <w:tr w14:paraId="1A8662AA">
        <w:tblPrEx>
          <w:tblCellMar>
            <w:top w:w="0" w:type="dxa"/>
            <w:left w:w="108" w:type="dxa"/>
            <w:bottom w:w="0" w:type="dxa"/>
            <w:right w:w="108" w:type="dxa"/>
          </w:tblCellMar>
        </w:tblPrEx>
        <w:trPr>
          <w:trHeight w:val="706" w:hRule="atLeast"/>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7C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主管部门及代码</w:t>
            </w:r>
          </w:p>
        </w:tc>
        <w:tc>
          <w:tcPr>
            <w:tcW w:w="3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2803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广元市应急管理局</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D9D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实施单位</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C8CC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广元市昭化区应急管理局</w:t>
            </w:r>
          </w:p>
        </w:tc>
      </w:tr>
      <w:tr w14:paraId="28372849">
        <w:tblPrEx>
          <w:tblCellMar>
            <w:top w:w="0" w:type="dxa"/>
            <w:left w:w="108" w:type="dxa"/>
            <w:bottom w:w="0" w:type="dxa"/>
            <w:right w:w="108" w:type="dxa"/>
          </w:tblCellMar>
        </w:tblPrEx>
        <w:trPr>
          <w:trHeight w:val="481"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5CD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项目预算</w:t>
            </w:r>
          </w:p>
          <w:p w14:paraId="3E1408E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执行情况</w:t>
            </w:r>
          </w:p>
          <w:p w14:paraId="591735F6">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（万元）</w:t>
            </w:r>
          </w:p>
        </w:tc>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49B32">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预算数：</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B6D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08D4">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执行数：</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4C86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w:t>
            </w:r>
          </w:p>
        </w:tc>
      </w:tr>
      <w:tr w14:paraId="1D8A2A69">
        <w:tblPrEx>
          <w:tblCellMar>
            <w:top w:w="0" w:type="dxa"/>
            <w:left w:w="108" w:type="dxa"/>
            <w:bottom w:w="0" w:type="dxa"/>
            <w:right w:w="108" w:type="dxa"/>
          </w:tblCellMar>
        </w:tblPrEx>
        <w:trPr>
          <w:trHeight w:val="759"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96DD0">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C8E3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40E4C096">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A158">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80A0">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其中：</w:t>
            </w:r>
          </w:p>
          <w:p w14:paraId="3BC09DE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财政拨款</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6CA5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w:t>
            </w:r>
          </w:p>
        </w:tc>
      </w:tr>
      <w:tr w14:paraId="60E1CF62">
        <w:tblPrEx>
          <w:tblCellMar>
            <w:top w:w="0" w:type="dxa"/>
            <w:left w:w="108" w:type="dxa"/>
            <w:bottom w:w="0" w:type="dxa"/>
            <w:right w:w="108" w:type="dxa"/>
          </w:tblCellMar>
        </w:tblPrEx>
        <w:trPr>
          <w:trHeight w:val="386"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40C54">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2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D1E0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D3DB">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A5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其他资金</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E2F7F">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p>
        </w:tc>
      </w:tr>
      <w:tr w14:paraId="6D18763B">
        <w:tblPrEx>
          <w:tblCellMar>
            <w:top w:w="0" w:type="dxa"/>
            <w:left w:w="108" w:type="dxa"/>
            <w:bottom w:w="0" w:type="dxa"/>
            <w:right w:w="108" w:type="dxa"/>
          </w:tblCellMar>
        </w:tblPrEx>
        <w:trPr>
          <w:trHeight w:val="363"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80FA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年度总体目标</w:t>
            </w:r>
          </w:p>
          <w:p w14:paraId="14382797">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完成情况</w:t>
            </w: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1DA7DE">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预期目标</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C3051">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目标实际完成情况</w:t>
            </w:r>
          </w:p>
        </w:tc>
      </w:tr>
      <w:tr w14:paraId="6451E1D2">
        <w:tblPrEx>
          <w:tblCellMar>
            <w:top w:w="0" w:type="dxa"/>
            <w:left w:w="108" w:type="dxa"/>
            <w:bottom w:w="0" w:type="dxa"/>
            <w:right w:w="108" w:type="dxa"/>
          </w:tblCellMar>
        </w:tblPrEx>
        <w:trPr>
          <w:trHeight w:val="874"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BA63">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47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118008">
            <w:pPr>
              <w:widowControl/>
              <w:spacing w:line="320" w:lineRule="exact"/>
              <w:ind w:left="0" w:leftChars="0" w:right="0" w:rightChars="0" w:firstLine="0" w:firstLineChars="0"/>
              <w:jc w:val="center"/>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用于2021年因洪涝灾害倒塌和损坏民房恢复重建补助</w:t>
            </w:r>
          </w:p>
        </w:tc>
        <w:tc>
          <w:tcPr>
            <w:tcW w:w="33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9FF64">
            <w:pPr>
              <w:widowControl/>
              <w:spacing w:line="320" w:lineRule="exact"/>
              <w:ind w:left="0" w:leftChars="0" w:right="0" w:rightChars="0" w:firstLine="0" w:firstLineChars="0"/>
              <w:jc w:val="center"/>
              <w:textAlignment w:val="top"/>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用于2021年因洪涝灾害倒塌和损坏民房恢复重建补助</w:t>
            </w:r>
          </w:p>
        </w:tc>
      </w:tr>
      <w:tr w14:paraId="02EEB722">
        <w:tblPrEx>
          <w:tblCellMar>
            <w:top w:w="0" w:type="dxa"/>
            <w:left w:w="108" w:type="dxa"/>
            <w:bottom w:w="0" w:type="dxa"/>
            <w:right w:w="108" w:type="dxa"/>
          </w:tblCellMar>
        </w:tblPrEx>
        <w:trPr>
          <w:trHeight w:val="706" w:hRule="atLeast"/>
          <w:jc w:val="center"/>
        </w:trPr>
        <w:tc>
          <w:tcPr>
            <w:tcW w:w="1275" w:type="dxa"/>
            <w:vMerge w:val="restart"/>
            <w:tcBorders>
              <w:top w:val="single" w:color="000000" w:sz="4" w:space="0"/>
              <w:left w:val="single" w:color="000000" w:sz="4" w:space="0"/>
              <w:right w:val="single" w:color="000000" w:sz="4" w:space="0"/>
            </w:tcBorders>
            <w:shd w:val="clear" w:color="auto" w:fill="auto"/>
            <w:vAlign w:val="center"/>
          </w:tcPr>
          <w:p w14:paraId="08B87C5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年度绩效指标完成情况</w:t>
            </w:r>
          </w:p>
        </w:tc>
        <w:tc>
          <w:tcPr>
            <w:tcW w:w="999" w:type="dxa"/>
            <w:tcBorders>
              <w:top w:val="single" w:color="000000" w:sz="4" w:space="0"/>
              <w:left w:val="nil"/>
              <w:bottom w:val="single" w:color="000000" w:sz="4" w:space="0"/>
              <w:right w:val="single" w:color="000000" w:sz="4" w:space="0"/>
            </w:tcBorders>
            <w:shd w:val="clear" w:color="auto" w:fill="auto"/>
            <w:vAlign w:val="center"/>
          </w:tcPr>
          <w:p w14:paraId="4CFD9C42">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一级</w:t>
            </w:r>
          </w:p>
          <w:p w14:paraId="023EF49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2E7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二级</w:t>
            </w:r>
          </w:p>
          <w:p w14:paraId="311C24FC">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05C0A">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三级</w:t>
            </w:r>
          </w:p>
          <w:p w14:paraId="2C756539">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EC25">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预期指标值</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C56">
            <w:pPr>
              <w:widowControl/>
              <w:spacing w:line="320" w:lineRule="exact"/>
              <w:ind w:left="0" w:leftChars="0" w:right="0" w:rightChars="0" w:firstLine="0" w:firstLineChars="0"/>
              <w:jc w:val="center"/>
              <w:textAlignment w:val="center"/>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实际完成指标值</w:t>
            </w:r>
          </w:p>
        </w:tc>
      </w:tr>
      <w:tr w14:paraId="6F110509">
        <w:tblPrEx>
          <w:tblCellMar>
            <w:top w:w="0" w:type="dxa"/>
            <w:left w:w="108" w:type="dxa"/>
            <w:bottom w:w="0" w:type="dxa"/>
            <w:right w:w="108" w:type="dxa"/>
          </w:tblCellMar>
        </w:tblPrEx>
        <w:trPr>
          <w:trHeight w:val="899" w:hRule="atLeast"/>
          <w:jc w:val="center"/>
        </w:trPr>
        <w:tc>
          <w:tcPr>
            <w:tcW w:w="1275" w:type="dxa"/>
            <w:vMerge w:val="continue"/>
            <w:tcBorders>
              <w:left w:val="single" w:color="000000" w:sz="4" w:space="0"/>
              <w:right w:val="single" w:color="000000" w:sz="4" w:space="0"/>
            </w:tcBorders>
            <w:shd w:val="clear" w:color="auto" w:fill="auto"/>
            <w:vAlign w:val="center"/>
          </w:tcPr>
          <w:p w14:paraId="749DAD08">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FB84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完成</w:t>
            </w:r>
          </w:p>
          <w:p w14:paraId="3189F0E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26E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数量</w:t>
            </w:r>
          </w:p>
          <w:p w14:paraId="6BE89F07">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80D2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对全区81户因灾倒损住房恢复重建进行补助</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594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81户</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5D9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81户</w:t>
            </w:r>
          </w:p>
        </w:tc>
      </w:tr>
      <w:tr w14:paraId="32EE2005">
        <w:tblPrEx>
          <w:tblCellMar>
            <w:top w:w="0" w:type="dxa"/>
            <w:left w:w="108" w:type="dxa"/>
            <w:bottom w:w="0" w:type="dxa"/>
            <w:right w:w="108" w:type="dxa"/>
          </w:tblCellMar>
        </w:tblPrEx>
        <w:trPr>
          <w:trHeight w:val="706" w:hRule="atLeast"/>
          <w:jc w:val="center"/>
        </w:trPr>
        <w:tc>
          <w:tcPr>
            <w:tcW w:w="1275" w:type="dxa"/>
            <w:vMerge w:val="continue"/>
            <w:tcBorders>
              <w:left w:val="single" w:color="000000" w:sz="4" w:space="0"/>
              <w:right w:val="single" w:color="000000" w:sz="4" w:space="0"/>
            </w:tcBorders>
            <w:shd w:val="clear" w:color="auto" w:fill="auto"/>
            <w:vAlign w:val="center"/>
          </w:tcPr>
          <w:p w14:paraId="0A8C0CA2">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A081E">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CB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质量</w:t>
            </w:r>
          </w:p>
          <w:p w14:paraId="181AD2F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FC31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手续齐全，质量达标，可以入住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F37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5A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62AA69BD">
        <w:tblPrEx>
          <w:tblCellMar>
            <w:top w:w="0" w:type="dxa"/>
            <w:left w:w="108" w:type="dxa"/>
            <w:bottom w:w="0" w:type="dxa"/>
            <w:right w:w="108" w:type="dxa"/>
          </w:tblCellMar>
        </w:tblPrEx>
        <w:trPr>
          <w:trHeight w:val="1049" w:hRule="atLeast"/>
          <w:jc w:val="center"/>
        </w:trPr>
        <w:tc>
          <w:tcPr>
            <w:tcW w:w="1275" w:type="dxa"/>
            <w:vMerge w:val="continue"/>
            <w:tcBorders>
              <w:left w:val="single" w:color="000000" w:sz="4" w:space="0"/>
              <w:right w:val="single" w:color="000000" w:sz="4" w:space="0"/>
            </w:tcBorders>
            <w:shd w:val="clear" w:color="auto" w:fill="auto"/>
            <w:vAlign w:val="center"/>
          </w:tcPr>
          <w:p w14:paraId="0E08B97F">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A41B7">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6B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时效</w:t>
            </w:r>
          </w:p>
          <w:p w14:paraId="7795B11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993E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2022年9月底重建工作全面完工，检收合格确保资金按时拨付到户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A6F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10个月</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105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10个月</w:t>
            </w:r>
          </w:p>
        </w:tc>
      </w:tr>
      <w:tr w14:paraId="3F02BD58">
        <w:tblPrEx>
          <w:tblCellMar>
            <w:top w:w="0" w:type="dxa"/>
            <w:left w:w="108" w:type="dxa"/>
            <w:bottom w:w="0" w:type="dxa"/>
            <w:right w:w="108" w:type="dxa"/>
          </w:tblCellMar>
        </w:tblPrEx>
        <w:trPr>
          <w:trHeight w:val="706" w:hRule="atLeast"/>
          <w:jc w:val="center"/>
        </w:trPr>
        <w:tc>
          <w:tcPr>
            <w:tcW w:w="1275" w:type="dxa"/>
            <w:vMerge w:val="continue"/>
            <w:tcBorders>
              <w:left w:val="single" w:color="000000" w:sz="4" w:space="0"/>
              <w:right w:val="single" w:color="000000" w:sz="4" w:space="0"/>
            </w:tcBorders>
            <w:shd w:val="clear" w:color="auto" w:fill="auto"/>
            <w:vAlign w:val="center"/>
          </w:tcPr>
          <w:p w14:paraId="2217A9A9">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A0183">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30C3">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成本</w:t>
            </w:r>
          </w:p>
          <w:p w14:paraId="1E91C356">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442B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上级补助资金203.07万元</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8073">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203.07万元</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DF1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203.07万元</w:t>
            </w:r>
          </w:p>
        </w:tc>
      </w:tr>
      <w:tr w14:paraId="58AAB39C">
        <w:tblPrEx>
          <w:tblCellMar>
            <w:top w:w="0" w:type="dxa"/>
            <w:left w:w="108" w:type="dxa"/>
            <w:bottom w:w="0" w:type="dxa"/>
            <w:right w:w="108" w:type="dxa"/>
          </w:tblCellMar>
        </w:tblPrEx>
        <w:trPr>
          <w:trHeight w:val="813" w:hRule="atLeast"/>
          <w:jc w:val="center"/>
        </w:trPr>
        <w:tc>
          <w:tcPr>
            <w:tcW w:w="1275" w:type="dxa"/>
            <w:vMerge w:val="continue"/>
            <w:tcBorders>
              <w:left w:val="single" w:color="000000" w:sz="4" w:space="0"/>
              <w:right w:val="single" w:color="000000" w:sz="4" w:space="0"/>
            </w:tcBorders>
            <w:shd w:val="clear" w:color="auto" w:fill="auto"/>
            <w:vAlign w:val="center"/>
          </w:tcPr>
          <w:p w14:paraId="756DA567">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D3CE">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效益</w:t>
            </w:r>
          </w:p>
          <w:p w14:paraId="1292432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82F4">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经济效益指标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949A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受灾群众有房可住、经济持续发展</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C2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81户</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0414">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81户</w:t>
            </w:r>
          </w:p>
        </w:tc>
      </w:tr>
      <w:tr w14:paraId="2CB95BF5">
        <w:tblPrEx>
          <w:tblCellMar>
            <w:top w:w="0" w:type="dxa"/>
            <w:left w:w="108" w:type="dxa"/>
            <w:bottom w:w="0" w:type="dxa"/>
            <w:right w:w="108" w:type="dxa"/>
          </w:tblCellMar>
        </w:tblPrEx>
        <w:trPr>
          <w:trHeight w:val="706" w:hRule="atLeast"/>
          <w:jc w:val="center"/>
        </w:trPr>
        <w:tc>
          <w:tcPr>
            <w:tcW w:w="1275" w:type="dxa"/>
            <w:vMerge w:val="continue"/>
            <w:tcBorders>
              <w:left w:val="single" w:color="000000" w:sz="4" w:space="0"/>
              <w:right w:val="single" w:color="000000" w:sz="4" w:space="0"/>
            </w:tcBorders>
            <w:shd w:val="clear" w:color="auto" w:fill="auto"/>
            <w:vAlign w:val="center"/>
          </w:tcPr>
          <w:p w14:paraId="29CE1789">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F1FF">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F9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社会效益指标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9734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增强受灾群众的获得感、幸福感、安全感</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C76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304F">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35E72C6A">
        <w:tblPrEx>
          <w:tblCellMar>
            <w:top w:w="0" w:type="dxa"/>
            <w:left w:w="108" w:type="dxa"/>
            <w:bottom w:w="0" w:type="dxa"/>
            <w:right w:w="108" w:type="dxa"/>
          </w:tblCellMar>
        </w:tblPrEx>
        <w:trPr>
          <w:trHeight w:val="1027" w:hRule="atLeast"/>
          <w:jc w:val="center"/>
        </w:trPr>
        <w:tc>
          <w:tcPr>
            <w:tcW w:w="1275" w:type="dxa"/>
            <w:vMerge w:val="continue"/>
            <w:tcBorders>
              <w:left w:val="single" w:color="000000" w:sz="4" w:space="0"/>
              <w:right w:val="single" w:color="000000" w:sz="4" w:space="0"/>
            </w:tcBorders>
            <w:shd w:val="clear" w:color="auto" w:fill="auto"/>
            <w:vAlign w:val="center"/>
          </w:tcPr>
          <w:p w14:paraId="1D26A8BA">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EE353">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EE5">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生态效益指标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43682">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改善群众住房条件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1517">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73FC">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012661AE">
        <w:tblPrEx>
          <w:tblCellMar>
            <w:top w:w="0" w:type="dxa"/>
            <w:left w:w="108" w:type="dxa"/>
            <w:bottom w:w="0" w:type="dxa"/>
            <w:right w:w="108" w:type="dxa"/>
          </w:tblCellMar>
        </w:tblPrEx>
        <w:trPr>
          <w:trHeight w:val="1049" w:hRule="atLeast"/>
          <w:jc w:val="center"/>
        </w:trPr>
        <w:tc>
          <w:tcPr>
            <w:tcW w:w="1275" w:type="dxa"/>
            <w:vMerge w:val="continue"/>
            <w:tcBorders>
              <w:left w:val="single" w:color="000000" w:sz="4" w:space="0"/>
              <w:right w:val="single" w:color="000000" w:sz="4" w:space="0"/>
            </w:tcBorders>
            <w:shd w:val="clear" w:color="auto" w:fill="auto"/>
            <w:vAlign w:val="center"/>
          </w:tcPr>
          <w:p w14:paraId="23104F2C">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13BE">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7BC7">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可持续影响指标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5237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1.持续提升防灾减灾救灾工作能力和水平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2ADB">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8FF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r w14:paraId="37CCBD8E">
        <w:tblPrEx>
          <w:tblCellMar>
            <w:top w:w="0" w:type="dxa"/>
            <w:left w:w="108" w:type="dxa"/>
            <w:bottom w:w="0" w:type="dxa"/>
            <w:right w:w="108" w:type="dxa"/>
          </w:tblCellMar>
        </w:tblPrEx>
        <w:trPr>
          <w:trHeight w:val="726" w:hRule="atLeast"/>
          <w:jc w:val="center"/>
        </w:trPr>
        <w:tc>
          <w:tcPr>
            <w:tcW w:w="1275" w:type="dxa"/>
            <w:vMerge w:val="continue"/>
            <w:tcBorders>
              <w:left w:val="single" w:color="000000" w:sz="4" w:space="0"/>
              <w:bottom w:val="single" w:color="000000" w:sz="4" w:space="0"/>
              <w:right w:val="single" w:color="000000" w:sz="4" w:space="0"/>
            </w:tcBorders>
            <w:shd w:val="clear" w:color="auto" w:fill="auto"/>
            <w:vAlign w:val="center"/>
          </w:tcPr>
          <w:p w14:paraId="2878C020">
            <w:pPr>
              <w:spacing w:line="320" w:lineRule="exact"/>
              <w:ind w:left="0" w:leftChars="0" w:right="0" w:rightChars="0" w:firstLine="0" w:firstLineChars="0"/>
              <w:jc w:val="center"/>
              <w:rPr>
                <w:rFonts w:hint="eastAsia" w:ascii="Times New Roman" w:hAnsi="Times New Roman" w:eastAsia="仿宋_GB2312" w:cs="仿宋_GB2312"/>
                <w:sz w:val="24"/>
                <w:szCs w:val="24"/>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2AE0">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eastAsia="zh-CN" w:bidi="ar"/>
              </w:rPr>
            </w:pPr>
            <w:r>
              <w:rPr>
                <w:rFonts w:hint="eastAsia" w:ascii="Times New Roman" w:hAnsi="Times New Roman" w:eastAsia="仿宋_GB2312" w:cs="仿宋_GB2312"/>
                <w:kern w:val="0"/>
                <w:sz w:val="24"/>
                <w:szCs w:val="24"/>
                <w:lang w:bidi="ar"/>
              </w:rPr>
              <w:t>满意</w:t>
            </w:r>
          </w:p>
          <w:p w14:paraId="3EDA2AA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度指标</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3B9">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kern w:val="0"/>
                <w:sz w:val="24"/>
                <w:szCs w:val="24"/>
                <w:lang w:bidi="ar"/>
              </w:rPr>
            </w:pPr>
            <w:r>
              <w:rPr>
                <w:rFonts w:hint="eastAsia" w:ascii="Times New Roman" w:hAnsi="Times New Roman" w:eastAsia="仿宋_GB2312" w:cs="仿宋_GB2312"/>
                <w:kern w:val="0"/>
                <w:sz w:val="24"/>
                <w:szCs w:val="24"/>
                <w:lang w:bidi="ar"/>
              </w:rPr>
              <w:t>满意度</w:t>
            </w:r>
          </w:p>
          <w:p w14:paraId="3F964F1A">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kern w:val="0"/>
                <w:sz w:val="24"/>
                <w:szCs w:val="24"/>
                <w:lang w:bidi="ar"/>
              </w:rPr>
              <w:t>指标</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A9300">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受灾群众满意度</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A9F1">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8B08">
            <w:pPr>
              <w:widowControl/>
              <w:spacing w:line="320" w:lineRule="exact"/>
              <w:ind w:left="0" w:leftChars="0" w:right="0" w:rightChars="0" w:firstLine="0" w:firstLineChars="0"/>
              <w:jc w:val="center"/>
              <w:textAlignment w:val="bottom"/>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100%</w:t>
            </w:r>
          </w:p>
        </w:tc>
      </w:tr>
    </w:tbl>
    <w:p w14:paraId="2672EBDF">
      <w:pPr>
        <w:pStyle w:val="3"/>
        <w:pageBreakBefore w:val="0"/>
        <w:kinsoku/>
        <w:wordWrap/>
        <w:overflowPunct/>
        <w:topLinePunct w:val="0"/>
        <w:bidi w:val="0"/>
        <w:spacing w:before="0" w:after="0" w:line="576" w:lineRule="exact"/>
        <w:jc w:val="center"/>
        <w:textAlignment w:val="auto"/>
        <w:rPr>
          <w:rFonts w:hint="eastAsia" w:ascii="Times New Roman" w:hAnsi="Times New Roman" w:eastAsia="黑体"/>
          <w:b w:val="0"/>
          <w:lang w:val="en-US" w:eastAsia="zh-CN"/>
        </w:rPr>
      </w:pPr>
      <w:bookmarkStart w:id="79" w:name="_Toc4604"/>
      <w:r>
        <w:rPr>
          <w:rFonts w:hint="eastAsia" w:ascii="Times New Roman" w:hAnsi="Times New Roman" w:eastAsia="黑体"/>
          <w:b w:val="0"/>
          <w:lang w:val="en-US" w:eastAsia="zh-CN"/>
        </w:rPr>
        <w:t>第五部分  附表</w:t>
      </w:r>
      <w:bookmarkEnd w:id="73"/>
      <w:bookmarkEnd w:id="77"/>
      <w:bookmarkEnd w:id="79"/>
      <w:bookmarkStart w:id="80" w:name="_Toc15396619"/>
    </w:p>
    <w:p w14:paraId="125FB0E4">
      <w:pPr>
        <w:rPr>
          <w:rFonts w:hint="eastAsia" w:ascii="Times New Roman" w:hAnsi="Times New Roman"/>
          <w:lang w:val="en-US" w:eastAsia="zh-CN"/>
        </w:rPr>
      </w:pPr>
    </w:p>
    <w:p w14:paraId="41E19002">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81" w:name="_Toc8253"/>
      <w:r>
        <w:rPr>
          <w:rFonts w:hint="eastAsia" w:ascii="Times New Roman" w:hAnsi="Times New Roman" w:eastAsia="黑体"/>
          <w:b w:val="0"/>
          <w:lang w:val="en-US" w:eastAsia="zh-CN"/>
        </w:rPr>
        <w:t>一、收入支出决算总表</w:t>
      </w:r>
      <w:bookmarkEnd w:id="80"/>
      <w:bookmarkEnd w:id="81"/>
    </w:p>
    <w:p w14:paraId="5690AA87">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82" w:name="_Toc15396620"/>
      <w:bookmarkStart w:id="83" w:name="_Toc30281"/>
      <w:r>
        <w:rPr>
          <w:rFonts w:hint="eastAsia" w:ascii="Times New Roman" w:hAnsi="Times New Roman" w:eastAsia="黑体"/>
          <w:b w:val="0"/>
          <w:lang w:val="en-US" w:eastAsia="zh-CN"/>
        </w:rPr>
        <w:t>二、收入决算表</w:t>
      </w:r>
      <w:bookmarkEnd w:id="82"/>
      <w:bookmarkEnd w:id="83"/>
    </w:p>
    <w:p w14:paraId="698E0CAE">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84" w:name="_Toc15396621"/>
      <w:bookmarkStart w:id="85" w:name="_Toc12712"/>
      <w:r>
        <w:rPr>
          <w:rFonts w:hint="eastAsia" w:ascii="Times New Roman" w:hAnsi="Times New Roman" w:eastAsia="黑体"/>
          <w:b w:val="0"/>
          <w:lang w:val="en-US" w:eastAsia="zh-CN"/>
        </w:rPr>
        <w:t>三、支出决算表</w:t>
      </w:r>
      <w:bookmarkEnd w:id="84"/>
      <w:bookmarkEnd w:id="85"/>
    </w:p>
    <w:p w14:paraId="359AC5AA">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86" w:name="_Toc15396622"/>
      <w:bookmarkStart w:id="87" w:name="_Toc18230"/>
      <w:r>
        <w:rPr>
          <w:rFonts w:hint="eastAsia" w:ascii="Times New Roman" w:hAnsi="Times New Roman" w:eastAsia="黑体"/>
          <w:b w:val="0"/>
          <w:lang w:val="en-US" w:eastAsia="zh-CN"/>
        </w:rPr>
        <w:t>四、财政拨款收入支出决算总表</w:t>
      </w:r>
      <w:bookmarkEnd w:id="86"/>
      <w:bookmarkEnd w:id="87"/>
    </w:p>
    <w:p w14:paraId="1925CE23">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88" w:name="_Toc28416"/>
      <w:bookmarkStart w:id="89" w:name="_Toc15396623"/>
      <w:r>
        <w:rPr>
          <w:rFonts w:hint="eastAsia" w:ascii="Times New Roman" w:hAnsi="Times New Roman" w:eastAsia="黑体"/>
          <w:b w:val="0"/>
          <w:lang w:val="en-US" w:eastAsia="zh-CN"/>
        </w:rPr>
        <w:t>五、财政拨款支出决算明细表</w:t>
      </w:r>
      <w:bookmarkEnd w:id="88"/>
      <w:bookmarkEnd w:id="89"/>
      <w:bookmarkStart w:id="90" w:name="_Toc15396624"/>
    </w:p>
    <w:p w14:paraId="46C23D27">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91" w:name="_Toc16373"/>
      <w:r>
        <w:rPr>
          <w:rFonts w:hint="eastAsia" w:ascii="Times New Roman" w:hAnsi="Times New Roman" w:eastAsia="黑体"/>
          <w:b w:val="0"/>
          <w:lang w:val="en-US" w:eastAsia="zh-CN"/>
        </w:rPr>
        <w:t>六、一般公共预算财政拨款支出决算表</w:t>
      </w:r>
      <w:bookmarkEnd w:id="90"/>
      <w:bookmarkEnd w:id="91"/>
    </w:p>
    <w:p w14:paraId="768807BA">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92" w:name="_Toc12047"/>
      <w:bookmarkStart w:id="93" w:name="_Toc15396625"/>
      <w:r>
        <w:rPr>
          <w:rFonts w:hint="eastAsia" w:ascii="Times New Roman" w:hAnsi="Times New Roman" w:eastAsia="黑体"/>
          <w:b w:val="0"/>
          <w:lang w:val="en-US" w:eastAsia="zh-CN"/>
        </w:rPr>
        <w:t>七、一般公共预算财政拨款支出决算明细表</w:t>
      </w:r>
      <w:bookmarkEnd w:id="92"/>
      <w:bookmarkEnd w:id="93"/>
    </w:p>
    <w:p w14:paraId="7AD5EF83">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94" w:name="_Toc15396626"/>
      <w:bookmarkStart w:id="95" w:name="_Toc19202"/>
      <w:r>
        <w:rPr>
          <w:rFonts w:hint="eastAsia" w:ascii="Times New Roman" w:hAnsi="Times New Roman" w:eastAsia="黑体"/>
          <w:b w:val="0"/>
          <w:lang w:val="en-US" w:eastAsia="zh-CN"/>
        </w:rPr>
        <w:t>八、一般公共预算财政拨款基本支出决算表</w:t>
      </w:r>
      <w:bookmarkEnd w:id="94"/>
      <w:bookmarkEnd w:id="95"/>
    </w:p>
    <w:p w14:paraId="2CA8DB62">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96" w:name="_Toc19924"/>
      <w:bookmarkStart w:id="97" w:name="_Toc15396627"/>
      <w:r>
        <w:rPr>
          <w:rFonts w:hint="eastAsia" w:ascii="Times New Roman" w:hAnsi="Times New Roman" w:eastAsia="黑体"/>
          <w:b w:val="0"/>
          <w:lang w:val="en-US" w:eastAsia="zh-CN"/>
        </w:rPr>
        <w:t>九、一般公共预算财政拨款项目支出决算表</w:t>
      </w:r>
      <w:bookmarkEnd w:id="96"/>
      <w:bookmarkEnd w:id="97"/>
    </w:p>
    <w:p w14:paraId="0C1A77D4">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98" w:name="_Toc18960"/>
      <w:bookmarkStart w:id="99" w:name="_Toc15396628"/>
      <w:r>
        <w:rPr>
          <w:rFonts w:hint="eastAsia" w:ascii="Times New Roman" w:hAnsi="Times New Roman" w:eastAsia="黑体"/>
          <w:b w:val="0"/>
          <w:lang w:val="en-US" w:eastAsia="zh-CN"/>
        </w:rPr>
        <w:t>十、一般公共预算财政拨款“三公”经费支出决算表</w:t>
      </w:r>
      <w:bookmarkEnd w:id="98"/>
      <w:bookmarkEnd w:id="99"/>
    </w:p>
    <w:p w14:paraId="257563AC">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100" w:name="_Toc27962"/>
      <w:bookmarkStart w:id="101" w:name="_Toc15396629"/>
      <w:r>
        <w:rPr>
          <w:rFonts w:hint="eastAsia" w:ascii="Times New Roman" w:hAnsi="Times New Roman" w:eastAsia="黑体"/>
          <w:b w:val="0"/>
          <w:lang w:val="en-US" w:eastAsia="zh-CN"/>
        </w:rPr>
        <w:t>十一、政府性基金预算财政拨款收入支出决算表</w:t>
      </w:r>
      <w:bookmarkEnd w:id="100"/>
      <w:bookmarkEnd w:id="101"/>
    </w:p>
    <w:p w14:paraId="1DC118F3">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102" w:name="_Toc2642"/>
      <w:bookmarkStart w:id="103" w:name="_Toc15396630"/>
      <w:r>
        <w:rPr>
          <w:rFonts w:hint="eastAsia" w:ascii="Times New Roman" w:hAnsi="Times New Roman" w:eastAsia="黑体"/>
          <w:b w:val="0"/>
          <w:lang w:val="en-US" w:eastAsia="zh-CN"/>
        </w:rPr>
        <w:t>十二、政府性基金预算财政拨款“三公”经费支出决算表</w:t>
      </w:r>
      <w:bookmarkEnd w:id="102"/>
      <w:bookmarkEnd w:id="103"/>
    </w:p>
    <w:p w14:paraId="1993984F">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104" w:name="_Toc29877"/>
      <w:bookmarkStart w:id="105" w:name="_Toc15396631"/>
      <w:r>
        <w:rPr>
          <w:rFonts w:hint="eastAsia" w:ascii="Times New Roman" w:hAnsi="Times New Roman" w:eastAsia="黑体"/>
          <w:b w:val="0"/>
          <w:lang w:val="en-US" w:eastAsia="zh-CN"/>
        </w:rPr>
        <w:t>十三、国有资本经营预算财政拨款收入支出决算表</w:t>
      </w:r>
      <w:bookmarkEnd w:id="104"/>
      <w:bookmarkEnd w:id="105"/>
    </w:p>
    <w:p w14:paraId="5DA702E2">
      <w:pPr>
        <w:pStyle w:val="4"/>
        <w:keepNext/>
        <w:keepLines/>
        <w:pageBreakBefore w:val="0"/>
        <w:widowControl w:val="0"/>
        <w:kinsoku/>
        <w:wordWrap/>
        <w:overflowPunct/>
        <w:topLinePunct w:val="0"/>
        <w:autoSpaceDE/>
        <w:autoSpaceDN/>
        <w:bidi w:val="0"/>
        <w:adjustRightInd/>
        <w:snapToGrid/>
        <w:spacing w:before="0" w:after="0" w:line="616" w:lineRule="exact"/>
        <w:ind w:firstLine="640" w:firstLineChars="200"/>
        <w:textAlignment w:val="auto"/>
        <w:rPr>
          <w:rFonts w:hint="eastAsia" w:ascii="Times New Roman" w:hAnsi="Times New Roman" w:eastAsia="黑体"/>
          <w:b w:val="0"/>
          <w:lang w:val="en-US" w:eastAsia="zh-CN"/>
        </w:rPr>
      </w:pPr>
      <w:bookmarkStart w:id="106" w:name="_Toc12343"/>
      <w:r>
        <w:rPr>
          <w:rFonts w:hint="eastAsia" w:ascii="Times New Roman" w:hAnsi="Times New Roman" w:eastAsia="黑体"/>
          <w:b w:val="0"/>
          <w:lang w:val="en-US" w:eastAsia="zh-CN"/>
        </w:rPr>
        <w:t>十四、国有资本经营预算财政拨款支出决算表</w:t>
      </w:r>
      <w:bookmarkEnd w:id="106"/>
    </w:p>
    <w:sectPr>
      <w:footerReference r:id="rId7" w:type="default"/>
      <w:pgSz w:w="11906" w:h="16838"/>
      <w:pgMar w:top="1587" w:right="1474" w:bottom="1417" w:left="1587" w:header="851" w:footer="1134"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363E24-8560-4095-8390-E7EB60293D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0DC4ACA-F5A4-4618-A9A2-90D0E83A236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916A28B9-8005-4899-A412-DA4762B959BD}"/>
  </w:font>
  <w:font w:name="仿宋">
    <w:panose1 w:val="02010609060101010101"/>
    <w:charset w:val="86"/>
    <w:family w:val="auto"/>
    <w:pitch w:val="default"/>
    <w:sig w:usb0="800002BF" w:usb1="38CF7CFA" w:usb2="00000016" w:usb3="00000000" w:csb0="00040001" w:csb1="00000000"/>
    <w:embedRegular r:id="rId4" w:fontKey="{D3F7764E-13A4-4B39-BF3C-F055090063A8}"/>
  </w:font>
  <w:font w:name="方正小标宋简体">
    <w:panose1 w:val="02000000000000000000"/>
    <w:charset w:val="86"/>
    <w:family w:val="script"/>
    <w:pitch w:val="default"/>
    <w:sig w:usb0="00000001" w:usb1="08000000" w:usb2="00000000" w:usb3="00000000" w:csb0="00040000" w:csb1="00000000"/>
    <w:embedRegular r:id="rId5" w:fontKey="{DED71BF9-1843-4C81-ACF2-DC5520B8E8CD}"/>
  </w:font>
  <w:font w:name="楷体_GB2312">
    <w:panose1 w:val="02010609030101010101"/>
    <w:charset w:val="86"/>
    <w:family w:val="modern"/>
    <w:pitch w:val="default"/>
    <w:sig w:usb0="00000001" w:usb1="080E0000" w:usb2="00000000" w:usb3="00000000" w:csb0="00040000" w:csb1="00000000"/>
    <w:embedRegular r:id="rId6" w:fontKey="{B01AA5BB-245A-42CB-8008-D128392BF9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E44F207">
        <w:pPr>
          <w:pStyle w:val="8"/>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8E669">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9B43D">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B1D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40CA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840CA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5AED">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7CA69"/>
    <w:multiLevelType w:val="singleLevel"/>
    <w:tmpl w:val="6327CA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79"/>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6F1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361D"/>
    <w:rsid w:val="007416B6"/>
    <w:rsid w:val="00746F48"/>
    <w:rsid w:val="0075404D"/>
    <w:rsid w:val="0076182A"/>
    <w:rsid w:val="00767B7E"/>
    <w:rsid w:val="007770C3"/>
    <w:rsid w:val="00784D24"/>
    <w:rsid w:val="00785FBA"/>
    <w:rsid w:val="00786E4A"/>
    <w:rsid w:val="007875EB"/>
    <w:rsid w:val="0079426B"/>
    <w:rsid w:val="007A03A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2C17"/>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2EC1"/>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16C5"/>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6C84"/>
    <w:rsid w:val="00FF1E02"/>
    <w:rsid w:val="00FF30B4"/>
    <w:rsid w:val="0A2032A3"/>
    <w:rsid w:val="0B8A37D8"/>
    <w:rsid w:val="10C055FF"/>
    <w:rsid w:val="118107EC"/>
    <w:rsid w:val="11DD6519"/>
    <w:rsid w:val="16463D66"/>
    <w:rsid w:val="16BB723D"/>
    <w:rsid w:val="17365843"/>
    <w:rsid w:val="18015F3F"/>
    <w:rsid w:val="1ACD234E"/>
    <w:rsid w:val="1BE8440E"/>
    <w:rsid w:val="1D155CEE"/>
    <w:rsid w:val="20F57F95"/>
    <w:rsid w:val="21F70EC0"/>
    <w:rsid w:val="23525A06"/>
    <w:rsid w:val="240371BF"/>
    <w:rsid w:val="25C741E6"/>
    <w:rsid w:val="27842671"/>
    <w:rsid w:val="29FD04D3"/>
    <w:rsid w:val="2ABE7A3E"/>
    <w:rsid w:val="2ACD2201"/>
    <w:rsid w:val="2EA0626C"/>
    <w:rsid w:val="2EFA178C"/>
    <w:rsid w:val="30B46D73"/>
    <w:rsid w:val="319F7F4E"/>
    <w:rsid w:val="3459346F"/>
    <w:rsid w:val="35EE72CB"/>
    <w:rsid w:val="367F11F5"/>
    <w:rsid w:val="3787198A"/>
    <w:rsid w:val="39AE70AB"/>
    <w:rsid w:val="3AA2418D"/>
    <w:rsid w:val="3C0C0783"/>
    <w:rsid w:val="3D110C2E"/>
    <w:rsid w:val="3E695F6D"/>
    <w:rsid w:val="3F795B0E"/>
    <w:rsid w:val="3F9F3A96"/>
    <w:rsid w:val="40F13597"/>
    <w:rsid w:val="41827790"/>
    <w:rsid w:val="428213D7"/>
    <w:rsid w:val="45111DF8"/>
    <w:rsid w:val="493C27E9"/>
    <w:rsid w:val="496F39ED"/>
    <w:rsid w:val="49FF41D3"/>
    <w:rsid w:val="4A185DC8"/>
    <w:rsid w:val="4B3E4672"/>
    <w:rsid w:val="4BE068DB"/>
    <w:rsid w:val="4BF6002B"/>
    <w:rsid w:val="4ECE2238"/>
    <w:rsid w:val="51DB4B86"/>
    <w:rsid w:val="54A67176"/>
    <w:rsid w:val="55333C3E"/>
    <w:rsid w:val="58FA1B64"/>
    <w:rsid w:val="5A2715CE"/>
    <w:rsid w:val="5AA97EC5"/>
    <w:rsid w:val="5B883EB8"/>
    <w:rsid w:val="5BD77F17"/>
    <w:rsid w:val="5D2A6CEF"/>
    <w:rsid w:val="64CA39A1"/>
    <w:rsid w:val="67CF4AAA"/>
    <w:rsid w:val="6BF06AC7"/>
    <w:rsid w:val="6C4A05C8"/>
    <w:rsid w:val="6F244BA2"/>
    <w:rsid w:val="72734D90"/>
    <w:rsid w:val="74E366CA"/>
    <w:rsid w:val="79E7B28D"/>
    <w:rsid w:val="7AC65093"/>
    <w:rsid w:val="7B4D6BE6"/>
    <w:rsid w:val="7D4C64DD"/>
    <w:rsid w:val="7D963BA0"/>
    <w:rsid w:val="7F9F20EE"/>
    <w:rsid w:val="9E3A10E2"/>
    <w:rsid w:val="F2E1F9D4"/>
    <w:rsid w:val="F7880819"/>
    <w:rsid w:val="FEDD7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公文主体"/>
    <w:basedOn w:val="1"/>
    <w:qFormat/>
    <w:uiPriority w:val="0"/>
    <w:pPr>
      <w:ind w:firstLine="200"/>
    </w:pPr>
    <w:rPr>
      <w:rFonts w:ascii="仿宋_GB2312" w:hAns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5910;&#22238;&#19987;&#24178;&#32479;&#35745;&#34920;\&#34920;&#26684;\2022&#24180;&#24230;&#32418;&#23721;&#38215;&#26449;&#65288;&#31038;&#21306;&#65289;&#27531;&#30142;&#20154;&#19987;&#24178;&#32479;&#35745;&#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图1：收、支决算总计变动情况图 </a:t>
            </a:r>
          </a:p>
        </c:rich>
      </c:tx>
      <c:layout>
        <c:manualLayout>
          <c:xMode val="edge"/>
          <c:yMode val="edge"/>
          <c:x val="0.170694444444444"/>
          <c:y val="0.024305555555555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'[2022年度红岩镇村（社区）残疾人专干统计表.xlsx]Sheet1（规范后）'!$A$1:$A$2</c:f>
              <c:strCache>
                <c:ptCount val="2"/>
                <c:pt idx="0">
                  <c:v>2020年</c:v>
                </c:pt>
                <c:pt idx="1">
                  <c:v>2021年</c:v>
                </c:pt>
              </c:strCache>
            </c:strRef>
          </c:cat>
          <c:val>
            <c:numRef>
              <c:f>'[2022年度红岩镇村（社区）残疾人专干统计表.xlsx]Sheet1（规范后）'!$B$1:$B$2</c:f>
              <c:numCache>
                <c:formatCode>General</c:formatCode>
                <c:ptCount val="2"/>
                <c:pt idx="0">
                  <c:v>1377.59</c:v>
                </c:pt>
                <c:pt idx="1">
                  <c:v>1488.1</c:v>
                </c:pt>
              </c:numCache>
            </c:numRef>
          </c:val>
        </c:ser>
        <c:dLbls>
          <c:showLegendKey val="0"/>
          <c:showVal val="1"/>
          <c:showCatName val="0"/>
          <c:showSerName val="0"/>
          <c:showPercent val="0"/>
          <c:showBubbleSize val="0"/>
        </c:dLbls>
        <c:gapWidth val="219"/>
        <c:overlap val="-27"/>
        <c:axId val="348555604"/>
        <c:axId val="608631362"/>
      </c:barChart>
      <c:catAx>
        <c:axId val="3485556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631362"/>
        <c:crosses val="autoZero"/>
        <c:auto val="1"/>
        <c:lblAlgn val="ctr"/>
        <c:lblOffset val="100"/>
        <c:noMultiLvlLbl val="0"/>
      </c:catAx>
      <c:valAx>
        <c:axId val="608631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5556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'[2022年度红岩镇村（社区）残疾人专干统计表.xlsx]Sheet1（规范后）'!$A$1:$A$7</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'[2022年度红岩镇村（社区）残疾人专干统计表.xlsx]Sheet1（规范后）'!$B$1:$B$7</c:f>
              <c:numCache>
                <c:formatCode>0%</c:formatCode>
                <c:ptCount val="7"/>
                <c:pt idx="0">
                  <c:v>1</c:v>
                </c:pt>
                <c:pt idx="1">
                  <c:v>0</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图3：支出决算结构图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'[2022年度红岩镇村（社区）残疾人专干统计表.xlsx]Sheet1（规范后）'!$A$1:$A$2</c:f>
              <c:strCache>
                <c:ptCount val="2"/>
                <c:pt idx="0">
                  <c:v>基本支出</c:v>
                </c:pt>
                <c:pt idx="1">
                  <c:v>项目支出</c:v>
                </c:pt>
              </c:strCache>
            </c:strRef>
          </c:cat>
          <c:val>
            <c:numRef>
              <c:f>'[2022年度红岩镇村（社区）残疾人专干统计表.xlsx]Sheet1（规范后）'!$B$1:$B$2</c:f>
              <c:numCache>
                <c:formatCode>0.00%</c:formatCode>
                <c:ptCount val="2"/>
                <c:pt idx="0">
                  <c:v>0.5741</c:v>
                </c:pt>
                <c:pt idx="1">
                  <c:v>0.4259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图4：财政拨款收、支决算总计变动情况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[工作簿1]Sheet1!$A$1:$A$4</c:f>
              <c:numCache>
                <c:ptCount val="0"/>
              </c:numCache>
            </c:numRef>
          </c:cat>
          <c:val>
            <c:numRef>
              <c:f>[工作簿1]Sheet1!$B$1:$B$4</c:f>
              <c:numCache>
                <c:formatCode>General</c:formatCode>
                <c:ptCount val="4"/>
                <c:pt idx="0">
                  <c:v>1377.59</c:v>
                </c:pt>
                <c:pt idx="1">
                  <c:v>1488.1</c:v>
                </c:pt>
                <c:pt idx="2">
                  <c:v>1377.59</c:v>
                </c:pt>
                <c:pt idx="3">
                  <c:v>1488.1</c:v>
                </c:pt>
              </c:numCache>
            </c:numRef>
          </c:val>
        </c:ser>
        <c:dLbls>
          <c:showLegendKey val="0"/>
          <c:showVal val="1"/>
          <c:showCatName val="0"/>
          <c:showSerName val="0"/>
          <c:showPercent val="0"/>
          <c:showBubbleSize val="0"/>
        </c:dLbls>
        <c:gapWidth val="219"/>
        <c:overlap val="-27"/>
        <c:axId val="544812646"/>
        <c:axId val="625109545"/>
      </c:barChart>
      <c:catAx>
        <c:axId val="5448126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5109545"/>
        <c:crosses val="autoZero"/>
        <c:auto val="1"/>
        <c:lblAlgn val="ctr"/>
        <c:lblOffset val="100"/>
        <c:noMultiLvlLbl val="0"/>
      </c:catAx>
      <c:valAx>
        <c:axId val="6251095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8126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a:t>图5：一般公共预算财政拨款支出决算变动情况 </a:t>
            </a:r>
            <a:endParaRPr sz="1200"/>
          </a:p>
        </c:rich>
      </c:tx>
      <c:layout>
        <c:manualLayout>
          <c:xMode val="edge"/>
          <c:yMode val="edge"/>
          <c:x val="0.179027777777778"/>
          <c:y val="0.0381944444444444"/>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'[2022年度红岩镇村（社区）残疾人专干统计表.xlsx]Sheet1（规范后）'!$A$1:$A$2</c:f>
              <c:strCache>
                <c:ptCount val="2"/>
                <c:pt idx="0">
                  <c:v>2020年</c:v>
                </c:pt>
                <c:pt idx="1">
                  <c:v>2021年</c:v>
                </c:pt>
              </c:strCache>
            </c:strRef>
          </c:cat>
          <c:val>
            <c:numRef>
              <c:f>'[2022年度红岩镇村（社区）残疾人专干统计表.xlsx]Sheet1（规范后）'!$B$1:$B$2</c:f>
              <c:numCache>
                <c:formatCode>General</c:formatCode>
                <c:ptCount val="2"/>
                <c:pt idx="0">
                  <c:v>883.91</c:v>
                </c:pt>
                <c:pt idx="1">
                  <c:v>1187.24</c:v>
                </c:pt>
              </c:numCache>
            </c:numRef>
          </c:val>
        </c:ser>
        <c:dLbls>
          <c:showLegendKey val="0"/>
          <c:showVal val="1"/>
          <c:showCatName val="0"/>
          <c:showSerName val="0"/>
          <c:showPercent val="0"/>
          <c:showBubbleSize val="0"/>
        </c:dLbls>
        <c:gapWidth val="219"/>
        <c:overlap val="-27"/>
        <c:axId val="348555604"/>
        <c:axId val="608631362"/>
      </c:barChart>
      <c:catAx>
        <c:axId val="3485556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631362"/>
        <c:crosses val="autoZero"/>
        <c:auto val="1"/>
        <c:lblAlgn val="ctr"/>
        <c:lblOffset val="100"/>
        <c:noMultiLvlLbl val="0"/>
      </c:catAx>
      <c:valAx>
        <c:axId val="60863136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5556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图6：一般公共预算财政拨款支出决算结构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'[2022年度红岩镇村（社区）残疾人专干统计表.xlsx]Sheet1（规范后）'!$A$1:$A$4</c:f>
              <c:strCache>
                <c:ptCount val="4"/>
                <c:pt idx="0">
                  <c:v>社会保障和就业（类）支出</c:v>
                </c:pt>
                <c:pt idx="1">
                  <c:v>卫生健康支出</c:v>
                </c:pt>
                <c:pt idx="2">
                  <c:v>住房保障支出</c:v>
                </c:pt>
                <c:pt idx="3">
                  <c:v>害防治及应急管理支出（类）</c:v>
                </c:pt>
              </c:strCache>
            </c:strRef>
          </c:cat>
          <c:val>
            <c:numRef>
              <c:f>'[2022年度红岩镇村（社区）残疾人专干统计表.xlsx]Sheet1（规范后）'!$B$1:$B$4</c:f>
              <c:numCache>
                <c:formatCode>0.00%</c:formatCode>
                <c:ptCount val="4"/>
                <c:pt idx="0">
                  <c:v>0.029</c:v>
                </c:pt>
                <c:pt idx="1">
                  <c:v>0.016</c:v>
                </c:pt>
                <c:pt idx="2">
                  <c:v>0.035</c:v>
                </c:pt>
                <c:pt idx="3" c:formatCode="0%">
                  <c:v>0.92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图7：“三公”经费财政拨款支出结构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'[2022年度红岩镇村（社区）残疾人专干统计表.xlsx]Sheet1（规范后）'!$A$1:$A$3</c:f>
              <c:strCache>
                <c:ptCount val="3"/>
                <c:pt idx="0">
                  <c:v>因公出国（境）费支出决算</c:v>
                </c:pt>
                <c:pt idx="1">
                  <c:v>公务用车购置及运行维护费支出决算</c:v>
                </c:pt>
                <c:pt idx="2">
                  <c:v>公务接待费支出决算</c:v>
                </c:pt>
              </c:strCache>
            </c:strRef>
          </c:cat>
          <c:val>
            <c:numRef>
              <c:f>'[2022年度红岩镇村（社区）残疾人专干统计表.xlsx]Sheet1（规范后）'!$B$1:$B$3</c:f>
              <c:numCache>
                <c:formatCode>0.00%</c:formatCode>
                <c:ptCount val="3"/>
                <c:pt idx="0">
                  <c:v>0</c:v>
                </c:pt>
                <c:pt idx="1">
                  <c:v>0.703</c:v>
                </c:pt>
                <c:pt idx="2">
                  <c:v>0.297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10308</Words>
  <Characters>11077</Characters>
  <Lines>82</Lines>
  <Paragraphs>23</Paragraphs>
  <TotalTime>9</TotalTime>
  <ScaleCrop>false</ScaleCrop>
  <LinksUpToDate>false</LinksUpToDate>
  <CharactersWithSpaces>11144</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昭化融媒体</cp:lastModifiedBy>
  <cp:lastPrinted>2022-09-30T11:01:00Z</cp:lastPrinted>
  <dcterms:modified xsi:type="dcterms:W3CDTF">2024-12-05T01:08:43Z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D70C78987664467ABC82E34CCD5FA250</vt:lpwstr>
  </property>
</Properties>
</file>