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default" w:ascii="Times New Roman" w:hAnsi="Times New Roman" w:eastAsia="方正小标宋简体" w:cs="Times New Roman"/>
          <w:color w:val="000000"/>
          <w:kern w:val="2"/>
          <w:sz w:val="72"/>
          <w:szCs w:val="24"/>
          <w:lang w:val="zh-CN"/>
        </w:rPr>
      </w:pPr>
      <w:bookmarkStart w:id="0" w:name="_Toc15377425"/>
      <w:bookmarkStart w:id="1" w:name="_Toc15378441"/>
      <w:bookmarkStart w:id="2" w:name="_Toc15377193"/>
      <w:bookmarkStart w:id="3" w:name="_Toc15396475"/>
      <w:bookmarkStart w:id="4" w:name="_Toc15306267"/>
      <w:bookmarkStart w:id="5" w:name="_Toc15396597"/>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default" w:ascii="Times New Roman" w:hAnsi="Times New Roman" w:eastAsia="方正小标宋简体" w:cs="Times New Roman"/>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default" w:ascii="Times New Roman" w:hAnsi="Times New Roman" w:eastAsia="方正小标宋简体" w:cs="Times New Roman"/>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default" w:ascii="Times New Roman" w:hAnsi="Times New Roman" w:eastAsia="方正小标宋简体" w:cs="Times New Roman"/>
          <w:color w:val="000000"/>
          <w:kern w:val="2"/>
          <w:sz w:val="72"/>
          <w:szCs w:val="24"/>
          <w:lang w:val="zh-CN"/>
        </w:rPr>
      </w:pPr>
      <w:r>
        <w:rPr>
          <w:rFonts w:hint="default" w:ascii="Times New Roman" w:hAnsi="Times New Roman" w:eastAsia="方正小标宋简体" w:cs="Times New Roman"/>
          <w:color w:val="000000"/>
          <w:kern w:val="2"/>
          <w:sz w:val="72"/>
          <w:szCs w:val="24"/>
          <w:lang w:val="zh-CN"/>
        </w:rPr>
        <w:t>202</w:t>
      </w:r>
      <w:r>
        <w:rPr>
          <w:rFonts w:hint="default" w:ascii="Times New Roman" w:hAnsi="Times New Roman" w:eastAsia="方正小标宋简体" w:cs="Times New Roman"/>
          <w:color w:val="000000"/>
          <w:kern w:val="2"/>
          <w:sz w:val="72"/>
          <w:szCs w:val="24"/>
          <w:lang w:val="en-US" w:eastAsia="zh-CN"/>
        </w:rPr>
        <w:t>4</w:t>
      </w:r>
      <w:r>
        <w:rPr>
          <w:rFonts w:hint="default" w:ascii="Times New Roman" w:hAnsi="Times New Roman" w:eastAsia="方正小标宋简体" w:cs="Times New Roman"/>
          <w:color w:val="000000"/>
          <w:kern w:val="2"/>
          <w:sz w:val="72"/>
          <w:szCs w:val="24"/>
          <w:lang w:val="zh-CN"/>
        </w:rPr>
        <w:t>年度</w:t>
      </w:r>
    </w:p>
    <w:p w14:paraId="7CB797F8">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72"/>
          <w:szCs w:val="72"/>
          <w:lang w:val="en-US" w:eastAsia="zh-CN"/>
        </w:rPr>
        <w:t>广元市昭化区审计局</w:t>
      </w:r>
    </w:p>
    <w:p w14:paraId="12C36C28">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default" w:ascii="Times New Roman" w:hAnsi="Times New Roman" w:eastAsia="方正小标宋简体" w:cs="Times New Roman"/>
          <w:color w:val="000000"/>
          <w:kern w:val="2"/>
          <w:sz w:val="72"/>
          <w:szCs w:val="24"/>
          <w:lang w:val="zh-CN"/>
        </w:rPr>
      </w:pPr>
      <w:r>
        <w:rPr>
          <w:rFonts w:hint="default" w:ascii="Times New Roman" w:hAnsi="Times New Roman" w:eastAsia="方正小标宋简体" w:cs="Times New Roman"/>
          <w:color w:val="000000"/>
          <w:kern w:val="2"/>
          <w:sz w:val="72"/>
          <w:szCs w:val="24"/>
          <w:lang w:val="zh-CN"/>
        </w:rPr>
        <w:t>部门决算</w:t>
      </w:r>
    </w:p>
    <w:p w14:paraId="78B933D4">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default" w:ascii="Times New Roman" w:hAnsi="Times New Roman" w:eastAsia="黑体" w:cs="Times New Roman"/>
          <w:color w:val="000000"/>
          <w:kern w:val="2"/>
          <w:sz w:val="72"/>
          <w:szCs w:val="24"/>
          <w:lang w:val="zh-CN"/>
        </w:rPr>
      </w:pPr>
    </w:p>
    <w:p w14:paraId="1F8507B7">
      <w:pPr>
        <w:keepNext w:val="0"/>
        <w:keepLines w:val="0"/>
        <w:pageBreakBefore w:val="0"/>
        <w:widowControl w:val="0"/>
        <w:kinsoku/>
        <w:wordWrap/>
        <w:overflowPunct w:val="0"/>
        <w:topLinePunct/>
        <w:autoSpaceDE w:val="0"/>
        <w:autoSpaceDN w:val="0"/>
        <w:bidi w:val="0"/>
        <w:spacing w:line="600" w:lineRule="exact"/>
        <w:jc w:val="center"/>
        <w:textAlignment w:val="auto"/>
        <w:outlineLvl w:val="0"/>
        <w:rPr>
          <w:rFonts w:hint="default" w:ascii="Times New Roman" w:hAnsi="Times New Roman" w:eastAsia="方正小标宋简体" w:cs="Times New Roman"/>
          <w:color w:val="auto"/>
          <w:sz w:val="72"/>
          <w:szCs w:val="72"/>
          <w:highlight w:val="none"/>
        </w:rPr>
      </w:pPr>
    </w:p>
    <w:p w14:paraId="11001A65">
      <w:pPr>
        <w:pStyle w:val="21"/>
        <w:keepNext w:val="0"/>
        <w:keepLines w:val="0"/>
        <w:pageBreakBefore w:val="0"/>
        <w:widowControl w:val="0"/>
        <w:kinsoku/>
        <w:wordWrap/>
        <w:overflowPunct w:val="0"/>
        <w:topLinePunct/>
        <w:autoSpaceDE w:val="0"/>
        <w:autoSpaceDN w:val="0"/>
        <w:bidi w:val="0"/>
        <w:textAlignment w:val="auto"/>
        <w:rPr>
          <w:rFonts w:hint="default" w:ascii="Times New Roman" w:hAnsi="Times New Roman" w:cs="Times New Roman"/>
        </w:rPr>
        <w:sectPr>
          <w:footerReference r:id="rId5" w:type="first"/>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目</w:t>
      </w:r>
      <w:r>
        <w:rPr>
          <w:rFonts w:hint="default" w:ascii="Times New Roman" w:hAnsi="Times New Roman" w:eastAsia="方正小标宋简体" w:cs="Times New Roman"/>
          <w:color w:val="auto"/>
          <w:sz w:val="48"/>
          <w:szCs w:val="48"/>
          <w:highlight w:val="none"/>
          <w:lang w:val="en-US" w:eastAsia="zh-CN"/>
        </w:rPr>
        <w:t xml:space="preserve">     </w:t>
      </w:r>
      <w:r>
        <w:rPr>
          <w:rFonts w:hint="default" w:ascii="Times New Roman" w:hAnsi="Times New Roman" w:eastAsia="方正小标宋简体" w:cs="Times New Roman"/>
          <w:color w:val="auto"/>
          <w:sz w:val="48"/>
          <w:szCs w:val="48"/>
          <w:highlight w:val="none"/>
        </w:rPr>
        <w:t>录</w:t>
      </w:r>
    </w:p>
    <w:p w14:paraId="3D87F6CE">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第一部分 部门概况</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lang w:val="en-US" w:eastAsia="zh-CN"/>
        </w:rPr>
        <w:t>3</w:t>
      </w:r>
    </w:p>
    <w:p w14:paraId="4567EA52">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eastAsia="仿宋_GB2312" w:cs="Times New Roman"/>
          <w:color w:val="auto"/>
          <w:sz w:val="32"/>
          <w:szCs w:val="32"/>
          <w:highlight w:val="none"/>
          <w:lang w:eastAsia="zh-CN"/>
        </w:rPr>
        <w:tab/>
      </w:r>
      <w:r>
        <w:rPr>
          <w:rFonts w:hint="default" w:ascii="Times New Roman" w:hAnsi="Times New Roman" w:eastAsia="仿宋_GB2312" w:cs="Times New Roman"/>
          <w:color w:val="auto"/>
          <w:sz w:val="32"/>
          <w:szCs w:val="32"/>
          <w:highlight w:val="none"/>
          <w:lang w:val="en-US" w:eastAsia="zh-CN"/>
        </w:rPr>
        <w:t>3</w:t>
      </w:r>
    </w:p>
    <w:p w14:paraId="7734357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6</w:t>
      </w:r>
    </w:p>
    <w:p w14:paraId="58E20A83">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lang w:val="en-US" w:eastAsia="zh-CN"/>
        </w:rPr>
        <w:t>7</w:t>
      </w:r>
    </w:p>
    <w:p w14:paraId="15AACBF7">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7</w:t>
      </w:r>
    </w:p>
    <w:p w14:paraId="252A7682">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7</w:t>
      </w:r>
    </w:p>
    <w:p w14:paraId="1F229D53">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8</w:t>
      </w:r>
    </w:p>
    <w:p w14:paraId="0158DEE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8</w:t>
      </w:r>
    </w:p>
    <w:p w14:paraId="22D43FE4">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9</w:t>
      </w:r>
    </w:p>
    <w:p w14:paraId="57EB864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1</w:t>
      </w:r>
    </w:p>
    <w:p w14:paraId="20CC1799">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p>
    <w:p w14:paraId="70386AE9">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p>
    <w:p w14:paraId="7A563158">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p>
    <w:p w14:paraId="2BBF9683">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4</w:t>
      </w:r>
    </w:p>
    <w:p w14:paraId="07B34DCF">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1</w:t>
      </w:r>
      <w:r>
        <w:rPr>
          <w:rFonts w:hint="eastAsia" w:ascii="Times New Roman" w:hAnsi="Times New Roman" w:eastAsia="黑体" w:cs="Times New Roman"/>
          <w:color w:val="auto"/>
          <w:sz w:val="32"/>
          <w:szCs w:val="32"/>
          <w:highlight w:val="none"/>
          <w:lang w:val="en-US" w:eastAsia="zh-CN"/>
        </w:rPr>
        <w:t>5</w:t>
      </w:r>
    </w:p>
    <w:p w14:paraId="668676B1">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1</w:t>
      </w:r>
      <w:r>
        <w:rPr>
          <w:rFonts w:hint="eastAsia" w:ascii="Times New Roman" w:hAnsi="Times New Roman" w:eastAsia="黑体" w:cs="Times New Roman"/>
          <w:color w:val="auto"/>
          <w:sz w:val="32"/>
          <w:szCs w:val="32"/>
          <w:highlight w:val="none"/>
          <w:lang w:val="en-US" w:eastAsia="zh-CN"/>
        </w:rPr>
        <w:t>8</w:t>
      </w:r>
    </w:p>
    <w:p w14:paraId="637E5BDB">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lang w:val="en-US" w:eastAsia="zh-CN"/>
        </w:rPr>
        <w:t>3</w:t>
      </w:r>
      <w:r>
        <w:rPr>
          <w:rFonts w:hint="eastAsia" w:ascii="Times New Roman" w:hAnsi="Times New Roman" w:eastAsia="黑体" w:cs="Times New Roman"/>
          <w:color w:val="auto"/>
          <w:sz w:val="32"/>
          <w:szCs w:val="32"/>
          <w:highlight w:val="none"/>
          <w:lang w:val="en-US" w:eastAsia="zh-CN"/>
        </w:rPr>
        <w:t>2</w:t>
      </w:r>
    </w:p>
    <w:p w14:paraId="7F2E6327">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379D51DA">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00F98FD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4CCECA5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2AFAD331">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13F92F24">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3DC996D8">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4F7D893F">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0D90CAFC">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7E80B9B7">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55038CE6">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33A24D16">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7B4CDE5A">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w:t>
      </w:r>
    </w:p>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default" w:ascii="Times New Roman" w:hAnsi="Times New Roman" w:eastAsia="仿宋_GB2312" w:cs="Times New Roman"/>
          <w:b/>
          <w:color w:val="auto"/>
          <w:sz w:val="32"/>
          <w:szCs w:val="32"/>
          <w:highlight w:val="none"/>
        </w:rPr>
        <w:sectPr>
          <w:footerReference r:id="rId7" w:type="first"/>
          <w:footerReference r:id="rId6"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5377196"/>
      <w:bookmarkStart w:id="7" w:name="_Toc15396599"/>
      <w:r>
        <w:rPr>
          <w:rFonts w:hint="default" w:ascii="Times New Roman" w:hAnsi="Times New Roman" w:eastAsia="仿宋_GB2312" w:cs="Times New Roman"/>
          <w:b/>
          <w:color w:val="auto"/>
          <w:sz w:val="32"/>
          <w:szCs w:val="32"/>
          <w:highlight w:val="none"/>
        </w:rPr>
        <w:br w:type="page"/>
      </w:r>
      <w:bookmarkStart w:id="49" w:name="_GoBack"/>
      <w:bookmarkEnd w:id="49"/>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第一部分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部门概况</w:t>
      </w:r>
      <w:bookmarkEnd w:id="6"/>
      <w:bookmarkEnd w:id="7"/>
    </w:p>
    <w:p w14:paraId="3DEC849B">
      <w:pPr>
        <w:keepNext w:val="0"/>
        <w:keepLines w:val="0"/>
        <w:pageBreakBefore w:val="0"/>
        <w:widowControl w:val="0"/>
        <w:kinsoku/>
        <w:wordWrap/>
        <w:overflowPunct w:val="0"/>
        <w:topLinePunct/>
        <w:autoSpaceDE w:val="0"/>
        <w:autoSpaceDN w:val="0"/>
        <w:bidi w:val="0"/>
        <w:textAlignment w:val="auto"/>
        <w:rPr>
          <w:rFonts w:hint="default" w:ascii="Times New Roman" w:hAnsi="Times New Roman" w:cs="Times New Roman"/>
        </w:rPr>
      </w:pPr>
    </w:p>
    <w:p w14:paraId="7E8F20BB">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firstLine="640" w:firstLineChars="200"/>
        <w:textAlignment w:val="auto"/>
        <w:outlineLvl w:val="9"/>
        <w:rPr>
          <w:rFonts w:hint="default" w:ascii="Times New Roman" w:hAnsi="Times New Roman" w:eastAsia="黑体" w:cs="Times New Roman"/>
          <w:b w:val="0"/>
          <w:color w:val="auto"/>
          <w:sz w:val="32"/>
          <w:szCs w:val="32"/>
          <w:highlight w:val="none"/>
          <w:lang w:eastAsia="zh-CN"/>
        </w:rPr>
      </w:pPr>
      <w:r>
        <w:rPr>
          <w:rFonts w:hint="default" w:ascii="Times New Roman" w:hAnsi="Times New Roman" w:eastAsia="黑体" w:cs="Times New Roman"/>
          <w:b w:val="0"/>
          <w:color w:val="auto"/>
          <w:sz w:val="32"/>
          <w:szCs w:val="32"/>
          <w:highlight w:val="none"/>
          <w:lang w:eastAsia="zh-CN"/>
        </w:rPr>
        <w:t>部门职责</w:t>
      </w:r>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（一）主要职能。</w:t>
      </w:r>
    </w:p>
    <w:p w14:paraId="6BA17103">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区有关重大政策措施贯彻落实情况进行跟踪审计。对审计、专项审计调查和核查社会审计机构相关审计报告的结果承担责任，并负有督促被审计单位整改的责任。</w:t>
      </w:r>
    </w:p>
    <w:p w14:paraId="2F7AD92A">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贯彻执行国家有关审计工作的方针政策和法律法规。起草地方性审计相关规定，拟订全区审计规范性文件，负责本部门依法行政工作。制定并组织实施全区专业领域审计工作规划。对直接审计、调查和核查的事项依法进行审计评价，作出审计决定或提出审计建议。</w:t>
      </w:r>
    </w:p>
    <w:p w14:paraId="31CAAA8A">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3.向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和乡镇党委、政府通报审计情况和审计结果。</w:t>
      </w:r>
    </w:p>
    <w:p w14:paraId="1257E653">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4.直接审计下列事项，出具审计报告，在法定职权范围内作出审计决定：国家、省、市、区有关重大政策措施贯彻落实情况；区级预算执行情况和其他财政收支，区直各部门（含直属单位）预算执行情况、决算草案和其他财政收支；各乡镇政府和拣银岩街道办事处预算执行情况、决算和其他财政收支；使用区级财政资金的事业单位（含直属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地方金融机构、国有资本占控股或主导地位的企业和金融机构境内外资产、负债和损益，区政府及有关部门驻外非经营性机构的财务收支；有关社会保障基金、社会捐赠资金、安全生产和职业健康财政资金以及其他基金、资金的财务收支；法律法规规定的其他事项。</w:t>
      </w:r>
    </w:p>
    <w:p w14:paraId="4D8DBA4C">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5.按规定对区管党政主要领导干部及其他单位主要负责人实施经济责任审计和自然资源资产离任审计。</w:t>
      </w:r>
    </w:p>
    <w:p w14:paraId="23BBA917">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6.组织实施对国家财经法律法规、规章、政策和宏观调控措施执行情况、财政预算管理及国有资产管理使用等与区级财政收支有关的特定事项进行专项审计调查。</w:t>
      </w:r>
    </w:p>
    <w:p w14:paraId="1245B6FD">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7.依法检查审计决定执行情况，督促整改审计查出的问题，依法办理被审计单位对审计决定提请行政复议、行政诉讼或区政府裁决中的有关事项，协助配合有关部门查处相关重大案件。</w:t>
      </w:r>
    </w:p>
    <w:p w14:paraId="0A1F1225">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8.指导和监督内部审计工作，核查社会审计机构对依法属于审计监督对象的单位出具的相关审计报告。</w:t>
      </w:r>
    </w:p>
    <w:p w14:paraId="45213C24">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9.组织开展审计领域内的国际交流与合作。依法组织开展国际组织和外国政府援助、贷款项目的财务收支审计；指导和组织开展信息技术在审计领域的应用。</w:t>
      </w:r>
    </w:p>
    <w:p w14:paraId="62D7BDD7">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10.负责职责范围内的安全生产和职业健康、生态环境保护、审批服务便民化等工作。</w:t>
      </w:r>
    </w:p>
    <w:p w14:paraId="73BE003C">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11.完成区委、区政府交办的其他任务。</w:t>
      </w:r>
    </w:p>
    <w:p w14:paraId="651BE32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rPr>
        <w:t>12.进一步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（二）202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rPr>
        <w:t>年重点工作完成情况。</w:t>
      </w:r>
    </w:p>
    <w:p w14:paraId="0B5AECBF">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cs="Times New Roman"/>
          <w:sz w:val="32"/>
          <w:szCs w:val="32"/>
          <w:lang w:eastAsia="zh-CN"/>
        </w:rPr>
      </w:pPr>
      <w:r>
        <w:rPr>
          <w:rFonts w:hint="default" w:ascii="Times New Roman" w:hAnsi="Times New Roman" w:eastAsia="仿宋_GB2312" w:cs="Times New Roman"/>
          <w:color w:val="000000"/>
          <w:sz w:val="32"/>
        </w:rPr>
        <w:t>全年共完成计划内审计项目13个，提交审计报告、审计专报、审计整改函等15份，提出审计建议83条，向区纪委监委机关、区财政局或区住建局移送问题线索8件。此外，配合上级审计机关完成预算执行审计上下联动审计核查、授权亚行贷款农业综合开发长江绿色生态廊道项目2024年度财务收支和项目执行情况审计；完成区委、政府交办事项，关注土地增减挂钩、食品产业发展园区、小微企业孵化园等建设项目，共发现问题50余个，核减投资2215.05万元。</w:t>
      </w:r>
    </w:p>
    <w:p w14:paraId="2FF1690D">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9"/>
        <w:rPr>
          <w:rStyle w:val="31"/>
          <w:rFonts w:hint="default" w:ascii="Times New Roman" w:hAnsi="Times New Roman" w:cs="Times New Roman"/>
          <w:b w:val="0"/>
          <w:bCs w:val="0"/>
          <w:color w:val="auto"/>
          <w:sz w:val="32"/>
          <w:szCs w:val="32"/>
          <w:highlight w:val="none"/>
        </w:rPr>
      </w:pPr>
      <w:bookmarkStart w:id="8" w:name="_Toc15396601"/>
      <w:bookmarkStart w:id="9" w:name="_Toc15377200"/>
      <w:r>
        <w:rPr>
          <w:rFonts w:hint="default" w:ascii="Times New Roman" w:hAnsi="Times New Roman" w:eastAsia="黑体" w:cs="Times New Roman"/>
          <w:b w:val="0"/>
          <w:color w:val="auto"/>
          <w:sz w:val="32"/>
          <w:szCs w:val="32"/>
          <w:highlight w:val="none"/>
        </w:rPr>
        <w:t>二、机</w:t>
      </w:r>
      <w:r>
        <w:rPr>
          <w:rStyle w:val="31"/>
          <w:rFonts w:hint="default" w:ascii="Times New Roman" w:hAnsi="Times New Roman" w:eastAsia="黑体" w:cs="Times New Roman"/>
          <w:b w:val="0"/>
          <w:bCs w:val="0"/>
          <w:color w:val="auto"/>
          <w:sz w:val="32"/>
          <w:szCs w:val="32"/>
          <w:highlight w:val="none"/>
        </w:rPr>
        <w:t>构设置</w:t>
      </w:r>
      <w:bookmarkEnd w:id="8"/>
      <w:bookmarkEnd w:id="9"/>
    </w:p>
    <w:p w14:paraId="7B5D7742">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广元市昭化区审计局</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w:t>
      </w:r>
    </w:p>
    <w:p w14:paraId="78C0C089">
      <w:pPr>
        <w:pStyle w:val="8"/>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color w:val="auto"/>
          <w:sz w:val="32"/>
          <w:szCs w:val="32"/>
          <w:highlight w:val="none"/>
          <w:lang w:val="en-US" w:eastAsia="zh-CN"/>
        </w:rPr>
        <w:t>广元市昭化区审计局</w:t>
      </w:r>
      <w:r>
        <w:rPr>
          <w:rFonts w:hint="default" w:ascii="Times New Roman" w:hAnsi="Times New Roman" w:eastAsia="仿宋_GB2312" w:cs="Times New Roman"/>
          <w:color w:val="auto"/>
          <w:sz w:val="32"/>
          <w:szCs w:val="32"/>
          <w:highlight w:val="none"/>
          <w:lang w:eastAsia="zh-CN"/>
        </w:rPr>
        <w:t>2024年度</w:t>
      </w:r>
      <w:r>
        <w:rPr>
          <w:rFonts w:hint="default" w:ascii="Times New Roman" w:hAnsi="Times New Roman" w:eastAsia="仿宋_GB2312" w:cs="Times New Roman"/>
          <w:color w:val="auto"/>
          <w:sz w:val="32"/>
          <w:szCs w:val="32"/>
          <w:highlight w:val="none"/>
        </w:rPr>
        <w:t>部门决算编制范围的预算单位包括：</w:t>
      </w:r>
    </w:p>
    <w:p w14:paraId="6C9AD65A">
      <w:pPr>
        <w:overflowPunct w:val="0"/>
        <w:topLinePunct/>
        <w:spacing w:line="576" w:lineRule="exact"/>
        <w:ind w:firstLine="640" w:firstLineChars="200"/>
        <w:jc w:val="both"/>
        <w:outlineLvl w:val="0"/>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1.广元市昭化区审计局</w:t>
      </w:r>
    </w:p>
    <w:p w14:paraId="67E9708C">
      <w:pPr>
        <w:overflowPunct w:val="0"/>
        <w:topLinePunct/>
        <w:spacing w:line="576" w:lineRule="exact"/>
        <w:ind w:firstLine="640" w:firstLineChars="200"/>
        <w:jc w:val="both"/>
        <w:outlineLvl w:val="0"/>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2.广元市昭化区政府投资审计中心</w:t>
      </w:r>
    </w:p>
    <w:p w14:paraId="63447462">
      <w:pPr>
        <w:overflowPunct w:val="0"/>
        <w:topLinePunct/>
        <w:spacing w:line="576" w:lineRule="exact"/>
        <w:ind w:firstLine="640" w:firstLineChars="200"/>
        <w:jc w:val="both"/>
        <w:outlineLvl w:val="0"/>
        <w:rPr>
          <w:rFonts w:hint="default" w:ascii="Times New Roman" w:hAnsi="Times New Roman" w:eastAsia="仿宋" w:cs="Times New Roman"/>
          <w:color w:val="auto"/>
          <w:kern w:val="0"/>
          <w:sz w:val="32"/>
          <w:szCs w:val="32"/>
          <w:highlight w:val="none"/>
        </w:rPr>
      </w:pPr>
      <w:r>
        <w:rPr>
          <w:rFonts w:hint="default" w:ascii="Times New Roman" w:hAnsi="Times New Roman" w:eastAsia="仿宋_GB2312" w:cs="Times New Roman"/>
          <w:kern w:val="2"/>
          <w:sz w:val="32"/>
        </w:rPr>
        <w:t>3.广元市昭化区审计信息中心</w:t>
      </w:r>
      <w:r>
        <w:rPr>
          <w:rFonts w:hint="default" w:ascii="Times New Roman" w:hAnsi="Times New Roman" w:eastAsia="仿宋" w:cs="Times New Roman"/>
          <w:color w:val="auto"/>
          <w:sz w:val="32"/>
          <w:szCs w:val="32"/>
          <w:highlight w:val="none"/>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bookmarkStart w:id="10" w:name="_Toc15396602"/>
      <w:bookmarkStart w:id="11" w:name="_Toc15377204"/>
      <w:r>
        <w:rPr>
          <w:rFonts w:hint="default" w:ascii="Times New Roman" w:hAnsi="Times New Roman" w:eastAsia="方正小标宋简体" w:cs="Times New Roman"/>
          <w:color w:val="auto"/>
          <w:sz w:val="44"/>
          <w:szCs w:val="44"/>
          <w:highlight w:val="none"/>
        </w:rPr>
        <w:t>第二部分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2024年度</w:t>
      </w:r>
      <w:r>
        <w:rPr>
          <w:rFonts w:hint="default" w:ascii="Times New Roman" w:hAnsi="Times New Roman" w:eastAsia="方正小标宋简体" w:cs="Times New Roman"/>
          <w:color w:val="auto"/>
          <w:sz w:val="44"/>
          <w:szCs w:val="44"/>
          <w:highlight w:val="none"/>
        </w:rPr>
        <w:t>部门决算情况说明</w:t>
      </w:r>
      <w:bookmarkEnd w:id="10"/>
      <w:bookmarkEnd w:id="11"/>
    </w:p>
    <w:p w14:paraId="49C34A8C">
      <w:pPr>
        <w:pStyle w:val="8"/>
        <w:keepNext w:val="0"/>
        <w:keepLines w:val="0"/>
        <w:pageBreakBefore w:val="0"/>
        <w:widowControl w:val="0"/>
        <w:kinsoku/>
        <w:wordWrap/>
        <w:overflowPunct w:val="0"/>
        <w:topLinePunct/>
        <w:autoSpaceDE w:val="0"/>
        <w:autoSpaceDN w:val="0"/>
        <w:bidi w:val="0"/>
        <w:adjustRightInd/>
        <w:snapToGrid/>
        <w:spacing w:line="420" w:lineRule="exact"/>
        <w:textAlignment w:val="auto"/>
        <w:rPr>
          <w:rFonts w:hint="default" w:ascii="Times New Roman" w:hAnsi="Times New Roman" w:cs="Times New Roman"/>
        </w:rPr>
      </w:pPr>
    </w:p>
    <w:p w14:paraId="6E1912F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56" w:lineRule="exact"/>
        <w:ind w:left="0" w:firstLine="640" w:firstLineChars="200"/>
        <w:jc w:val="both"/>
        <w:textAlignment w:val="auto"/>
        <w:outlineLvl w:val="9"/>
        <w:rPr>
          <w:rStyle w:val="31"/>
          <w:rFonts w:hint="default" w:ascii="Times New Roman" w:hAnsi="Times New Roman" w:eastAsia="黑体" w:cs="Times New Roman"/>
          <w:b w:val="0"/>
          <w:color w:val="auto"/>
          <w:sz w:val="32"/>
          <w:szCs w:val="32"/>
          <w:highlight w:val="none"/>
        </w:rPr>
      </w:pPr>
      <w:bookmarkStart w:id="12" w:name="_Toc15396603"/>
      <w:bookmarkStart w:id="13"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sz w:val="32"/>
          <w:szCs w:val="32"/>
          <w:highlight w:val="none"/>
        </w:rPr>
        <w:t>入支出决算总体情况说明</w:t>
      </w:r>
      <w:bookmarkEnd w:id="12"/>
      <w:bookmarkEnd w:id="13"/>
    </w:p>
    <w:p w14:paraId="57F01FAE">
      <w:pPr>
        <w:keepNext w:val="0"/>
        <w:keepLines w:val="0"/>
        <w:pageBreakBefore w:val="0"/>
        <w:widowControl w:val="0"/>
        <w:kinsoku/>
        <w:wordWrap/>
        <w:overflowPunct w:val="0"/>
        <w:topLinePunct/>
        <w:bidi w:val="0"/>
        <w:adjustRightInd/>
        <w:snapToGrid/>
        <w:spacing w:line="556" w:lineRule="exact"/>
        <w:ind w:firstLine="640" w:firstLineChars="20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2024年度收、支总计均为640.86万元。与2023年度相比，收、支总计各减少</w:t>
      </w:r>
      <w:bookmarkStart w:id="14" w:name="OLE_LINK3"/>
      <w:r>
        <w:rPr>
          <w:rFonts w:hint="default" w:ascii="Times New Roman" w:hAnsi="Times New Roman" w:eastAsia="仿宋_GB2312" w:cs="Times New Roman"/>
          <w:color w:val="000000"/>
          <w:kern w:val="2"/>
          <w:sz w:val="32"/>
        </w:rPr>
        <w:t>26.33万元，下降3.95%。主要变动原因是支出压减</w:t>
      </w:r>
      <w:bookmarkEnd w:id="14"/>
      <w:r>
        <w:rPr>
          <w:rFonts w:hint="default" w:ascii="Times New Roman" w:hAnsi="Times New Roman" w:eastAsia="仿宋_GB2312" w:cs="Times New Roman"/>
          <w:color w:val="000000"/>
          <w:kern w:val="2"/>
          <w:sz w:val="32"/>
        </w:rPr>
        <w:t>。</w:t>
      </w:r>
    </w:p>
    <w:p w14:paraId="715D6D72">
      <w:pPr>
        <w:overflowPunct w:val="0"/>
        <w:topLinePunct/>
        <w:jc w:val="center"/>
        <w:rPr>
          <w:rFonts w:hint="default" w:ascii="Times New Roman" w:hAnsi="Times New Roman" w:eastAsia="仿宋_GB2312" w:cs="Times New Roman"/>
          <w:color w:val="000000"/>
          <w:kern w:val="2"/>
          <w:sz w:val="32"/>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"C:\\Users\\王简\\AppData\\Local\\Temp\\QQ_1758268761001.png"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3772535" cy="1799590"/>
            <wp:effectExtent l="0" t="0" r="6985" b="13970"/>
            <wp:docPr id="5" name="图片 1" descr="QQ_175826876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QQ_1758268761001"/>
                    <pic:cNvPicPr>
                      <a:picLocks noChangeAspect="1"/>
                    </pic:cNvPicPr>
                  </pic:nvPicPr>
                  <pic:blipFill>
                    <a:blip r:embed="rId11"/>
                    <a:stretch>
                      <a:fillRect/>
                    </a:stretch>
                  </pic:blipFill>
                  <pic:spPr>
                    <a:xfrm>
                      <a:off x="0" y="0"/>
                      <a:ext cx="3772535" cy="1799590"/>
                    </a:xfrm>
                    <a:prstGeom prst="rect">
                      <a:avLst/>
                    </a:prstGeom>
                    <a:noFill/>
                    <a:ln>
                      <a:noFill/>
                    </a:ln>
                  </pic:spPr>
                </pic:pic>
              </a:graphicData>
            </a:graphic>
          </wp:inline>
        </w:drawing>
      </w:r>
      <w:r>
        <w:rPr>
          <w:rFonts w:hint="default" w:ascii="Times New Roman" w:hAnsi="Times New Roman" w:cs="Times New Roman"/>
        </w:rPr>
        <w:fldChar w:fldCharType="end"/>
      </w:r>
    </w:p>
    <w:p w14:paraId="200DB9FC">
      <w:pPr>
        <w:overflowPunct w:val="0"/>
        <w:topLinePunct/>
        <w:jc w:val="center"/>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图1：收、支决算总计变动情况图</w:t>
      </w:r>
    </w:p>
    <w:p w14:paraId="0A8AFDDB">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color w:val="000000"/>
          <w:kern w:val="2"/>
          <w:sz w:val="32"/>
        </w:rPr>
        <w:t>二、收</w:t>
      </w:r>
      <w:r>
        <w:rPr>
          <w:rFonts w:hint="default" w:ascii="Times New Roman" w:hAnsi="Times New Roman" w:eastAsia="黑体" w:cs="Times New Roman"/>
          <w:kern w:val="2"/>
          <w:sz w:val="32"/>
        </w:rPr>
        <w:t>入决算情况说明</w:t>
      </w:r>
    </w:p>
    <w:p w14:paraId="0ABAD972">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2024年本年收入合计</w:t>
      </w:r>
      <w:bookmarkStart w:id="15" w:name="OLE_LINK2"/>
      <w:bookmarkStart w:id="16" w:name="OLE_LINK1"/>
      <w:r>
        <w:rPr>
          <w:rFonts w:hint="default" w:ascii="Times New Roman" w:hAnsi="Times New Roman" w:eastAsia="仿宋_GB2312" w:cs="Times New Roman"/>
          <w:color w:val="000000"/>
          <w:kern w:val="2"/>
          <w:sz w:val="32"/>
        </w:rPr>
        <w:t>640.86</w:t>
      </w:r>
      <w:bookmarkEnd w:id="15"/>
      <w:bookmarkEnd w:id="16"/>
      <w:r>
        <w:rPr>
          <w:rFonts w:hint="default" w:ascii="Times New Roman" w:hAnsi="Times New Roman" w:eastAsia="仿宋_GB2312" w:cs="Times New Roman"/>
          <w:color w:val="000000"/>
          <w:kern w:val="2"/>
          <w:sz w:val="32"/>
        </w:rPr>
        <w:t>万元，其中：一般公共预算财政拨款收入640.86万元，占100%。</w:t>
      </w:r>
    </w:p>
    <w:p w14:paraId="1EEB7660">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"C:\\Users\\王简\\AppData\\Local\\Temp\\QQ_1758268941529.png"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1701165" cy="1647825"/>
            <wp:effectExtent l="0" t="0" r="5715" b="13335"/>
            <wp:docPr id="7" name="图片 2" descr="QQ_175826894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_1758268941529"/>
                    <pic:cNvPicPr>
                      <a:picLocks noChangeAspect="1"/>
                    </pic:cNvPicPr>
                  </pic:nvPicPr>
                  <pic:blipFill>
                    <a:blip r:embed="rId12"/>
                    <a:stretch>
                      <a:fillRect/>
                    </a:stretch>
                  </pic:blipFill>
                  <pic:spPr>
                    <a:xfrm>
                      <a:off x="0" y="0"/>
                      <a:ext cx="1701165" cy="1647825"/>
                    </a:xfrm>
                    <a:prstGeom prst="rect">
                      <a:avLst/>
                    </a:prstGeom>
                    <a:noFill/>
                    <a:ln>
                      <a:noFill/>
                    </a:ln>
                  </pic:spPr>
                </pic:pic>
              </a:graphicData>
            </a:graphic>
          </wp:inline>
        </w:drawing>
      </w:r>
      <w:r>
        <w:rPr>
          <w:rFonts w:hint="default" w:ascii="Times New Roman" w:hAnsi="Times New Roman" w:cs="Times New Roman"/>
        </w:rPr>
        <w:fldChar w:fldCharType="end"/>
      </w:r>
    </w:p>
    <w:p w14:paraId="18ED0A96">
      <w:pPr>
        <w:overflowPunct w:val="0"/>
        <w:topLinePunct/>
        <w:spacing w:line="576" w:lineRule="exact"/>
        <w:jc w:val="center"/>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图2：收入决算结构图</w:t>
      </w:r>
    </w:p>
    <w:p w14:paraId="7FD0DF00">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color w:val="000000"/>
          <w:kern w:val="2"/>
          <w:sz w:val="32"/>
        </w:rPr>
        <w:t>三、支</w:t>
      </w:r>
      <w:r>
        <w:rPr>
          <w:rFonts w:hint="default" w:ascii="Times New Roman" w:hAnsi="Times New Roman" w:eastAsia="黑体" w:cs="Times New Roman"/>
          <w:kern w:val="2"/>
          <w:sz w:val="32"/>
        </w:rPr>
        <w:t>出决算情况说明</w:t>
      </w:r>
    </w:p>
    <w:p w14:paraId="680EECA9">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2024年本年支出合计640.86万元，其中：基本支出406.86万元，占63.49%；项目支出234万元，占36.51%。</w:t>
      </w:r>
    </w:p>
    <w:p w14:paraId="1527522B">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"C:\\Users\\王简\\AppData\\Local\\Temp\\QQ_1758268449381.png"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2706370" cy="2132965"/>
            <wp:effectExtent l="0" t="0" r="6350" b="635"/>
            <wp:docPr id="8" name="图片 3" descr="QQ_175826844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QQ_1758268449381"/>
                    <pic:cNvPicPr>
                      <a:picLocks noChangeAspect="1"/>
                    </pic:cNvPicPr>
                  </pic:nvPicPr>
                  <pic:blipFill>
                    <a:blip r:embed="rId13"/>
                    <a:stretch>
                      <a:fillRect/>
                    </a:stretch>
                  </pic:blipFill>
                  <pic:spPr>
                    <a:xfrm>
                      <a:off x="0" y="0"/>
                      <a:ext cx="2706370" cy="2132965"/>
                    </a:xfrm>
                    <a:prstGeom prst="rect">
                      <a:avLst/>
                    </a:prstGeom>
                    <a:noFill/>
                    <a:ln>
                      <a:noFill/>
                    </a:ln>
                  </pic:spPr>
                </pic:pic>
              </a:graphicData>
            </a:graphic>
          </wp:inline>
        </w:drawing>
      </w:r>
      <w:r>
        <w:rPr>
          <w:rFonts w:hint="default" w:ascii="Times New Roman" w:hAnsi="Times New Roman" w:cs="Times New Roman"/>
        </w:rPr>
        <w:fldChar w:fldCharType="end"/>
      </w:r>
    </w:p>
    <w:p w14:paraId="17DC4766">
      <w:pPr>
        <w:overflowPunct w:val="0"/>
        <w:topLinePunct/>
        <w:spacing w:line="576" w:lineRule="exact"/>
        <w:jc w:val="center"/>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图3：支出决算结构图</w:t>
      </w:r>
    </w:p>
    <w:p w14:paraId="7DAD2EC3">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color w:val="000000"/>
          <w:kern w:val="2"/>
          <w:sz w:val="32"/>
        </w:rPr>
        <w:t>四、财</w:t>
      </w:r>
      <w:r>
        <w:rPr>
          <w:rFonts w:hint="default" w:ascii="Times New Roman" w:hAnsi="Times New Roman" w:eastAsia="黑体" w:cs="Times New Roman"/>
          <w:kern w:val="2"/>
          <w:sz w:val="32"/>
        </w:rPr>
        <w:t>政拨款收入支出决算总体情况说明</w:t>
      </w:r>
    </w:p>
    <w:p w14:paraId="5A922F5A">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2024年度财政拨款收、支总计均为640.86万元。与2023年度相比，财政拨款收、支总计各</w:t>
      </w:r>
      <w:bookmarkStart w:id="17" w:name="OLE_LINK6"/>
      <w:bookmarkStart w:id="18" w:name="OLE_LINK5"/>
      <w:r>
        <w:rPr>
          <w:rFonts w:hint="default" w:ascii="Times New Roman" w:hAnsi="Times New Roman" w:eastAsia="仿宋_GB2312" w:cs="Times New Roman"/>
          <w:color w:val="000000"/>
          <w:kern w:val="2"/>
          <w:sz w:val="32"/>
        </w:rPr>
        <w:t>减少26.33万元，下降3.95%。主要变动原因是支出压减</w:t>
      </w:r>
      <w:bookmarkEnd w:id="17"/>
      <w:bookmarkEnd w:id="18"/>
      <w:r>
        <w:rPr>
          <w:rFonts w:hint="default" w:ascii="Times New Roman" w:hAnsi="Times New Roman" w:eastAsia="仿宋_GB2312" w:cs="Times New Roman"/>
          <w:color w:val="000000"/>
          <w:kern w:val="2"/>
          <w:sz w:val="32"/>
        </w:rPr>
        <w:t>。</w:t>
      </w:r>
    </w:p>
    <w:p w14:paraId="402C6644">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"C:\\Users\\王简\\AppData\\Local\\Temp\\QQ_1758269359166.png"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4145280" cy="2141855"/>
            <wp:effectExtent l="0" t="0" r="0" b="6985"/>
            <wp:docPr id="9" name="图片 4" descr="QQ_175826935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QQ_1758269359166"/>
                    <pic:cNvPicPr>
                      <a:picLocks noChangeAspect="1"/>
                    </pic:cNvPicPr>
                  </pic:nvPicPr>
                  <pic:blipFill>
                    <a:blip r:embed="rId14"/>
                    <a:stretch>
                      <a:fillRect/>
                    </a:stretch>
                  </pic:blipFill>
                  <pic:spPr>
                    <a:xfrm>
                      <a:off x="0" y="0"/>
                      <a:ext cx="4145280" cy="2141855"/>
                    </a:xfrm>
                    <a:prstGeom prst="rect">
                      <a:avLst/>
                    </a:prstGeom>
                    <a:noFill/>
                    <a:ln>
                      <a:noFill/>
                    </a:ln>
                  </pic:spPr>
                </pic:pic>
              </a:graphicData>
            </a:graphic>
          </wp:inline>
        </w:drawing>
      </w:r>
      <w:r>
        <w:rPr>
          <w:rFonts w:hint="default" w:ascii="Times New Roman" w:hAnsi="Times New Roman" w:cs="Times New Roman"/>
        </w:rPr>
        <w:fldChar w:fldCharType="end"/>
      </w:r>
    </w:p>
    <w:p w14:paraId="72B1097E">
      <w:pPr>
        <w:overflowPunct w:val="0"/>
        <w:topLinePunct/>
        <w:spacing w:line="576" w:lineRule="exact"/>
        <w:jc w:val="center"/>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图4：</w:t>
      </w:r>
      <w:bookmarkStart w:id="19" w:name="OLE_LINK4"/>
      <w:r>
        <w:rPr>
          <w:rFonts w:hint="default" w:ascii="Times New Roman" w:hAnsi="Times New Roman" w:eastAsia="仿宋_GB2312" w:cs="Times New Roman"/>
          <w:color w:val="000000"/>
          <w:kern w:val="2"/>
          <w:sz w:val="32"/>
        </w:rPr>
        <w:t>财政拨款收、支决算总计变动情况</w:t>
      </w:r>
      <w:bookmarkEnd w:id="19"/>
    </w:p>
    <w:p w14:paraId="783D6506">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color w:val="000000"/>
          <w:kern w:val="2"/>
          <w:sz w:val="32"/>
        </w:rPr>
        <w:t>五、</w:t>
      </w:r>
      <w:r>
        <w:rPr>
          <w:rFonts w:hint="default" w:ascii="Times New Roman" w:hAnsi="Times New Roman" w:eastAsia="黑体" w:cs="Times New Roman"/>
          <w:b/>
          <w:color w:val="000000"/>
          <w:kern w:val="2"/>
          <w:sz w:val="32"/>
        </w:rPr>
        <w:t>一</w:t>
      </w:r>
      <w:r>
        <w:rPr>
          <w:rFonts w:hint="default" w:ascii="Times New Roman" w:hAnsi="Times New Roman" w:eastAsia="黑体" w:cs="Times New Roman"/>
          <w:kern w:val="2"/>
          <w:sz w:val="32"/>
        </w:rPr>
        <w:t>般公共预算财政拨款支出决算情况说明</w:t>
      </w:r>
    </w:p>
    <w:p w14:paraId="17EB1745">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（一）一般公共预算财政拨款支出决算总体情况</w:t>
      </w:r>
    </w:p>
    <w:p w14:paraId="629FF170">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2024年度一般公共预算财政拨款支出640.86万元，占本年支出合计的100%。与2023年度相比，一般公共预算财政拨款支出减少26.33万元，下降3.95%。主要变动原因是支出压减。</w:t>
      </w:r>
    </w:p>
    <w:p w14:paraId="5A50C186">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"C:\\Users\\王简\\AppData\\Local\\Temp\\QQ_1758269641384.png"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3717925" cy="1927225"/>
            <wp:effectExtent l="0" t="0" r="635" b="8255"/>
            <wp:docPr id="6" name="图片 5" descr="QQ_175826964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_1758269641384"/>
                    <pic:cNvPicPr>
                      <a:picLocks noChangeAspect="1"/>
                    </pic:cNvPicPr>
                  </pic:nvPicPr>
                  <pic:blipFill>
                    <a:blip r:embed="rId15"/>
                    <a:stretch>
                      <a:fillRect/>
                    </a:stretch>
                  </pic:blipFill>
                  <pic:spPr>
                    <a:xfrm>
                      <a:off x="0" y="0"/>
                      <a:ext cx="3717925" cy="1927225"/>
                    </a:xfrm>
                    <a:prstGeom prst="rect">
                      <a:avLst/>
                    </a:prstGeom>
                    <a:noFill/>
                    <a:ln>
                      <a:noFill/>
                    </a:ln>
                  </pic:spPr>
                </pic:pic>
              </a:graphicData>
            </a:graphic>
          </wp:inline>
        </w:drawing>
      </w:r>
      <w:r>
        <w:rPr>
          <w:rFonts w:hint="default" w:ascii="Times New Roman" w:hAnsi="Times New Roman" w:cs="Times New Roman"/>
        </w:rPr>
        <w:fldChar w:fldCharType="end"/>
      </w:r>
    </w:p>
    <w:p w14:paraId="1DF0E7D4">
      <w:pPr>
        <w:overflowPunct w:val="0"/>
        <w:topLinePunct/>
        <w:spacing w:line="576" w:lineRule="exact"/>
        <w:jc w:val="center"/>
        <w:rPr>
          <w:rFonts w:hint="default" w:ascii="Times New Roman" w:hAnsi="Times New Roman" w:eastAsia="仿宋_GB2312" w:cs="Times New Roman"/>
          <w:i/>
          <w:color w:val="000000"/>
          <w:kern w:val="2"/>
          <w:sz w:val="32"/>
        </w:rPr>
      </w:pPr>
      <w:r>
        <w:rPr>
          <w:rFonts w:hint="default" w:ascii="Times New Roman" w:hAnsi="Times New Roman" w:eastAsia="仿宋_GB2312" w:cs="Times New Roman"/>
          <w:color w:val="000000"/>
          <w:kern w:val="2"/>
          <w:sz w:val="32"/>
        </w:rPr>
        <w:t>图5：</w:t>
      </w:r>
      <w:bookmarkStart w:id="20" w:name="OLE_LINK7"/>
      <w:r>
        <w:rPr>
          <w:rFonts w:hint="default" w:ascii="Times New Roman" w:hAnsi="Times New Roman" w:eastAsia="仿宋_GB2312" w:cs="Times New Roman"/>
          <w:color w:val="000000"/>
          <w:kern w:val="2"/>
          <w:sz w:val="32"/>
        </w:rPr>
        <w:t>一般公共预算财政拨款支出决算变动情况</w:t>
      </w:r>
      <w:bookmarkEnd w:id="20"/>
    </w:p>
    <w:p w14:paraId="0AF1E57A">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（二）一般公共预算财政拨款支出决算结构情况</w:t>
      </w:r>
    </w:p>
    <w:p w14:paraId="517B2FB5">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 xml:space="preserve">2024年度一般公共预算财政拨款支出640.86万元，主要用于以下方面: </w:t>
      </w:r>
      <w:bookmarkStart w:id="21" w:name="OLE_LINK10"/>
      <w:r>
        <w:rPr>
          <w:rFonts w:hint="default" w:ascii="Times New Roman" w:hAnsi="Times New Roman" w:eastAsia="仿宋_GB2312" w:cs="Times New Roman"/>
          <w:color w:val="000000"/>
          <w:kern w:val="2"/>
          <w:sz w:val="32"/>
        </w:rPr>
        <w:t>一般公共服务支出581.93万元，占90.8%；社会保障和就业支出40.3万元，占6.29%；卫生健康支出5.91万元，占0.92%；住房保障支出12.72万元，占1.99%</w:t>
      </w:r>
      <w:bookmarkEnd w:id="21"/>
      <w:r>
        <w:rPr>
          <w:rFonts w:hint="default" w:ascii="Times New Roman" w:hAnsi="Times New Roman" w:eastAsia="仿宋_GB2312" w:cs="Times New Roman"/>
          <w:color w:val="000000"/>
          <w:kern w:val="2"/>
          <w:sz w:val="32"/>
        </w:rPr>
        <w:t>。</w:t>
      </w:r>
    </w:p>
    <w:p w14:paraId="62163725">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"C:\\Users\\王简\\AppData\\Local\\Temp\\QQ_1758271117169.png"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4046220" cy="1264920"/>
            <wp:effectExtent l="0" t="0" r="7620" b="0"/>
            <wp:docPr id="11" name="图片 6" descr="QQ_175827111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QQ_1758271117169"/>
                    <pic:cNvPicPr>
                      <a:picLocks noChangeAspect="1"/>
                    </pic:cNvPicPr>
                  </pic:nvPicPr>
                  <pic:blipFill>
                    <a:blip r:embed="rId16"/>
                    <a:stretch>
                      <a:fillRect/>
                    </a:stretch>
                  </pic:blipFill>
                  <pic:spPr>
                    <a:xfrm>
                      <a:off x="0" y="0"/>
                      <a:ext cx="4046220" cy="1264920"/>
                    </a:xfrm>
                    <a:prstGeom prst="rect">
                      <a:avLst/>
                    </a:prstGeom>
                    <a:noFill/>
                    <a:ln>
                      <a:noFill/>
                    </a:ln>
                  </pic:spPr>
                </pic:pic>
              </a:graphicData>
            </a:graphic>
          </wp:inline>
        </w:drawing>
      </w:r>
      <w:r>
        <w:rPr>
          <w:rFonts w:hint="default" w:ascii="Times New Roman" w:hAnsi="Times New Roman" w:cs="Times New Roman"/>
        </w:rPr>
        <w:fldChar w:fldCharType="end"/>
      </w:r>
    </w:p>
    <w:p w14:paraId="498D64A0">
      <w:pPr>
        <w:overflowPunct w:val="0"/>
        <w:topLinePunct/>
        <w:spacing w:line="576" w:lineRule="exact"/>
        <w:jc w:val="center"/>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图6：</w:t>
      </w:r>
      <w:bookmarkStart w:id="22" w:name="OLE_LINK8"/>
      <w:bookmarkStart w:id="23" w:name="OLE_LINK9"/>
      <w:r>
        <w:rPr>
          <w:rFonts w:hint="default" w:ascii="Times New Roman" w:hAnsi="Times New Roman" w:eastAsia="仿宋_GB2312" w:cs="Times New Roman"/>
          <w:color w:val="000000"/>
          <w:kern w:val="2"/>
          <w:sz w:val="32"/>
        </w:rPr>
        <w:t>一般公共预算财政拨款支出决算结构</w:t>
      </w:r>
      <w:bookmarkEnd w:id="22"/>
      <w:bookmarkEnd w:id="23"/>
    </w:p>
    <w:p w14:paraId="5E19ADCB">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（三）一般公共预算财政拨款支出决算具体情况</w:t>
      </w:r>
    </w:p>
    <w:p w14:paraId="0CBD8F7D">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2024年度一般公共预算</w:t>
      </w:r>
      <w:r>
        <w:rPr>
          <w:rFonts w:hint="default" w:ascii="Times New Roman" w:hAnsi="Times New Roman" w:eastAsia="仿宋_GB2312" w:cs="Times New Roman"/>
          <w:color w:val="000000"/>
          <w:kern w:val="2"/>
          <w:sz w:val="32"/>
          <w:lang w:eastAsia="zh-CN"/>
        </w:rPr>
        <w:t>拨款</w:t>
      </w:r>
      <w:r>
        <w:rPr>
          <w:rFonts w:hint="default" w:ascii="Times New Roman" w:hAnsi="Times New Roman" w:eastAsia="仿宋_GB2312" w:cs="Times New Roman"/>
          <w:color w:val="000000"/>
          <w:kern w:val="2"/>
          <w:sz w:val="32"/>
        </w:rPr>
        <w:t>支出决算数为640.86万元，完成全年预算数的100%。其中：</w:t>
      </w:r>
    </w:p>
    <w:p w14:paraId="2D2D8A5D">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1.</w:t>
      </w:r>
      <w:r>
        <w:rPr>
          <w:rFonts w:hint="default" w:ascii="Times New Roman" w:hAnsi="Times New Roman" w:eastAsia="仿宋_GB2312" w:cs="Times New Roman"/>
          <w:b/>
          <w:color w:val="000000"/>
          <w:kern w:val="2"/>
          <w:sz w:val="32"/>
          <w:szCs w:val="32"/>
        </w:rPr>
        <w:t>一般公共服务支出（类）审计事务（款）行政运行（项）:</w:t>
      </w:r>
      <w:r>
        <w:rPr>
          <w:rFonts w:hint="default" w:ascii="Times New Roman" w:hAnsi="Times New Roman" w:eastAsia="仿宋_GB2312" w:cs="Times New Roman"/>
          <w:color w:val="000000"/>
          <w:kern w:val="2"/>
          <w:sz w:val="32"/>
          <w:szCs w:val="32"/>
        </w:rPr>
        <w:t>全年预算为226.91万元，支出决算为226.91万元，完成全年预算的100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62E6E516">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2.</w:t>
      </w:r>
      <w:r>
        <w:rPr>
          <w:rFonts w:hint="default" w:ascii="Times New Roman" w:hAnsi="Times New Roman" w:eastAsia="仿宋_GB2312" w:cs="Times New Roman"/>
          <w:b/>
          <w:color w:val="000000"/>
          <w:kern w:val="2"/>
          <w:sz w:val="32"/>
          <w:szCs w:val="32"/>
        </w:rPr>
        <w:t>一般公共服务支出（类）审计事务（款）审计业务（项）:</w:t>
      </w:r>
      <w:r>
        <w:rPr>
          <w:rFonts w:hint="default" w:ascii="Times New Roman" w:hAnsi="Times New Roman" w:eastAsia="仿宋_GB2312" w:cs="Times New Roman"/>
          <w:color w:val="000000"/>
          <w:kern w:val="2"/>
          <w:sz w:val="32"/>
          <w:szCs w:val="32"/>
        </w:rPr>
        <w:t>全年预算为234万元，支出决算为234万元，完成全年预算的100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5CA46E68">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3.</w:t>
      </w:r>
      <w:r>
        <w:rPr>
          <w:rFonts w:hint="default" w:ascii="Times New Roman" w:hAnsi="Times New Roman" w:eastAsia="仿宋_GB2312" w:cs="Times New Roman"/>
          <w:b/>
          <w:color w:val="000000"/>
          <w:kern w:val="2"/>
          <w:sz w:val="32"/>
          <w:szCs w:val="32"/>
        </w:rPr>
        <w:t>一般公共服务支出（类）审计事务（款）事业运行（项）:</w:t>
      </w:r>
      <w:r>
        <w:rPr>
          <w:rFonts w:hint="default" w:ascii="Times New Roman" w:hAnsi="Times New Roman" w:eastAsia="仿宋_GB2312" w:cs="Times New Roman"/>
          <w:color w:val="000000"/>
          <w:kern w:val="2"/>
          <w:sz w:val="32"/>
          <w:szCs w:val="32"/>
        </w:rPr>
        <w:t>全年预算为121.02万元，支出决算为121.02万元，完成全年预算的100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2823CAF2">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4.</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color w:val="000000"/>
          <w:kern w:val="2"/>
          <w:sz w:val="32"/>
          <w:szCs w:val="32"/>
        </w:rPr>
        <w:t>支出</w:t>
      </w:r>
      <w:r>
        <w:rPr>
          <w:rFonts w:hint="default" w:ascii="Times New Roman" w:hAnsi="Times New Roman" w:eastAsia="仿宋_GB2312" w:cs="Times New Roman"/>
          <w:b/>
          <w:sz w:val="32"/>
          <w:szCs w:val="32"/>
        </w:rPr>
        <w:t>（类）行政事业单位养老支出（款）行政单位离退休（项）:</w:t>
      </w:r>
      <w:r>
        <w:rPr>
          <w:rFonts w:hint="default" w:ascii="Times New Roman" w:hAnsi="Times New Roman" w:eastAsia="仿宋_GB2312" w:cs="Times New Roman"/>
          <w:color w:val="000000"/>
          <w:kern w:val="2"/>
          <w:sz w:val="32"/>
          <w:szCs w:val="32"/>
        </w:rPr>
        <w:t>全年预算为14万元，支出决算为14万元，完成全年预算的100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32BAAD6B">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5.</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color w:val="000000"/>
          <w:kern w:val="2"/>
          <w:sz w:val="32"/>
          <w:szCs w:val="32"/>
        </w:rPr>
        <w:t>支出</w:t>
      </w:r>
      <w:r>
        <w:rPr>
          <w:rFonts w:hint="default" w:ascii="Times New Roman" w:hAnsi="Times New Roman" w:eastAsia="仿宋_GB2312" w:cs="Times New Roman"/>
          <w:b/>
          <w:sz w:val="32"/>
          <w:szCs w:val="32"/>
        </w:rPr>
        <w:t>（类）行政事业单位养老支出（款）机关事业单位基本养老保险缴费支出（项）:</w:t>
      </w:r>
      <w:r>
        <w:rPr>
          <w:rFonts w:hint="default" w:ascii="Times New Roman" w:hAnsi="Times New Roman" w:eastAsia="仿宋_GB2312" w:cs="Times New Roman"/>
          <w:color w:val="000000"/>
          <w:kern w:val="2"/>
          <w:sz w:val="32"/>
          <w:szCs w:val="32"/>
        </w:rPr>
        <w:t>全年预算为16.34万元，支出决算为16.34万元，完成全年预算的100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6E747853">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6.</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color w:val="000000"/>
          <w:kern w:val="2"/>
          <w:sz w:val="32"/>
          <w:szCs w:val="32"/>
        </w:rPr>
        <w:t>支出</w:t>
      </w:r>
      <w:r>
        <w:rPr>
          <w:rFonts w:hint="default" w:ascii="Times New Roman" w:hAnsi="Times New Roman" w:eastAsia="仿宋_GB2312" w:cs="Times New Roman"/>
          <w:b/>
          <w:sz w:val="32"/>
          <w:szCs w:val="32"/>
        </w:rPr>
        <w:t>（类）行政事业单位养老支出（款）机关事业单位职业年金缴费支出（项）:</w:t>
      </w:r>
      <w:r>
        <w:rPr>
          <w:rFonts w:hint="default" w:ascii="Times New Roman" w:hAnsi="Times New Roman" w:eastAsia="仿宋_GB2312" w:cs="Times New Roman"/>
          <w:color w:val="000000"/>
          <w:kern w:val="2"/>
          <w:sz w:val="32"/>
          <w:szCs w:val="32"/>
        </w:rPr>
        <w:t>全年预算为5.1万元，支出决算为5.1万元，完成全年预算的100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74CB79C4">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7.</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color w:val="000000"/>
          <w:kern w:val="2"/>
          <w:sz w:val="32"/>
          <w:szCs w:val="32"/>
        </w:rPr>
        <w:t>支出</w:t>
      </w:r>
      <w:r>
        <w:rPr>
          <w:rFonts w:hint="default" w:ascii="Times New Roman" w:hAnsi="Times New Roman" w:eastAsia="仿宋_GB2312" w:cs="Times New Roman"/>
          <w:b/>
          <w:sz w:val="32"/>
          <w:szCs w:val="32"/>
        </w:rPr>
        <w:t>（类）其他社会保障和就业支出（款）其他社会保障和就业支出（项）:</w:t>
      </w:r>
      <w:r>
        <w:rPr>
          <w:rFonts w:hint="default" w:ascii="Times New Roman" w:hAnsi="Times New Roman" w:eastAsia="仿宋_GB2312" w:cs="Times New Roman"/>
          <w:color w:val="000000"/>
          <w:kern w:val="2"/>
          <w:sz w:val="32"/>
          <w:szCs w:val="32"/>
        </w:rPr>
        <w:t>全年预算为4.86万元，支出决算为4.86万元，完成全年预算的100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44217267">
      <w:pPr>
        <w:overflowPunct w:val="0"/>
        <w:topLinePunct/>
        <w:spacing w:line="576" w:lineRule="exact"/>
        <w:ind w:firstLine="643" w:firstLineChars="200"/>
        <w:jc w:val="both"/>
        <w:rPr>
          <w:rFonts w:hint="default" w:ascii="Times New Roman" w:hAnsi="Times New Roman" w:cs="Times New Roman"/>
        </w:rPr>
      </w:pPr>
      <w:r>
        <w:rPr>
          <w:rFonts w:hint="default" w:ascii="Times New Roman" w:hAnsi="Times New Roman" w:eastAsia="仿宋_GB2312" w:cs="Times New Roman"/>
          <w:b/>
          <w:color w:val="000000"/>
          <w:kern w:val="2"/>
          <w:sz w:val="32"/>
          <w:szCs w:val="32"/>
        </w:rPr>
        <w:t>8</w:t>
      </w:r>
      <w:r>
        <w:rPr>
          <w:rFonts w:hint="default" w:ascii="Times New Roman" w:hAnsi="Times New Roman" w:cs="Times New Roman"/>
          <w:b/>
          <w:color w:val="000000"/>
          <w:kern w:val="2"/>
          <w:sz w:val="32"/>
          <w:szCs w:val="32"/>
        </w:rPr>
        <w:t>.</w:t>
      </w:r>
      <w:r>
        <w:rPr>
          <w:rFonts w:hint="default" w:ascii="Times New Roman" w:hAnsi="Times New Roman" w:eastAsia="仿宋_GB2312" w:cs="Times New Roman"/>
          <w:b/>
          <w:color w:val="000000"/>
          <w:sz w:val="32"/>
          <w:szCs w:val="32"/>
        </w:rPr>
        <w:t>卫生健康</w:t>
      </w:r>
      <w:r>
        <w:rPr>
          <w:rFonts w:hint="default" w:ascii="Times New Roman" w:hAnsi="Times New Roman" w:eastAsia="仿宋_GB2312" w:cs="Times New Roman"/>
          <w:b/>
          <w:sz w:val="32"/>
          <w:szCs w:val="32"/>
        </w:rPr>
        <w:t>（类）行政事业单位医疗（款）事业单位医疗（项）</w:t>
      </w:r>
      <w:r>
        <w:rPr>
          <w:rFonts w:hint="default" w:ascii="Times New Roman" w:hAnsi="Times New Roman" w:cs="Times New Roman"/>
          <w:b/>
          <w:color w:val="000000"/>
          <w:kern w:val="2"/>
          <w:sz w:val="32"/>
          <w:szCs w:val="32"/>
        </w:rPr>
        <w:t>:</w:t>
      </w:r>
      <w:r>
        <w:rPr>
          <w:rFonts w:hint="default" w:ascii="Times New Roman" w:hAnsi="Times New Roman" w:eastAsia="仿宋_GB2312" w:cs="Times New Roman"/>
          <w:color w:val="000000"/>
          <w:kern w:val="2"/>
          <w:sz w:val="32"/>
          <w:szCs w:val="32"/>
        </w:rPr>
        <w:t>全年预算为5.91万元，支出决算为85.91万元，完成全年预算的100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2B2BE151">
      <w:pPr>
        <w:overflowPunct w:val="0"/>
        <w:topLinePunct/>
        <w:spacing w:line="576" w:lineRule="exact"/>
        <w:ind w:firstLine="643" w:firstLineChars="200"/>
        <w:jc w:val="both"/>
        <w:rPr>
          <w:rFonts w:hint="default" w:ascii="Times New Roman" w:hAnsi="Times New Roman" w:cs="Times New Roman"/>
          <w:b/>
          <w:color w:val="000000"/>
          <w:kern w:val="2"/>
          <w:sz w:val="32"/>
          <w:szCs w:val="32"/>
        </w:rPr>
      </w:pPr>
      <w:r>
        <w:rPr>
          <w:rFonts w:hint="default" w:ascii="Times New Roman" w:hAnsi="Times New Roman" w:eastAsia="仿宋_GB2312" w:cs="Times New Roman"/>
          <w:b/>
          <w:color w:val="000000"/>
          <w:kern w:val="2"/>
          <w:sz w:val="32"/>
          <w:szCs w:val="32"/>
        </w:rPr>
        <w:t>9</w:t>
      </w:r>
      <w:r>
        <w:rPr>
          <w:rFonts w:hint="default" w:ascii="Times New Roman" w:hAnsi="Times New Roman" w:cs="Times New Roman"/>
          <w:b/>
          <w:color w:val="000000"/>
          <w:kern w:val="2"/>
          <w:sz w:val="32"/>
          <w:szCs w:val="32"/>
        </w:rPr>
        <w:t>.</w:t>
      </w:r>
      <w:r>
        <w:rPr>
          <w:rFonts w:hint="default" w:ascii="Times New Roman" w:hAnsi="Times New Roman" w:eastAsia="仿宋_GB2312" w:cs="Times New Roman"/>
          <w:b/>
          <w:sz w:val="32"/>
          <w:szCs w:val="32"/>
        </w:rPr>
        <w:t>住房保障支出（类）住房改革支出（款）住房公积金（项）</w:t>
      </w:r>
      <w:r>
        <w:rPr>
          <w:rFonts w:hint="default" w:ascii="Times New Roman" w:hAnsi="Times New Roman" w:cs="Times New Roman"/>
          <w:b/>
          <w:color w:val="000000"/>
          <w:kern w:val="2"/>
          <w:sz w:val="32"/>
          <w:szCs w:val="32"/>
        </w:rPr>
        <w:t>:</w:t>
      </w:r>
      <w:r>
        <w:rPr>
          <w:rFonts w:hint="default" w:ascii="Times New Roman" w:hAnsi="Times New Roman" w:eastAsia="仿宋_GB2312" w:cs="Times New Roman"/>
          <w:color w:val="000000"/>
          <w:kern w:val="2"/>
          <w:sz w:val="32"/>
          <w:szCs w:val="32"/>
        </w:rPr>
        <w:t>全年预算为12.72万元，支出决算为12.72万元，完成全年预算的100</w:t>
      </w:r>
      <w:r>
        <w:rPr>
          <w:rFonts w:hint="default" w:ascii="Times New Roman" w:hAnsi="Times New Roman" w:cs="Times New Roman"/>
          <w:color w:val="000000"/>
          <w:kern w:val="2"/>
          <w:sz w:val="32"/>
          <w:szCs w:val="32"/>
        </w:rPr>
        <w:t>%</w:t>
      </w:r>
      <w:r>
        <w:rPr>
          <w:rFonts w:hint="default" w:ascii="Times New Roman" w:hAnsi="Times New Roman" w:eastAsia="仿宋_GB2312" w:cs="Times New Roman"/>
          <w:color w:val="000000"/>
          <w:kern w:val="2"/>
          <w:sz w:val="32"/>
          <w:szCs w:val="32"/>
        </w:rPr>
        <w:t>。</w:t>
      </w:r>
    </w:p>
    <w:p w14:paraId="25ED02DC">
      <w:pPr>
        <w:tabs>
          <w:tab w:val="right" w:pos="8306"/>
        </w:tabs>
        <w:overflowPunct w:val="0"/>
        <w:topLinePunct/>
        <w:spacing w:line="576" w:lineRule="exact"/>
        <w:ind w:firstLine="640" w:firstLineChars="200"/>
        <w:jc w:val="both"/>
        <w:rPr>
          <w:rFonts w:hint="default" w:ascii="Times New Roman" w:hAnsi="Times New Roman" w:eastAsia="Cambria" w:cs="Times New Roman"/>
          <w:b/>
          <w:kern w:val="2"/>
          <w:sz w:val="32"/>
        </w:rPr>
      </w:pPr>
      <w:r>
        <w:rPr>
          <w:rFonts w:hint="default" w:ascii="Times New Roman" w:hAnsi="Times New Roman" w:eastAsia="黑体" w:cs="Times New Roman"/>
          <w:color w:val="000000"/>
          <w:kern w:val="2"/>
          <w:sz w:val="32"/>
        </w:rPr>
        <w:t>六</w:t>
      </w:r>
      <w:r>
        <w:rPr>
          <w:rFonts w:hint="default" w:ascii="Times New Roman" w:hAnsi="Times New Roman" w:eastAsia="黑体" w:cs="Times New Roman"/>
          <w:b/>
          <w:color w:val="000000"/>
          <w:kern w:val="2"/>
          <w:sz w:val="32"/>
        </w:rPr>
        <w:t>、一</w:t>
      </w:r>
      <w:r>
        <w:rPr>
          <w:rFonts w:hint="default" w:ascii="Times New Roman" w:hAnsi="Times New Roman" w:eastAsia="黑体" w:cs="Times New Roman"/>
          <w:kern w:val="2"/>
          <w:sz w:val="32"/>
        </w:rPr>
        <w:t>般公共预算财政拨款基本支出决算情况说明</w:t>
      </w:r>
      <w:r>
        <w:rPr>
          <w:rFonts w:hint="default" w:ascii="Times New Roman" w:hAnsi="Times New Roman" w:eastAsia="黑体" w:cs="Times New Roman"/>
          <w:kern w:val="2"/>
          <w:sz w:val="32"/>
        </w:rPr>
        <w:tab/>
      </w:r>
    </w:p>
    <w:p w14:paraId="7A80BCB4">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2024年度一般公共预算财政拨款基本支出406.86万元，其中：</w:t>
      </w:r>
    </w:p>
    <w:p w14:paraId="3975482F">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人员经费</w:t>
      </w:r>
      <w:r>
        <w:rPr>
          <w:rFonts w:hint="default" w:ascii="Times New Roman" w:hAnsi="Times New Roman" w:eastAsia="仿宋_GB2312" w:cs="Times New Roman"/>
          <w:color w:val="000000"/>
          <w:kern w:val="2"/>
          <w:sz w:val="32"/>
        </w:rPr>
        <w:t>368.85万元，主要包括：基本工资95.07万元、津贴补贴39.15万元、奖金123.53万元、绩效工资29.79万元、机关事业单位基本养老保险缴费16.34万元、职业年金缴费5.1万元、职工基本医疗保险缴费5.91万元、其他社会保障缴费4.86万元、住房公积金12.72万元、抚恤金22.33万元、生活补助14万元、奖励金0.05万元。</w:t>
      </w:r>
    </w:p>
    <w:p w14:paraId="261BBF93">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公用经费</w:t>
      </w:r>
      <w:r>
        <w:rPr>
          <w:rFonts w:hint="default" w:ascii="Times New Roman" w:hAnsi="Times New Roman" w:eastAsia="仿宋_GB2312" w:cs="Times New Roman"/>
          <w:color w:val="000000"/>
          <w:kern w:val="2"/>
          <w:sz w:val="32"/>
        </w:rPr>
        <w:t>38.01万元，主要包括：办公费7.56万元、印刷费4万元、水费0.5万元、电费3万元、邮电费4万元、维修（护）费4万元、培训费2万元、工会经费3万元、其他交通费7.6万元、其他商品和服务支出2.35万元。</w:t>
      </w:r>
    </w:p>
    <w:p w14:paraId="7C1D6D23">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color w:val="000000"/>
          <w:kern w:val="2"/>
          <w:sz w:val="32"/>
        </w:rPr>
        <w:t>七、</w:t>
      </w:r>
      <w:r>
        <w:rPr>
          <w:rFonts w:hint="default" w:ascii="Times New Roman" w:hAnsi="Times New Roman" w:eastAsia="黑体" w:cs="Times New Roman"/>
          <w:kern w:val="2"/>
          <w:sz w:val="32"/>
        </w:rPr>
        <w:t>财政拨款</w:t>
      </w:r>
      <w:r>
        <w:rPr>
          <w:rFonts w:hint="default" w:ascii="Times New Roman" w:hAnsi="Times New Roman" w:eastAsia="黑体" w:cs="Times New Roman"/>
          <w:b/>
          <w:kern w:val="2"/>
          <w:sz w:val="32"/>
        </w:rPr>
        <w:t>“</w:t>
      </w:r>
      <w:r>
        <w:rPr>
          <w:rFonts w:hint="default" w:ascii="Times New Roman" w:hAnsi="Times New Roman" w:eastAsia="黑体" w:cs="Times New Roman"/>
          <w:kern w:val="2"/>
          <w:sz w:val="32"/>
        </w:rPr>
        <w:t>三公”经费支出决算情况说明</w:t>
      </w:r>
    </w:p>
    <w:p w14:paraId="2A8E24CC">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（一）“三公”经费财政拨款支出决算总体情况说明</w:t>
      </w:r>
    </w:p>
    <w:p w14:paraId="002D5AB7">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2024年度“三公”经费财政拨款支出决算为8.3万元，完成预算100%；较上年减少0.1万元，下降1.19%。决算数与预算数持平的主要原因是</w:t>
      </w:r>
      <w:r>
        <w:rPr>
          <w:rFonts w:hint="default" w:ascii="Times New Roman" w:hAnsi="Times New Roman" w:eastAsia="仿宋_GB2312" w:cs="Times New Roman"/>
          <w:color w:val="000000"/>
          <w:kern w:val="2"/>
          <w:sz w:val="32"/>
          <w:szCs w:val="24"/>
          <w:lang w:val="en-US"/>
        </w:rPr>
        <w:t>严格按照预算控制支出</w:t>
      </w:r>
      <w:r>
        <w:rPr>
          <w:rFonts w:hint="default" w:ascii="Times New Roman" w:hAnsi="Times New Roman" w:eastAsia="仿宋_GB2312" w:cs="Times New Roman"/>
          <w:color w:val="000000"/>
          <w:kern w:val="2"/>
          <w:sz w:val="32"/>
        </w:rPr>
        <w:t>。</w:t>
      </w:r>
      <w:bookmarkStart w:id="24" w:name="OLE_LINK14"/>
      <w:r>
        <w:rPr>
          <w:rFonts w:hint="default" w:ascii="Times New Roman" w:hAnsi="Times New Roman" w:eastAsia="仿宋_GB2312" w:cs="Times New Roman"/>
          <w:color w:val="000000"/>
          <w:kern w:val="2"/>
          <w:sz w:val="32"/>
        </w:rPr>
        <w:t>决算数较上年减少主要原因是厉行节约。</w:t>
      </w:r>
      <w:bookmarkEnd w:id="24"/>
    </w:p>
    <w:p w14:paraId="792926C9">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（二）“三公”经费财政拨款支出决算具体情况说明</w:t>
      </w:r>
    </w:p>
    <w:p w14:paraId="6D8B8058">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2024年度“三公”经费财政拨款支出决算中，因公出国（境）费支出决算0万元，占0%；公务用车购置及运行维护费支出决算0万元，占0%；公务接待费支出决算8.3万元，占100%。具体情况如下：</w:t>
      </w:r>
    </w:p>
    <w:p w14:paraId="58DACBFA">
      <w:pPr>
        <w:pStyle w:val="8"/>
        <w:spacing w:before="72"/>
        <w:jc w:val="center"/>
        <w:rPr>
          <w:rFonts w:hint="default" w:ascii="Times New Roman" w:hAnsi="Times New Roman"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INCLUDEPICTURE "C:\\Users\\王简\\AppData\\Local\\Temp\\QQ_1758275228396.png" \* MERGEFORMATINET </w:instrText>
      </w:r>
      <w:r>
        <w:rPr>
          <w:rFonts w:hint="default" w:ascii="Times New Roman" w:hAnsi="Times New Roman" w:cs="Times New Roman"/>
        </w:rPr>
        <w:fldChar w:fldCharType="separate"/>
      </w:r>
      <w:r>
        <w:rPr>
          <w:rFonts w:hint="default" w:ascii="Times New Roman" w:hAnsi="Times New Roman" w:cs="Times New Roman"/>
        </w:rPr>
        <w:drawing>
          <wp:inline distT="0" distB="0" distL="114300" distR="114300">
            <wp:extent cx="4932045" cy="1599565"/>
            <wp:effectExtent l="0" t="0" r="5715" b="635"/>
            <wp:docPr id="10" name="图片 7" descr="QQ_175827522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QQ_1758275228396"/>
                    <pic:cNvPicPr>
                      <a:picLocks noChangeAspect="1"/>
                    </pic:cNvPicPr>
                  </pic:nvPicPr>
                  <pic:blipFill>
                    <a:blip r:embed="rId17"/>
                    <a:stretch>
                      <a:fillRect/>
                    </a:stretch>
                  </pic:blipFill>
                  <pic:spPr>
                    <a:xfrm>
                      <a:off x="0" y="0"/>
                      <a:ext cx="4932045" cy="1599565"/>
                    </a:xfrm>
                    <a:prstGeom prst="rect">
                      <a:avLst/>
                    </a:prstGeom>
                    <a:noFill/>
                    <a:ln>
                      <a:noFill/>
                    </a:ln>
                  </pic:spPr>
                </pic:pic>
              </a:graphicData>
            </a:graphic>
          </wp:inline>
        </w:drawing>
      </w:r>
      <w:r>
        <w:rPr>
          <w:rFonts w:hint="default" w:ascii="Times New Roman" w:hAnsi="Times New Roman" w:cs="Times New Roman"/>
        </w:rPr>
        <w:fldChar w:fldCharType="end"/>
      </w:r>
    </w:p>
    <w:p w14:paraId="0C5F2532">
      <w:pPr>
        <w:overflowPunct w:val="0"/>
        <w:topLinePunct/>
        <w:spacing w:line="576" w:lineRule="exact"/>
        <w:jc w:val="center"/>
        <w:rPr>
          <w:rFonts w:hint="default" w:ascii="Times New Roman" w:hAnsi="Times New Roman" w:eastAsia="仿宋_GB2312" w:cs="Times New Roman"/>
          <w:i/>
          <w:color w:val="000000"/>
          <w:kern w:val="2"/>
          <w:sz w:val="32"/>
        </w:rPr>
      </w:pPr>
      <w:r>
        <w:rPr>
          <w:rFonts w:hint="default" w:ascii="Times New Roman" w:hAnsi="Times New Roman" w:eastAsia="仿宋_GB2312" w:cs="Times New Roman"/>
          <w:color w:val="000000"/>
          <w:kern w:val="2"/>
          <w:sz w:val="32"/>
        </w:rPr>
        <w:t>图7：“三公”经费财政拨款支出结构</w:t>
      </w:r>
    </w:p>
    <w:p w14:paraId="79DB4E91">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1.</w:t>
      </w:r>
      <w:bookmarkStart w:id="25" w:name="OLE_LINK15"/>
      <w:r>
        <w:rPr>
          <w:rFonts w:hint="default" w:ascii="Times New Roman" w:hAnsi="Times New Roman" w:eastAsia="仿宋_GB2312" w:cs="Times New Roman"/>
          <w:b/>
          <w:color w:val="000000"/>
          <w:kern w:val="2"/>
          <w:sz w:val="32"/>
        </w:rPr>
        <w:t>因公出国（境）经费</w:t>
      </w:r>
      <w:bookmarkEnd w:id="25"/>
      <w:r>
        <w:rPr>
          <w:rFonts w:hint="default" w:ascii="Times New Roman" w:hAnsi="Times New Roman" w:eastAsia="仿宋_GB2312" w:cs="Times New Roman"/>
          <w:color w:val="000000"/>
          <w:kern w:val="2"/>
          <w:sz w:val="32"/>
        </w:rPr>
        <w:t>支出0万元，</w:t>
      </w:r>
      <w:bookmarkStart w:id="26" w:name="OLE_LINK13"/>
      <w:r>
        <w:rPr>
          <w:rFonts w:hint="default" w:ascii="Times New Roman" w:hAnsi="Times New Roman" w:eastAsia="仿宋_GB2312" w:cs="Times New Roman"/>
          <w:color w:val="000000"/>
          <w:kern w:val="2"/>
          <w:sz w:val="32"/>
        </w:rPr>
        <w:t>年初未安排预算。</w:t>
      </w:r>
      <w:bookmarkEnd w:id="26"/>
      <w:r>
        <w:rPr>
          <w:rFonts w:hint="default" w:ascii="Times New Roman" w:hAnsi="Times New Roman" w:eastAsia="仿宋_GB2312" w:cs="Times New Roman"/>
          <w:color w:val="000000"/>
          <w:kern w:val="2"/>
          <w:sz w:val="32"/>
        </w:rPr>
        <w:t>全年安排因公出国（境）团组0个，出国（境）0人。因公出国（境）支出决算</w:t>
      </w:r>
      <w:bookmarkStart w:id="27" w:name="OLE_LINK12"/>
      <w:r>
        <w:rPr>
          <w:rFonts w:hint="default" w:ascii="Times New Roman" w:hAnsi="Times New Roman" w:eastAsia="仿宋_GB2312" w:cs="Times New Roman"/>
          <w:color w:val="000000"/>
          <w:kern w:val="2"/>
          <w:sz w:val="32"/>
        </w:rPr>
        <w:t>较2023年度无变化</w:t>
      </w:r>
      <w:bookmarkEnd w:id="27"/>
      <w:r>
        <w:rPr>
          <w:rFonts w:hint="default" w:ascii="Times New Roman" w:hAnsi="Times New Roman" w:eastAsia="仿宋_GB2312" w:cs="Times New Roman"/>
          <w:color w:val="000000"/>
          <w:kern w:val="2"/>
          <w:sz w:val="32"/>
        </w:rPr>
        <w:t>。</w:t>
      </w:r>
    </w:p>
    <w:p w14:paraId="141FDB5E">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kern w:val="2"/>
          <w:sz w:val="32"/>
        </w:rPr>
        <w:t>2.</w:t>
      </w:r>
      <w:bookmarkStart w:id="28" w:name="OLE_LINK16"/>
      <w:bookmarkStart w:id="29" w:name="OLE_LINK17"/>
      <w:r>
        <w:rPr>
          <w:rFonts w:hint="default" w:ascii="Times New Roman" w:hAnsi="Times New Roman" w:eastAsia="仿宋_GB2312" w:cs="Times New Roman"/>
          <w:b/>
          <w:kern w:val="2"/>
          <w:sz w:val="32"/>
        </w:rPr>
        <w:t>公务用车</w:t>
      </w:r>
      <w:r>
        <w:rPr>
          <w:rFonts w:hint="default" w:ascii="Times New Roman" w:hAnsi="Times New Roman" w:eastAsia="仿宋_GB2312" w:cs="Times New Roman"/>
          <w:b/>
          <w:color w:val="000000"/>
          <w:kern w:val="2"/>
          <w:sz w:val="32"/>
        </w:rPr>
        <w:t>购置及运行维护费</w:t>
      </w:r>
      <w:bookmarkEnd w:id="28"/>
      <w:bookmarkEnd w:id="29"/>
      <w:r>
        <w:rPr>
          <w:rFonts w:hint="default" w:ascii="Times New Roman" w:hAnsi="Times New Roman" w:eastAsia="仿宋_GB2312" w:cs="Times New Roman"/>
          <w:color w:val="000000"/>
          <w:kern w:val="2"/>
          <w:sz w:val="32"/>
        </w:rPr>
        <w:t>支出0万元，年初未安排预算。公务用车购置及运行维护费支出决算较2023年度无变化。</w:t>
      </w:r>
    </w:p>
    <w:p w14:paraId="5737CD64">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其中：</w:t>
      </w:r>
      <w:r>
        <w:rPr>
          <w:rFonts w:hint="default" w:ascii="Times New Roman" w:hAnsi="Times New Roman" w:eastAsia="仿宋_GB2312" w:cs="Times New Roman"/>
          <w:b/>
          <w:color w:val="000000"/>
          <w:kern w:val="2"/>
          <w:sz w:val="32"/>
        </w:rPr>
        <w:t>公务用车购置费</w:t>
      </w:r>
      <w:r>
        <w:rPr>
          <w:rFonts w:hint="default" w:ascii="Times New Roman" w:hAnsi="Times New Roman" w:eastAsia="仿宋_GB2312" w:cs="Times New Roman"/>
          <w:color w:val="000000"/>
          <w:kern w:val="2"/>
          <w:sz w:val="32"/>
        </w:rPr>
        <w:t>支出0万元。全年按规定更新购置公务用车0辆，其中：轿车0辆、金额0万元，越野车0辆、金额0万元，小型客车0辆、金额0万元，中型客车和大型客车0辆、金额0万元，其他车型0辆、金额0万元。截至2024年12月31日，本部门共有公务用车0辆，其中：轿车0辆、越野车0辆、小型客车0辆、中型客车和大型客车0辆、其他车型0辆。</w:t>
      </w:r>
    </w:p>
    <w:p w14:paraId="113F8EC1">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公务用车运行维护费</w:t>
      </w:r>
      <w:r>
        <w:rPr>
          <w:rFonts w:hint="default" w:ascii="Times New Roman" w:hAnsi="Times New Roman" w:eastAsia="仿宋_GB2312" w:cs="Times New Roman"/>
          <w:color w:val="000000"/>
          <w:kern w:val="2"/>
          <w:sz w:val="32"/>
        </w:rPr>
        <w:t>支出0万元。</w:t>
      </w:r>
    </w:p>
    <w:p w14:paraId="0F5F38A7">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3.公务接待费</w:t>
      </w:r>
      <w:r>
        <w:rPr>
          <w:rFonts w:hint="default" w:ascii="Times New Roman" w:hAnsi="Times New Roman" w:eastAsia="仿宋_GB2312" w:cs="Times New Roman"/>
          <w:color w:val="000000"/>
          <w:kern w:val="2"/>
          <w:sz w:val="32"/>
        </w:rPr>
        <w:t>预算为8.3万元，支出决算为8.3万元，完成预算的100%。公务接待费支出决算比2023年度减少0.1万元，下降1.19%。主要原因是厉行节约。其中：</w:t>
      </w:r>
    </w:p>
    <w:p w14:paraId="568C8257">
      <w:pPr>
        <w:overflowPunct w:val="0"/>
        <w:topLinePunct/>
        <w:spacing w:line="576" w:lineRule="exact"/>
        <w:ind w:firstLine="643" w:firstLineChars="200"/>
        <w:jc w:val="both"/>
        <w:rPr>
          <w:rFonts w:hint="default" w:ascii="Times New Roman" w:hAnsi="Times New Roman" w:cs="Times New Roman"/>
          <w:color w:val="000000"/>
          <w:kern w:val="2"/>
          <w:sz w:val="32"/>
          <w:szCs w:val="32"/>
        </w:rPr>
      </w:pPr>
      <w:r>
        <w:rPr>
          <w:rFonts w:hint="default" w:ascii="Times New Roman" w:hAnsi="Times New Roman" w:eastAsia="仿宋_GB2312" w:cs="Times New Roman"/>
          <w:b/>
          <w:color w:val="000000"/>
          <w:kern w:val="2"/>
          <w:sz w:val="32"/>
        </w:rPr>
        <w:t>国内公务接待</w:t>
      </w:r>
      <w:r>
        <w:rPr>
          <w:rFonts w:hint="default" w:ascii="Times New Roman" w:hAnsi="Times New Roman" w:eastAsia="仿宋_GB2312" w:cs="Times New Roman"/>
          <w:color w:val="000000"/>
          <w:kern w:val="2"/>
          <w:sz w:val="32"/>
        </w:rPr>
        <w:t>支出8.3万元。主要用于执行公务、开展业务活动开支的用餐费等。国内公务接待215批次，780人次，共计支出8.3万元，</w:t>
      </w:r>
      <w:r>
        <w:rPr>
          <w:rFonts w:hint="default" w:ascii="Times New Roman" w:hAnsi="Times New Roman" w:eastAsia="仿宋_GB2312" w:cs="Times New Roman"/>
          <w:color w:val="000000"/>
          <w:kern w:val="2"/>
          <w:sz w:val="32"/>
          <w:szCs w:val="32"/>
        </w:rPr>
        <w:t>具体内容包括：省审计厅、市审计局来昭检查指导、考察调研以及兄弟县区审计机关来昭学习交流等服务保障。</w:t>
      </w:r>
    </w:p>
    <w:p w14:paraId="7D99A428">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外事接待</w:t>
      </w:r>
      <w:r>
        <w:rPr>
          <w:rFonts w:hint="default" w:ascii="Times New Roman" w:hAnsi="Times New Roman" w:eastAsia="仿宋_GB2312" w:cs="Times New Roman"/>
          <w:color w:val="000000"/>
          <w:kern w:val="2"/>
          <w:sz w:val="32"/>
        </w:rPr>
        <w:t>支出0万元，外事接待0批次，0人，共计支出0万元。</w:t>
      </w:r>
    </w:p>
    <w:p w14:paraId="7CE2335C">
      <w:pPr>
        <w:overflowPunct w:val="0"/>
        <w:topLinePunct/>
        <w:spacing w:line="576" w:lineRule="exact"/>
        <w:ind w:firstLine="640" w:firstLineChars="200"/>
        <w:jc w:val="both"/>
        <w:rPr>
          <w:rFonts w:hint="default" w:ascii="Times New Roman" w:hAnsi="Times New Roman" w:eastAsia="黑体" w:cs="Times New Roman"/>
          <w:b/>
          <w:kern w:val="2"/>
          <w:sz w:val="32"/>
        </w:rPr>
      </w:pPr>
      <w:r>
        <w:rPr>
          <w:rFonts w:hint="default" w:ascii="Times New Roman" w:hAnsi="Times New Roman" w:eastAsia="黑体" w:cs="Times New Roman"/>
          <w:color w:val="000000"/>
          <w:kern w:val="2"/>
          <w:sz w:val="32"/>
        </w:rPr>
        <w:t>八、</w:t>
      </w:r>
      <w:r>
        <w:rPr>
          <w:rFonts w:hint="default" w:ascii="Times New Roman" w:hAnsi="Times New Roman" w:eastAsia="黑体" w:cs="Times New Roman"/>
          <w:kern w:val="2"/>
          <w:sz w:val="32"/>
        </w:rPr>
        <w:t>政府性基金预算支出决算情况说明</w:t>
      </w:r>
    </w:p>
    <w:p w14:paraId="5D0A3A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2"/>
          <w:sz w:val="32"/>
          <w:szCs w:val="24"/>
          <w:lang w:val="en-US"/>
        </w:rPr>
        <w:t>2024年度政府性基金预算财政拨款支出</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万元，占本年支出合计的</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。与2023年度相比，政府性基金预算财政拨款支出数与上年持平。</w:t>
      </w:r>
    </w:p>
    <w:p w14:paraId="6E22EE20">
      <w:pPr>
        <w:overflowPunct w:val="0"/>
        <w:topLinePunct/>
        <w:spacing w:line="576" w:lineRule="exact"/>
        <w:ind w:firstLine="640" w:firstLineChars="200"/>
        <w:jc w:val="both"/>
        <w:rPr>
          <w:rFonts w:hint="default" w:ascii="Times New Roman" w:hAnsi="Times New Roman" w:eastAsia="黑体" w:cs="Times New Roman"/>
          <w:kern w:val="2"/>
          <w:sz w:val="32"/>
        </w:rPr>
      </w:pPr>
      <w:r>
        <w:rPr>
          <w:rFonts w:hint="default" w:ascii="Times New Roman" w:hAnsi="Times New Roman" w:eastAsia="黑体" w:cs="Times New Roman"/>
          <w:kern w:val="2"/>
          <w:sz w:val="32"/>
        </w:rPr>
        <w:t>九、国有资本经营预算支出决算情况说明</w:t>
      </w:r>
    </w:p>
    <w:p w14:paraId="39A6177E">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2024年度国有资本经营预算财政拨款支出0万元，占本年支出合计的0%。与2023年度相比，国有资本经营预算财政拨款支出持平。</w:t>
      </w:r>
    </w:p>
    <w:p w14:paraId="0E8D5CF8">
      <w:pPr>
        <w:overflowPunct w:val="0"/>
        <w:topLinePunct/>
        <w:spacing w:line="576" w:lineRule="exact"/>
        <w:ind w:firstLine="640" w:firstLineChars="200"/>
        <w:jc w:val="both"/>
        <w:rPr>
          <w:rFonts w:hint="default" w:ascii="Times New Roman" w:hAnsi="Times New Roman" w:eastAsia="黑体" w:cs="Times New Roman"/>
          <w:b/>
          <w:kern w:val="2"/>
          <w:sz w:val="32"/>
        </w:rPr>
      </w:pPr>
      <w:r>
        <w:rPr>
          <w:rFonts w:hint="default" w:ascii="Times New Roman" w:hAnsi="Times New Roman" w:eastAsia="黑体" w:cs="Times New Roman"/>
          <w:color w:val="000000"/>
          <w:kern w:val="2"/>
          <w:sz w:val="32"/>
        </w:rPr>
        <w:t>十</w:t>
      </w:r>
      <w:r>
        <w:rPr>
          <w:rFonts w:hint="default" w:ascii="Times New Roman" w:hAnsi="Times New Roman" w:eastAsia="黑体" w:cs="Times New Roman"/>
          <w:b/>
          <w:kern w:val="2"/>
          <w:sz w:val="32"/>
        </w:rPr>
        <w:t>、</w:t>
      </w:r>
      <w:r>
        <w:rPr>
          <w:rFonts w:hint="default" w:ascii="Times New Roman" w:hAnsi="Times New Roman" w:eastAsia="黑体" w:cs="Times New Roman"/>
          <w:kern w:val="2"/>
          <w:sz w:val="32"/>
        </w:rPr>
        <w:t>其他重要事项的情况说明</w:t>
      </w:r>
    </w:p>
    <w:p w14:paraId="488A58F9">
      <w:pPr>
        <w:overflowPunct w:val="0"/>
        <w:topLinePunct/>
        <w:spacing w:line="576" w:lineRule="exact"/>
        <w:ind w:firstLine="643"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b/>
          <w:color w:val="000000"/>
          <w:kern w:val="2"/>
          <w:sz w:val="32"/>
        </w:rPr>
        <w:t>（一）机关运行经费支出情况</w:t>
      </w:r>
    </w:p>
    <w:p w14:paraId="62609A60">
      <w:pPr>
        <w:overflowPunct w:val="0"/>
        <w:topLinePunct/>
        <w:spacing w:line="576" w:lineRule="exact"/>
        <w:ind w:firstLine="640" w:firstLineChars="200"/>
        <w:jc w:val="both"/>
        <w:rPr>
          <w:rFonts w:hint="default" w:ascii="Times New Roman" w:hAnsi="Times New Roman" w:cs="Times New Roman"/>
          <w:color w:val="000000"/>
          <w:kern w:val="2"/>
          <w:sz w:val="32"/>
          <w:szCs w:val="32"/>
        </w:rPr>
      </w:pPr>
      <w:r>
        <w:rPr>
          <w:rFonts w:hint="default" w:ascii="Times New Roman" w:hAnsi="Times New Roman" w:eastAsia="仿宋_GB2312" w:cs="Times New Roman"/>
          <w:color w:val="000000"/>
          <w:kern w:val="2"/>
          <w:sz w:val="32"/>
        </w:rPr>
        <w:t>2024年，</w:t>
      </w:r>
      <w:bookmarkStart w:id="30" w:name="OLE_LINK18"/>
      <w:r>
        <w:rPr>
          <w:rFonts w:hint="default" w:ascii="Times New Roman" w:hAnsi="Times New Roman" w:eastAsia="仿宋_GB2312" w:cs="Times New Roman"/>
          <w:color w:val="000000"/>
          <w:kern w:val="2"/>
          <w:sz w:val="32"/>
        </w:rPr>
        <w:t>广元市昭化区审计局(本级)</w:t>
      </w:r>
      <w:bookmarkEnd w:id="30"/>
      <w:r>
        <w:rPr>
          <w:rFonts w:hint="default" w:ascii="Times New Roman" w:hAnsi="Times New Roman" w:eastAsia="仿宋_GB2312" w:cs="Times New Roman"/>
          <w:color w:val="000000"/>
          <w:kern w:val="2"/>
          <w:sz w:val="32"/>
        </w:rPr>
        <w:t>机关运行经费支出38.01万元，比2023年度减少3.68万元，下降8.83%。主要原因是</w:t>
      </w:r>
      <w:r>
        <w:rPr>
          <w:rFonts w:hint="default" w:ascii="Times New Roman" w:hAnsi="Times New Roman" w:eastAsia="仿宋_GB2312" w:cs="Times New Roman"/>
          <w:color w:val="000000"/>
          <w:kern w:val="2"/>
          <w:sz w:val="32"/>
          <w:szCs w:val="32"/>
        </w:rPr>
        <w:t>厉行节约。</w:t>
      </w:r>
    </w:p>
    <w:p w14:paraId="1E2EB16A">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（二）政府采购支出情况</w:t>
      </w:r>
    </w:p>
    <w:p w14:paraId="0CF80E2A">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2024年，广元市昭化区审计局(本级)未发生政府采购支出。</w:t>
      </w:r>
    </w:p>
    <w:p w14:paraId="78B1DF74">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（三）国有资产占有使用情况</w:t>
      </w:r>
    </w:p>
    <w:p w14:paraId="7BF18C8F">
      <w:pPr>
        <w:overflowPunct w:val="0"/>
        <w:topLinePunct/>
        <w:spacing w:line="576" w:lineRule="exact"/>
        <w:ind w:firstLine="640" w:firstLineChars="200"/>
        <w:jc w:val="both"/>
        <w:rPr>
          <w:rFonts w:hint="default" w:ascii="Times New Roman" w:hAnsi="Times New Roman" w:eastAsia="仿宋_GB2312" w:cs="Times New Roman"/>
          <w:b/>
          <w:color w:val="FF0000"/>
          <w:kern w:val="2"/>
          <w:sz w:val="32"/>
        </w:rPr>
      </w:pPr>
      <w:r>
        <w:rPr>
          <w:rFonts w:hint="default" w:ascii="Times New Roman" w:hAnsi="Times New Roman" w:eastAsia="仿宋_GB2312" w:cs="Times New Roman"/>
          <w:color w:val="000000"/>
          <w:kern w:val="2"/>
          <w:sz w:val="32"/>
          <w:szCs w:val="24"/>
          <w:lang w:val="en-US"/>
        </w:rPr>
        <w:t>截至2024年12月31日，</w:t>
      </w:r>
      <w:r>
        <w:rPr>
          <w:rFonts w:hint="default" w:ascii="Times New Roman" w:hAnsi="Times New Roman" w:eastAsia="仿宋_GB2312" w:cs="Times New Roman"/>
          <w:color w:val="000000"/>
          <w:kern w:val="2"/>
          <w:sz w:val="32"/>
          <w:szCs w:val="24"/>
          <w:lang w:val="en-US" w:eastAsia="zh-CN"/>
        </w:rPr>
        <w:t>广元市昭化区审计局</w:t>
      </w:r>
      <w:r>
        <w:rPr>
          <w:rFonts w:hint="default" w:ascii="Times New Roman" w:hAnsi="Times New Roman" w:eastAsia="仿宋_GB2312" w:cs="Times New Roman"/>
          <w:color w:val="000000"/>
          <w:kern w:val="2"/>
          <w:sz w:val="32"/>
          <w:szCs w:val="24"/>
          <w:lang w:val="en-US"/>
        </w:rPr>
        <w:t>共有车辆</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辆，其中：主要负责人用车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辆、机要通信用车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辆、应急保障用车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辆、其他用车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辆。单价100万元（含）以上设备（不含车辆）</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台（套）。</w:t>
      </w:r>
    </w:p>
    <w:p w14:paraId="1D9AB179">
      <w:pPr>
        <w:overflowPunct w:val="0"/>
        <w:topLinePunct/>
        <w:spacing w:line="576" w:lineRule="exact"/>
        <w:ind w:firstLine="643" w:firstLineChars="200"/>
        <w:jc w:val="both"/>
        <w:rPr>
          <w:rFonts w:hint="default" w:ascii="Times New Roman" w:hAnsi="Times New Roman" w:eastAsia="仿宋_GB2312" w:cs="Times New Roman"/>
          <w:b/>
          <w:color w:val="000000"/>
          <w:kern w:val="2"/>
          <w:sz w:val="32"/>
        </w:rPr>
      </w:pPr>
      <w:r>
        <w:rPr>
          <w:rFonts w:hint="default" w:ascii="Times New Roman" w:hAnsi="Times New Roman" w:eastAsia="仿宋_GB2312" w:cs="Times New Roman"/>
          <w:b/>
          <w:color w:val="000000"/>
          <w:kern w:val="2"/>
          <w:sz w:val="32"/>
        </w:rPr>
        <w:t>（四）预算绩效管理情况。</w:t>
      </w:r>
    </w:p>
    <w:p w14:paraId="7B7321C8">
      <w:pPr>
        <w:overflowPunct w:val="0"/>
        <w:topLinePunct/>
        <w:spacing w:line="576" w:lineRule="exact"/>
        <w:ind w:firstLine="640" w:firstLineChars="200"/>
        <w:jc w:val="both"/>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根据预算绩效管理要求，本单位在2024年度预算编制阶段，组织对国企国资与政府投资审计项目等</w:t>
      </w:r>
      <w:r>
        <w:rPr>
          <w:rFonts w:hint="default" w:ascii="Times New Roman" w:hAnsi="Times New Roman" w:eastAsia="仿宋_GB2312" w:cs="Times New Roman"/>
          <w:kern w:val="2"/>
          <w:sz w:val="32"/>
          <w:lang w:val="en-US" w:eastAsia="zh-CN"/>
        </w:rPr>
        <w:t>7</w:t>
      </w:r>
      <w:r>
        <w:rPr>
          <w:rFonts w:hint="default" w:ascii="Times New Roman" w:hAnsi="Times New Roman" w:eastAsia="仿宋_GB2312" w:cs="Times New Roman"/>
          <w:kern w:val="2"/>
          <w:sz w:val="32"/>
        </w:rPr>
        <w:t>个项目开展了预算事前绩效评估，对</w:t>
      </w:r>
      <w:r>
        <w:rPr>
          <w:rFonts w:hint="default" w:ascii="Times New Roman" w:hAnsi="Times New Roman" w:eastAsia="仿宋_GB2312" w:cs="Times New Roman"/>
          <w:kern w:val="2"/>
          <w:sz w:val="32"/>
          <w:lang w:val="en-US" w:eastAsia="zh-CN"/>
        </w:rPr>
        <w:t>7</w:t>
      </w:r>
      <w:r>
        <w:rPr>
          <w:rFonts w:hint="default" w:ascii="Times New Roman" w:hAnsi="Times New Roman" w:eastAsia="仿宋_GB2312" w:cs="Times New Roman"/>
          <w:kern w:val="2"/>
          <w:sz w:val="32"/>
        </w:rPr>
        <w:t>个项目编制了绩效目标，预算执行过程中，选取</w:t>
      </w:r>
      <w:r>
        <w:rPr>
          <w:rFonts w:hint="default" w:ascii="Times New Roman" w:hAnsi="Times New Roman" w:eastAsia="仿宋_GB2312" w:cs="Times New Roman"/>
          <w:kern w:val="2"/>
          <w:sz w:val="32"/>
          <w:lang w:val="en-US" w:eastAsia="zh-CN"/>
        </w:rPr>
        <w:t>7</w:t>
      </w:r>
      <w:r>
        <w:rPr>
          <w:rFonts w:hint="default" w:ascii="Times New Roman" w:hAnsi="Times New Roman" w:eastAsia="仿宋_GB2312" w:cs="Times New Roman"/>
          <w:kern w:val="2"/>
          <w:sz w:val="32"/>
        </w:rPr>
        <w:t>个项目开展绩效监控。</w:t>
      </w:r>
    </w:p>
    <w:p w14:paraId="7D667C72">
      <w:pPr>
        <w:overflowPunct w:val="0"/>
        <w:topLinePunct/>
        <w:spacing w:line="576" w:lineRule="exact"/>
        <w:ind w:firstLine="640" w:firstLineChars="200"/>
        <w:jc w:val="both"/>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组织对2024年度一般公共预算全面开展绩效自评，形成</w:t>
      </w:r>
      <w:r>
        <w:rPr>
          <w:rFonts w:hint="default" w:ascii="Times New Roman" w:hAnsi="Times New Roman" w:eastAsia="仿宋_GB2312" w:cs="Times New Roman"/>
          <w:kern w:val="2"/>
          <w:sz w:val="32"/>
          <w:lang w:val="en-US" w:eastAsia="zh-CN"/>
        </w:rPr>
        <w:t>广元市昭化区审计局</w:t>
      </w:r>
      <w:r>
        <w:rPr>
          <w:rFonts w:hint="default" w:ascii="Times New Roman" w:hAnsi="Times New Roman" w:eastAsia="仿宋_GB2312" w:cs="Times New Roman"/>
          <w:kern w:val="2"/>
          <w:sz w:val="32"/>
        </w:rPr>
        <w:t>部门整体（含部门预算项目）绩效自评报告，绩效自评得分为</w:t>
      </w:r>
      <w:r>
        <w:rPr>
          <w:rFonts w:hint="default" w:ascii="Times New Roman" w:hAnsi="Times New Roman" w:eastAsia="仿宋_GB2312" w:cs="Times New Roman"/>
          <w:kern w:val="2"/>
          <w:sz w:val="32"/>
          <w:lang w:val="en-US" w:eastAsia="zh-CN"/>
        </w:rPr>
        <w:t>93</w:t>
      </w:r>
      <w:r>
        <w:rPr>
          <w:rFonts w:hint="default" w:ascii="Times New Roman" w:hAnsi="Times New Roman" w:eastAsia="仿宋_GB2312" w:cs="Times New Roman"/>
          <w:kern w:val="2"/>
          <w:sz w:val="32"/>
        </w:rPr>
        <w:t>分，绩效自评综述等级评定为</w:t>
      </w:r>
      <w:r>
        <w:rPr>
          <w:rFonts w:hint="default" w:ascii="Times New Roman" w:hAnsi="Times New Roman" w:eastAsia="仿宋_GB2312" w:cs="Times New Roman"/>
          <w:kern w:val="2"/>
          <w:sz w:val="32"/>
          <w:lang w:eastAsia="zh-CN"/>
        </w:rPr>
        <w:t>“</w:t>
      </w:r>
      <w:r>
        <w:rPr>
          <w:rFonts w:hint="default" w:ascii="Times New Roman" w:hAnsi="Times New Roman" w:eastAsia="仿宋_GB2312" w:cs="Times New Roman"/>
          <w:kern w:val="2"/>
          <w:sz w:val="32"/>
          <w:lang w:val="en-US" w:eastAsia="zh-CN"/>
        </w:rPr>
        <w:t>优</w:t>
      </w:r>
      <w:r>
        <w:rPr>
          <w:rFonts w:hint="default" w:ascii="Times New Roman" w:hAnsi="Times New Roman" w:eastAsia="仿宋_GB2312" w:cs="Times New Roman"/>
          <w:kern w:val="2"/>
          <w:sz w:val="32"/>
          <w:lang w:eastAsia="zh-CN"/>
        </w:rPr>
        <w:t>”</w:t>
      </w:r>
      <w:r>
        <w:rPr>
          <w:rFonts w:hint="default" w:ascii="Times New Roman" w:hAnsi="Times New Roman" w:eastAsia="仿宋_GB2312" w:cs="Times New Roman"/>
          <w:kern w:val="2"/>
          <w:sz w:val="32"/>
        </w:rPr>
        <w:t>。绩效自评报告详见附件。</w:t>
      </w:r>
    </w:p>
    <w:p w14:paraId="5B0B3DFF">
      <w:pPr>
        <w:keepNext w:val="0"/>
        <w:keepLines w:val="0"/>
        <w:pageBreakBefore w:val="0"/>
        <w:widowControl w:val="0"/>
        <w:kinsoku/>
        <w:wordWrap/>
        <w:overflowPunct w:val="0"/>
        <w:topLinePunct/>
        <w:autoSpaceDE w:val="0"/>
        <w:autoSpaceDN w:val="0"/>
        <w:bidi w:val="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bookmarkStart w:id="31" w:name="_Toc15377225"/>
      <w:bookmarkStart w:id="32" w:name="_Toc15396613"/>
      <w:r>
        <w:rPr>
          <w:rFonts w:hint="default" w:ascii="Times New Roman" w:hAnsi="Times New Roman" w:eastAsia="方正小标宋简体" w:cs="Times New Roman"/>
          <w:color w:val="auto"/>
          <w:sz w:val="44"/>
          <w:szCs w:val="44"/>
          <w:highlight w:val="none"/>
        </w:rPr>
        <w:t>第</w:t>
      </w:r>
      <w:r>
        <w:rPr>
          <w:rFonts w:hint="default" w:ascii="Times New Roman" w:hAnsi="Times New Roman" w:eastAsia="方正小标宋简体" w:cs="Times New Roman"/>
          <w:color w:val="auto"/>
          <w:sz w:val="44"/>
          <w:szCs w:val="44"/>
          <w:highlight w:val="none"/>
          <w:lang w:eastAsia="zh-CN"/>
        </w:rPr>
        <w:t>三</w:t>
      </w:r>
      <w:r>
        <w:rPr>
          <w:rFonts w:hint="default" w:ascii="Times New Roman" w:hAnsi="Times New Roman" w:eastAsia="方正小标宋简体" w:cs="Times New Roman"/>
          <w:color w:val="auto"/>
          <w:sz w:val="44"/>
          <w:szCs w:val="44"/>
          <w:highlight w:val="none"/>
        </w:rPr>
        <w:t>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名词解释</w:t>
      </w:r>
      <w:bookmarkEnd w:id="31"/>
      <w:bookmarkEnd w:id="32"/>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hint="default" w:ascii="Times New Roman" w:hAnsi="Times New Roman" w:cs="Times New Roman"/>
          <w:b/>
          <w:color w:val="auto"/>
          <w:sz w:val="44"/>
          <w:szCs w:val="44"/>
          <w:highlight w:val="none"/>
        </w:rPr>
      </w:pPr>
    </w:p>
    <w:p w14:paraId="3B4B75AE">
      <w:pPr>
        <w:overflowPunct w:val="0"/>
        <w:topLinePunct/>
        <w:spacing w:line="576" w:lineRule="exact"/>
        <w:ind w:firstLine="640" w:firstLineChars="200"/>
        <w:jc w:val="both"/>
        <w:rPr>
          <w:rFonts w:hint="default" w:ascii="Times New Roman" w:hAnsi="Times New Roman" w:eastAsia="仿宋_GB2312" w:cs="Times New Roman"/>
          <w:color w:val="000000"/>
          <w:sz w:val="32"/>
        </w:rPr>
      </w:pPr>
      <w:bookmarkStart w:id="33" w:name="_Toc15396614"/>
      <w:bookmarkStart w:id="34" w:name="_Toc15377226"/>
      <w:r>
        <w:rPr>
          <w:rFonts w:hint="default" w:ascii="Times New Roman" w:hAnsi="Times New Roman" w:eastAsia="仿宋_GB2312" w:cs="Times New Roman"/>
          <w:color w:val="000000"/>
          <w:sz w:val="32"/>
        </w:rPr>
        <w:t>一、财政拨款收入：指单位从同级财政部门取得的财政预算资金。</w:t>
      </w:r>
    </w:p>
    <w:p w14:paraId="3AB2B163">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二、事业收入：指事业单位开展专业业务活动及辅助活动取得的收入。</w:t>
      </w:r>
    </w:p>
    <w:p w14:paraId="4B39B634">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三、经营收入：指事业单位在专业业务活动及其辅助活动之外开展非独立核算经营活动取得的收入。</w:t>
      </w:r>
    </w:p>
    <w:p w14:paraId="55198515">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四、其他收入：指单位取得的除上述收入以外的各项收入。</w:t>
      </w:r>
    </w:p>
    <w:p w14:paraId="4B247EF1">
      <w:pPr>
        <w:pStyle w:val="28"/>
        <w:overflowPunct w:val="0"/>
        <w:topLinePunct/>
        <w:spacing w:line="576" w:lineRule="exact"/>
        <w:ind w:firstLine="640" w:firstLineChars="200"/>
        <w:jc w:val="both"/>
        <w:rPr>
          <w:rFonts w:hint="default" w:ascii="Times New Roman" w:hAnsi="Times New Roman" w:eastAsia="仿宋_GB2312" w:cs="Times New Roman"/>
          <w:color w:val="auto"/>
          <w:kern w:val="2"/>
          <w:sz w:val="32"/>
        </w:rPr>
      </w:pPr>
      <w:r>
        <w:rPr>
          <w:rFonts w:hint="default" w:ascii="Times New Roman" w:hAnsi="Times New Roman" w:eastAsia="仿宋_GB2312" w:cs="Times New Roman"/>
          <w:color w:val="auto"/>
          <w:kern w:val="2"/>
          <w:sz w:val="32"/>
        </w:rPr>
        <w:t>五、</w:t>
      </w:r>
      <w:r>
        <w:rPr>
          <w:rFonts w:hint="default" w:ascii="Times New Roman" w:hAnsi="Times New Roman" w:eastAsia="仿宋_GB2312" w:cs="Times New Roman"/>
          <w:sz w:val="32"/>
        </w:rPr>
        <w:t>使用非财政拨款结余（含专用结余）</w:t>
      </w:r>
      <w:r>
        <w:rPr>
          <w:rFonts w:hint="default" w:ascii="Times New Roman" w:hAnsi="Times New Roman" w:eastAsia="仿宋_GB2312" w:cs="Times New Roman"/>
          <w:color w:val="auto"/>
          <w:sz w:val="32"/>
        </w:rPr>
        <w:t xml:space="preserve">：指事业单位使用以前年度积累的非财政拨款结余弥补当年收支差额的金额。 </w:t>
      </w:r>
    </w:p>
    <w:p w14:paraId="370B8DF3">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 xml:space="preserve">六、年初结转和结余：指以前年度尚未完成、结转到本年按有关规定继续使用的资金。 </w:t>
      </w:r>
    </w:p>
    <w:p w14:paraId="36EFD6D0">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七、结余分配：指事业单位按照会计制度规定缴纳的所得税、提取的专用结余以及转入非财政拨款结余的金额等。</w:t>
      </w:r>
    </w:p>
    <w:p w14:paraId="6F80449B">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八、年末结转和结余：指单位按有关规定结转到下年或以后年度继续使用的资金。</w:t>
      </w:r>
    </w:p>
    <w:p w14:paraId="7948FF7C">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九、一般公共服务支出（类）审计事务（款）行政运行（项）：</w:t>
      </w:r>
      <w:r>
        <w:rPr>
          <w:rFonts w:hint="default" w:ascii="Times New Roman" w:hAnsi="Times New Roman" w:eastAsia="仿宋_GB2312" w:cs="Times New Roman"/>
          <w:color w:val="000000"/>
          <w:kern w:val="2"/>
          <w:sz w:val="32"/>
          <w:lang w:val="en-US" w:eastAsia="zh-CN"/>
        </w:rPr>
        <w:t>反映行政单位（包括实行公务员管理的事业单位）的基本</w:t>
      </w:r>
      <w:r>
        <w:rPr>
          <w:rFonts w:hint="default" w:ascii="Times New Roman" w:hAnsi="Times New Roman" w:eastAsia="仿宋_GB2312" w:cs="Times New Roman"/>
          <w:color w:val="000000"/>
          <w:kern w:val="2"/>
          <w:sz w:val="32"/>
        </w:rPr>
        <w:t>支出。</w:t>
      </w:r>
    </w:p>
    <w:p w14:paraId="0D0E2775">
      <w:pPr>
        <w:overflowPunct w:val="0"/>
        <w:topLinePunct/>
        <w:spacing w:line="576" w:lineRule="exact"/>
        <w:ind w:firstLine="640" w:firstLineChars="200"/>
        <w:jc w:val="both"/>
        <w:rPr>
          <w:rFonts w:hint="default" w:ascii="Times New Roman" w:hAnsi="Times New Roman" w:eastAsia="仿宋_GB2312" w:cs="Times New Roman"/>
          <w:color w:val="000000"/>
          <w:kern w:val="2"/>
          <w:sz w:val="32"/>
          <w:lang w:val="en-US" w:eastAsia="zh-CN"/>
        </w:rPr>
      </w:pPr>
      <w:r>
        <w:rPr>
          <w:rFonts w:hint="default" w:ascii="Times New Roman" w:hAnsi="Times New Roman" w:eastAsia="仿宋_GB2312" w:cs="Times New Roman"/>
          <w:color w:val="000000"/>
          <w:kern w:val="2"/>
          <w:sz w:val="32"/>
        </w:rPr>
        <w:t>十、一般公共服务支出（类）审计事务（款）审计业务（项）：</w:t>
      </w:r>
      <w:r>
        <w:rPr>
          <w:rFonts w:hint="default" w:ascii="Times New Roman" w:hAnsi="Times New Roman" w:eastAsia="仿宋_GB2312" w:cs="Times New Roman"/>
          <w:color w:val="000000"/>
          <w:kern w:val="2"/>
          <w:sz w:val="32"/>
          <w:lang w:val="en-US" w:eastAsia="zh-CN"/>
        </w:rPr>
        <w:t>反映各级审计机构、审计专项审计调查、聘请社会审计组织人员及技术专家等方面的支出。</w:t>
      </w:r>
    </w:p>
    <w:p w14:paraId="7E4DC953">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十一、一般公共服务支出（类）审计事务（款）事业运行（项）：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事业单位的基本支出，不包括行政单位</w:t>
      </w:r>
      <w:r>
        <w:rPr>
          <w:rFonts w:hint="default" w:ascii="Times New Roman" w:hAnsi="Times New Roman" w:eastAsia="仿宋_GB2312" w:cs="Times New Roman"/>
          <w:color w:val="000000"/>
          <w:kern w:val="2"/>
          <w:sz w:val="32"/>
          <w:lang w:val="en-US" w:eastAsia="zh-CN"/>
        </w:rPr>
        <w:t>（包括实行公务员管理的事业单位）</w:t>
      </w:r>
      <w:r>
        <w:rPr>
          <w:rFonts w:hint="default" w:ascii="Times New Roman" w:hAnsi="Times New Roman" w:eastAsia="仿宋_GB2312" w:cs="Times New Roman"/>
          <w:color w:val="000000"/>
          <w:kern w:val="2"/>
          <w:sz w:val="32"/>
        </w:rPr>
        <w:t>、后勤服务中心、医务室等附属事业单位。</w:t>
      </w:r>
    </w:p>
    <w:p w14:paraId="23E51F64">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十二、社会保障和就业支出（类）行政事业单位养老支出（款）行政单位离退休（项）: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行政单位</w:t>
      </w:r>
      <w:r>
        <w:rPr>
          <w:rFonts w:hint="default" w:ascii="Times New Roman" w:hAnsi="Times New Roman" w:eastAsia="仿宋_GB2312" w:cs="Times New Roman"/>
          <w:color w:val="000000"/>
          <w:kern w:val="2"/>
          <w:sz w:val="32"/>
          <w:lang w:val="en-US" w:eastAsia="zh-CN"/>
        </w:rPr>
        <w:t>（包括实行公务员管理的事业单位）开支的离退休经费</w:t>
      </w:r>
      <w:r>
        <w:rPr>
          <w:rFonts w:hint="default" w:ascii="Times New Roman" w:hAnsi="Times New Roman" w:eastAsia="仿宋_GB2312" w:cs="Times New Roman"/>
          <w:color w:val="000000"/>
          <w:kern w:val="2"/>
          <w:sz w:val="32"/>
        </w:rPr>
        <w:t>。</w:t>
      </w:r>
    </w:p>
    <w:p w14:paraId="5A5017EC">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lang w:val="en-US" w:eastAsia="zh-CN"/>
        </w:rPr>
        <w:t>十三、</w:t>
      </w:r>
      <w:r>
        <w:rPr>
          <w:rFonts w:hint="default" w:ascii="Times New Roman" w:hAnsi="Times New Roman" w:eastAsia="仿宋_GB2312" w:cs="Times New Roman"/>
          <w:color w:val="000000"/>
          <w:kern w:val="2"/>
          <w:sz w:val="32"/>
        </w:rPr>
        <w:t>社会保障和就业支出（类）行政事业单位养老支出（款）机关事业单位基本养老保险缴费支出（项）: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机关事业单位实施养老保险制度由单位缴纳的基本养老保险费支出。</w:t>
      </w:r>
    </w:p>
    <w:p w14:paraId="6A2634BF">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lang w:val="en-US" w:eastAsia="zh-CN"/>
        </w:rPr>
        <w:t>十四、</w:t>
      </w:r>
      <w:r>
        <w:rPr>
          <w:rFonts w:hint="default" w:ascii="Times New Roman" w:hAnsi="Times New Roman" w:eastAsia="仿宋_GB2312" w:cs="Times New Roman"/>
          <w:color w:val="000000"/>
          <w:kern w:val="2"/>
          <w:sz w:val="32"/>
        </w:rPr>
        <w:t>社会保障和就业支出（类）行政事业单位养老支出（款）机关事业单位职业年金缴费支出（项）: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机关事业单位实施养老保险制度由单位</w:t>
      </w:r>
      <w:r>
        <w:rPr>
          <w:rFonts w:hint="default" w:ascii="Times New Roman" w:hAnsi="Times New Roman" w:eastAsia="仿宋_GB2312" w:cs="Times New Roman"/>
          <w:color w:val="000000"/>
          <w:kern w:val="2"/>
          <w:sz w:val="32"/>
          <w:lang w:val="en-US" w:eastAsia="zh-CN"/>
        </w:rPr>
        <w:t>实际</w:t>
      </w:r>
      <w:r>
        <w:rPr>
          <w:rFonts w:hint="default" w:ascii="Times New Roman" w:hAnsi="Times New Roman" w:eastAsia="仿宋_GB2312" w:cs="Times New Roman"/>
          <w:color w:val="000000"/>
          <w:kern w:val="2"/>
          <w:sz w:val="32"/>
        </w:rPr>
        <w:t>缴纳的</w:t>
      </w:r>
      <w:r>
        <w:rPr>
          <w:rFonts w:hint="default" w:ascii="Times New Roman" w:hAnsi="Times New Roman" w:eastAsia="仿宋_GB2312" w:cs="Times New Roman"/>
          <w:color w:val="000000"/>
          <w:kern w:val="2"/>
          <w:sz w:val="32"/>
          <w:lang w:val="en-US" w:eastAsia="zh-CN"/>
        </w:rPr>
        <w:t>职业年金</w:t>
      </w:r>
      <w:r>
        <w:rPr>
          <w:rFonts w:hint="default" w:ascii="Times New Roman" w:hAnsi="Times New Roman" w:eastAsia="仿宋_GB2312" w:cs="Times New Roman"/>
          <w:color w:val="000000"/>
          <w:kern w:val="2"/>
          <w:sz w:val="32"/>
        </w:rPr>
        <w:t>支出</w:t>
      </w:r>
      <w:r>
        <w:rPr>
          <w:rFonts w:hint="default" w:ascii="Times New Roman" w:hAnsi="Times New Roman" w:eastAsia="仿宋_GB2312" w:cs="Times New Roman"/>
          <w:color w:val="000000"/>
          <w:kern w:val="2"/>
          <w:sz w:val="32"/>
          <w:lang w:eastAsia="zh-CN"/>
        </w:rPr>
        <w:t>（</w:t>
      </w:r>
      <w:r>
        <w:rPr>
          <w:rFonts w:hint="default" w:ascii="Times New Roman" w:hAnsi="Times New Roman" w:eastAsia="仿宋_GB2312" w:cs="Times New Roman"/>
          <w:color w:val="000000"/>
          <w:kern w:val="2"/>
          <w:sz w:val="32"/>
          <w:lang w:val="en-US" w:eastAsia="zh-CN"/>
        </w:rPr>
        <w:t>含职业年金补记支出</w:t>
      </w:r>
      <w:r>
        <w:rPr>
          <w:rFonts w:hint="default" w:ascii="Times New Roman" w:hAnsi="Times New Roman" w:eastAsia="仿宋_GB2312" w:cs="Times New Roman"/>
          <w:color w:val="000000"/>
          <w:kern w:val="2"/>
          <w:sz w:val="32"/>
          <w:lang w:eastAsia="zh-CN"/>
        </w:rPr>
        <w:t>）</w:t>
      </w:r>
      <w:r>
        <w:rPr>
          <w:rFonts w:hint="default" w:ascii="Times New Roman" w:hAnsi="Times New Roman" w:eastAsia="仿宋_GB2312" w:cs="Times New Roman"/>
          <w:color w:val="000000"/>
          <w:kern w:val="2"/>
          <w:sz w:val="32"/>
        </w:rPr>
        <w:t>。</w:t>
      </w:r>
    </w:p>
    <w:p w14:paraId="30F8A640">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lang w:val="en-US" w:eastAsia="zh-CN"/>
        </w:rPr>
        <w:t>十五、</w:t>
      </w:r>
      <w:r>
        <w:rPr>
          <w:rFonts w:hint="default" w:ascii="Times New Roman" w:hAnsi="Times New Roman" w:eastAsia="仿宋_GB2312" w:cs="Times New Roman"/>
          <w:color w:val="000000"/>
          <w:kern w:val="2"/>
          <w:sz w:val="32"/>
        </w:rPr>
        <w:t>社会保障和就业支出（类）其他社会保障和就业支出（款）其他社会保障和就业支出（项）:</w:t>
      </w:r>
      <w:r>
        <w:rPr>
          <w:rFonts w:hint="default" w:ascii="Times New Roman" w:hAnsi="Times New Roman" w:eastAsia="仿宋_GB2312" w:cs="Times New Roman"/>
          <w:color w:val="000000"/>
          <w:kern w:val="2"/>
          <w:sz w:val="32"/>
          <w:lang w:val="en-US" w:eastAsia="zh-CN"/>
        </w:rPr>
        <w:t>反映除上述项目以外其他用于社会保障和就业方面的支出</w:t>
      </w:r>
      <w:r>
        <w:rPr>
          <w:rFonts w:hint="default" w:ascii="Times New Roman" w:hAnsi="Times New Roman" w:eastAsia="仿宋_GB2312" w:cs="Times New Roman"/>
          <w:color w:val="000000"/>
          <w:kern w:val="2"/>
          <w:sz w:val="32"/>
        </w:rPr>
        <w:t>。</w:t>
      </w:r>
    </w:p>
    <w:p w14:paraId="1DC91BEA">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十</w:t>
      </w:r>
      <w:r>
        <w:rPr>
          <w:rFonts w:hint="default" w:ascii="Times New Roman" w:hAnsi="Times New Roman" w:eastAsia="仿宋_GB2312" w:cs="Times New Roman"/>
          <w:color w:val="000000"/>
          <w:kern w:val="2"/>
          <w:sz w:val="32"/>
          <w:lang w:val="en-US" w:eastAsia="zh-CN"/>
        </w:rPr>
        <w:t>六</w:t>
      </w:r>
      <w:r>
        <w:rPr>
          <w:rFonts w:hint="default" w:ascii="Times New Roman" w:hAnsi="Times New Roman" w:eastAsia="仿宋_GB2312" w:cs="Times New Roman"/>
          <w:color w:val="000000"/>
          <w:kern w:val="2"/>
          <w:sz w:val="32"/>
        </w:rPr>
        <w:t>、卫生健康支出（类）行政事业单位医疗（款）事业单位医疗（项）：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财政部门安排的事业单位基本医疗保险缴费经费，未参加医疗保险的事业单位的公费医疗经费，按国家规定享受离休人员待遇的医疗经费。</w:t>
      </w:r>
    </w:p>
    <w:p w14:paraId="3BE16D03">
      <w:pPr>
        <w:overflowPunct w:val="0"/>
        <w:topLinePunct/>
        <w:spacing w:line="576" w:lineRule="exact"/>
        <w:ind w:firstLine="640" w:firstLineChars="200"/>
        <w:jc w:val="both"/>
        <w:rPr>
          <w:rFonts w:hint="default" w:ascii="Times New Roman" w:hAnsi="Times New Roman" w:eastAsia="仿宋_GB2312" w:cs="Times New Roman"/>
          <w:i/>
          <w:color w:val="000000"/>
          <w:kern w:val="2"/>
          <w:sz w:val="32"/>
        </w:rPr>
      </w:pPr>
      <w:r>
        <w:rPr>
          <w:rFonts w:hint="default" w:ascii="Times New Roman" w:hAnsi="Times New Roman" w:eastAsia="仿宋_GB2312" w:cs="Times New Roman"/>
          <w:color w:val="000000"/>
          <w:kern w:val="2"/>
          <w:sz w:val="32"/>
        </w:rPr>
        <w:t>十</w:t>
      </w:r>
      <w:r>
        <w:rPr>
          <w:rFonts w:hint="default" w:ascii="Times New Roman" w:hAnsi="Times New Roman" w:eastAsia="仿宋_GB2312" w:cs="Times New Roman"/>
          <w:color w:val="000000"/>
          <w:kern w:val="2"/>
          <w:sz w:val="32"/>
          <w:lang w:val="en-US" w:eastAsia="zh-CN"/>
        </w:rPr>
        <w:t>七</w:t>
      </w:r>
      <w:r>
        <w:rPr>
          <w:rFonts w:hint="default" w:ascii="Times New Roman" w:hAnsi="Times New Roman" w:eastAsia="仿宋_GB2312" w:cs="Times New Roman"/>
          <w:color w:val="000000"/>
          <w:kern w:val="2"/>
          <w:sz w:val="32"/>
        </w:rPr>
        <w:t>、住房保障支出（类）住房改革支出（款）住房公积金（项）：</w:t>
      </w:r>
      <w:r>
        <w:rPr>
          <w:rFonts w:hint="default" w:ascii="Times New Roman" w:hAnsi="Times New Roman" w:eastAsia="仿宋_GB2312" w:cs="Times New Roman"/>
          <w:color w:val="000000"/>
          <w:kern w:val="2"/>
          <w:sz w:val="32"/>
          <w:lang w:val="en-US" w:eastAsia="zh-CN"/>
        </w:rPr>
        <w:t>反映</w:t>
      </w:r>
      <w:r>
        <w:rPr>
          <w:rFonts w:hint="default" w:ascii="Times New Roman" w:hAnsi="Times New Roman" w:eastAsia="仿宋_GB2312" w:cs="Times New Roman"/>
          <w:color w:val="000000"/>
          <w:kern w:val="2"/>
          <w:sz w:val="32"/>
        </w:rPr>
        <w:t>行政事业单位按人力资源和社会保障部、财政部规定的基本工资和津贴补贴以及规定比例为职工缴纳的住房公积金。</w:t>
      </w:r>
    </w:p>
    <w:p w14:paraId="4A30F4A1">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kern w:val="2"/>
          <w:sz w:val="32"/>
        </w:rPr>
        <w:t>十</w:t>
      </w:r>
      <w:r>
        <w:rPr>
          <w:rFonts w:hint="default" w:ascii="Times New Roman" w:hAnsi="Times New Roman" w:eastAsia="仿宋_GB2312" w:cs="Times New Roman"/>
          <w:kern w:val="2"/>
          <w:sz w:val="32"/>
          <w:lang w:val="en-US" w:eastAsia="zh-CN"/>
        </w:rPr>
        <w:t>八</w:t>
      </w:r>
      <w:r>
        <w:rPr>
          <w:rFonts w:hint="default" w:ascii="Times New Roman" w:hAnsi="Times New Roman" w:eastAsia="仿宋_GB2312" w:cs="Times New Roman"/>
          <w:kern w:val="2"/>
          <w:sz w:val="32"/>
        </w:rPr>
        <w:t>、基本支出：指为保障机构正常运转、完成日常工作任务而发生的人员支出和公用支出。</w:t>
      </w:r>
    </w:p>
    <w:p w14:paraId="31FB5ED7">
      <w:pPr>
        <w:overflowPunct w:val="0"/>
        <w:topLinePunct/>
        <w:spacing w:line="576" w:lineRule="exact"/>
        <w:ind w:firstLine="640" w:firstLineChars="200"/>
        <w:jc w:val="both"/>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十</w:t>
      </w:r>
      <w:r>
        <w:rPr>
          <w:rFonts w:hint="default" w:ascii="Times New Roman" w:hAnsi="Times New Roman" w:eastAsia="仿宋_GB2312" w:cs="Times New Roman"/>
          <w:color w:val="000000"/>
          <w:kern w:val="2"/>
          <w:sz w:val="32"/>
          <w:lang w:val="en-US" w:eastAsia="zh-CN"/>
        </w:rPr>
        <w:t>九</w:t>
      </w:r>
      <w:r>
        <w:rPr>
          <w:rFonts w:hint="default" w:ascii="Times New Roman" w:hAnsi="Times New Roman" w:eastAsia="仿宋_GB2312" w:cs="Times New Roman"/>
          <w:color w:val="000000"/>
          <w:kern w:val="2"/>
          <w:sz w:val="32"/>
        </w:rPr>
        <w:t xml:space="preserve">、项目支出：指在基本支出之外为完成特定行政任务和事业发展目标所发生的支出。 </w:t>
      </w:r>
    </w:p>
    <w:p w14:paraId="62C1FDC1">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二</w:t>
      </w:r>
      <w:r>
        <w:rPr>
          <w:rFonts w:hint="default" w:ascii="Times New Roman" w:hAnsi="Times New Roman" w:eastAsia="仿宋_GB2312" w:cs="Times New Roman"/>
          <w:color w:val="000000"/>
          <w:sz w:val="32"/>
        </w:rPr>
        <w:t>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2509D8">
      <w:pPr>
        <w:overflowPunct w:val="0"/>
        <w:topLinePunct/>
        <w:spacing w:line="576" w:lineRule="exact"/>
        <w:ind w:firstLine="640" w:firstLineChars="200"/>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二</w:t>
      </w:r>
      <w:r>
        <w:rPr>
          <w:rFonts w:hint="default" w:ascii="Times New Roman" w:hAnsi="Times New Roman" w:eastAsia="仿宋_GB2312" w:cs="Times New Roman"/>
          <w:color w:val="000000"/>
          <w:sz w:val="32"/>
        </w:rPr>
        <w:t>十</w:t>
      </w:r>
      <w:r>
        <w:rPr>
          <w:rFonts w:hint="default" w:ascii="Times New Roman" w:hAnsi="Times New Roman" w:eastAsia="仿宋_GB2312" w:cs="Times New Roman"/>
          <w:color w:val="000000"/>
          <w:sz w:val="32"/>
          <w:lang w:val="en-US" w:eastAsia="zh-CN"/>
        </w:rPr>
        <w:t>一</w:t>
      </w:r>
      <w:r>
        <w:rPr>
          <w:rFonts w:hint="default" w:ascii="Times New Roman" w:hAnsi="Times New Roman" w:eastAsia="仿宋_GB2312" w:cs="Times New Roman"/>
          <w:color w:val="000000"/>
          <w:sz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650F28F">
      <w:pPr>
        <w:keepNext w:val="0"/>
        <w:keepLines w:val="0"/>
        <w:pageBreakBefore w:val="0"/>
        <w:widowControl w:val="0"/>
        <w:kinsoku/>
        <w:wordWrap/>
        <w:overflowPunct w:val="0"/>
        <w:topLinePunct/>
        <w:autoSpaceDE w:val="0"/>
        <w:autoSpaceDN w:val="0"/>
        <w:bidi w:val="0"/>
        <w:textAlignment w:val="auto"/>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bookmarkEnd w:id="33"/>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lang w:eastAsia="zh-CN"/>
        </w:rPr>
      </w:pPr>
      <w:bookmarkStart w:id="35" w:name="_Toc15396618"/>
      <w:r>
        <w:rPr>
          <w:rFonts w:hint="default" w:ascii="Times New Roman" w:hAnsi="Times New Roman" w:eastAsia="方正小标宋简体" w:cs="Times New Roman"/>
          <w:color w:val="auto"/>
          <w:sz w:val="44"/>
          <w:szCs w:val="44"/>
          <w:highlight w:val="none"/>
        </w:rPr>
        <w:t>第四部分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附件</w:t>
      </w:r>
    </w:p>
    <w:p w14:paraId="15F75060">
      <w:pPr>
        <w:keepNext w:val="0"/>
        <w:keepLines w:val="0"/>
        <w:pageBreakBefore w:val="0"/>
        <w:widowControl w:val="0"/>
        <w:kinsoku/>
        <w:wordWrap/>
        <w:overflowPunct w:val="0"/>
        <w:topLinePunct/>
        <w:autoSpaceDE w:val="0"/>
        <w:autoSpaceDN w:val="0"/>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4EDF74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4"/>
          <w:szCs w:val="44"/>
          <w:lang w:eastAsia="zh-CN"/>
        </w:rPr>
      </w:pPr>
      <w:r>
        <w:rPr>
          <w:rFonts w:hint="default" w:ascii="Times New Roman" w:hAnsi="Times New Roman" w:eastAsia="方正小标宋简体" w:cs="Times New Roman"/>
          <w:color w:val="auto"/>
          <w:w w:val="100"/>
          <w:sz w:val="44"/>
          <w:szCs w:val="44"/>
          <w:lang w:eastAsia="zh-CN"/>
        </w:rPr>
        <w:t>广元市昭化区审计局</w:t>
      </w:r>
    </w:p>
    <w:p w14:paraId="0241DC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关于202</w:t>
      </w:r>
      <w:r>
        <w:rPr>
          <w:rFonts w:hint="default"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rPr>
        <w:t>年部门整体支出绩效自评</w:t>
      </w:r>
      <w:r>
        <w:rPr>
          <w:rFonts w:hint="default" w:ascii="Times New Roman" w:hAnsi="Times New Roman" w:eastAsia="方正小标宋简体" w:cs="Times New Roman"/>
          <w:b w:val="0"/>
          <w:bCs w:val="0"/>
          <w:sz w:val="44"/>
          <w:szCs w:val="44"/>
          <w:lang w:val="en-US" w:eastAsia="zh-CN"/>
        </w:rPr>
        <w:t>情况</w:t>
      </w:r>
      <w:r>
        <w:rPr>
          <w:rFonts w:hint="default" w:ascii="Times New Roman" w:hAnsi="Times New Roman" w:eastAsia="方正小标宋简体" w:cs="Times New Roman"/>
          <w:b w:val="0"/>
          <w:bCs w:val="0"/>
          <w:sz w:val="44"/>
          <w:szCs w:val="44"/>
          <w:lang w:eastAsia="zh-CN"/>
        </w:rPr>
        <w:t>的函</w:t>
      </w:r>
    </w:p>
    <w:p w14:paraId="4CA28EDF">
      <w:pPr>
        <w:keepNext w:val="0"/>
        <w:keepLines w:val="0"/>
        <w:pageBreakBefore w:val="0"/>
        <w:widowControl w:val="0"/>
        <w:kinsoku/>
        <w:wordWrap/>
        <w:overflowPunct/>
        <w:topLinePunct w:val="0"/>
        <w:autoSpaceDE/>
        <w:autoSpaceDN/>
        <w:bidi w:val="0"/>
        <w:adjustRightInd w:val="0"/>
        <w:snapToGrid w:val="0"/>
        <w:spacing w:line="576" w:lineRule="exact"/>
        <w:textAlignment w:val="baseline"/>
        <w:rPr>
          <w:rFonts w:hint="default" w:ascii="Times New Roman" w:hAnsi="Times New Roman" w:eastAsia="仿宋_GB2312" w:cs="Times New Roman"/>
          <w:sz w:val="32"/>
          <w:szCs w:val="32"/>
          <w:lang w:val="en-US" w:eastAsia="zh-CN"/>
        </w:rPr>
      </w:pPr>
    </w:p>
    <w:p w14:paraId="16AA385D">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区财政局：</w:t>
      </w:r>
    </w:p>
    <w:p w14:paraId="7393AF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zh-CN"/>
        </w:rPr>
        <w:t>贵单位《关于开展202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zh-CN"/>
        </w:rPr>
        <w:t>年</w:t>
      </w:r>
      <w:r>
        <w:rPr>
          <w:rFonts w:hint="default" w:ascii="Times New Roman" w:hAnsi="Times New Roman" w:eastAsia="仿宋_GB2312" w:cs="Times New Roman"/>
          <w:b w:val="0"/>
          <w:bCs w:val="0"/>
          <w:sz w:val="32"/>
          <w:szCs w:val="32"/>
          <w:lang w:val="en-US" w:eastAsia="zh-CN"/>
        </w:rPr>
        <w:t>全区预算绩效自评</w:t>
      </w:r>
      <w:r>
        <w:rPr>
          <w:rFonts w:hint="default" w:ascii="Times New Roman" w:hAnsi="Times New Roman" w:eastAsia="仿宋_GB2312" w:cs="Times New Roman"/>
          <w:b w:val="0"/>
          <w:bCs w:val="0"/>
          <w:sz w:val="32"/>
          <w:szCs w:val="32"/>
          <w:lang w:val="zh-CN"/>
        </w:rPr>
        <w:t>工作的通知》（昭财发</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zh-CN"/>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zh-CN"/>
        </w:rPr>
        <w:t>号）已收悉，我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zh-CN"/>
        </w:rPr>
        <w:t>立即组织专人开展202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zh-CN"/>
        </w:rPr>
        <w:t>年</w:t>
      </w:r>
      <w:r>
        <w:rPr>
          <w:rFonts w:hint="default" w:ascii="Times New Roman" w:hAnsi="Times New Roman"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lang w:val="zh-CN"/>
        </w:rPr>
        <w:t>部门</w:t>
      </w:r>
      <w:r>
        <w:rPr>
          <w:rFonts w:hint="default" w:ascii="Times New Roman" w:hAnsi="Times New Roman" w:eastAsia="仿宋_GB2312" w:cs="Times New Roman"/>
          <w:b w:val="0"/>
          <w:bCs w:val="0"/>
          <w:sz w:val="32"/>
          <w:szCs w:val="32"/>
          <w:lang w:val="en-US" w:eastAsia="zh-CN"/>
        </w:rPr>
        <w:t>整体支出</w:t>
      </w:r>
      <w:r>
        <w:rPr>
          <w:rFonts w:hint="default" w:ascii="Times New Roman" w:hAnsi="Times New Roman" w:eastAsia="仿宋_GB2312" w:cs="Times New Roman"/>
          <w:b w:val="0"/>
          <w:bCs w:val="0"/>
          <w:sz w:val="32"/>
          <w:szCs w:val="32"/>
          <w:lang w:val="zh-CN"/>
        </w:rPr>
        <w:t>绩效评估，现将我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zh-CN"/>
        </w:rPr>
        <w:t>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zh-CN"/>
        </w:rPr>
        <w:t>年</w:t>
      </w:r>
      <w:r>
        <w:rPr>
          <w:rFonts w:hint="default" w:ascii="Times New Roman" w:hAnsi="Times New Roman" w:eastAsia="仿宋_GB2312" w:cs="Times New Roman"/>
          <w:b w:val="0"/>
          <w:bCs w:val="0"/>
          <w:sz w:val="32"/>
          <w:szCs w:val="32"/>
        </w:rPr>
        <w:t>部门整体支出绩效</w:t>
      </w:r>
      <w:r>
        <w:rPr>
          <w:rFonts w:hint="default" w:ascii="Times New Roman" w:hAnsi="Times New Roman" w:eastAsia="仿宋_GB2312" w:cs="Times New Roman"/>
          <w:color w:val="auto"/>
          <w:sz w:val="32"/>
          <w:szCs w:val="32"/>
          <w:lang w:eastAsia="zh-CN"/>
        </w:rPr>
        <w:t>自评</w:t>
      </w:r>
      <w:r>
        <w:rPr>
          <w:rFonts w:hint="default"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lang w:eastAsia="zh-CN"/>
        </w:rPr>
        <w:t>函告如下</w:t>
      </w:r>
      <w:r>
        <w:rPr>
          <w:rFonts w:hint="default" w:ascii="Times New Roman" w:hAnsi="Times New Roman" w:eastAsia="仿宋_GB2312" w:cs="Times New Roman"/>
          <w:b w:val="0"/>
          <w:bCs w:val="0"/>
          <w:sz w:val="32"/>
          <w:szCs w:val="32"/>
        </w:rPr>
        <w:t>：</w:t>
      </w:r>
    </w:p>
    <w:p w14:paraId="19FA3D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预算</w:t>
      </w:r>
      <w:r>
        <w:rPr>
          <w:rFonts w:hint="default" w:ascii="Times New Roman" w:hAnsi="Times New Roman" w:eastAsia="黑体" w:cs="Times New Roman"/>
          <w:b w:val="0"/>
          <w:bCs w:val="0"/>
          <w:sz w:val="32"/>
          <w:szCs w:val="32"/>
        </w:rPr>
        <w:t>单位概况</w:t>
      </w:r>
    </w:p>
    <w:p w14:paraId="3FFC10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机构</w:t>
      </w:r>
      <w:r>
        <w:rPr>
          <w:rFonts w:hint="default" w:ascii="Times New Roman" w:hAnsi="Times New Roman" w:eastAsia="楷体_GB2312" w:cs="Times New Roman"/>
          <w:b w:val="0"/>
          <w:bCs w:val="0"/>
          <w:sz w:val="32"/>
          <w:szCs w:val="32"/>
          <w:lang w:val="en-US" w:eastAsia="zh-CN"/>
        </w:rPr>
        <w:t>组成</w:t>
      </w:r>
    </w:p>
    <w:p w14:paraId="333BC26A">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我局内设一室六股共7个股级机构，下设2个事业机构，无下属二级预算单位。主要包括：广元市昭化区审计局机关、广元市昭化区政府投资审计中心、广元市昭化区审计信息中心。</w:t>
      </w:r>
    </w:p>
    <w:p w14:paraId="2C1C363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机构职能</w:t>
      </w:r>
    </w:p>
    <w:p w14:paraId="14A5FC3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sectPr>
          <w:pgSz w:w="11906" w:h="16838"/>
          <w:pgMar w:top="2098" w:right="1474" w:bottom="1984" w:left="1587" w:header="851" w:footer="1417" w:gutter="0"/>
          <w:pgNumType w:fmt="decimal"/>
          <w:cols w:space="720" w:num="1"/>
          <w:rtlGutter w:val="0"/>
          <w:docGrid w:type="lines" w:linePitch="322" w:charSpace="0"/>
        </w:sectPr>
      </w:pPr>
      <w:r>
        <w:rPr>
          <w:rFonts w:hint="default" w:ascii="Times New Roman" w:hAnsi="Times New Roman" w:eastAsia="仿宋_GB2312" w:cs="Times New Roman"/>
          <w:b w:val="0"/>
          <w:bCs w:val="0"/>
          <w:color w:val="000000"/>
          <w:sz w:val="32"/>
          <w:szCs w:val="32"/>
          <w:lang w:val="en-US" w:eastAsia="zh-CN"/>
        </w:rPr>
        <w:t>主要职能职责：区审计局主管全区审计工作；贯彻执行国家有关审计工作的方针政策和法律法规；向区委审计委员会提出年</w:t>
      </w:r>
    </w:p>
    <w:p w14:paraId="01FEE36B">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度区级预算执行和其他财政支出情况审计报告；直接审计国家、省、市、区有关重大政策措施贯彻落实情况等事项，出具审计报告，在法定职权范围内作出审计决定；按规定对区管党政主要领导干部及其他单位主要负责人实施经济责任审计和自然资源资产离任审计；组织实施对国家财经法律法规、规章、政策和宏观调控措施执行情况、财政预算管理及国有资产管理使用等与区级财政收支有关的特定事项进行专项审计调查；依法检查审计决定执行情况，督促整改审计查出的问题，依法办理被审计单位对审计决定提请行政复议、行政诉讼或区政府裁决中的有关事项，协助配合有关部门查处相关重大案件；指导和监督内部审计工作，核查社会审计机构对依法属于审计监督对象的单位出具的相关审计报告；组织开展审计领域内的国际交流与合作；负责职责范围内的安全生产和职业健康、生态环境保护、审批服务便民化等工作；完成区委、区政府交办的其他任务；进一步理顺内部职责关系，优化审计资源配置，充实一线审计力量，构建集中统一、全面覆盖、权威高效的审计监督体系。</w:t>
      </w:r>
    </w:p>
    <w:p w14:paraId="24819A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人员概况</w:t>
      </w:r>
    </w:p>
    <w:p w14:paraId="2F1B6C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年末总编制23个，其中行政编制11个、事业编制11个、工勤事编1个。年末在编在职</w:t>
      </w:r>
      <w:r>
        <w:rPr>
          <w:rFonts w:hint="default" w:ascii="Times New Roman" w:hAnsi="Times New Roman" w:cs="Times New Roman"/>
          <w:sz w:val="32"/>
          <w:szCs w:val="32"/>
          <w:lang w:val="en-US" w:eastAsia="zh-CN"/>
        </w:rPr>
        <w:t>22</w:t>
      </w:r>
      <w:r>
        <w:rPr>
          <w:rFonts w:hint="default" w:ascii="Times New Roman" w:hAnsi="Times New Roman" w:eastAsia="仿宋_GB2312" w:cs="Times New Roman"/>
          <w:sz w:val="32"/>
          <w:szCs w:val="32"/>
          <w:lang w:val="en-US" w:eastAsia="zh-CN"/>
        </w:rPr>
        <w:t>人，其中公务员</w:t>
      </w:r>
      <w:r>
        <w:rPr>
          <w:rFonts w:hint="default" w:ascii="Times New Roman" w:hAnsi="Times New Roman" w:cs="Times New Roman"/>
          <w:sz w:val="32"/>
          <w:szCs w:val="32"/>
          <w:lang w:val="en-US" w:eastAsia="zh-CN"/>
        </w:rPr>
        <w:t>10</w:t>
      </w:r>
      <w:r>
        <w:rPr>
          <w:rFonts w:hint="default" w:ascii="Times New Roman" w:hAnsi="Times New Roman" w:eastAsia="仿宋_GB2312" w:cs="Times New Roman"/>
          <w:sz w:val="32"/>
          <w:szCs w:val="32"/>
          <w:lang w:val="en-US" w:eastAsia="zh-CN"/>
        </w:rPr>
        <w:t>人、事业人员1</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人、工勤人员1人。退休人员</w:t>
      </w: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人。</w:t>
      </w:r>
    </w:p>
    <w:p w14:paraId="421647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val="en-US" w:eastAsia="zh-CN"/>
        </w:rPr>
        <w:t>预算单位</w:t>
      </w:r>
      <w:r>
        <w:rPr>
          <w:rFonts w:hint="default" w:ascii="Times New Roman" w:hAnsi="Times New Roman" w:eastAsia="黑体" w:cs="Times New Roman"/>
          <w:b w:val="0"/>
          <w:bCs w:val="0"/>
          <w:sz w:val="32"/>
          <w:szCs w:val="32"/>
        </w:rPr>
        <w:t>财政</w:t>
      </w:r>
      <w:r>
        <w:rPr>
          <w:rFonts w:hint="default" w:ascii="Times New Roman" w:hAnsi="Times New Roman" w:eastAsia="黑体" w:cs="Times New Roman"/>
          <w:b w:val="0"/>
          <w:bCs w:val="0"/>
          <w:sz w:val="32"/>
          <w:szCs w:val="32"/>
          <w:lang w:eastAsia="zh-CN"/>
        </w:rPr>
        <w:t>收支</w:t>
      </w:r>
      <w:r>
        <w:rPr>
          <w:rFonts w:hint="default" w:ascii="Times New Roman" w:hAnsi="Times New Roman" w:eastAsia="黑体" w:cs="Times New Roman"/>
          <w:b w:val="0"/>
          <w:bCs w:val="0"/>
          <w:sz w:val="32"/>
          <w:szCs w:val="32"/>
        </w:rPr>
        <w:t>情况</w:t>
      </w:r>
    </w:p>
    <w:p w14:paraId="0F5B1B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val="en-US" w:eastAsia="zh-CN"/>
        </w:rPr>
        <w:t>单位财政资金收入情况</w:t>
      </w:r>
    </w:p>
    <w:p w14:paraId="216677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b w:val="0"/>
          <w:bCs w:val="0"/>
          <w:color w:val="000000"/>
          <w:sz w:val="32"/>
          <w:szCs w:val="32"/>
          <w:lang w:val="en-US" w:eastAsia="zh-CN"/>
        </w:rPr>
        <w:t>审计局</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_GB2312" w:cs="Times New Roman"/>
          <w:b w:val="0"/>
          <w:bCs w:val="0"/>
          <w:color w:val="000000"/>
          <w:sz w:val="32"/>
          <w:szCs w:val="32"/>
          <w:lang w:eastAsia="zh-CN"/>
        </w:rPr>
        <w:t>年初批复预算收入</w:t>
      </w:r>
      <w:r>
        <w:rPr>
          <w:rFonts w:hint="default" w:ascii="Times New Roman" w:hAnsi="Times New Roman" w:cs="Times New Roman"/>
          <w:b w:val="0"/>
          <w:bCs w:val="0"/>
          <w:color w:val="000000"/>
          <w:sz w:val="32"/>
          <w:szCs w:val="32"/>
          <w:lang w:val="en-US" w:eastAsia="zh-CN"/>
        </w:rPr>
        <w:t>597.05</w:t>
      </w:r>
      <w:r>
        <w:rPr>
          <w:rFonts w:hint="default" w:ascii="Times New Roman" w:hAnsi="Times New Roman" w:eastAsia="仿宋_GB2312" w:cs="Times New Roman"/>
          <w:b w:val="0"/>
          <w:bCs w:val="0"/>
          <w:color w:val="000000"/>
          <w:sz w:val="32"/>
          <w:szCs w:val="32"/>
          <w:lang w:val="en-US" w:eastAsia="zh-CN"/>
        </w:rPr>
        <w:t>万元（其中：基本支出</w:t>
      </w:r>
      <w:r>
        <w:rPr>
          <w:rFonts w:hint="default" w:ascii="Times New Roman" w:hAnsi="Times New Roman" w:cs="Times New Roman"/>
          <w:b w:val="0"/>
          <w:bCs w:val="0"/>
          <w:color w:val="000000"/>
          <w:sz w:val="32"/>
          <w:szCs w:val="32"/>
          <w:lang w:val="en-US" w:eastAsia="zh-CN"/>
        </w:rPr>
        <w:t>363.05</w:t>
      </w:r>
      <w:r>
        <w:rPr>
          <w:rFonts w:hint="default" w:ascii="Times New Roman" w:hAnsi="Times New Roman" w:eastAsia="仿宋_GB2312" w:cs="Times New Roman"/>
          <w:b w:val="0"/>
          <w:bCs w:val="0"/>
          <w:color w:val="000000"/>
          <w:sz w:val="32"/>
          <w:szCs w:val="32"/>
          <w:lang w:val="en-US" w:eastAsia="zh-CN"/>
        </w:rPr>
        <w:t>万元、项目支出234万元）；年度执行中追加202</w:t>
      </w:r>
      <w:r>
        <w:rPr>
          <w:rFonts w:hint="default" w:ascii="Times New Roman" w:hAnsi="Times New Roman"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年预算调整</w:t>
      </w:r>
      <w:r>
        <w:rPr>
          <w:rFonts w:hint="default" w:ascii="Times New Roman" w:hAnsi="Times New Roman" w:cs="Times New Roman"/>
          <w:b w:val="0"/>
          <w:bCs w:val="0"/>
          <w:color w:val="000000"/>
          <w:sz w:val="32"/>
          <w:szCs w:val="32"/>
          <w:lang w:val="en-US" w:eastAsia="zh-CN"/>
        </w:rPr>
        <w:t>43.81</w:t>
      </w:r>
      <w:r>
        <w:rPr>
          <w:rFonts w:hint="default" w:ascii="Times New Roman" w:hAnsi="Times New Roman" w:eastAsia="仿宋_GB2312" w:cs="Times New Roman"/>
          <w:b w:val="0"/>
          <w:bCs w:val="0"/>
          <w:color w:val="000000"/>
          <w:sz w:val="32"/>
          <w:szCs w:val="32"/>
          <w:lang w:val="en-US" w:eastAsia="zh-CN"/>
        </w:rPr>
        <w:t>万元。202</w:t>
      </w:r>
      <w:r>
        <w:rPr>
          <w:rFonts w:hint="default" w:ascii="Times New Roman" w:hAnsi="Times New Roman"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年预算收入</w:t>
      </w:r>
      <w:r>
        <w:rPr>
          <w:rFonts w:hint="default" w:ascii="Times New Roman" w:hAnsi="Times New Roman" w:cs="Times New Roman"/>
          <w:b w:val="0"/>
          <w:bCs w:val="0"/>
          <w:color w:val="000000"/>
          <w:sz w:val="32"/>
          <w:szCs w:val="32"/>
          <w:lang w:val="en-US" w:eastAsia="zh-CN"/>
        </w:rPr>
        <w:t>640.86</w:t>
      </w:r>
      <w:r>
        <w:rPr>
          <w:rFonts w:hint="default" w:ascii="Times New Roman" w:hAnsi="Times New Roman" w:eastAsia="仿宋_GB2312" w:cs="Times New Roman"/>
          <w:b w:val="0"/>
          <w:bCs w:val="0"/>
          <w:color w:val="000000"/>
          <w:sz w:val="32"/>
          <w:szCs w:val="32"/>
          <w:lang w:val="en-US" w:eastAsia="zh-CN"/>
        </w:rPr>
        <w:t>万元，较202</w:t>
      </w: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年预算收入</w:t>
      </w:r>
      <w:r>
        <w:rPr>
          <w:rFonts w:hint="eastAsia" w:ascii="Times New Roman" w:hAnsi="Times New Roman" w:eastAsia="仿宋_GB2312" w:cs="Times New Roman"/>
          <w:b w:val="0"/>
          <w:bCs w:val="0"/>
          <w:color w:val="000000"/>
          <w:sz w:val="32"/>
          <w:szCs w:val="32"/>
          <w:lang w:val="en-US" w:eastAsia="zh-CN"/>
        </w:rPr>
        <w:t>667.19</w:t>
      </w:r>
      <w:r>
        <w:rPr>
          <w:rFonts w:hint="default" w:ascii="Times New Roman" w:hAnsi="Times New Roman" w:eastAsia="仿宋_GB2312" w:cs="Times New Roman"/>
          <w:b w:val="0"/>
          <w:bCs w:val="0"/>
          <w:color w:val="000000"/>
          <w:sz w:val="32"/>
          <w:szCs w:val="32"/>
          <w:lang w:val="en-US" w:eastAsia="zh-CN"/>
        </w:rPr>
        <w:t>万元</w:t>
      </w:r>
      <w:r>
        <w:rPr>
          <w:rFonts w:hint="eastAsia" w:ascii="Times New Roman" w:hAnsi="Times New Roman" w:eastAsia="仿宋_GB2312" w:cs="Times New Roman"/>
          <w:b w:val="0"/>
          <w:bCs w:val="0"/>
          <w:color w:val="000000"/>
          <w:sz w:val="32"/>
          <w:szCs w:val="32"/>
          <w:lang w:val="en-US" w:eastAsia="zh-CN"/>
        </w:rPr>
        <w:t>减少</w:t>
      </w:r>
      <w:r>
        <w:rPr>
          <w:rFonts w:hint="default" w:ascii="Times New Roman" w:hAnsi="Times New Roman" w:eastAsia="仿宋_GB2312" w:cs="Times New Roman"/>
          <w:b w:val="0"/>
          <w:bCs w:val="0"/>
          <w:color w:val="000000"/>
          <w:sz w:val="32"/>
          <w:szCs w:val="32"/>
          <w:lang w:val="en-US" w:eastAsia="zh-CN"/>
        </w:rPr>
        <w:t>了</w:t>
      </w:r>
      <w:r>
        <w:rPr>
          <w:rFonts w:hint="eastAsia" w:ascii="Times New Roman" w:hAnsi="Times New Roman" w:cs="Times New Roman"/>
          <w:b w:val="0"/>
          <w:bCs w:val="0"/>
          <w:color w:val="000000"/>
          <w:sz w:val="32"/>
          <w:szCs w:val="32"/>
          <w:lang w:val="en-US" w:eastAsia="zh-CN"/>
        </w:rPr>
        <w:t>26.33</w:t>
      </w:r>
      <w:r>
        <w:rPr>
          <w:rFonts w:hint="default" w:ascii="Times New Roman" w:hAnsi="Times New Roman" w:eastAsia="仿宋_GB2312" w:cs="Times New Roman"/>
          <w:b w:val="0"/>
          <w:bCs w:val="0"/>
          <w:color w:val="000000"/>
          <w:sz w:val="32"/>
          <w:szCs w:val="32"/>
          <w:lang w:val="en-US" w:eastAsia="zh-CN"/>
        </w:rPr>
        <w:t>万元</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主要变动原因是支出压减。</w:t>
      </w:r>
    </w:p>
    <w:p w14:paraId="20F4A9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（二）单位财政资金支出情况</w:t>
      </w:r>
    </w:p>
    <w:p w14:paraId="30EBDB5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b w:val="0"/>
          <w:bCs w:val="0"/>
          <w:color w:val="000000"/>
          <w:sz w:val="32"/>
          <w:szCs w:val="32"/>
          <w:lang w:val="en-US" w:eastAsia="zh-CN"/>
        </w:rPr>
        <w:t>审计局202</w:t>
      </w:r>
      <w:r>
        <w:rPr>
          <w:rFonts w:hint="default" w:ascii="Times New Roman" w:hAnsi="Times New Roman"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rPr>
        <w:t>部门预算支出总数</w:t>
      </w:r>
      <w:r>
        <w:rPr>
          <w:rFonts w:hint="default" w:ascii="Times New Roman" w:hAnsi="Times New Roman" w:cs="Times New Roman"/>
          <w:b w:val="0"/>
          <w:bCs w:val="0"/>
          <w:color w:val="000000"/>
          <w:sz w:val="32"/>
          <w:szCs w:val="32"/>
          <w:lang w:val="en-US" w:eastAsia="zh-CN"/>
        </w:rPr>
        <w:t>640.86</w:t>
      </w:r>
      <w:r>
        <w:rPr>
          <w:rFonts w:hint="default" w:ascii="Times New Roman" w:hAnsi="Times New Roman" w:eastAsia="仿宋_GB2312" w:cs="Times New Roman"/>
          <w:b w:val="0"/>
          <w:bCs w:val="0"/>
          <w:color w:val="000000"/>
          <w:sz w:val="32"/>
          <w:szCs w:val="32"/>
          <w:lang w:val="en-US" w:eastAsia="zh-CN"/>
        </w:rPr>
        <w:t>万元，较202</w:t>
      </w: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年</w:t>
      </w:r>
      <w:r>
        <w:rPr>
          <w:rFonts w:hint="default" w:ascii="Times New Roman" w:hAnsi="Times New Roman" w:eastAsia="仿宋_GB2312" w:cs="Times New Roman"/>
          <w:b w:val="0"/>
          <w:bCs w:val="0"/>
          <w:color w:val="000000"/>
          <w:sz w:val="32"/>
          <w:szCs w:val="32"/>
        </w:rPr>
        <w:t>部门预算支出总数</w:t>
      </w:r>
      <w:r>
        <w:rPr>
          <w:rFonts w:hint="eastAsia" w:ascii="Times New Roman" w:hAnsi="Times New Roman" w:eastAsia="仿宋_GB2312" w:cs="Times New Roman"/>
          <w:b w:val="0"/>
          <w:bCs w:val="0"/>
          <w:color w:val="000000"/>
          <w:sz w:val="32"/>
          <w:szCs w:val="32"/>
          <w:lang w:val="en-US" w:eastAsia="zh-CN"/>
        </w:rPr>
        <w:t>667.19</w:t>
      </w:r>
      <w:r>
        <w:rPr>
          <w:rFonts w:hint="default" w:ascii="Times New Roman" w:hAnsi="Times New Roman" w:eastAsia="仿宋_GB2312" w:cs="Times New Roman"/>
          <w:b w:val="0"/>
          <w:bCs w:val="0"/>
          <w:color w:val="000000"/>
          <w:sz w:val="32"/>
          <w:szCs w:val="32"/>
          <w:lang w:val="en-US" w:eastAsia="zh-CN"/>
        </w:rPr>
        <w:t>万元</w:t>
      </w:r>
      <w:r>
        <w:rPr>
          <w:rFonts w:hint="eastAsia" w:ascii="Times New Roman" w:hAnsi="Times New Roman" w:eastAsia="仿宋_GB2312" w:cs="Times New Roman"/>
          <w:b w:val="0"/>
          <w:bCs w:val="0"/>
          <w:color w:val="000000"/>
          <w:sz w:val="32"/>
          <w:szCs w:val="32"/>
          <w:lang w:val="en-US" w:eastAsia="zh-CN"/>
        </w:rPr>
        <w:t>减少</w:t>
      </w:r>
      <w:r>
        <w:rPr>
          <w:rFonts w:hint="default" w:ascii="Times New Roman" w:hAnsi="Times New Roman" w:eastAsia="仿宋_GB2312" w:cs="Times New Roman"/>
          <w:b w:val="0"/>
          <w:bCs w:val="0"/>
          <w:color w:val="000000"/>
          <w:sz w:val="32"/>
          <w:szCs w:val="32"/>
          <w:lang w:val="en-US" w:eastAsia="zh-CN"/>
        </w:rPr>
        <w:t>了</w:t>
      </w:r>
      <w:r>
        <w:rPr>
          <w:rFonts w:hint="eastAsia" w:ascii="Times New Roman" w:hAnsi="Times New Roman" w:cs="Times New Roman"/>
          <w:b w:val="0"/>
          <w:bCs w:val="0"/>
          <w:color w:val="000000"/>
          <w:sz w:val="32"/>
          <w:szCs w:val="32"/>
          <w:lang w:val="en-US" w:eastAsia="zh-CN"/>
        </w:rPr>
        <w:t>26.33</w:t>
      </w:r>
      <w:r>
        <w:rPr>
          <w:rFonts w:hint="default" w:ascii="Times New Roman" w:hAnsi="Times New Roman" w:eastAsia="仿宋_GB2312" w:cs="Times New Roman"/>
          <w:b w:val="0"/>
          <w:bCs w:val="0"/>
          <w:color w:val="000000"/>
          <w:sz w:val="32"/>
          <w:szCs w:val="32"/>
          <w:lang w:val="en-US" w:eastAsia="zh-CN"/>
        </w:rPr>
        <w:t>万元</w:t>
      </w:r>
      <w:r>
        <w:rPr>
          <w:rFonts w:hint="eastAsia"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主要变动原因是支出压减</w:t>
      </w:r>
      <w:r>
        <w:rPr>
          <w:rFonts w:hint="default" w:ascii="Times New Roman" w:hAnsi="Times New Roman" w:eastAsia="仿宋_GB2312" w:cs="Times New Roman"/>
          <w:b w:val="0"/>
          <w:bCs w:val="0"/>
          <w:color w:val="000000"/>
          <w:sz w:val="32"/>
          <w:szCs w:val="32"/>
          <w:lang w:val="en-US" w:eastAsia="zh-CN"/>
        </w:rPr>
        <w:t>。</w:t>
      </w:r>
    </w:p>
    <w:p w14:paraId="2DB3532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（三）结转和结余情况</w:t>
      </w:r>
    </w:p>
    <w:p w14:paraId="02413E3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b w:val="0"/>
          <w:bCs w:val="0"/>
          <w:color w:val="000000"/>
          <w:sz w:val="32"/>
          <w:szCs w:val="32"/>
          <w:lang w:val="en-US" w:eastAsia="zh-CN"/>
        </w:rPr>
        <w:t>审计局</w:t>
      </w:r>
      <w:r>
        <w:rPr>
          <w:rFonts w:hint="default"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年无结转结余。</w:t>
      </w:r>
    </w:p>
    <w:p w14:paraId="6762CB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三、部门整体预算绩效管理情况</w:t>
      </w:r>
    </w:p>
    <w:p w14:paraId="6C6557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val="en-US" w:eastAsia="zh-CN"/>
        </w:rPr>
        <w:t>部门预算总体绩效</w:t>
      </w:r>
    </w:p>
    <w:p w14:paraId="2C21A5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1.目标管理情况</w:t>
      </w:r>
    </w:p>
    <w:p w14:paraId="59DE31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我局坚持以习近平新时代中国特色社会主义思想为指导，紧扣高质量发展，自觉践行新发展理念，对标找差、创新实干，加强对全区审计工作的领导，积极推进审计全覆盖，围绕打赢“三大攻坚战”、做好“六稳”工作，依法全面履行审计监督职责，做好常态化“经济体检”，有效发挥建设性作用。（1）完成年度计划内审计项目个数不少于15个；（2）高质量完成审计项目，获区领导签批报告不少于2篇；（3）提出有价值的审计建议，提升部门预算能力，提升财政资金使用的透明度、合规性、合法性和合理性；（4）审计项目费用限额控制在288.69万元以内。我局年度绩效目标的制定、调整及重大事项变更，须经领导班子集体研究审议，并形成书面决议。</w:t>
      </w:r>
    </w:p>
    <w:p w14:paraId="4EFFF2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.过程管控情况</w:t>
      </w:r>
    </w:p>
    <w:p w14:paraId="3331AD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auto"/>
          <w:sz w:val="32"/>
          <w:szCs w:val="32"/>
          <w:lang w:val="en-US" w:eastAsia="zh-CN"/>
        </w:rPr>
        <w:t>我局严格落实党政机关过紧日子要求，严控一般支出，压减非必要开支，对“三公”经费、差旅费、办公费、会议费等一般性支出实施刚性管控，</w:t>
      </w:r>
      <w:r>
        <w:rPr>
          <w:rFonts w:hint="default" w:ascii="Times New Roman" w:hAnsi="Times New Roman" w:eastAsia="仿宋_GB2312" w:cs="Times New Roman"/>
          <w:b w:val="0"/>
          <w:bCs w:val="0"/>
          <w:color w:val="auto"/>
          <w:sz w:val="32"/>
          <w:szCs w:val="32"/>
          <w:lang w:val="en-US" w:eastAsia="zh-CN"/>
        </w:rPr>
        <w:t>在2023年的</w:t>
      </w:r>
      <w:r>
        <w:rPr>
          <w:rFonts w:hint="default" w:ascii="Times New Roman" w:hAnsi="Times New Roman" w:eastAsia="仿宋_GB2312" w:cs="Times New Roman"/>
          <w:b w:val="0"/>
          <w:bCs w:val="0"/>
          <w:color w:val="auto"/>
          <w:sz w:val="32"/>
          <w:szCs w:val="32"/>
          <w:lang w:val="en-US" w:eastAsia="zh-CN"/>
        </w:rPr>
        <w:t>基础上，总金额压</w:t>
      </w:r>
      <w:r>
        <w:rPr>
          <w:rFonts w:hint="default" w:ascii="Times New Roman" w:hAnsi="Times New Roman" w:eastAsia="仿宋_GB2312" w:cs="Times New Roman"/>
          <w:b w:val="0"/>
          <w:bCs w:val="0"/>
          <w:color w:val="auto"/>
          <w:sz w:val="32"/>
          <w:szCs w:val="32"/>
          <w:lang w:val="en-US" w:eastAsia="zh-CN"/>
        </w:rPr>
        <w:t>减5%以</w:t>
      </w:r>
      <w:r>
        <w:rPr>
          <w:rFonts w:hint="default" w:ascii="Times New Roman" w:hAnsi="Times New Roman" w:eastAsia="仿宋_GB2312" w:cs="Times New Roman"/>
          <w:b w:val="0"/>
          <w:bCs w:val="0"/>
          <w:color w:val="auto"/>
          <w:sz w:val="32"/>
          <w:szCs w:val="32"/>
          <w:lang w:val="en-US" w:eastAsia="zh-CN"/>
        </w:rPr>
        <w:t>上；在执行</w:t>
      </w:r>
      <w:r>
        <w:rPr>
          <w:rFonts w:hint="default" w:ascii="Times New Roman" w:hAnsi="Times New Roman" w:eastAsia="仿宋_GB2312" w:cs="Times New Roman"/>
          <w:b w:val="0"/>
          <w:bCs w:val="0"/>
          <w:color w:val="000000"/>
          <w:sz w:val="32"/>
          <w:szCs w:val="32"/>
          <w:lang w:val="en-US" w:eastAsia="zh-CN"/>
        </w:rPr>
        <w:t>过程中做到花钱与办事、绩效与责任深度融合，严格按照项目进度支付资金，执行进度正常推进，控制有效；我局项目依照年初预算执行，无项目调整；严格执行资金“专款专用”，严禁挪用、挤占资金，保障资金使用规范性；</w:t>
      </w:r>
      <w:r>
        <w:rPr>
          <w:rFonts w:hint="default" w:ascii="Times New Roman" w:hAnsi="Times New Roman" w:eastAsia="仿宋_GB2312" w:cs="Times New Roman"/>
          <w:b w:val="0"/>
          <w:bCs w:val="0"/>
          <w:color w:val="000000"/>
          <w:kern w:val="2"/>
          <w:sz w:val="32"/>
          <w:szCs w:val="32"/>
          <w:lang w:val="en-US" w:eastAsia="zh-CN" w:bidi="ar-SA"/>
        </w:rPr>
        <w:t>2024年</w:t>
      </w:r>
      <w:r>
        <w:rPr>
          <w:rFonts w:hint="default" w:ascii="Times New Roman" w:hAnsi="Times New Roman" w:eastAsia="仿宋_GB2312" w:cs="Times New Roman"/>
          <w:b w:val="0"/>
          <w:bCs w:val="0"/>
          <w:color w:val="000000"/>
          <w:kern w:val="2"/>
          <w:sz w:val="32"/>
          <w:szCs w:val="32"/>
          <w:lang w:val="en-US" w:eastAsia="zh-CN" w:bidi="ar-SA"/>
        </w:rPr>
        <w:t>全年支出</w:t>
      </w:r>
      <w:r>
        <w:rPr>
          <w:rFonts w:hint="default" w:ascii="Times New Roman" w:hAnsi="Times New Roman" w:eastAsia="仿宋_GB2312" w:cs="Times New Roman"/>
          <w:b w:val="0"/>
          <w:bCs w:val="0"/>
          <w:color w:val="000000"/>
          <w:kern w:val="2"/>
          <w:sz w:val="32"/>
          <w:szCs w:val="32"/>
          <w:lang w:val="en-US" w:eastAsia="zh-CN" w:bidi="ar-SA"/>
        </w:rPr>
        <w:t>640.86万</w:t>
      </w:r>
      <w:r>
        <w:rPr>
          <w:rFonts w:hint="default" w:ascii="Times New Roman" w:hAnsi="Times New Roman" w:eastAsia="仿宋_GB2312" w:cs="Times New Roman"/>
          <w:b w:val="0"/>
          <w:bCs w:val="0"/>
          <w:color w:val="000000"/>
          <w:kern w:val="2"/>
          <w:sz w:val="32"/>
          <w:szCs w:val="32"/>
          <w:lang w:val="en-US" w:eastAsia="zh-CN" w:bidi="ar-SA"/>
        </w:rPr>
        <w:t>元，支付过程及时有力，控制有度，无低效无效率资金使用情况</w:t>
      </w:r>
      <w:r>
        <w:rPr>
          <w:rFonts w:hint="default" w:ascii="Times New Roman" w:hAnsi="Times New Roman" w:eastAsia="仿宋_GB2312" w:cs="Times New Roman"/>
          <w:b w:val="0"/>
          <w:bCs w:val="0"/>
          <w:color w:val="000000"/>
          <w:sz w:val="32"/>
          <w:szCs w:val="32"/>
          <w:lang w:val="en-US" w:eastAsia="zh-CN"/>
        </w:rPr>
        <w:t>。</w:t>
      </w:r>
    </w:p>
    <w:p w14:paraId="1A7E53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（二）部门预算项目绩效分析</w:t>
      </w:r>
    </w:p>
    <w:p w14:paraId="65FFC398">
      <w:pPr>
        <w:pStyle w:val="29"/>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1.常年项目绩效分析。该类项目总数</w:t>
      </w:r>
      <w:r>
        <w:rPr>
          <w:rFonts w:hint="default" w:ascii="Times New Roman" w:hAnsi="Times New Roman"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t>个，涉及预算总金额</w:t>
      </w:r>
      <w:r>
        <w:rPr>
          <w:rFonts w:hint="default" w:ascii="Times New Roman" w:hAnsi="Times New Roman" w:cs="Times New Roman"/>
          <w:b w:val="0"/>
          <w:bCs w:val="0"/>
          <w:color w:val="000000"/>
          <w:kern w:val="2"/>
          <w:sz w:val="32"/>
          <w:szCs w:val="32"/>
          <w:lang w:val="en-US" w:eastAsia="zh-CN" w:bidi="ar-SA"/>
        </w:rPr>
        <w:t>174</w:t>
      </w:r>
      <w:r>
        <w:rPr>
          <w:rFonts w:hint="default" w:ascii="Times New Roman" w:hAnsi="Times New Roman" w:eastAsia="仿宋_GB2312" w:cs="Times New Roman"/>
          <w:b w:val="0"/>
          <w:bCs w:val="0"/>
          <w:color w:val="000000"/>
          <w:kern w:val="2"/>
          <w:sz w:val="32"/>
          <w:szCs w:val="32"/>
          <w:lang w:val="en-US" w:eastAsia="zh-CN" w:bidi="ar-SA"/>
        </w:rPr>
        <w:t>万元，1-12月预算执行总体进度为</w:t>
      </w:r>
      <w:r>
        <w:rPr>
          <w:rFonts w:hint="default" w:ascii="Times New Roman" w:hAnsi="Times New Roman" w:cs="Times New Roman"/>
          <w:b w:val="0"/>
          <w:bCs w:val="0"/>
          <w:color w:val="000000"/>
          <w:kern w:val="2"/>
          <w:sz w:val="32"/>
          <w:szCs w:val="32"/>
          <w:lang w:val="en-US" w:eastAsia="zh-CN" w:bidi="ar-SA"/>
        </w:rPr>
        <w:t>100</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无预算结余。</w:t>
      </w:r>
    </w:p>
    <w:p w14:paraId="2F026D87">
      <w:pPr>
        <w:pStyle w:val="29"/>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2.阶段项目绩效分析。该类项目总数1个，涉及预算总金额5.1万元，1-12月预算执行总体进度为100%，无预算结余。</w:t>
      </w:r>
    </w:p>
    <w:p w14:paraId="5FF42E34">
      <w:pPr>
        <w:pStyle w:val="29"/>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3.部门预算项目设立与部门职能职责相符，充分履行了项目申报论证程序；项目绩效目标制定符合科学合理、规范完整、量化细化、预算匹配的要求；项目实际列支内容与项目绩效目标设置方向相符；部门预算项目绩效目标实现程度与预期目标相符，无偏离。</w:t>
      </w:r>
    </w:p>
    <w:p w14:paraId="07EEA787">
      <w:pPr>
        <w:pStyle w:val="29"/>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576" w:lineRule="exact"/>
        <w:ind w:firstLine="640" w:firstLineChars="2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4.2024年我局无新增30万元及以上的部门预算项目。</w:t>
      </w:r>
    </w:p>
    <w:p w14:paraId="49981F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rPr>
      </w:pPr>
      <w:r>
        <w:rPr>
          <w:rFonts w:hint="default" w:ascii="Times New Roman" w:hAnsi="Times New Roman" w:eastAsia="楷体_GB2312" w:cs="Times New Roman"/>
          <w:b w:val="0"/>
          <w:bCs w:val="0"/>
          <w:sz w:val="32"/>
          <w:szCs w:val="32"/>
          <w:lang w:val="en-US" w:eastAsia="zh-CN"/>
        </w:rPr>
        <w:t>（三）专项预算绩效分析</w:t>
      </w:r>
    </w:p>
    <w:p w14:paraId="10EF352C">
      <w:pPr>
        <w:pStyle w:val="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我局2024年无专项预算。</w:t>
      </w:r>
    </w:p>
    <w:p w14:paraId="01429A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（四）绩效结果应用情况</w:t>
      </w:r>
    </w:p>
    <w:p w14:paraId="1BF4F34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在绩效自评工作中，我局始终坚持“以评促改、以评促管、以评促效”原则，将绩效评价结果深度融入预算管理、项目优化、责任落实等全过程，着力构建“评价</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应用</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提升”的闭环管理机制。</w:t>
      </w:r>
    </w:p>
    <w:p w14:paraId="4C74948D">
      <w:pPr>
        <w:pStyle w:val="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（五）扣分项</w:t>
      </w:r>
    </w:p>
    <w:p w14:paraId="057A52C8">
      <w:pPr>
        <w:pStyle w:val="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部门整体支出自评得分与评价组抽查得分差异在10%以</w:t>
      </w:r>
      <w:r>
        <w:rPr>
          <w:rFonts w:hint="default" w:ascii="Times New Roman" w:hAnsi="Times New Roman" w:cs="Times New Roman"/>
          <w:b w:val="0"/>
          <w:bCs w:val="0"/>
          <w:kern w:val="2"/>
          <w:sz w:val="32"/>
          <w:szCs w:val="32"/>
          <w:lang w:val="en-US" w:eastAsia="zh-CN" w:bidi="ar-SA"/>
        </w:rPr>
        <w:t>上。</w:t>
      </w:r>
    </w:p>
    <w:p w14:paraId="2F73445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val="en-US" w:eastAsia="zh-CN"/>
        </w:rPr>
        <w:t>综合评价结论及建议</w:t>
      </w:r>
    </w:p>
    <w:p w14:paraId="20B0E6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评价结论。</w:t>
      </w:r>
      <w:r>
        <w:rPr>
          <w:rFonts w:hint="default" w:ascii="Times New Roman" w:hAnsi="Times New Roman" w:eastAsia="仿宋_GB2312" w:cs="Times New Roman"/>
          <w:b w:val="0"/>
          <w:bCs w:val="0"/>
          <w:color w:val="000000"/>
          <w:sz w:val="32"/>
          <w:szCs w:val="32"/>
          <w:lang w:val="en-US" w:eastAsia="zh-CN"/>
        </w:rPr>
        <w:t>我局严格遵循“预算编制科学、执行规范高效、产出成果显著、效益持续提升”的管理原则，扎实开展部门预算绩效管理。依据《部门整体支出绩效评价指标体系》，从“部门预算总体绩效（50分）、部门预算项目绩效（30分）、绩效结果应用（14分）、自评质量（6分）”四个维度进行自评，最终得分93分。对照评价等级标准，我部门整体支出绩效等级评定为“优”。</w:t>
      </w:r>
    </w:p>
    <w:p w14:paraId="25DB26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rPr>
        <w:t>）存在问题</w:t>
      </w:r>
    </w:p>
    <w:p w14:paraId="0766BA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color w:val="000000"/>
          <w:sz w:val="32"/>
          <w:szCs w:val="32"/>
        </w:rPr>
        <w:t>人员素质有待进一步提高。由于预算绩效管理工作开展时间较短，加之缺乏系统的业务培训，对预算绩效管理业务不了解、不熟悉，同时对预算绩效管理意识不够深，认识还有偏差、工作重点把握不到位，由此造成绩效评价工作还有差距。</w:t>
      </w:r>
    </w:p>
    <w:p w14:paraId="2081C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2.评价指标体系指标设置不精准。由于绩效评价涉及指标多，项目之间差异性大，目前虽然财政部门已明确一、二级指标体系，但真正能体现项目效果的三级指标，自行设置理解把握不准，不能很好的量化、细化部分指标，还不能完全满足目前绩效管理工作的需要。</w:t>
      </w:r>
    </w:p>
    <w:p w14:paraId="3E72B8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rPr>
        <w:t>）改进</w:t>
      </w:r>
      <w:r>
        <w:rPr>
          <w:rFonts w:hint="default" w:ascii="Times New Roman" w:hAnsi="Times New Roman" w:eastAsia="楷体_GB2312" w:cs="Times New Roman"/>
          <w:b w:val="0"/>
          <w:bCs w:val="0"/>
          <w:sz w:val="32"/>
          <w:szCs w:val="32"/>
          <w:lang w:val="en-US" w:eastAsia="zh-CN"/>
        </w:rPr>
        <w:t>措施</w:t>
      </w:r>
    </w:p>
    <w:p w14:paraId="1D49C4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加强评价指标体系建设。一是汇总梳理以前年度制定的指标，将符合当前预算绩效管理要求和行业管理特点的个性指标汇编成库；二是组织人员搜集整理先进省市制定出台的指标，进一步充实完善个性指标库；三是建立指标更新机制，将以后年度新制定的指标及时纳入指标库，做到随时更新、完善。</w:t>
      </w:r>
    </w:p>
    <w:p w14:paraId="133287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以绩效评价结果为导向。建立绩效评价结果的反馈与整改、激励与约束制度，进一步完善绩效评价结果的运用机制。将评价结果作为安排以后年度项目资金的重要依据，将一些绩效评价结果不好的项目予以取消，对执行不力的要相应削减预算安排，切实发挥绩效评价工作的应有作用。</w:t>
      </w:r>
    </w:p>
    <w:p w14:paraId="2701DF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3.加强绩效管理培训和指导。采取集中学习、讲座、专题会议、自学等方式，加大对参与绩效管理工作的人员培训力度，进一步统一思想认识，充实业务知识，提升业务技能。同时要加大对绩效管理工作事前、事中、事后等各个环节的监管与指导。</w:t>
      </w:r>
    </w:p>
    <w:p w14:paraId="7300D2FF">
      <w:pPr>
        <w:pStyle w:val="2"/>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sectPr>
          <w:pgSz w:w="11906" w:h="16838"/>
          <w:pgMar w:top="2098" w:right="1474" w:bottom="1984" w:left="1587" w:header="851" w:footer="1304" w:gutter="0"/>
          <w:pgNumType w:fmt="decimal"/>
          <w:cols w:space="0" w:num="1"/>
          <w:titlePg/>
          <w:rtlGutter w:val="0"/>
          <w:docGrid w:type="lines" w:linePitch="312" w:charSpace="0"/>
        </w:sect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部门预算项目支出绩效自评表（2024年度）</w:t>
      </w:r>
    </w:p>
    <w:tbl>
      <w:tblPr>
        <w:tblStyle w:val="17"/>
        <w:tblW w:w="14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1638"/>
        <w:gridCol w:w="1002"/>
        <w:gridCol w:w="960"/>
        <w:gridCol w:w="3336"/>
        <w:gridCol w:w="756"/>
        <w:gridCol w:w="888"/>
        <w:gridCol w:w="84"/>
        <w:gridCol w:w="768"/>
        <w:gridCol w:w="936"/>
        <w:gridCol w:w="480"/>
        <w:gridCol w:w="96"/>
        <w:gridCol w:w="636"/>
        <w:gridCol w:w="1698"/>
      </w:tblGrid>
      <w:tr w14:paraId="3F3B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4332" w:type="dxa"/>
            <w:gridSpan w:val="14"/>
            <w:tcBorders>
              <w:top w:val="nil"/>
              <w:left w:val="nil"/>
              <w:bottom w:val="single" w:color="000000" w:sz="4" w:space="0"/>
              <w:right w:val="nil"/>
            </w:tcBorders>
            <w:shd w:val="clear" w:color="auto" w:fill="auto"/>
            <w:vAlign w:val="center"/>
          </w:tcPr>
          <w:p w14:paraId="0A341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AD4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A9D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6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D101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51081123Y000008867860-国企国资与政府投资审计</w:t>
            </w:r>
          </w:p>
        </w:tc>
      </w:tr>
      <w:tr w14:paraId="7CA0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E0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D07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1788" w:type="dxa"/>
            <w:gridSpan w:val="3"/>
            <w:tcBorders>
              <w:top w:val="single" w:color="000000" w:sz="4" w:space="0"/>
              <w:left w:val="single" w:color="000000" w:sz="4" w:space="0"/>
              <w:bottom w:val="single" w:color="000000" w:sz="4" w:space="0"/>
              <w:right w:val="nil"/>
            </w:tcBorders>
            <w:shd w:val="clear" w:color="auto" w:fill="auto"/>
            <w:vAlign w:val="center"/>
          </w:tcPr>
          <w:p w14:paraId="2F1608B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04E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4D4B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00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0C3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9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7BDEB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B0F4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26B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3F3D">
            <w:pPr>
              <w:rPr>
                <w:rFonts w:hint="default" w:ascii="Times New Roman" w:hAnsi="Times New Roman" w:eastAsia="宋体" w:cs="Times New Roman"/>
                <w:i w:val="0"/>
                <w:iCs w:val="0"/>
                <w:color w:val="000000"/>
                <w:sz w:val="18"/>
                <w:szCs w:val="18"/>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5FE4">
            <w:pPr>
              <w:rPr>
                <w:rFonts w:hint="default" w:ascii="Times New Roman" w:hAnsi="Times New Roman" w:eastAsia="宋体" w:cs="Times New Roman"/>
                <w:i w:val="0"/>
                <w:iCs w:val="0"/>
                <w:color w:val="000000"/>
                <w:sz w:val="18"/>
                <w:szCs w:val="18"/>
                <w:u w:val="none"/>
              </w:rPr>
            </w:pPr>
          </w:p>
        </w:tc>
        <w:tc>
          <w:tcPr>
            <w:tcW w:w="9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95A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织实施区属国有及国有资本占控股或主导地位企业的资产、负债和损益以及财务收支审计，组织审计区级政府投资、以区级政府投资为主的建设项目以及其他关系到国家利益和公共利益的重大公共工程项目，指导和督促被审计单位整改审计发现的问题，进而减少政府投资项目问题的发生，保证政府投资项目资金使用的更加安全高效。</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D1929">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49B0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39F8">
            <w:pPr>
              <w:rPr>
                <w:rFonts w:hint="default" w:ascii="Times New Roman" w:hAnsi="Times New Roman" w:eastAsia="宋体" w:cs="Times New Roman"/>
                <w:i w:val="0"/>
                <w:iCs w:val="0"/>
                <w:color w:val="000000"/>
                <w:sz w:val="18"/>
                <w:szCs w:val="18"/>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2E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06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F600F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32D1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B3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21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E0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9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D44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F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8B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D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3D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918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1D81">
            <w:pPr>
              <w:jc w:val="center"/>
              <w:rPr>
                <w:rFonts w:hint="default" w:ascii="Times New Roman" w:hAnsi="Times New Roman" w:eastAsia="宋体" w:cs="Times New Roman"/>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7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76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C7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509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1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5C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5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43CA">
            <w:pPr>
              <w:rPr>
                <w:rFonts w:hint="default" w:ascii="Times New Roman" w:hAnsi="Times New Roman" w:eastAsia="黑体" w:cs="Times New Roman"/>
                <w:i/>
                <w:iCs/>
                <w:color w:val="000000"/>
                <w:sz w:val="18"/>
                <w:szCs w:val="18"/>
                <w:u w:val="none"/>
              </w:rPr>
            </w:pPr>
          </w:p>
        </w:tc>
      </w:tr>
      <w:tr w14:paraId="662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9D5B">
            <w:pPr>
              <w:jc w:val="center"/>
              <w:rPr>
                <w:rFonts w:hint="default" w:ascii="Times New Roman" w:hAnsi="Times New Roman" w:eastAsia="宋体" w:cs="Times New Roman"/>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6A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3F8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D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99F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8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F49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7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92FA">
            <w:pPr>
              <w:rPr>
                <w:rFonts w:hint="default" w:ascii="Times New Roman" w:hAnsi="Times New Roman" w:eastAsia="黑体" w:cs="Times New Roman"/>
                <w:i/>
                <w:iCs/>
                <w:color w:val="000000"/>
                <w:sz w:val="18"/>
                <w:szCs w:val="18"/>
                <w:u w:val="none"/>
              </w:rPr>
            </w:pPr>
          </w:p>
        </w:tc>
      </w:tr>
      <w:tr w14:paraId="4C95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DB55">
            <w:pPr>
              <w:jc w:val="center"/>
              <w:rPr>
                <w:rFonts w:hint="default" w:ascii="Times New Roman" w:hAnsi="Times New Roman" w:eastAsia="宋体" w:cs="Times New Roman"/>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9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财政专户管理资金</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4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4B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208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A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F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F2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3516">
            <w:pPr>
              <w:rPr>
                <w:rFonts w:hint="default" w:ascii="Times New Roman" w:hAnsi="Times New Roman" w:eastAsia="黑体" w:cs="Times New Roman"/>
                <w:i/>
                <w:iCs/>
                <w:color w:val="000000"/>
                <w:sz w:val="18"/>
                <w:szCs w:val="18"/>
                <w:u w:val="none"/>
              </w:rPr>
            </w:pPr>
          </w:p>
        </w:tc>
      </w:tr>
      <w:tr w14:paraId="79F6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33ED">
            <w:pPr>
              <w:jc w:val="center"/>
              <w:rPr>
                <w:rFonts w:hint="default" w:ascii="Times New Roman" w:hAnsi="Times New Roman" w:eastAsia="宋体" w:cs="Times New Roman"/>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5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A8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C5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D1D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83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1DD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77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5904">
            <w:pPr>
              <w:rPr>
                <w:rFonts w:hint="default" w:ascii="Times New Roman" w:hAnsi="Times New Roman" w:eastAsia="黑体" w:cs="Times New Roman"/>
                <w:i/>
                <w:iCs/>
                <w:color w:val="000000"/>
                <w:sz w:val="18"/>
                <w:szCs w:val="18"/>
                <w:u w:val="none"/>
              </w:rPr>
            </w:pPr>
          </w:p>
        </w:tc>
      </w:tr>
      <w:tr w14:paraId="28CE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303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B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4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9E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指标性质</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B3E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EA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AA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78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D8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B8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未完成原因分析</w:t>
            </w:r>
          </w:p>
        </w:tc>
      </w:tr>
      <w:tr w14:paraId="7288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5696">
            <w:pPr>
              <w:jc w:val="center"/>
              <w:rPr>
                <w:rFonts w:hint="default" w:ascii="Times New Roman" w:hAnsi="Times New Roman" w:eastAsia="宋体" w:cs="Times New Roman"/>
                <w:i w:val="0"/>
                <w:iCs w:val="0"/>
                <w:color w:val="000000"/>
                <w:sz w:val="18"/>
                <w:szCs w:val="18"/>
                <w:u w:val="none"/>
              </w:rPr>
            </w:pP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5C2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E9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C8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完成审计项目个数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1A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61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7F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8F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1B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0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790">
            <w:pPr>
              <w:jc w:val="center"/>
              <w:rPr>
                <w:rFonts w:hint="default" w:ascii="Times New Roman" w:hAnsi="Times New Roman" w:eastAsia="微软雅黑" w:cs="Times New Roman"/>
                <w:i/>
                <w:iCs/>
                <w:color w:val="000000"/>
                <w:sz w:val="16"/>
                <w:szCs w:val="16"/>
                <w:u w:val="none"/>
              </w:rPr>
            </w:pPr>
          </w:p>
        </w:tc>
      </w:tr>
      <w:tr w14:paraId="4C7B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6664">
            <w:pPr>
              <w:jc w:val="center"/>
              <w:rPr>
                <w:rFonts w:hint="default" w:ascii="Times New Roman" w:hAnsi="Times New Roman" w:eastAsia="宋体" w:cs="Times New Roman"/>
                <w:i w:val="0"/>
                <w:iCs w:val="0"/>
                <w:color w:val="000000"/>
                <w:sz w:val="18"/>
                <w:szCs w:val="18"/>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46BB">
            <w:pPr>
              <w:jc w:val="center"/>
              <w:rPr>
                <w:rFonts w:hint="default" w:ascii="Times New Roman" w:hAnsi="Times New Roman" w:eastAsia="宋体" w:cs="Times New Roman"/>
                <w:i w:val="0"/>
                <w:iCs w:val="0"/>
                <w:color w:val="000000"/>
                <w:sz w:val="18"/>
                <w:szCs w:val="18"/>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A95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促进政府投资项目推进进度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1E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884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C95">
            <w:pPr>
              <w:jc w:val="center"/>
              <w:rPr>
                <w:rFonts w:hint="default" w:ascii="Times New Roman" w:hAnsi="Times New Roman" w:eastAsia="宋体" w:cs="Times New Roman"/>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1962">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16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77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8A5">
            <w:pPr>
              <w:jc w:val="center"/>
              <w:rPr>
                <w:rFonts w:hint="default" w:ascii="Times New Roman" w:hAnsi="Times New Roman" w:eastAsia="微软雅黑" w:cs="Times New Roman"/>
                <w:i/>
                <w:iCs/>
                <w:color w:val="000000"/>
                <w:sz w:val="16"/>
                <w:szCs w:val="16"/>
                <w:u w:val="none"/>
              </w:rPr>
            </w:pPr>
          </w:p>
        </w:tc>
      </w:tr>
      <w:tr w14:paraId="0AC4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8F0B">
            <w:pPr>
              <w:jc w:val="center"/>
              <w:rPr>
                <w:rFonts w:hint="default" w:ascii="Times New Roman" w:hAnsi="Times New Roman" w:eastAsia="宋体" w:cs="Times New Roman"/>
                <w:i w:val="0"/>
                <w:iCs w:val="0"/>
                <w:color w:val="000000"/>
                <w:sz w:val="18"/>
                <w:szCs w:val="18"/>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423D">
            <w:pPr>
              <w:jc w:val="center"/>
              <w:rPr>
                <w:rFonts w:hint="default" w:ascii="Times New Roman" w:hAnsi="Times New Roman" w:eastAsia="宋体" w:cs="Times New Roman"/>
                <w:i w:val="0"/>
                <w:iCs w:val="0"/>
                <w:color w:val="000000"/>
                <w:sz w:val="18"/>
                <w:szCs w:val="18"/>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19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4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每个项目现场审计时间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9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A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20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76C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9B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BC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DC9">
            <w:pPr>
              <w:jc w:val="center"/>
              <w:rPr>
                <w:rFonts w:hint="default" w:ascii="Times New Roman" w:hAnsi="Times New Roman" w:eastAsia="微软雅黑" w:cs="Times New Roman"/>
                <w:i/>
                <w:iCs/>
                <w:color w:val="000000"/>
                <w:sz w:val="16"/>
                <w:szCs w:val="16"/>
                <w:u w:val="none"/>
              </w:rPr>
            </w:pPr>
          </w:p>
        </w:tc>
      </w:tr>
      <w:tr w14:paraId="2D80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4840">
            <w:pPr>
              <w:jc w:val="center"/>
              <w:rPr>
                <w:rFonts w:hint="default" w:ascii="Times New Roman" w:hAnsi="Times New Roman" w:eastAsia="宋体" w:cs="Times New Roman"/>
                <w:i w:val="0"/>
                <w:iCs w:val="0"/>
                <w:color w:val="000000"/>
                <w:sz w:val="18"/>
                <w:szCs w:val="18"/>
                <w:u w:val="none"/>
              </w:rPr>
            </w:pP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CA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8E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3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提高投资项目资金使用效率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43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D8B">
            <w:pPr>
              <w:jc w:val="center"/>
              <w:rPr>
                <w:rFonts w:hint="default" w:ascii="Times New Roman" w:hAnsi="Times New Roman" w:eastAsia="宋体" w:cs="Times New Roman"/>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700">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EC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F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4263">
            <w:pPr>
              <w:jc w:val="center"/>
              <w:rPr>
                <w:rFonts w:hint="default" w:ascii="Times New Roman" w:hAnsi="Times New Roman" w:eastAsia="微软雅黑" w:cs="Times New Roman"/>
                <w:i/>
                <w:iCs/>
                <w:color w:val="000000"/>
                <w:sz w:val="16"/>
                <w:szCs w:val="16"/>
                <w:u w:val="none"/>
              </w:rPr>
            </w:pPr>
          </w:p>
        </w:tc>
      </w:tr>
      <w:tr w14:paraId="173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0E3F">
            <w:pPr>
              <w:jc w:val="center"/>
              <w:rPr>
                <w:rFonts w:hint="default" w:ascii="Times New Roman" w:hAnsi="Times New Roman" w:eastAsia="宋体" w:cs="Times New Roman"/>
                <w:i w:val="0"/>
                <w:iCs w:val="0"/>
                <w:color w:val="000000"/>
                <w:sz w:val="18"/>
                <w:szCs w:val="18"/>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D7C0">
            <w:pPr>
              <w:jc w:val="center"/>
              <w:rPr>
                <w:rFonts w:hint="default" w:ascii="Times New Roman" w:hAnsi="Times New Roman" w:eastAsia="宋体" w:cs="Times New Roman"/>
                <w:i w:val="0"/>
                <w:iCs w:val="0"/>
                <w:color w:val="000000"/>
                <w:sz w:val="18"/>
                <w:szCs w:val="18"/>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F25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88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确保政府投资项目的资金安全性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9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386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AF99">
            <w:pPr>
              <w:jc w:val="center"/>
              <w:rPr>
                <w:rFonts w:hint="default" w:ascii="Times New Roman" w:hAnsi="Times New Roman" w:eastAsia="宋体" w:cs="Times New Roman"/>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968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94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0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B1FE">
            <w:pPr>
              <w:jc w:val="center"/>
              <w:rPr>
                <w:rFonts w:hint="default" w:ascii="Times New Roman" w:hAnsi="Times New Roman" w:eastAsia="微软雅黑" w:cs="Times New Roman"/>
                <w:i/>
                <w:iCs/>
                <w:color w:val="000000"/>
                <w:sz w:val="16"/>
                <w:szCs w:val="16"/>
                <w:u w:val="none"/>
              </w:rPr>
            </w:pPr>
          </w:p>
        </w:tc>
      </w:tr>
      <w:tr w14:paraId="3404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A5C2">
            <w:pPr>
              <w:jc w:val="center"/>
              <w:rPr>
                <w:rFonts w:hint="default" w:ascii="Times New Roman" w:hAnsi="Times New Roman" w:eastAsia="宋体" w:cs="Times New Roman"/>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9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1F7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0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被审计单位测评满意率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7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CF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FA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9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8DA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9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B6A">
            <w:pPr>
              <w:jc w:val="center"/>
              <w:rPr>
                <w:rFonts w:hint="default" w:ascii="Times New Roman" w:hAnsi="Times New Roman" w:eastAsia="微软雅黑" w:cs="Times New Roman"/>
                <w:i/>
                <w:iCs/>
                <w:color w:val="000000"/>
                <w:sz w:val="16"/>
                <w:szCs w:val="16"/>
                <w:u w:val="none"/>
              </w:rPr>
            </w:pPr>
          </w:p>
        </w:tc>
      </w:tr>
      <w:tr w14:paraId="2F6F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5E51">
            <w:pPr>
              <w:jc w:val="center"/>
              <w:rPr>
                <w:rFonts w:hint="default" w:ascii="Times New Roman" w:hAnsi="Times New Roman" w:eastAsia="宋体" w:cs="Times New Roman"/>
                <w:i w:val="0"/>
                <w:iCs w:val="0"/>
                <w:color w:val="000000"/>
                <w:sz w:val="18"/>
                <w:szCs w:val="18"/>
                <w:u w:val="none"/>
              </w:rPr>
            </w:pP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6FE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8BB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01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审计业务办公费用限额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4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2C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2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7C92">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0CE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263">
            <w:pPr>
              <w:jc w:val="center"/>
              <w:rPr>
                <w:rFonts w:hint="default" w:ascii="Times New Roman" w:hAnsi="Times New Roman" w:eastAsia="微软雅黑" w:cs="Times New Roman"/>
                <w:i/>
                <w:iCs/>
                <w:color w:val="000000"/>
                <w:sz w:val="16"/>
                <w:szCs w:val="16"/>
                <w:u w:val="none"/>
              </w:rPr>
            </w:pPr>
          </w:p>
        </w:tc>
      </w:tr>
      <w:tr w14:paraId="2DEE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4EE0">
            <w:pPr>
              <w:jc w:val="center"/>
              <w:rPr>
                <w:rFonts w:hint="default" w:ascii="Times New Roman" w:hAnsi="Times New Roman" w:eastAsia="宋体" w:cs="Times New Roman"/>
                <w:i w:val="0"/>
                <w:iCs w:val="0"/>
                <w:color w:val="000000"/>
                <w:sz w:val="18"/>
                <w:szCs w:val="18"/>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8513">
            <w:pPr>
              <w:jc w:val="center"/>
              <w:rPr>
                <w:rFonts w:hint="default" w:ascii="Times New Roman" w:hAnsi="Times New Roman" w:eastAsia="宋体" w:cs="Times New Roman"/>
                <w:i w:val="0"/>
                <w:iCs w:val="0"/>
                <w:color w:val="000000"/>
                <w:sz w:val="18"/>
                <w:szCs w:val="18"/>
                <w:u w:val="none"/>
              </w:rPr>
            </w:pPr>
          </w:p>
        </w:tc>
        <w:tc>
          <w:tcPr>
            <w:tcW w:w="1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52EA">
            <w:pPr>
              <w:jc w:val="center"/>
              <w:rPr>
                <w:rFonts w:hint="default" w:ascii="Times New Roman" w:hAnsi="Times New Roman" w:eastAsia="宋体" w:cs="Times New Roman"/>
                <w:i w:val="0"/>
                <w:iCs w:val="0"/>
                <w:color w:val="000000"/>
                <w:sz w:val="18"/>
                <w:szCs w:val="18"/>
                <w:u w:val="none"/>
              </w:rPr>
            </w:pP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5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审计业务差旅、租车等其他费用限额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50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EA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0BE">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24</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79C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22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3D25">
            <w:pPr>
              <w:jc w:val="center"/>
              <w:rPr>
                <w:rFonts w:hint="default" w:ascii="Times New Roman" w:hAnsi="Times New Roman" w:eastAsia="微软雅黑" w:cs="Times New Roman"/>
                <w:i/>
                <w:iCs/>
                <w:color w:val="000000"/>
                <w:sz w:val="16"/>
                <w:szCs w:val="16"/>
                <w:u w:val="none"/>
              </w:rPr>
            </w:pPr>
          </w:p>
        </w:tc>
      </w:tr>
      <w:tr w14:paraId="2CDA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A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09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3B26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0FD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AF">
            <w:pPr>
              <w:rPr>
                <w:rFonts w:hint="default" w:ascii="Times New Roman" w:hAnsi="Times New Roman" w:eastAsia="宋体" w:cs="Times New Roman"/>
                <w:i w:val="0"/>
                <w:iCs w:val="0"/>
                <w:color w:val="000000"/>
                <w:sz w:val="18"/>
                <w:szCs w:val="18"/>
                <w:u w:val="none"/>
              </w:rPr>
            </w:pPr>
          </w:p>
        </w:tc>
      </w:tr>
      <w:tr w14:paraId="0C44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7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2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6CAB43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该项目自评总分100分，且按质按量的完成了2024年国企国资与政府投资审计项目。</w:t>
            </w:r>
          </w:p>
        </w:tc>
      </w:tr>
      <w:tr w14:paraId="5ED9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CF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2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84459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090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6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2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01C25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3947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7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E6608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55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5026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115A216A">
      <w:pPr>
        <w:pStyle w:val="8"/>
        <w:keepNext w:val="0"/>
        <w:keepLines w:val="0"/>
        <w:pageBreakBefore w:val="0"/>
        <w:widowControl w:val="0"/>
        <w:kinsoku/>
        <w:wordWrap/>
        <w:overflowPunct/>
        <w:topLinePunct w:val="0"/>
        <w:autoSpaceDE w:val="0"/>
        <w:autoSpaceDN w:val="0"/>
        <w:bidi w:val="0"/>
        <w:adjustRightInd w:val="0"/>
        <w:snapToGrid/>
        <w:spacing w:line="80" w:lineRule="exact"/>
        <w:textAlignment w:val="auto"/>
        <w:rPr>
          <w:rFonts w:hint="default" w:ascii="Times New Roman" w:hAnsi="Times New Roman" w:cs="Times New Roman"/>
        </w:rPr>
      </w:pPr>
    </w:p>
    <w:p w14:paraId="561997DB">
      <w:pPr>
        <w:pStyle w:val="8"/>
        <w:keepNext w:val="0"/>
        <w:keepLines w:val="0"/>
        <w:pageBreakBefore w:val="0"/>
        <w:widowControl w:val="0"/>
        <w:kinsoku/>
        <w:wordWrap/>
        <w:overflowPunct/>
        <w:topLinePunct w:val="0"/>
        <w:autoSpaceDE w:val="0"/>
        <w:autoSpaceDN w:val="0"/>
        <w:bidi w:val="0"/>
        <w:adjustRightInd w:val="0"/>
        <w:snapToGrid/>
        <w:spacing w:line="80" w:lineRule="exact"/>
        <w:textAlignment w:val="auto"/>
        <w:rPr>
          <w:rFonts w:hint="default" w:ascii="Times New Roman" w:hAnsi="Times New Roman" w:cs="Times New Roman"/>
        </w:rPr>
      </w:pPr>
    </w:p>
    <w:p w14:paraId="3E7F69DD">
      <w:pPr>
        <w:pStyle w:val="8"/>
        <w:keepNext w:val="0"/>
        <w:keepLines w:val="0"/>
        <w:pageBreakBefore w:val="0"/>
        <w:widowControl w:val="0"/>
        <w:kinsoku/>
        <w:wordWrap/>
        <w:overflowPunct/>
        <w:topLinePunct w:val="0"/>
        <w:autoSpaceDE w:val="0"/>
        <w:autoSpaceDN w:val="0"/>
        <w:bidi w:val="0"/>
        <w:adjustRightInd w:val="0"/>
        <w:snapToGrid/>
        <w:spacing w:line="80" w:lineRule="exact"/>
        <w:textAlignment w:val="auto"/>
        <w:rPr>
          <w:rFonts w:hint="default" w:ascii="Times New Roman" w:hAnsi="Times New Roman" w:cs="Times New Roman"/>
        </w:rPr>
      </w:pPr>
    </w:p>
    <w:tbl>
      <w:tblPr>
        <w:tblStyle w:val="17"/>
        <w:tblW w:w="54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
        <w:gridCol w:w="974"/>
        <w:gridCol w:w="94"/>
        <w:gridCol w:w="1639"/>
        <w:gridCol w:w="128"/>
        <w:gridCol w:w="1721"/>
        <w:gridCol w:w="156"/>
        <w:gridCol w:w="2636"/>
        <w:gridCol w:w="258"/>
        <w:gridCol w:w="190"/>
        <w:gridCol w:w="366"/>
        <w:gridCol w:w="588"/>
        <w:gridCol w:w="454"/>
        <w:gridCol w:w="491"/>
        <w:gridCol w:w="463"/>
        <w:gridCol w:w="579"/>
        <w:gridCol w:w="574"/>
        <w:gridCol w:w="361"/>
        <w:gridCol w:w="227"/>
        <w:gridCol w:w="349"/>
        <w:gridCol w:w="34"/>
        <w:gridCol w:w="335"/>
        <w:gridCol w:w="302"/>
        <w:gridCol w:w="1228"/>
        <w:gridCol w:w="27"/>
      </w:tblGrid>
      <w:tr w14:paraId="5C5A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4979" w:type="pct"/>
            <w:gridSpan w:val="23"/>
            <w:tcBorders>
              <w:top w:val="nil"/>
              <w:left w:val="nil"/>
              <w:bottom w:val="single" w:color="000000" w:sz="4" w:space="0"/>
              <w:right w:val="nil"/>
            </w:tcBorders>
            <w:shd w:val="clear" w:color="auto" w:fill="auto"/>
            <w:vAlign w:val="center"/>
          </w:tcPr>
          <w:p w14:paraId="67EC6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7F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9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D37E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398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E510553">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51081123Y000008868002-经济责任与自然资源资产责任审计</w:t>
            </w:r>
          </w:p>
        </w:tc>
      </w:tr>
      <w:tr w14:paraId="70FD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9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E6BF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E0C25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7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E11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99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5061D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4826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7D00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69FF">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31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D2A5C3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D1C5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780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BB68">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1633">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31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F2D5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8"/>
                <w:szCs w:val="18"/>
                <w:u w:val="none"/>
              </w:rPr>
            </w:pPr>
            <w:r>
              <w:rPr>
                <w:rStyle w:val="37"/>
                <w:rFonts w:hint="default" w:ascii="Times New Roman" w:hAnsi="Times New Roman" w:cs="Times New Roman"/>
                <w:lang w:val="en-US" w:eastAsia="zh-CN" w:bidi="ar"/>
              </w:rPr>
              <w:t>组织实施对区管党政主要领导干部及国有企事业单位主要领导人员的经济责任审计，承担区经济责任审计工作联席会议有关工作，组织开展区管党政主要领导干部及其他单位主要负责人自然资源资产离任审计以及自然资源管理、污染防治和生态保护与修复情况审计，指导和督促被审计单位整改审计发现的问题。</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71F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3649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220B">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2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0308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332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599D9C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0D72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42FF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C65F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A15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BCD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0E20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5FA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5CDC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5DB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16E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522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3CF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856D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237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77C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65CB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57B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77F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659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D805">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0F34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0EA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0030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9D73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0C0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E9957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AB7F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2C1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11FE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C1E9">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7374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156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83B5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6A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247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E3301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81F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E3FB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FBF4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3B71">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7183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4FB9">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12C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369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3D1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0BF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3D6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739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8C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838E">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558C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3CB2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4B1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B79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84A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5CE3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指标性质</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21E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E1F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2E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774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A5A9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6B15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976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B8D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56A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8EC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9AE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完成审计项目个数</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1EB6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AA2A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233F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35EB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A5C4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F338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8860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F91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E0B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EE8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611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6BA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发现问题个数</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7A5E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BD7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26EE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9589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03F7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FDCD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29BE">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1E88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6E2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511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3854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EA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每个项目现场审计时间</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AF62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C03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CC43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6F9E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2.5</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E49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DDC7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FA992">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118C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72E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4FF7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335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436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045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520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3E67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0CC9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F4EC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51B7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5BF2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624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F2A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5B5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6015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B47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促进自然资源生态环境保护</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C8AE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E377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8A34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BC16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0610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EDF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3422">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46D8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F9C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0BB7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A4C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072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被审计单位测评满意率</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F292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F6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6217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E3A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55A3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3068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BF423">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1C4A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960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8A0F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55E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838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审计业务办公费用限额</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0327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66DF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EB7A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2FE6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7CB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F4BB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51A4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EBE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9CE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20B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3CA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E3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费用限额</w:t>
            </w:r>
          </w:p>
        </w:tc>
        <w:tc>
          <w:tcPr>
            <w:tcW w:w="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009C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4959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90DD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83E8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25</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EAF8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845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7405">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79E5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98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A5F5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0A44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72BC">
            <w:pPr>
              <w:keepNext w:val="0"/>
              <w:keepLines w:val="0"/>
              <w:pageBreakBefore w:val="0"/>
              <w:widowControl/>
              <w:suppressLineNumbers w:val="0"/>
              <w:kinsoku/>
              <w:wordWrap/>
              <w:overflowPunct/>
              <w:topLinePunct w:val="0"/>
              <w:bidi w:val="0"/>
              <w:snapToGrid/>
              <w:spacing w:line="24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610E1">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4583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5013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0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F9905CF">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该项目自评总分100分，且按质按量的完成了2024年经济责任与自然资源资产审计项目。</w:t>
            </w:r>
          </w:p>
        </w:tc>
      </w:tr>
      <w:tr w14:paraId="3B56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D77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0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43451D4">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A9E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608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0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4DB6298">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FF0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9" w:type="pct"/>
          <w:trHeight w:val="306" w:hRule="atLeast"/>
          <w:jc w:val="center"/>
        </w:trPr>
        <w:tc>
          <w:tcPr>
            <w:tcW w:w="2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D46B23">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230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E3BE50">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r w14:paraId="6343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000" w:type="pct"/>
            <w:gridSpan w:val="25"/>
            <w:tcBorders>
              <w:top w:val="nil"/>
              <w:left w:val="nil"/>
              <w:bottom w:val="single" w:color="000000" w:sz="4" w:space="0"/>
              <w:right w:val="nil"/>
            </w:tcBorders>
            <w:shd w:val="clear" w:color="auto" w:fill="auto"/>
            <w:vAlign w:val="center"/>
          </w:tcPr>
          <w:p w14:paraId="1881A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1F3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50B5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6"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2CE2D14">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51081123Y000008868420-财政预算执行与宏观政策落实情况跟踪审计</w:t>
            </w:r>
          </w:p>
        </w:tc>
      </w:tr>
      <w:tr w14:paraId="0A89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A0B4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4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AD112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693" w:type="pct"/>
            <w:gridSpan w:val="4"/>
            <w:tcBorders>
              <w:top w:val="single" w:color="000000" w:sz="4" w:space="0"/>
              <w:left w:val="single" w:color="000000" w:sz="4" w:space="0"/>
              <w:bottom w:val="single" w:color="000000" w:sz="4" w:space="0"/>
              <w:right w:val="nil"/>
            </w:tcBorders>
            <w:shd w:val="clear" w:color="auto" w:fill="auto"/>
            <w:vAlign w:val="center"/>
          </w:tcPr>
          <w:p w14:paraId="5A9A5EA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88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C4306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66D9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39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E65D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337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C5916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919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645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CE3B">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C1CD">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337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B4425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组织审计区级预算执行情况、决算草案和其他财政收支，各乡镇政府和拣银岩街道办事处预算执行情况、决算和其他财政收支，审计工作报告、审计整改报告顺利通过区人大常委会审议；组织实施对国家、省、市、区有关重大政策措施贯彻落实情况的跟踪审计工作，承担相关业务审计或专项审计调查工作，指导和督促被审计单位整改审计发现的问题。   </w:t>
            </w:r>
          </w:p>
        </w:tc>
        <w:tc>
          <w:tcPr>
            <w:tcW w:w="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72E39">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5A00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B668">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2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673C8">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33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A60119D">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65CB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C72B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A552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9072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9069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1B35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478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预算执行率</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688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BD9F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04E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294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84D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41D4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7EB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B212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1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090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999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138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B906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D2FAC">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61A2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85BD">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A001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C08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AAB3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1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0E56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E63C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F2FA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484F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5B6B">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5E2A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BF7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EB38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E3DB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947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E54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B8F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65C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8F14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254C">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0B8C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E3F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C6B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D551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88EC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84930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8FD8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EC94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112D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9E6D">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026E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71F4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462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735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99AB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83BF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8D5D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E87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3B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A88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2059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F68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未完成原因分析</w:t>
            </w:r>
          </w:p>
        </w:tc>
      </w:tr>
      <w:tr w14:paraId="0F8F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6FF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8E7A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709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4997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跟踪审计次数</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45A0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613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D6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92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2047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FEF4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1509">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4282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A87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B42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C91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DF90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部门预算执行审计覆盖面</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D20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25E1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C2D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20C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716F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195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4E90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124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3B4E">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F67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CB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0517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揭示和反映问题个数</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56EE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240A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3677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A322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874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7BAA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691C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29E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EA8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96D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1EF4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C9E1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每个项目现场审计时间</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C063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DC19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F9A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ED0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6C63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4CBC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609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65D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083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9874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F3C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D745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FA8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5D41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9C2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057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A35E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25C5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552E">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1E1A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DCE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33B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FF5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739C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确保资金宏观政策能够利于民生</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BEB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0C64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444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C9EB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192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BF2D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1FDFE">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C0D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A5E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C4A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90AA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DD8D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被审计单位测评满意率</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A8CE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4F72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8613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E363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F26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F32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0EF8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E0A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BE6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D306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6140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6560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审计业务办公费用限额</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1EB6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E3B3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DAFF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8DA7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F82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DC81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E3E8">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7F8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442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6F8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45C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F9B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审计业务费用限额</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E8F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281F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8C7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43F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28</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6EF6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DF4F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5DDB1">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5D4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11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9E9F2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CD3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383CF">
            <w:pPr>
              <w:keepNext w:val="0"/>
              <w:keepLines w:val="0"/>
              <w:pageBreakBefore w:val="0"/>
              <w:widowControl/>
              <w:suppressLineNumbers w:val="0"/>
              <w:kinsoku/>
              <w:wordWrap/>
              <w:overflowPunct/>
              <w:topLinePunct w:val="0"/>
              <w:bidi w:val="0"/>
              <w:snapToGrid/>
              <w:spacing w:line="24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0C96">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1D4C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96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4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4218DB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该项目自评总分100分，且按质按量的完成了2024年财政预算执行与宏观政策落实跟踪项目审计。</w:t>
            </w:r>
          </w:p>
        </w:tc>
      </w:tr>
      <w:tr w14:paraId="10DA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3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6CD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4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23F829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761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E4D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4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69C4470">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9B1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0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5B4A0C8">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190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13AFCE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3FEE8E58">
      <w:pPr>
        <w:pStyle w:val="8"/>
        <w:keepNext w:val="0"/>
        <w:keepLines w:val="0"/>
        <w:pageBreakBefore w:val="0"/>
        <w:widowControl w:val="0"/>
        <w:kinsoku/>
        <w:wordWrap/>
        <w:overflowPunct/>
        <w:topLinePunct w:val="0"/>
        <w:autoSpaceDE w:val="0"/>
        <w:autoSpaceDN w:val="0"/>
        <w:bidi w:val="0"/>
        <w:adjustRightInd w:val="0"/>
        <w:snapToGrid/>
        <w:spacing w:line="60" w:lineRule="exact"/>
        <w:textAlignment w:val="auto"/>
        <w:rPr>
          <w:rFonts w:hint="default" w:ascii="Times New Roman" w:hAnsi="Times New Roman" w:cs="Times New Roman"/>
        </w:rPr>
      </w:pPr>
    </w:p>
    <w:tbl>
      <w:tblPr>
        <w:tblStyle w:val="17"/>
        <w:tblW w:w="55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1952"/>
        <w:gridCol w:w="1306"/>
        <w:gridCol w:w="657"/>
        <w:gridCol w:w="2699"/>
        <w:gridCol w:w="1012"/>
        <w:gridCol w:w="966"/>
        <w:gridCol w:w="1001"/>
        <w:gridCol w:w="935"/>
        <w:gridCol w:w="637"/>
        <w:gridCol w:w="672"/>
        <w:gridCol w:w="1192"/>
      </w:tblGrid>
      <w:tr w14:paraId="736B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5000" w:type="pct"/>
            <w:gridSpan w:val="12"/>
            <w:tcBorders>
              <w:top w:val="nil"/>
              <w:left w:val="nil"/>
              <w:bottom w:val="single" w:color="000000" w:sz="4" w:space="0"/>
              <w:right w:val="nil"/>
            </w:tcBorders>
            <w:shd w:val="clear" w:color="auto" w:fill="auto"/>
            <w:vAlign w:val="center"/>
          </w:tcPr>
          <w:p w14:paraId="2EC69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6AE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E010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387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E593C">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51081123Y000008868515-协助上级与市县交叉审计</w:t>
            </w:r>
          </w:p>
        </w:tc>
      </w:tr>
      <w:tr w14:paraId="2D1B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EF5E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5838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676" w:type="pct"/>
            <w:gridSpan w:val="2"/>
            <w:tcBorders>
              <w:top w:val="single" w:color="000000" w:sz="4" w:space="0"/>
              <w:left w:val="single" w:color="000000" w:sz="4" w:space="0"/>
              <w:bottom w:val="single" w:color="000000" w:sz="4" w:space="0"/>
              <w:right w:val="nil"/>
            </w:tcBorders>
            <w:shd w:val="clear" w:color="auto" w:fill="auto"/>
            <w:vAlign w:val="center"/>
          </w:tcPr>
          <w:p w14:paraId="04B2ABC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784D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4292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3F3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4CF52">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32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C98A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ACC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BAE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20319">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1A7F">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32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76F2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协助上级审计机关顺利完成各项审计任务，向市审计局提出年度区级预算执行和其他财政收支情况的审计结果报告；完成区委、区政府、上级审计机关临时交办审计项目，提高财政资金使用效益，促进财政增收节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74B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5E60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4613">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B8171">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341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337F1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0D13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61F9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27F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A07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6B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1460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B1A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预算执行率</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A0D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1D0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B5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347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913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AFA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270E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A0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9036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92E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8C2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5AD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20813">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3E0C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FED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D2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9792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F2B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A042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718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42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0CE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97A1">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1908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1DE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7DC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445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883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42D5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31A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240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1D6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B5A5">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37EC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7BA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322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D1C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292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FC24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8C4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884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39B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6650">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7F81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2689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0B6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28AC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21D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A7F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00C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A71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CC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3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CE3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44C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未完成原因分析</w:t>
            </w:r>
          </w:p>
        </w:tc>
      </w:tr>
      <w:tr w14:paraId="714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375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10D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65B5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F1A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完成审计项目个数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D8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C5F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219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734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6DF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EA5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E90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D29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9E4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602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91D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AED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促进上级审计项目推进进度</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337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AE8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3E6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20A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59D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AD9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D190">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388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804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C2B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F98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EA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每个项目现场审计时间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110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81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DC0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A21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74F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170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74F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78C8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43A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FBDB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D31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780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2A5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C76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E62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36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776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6D3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4852">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BC5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321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02A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9A38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DD1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保障资金的安全性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984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FCD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C80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BAC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446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D80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364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DFF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B30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2A2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820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6F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上级机关测评满意率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3EA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5F4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7F4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1F5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372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FFA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9F51">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20B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75B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8AB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3272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5B4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审计业务办公费用限额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2FF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2EF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A9F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84B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14E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DC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237">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34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917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185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E88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7C9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审计业务费用限额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963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41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E32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0CE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3F2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7C4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9DDB">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1DC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1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3A790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433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42DA">
            <w:pPr>
              <w:keepNext w:val="0"/>
              <w:keepLines w:val="0"/>
              <w:pageBreakBefore w:val="0"/>
              <w:widowControl/>
              <w:suppressLineNumbers w:val="0"/>
              <w:kinsoku/>
              <w:wordWrap/>
              <w:overflowPunct/>
              <w:topLinePunct w:val="0"/>
              <w:bidi w:val="0"/>
              <w:snapToGrid/>
              <w:spacing w:line="24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F390">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72A6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FF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55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BC4771">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该项目自评总分100分，且按质按量的完成了2024年协助上级与市县交叉审计项目。</w:t>
            </w:r>
          </w:p>
        </w:tc>
      </w:tr>
      <w:tr w14:paraId="279F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B8C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55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5DEF7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701D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BA6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55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2F4424">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DC6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1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BDDF33">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18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CAA6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5DA3AD1C">
      <w:pPr>
        <w:pStyle w:val="8"/>
        <w:keepNext w:val="0"/>
        <w:keepLines w:val="0"/>
        <w:pageBreakBefore w:val="0"/>
        <w:widowControl w:val="0"/>
        <w:kinsoku/>
        <w:wordWrap/>
        <w:overflowPunct/>
        <w:topLinePunct w:val="0"/>
        <w:autoSpaceDE w:val="0"/>
        <w:autoSpaceDN w:val="0"/>
        <w:bidi w:val="0"/>
        <w:adjustRightInd w:val="0"/>
        <w:snapToGrid/>
        <w:spacing w:line="60" w:lineRule="exact"/>
        <w:textAlignment w:val="auto"/>
        <w:rPr>
          <w:rFonts w:hint="default" w:ascii="Times New Roman" w:hAnsi="Times New Roman" w:cs="Times New Roman"/>
        </w:rPr>
      </w:pPr>
    </w:p>
    <w:tbl>
      <w:tblPr>
        <w:tblStyle w:val="17"/>
        <w:tblW w:w="14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1850"/>
        <w:gridCol w:w="1003"/>
        <w:gridCol w:w="917"/>
        <w:gridCol w:w="2883"/>
        <w:gridCol w:w="960"/>
        <w:gridCol w:w="1080"/>
        <w:gridCol w:w="76"/>
        <w:gridCol w:w="908"/>
        <w:gridCol w:w="1116"/>
        <w:gridCol w:w="696"/>
        <w:gridCol w:w="19"/>
        <w:gridCol w:w="629"/>
        <w:gridCol w:w="1203"/>
      </w:tblGrid>
      <w:tr w14:paraId="0924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exact"/>
          <w:jc w:val="center"/>
        </w:trPr>
        <w:tc>
          <w:tcPr>
            <w:tcW w:w="14311" w:type="dxa"/>
            <w:gridSpan w:val="14"/>
            <w:tcBorders>
              <w:top w:val="nil"/>
              <w:left w:val="nil"/>
              <w:bottom w:val="single" w:color="000000" w:sz="4" w:space="0"/>
              <w:right w:val="nil"/>
            </w:tcBorders>
            <w:shd w:val="clear" w:color="auto" w:fill="auto"/>
            <w:vAlign w:val="center"/>
          </w:tcPr>
          <w:p w14:paraId="29CD9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06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831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4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25D2D0">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51081123Y000008868785-审计整改督导与《审计志》编撰费用</w:t>
            </w:r>
          </w:p>
        </w:tc>
      </w:tr>
      <w:tr w14:paraId="5ED4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7FDC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9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B7E8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2024" w:type="dxa"/>
            <w:gridSpan w:val="2"/>
            <w:tcBorders>
              <w:top w:val="single" w:color="000000" w:sz="4" w:space="0"/>
              <w:left w:val="single" w:color="000000" w:sz="4" w:space="0"/>
              <w:bottom w:val="single" w:color="000000" w:sz="4" w:space="0"/>
              <w:right w:val="nil"/>
            </w:tcBorders>
            <w:shd w:val="clear" w:color="auto" w:fill="auto"/>
            <w:vAlign w:val="center"/>
          </w:tcPr>
          <w:p w14:paraId="187295D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6303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5DC0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011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08E0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96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DCFD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403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0CB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C6E3">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50AA">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96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D4872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依法检查审计决定执行情况，督促整改审计查出的问题，依法办理被审计单位对审计决定提请行政复议、行政诉讼或区政府裁决中的有关事项，协助配合有关部门查处相关重大案件，进一步督促被审计单位吸取教训、建章立制、堵塞漏洞、加强管理；按照区审计局工作职能和承载的工作范畴以及发展现状和工作实际，制定《审计志》编写大纲，以大纲为蓝本，按照志书规范要求，编纂《审计志》出版印刷样书。</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D5C8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4475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1CAC">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2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F5C8">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04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88E62">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4C0D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769F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49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35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F2C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F5A9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CF9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77B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56E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82C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25F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82C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D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46A2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9E5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4172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E9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E7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C94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F2F99">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210E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72B9">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5E8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8DDC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3C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6969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F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21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9A83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0C5B">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35F4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5CA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BD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5DF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E5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1741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1C0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263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FF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F8AA">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6EA4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86E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56A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064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904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E726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0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03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6E0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B32E">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59DD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E2E2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0D1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0A1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51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B27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17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735F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594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9CA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C145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AE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7"/>
                <w:w w:val="80"/>
                <w:kern w:val="0"/>
                <w:sz w:val="18"/>
                <w:szCs w:val="18"/>
                <w:u w:val="none"/>
                <w:lang w:val="en-US" w:eastAsia="zh-CN" w:bidi="ar"/>
              </w:rPr>
              <w:t>未完成原因分析</w:t>
            </w:r>
          </w:p>
        </w:tc>
      </w:tr>
      <w:tr w14:paraId="6507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549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FFAB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0416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01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督促整改审计项目个数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81E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87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37F1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4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81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E44E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7D4B">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5D8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5A99">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ED1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E10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ED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审计整改督导比率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EA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5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62CD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5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8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354C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6CD">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E34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C96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1E9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3B1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E55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审计工作职能覆盖比率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30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D8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43C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E00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C2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6758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2434">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21C2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12D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480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912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EE2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审计整改质量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58E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A6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47C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2AB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A6D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107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1B3">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2C11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FEF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9EB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1011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E6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4DD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482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444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AF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C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A8DB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EB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B13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851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D37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B0EA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CD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D8A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D6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93BF">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DB5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B19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037B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DDF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4C35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373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B4DE">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2C59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0C7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民生问题整改比率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BA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875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22E6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27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C2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2BCE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FDB0">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27E2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5C3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9D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194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5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被审计单位满意度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9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B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EB1F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E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C5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DCD8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34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4333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899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258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A92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866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《审计志》编撰费用限额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7C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1C5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E7D9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E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5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0B96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5644">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9DE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1EB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927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9DBE">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19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审计整改督导费用限额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50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FC2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E6B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93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C56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8CFA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2A88">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32B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E33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24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0FF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2401">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1CD6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D5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3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A59489">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该项目自评总分100分，且按质按量的完成了2024年审计整改督导工作。</w:t>
            </w:r>
          </w:p>
        </w:tc>
      </w:tr>
      <w:tr w14:paraId="4CA6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5C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3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B6B66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087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C5F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3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7E8445">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62F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286C0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57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D9B3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1C89C700">
      <w:pPr>
        <w:pStyle w:val="8"/>
        <w:keepNext w:val="0"/>
        <w:keepLines w:val="0"/>
        <w:pageBreakBefore w:val="0"/>
        <w:widowControl w:val="0"/>
        <w:kinsoku/>
        <w:wordWrap/>
        <w:overflowPunct/>
        <w:topLinePunct w:val="0"/>
        <w:autoSpaceDE w:val="0"/>
        <w:autoSpaceDN w:val="0"/>
        <w:bidi w:val="0"/>
        <w:adjustRightInd w:val="0"/>
        <w:snapToGrid/>
        <w:spacing w:line="60" w:lineRule="exact"/>
        <w:textAlignment w:val="auto"/>
        <w:rPr>
          <w:rFonts w:hint="default" w:ascii="Times New Roman" w:hAnsi="Times New Roman" w:cs="Times New Roman"/>
        </w:rPr>
      </w:pPr>
    </w:p>
    <w:tbl>
      <w:tblPr>
        <w:tblStyle w:val="17"/>
        <w:tblW w:w="14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1850"/>
        <w:gridCol w:w="1364"/>
        <w:gridCol w:w="556"/>
        <w:gridCol w:w="2655"/>
        <w:gridCol w:w="936"/>
        <w:gridCol w:w="984"/>
        <w:gridCol w:w="996"/>
        <w:gridCol w:w="1164"/>
        <w:gridCol w:w="684"/>
        <w:gridCol w:w="125"/>
        <w:gridCol w:w="571"/>
        <w:gridCol w:w="1403"/>
      </w:tblGrid>
      <w:tr w14:paraId="1485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14325" w:type="dxa"/>
            <w:gridSpan w:val="13"/>
            <w:tcBorders>
              <w:top w:val="nil"/>
              <w:left w:val="nil"/>
              <w:bottom w:val="single" w:color="000000" w:sz="4" w:space="0"/>
              <w:right w:val="nil"/>
            </w:tcBorders>
            <w:shd w:val="clear" w:color="auto" w:fill="auto"/>
            <w:vAlign w:val="center"/>
          </w:tcPr>
          <w:p w14:paraId="73EC4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DB3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E0A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217C8A">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51081124Y000011408910-交办事项、重大民生资金审计</w:t>
            </w:r>
          </w:p>
        </w:tc>
      </w:tr>
      <w:tr w14:paraId="1D31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5E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AE19D">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2160" w:type="dxa"/>
            <w:gridSpan w:val="2"/>
            <w:tcBorders>
              <w:top w:val="single" w:color="000000" w:sz="4" w:space="0"/>
              <w:left w:val="single" w:color="000000" w:sz="4" w:space="0"/>
              <w:bottom w:val="single" w:color="000000" w:sz="4" w:space="0"/>
              <w:right w:val="nil"/>
            </w:tcBorders>
            <w:shd w:val="clear" w:color="auto" w:fill="auto"/>
            <w:vAlign w:val="center"/>
          </w:tcPr>
          <w:p w14:paraId="1515966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6B0F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76B5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F08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F1286">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9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06F1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35E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56D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E1D1">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1DE1">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94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7800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spacing w:val="-6"/>
                <w:w w:val="90"/>
                <w:kern w:val="0"/>
                <w:sz w:val="18"/>
                <w:szCs w:val="18"/>
                <w:u w:val="none"/>
                <w:lang w:val="en-US" w:eastAsia="zh-CN" w:bidi="ar"/>
              </w:rPr>
              <w:t>完成区委、区政府临时交办的其他审计任务，指导和督促被审计单位整改审计发现的问题；组织审计农业农村及其他相关公共资金，组织审计区直有关部门管理和其他单位受区政府及其部门委托管理的社会保障资金、社会捐赠资金、安全生产和职业健康财政资金以及其他有关基金、资金的财务收支。通过对重点民生项目和资金的监督，着力揭示和反映落实政策不到位，资金管理使用等方面的问题，促进整改，提出建议，确保各项惠民政策实实在在的落实。</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88DC0">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17A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F7BB">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9EA2">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00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50B3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404F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572A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D81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A0E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E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D88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CD1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A11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14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437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F8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561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96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E0B7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33C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C34A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36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65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386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53A00">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63A9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025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9C5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6575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92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8883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ED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5DD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55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1B04">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4E48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FCC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65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66D3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05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4F73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496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56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784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6853">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4A5F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B56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51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841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69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272A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2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59C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DA6F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FC89E">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2606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559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32C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DB2E7">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411">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C6628">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20D">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81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705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9E67">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2A3C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49C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33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106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2A7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A2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0E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78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E1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F10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E7EE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5C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6"/>
                <w:w w:val="90"/>
                <w:kern w:val="0"/>
                <w:sz w:val="18"/>
                <w:szCs w:val="18"/>
                <w:u w:val="none"/>
                <w:lang w:val="en-US" w:eastAsia="zh-CN" w:bidi="ar"/>
              </w:rPr>
              <w:t>未完成原因分析</w:t>
            </w:r>
          </w:p>
        </w:tc>
      </w:tr>
      <w:tr w14:paraId="1951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1DB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B683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0871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38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现场审计次数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77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92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B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F6E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9C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660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B3C5">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12A9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B2B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4B84">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20D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4E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完成审计项目个数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6DE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E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FC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45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29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16A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7D4">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7419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591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923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610B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B3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揭示和反映问题个数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0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A4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43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4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538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05A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8C00">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302F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2A0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FC7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283A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B4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每个项目现场审计时间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300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D80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0A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BC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66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EA02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39C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603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B69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FA59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D83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9C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0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F5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A97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26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238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3F56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22D">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654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49E0">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2FA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D941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20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确保各项惠民政策落实</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1F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14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94D">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3D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3E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80FB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5759">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20F4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9B1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F40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A2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D5B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被审计单位测评满意率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93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E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3E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380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25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E4A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B4B0">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431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141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170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99C2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04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审计业务办公费用限额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468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A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8D3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2E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BD2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71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10D">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0F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850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0172">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0B11">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7BA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审计业务费用限额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79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12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57A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56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F5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1318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CA1D">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45CA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5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76D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0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8A1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11E">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1267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C3D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2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7C174B">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该项目自评总分100分，且按质按量的完成了2024年交办事项与重大民生资金审计。</w:t>
            </w:r>
          </w:p>
        </w:tc>
      </w:tr>
      <w:tr w14:paraId="55DB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BB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2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97684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BC9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3BA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2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B48384">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07F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3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06621">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59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5147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6EE76FD1">
      <w:pPr>
        <w:pStyle w:val="8"/>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tbl>
      <w:tblPr>
        <w:tblStyle w:val="17"/>
        <w:tblW w:w="14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4"/>
        <w:gridCol w:w="1830"/>
        <w:gridCol w:w="945"/>
        <w:gridCol w:w="1008"/>
        <w:gridCol w:w="2844"/>
        <w:gridCol w:w="1020"/>
        <w:gridCol w:w="948"/>
        <w:gridCol w:w="960"/>
        <w:gridCol w:w="1140"/>
        <w:gridCol w:w="420"/>
        <w:gridCol w:w="192"/>
        <w:gridCol w:w="648"/>
        <w:gridCol w:w="1397"/>
      </w:tblGrid>
      <w:tr w14:paraId="6BE5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14346" w:type="dxa"/>
            <w:gridSpan w:val="13"/>
            <w:tcBorders>
              <w:top w:val="nil"/>
              <w:left w:val="nil"/>
              <w:bottom w:val="single" w:color="000000" w:sz="4" w:space="0"/>
              <w:right w:val="nil"/>
            </w:tcBorders>
            <w:shd w:val="clear" w:color="auto" w:fill="auto"/>
            <w:vAlign w:val="center"/>
          </w:tcPr>
          <w:p w14:paraId="25CBE0D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EA5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D58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4C5E22">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51081122T000005283596-政府投资项目审计服务费</w:t>
            </w:r>
          </w:p>
        </w:tc>
      </w:tr>
      <w:tr w14:paraId="46D5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28D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656DC">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广元市昭化区审计局部门</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70B86D7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0573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广元市昭化区审计局</w:t>
            </w:r>
          </w:p>
        </w:tc>
      </w:tr>
      <w:tr w14:paraId="5E50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55E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E4A1">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668B1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BDFF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A0B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02D1">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D14D">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8ECDE">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承担审计机关委托社会中介机构参与政府投资项目的审计服务费，进而保证外聘中介机构参与政府投资审计的独立性，规避审计服务费用由被审计单位支付，保障审计量，强化财政资金监管。</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99DE">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项目均按照年度目标完成。</w:t>
            </w:r>
          </w:p>
        </w:tc>
      </w:tr>
      <w:tr w14:paraId="4DF2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BF8C">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3C1AD">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05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FBDA6F">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项目均按照《广元市昭化区审计局2024年度审计项目计划实施方案》（昭审发〔2024〕3号）规定内容按质按量完成。</w:t>
            </w:r>
          </w:p>
        </w:tc>
      </w:tr>
      <w:tr w14:paraId="27D3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ED08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9B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97E4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C4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E14D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AD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154A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10D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9B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040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96FC">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93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5B8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92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0D4C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61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75D2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4A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01EF1">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3FA2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2E5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14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840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79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132C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4D5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42.63%</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E40B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2E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6126">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5D6B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1E9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1A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4D94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96E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FF76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7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C2DD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A05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CA2F">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58B1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4FD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0A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A730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77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6DF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628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88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5EB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6F81">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112A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EE55">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AE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1A5D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D93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A7F6A">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A71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6FE6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1F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F076">
            <w:pPr>
              <w:keepNext w:val="0"/>
              <w:keepLines w:val="0"/>
              <w:pageBreakBefore w:val="0"/>
              <w:kinsoku/>
              <w:wordWrap/>
              <w:overflowPunct/>
              <w:topLinePunct w:val="0"/>
              <w:bidi w:val="0"/>
              <w:snapToGrid/>
              <w:spacing w:line="240" w:lineRule="atLeast"/>
              <w:rPr>
                <w:rFonts w:hint="default" w:ascii="Times New Roman" w:hAnsi="Times New Roman" w:eastAsia="黑体" w:cs="Times New Roman"/>
                <w:i/>
                <w:iCs/>
                <w:color w:val="000000"/>
                <w:sz w:val="18"/>
                <w:szCs w:val="18"/>
                <w:u w:val="none"/>
              </w:rPr>
            </w:pPr>
          </w:p>
        </w:tc>
      </w:tr>
      <w:tr w14:paraId="4F7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4744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30B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2A9D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38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909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6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83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DD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D016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18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426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6"/>
                <w:w w:val="90"/>
                <w:kern w:val="0"/>
                <w:sz w:val="18"/>
                <w:szCs w:val="18"/>
                <w:u w:val="none"/>
                <w:lang w:val="en-US" w:eastAsia="zh-CN" w:bidi="ar"/>
              </w:rPr>
              <w:t>未完成原因分析</w:t>
            </w:r>
          </w:p>
        </w:tc>
      </w:tr>
      <w:tr w14:paraId="3821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EDD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A1E3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5390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99C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完成审计项目个数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D5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E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B6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7BC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7EC0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B9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786">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07AF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E2D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B4DA">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3341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00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促进政府投资项目推进进度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0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8B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DE0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13E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A591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DB3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D217">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F82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170E">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C828">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D73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453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任务完成及时率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B2A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BA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10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710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4BA7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5A1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6BCC">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566B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09F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14E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56C9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958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资金使用效率及合规、合法性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EC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DD9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516">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E7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FC18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3C8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9A7">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5BB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932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663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EFF6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8A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政府投资审计项目社会影响力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0D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F5F8">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明显提高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E2B">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6B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明显提高</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E755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C63">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6F0F">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CB6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3713">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4ED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11A7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AF8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社会中介机构测评满意率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D0EE">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1FBC">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9B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7B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97</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8A0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08B">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6C51">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7E39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29A7">
            <w:pPr>
              <w:keepNext w:val="0"/>
              <w:keepLines w:val="0"/>
              <w:pageBreakBefore w:val="0"/>
              <w:kinsoku/>
              <w:wordWrap/>
              <w:overflowPunct/>
              <w:topLinePunct w:val="0"/>
              <w:bidi w:val="0"/>
              <w:snapToGrid/>
              <w:spacing w:line="240" w:lineRule="atLeast"/>
              <w:jc w:val="center"/>
              <w:rPr>
                <w:rFonts w:hint="default" w:ascii="Times New Roman" w:hAnsi="Times New Roman" w:eastAsia="宋体" w:cs="Times New Roman"/>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64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316A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F95">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聘请中介机构费用限额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197">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5812">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286D">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CC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7BC61">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B82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0F5">
            <w:pPr>
              <w:keepNext w:val="0"/>
              <w:keepLines w:val="0"/>
              <w:pageBreakBefore w:val="0"/>
              <w:kinsoku/>
              <w:wordWrap/>
              <w:overflowPunct/>
              <w:topLinePunct w:val="0"/>
              <w:bidi w:val="0"/>
              <w:snapToGrid/>
              <w:spacing w:line="240" w:lineRule="atLeast"/>
              <w:jc w:val="center"/>
              <w:rPr>
                <w:rFonts w:hint="default" w:ascii="Times New Roman" w:hAnsi="Times New Roman" w:eastAsia="微软雅黑" w:cs="Times New Roman"/>
                <w:i/>
                <w:iCs/>
                <w:color w:val="000000"/>
                <w:sz w:val="16"/>
                <w:szCs w:val="16"/>
                <w:u w:val="none"/>
              </w:rPr>
            </w:pPr>
          </w:p>
        </w:tc>
      </w:tr>
      <w:tr w14:paraId="6D0C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6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17EBB4">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625F">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4B9">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9F8">
            <w:pPr>
              <w:keepNext w:val="0"/>
              <w:keepLines w:val="0"/>
              <w:pageBreakBefore w:val="0"/>
              <w:kinsoku/>
              <w:wordWrap/>
              <w:overflowPunct/>
              <w:topLinePunct w:val="0"/>
              <w:bidi w:val="0"/>
              <w:snapToGrid/>
              <w:spacing w:line="240" w:lineRule="atLeast"/>
              <w:rPr>
                <w:rFonts w:hint="default" w:ascii="Times New Roman" w:hAnsi="Times New Roman" w:eastAsia="宋体" w:cs="Times New Roman"/>
                <w:i w:val="0"/>
                <w:iCs w:val="0"/>
                <w:color w:val="000000"/>
                <w:sz w:val="18"/>
                <w:szCs w:val="18"/>
                <w:u w:val="none"/>
              </w:rPr>
            </w:pPr>
          </w:p>
        </w:tc>
      </w:tr>
      <w:tr w14:paraId="7747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286A">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3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25A97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该项目自评总分100分，且对2024年政府投资项目审计服务费如期实现了支付。</w:t>
            </w:r>
          </w:p>
        </w:tc>
      </w:tr>
      <w:tr w14:paraId="0713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C40">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3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4C93B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1FE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FE66">
            <w:pPr>
              <w:keepNext w:val="0"/>
              <w:keepLines w:val="0"/>
              <w:pageBreakBefore w:val="0"/>
              <w:widowControl/>
              <w:suppressLineNumbers w:val="0"/>
              <w:kinsoku/>
              <w:wordWrap/>
              <w:overflowPunct/>
              <w:topLinePunct w:val="0"/>
              <w:bidi w:val="0"/>
              <w:snapToGrid/>
              <w:spacing w:line="240" w:lineRule="atLeas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3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033EDA3">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1196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6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0A846">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项目负责人：周艳</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CA6657">
            <w:pPr>
              <w:keepNext w:val="0"/>
              <w:keepLines w:val="0"/>
              <w:pageBreakBefore w:val="0"/>
              <w:widowControl/>
              <w:suppressLineNumbers w:val="0"/>
              <w:kinsoku/>
              <w:wordWrap/>
              <w:overflowPunct/>
              <w:topLinePunct w:val="0"/>
              <w:bidi w:val="0"/>
              <w:snapToGrid/>
              <w:spacing w:line="240" w:lineRule="atLeas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财务负责人：王辛</w:t>
            </w:r>
          </w:p>
        </w:tc>
      </w:tr>
    </w:tbl>
    <w:p w14:paraId="66783356">
      <w:pPr>
        <w:rPr>
          <w:rFonts w:hint="default" w:ascii="Times New Roman" w:hAnsi="Times New Roman" w:cs="Times New Roman"/>
          <w:lang w:val="en-US" w:eastAsia="zh-CN"/>
        </w:rPr>
        <w:sectPr>
          <w:footerReference r:id="rId9" w:type="first"/>
          <w:footerReference r:id="rId8" w:type="default"/>
          <w:pgSz w:w="16838" w:h="11906" w:orient="landscape"/>
          <w:pgMar w:top="1587" w:right="2098" w:bottom="1474" w:left="1984" w:header="737" w:footer="567" w:gutter="0"/>
          <w:pgNumType w:fmt="decimal"/>
          <w:cols w:space="0" w:num="1"/>
          <w:titlePg/>
          <w:rtlGutter w:val="0"/>
          <w:docGrid w:type="lines" w:linePitch="312" w:charSpace="0"/>
        </w:sect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 xml:space="preserve">第五部分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附表</w:t>
      </w:r>
      <w:bookmarkEnd w:id="34"/>
      <w:bookmarkEnd w:id="35"/>
      <w:bookmarkStart w:id="36" w:name="_Toc15396619"/>
    </w:p>
    <w:p w14:paraId="5F23836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341164AE">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36"/>
    </w:p>
    <w:p w14:paraId="79F49AF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37" w:name="_Toc15396620"/>
      <w:r>
        <w:rPr>
          <w:rFonts w:hint="default" w:ascii="Times New Roman" w:hAnsi="Times New Roman" w:eastAsia="仿宋_GB2312" w:cs="Times New Roman"/>
          <w:color w:val="auto"/>
          <w:sz w:val="32"/>
          <w:szCs w:val="32"/>
          <w:highlight w:val="none"/>
        </w:rPr>
        <w:t>二、收入决算表</w:t>
      </w:r>
      <w:bookmarkEnd w:id="37"/>
    </w:p>
    <w:p w14:paraId="175A04F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38" w:name="_Toc15396621"/>
      <w:r>
        <w:rPr>
          <w:rFonts w:hint="default" w:ascii="Times New Roman" w:hAnsi="Times New Roman" w:eastAsia="仿宋_GB2312" w:cs="Times New Roman"/>
          <w:color w:val="auto"/>
          <w:sz w:val="32"/>
          <w:szCs w:val="32"/>
          <w:highlight w:val="none"/>
        </w:rPr>
        <w:t>三、支出决算表</w:t>
      </w:r>
      <w:bookmarkEnd w:id="38"/>
    </w:p>
    <w:p w14:paraId="1D61D43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39" w:name="_Toc15396622"/>
      <w:r>
        <w:rPr>
          <w:rFonts w:hint="default" w:ascii="Times New Roman" w:hAnsi="Times New Roman" w:eastAsia="仿宋_GB2312" w:cs="Times New Roman"/>
          <w:color w:val="auto"/>
          <w:sz w:val="32"/>
          <w:szCs w:val="32"/>
          <w:highlight w:val="none"/>
        </w:rPr>
        <w:t>四、财政拨款收入支出决算总表</w:t>
      </w:r>
      <w:bookmarkEnd w:id="39"/>
    </w:p>
    <w:p w14:paraId="22301EA6">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0" w:name="_Toc15396623"/>
      <w:r>
        <w:rPr>
          <w:rFonts w:hint="default" w:ascii="Times New Roman" w:hAnsi="Times New Roman" w:eastAsia="仿宋_GB2312" w:cs="Times New Roman"/>
          <w:color w:val="auto"/>
          <w:sz w:val="32"/>
          <w:szCs w:val="32"/>
          <w:highlight w:val="none"/>
        </w:rPr>
        <w:t>五、财政拨款支出决算明细表</w:t>
      </w:r>
      <w:bookmarkEnd w:id="40"/>
      <w:bookmarkStart w:id="41" w:name="_Toc15396624"/>
    </w:p>
    <w:p w14:paraId="42D56FD3">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41"/>
    </w:p>
    <w:p w14:paraId="2AD535B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2" w:name="_Toc15396625"/>
      <w:r>
        <w:rPr>
          <w:rFonts w:hint="default" w:ascii="Times New Roman" w:hAnsi="Times New Roman" w:eastAsia="仿宋_GB2312" w:cs="Times New Roman"/>
          <w:color w:val="auto"/>
          <w:sz w:val="32"/>
          <w:szCs w:val="32"/>
          <w:highlight w:val="none"/>
        </w:rPr>
        <w:t>七、一般公共预算财政拨款支出决算明细表</w:t>
      </w:r>
      <w:bookmarkEnd w:id="42"/>
    </w:p>
    <w:p w14:paraId="3B92F1FA">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3" w:name="_Toc15396626"/>
      <w:r>
        <w:rPr>
          <w:rFonts w:hint="default" w:ascii="Times New Roman" w:hAnsi="Times New Roman" w:eastAsia="仿宋_GB2312" w:cs="Times New Roman"/>
          <w:color w:val="auto"/>
          <w:sz w:val="32"/>
          <w:szCs w:val="32"/>
          <w:highlight w:val="none"/>
        </w:rPr>
        <w:t>八、一般公共预算财政拨款基本支出决算表</w:t>
      </w:r>
      <w:bookmarkEnd w:id="43"/>
    </w:p>
    <w:p w14:paraId="310080F9">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4" w:name="_Toc15396627"/>
      <w:r>
        <w:rPr>
          <w:rFonts w:hint="default" w:ascii="Times New Roman" w:hAnsi="Times New Roman" w:eastAsia="仿宋_GB2312" w:cs="Times New Roman"/>
          <w:color w:val="auto"/>
          <w:sz w:val="32"/>
          <w:szCs w:val="32"/>
          <w:highlight w:val="none"/>
        </w:rPr>
        <w:t>九、一般公共预算财政拨款项目支出决算表</w:t>
      </w:r>
      <w:bookmarkEnd w:id="44"/>
    </w:p>
    <w:p w14:paraId="78345F4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5" w:name="_Toc15396628"/>
      <w:r>
        <w:rPr>
          <w:rFonts w:hint="default" w:ascii="Times New Roman" w:hAnsi="Times New Roman" w:eastAsia="仿宋_GB2312" w:cs="Times New Roman"/>
          <w:color w:val="auto"/>
          <w:sz w:val="32"/>
          <w:szCs w:val="32"/>
          <w:highlight w:val="none"/>
        </w:rPr>
        <w:t>十、</w:t>
      </w:r>
      <w:bookmarkEnd w:id="45"/>
      <w:r>
        <w:rPr>
          <w:rFonts w:hint="default" w:ascii="Times New Roman" w:hAnsi="Times New Roman" w:eastAsia="仿宋_GB2312" w:cs="Times New Roman"/>
          <w:color w:val="auto"/>
          <w:sz w:val="32"/>
          <w:szCs w:val="32"/>
          <w:highlight w:val="none"/>
        </w:rPr>
        <w:t>政府性基金预算财政拨款收入支出决算表</w:t>
      </w:r>
    </w:p>
    <w:p w14:paraId="1C57B81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6" w:name="_Toc15396629"/>
      <w:r>
        <w:rPr>
          <w:rFonts w:hint="default" w:ascii="Times New Roman" w:hAnsi="Times New Roman" w:eastAsia="仿宋_GB2312" w:cs="Times New Roman"/>
          <w:color w:val="auto"/>
          <w:sz w:val="32"/>
          <w:szCs w:val="32"/>
          <w:highlight w:val="none"/>
        </w:rPr>
        <w:t>十一、</w:t>
      </w:r>
      <w:bookmarkEnd w:id="46"/>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0206D3A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7" w:name="_Toc15396630"/>
      <w:r>
        <w:rPr>
          <w:rFonts w:hint="default" w:ascii="Times New Roman" w:hAnsi="Times New Roman" w:eastAsia="仿宋_GB2312" w:cs="Times New Roman"/>
          <w:color w:val="auto"/>
          <w:sz w:val="32"/>
          <w:szCs w:val="32"/>
          <w:highlight w:val="none"/>
        </w:rPr>
        <w:t>十二、</w:t>
      </w:r>
      <w:bookmarkEnd w:id="47"/>
      <w:r>
        <w:rPr>
          <w:rFonts w:hint="default" w:ascii="Times New Roman" w:hAnsi="Times New Roman" w:eastAsia="仿宋_GB2312" w:cs="Times New Roman"/>
          <w:color w:val="auto"/>
          <w:sz w:val="32"/>
          <w:szCs w:val="32"/>
          <w:highlight w:val="none"/>
          <w:lang w:eastAsia="zh-CN"/>
        </w:rPr>
        <w:t>国有资本经营预算财政拨款支出决算表</w:t>
      </w:r>
    </w:p>
    <w:p w14:paraId="332387F2">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default" w:ascii="Times New Roman" w:hAnsi="Times New Roman" w:cs="Times New Roman"/>
          <w:sz w:val="32"/>
          <w:szCs w:val="32"/>
          <w:lang w:eastAsia="zh-CN"/>
        </w:rPr>
      </w:pPr>
      <w:bookmarkStart w:id="48" w:name="_Toc15396631"/>
      <w:r>
        <w:rPr>
          <w:rFonts w:hint="default" w:ascii="Times New Roman" w:hAnsi="Times New Roman" w:eastAsia="仿宋_GB2312" w:cs="Times New Roman"/>
          <w:color w:val="auto"/>
          <w:sz w:val="32"/>
          <w:szCs w:val="32"/>
          <w:highlight w:val="none"/>
        </w:rPr>
        <w:t>十三、</w:t>
      </w:r>
      <w:bookmarkEnd w:id="48"/>
      <w:r>
        <w:rPr>
          <w:rFonts w:hint="default" w:ascii="Times New Roman" w:hAnsi="Times New Roman" w:eastAsia="仿宋_GB2312" w:cs="Times New Roman"/>
          <w:color w:val="auto"/>
          <w:sz w:val="32"/>
          <w:szCs w:val="32"/>
          <w:highlight w:val="none"/>
          <w:lang w:eastAsia="zh-CN"/>
        </w:rPr>
        <w:t>财政拨款“三公”经费支出决算表</w:t>
      </w:r>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96179">
                          <w:pPr>
                            <w:pStyle w:val="1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96179">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7DA2EBE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795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D99F3">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9D99F3">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15D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1F2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2E1F2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112B76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2"/>
    </w:pPr>
    <w:r>
      <w:rPr>
        <w:sz w:val="18"/>
      </w:rPr>
      <mc:AlternateContent>
        <mc:Choice Requires="wps">
          <w:drawing>
            <wp:anchor distT="0" distB="0" distL="114300" distR="114300" simplePos="0" relativeHeight="251662336" behindDoc="0" locked="0" layoutInCell="1" allowOverlap="1">
              <wp:simplePos x="0" y="0"/>
              <wp:positionH relativeFrom="margin">
                <wp:posOffset>15240</wp:posOffset>
              </wp:positionH>
              <wp:positionV relativeFrom="paragraph">
                <wp:posOffset>-253365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1E6EF">
                          <w:pPr>
                            <w:pStyle w:val="1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pt;margin-top:-19.95pt;height:144pt;width:144pt;mso-position-horizontal-relative:margin;mso-wrap-style:none;z-index:251662336;mso-width-relative:page;mso-height-relative:page;" filled="f" stroked="f" coordsize="21600,21600" o:gfxdata="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K16AdUAAAAJ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1C01E6EF">
                    <w:pPr>
                      <w:pStyle w:val="1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0721">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-253365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350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95pt;height:144pt;width:144pt;mso-position-horizontal:outside;mso-position-horizontal-relative:margin;mso-wrap-style:none;z-index:251663360;mso-width-relative:page;mso-height-relative:page;" filled="f" stroked="f" coordsize="21600,21600" o:gfxdata="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JpSa1gAAAAgBAAAPAAAAAAAAAAEAIAAAACIAAABkcnMvZG93bnJldi54bWxQ&#10;SwECFAAUAAAACACHTuJALlZmfjICAABjBAAADgAAAAAAAAABACAAAAAlAQAAZHJzL2Uyb0RvYy54&#10;bWxQSwUGAAAAAAYABgBZAQAAyQUAAAAA&#10;">
              <v:fill on="f" focussize="0,0"/>
              <v:stroke on="f" weight="0.5pt"/>
              <v:imagedata o:title=""/>
              <o:lock v:ext="edit" aspectratio="f"/>
              <v:textbox inset="0mm,0mm,0mm,0mm" style="mso-fit-shape-to-text:t;">
                <w:txbxContent>
                  <w:p w14:paraId="14EE350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9E71EB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2B06">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-253365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6E7D5">
                          <w:pPr>
                            <w:pStyle w:val="1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95pt;height:144pt;width:144pt;mso-position-horizontal:outside;mso-position-horizontal-relative:margin;mso-wrap-style:none;z-index:251664384;mso-width-relative:page;mso-height-relative:page;" filled="f" stroked="f" coordsize="21600,21600" o:gfxdata="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QYphG&#10;xU8/vp9+Ppx+fSM4g0CNCzPE3TtExvadbRE8nAccJt5t5XX6ghGBH/IeL/KKNhKeLk0n02kOF4dv&#10;2AA/e7zufIjvhdUkGQX1qF8nKztsQuxDh5CUzdi1VKqroTKkKejV67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JpSa1gAAAAgBAAAPAAAAAAAAAAEAIAAAACIAAABkcnMvZG93bnJldi54bWxQ&#10;SwECFAAUAAAACACHTuJAIwUTnTICAABjBAAADgAAAAAAAAABACAAAAAlAQAAZHJzL2Uyb0RvYy54&#10;bWxQSwUGAAAAAAYABgBZAQAAyQUAAAAA&#10;">
              <v:fill on="f" focussize="0,0"/>
              <v:stroke on="f" weight="0.5pt"/>
              <v:imagedata o:title=""/>
              <o:lock v:ext="edit" aspectratio="f"/>
              <v:textbox inset="0mm,0mm,0mm,0mm" style="mso-fit-shape-to-text:t;">
                <w:txbxContent>
                  <w:p w14:paraId="3E86E7D5">
                    <w:pPr>
                      <w:pStyle w:val="1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E4603"/>
    <w:multiLevelType w:val="singleLevel"/>
    <w:tmpl w:val="13DE46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A2DD9"/>
    <w:rsid w:val="015975B8"/>
    <w:rsid w:val="02FEBE30"/>
    <w:rsid w:val="03B15391"/>
    <w:rsid w:val="04273641"/>
    <w:rsid w:val="04916F1E"/>
    <w:rsid w:val="06041631"/>
    <w:rsid w:val="061E35DE"/>
    <w:rsid w:val="066E0107"/>
    <w:rsid w:val="06BC02D5"/>
    <w:rsid w:val="07996F6E"/>
    <w:rsid w:val="07DFD8BA"/>
    <w:rsid w:val="084F2ED5"/>
    <w:rsid w:val="09867E8F"/>
    <w:rsid w:val="09930631"/>
    <w:rsid w:val="0A2032A3"/>
    <w:rsid w:val="0A2148F3"/>
    <w:rsid w:val="0A9E6FA0"/>
    <w:rsid w:val="0AC30636"/>
    <w:rsid w:val="0B331380"/>
    <w:rsid w:val="0B7913B9"/>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D50BC4"/>
    <w:rsid w:val="145C371B"/>
    <w:rsid w:val="14B17F78"/>
    <w:rsid w:val="165E0673"/>
    <w:rsid w:val="16B831D5"/>
    <w:rsid w:val="16BB723D"/>
    <w:rsid w:val="17BC3C60"/>
    <w:rsid w:val="17E50567"/>
    <w:rsid w:val="186504BB"/>
    <w:rsid w:val="19A445FC"/>
    <w:rsid w:val="1A266374"/>
    <w:rsid w:val="1BBF0F0E"/>
    <w:rsid w:val="1BE8440E"/>
    <w:rsid w:val="1CE63CF9"/>
    <w:rsid w:val="1D021C88"/>
    <w:rsid w:val="1D155CEE"/>
    <w:rsid w:val="1D1638FE"/>
    <w:rsid w:val="1E312DEB"/>
    <w:rsid w:val="1E740ACF"/>
    <w:rsid w:val="1EF04B68"/>
    <w:rsid w:val="1F8B4EC7"/>
    <w:rsid w:val="1FF35744"/>
    <w:rsid w:val="1FF6BC77"/>
    <w:rsid w:val="201D2648"/>
    <w:rsid w:val="2186353C"/>
    <w:rsid w:val="23860B96"/>
    <w:rsid w:val="240371BF"/>
    <w:rsid w:val="244F3473"/>
    <w:rsid w:val="24C97D99"/>
    <w:rsid w:val="25A718F0"/>
    <w:rsid w:val="25BB59F6"/>
    <w:rsid w:val="260F557C"/>
    <w:rsid w:val="26970054"/>
    <w:rsid w:val="281408E2"/>
    <w:rsid w:val="29FD04D3"/>
    <w:rsid w:val="2B8B30E0"/>
    <w:rsid w:val="2BBD05CD"/>
    <w:rsid w:val="2BFF7BC6"/>
    <w:rsid w:val="2C7D5DC7"/>
    <w:rsid w:val="2C8A61B5"/>
    <w:rsid w:val="2CC73FC4"/>
    <w:rsid w:val="2D9477AB"/>
    <w:rsid w:val="2DA80DA1"/>
    <w:rsid w:val="2DF04E50"/>
    <w:rsid w:val="2E586DFA"/>
    <w:rsid w:val="2F040D46"/>
    <w:rsid w:val="2F6B035B"/>
    <w:rsid w:val="2FAE5751"/>
    <w:rsid w:val="2FB1A395"/>
    <w:rsid w:val="2FD9A7D8"/>
    <w:rsid w:val="2FDBF714"/>
    <w:rsid w:val="30A864ED"/>
    <w:rsid w:val="30AB6865"/>
    <w:rsid w:val="30F46B5D"/>
    <w:rsid w:val="319F7F4E"/>
    <w:rsid w:val="31B772F8"/>
    <w:rsid w:val="31D54993"/>
    <w:rsid w:val="32103C84"/>
    <w:rsid w:val="32BD1EF1"/>
    <w:rsid w:val="3304709D"/>
    <w:rsid w:val="33A773CB"/>
    <w:rsid w:val="346E05B1"/>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74563"/>
    <w:rsid w:val="3D98207C"/>
    <w:rsid w:val="3DEE7CF3"/>
    <w:rsid w:val="3E740A63"/>
    <w:rsid w:val="3E78745D"/>
    <w:rsid w:val="3EE17838"/>
    <w:rsid w:val="3F55381A"/>
    <w:rsid w:val="3F7F7599"/>
    <w:rsid w:val="3FF4CAE0"/>
    <w:rsid w:val="3FF7B227"/>
    <w:rsid w:val="410450ED"/>
    <w:rsid w:val="41AD7188"/>
    <w:rsid w:val="44E268DA"/>
    <w:rsid w:val="450D13D7"/>
    <w:rsid w:val="452463AD"/>
    <w:rsid w:val="45506656"/>
    <w:rsid w:val="45B47580"/>
    <w:rsid w:val="45D00592"/>
    <w:rsid w:val="46353A70"/>
    <w:rsid w:val="466B37D3"/>
    <w:rsid w:val="478461EE"/>
    <w:rsid w:val="486A6C7A"/>
    <w:rsid w:val="4A627F82"/>
    <w:rsid w:val="4B0E749A"/>
    <w:rsid w:val="4B2477C4"/>
    <w:rsid w:val="4B4F25DA"/>
    <w:rsid w:val="4B903C5B"/>
    <w:rsid w:val="4BE068DB"/>
    <w:rsid w:val="4CE4720A"/>
    <w:rsid w:val="4D372C3B"/>
    <w:rsid w:val="4D577224"/>
    <w:rsid w:val="4DBF1CEB"/>
    <w:rsid w:val="4DF0007C"/>
    <w:rsid w:val="4EAB630A"/>
    <w:rsid w:val="4ECE2238"/>
    <w:rsid w:val="4F833267"/>
    <w:rsid w:val="4FE9BD67"/>
    <w:rsid w:val="4FFB052F"/>
    <w:rsid w:val="51E563AB"/>
    <w:rsid w:val="51E97071"/>
    <w:rsid w:val="537E6D0A"/>
    <w:rsid w:val="53F74C96"/>
    <w:rsid w:val="55170BA8"/>
    <w:rsid w:val="553218C9"/>
    <w:rsid w:val="553A1364"/>
    <w:rsid w:val="56116BDA"/>
    <w:rsid w:val="56446336"/>
    <w:rsid w:val="567E1AA5"/>
    <w:rsid w:val="56E47B74"/>
    <w:rsid w:val="57175D52"/>
    <w:rsid w:val="571B7984"/>
    <w:rsid w:val="57BD3DD4"/>
    <w:rsid w:val="57C41DCA"/>
    <w:rsid w:val="592C545B"/>
    <w:rsid w:val="597E3492"/>
    <w:rsid w:val="5AF92295"/>
    <w:rsid w:val="5B250254"/>
    <w:rsid w:val="5B351EBB"/>
    <w:rsid w:val="5BDD79E6"/>
    <w:rsid w:val="5BF561CA"/>
    <w:rsid w:val="5BFC4C54"/>
    <w:rsid w:val="5BFF5DFC"/>
    <w:rsid w:val="5C202D8B"/>
    <w:rsid w:val="5CD71FC4"/>
    <w:rsid w:val="5D1F11B5"/>
    <w:rsid w:val="5D695134"/>
    <w:rsid w:val="5D724260"/>
    <w:rsid w:val="5DAE1B18"/>
    <w:rsid w:val="5DE7D9E5"/>
    <w:rsid w:val="5ECEC941"/>
    <w:rsid w:val="5EDF3926"/>
    <w:rsid w:val="5F177DFA"/>
    <w:rsid w:val="5F5B3D91"/>
    <w:rsid w:val="5FBF9FF3"/>
    <w:rsid w:val="5FCD4E2C"/>
    <w:rsid w:val="5FEF394A"/>
    <w:rsid w:val="5FF67715"/>
    <w:rsid w:val="623D18A4"/>
    <w:rsid w:val="62BF3928"/>
    <w:rsid w:val="63B3701E"/>
    <w:rsid w:val="647F5392"/>
    <w:rsid w:val="65E66580"/>
    <w:rsid w:val="664B1D71"/>
    <w:rsid w:val="664B4E8E"/>
    <w:rsid w:val="66840416"/>
    <w:rsid w:val="67277B67"/>
    <w:rsid w:val="67571BA1"/>
    <w:rsid w:val="67AA3209"/>
    <w:rsid w:val="698D0931"/>
    <w:rsid w:val="6A7FE5F3"/>
    <w:rsid w:val="6A89220C"/>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2233669"/>
    <w:rsid w:val="72734D90"/>
    <w:rsid w:val="72DA6468"/>
    <w:rsid w:val="73160E6D"/>
    <w:rsid w:val="7332FE48"/>
    <w:rsid w:val="73AB61DA"/>
    <w:rsid w:val="73AD73D5"/>
    <w:rsid w:val="73B6EB34"/>
    <w:rsid w:val="73FA497D"/>
    <w:rsid w:val="744731E5"/>
    <w:rsid w:val="74BBD01D"/>
    <w:rsid w:val="74ED5379"/>
    <w:rsid w:val="75DEEEC2"/>
    <w:rsid w:val="75E32345"/>
    <w:rsid w:val="76E3355F"/>
    <w:rsid w:val="76FF5125"/>
    <w:rsid w:val="772C33D8"/>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6733B"/>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ody Text Indent 2"/>
    <w:basedOn w:val="1"/>
    <w:qFormat/>
    <w:uiPriority w:val="0"/>
    <w:pPr>
      <w:ind w:firstLine="420" w:firstLineChars="2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2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9885</Words>
  <Characters>10675</Characters>
  <Lines>61</Lines>
  <Paragraphs>17</Paragraphs>
  <TotalTime>29</TotalTime>
  <ScaleCrop>false</ScaleCrop>
  <LinksUpToDate>false</LinksUpToDate>
  <CharactersWithSpaces>10729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王简</cp:lastModifiedBy>
  <cp:lastPrinted>2025-09-23T03:21:47Z</cp:lastPrinted>
  <dcterms:modified xsi:type="dcterms:W3CDTF">2025-09-23T03:26:04Z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4084D17496AA41C68454972A0A4FE9C5_13</vt:lpwstr>
  </property>
  <property fmtid="{D5CDD505-2E9C-101B-9397-08002B2CF9AE}" pid="4" name="KSOTemplateDocerSaveRecord">
    <vt:lpwstr>eyJoZGlkIjoiODdjNmM2ZDE4MmE2YTM3MDA2ODcxZjA5YWNiNjdjMWEiLCJ1c2VySWQiOiIyNTQ0ODM2MDMifQ==</vt:lpwstr>
  </property>
</Properties>
</file>