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44D26">
      <w:pPr>
        <w:pStyle w:val="16"/>
        <w:tabs>
          <w:tab w:val="right" w:leader="dot" w:pos="8845"/>
        </w:tabs>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广元市昭化区审计局</w:t>
      </w:r>
    </w:p>
    <w:p w14:paraId="7B2F2B61">
      <w:pPr>
        <w:pStyle w:val="16"/>
        <w:tabs>
          <w:tab w:val="right" w:leader="dot" w:pos="8845"/>
        </w:tabs>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2025年部门预算编制说明</w:t>
      </w:r>
    </w:p>
    <w:p w14:paraId="4F967E8D">
      <w:pPr>
        <w:jc w:val="center"/>
        <w:rPr>
          <w:rFonts w:hint="default" w:ascii="Times New Roman" w:hAnsi="Times New Roman" w:eastAsia="黑体" w:cs="Times New Roman"/>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77233"/>
        <w15:color w:val="DBDBDB"/>
        <w:docPartObj>
          <w:docPartGallery w:val="Table of Contents"/>
          <w:docPartUnique/>
        </w:docPartObj>
      </w:sdtPr>
      <w:sdtEndPr>
        <w:rPr>
          <w:rFonts w:hint="eastAsia" w:ascii="仿宋_GB2312" w:hAnsi="仿宋_GB2312" w:eastAsia="仿宋_GB2312" w:cs="仿宋_GB2312"/>
          <w:b/>
          <w:bCs/>
          <w:color w:val="auto"/>
          <w:kern w:val="2"/>
          <w:sz w:val="32"/>
          <w:szCs w:val="32"/>
          <w:lang w:val="en-US" w:eastAsia="zh-CN" w:bidi="ar-SA"/>
        </w:rPr>
      </w:sdtEndPr>
      <w:sdtContent>
        <w:p w14:paraId="02D94D8D">
          <w:pPr>
            <w:spacing w:before="0" w:beforeLines="0" w:after="0" w:afterLines="0" w:line="240" w:lineRule="auto"/>
            <w:ind w:left="0" w:leftChars="0" w:right="0" w:rightChars="0" w:firstLine="0" w:firstLineChars="0"/>
            <w:jc w:val="center"/>
          </w:pPr>
        </w:p>
        <w:p w14:paraId="7888D415">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TOC \o "1-2" \h \u</w:instrText>
          </w:r>
          <w:r>
            <w:rPr>
              <w:rFonts w:hint="eastAsia" w:ascii="仿宋_GB2312" w:hAnsi="仿宋_GB2312" w:eastAsia="仿宋_GB2312" w:cs="仿宋_GB2312"/>
              <w:b w:val="0"/>
              <w:bCs/>
              <w:sz w:val="32"/>
              <w:szCs w:val="32"/>
            </w:rPr>
            <w:fldChar w:fldCharType="separate"/>
          </w:r>
          <w:r>
            <w:fldChar w:fldCharType="begin"/>
          </w:r>
          <w:r>
            <w:instrText xml:space="preserve"> HYPERLINK \l "_Toc9905" </w:instrText>
          </w:r>
          <w:r>
            <w:fldChar w:fldCharType="separate"/>
          </w:r>
          <w:r>
            <w:rPr>
              <w:rFonts w:hint="eastAsia" w:ascii="仿宋_GB2312" w:hAnsi="仿宋_GB2312" w:eastAsia="仿宋_GB2312" w:cs="仿宋_GB2312"/>
              <w:b/>
              <w:sz w:val="32"/>
              <w:szCs w:val="32"/>
              <w:lang w:val="en-US" w:eastAsia="zh-CN"/>
            </w:rPr>
            <w:t>一、基本职能及主要工作</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_Toc9905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3B8C994">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"_Toc27807" </w:instrText>
          </w:r>
          <w:r>
            <w:fldChar w:fldCharType="separate"/>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广元市昭化区审计局</w:t>
          </w:r>
          <w:r>
            <w:rPr>
              <w:rFonts w:hint="eastAsia" w:ascii="仿宋_GB2312" w:hAnsi="仿宋_GB2312" w:eastAsia="仿宋_GB2312" w:cs="仿宋_GB2312"/>
              <w:sz w:val="32"/>
              <w:szCs w:val="32"/>
            </w:rPr>
            <w:t>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5BE1626">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"_Toc17032" </w:instrText>
          </w:r>
          <w: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广元市昭化区审计局</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36AE1A9">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"_Toc17951" </w:instrText>
          </w:r>
          <w:r>
            <w:fldChar w:fldCharType="separate"/>
          </w:r>
          <w:r>
            <w:rPr>
              <w:rFonts w:hint="eastAsia" w:ascii="仿宋_GB2312" w:hAnsi="仿宋_GB2312" w:eastAsia="仿宋_GB2312" w:cs="仿宋_GB2312"/>
              <w:b/>
              <w:sz w:val="32"/>
              <w:szCs w:val="32"/>
              <w:lang w:val="en-US" w:eastAsia="zh-CN"/>
            </w:rPr>
            <w:t>二、部门预算单位构成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_Toc17951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2A18011E">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"_Toc30227" </w:instrText>
          </w:r>
          <w:r>
            <w:fldChar w:fldCharType="separate"/>
          </w:r>
          <w:r>
            <w:rPr>
              <w:rFonts w:hint="eastAsia" w:ascii="仿宋_GB2312" w:hAnsi="仿宋_GB2312" w:eastAsia="仿宋_GB2312" w:cs="仿宋_GB2312"/>
              <w:b/>
              <w:sz w:val="32"/>
              <w:szCs w:val="32"/>
              <w:lang w:val="en-US" w:eastAsia="zh-CN"/>
            </w:rPr>
            <w:t>三、收支预算情况说明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_Toc30227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FC0D78E">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"_Toc5633" </w:instrText>
          </w:r>
          <w: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_Toc5633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F1856D0">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"_Toc18183" </w:instrText>
          </w:r>
          <w: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_Toc18183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5CAD22">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"_Toc24818" </w:instrText>
          </w:r>
          <w:r>
            <w:fldChar w:fldCharType="separate"/>
          </w:r>
          <w:r>
            <w:rPr>
              <w:rFonts w:hint="eastAsia" w:ascii="仿宋_GB2312" w:hAnsi="仿宋_GB2312" w:eastAsia="仿宋_GB2312" w:cs="仿宋_GB2312"/>
              <w:b/>
              <w:sz w:val="32"/>
              <w:szCs w:val="32"/>
              <w:lang w:val="en-US" w:eastAsia="zh-CN"/>
            </w:rPr>
            <w:t>四、财政拨款收支预算情况说明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_Toc24818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225E7905">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"_Toc11755" </w:instrText>
          </w:r>
          <w:r>
            <w:fldChar w:fldCharType="separate"/>
          </w:r>
          <w:r>
            <w:rPr>
              <w:rFonts w:hint="eastAsia" w:ascii="仿宋_GB2312" w:hAnsi="仿宋_GB2312" w:eastAsia="仿宋_GB2312" w:cs="仿宋_GB2312"/>
              <w:b/>
              <w:sz w:val="32"/>
              <w:szCs w:val="32"/>
              <w:lang w:val="en-US" w:eastAsia="zh-CN"/>
            </w:rPr>
            <w:t>五、一般公共预算当年拨款情况说明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_Toc11755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72C3274">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"_Toc20931" </w:instrText>
          </w:r>
          <w: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E862B18">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"_Toc29990" </w:instrText>
          </w:r>
          <w: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0877D9">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"_Toc4271" </w:instrText>
          </w:r>
          <w:r>
            <w:fldChar w:fldCharType="separate"/>
          </w:r>
          <w:r>
            <w:rPr>
              <w:rFonts w:hint="eastAsia" w:ascii="仿宋_GB2312" w:hAnsi="仿宋_GB2312" w:eastAsia="仿宋_GB2312" w:cs="仿宋_GB2312"/>
              <w:sz w:val="32"/>
              <w:szCs w:val="32"/>
              <w:lang w:val="en-US" w:eastAsia="zh-CN"/>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5125693">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"_Toc21932" </w:instrText>
          </w:r>
          <w:r>
            <w:fldChar w:fldCharType="separate"/>
          </w:r>
          <w:r>
            <w:rPr>
              <w:rFonts w:hint="eastAsia" w:ascii="仿宋_GB2312" w:hAnsi="仿宋_GB2312" w:eastAsia="仿宋_GB2312" w:cs="仿宋_GB2312"/>
              <w:b/>
              <w:sz w:val="32"/>
              <w:szCs w:val="32"/>
              <w:lang w:val="en-US" w:eastAsia="zh-CN"/>
            </w:rPr>
            <w:t>六、一般公共预算基本支出情况说明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_Toc21932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C016C5B">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"_Toc1498" </w:instrText>
          </w:r>
          <w:r>
            <w:fldChar w:fldCharType="separate"/>
          </w:r>
          <w:r>
            <w:rPr>
              <w:rFonts w:hint="eastAsia" w:ascii="仿宋_GB2312" w:hAnsi="仿宋_GB2312" w:eastAsia="仿宋_GB2312" w:cs="仿宋_GB2312"/>
              <w:b/>
              <w:sz w:val="32"/>
              <w:szCs w:val="32"/>
              <w:lang w:val="en-US" w:eastAsia="zh-CN"/>
            </w:rPr>
            <w:t>七、“三公”经费财政拨款预算安排情况说明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_Toc1498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8576F72">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"_Toc26125" </w:instrText>
          </w:r>
          <w:r>
            <w:fldChar w:fldCharType="separate"/>
          </w:r>
          <w:r>
            <w:rPr>
              <w:rFonts w:hint="eastAsia" w:ascii="仿宋_GB2312" w:hAnsi="仿宋_GB2312" w:eastAsia="仿宋_GB2312" w:cs="仿宋_GB2312"/>
              <w:sz w:val="32"/>
              <w:szCs w:val="32"/>
              <w:lang w:val="en-US" w:eastAsia="zh-CN"/>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_Toc26125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0848A74">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"_Toc26793" </w:instrText>
          </w:r>
          <w:r>
            <w:fldChar w:fldCharType="separate"/>
          </w:r>
          <w:r>
            <w:rPr>
              <w:rFonts w:hint="eastAsia" w:ascii="仿宋_GB2312" w:hAnsi="仿宋_GB2312" w:eastAsia="仿宋_GB2312" w:cs="仿宋_GB2312"/>
              <w:sz w:val="32"/>
              <w:szCs w:val="32"/>
              <w:lang w:val="en-US" w:eastAsia="zh-CN"/>
            </w:rPr>
            <w:t>（二）公务用车购置及运行维护费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_Toc26793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8A7C17F">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"_Toc22251" </w:instrText>
          </w:r>
          <w:r>
            <w:fldChar w:fldCharType="separate"/>
          </w:r>
          <w:r>
            <w:rPr>
              <w:rFonts w:hint="eastAsia" w:ascii="仿宋_GB2312" w:hAnsi="仿宋_GB2312" w:eastAsia="仿宋_GB2312" w:cs="仿宋_GB2312"/>
              <w:sz w:val="32"/>
              <w:szCs w:val="32"/>
              <w:lang w:val="en-US" w:eastAsia="zh-CN"/>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_Toc22251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05B9670">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"_Toc19162" </w:instrText>
          </w:r>
          <w:r>
            <w:fldChar w:fldCharType="separate"/>
          </w:r>
          <w:r>
            <w:rPr>
              <w:rFonts w:hint="eastAsia" w:ascii="仿宋_GB2312" w:hAnsi="仿宋_GB2312" w:eastAsia="仿宋_GB2312" w:cs="仿宋_GB2312"/>
              <w:b/>
              <w:sz w:val="32"/>
              <w:szCs w:val="32"/>
              <w:lang w:val="en-US" w:eastAsia="zh-CN"/>
            </w:rPr>
            <w:t>八、政府性基金预算支出情况说明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_Toc19162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037DDB5">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"_Toc4124" </w:instrText>
          </w:r>
          <w:r>
            <w:fldChar w:fldCharType="separate"/>
          </w:r>
          <w:r>
            <w:rPr>
              <w:rFonts w:hint="eastAsia" w:ascii="仿宋_GB2312" w:hAnsi="仿宋_GB2312" w:eastAsia="仿宋_GB2312" w:cs="仿宋_GB2312"/>
              <w:b/>
              <w:sz w:val="32"/>
              <w:szCs w:val="32"/>
              <w:lang w:val="en-US" w:eastAsia="zh-CN"/>
            </w:rPr>
            <w:t>九、国有资本经营预算支出情况说明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_Toc4124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5C794A4">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"_Toc1430" </w:instrText>
          </w:r>
          <w:r>
            <w:fldChar w:fldCharType="separate"/>
          </w:r>
          <w:r>
            <w:rPr>
              <w:rFonts w:hint="eastAsia" w:ascii="仿宋_GB2312" w:hAnsi="仿宋_GB2312" w:eastAsia="仿宋_GB2312" w:cs="仿宋_GB2312"/>
              <w:b/>
              <w:sz w:val="32"/>
              <w:szCs w:val="32"/>
              <w:lang w:val="en-US" w:eastAsia="zh-CN"/>
            </w:rPr>
            <w:t>十、其他重要事项的情况说明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_Toc1430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F3923BE">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"_Toc7187" </w:instrText>
          </w:r>
          <w:r>
            <w:fldChar w:fldCharType="separate"/>
          </w:r>
          <w:r>
            <w:rPr>
              <w:rFonts w:hint="eastAsia" w:ascii="仿宋_GB2312" w:hAnsi="仿宋_GB2312" w:eastAsia="仿宋_GB2312" w:cs="仿宋_GB2312"/>
              <w:sz w:val="32"/>
              <w:szCs w:val="32"/>
              <w:lang w:val="en-US" w:eastAsia="zh-CN"/>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_Toc7187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860587C">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"_Toc24526" </w:instrText>
          </w:r>
          <w:r>
            <w:fldChar w:fldCharType="separate"/>
          </w:r>
          <w:r>
            <w:rPr>
              <w:rFonts w:hint="eastAsia" w:ascii="仿宋_GB2312" w:hAnsi="仿宋_GB2312" w:eastAsia="仿宋_GB2312" w:cs="仿宋_GB2312"/>
              <w:sz w:val="32"/>
              <w:szCs w:val="32"/>
              <w:lang w:val="en-US" w:eastAsia="zh-CN"/>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0ABB7C9">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"_Toc31544" </w:instrText>
          </w:r>
          <w:r>
            <w:fldChar w:fldCharType="separate"/>
          </w:r>
          <w:r>
            <w:rPr>
              <w:rFonts w:hint="eastAsia" w:ascii="仿宋_GB2312" w:hAnsi="仿宋_GB2312" w:eastAsia="仿宋_GB2312" w:cs="仿宋_GB2312"/>
              <w:sz w:val="32"/>
              <w:szCs w:val="32"/>
              <w:lang w:val="en-US" w:eastAsia="zh-CN"/>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A636751">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"_Toc16534" </w:instrText>
          </w:r>
          <w:r>
            <w:fldChar w:fldCharType="separate"/>
          </w:r>
          <w:r>
            <w:rPr>
              <w:rFonts w:hint="eastAsia" w:ascii="仿宋_GB2312" w:hAnsi="仿宋_GB2312" w:eastAsia="仿宋_GB2312" w:cs="仿宋_GB2312"/>
              <w:sz w:val="32"/>
              <w:szCs w:val="32"/>
              <w:lang w:val="en-US" w:eastAsia="zh-CN"/>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_Toc16534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CF243C">
          <w:pPr>
            <w:pStyle w:val="15"/>
            <w:tabs>
              <w:tab w:val="right" w:leader="dot" w:pos="8845"/>
            </w:tabs>
            <w:rPr>
              <w:rFonts w:hint="eastAsia" w:ascii="仿宋_GB2312" w:hAnsi="仿宋_GB2312" w:eastAsia="仿宋_GB2312" w:cs="仿宋_GB2312"/>
              <w:b/>
              <w:bCs/>
              <w:sz w:val="32"/>
              <w:szCs w:val="32"/>
            </w:rPr>
          </w:pPr>
          <w:r>
            <w:fldChar w:fldCharType="begin"/>
          </w:r>
          <w:r>
            <w:instrText xml:space="preserve"> HYPERLINK \l "_Toc1882" </w:instrText>
          </w:r>
          <w:r>
            <w:fldChar w:fldCharType="separate"/>
          </w:r>
          <w:r>
            <w:rPr>
              <w:rFonts w:hint="eastAsia" w:ascii="仿宋_GB2312" w:hAnsi="仿宋_GB2312" w:eastAsia="仿宋_GB2312" w:cs="仿宋_GB2312"/>
              <w:b/>
              <w:sz w:val="32"/>
              <w:szCs w:val="32"/>
              <w:lang w:val="en-US" w:eastAsia="zh-CN"/>
            </w:rPr>
            <w:t>十一、名词解释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_Toc1882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10</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bCs/>
              <w:sz w:val="32"/>
              <w:szCs w:val="32"/>
            </w:rPr>
            <w:fldChar w:fldCharType="end"/>
          </w:r>
        </w:p>
      </w:sdtContent>
    </w:sdt>
    <w:p w14:paraId="2560376D">
      <w:pPr>
        <w:pStyle w:val="15"/>
        <w:tabs>
          <w:tab w:val="right" w:leader="dot" w:pos="8845"/>
        </w:tabs>
        <w:rPr>
          <w:rFonts w:hint="eastAsia" w:ascii="仿宋_GB2312" w:hAnsi="仿宋_GB2312" w:eastAsia="仿宋_GB2312" w:cs="仿宋_GB2312"/>
          <w:b/>
          <w:bCs/>
          <w:sz w:val="32"/>
          <w:szCs w:val="32"/>
        </w:rPr>
      </w:pPr>
    </w:p>
    <w:p w14:paraId="2DCC6C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bookmarkStart w:id="0" w:name="_Toc6342"/>
    </w:p>
    <w:p w14:paraId="37673D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1" w:name="_Toc9905"/>
      <w:r>
        <w:rPr>
          <w:rFonts w:hint="default" w:ascii="Times New Roman" w:hAnsi="Times New Roman" w:eastAsia="黑体" w:cs="Times New Roman"/>
          <w:sz w:val="32"/>
          <w:szCs w:val="32"/>
          <w:lang w:val="en-US" w:eastAsia="zh-CN"/>
        </w:rPr>
        <w:t>一、基本职能及主要工作</w:t>
      </w:r>
      <w:bookmarkEnd w:id="0"/>
      <w:bookmarkEnd w:id="1"/>
    </w:p>
    <w:p w14:paraId="6D4F01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rPr>
      </w:pPr>
      <w:bookmarkStart w:id="2" w:name="_Toc27807"/>
      <w:bookmarkStart w:id="3" w:name="_Toc22531"/>
      <w:bookmarkStart w:id="4" w:name="_Toc15681"/>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val="en-US" w:eastAsia="zh-CN"/>
        </w:rPr>
        <w:t>广元市昭化区审计局</w:t>
      </w:r>
      <w:r>
        <w:rPr>
          <w:rFonts w:hint="default" w:ascii="Times New Roman" w:hAnsi="Times New Roman" w:eastAsia="楷体_GB2312" w:cs="Times New Roman"/>
          <w:sz w:val="32"/>
          <w:szCs w:val="32"/>
        </w:rPr>
        <w:t>职能简介</w:t>
      </w:r>
      <w:bookmarkEnd w:id="2"/>
      <w:bookmarkEnd w:id="3"/>
      <w:bookmarkEnd w:id="4"/>
    </w:p>
    <w:p w14:paraId="6C584D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主管全区审计工作。负责对区级财政收支和法律法规规定属于审计监督范围的财务收支的真实、合法和效益进行审计监督，对公共资金、国有资产、国有资源和领导干部履行经济责任情况实行审计全覆盖，对领导干部实行自然资源资产离任审计，对国家、省、市、区有关重大政策措施贯彻落实情况进行跟踪审计。对审计、专项审计调查和核查社会审计机构相关审计报告的结果承担责任，并负有督促被审计单位整改的责任。</w:t>
      </w:r>
    </w:p>
    <w:p w14:paraId="48180D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贯彻执行国家有关审计工作的方针政策和法律法规。起草地方性审计相关规定，拟订全区审计规范性文件，负责本部门依法行政工作。制定并组织实施全区专业领域审计工作规划。对直接审计、调查和核查的事项依法进行审计评价，作出审计决定或提出审计建议。</w:t>
      </w:r>
    </w:p>
    <w:p w14:paraId="0BAADD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向区委审计委员会提出年度区级预算执行和其他财政支出情况审计报告。向区政府和市审计局提出年度区级预算执行和其他财政收支情况的审计结果报告。受区政府委托向区人大常委会提出区级预算执行和其他财政收支情况的审计工作报告、审计查出问题整改情况报告。向区委、区政府报告对其他事项的审计和专项审计调查情况及结果。依法向社会公布审计结果。向区有关部门和乡镇党委、政府通报审计情况和审计结果。</w:t>
      </w:r>
    </w:p>
    <w:p w14:paraId="299C77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直接审计下列事项，出具审计报告，在法定职权范围内作出审计决定：国家、省、市、区有关重大政策措施贯彻落实情况；区级预算执行情况和其他财政收支，区直各部门（含直属单位）预算执行情况、决算草案和其他财政收支；各乡镇政府预算执行情况、决算和其他财政收支；使用区级财政资金的事业单位（含直属单位）和社会团体的财务收支；区级政府投资和以区级政府投资为主的建设项目的预算执行情况和决算，区级重大公共工程项目的资金管理使用和建设运营情况；自然资源管理、污染防治和生态保护与修复情况；区属国有企业和地方金融机构、国有资本占控股或主导地位的企业和金融机构境内外资产、负债和损益，区政府及有关部门驻外非经营性机构的财务收支；有关社会保障基金、社会捐赠资金、安全生产和职业健康财政资金以及其他基金、资金的财务收支；法律法规规定的其他事项。</w:t>
      </w:r>
    </w:p>
    <w:p w14:paraId="176939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按规定对区管党政主要领导干部及其他单位主要负责人实施经济责任审计和自然资源资产离任审计。</w:t>
      </w:r>
    </w:p>
    <w:p w14:paraId="1BED0E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组织实施对国家财经法律法规、规章、政策和宏观调控措施执行情况、财政预算管理及国有资产管理使用等与区级财政收支有关的特定事项进行专项审计调查。</w:t>
      </w:r>
    </w:p>
    <w:p w14:paraId="4F101E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依法检查审计决定执行情况，督促整改审计查出的问题，依法办理被审计单位对审计决定提请行政复议、行政诉讼或区政府裁决中的有关事项，协助配合有关部门查处相关重大案件。</w:t>
      </w:r>
    </w:p>
    <w:p w14:paraId="71B1CE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指导和监督内部审计工作，核查社会审计机构对依法属于审计监督对象的单位出具的相关审计报告。</w:t>
      </w:r>
    </w:p>
    <w:p w14:paraId="5C9942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组织开展审计领域内的国际交流与合作。依法组织开展国际组织和外国政府援助、贷款项目的财务收支审计；指导和组织开展信息技术在审计领域的应用。</w:t>
      </w:r>
    </w:p>
    <w:p w14:paraId="4E2E5A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负责职责范围内的安全生产和职业健康、生态环境保护、审批服务便民化等工作。</w:t>
      </w:r>
    </w:p>
    <w:p w14:paraId="5C373C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完成区委、区政府交办的其他任务。</w:t>
      </w:r>
    </w:p>
    <w:p w14:paraId="5A32D7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进一步理顺内部职责关系，优化审计资源配置，充实加强一线审计力量，构建集中统一、全面覆盖、权威高效的审计监督体系。优化审计工作机制，坚持科技强审，完善业务流程，改进工作方式，加强与有关部门的沟通协调，充分调动内部审计和社会审计力量，增强监督合力。</w:t>
      </w:r>
    </w:p>
    <w:p w14:paraId="29B9AF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rPr>
      </w:pPr>
      <w:bookmarkStart w:id="5" w:name="_Toc10220"/>
      <w:bookmarkStart w:id="6" w:name="_Toc17032"/>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val="en-US" w:eastAsia="zh-CN"/>
        </w:rPr>
        <w:t>广元市昭化区审计局</w:t>
      </w:r>
      <w:r>
        <w:rPr>
          <w:rFonts w:hint="default" w:ascii="Times New Roman" w:hAnsi="Times New Roman" w:eastAsia="楷体_GB2312" w:cs="Times New Roman"/>
          <w:sz w:val="32"/>
          <w:szCs w:val="32"/>
          <w:lang w:val="en-US"/>
        </w:rPr>
        <w:t>202</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年重点工作</w:t>
      </w:r>
      <w:bookmarkEnd w:id="5"/>
      <w:bookmarkEnd w:id="6"/>
    </w:p>
    <w:p w14:paraId="52FDF466">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区审计局将坚持以习近平新时代中国特色社会主义思想为指导，进一步提高政治站位、强化政治担当，深入学习贯彻习近平总书记关于审计工作的重要指示批示精神，认真落实党中央和省委、市委、区委关于审计工作各项部署，进一步聚焦主责主业、更好汇聚审计力量、切实提升监督质效，以有力有效的审计监督保障昭化经济社会高质量发展。</w:t>
      </w:r>
    </w:p>
    <w:p w14:paraId="1D901336">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color w:val="000000"/>
          <w:kern w:val="0"/>
          <w:sz w:val="32"/>
          <w:szCs w:val="32"/>
          <w:lang w:val="en-US" w:eastAsia="zh-CN"/>
        </w:rPr>
        <w:t>1.</w:t>
      </w:r>
      <w:r>
        <w:rPr>
          <w:rFonts w:hint="default" w:ascii="Times New Roman" w:hAnsi="Times New Roman" w:eastAsia="楷体_GB2312" w:cs="Times New Roman"/>
          <w:b w:val="0"/>
          <w:bCs w:val="0"/>
          <w:color w:val="000000"/>
          <w:kern w:val="0"/>
          <w:sz w:val="32"/>
          <w:szCs w:val="32"/>
        </w:rPr>
        <w:t>坚持党对一切工作的领导。</w:t>
      </w:r>
      <w:r>
        <w:rPr>
          <w:rFonts w:hint="default" w:ascii="Times New Roman" w:hAnsi="Times New Roman" w:eastAsia="仿宋_GB2312" w:cs="Times New Roman"/>
          <w:sz w:val="32"/>
          <w:szCs w:val="32"/>
          <w:lang w:val="en-US" w:eastAsia="zh-CN"/>
        </w:rPr>
        <w:t>严格落实重大事项请示报告制度，切实履行区委审计委员会办公室工作职责，加大统筹管理和联动力度，形成工作合力。坚决把中央、省委、市委、区委的决策部署和工作要求贯穿谋划审计工作、履行审计职责、实施审计项目全过程，积极拓展审计监督的广度和深度，实现审计与发展大局深度融合。</w:t>
      </w:r>
    </w:p>
    <w:p w14:paraId="2943FC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color w:val="000000"/>
          <w:kern w:val="0"/>
          <w:sz w:val="32"/>
          <w:szCs w:val="32"/>
          <w:lang w:val="en-US" w:eastAsia="zh-CN"/>
        </w:rPr>
        <w:t>2.权威高效开展</w:t>
      </w:r>
      <w:r>
        <w:rPr>
          <w:rFonts w:hint="default" w:ascii="Times New Roman" w:hAnsi="Times New Roman" w:eastAsia="楷体_GB2312" w:cs="Times New Roman"/>
          <w:b w:val="0"/>
          <w:bCs w:val="0"/>
          <w:color w:val="000000"/>
          <w:kern w:val="0"/>
          <w:sz w:val="32"/>
          <w:szCs w:val="32"/>
        </w:rPr>
        <w:t>审计监督。</w:t>
      </w:r>
      <w:r>
        <w:rPr>
          <w:rFonts w:hint="default" w:ascii="Times New Roman" w:hAnsi="Times New Roman" w:eastAsia="仿宋_GB2312" w:cs="Times New Roman"/>
          <w:sz w:val="32"/>
          <w:szCs w:val="32"/>
          <w:lang w:val="en-US" w:eastAsia="zh-CN"/>
        </w:rPr>
        <w:t>紧扣上级各项决策部署和区委中心工作，聚焦高质量发展首要任务、区委“1456”发展战略实施以及民生保障、权力运行等领域开展审计监督，确保审计监督谋在点子上、审在关键处，对存在的问题审深审透，以重点监督带动全面监督，全面提升审计服务中心大局的质量和水平。完整准确全面贯彻新发展理念、构建新发展格局、推动高质量发展对审计工作提出的新要求新任务，立足经济监督定位，持续推进研究型审计，强化大数据审计应用，依法履行审计监督职责。</w:t>
      </w:r>
    </w:p>
    <w:p w14:paraId="3109F3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color w:val="000000"/>
          <w:kern w:val="0"/>
          <w:sz w:val="32"/>
          <w:szCs w:val="32"/>
          <w:lang w:val="en-US" w:eastAsia="zh-CN"/>
        </w:rPr>
        <w:t>3.</w:t>
      </w:r>
      <w:r>
        <w:rPr>
          <w:rFonts w:hint="default" w:ascii="Times New Roman" w:hAnsi="Times New Roman" w:eastAsia="楷体_GB2312" w:cs="Times New Roman"/>
          <w:b w:val="0"/>
          <w:bCs w:val="0"/>
          <w:color w:val="000000"/>
          <w:kern w:val="0"/>
          <w:sz w:val="32"/>
          <w:szCs w:val="32"/>
        </w:rPr>
        <w:t>扎实</w:t>
      </w:r>
      <w:r>
        <w:rPr>
          <w:rFonts w:hint="default" w:ascii="Times New Roman" w:hAnsi="Times New Roman" w:eastAsia="楷体_GB2312" w:cs="Times New Roman"/>
          <w:b w:val="0"/>
          <w:bCs w:val="0"/>
          <w:color w:val="000000"/>
          <w:kern w:val="0"/>
          <w:sz w:val="32"/>
          <w:szCs w:val="32"/>
          <w:lang w:val="en-US" w:eastAsia="zh-CN"/>
        </w:rPr>
        <w:t>有力抓</w:t>
      </w:r>
      <w:r>
        <w:rPr>
          <w:rFonts w:hint="default" w:ascii="Times New Roman" w:hAnsi="Times New Roman" w:eastAsia="楷体_GB2312" w:cs="Times New Roman"/>
          <w:b w:val="0"/>
          <w:bCs w:val="0"/>
          <w:color w:val="000000"/>
          <w:kern w:val="0"/>
          <w:sz w:val="32"/>
          <w:szCs w:val="32"/>
        </w:rPr>
        <w:t>好审计整改。</w:t>
      </w:r>
      <w:r>
        <w:rPr>
          <w:rFonts w:hint="default" w:ascii="Times New Roman" w:hAnsi="Times New Roman" w:eastAsia="仿宋_GB2312" w:cs="Times New Roman"/>
          <w:sz w:val="32"/>
          <w:szCs w:val="32"/>
          <w:lang w:val="en-US" w:eastAsia="zh-CN"/>
        </w:rPr>
        <w:t>严格落实《进一步深化审计整改工作二十条措施》及实施意见，压紧压实被审计单位党委（党组）的审计整改主体责任和行业主管部门的监督管理责任，强化日常跟踪督促检查，持续推进审计监督与纪检监察、巡察监督、人大监督等各类监督的贯通协同，通过实施联合惩戒，确保审计查出问题全面整改到位。</w:t>
      </w:r>
    </w:p>
    <w:p w14:paraId="4D2475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color w:val="000000"/>
          <w:kern w:val="0"/>
          <w:sz w:val="32"/>
          <w:szCs w:val="32"/>
          <w:lang w:val="en-US" w:eastAsia="zh-CN"/>
        </w:rPr>
        <w:t>4.</w:t>
      </w:r>
      <w:r>
        <w:rPr>
          <w:rFonts w:hint="default" w:ascii="Times New Roman" w:hAnsi="Times New Roman" w:eastAsia="楷体_GB2312" w:cs="Times New Roman"/>
          <w:b w:val="0"/>
          <w:bCs w:val="0"/>
          <w:color w:val="000000"/>
          <w:kern w:val="0"/>
          <w:sz w:val="32"/>
          <w:szCs w:val="32"/>
        </w:rPr>
        <w:t>加强审计</w:t>
      </w:r>
      <w:r>
        <w:rPr>
          <w:rFonts w:hint="default" w:ascii="Times New Roman" w:hAnsi="Times New Roman" w:eastAsia="楷体_GB2312" w:cs="Times New Roman"/>
          <w:b w:val="0"/>
          <w:bCs w:val="0"/>
          <w:color w:val="000000"/>
          <w:kern w:val="0"/>
          <w:sz w:val="32"/>
          <w:szCs w:val="32"/>
          <w:lang w:val="en-US" w:eastAsia="zh-CN"/>
        </w:rPr>
        <w:t>队伍</w:t>
      </w:r>
      <w:r>
        <w:rPr>
          <w:rFonts w:hint="default" w:ascii="Times New Roman" w:hAnsi="Times New Roman" w:eastAsia="楷体_GB2312" w:cs="Times New Roman"/>
          <w:b w:val="0"/>
          <w:bCs w:val="0"/>
          <w:color w:val="000000"/>
          <w:kern w:val="0"/>
          <w:sz w:val="32"/>
          <w:szCs w:val="32"/>
        </w:rPr>
        <w:t>自身建设。</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sz w:val="32"/>
          <w:szCs w:val="32"/>
          <w:lang w:val="en-US" w:eastAsia="zh-CN"/>
        </w:rPr>
        <w:t>党组坚定扛牢管党治党主体责任，深入推进党风廉政建设和反腐败斗争。狠抓单位内部的学习培训，全面推动审计干部提升政治能力和专业能力，增强斗争本领，强化责任担当。走好研究型审计之路，将研究性审计贯穿审计工作全过程，强化审计质量、提升审计成效，更好服务全区发展大局。</w:t>
      </w:r>
    </w:p>
    <w:p w14:paraId="69DC7954">
      <w:pPr>
        <w:pStyle w:val="2"/>
        <w:rPr>
          <w:rFonts w:hint="default" w:ascii="Times New Roman" w:hAnsi="Times New Roman" w:cs="Times New Roman"/>
        </w:rPr>
      </w:pPr>
    </w:p>
    <w:p w14:paraId="5AB70F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7" w:name="_Toc27719"/>
      <w:bookmarkStart w:id="8" w:name="_Toc17951"/>
      <w:r>
        <w:rPr>
          <w:rFonts w:hint="default" w:ascii="Times New Roman" w:hAnsi="Times New Roman" w:eastAsia="黑体" w:cs="Times New Roman"/>
          <w:sz w:val="32"/>
          <w:szCs w:val="32"/>
          <w:lang w:val="en-US" w:eastAsia="zh-CN"/>
        </w:rPr>
        <w:t>二、部门预算单位构成</w:t>
      </w:r>
      <w:bookmarkEnd w:id="7"/>
      <w:bookmarkEnd w:id="8"/>
    </w:p>
    <w:p w14:paraId="36ECBA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区审计局属于一级预算单位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无二级预算单位，内设一室六股，共7个股级机构，下设政府投资审计中心、审计信息中心2个事业机构。</w:t>
      </w:r>
    </w:p>
    <w:p w14:paraId="50CD06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9" w:name="_Toc11278"/>
      <w:bookmarkStart w:id="10" w:name="_Toc30227"/>
      <w:r>
        <w:rPr>
          <w:rFonts w:hint="default" w:ascii="Times New Roman" w:hAnsi="Times New Roman" w:eastAsia="黑体" w:cs="Times New Roman"/>
          <w:sz w:val="32"/>
          <w:szCs w:val="32"/>
          <w:lang w:val="en-US" w:eastAsia="zh-CN"/>
        </w:rPr>
        <w:t>三、收支预算情况说明</w:t>
      </w:r>
      <w:bookmarkEnd w:id="9"/>
      <w:bookmarkEnd w:id="10"/>
    </w:p>
    <w:p w14:paraId="7B03B8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按照综合预算的原则，区审计局所有收入和支出均纳入部门预算管理。收入包括：一般公共预算拨款收入；支出包括：一般公共服务支出、社会保障和就业支出、卫生健康支出、住房保障支出。区审计局2025年收支预算总数588.25万元,比2024年收支预算总数减少8.8万元，主要原因是项目减少。</w:t>
      </w:r>
    </w:p>
    <w:p w14:paraId="45BC3A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1" w:name="_Toc14438"/>
      <w:bookmarkStart w:id="12" w:name="_Toc5633"/>
      <w:r>
        <w:rPr>
          <w:rFonts w:hint="default" w:ascii="Times New Roman" w:hAnsi="Times New Roman" w:eastAsia="楷体_GB2312" w:cs="Times New Roman"/>
          <w:sz w:val="32"/>
          <w:szCs w:val="32"/>
          <w:lang w:val="en-US" w:eastAsia="zh-CN"/>
        </w:rPr>
        <w:t>（一）收入预算情况</w:t>
      </w:r>
      <w:bookmarkEnd w:id="11"/>
      <w:bookmarkEnd w:id="12"/>
    </w:p>
    <w:p w14:paraId="6DB6F9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区审计局2025年收入预算588.25万元，其中：一般公共预算拨款收入588.25万元，占100%。</w:t>
      </w:r>
    </w:p>
    <w:p w14:paraId="6BE65F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3" w:name="_Toc6602"/>
      <w:bookmarkStart w:id="14" w:name="_Toc18183"/>
      <w:r>
        <w:rPr>
          <w:rFonts w:hint="default" w:ascii="Times New Roman" w:hAnsi="Times New Roman" w:eastAsia="楷体_GB2312" w:cs="Times New Roman"/>
          <w:sz w:val="32"/>
          <w:szCs w:val="32"/>
          <w:lang w:val="en-US" w:eastAsia="zh-CN"/>
        </w:rPr>
        <w:t>（二）支出预算情况</w:t>
      </w:r>
      <w:bookmarkEnd w:id="13"/>
      <w:bookmarkEnd w:id="14"/>
    </w:p>
    <w:p w14:paraId="25AE7D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区审计局2025年支出预算588.25万元，其中：基本支出354.25万元，占60.22%；项目支出234万元，占39.78%</w:t>
      </w:r>
      <w:r>
        <w:rPr>
          <w:rFonts w:hint="default" w:ascii="Times New Roman" w:hAnsi="Times New Roman" w:eastAsia="仿宋_GB2312" w:cs="Times New Roman"/>
          <w:b w:val="0"/>
          <w:bCs w:val="0"/>
          <w:sz w:val="32"/>
          <w:szCs w:val="32"/>
          <w:lang w:val="en-US" w:eastAsia="zh-CN"/>
        </w:rPr>
        <w:t>。</w:t>
      </w:r>
    </w:p>
    <w:p w14:paraId="493A01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15" w:name="_Toc24818"/>
      <w:bookmarkStart w:id="16" w:name="_Toc26119"/>
      <w:r>
        <w:rPr>
          <w:rFonts w:hint="default" w:ascii="Times New Roman" w:hAnsi="Times New Roman" w:eastAsia="黑体" w:cs="Times New Roman"/>
          <w:sz w:val="32"/>
          <w:szCs w:val="32"/>
          <w:lang w:val="en-US" w:eastAsia="zh-CN"/>
        </w:rPr>
        <w:t>四、财政拨款收支预算情况说明</w:t>
      </w:r>
      <w:bookmarkEnd w:id="15"/>
      <w:bookmarkEnd w:id="16"/>
    </w:p>
    <w:p w14:paraId="062421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区审计局2025年财政拨款收支预算总数588.25万元,比2024年财政拨款收支预算总数减少8.8万元，主要原因是项目减少。</w:t>
      </w:r>
    </w:p>
    <w:p w14:paraId="64AFFC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收入包括：本年一般公共预算拨款收入588.25万元万元；支出包括：一般公共服务支出499.33万元、社会保障和就业支出49.75万元、卫生健康支出12.64万元、住房保障支出26.52万元。</w:t>
      </w:r>
    </w:p>
    <w:p w14:paraId="604971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7" w:name="_Toc11755"/>
      <w:bookmarkStart w:id="18" w:name="_Toc25861"/>
      <w:r>
        <w:rPr>
          <w:rFonts w:hint="default" w:ascii="Times New Roman" w:hAnsi="Times New Roman" w:eastAsia="黑体" w:cs="Times New Roman"/>
          <w:sz w:val="32"/>
          <w:szCs w:val="32"/>
          <w:lang w:val="en-US" w:eastAsia="zh-CN"/>
        </w:rPr>
        <w:t>五、一般公共预算当年拨款情况说明</w:t>
      </w:r>
      <w:bookmarkEnd w:id="17"/>
      <w:bookmarkEnd w:id="18"/>
    </w:p>
    <w:p w14:paraId="4CC271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9" w:name="_Toc20931"/>
      <w:bookmarkStart w:id="20" w:name="_Toc24088"/>
      <w:r>
        <w:rPr>
          <w:rFonts w:hint="default" w:ascii="Times New Roman" w:hAnsi="Times New Roman" w:eastAsia="楷体_GB2312" w:cs="Times New Roman"/>
          <w:sz w:val="32"/>
          <w:szCs w:val="32"/>
          <w:lang w:val="en-US" w:eastAsia="zh-CN"/>
        </w:rPr>
        <w:t>（一）一般公共预算当年拨款规模变化情况</w:t>
      </w:r>
      <w:bookmarkEnd w:id="19"/>
      <w:bookmarkEnd w:id="20"/>
    </w:p>
    <w:p w14:paraId="7B2141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区审计局2025年一般公共预算当年拨款588.25万元，比2024年预算数减少8.8万元，主要原因是项目减少。</w:t>
      </w:r>
    </w:p>
    <w:p w14:paraId="43420E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21" w:name="_Toc29990"/>
      <w:bookmarkStart w:id="22" w:name="_Toc27947"/>
      <w:r>
        <w:rPr>
          <w:rFonts w:hint="default" w:ascii="Times New Roman" w:hAnsi="Times New Roman" w:eastAsia="楷体_GB2312" w:cs="Times New Roman"/>
          <w:sz w:val="32"/>
          <w:szCs w:val="32"/>
          <w:lang w:val="en-US" w:eastAsia="zh-CN"/>
        </w:rPr>
        <w:t>（二）一般公共预算当年拨款结构情况</w:t>
      </w:r>
      <w:bookmarkEnd w:id="21"/>
      <w:bookmarkEnd w:id="22"/>
    </w:p>
    <w:p w14:paraId="41C16A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一般公共服务支出499.33万元，占84.88%；社会保障和就业支出49.75万元，占8.46%；卫生健康支出12.64万元，占2.15%；住房保障支出26.52万元，占4.51%。</w:t>
      </w:r>
    </w:p>
    <w:p w14:paraId="0F005B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23" w:name="_Toc4271"/>
      <w:bookmarkStart w:id="24" w:name="_Toc31679"/>
      <w:r>
        <w:rPr>
          <w:rFonts w:hint="default" w:ascii="Times New Roman" w:hAnsi="Times New Roman" w:eastAsia="楷体_GB2312" w:cs="Times New Roman"/>
          <w:sz w:val="32"/>
          <w:szCs w:val="32"/>
          <w:lang w:val="en-US" w:eastAsia="zh-CN"/>
        </w:rPr>
        <w:t>（三）一般公共预算当年拨款具体使用情况</w:t>
      </w:r>
      <w:bookmarkEnd w:id="23"/>
      <w:bookmarkEnd w:id="24"/>
    </w:p>
    <w:p w14:paraId="1C9537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一般公共服务（类）审计事务（款）行政运行（项）2025年预算数为143.07万元，主要用于：局机关正常运转的基本支出，包括基本工资、津贴补贴等人员经费以及办公费、印刷费、水电费等日常公用经费，保障部门正常运转。</w:t>
      </w:r>
    </w:p>
    <w:p w14:paraId="19D8A6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2.一般公共服务（类）审计事务（款）审计业务（项）2025年预算数为234万元，主要用于：局机关及下属事业单位开展审计、专项审计调查、聘请社会审计组织人员及技术专家等方面的支出。</w:t>
      </w:r>
    </w:p>
    <w:p w14:paraId="574FD8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一般公共服务（类）审计事务（款）事业运行（项）2025年预算数为122.26万元，主要用于：下属事业单位正常运转的基本支出，包括基本工资、津贴补贴等人员经费以及办公费、印刷费、水电费等日常公用经费,保障部门正常运转。</w:t>
      </w:r>
    </w:p>
    <w:p w14:paraId="744D2C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4.社会保障和就业（类）行政事业单位养老支出（款）行政单位离退休（项）2025年预算数为14万元，主要用于：机关及参公管理事业单位离退休人员经费支出。</w:t>
      </w:r>
    </w:p>
    <w:p w14:paraId="335C4B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5.社会保障和就业（类）行政事业单位养老支出（款）机关事业单位基本养老保险缴费支出（项）2025年预算数为34.94万元，主要用于：实施养老保险制度由单位缴纳的基本养老保险支出。</w:t>
      </w:r>
    </w:p>
    <w:p w14:paraId="4698CE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6.社会保障和就业（类）行政事业单位养老支出（款）其他社会保障和就业支出（项）2025年预算数为0.81万元，主要用于：实施养老保险制度由单位缴纳的其他社会保险支出。</w:t>
      </w:r>
    </w:p>
    <w:p w14:paraId="0B4F7A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7.卫生健康（类）行政事业单位医疗（款）行政单位医疗（项）2025年预算数为6.5万元，主要用于：机关及参公管理事业单位按规定由单位缴纳的基本医疗保险支出。</w:t>
      </w:r>
    </w:p>
    <w:p w14:paraId="28C96A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8.卫生健康（类）行政事业单位医疗（款）事业单位医疗（项）2025年预算数为6.15万元，主要用于：事业单位按规定由单位缴纳的基本医疗保险支出。</w:t>
      </w:r>
    </w:p>
    <w:p w14:paraId="4C17A3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9.住房保障（类）住房改革支出（款）住房公积金（项）2025年预算数为26.52万元，主要用于：部门按规定为职工缴纳的住房公积金支出。</w:t>
      </w:r>
    </w:p>
    <w:p w14:paraId="513EA0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25" w:name="_Toc21932"/>
      <w:bookmarkStart w:id="26" w:name="_Toc23686"/>
      <w:r>
        <w:rPr>
          <w:rFonts w:hint="default" w:ascii="Times New Roman" w:hAnsi="Times New Roman" w:eastAsia="黑体" w:cs="Times New Roman"/>
          <w:sz w:val="32"/>
          <w:szCs w:val="32"/>
          <w:lang w:val="en-US" w:eastAsia="zh-CN"/>
        </w:rPr>
        <w:t>六、一般公共预算基本支出情况说明</w:t>
      </w:r>
      <w:bookmarkEnd w:id="25"/>
      <w:bookmarkEnd w:id="26"/>
    </w:p>
    <w:p w14:paraId="0723A4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区审计局2025年一般公共预算基本支出354.25万元，其中：</w:t>
      </w:r>
    </w:p>
    <w:p w14:paraId="19097E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人员经费314.29万元，主要包括：基本工资、津贴补贴、奖金、绩效工资、社会保险缴费、住房公积金等支出。</w:t>
      </w:r>
    </w:p>
    <w:p w14:paraId="5A425A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公用经费39.96万元，主要包括：办公费、印刷费、水费、电费、邮电费、维修（护）费、培训费、工会经费等支出。</w:t>
      </w:r>
    </w:p>
    <w:p w14:paraId="67EFE0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27" w:name="_Toc5338"/>
      <w:bookmarkStart w:id="28" w:name="_Toc1498"/>
      <w:r>
        <w:rPr>
          <w:rFonts w:hint="default" w:ascii="Times New Roman" w:hAnsi="Times New Roman" w:eastAsia="黑体" w:cs="Times New Roman"/>
          <w:sz w:val="32"/>
          <w:szCs w:val="32"/>
          <w:lang w:val="en-US" w:eastAsia="zh-CN"/>
        </w:rPr>
        <w:t>七、“三公”经费财政拨款预算安排情况说明</w:t>
      </w:r>
      <w:bookmarkEnd w:id="27"/>
      <w:bookmarkEnd w:id="28"/>
    </w:p>
    <w:p w14:paraId="3F1A84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区审计局2025年“三公”经费财政拨款预算数8.2万元，其中：公务接待费8.2万元，公务用车购置及运行维护费0万元，因公出国（境）经费0元。</w:t>
      </w:r>
    </w:p>
    <w:p w14:paraId="3FA646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29" w:name="_Toc6995"/>
      <w:bookmarkStart w:id="30" w:name="_Toc26125"/>
      <w:r>
        <w:rPr>
          <w:rFonts w:hint="default" w:ascii="Times New Roman" w:hAnsi="Times New Roman" w:eastAsia="楷体_GB2312" w:cs="Times New Roman"/>
          <w:sz w:val="32"/>
          <w:szCs w:val="32"/>
          <w:lang w:val="en-US" w:eastAsia="zh-CN"/>
        </w:rPr>
        <w:t>（一）公务接待费</w:t>
      </w:r>
      <w:bookmarkEnd w:id="29"/>
      <w:bookmarkEnd w:id="30"/>
    </w:p>
    <w:p w14:paraId="4C5010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公务接待费与2024年预算相比下降1.2%，主要原因是按照党中央、国务院关于过“紧日子”和坚持厉行节约反对浪费的要求，进一步减少公务接待费支出。</w:t>
      </w:r>
    </w:p>
    <w:p w14:paraId="0DB61D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2025年公务接待费计划用于执行接待考察调研、检查指导等公务活动开支的交通费、住宿费、用餐费等。</w:t>
      </w:r>
    </w:p>
    <w:p w14:paraId="67470A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31" w:name="_Toc31548"/>
      <w:bookmarkStart w:id="32" w:name="_Toc26793"/>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公务用车购置及运行维护费</w:t>
      </w:r>
      <w:bookmarkEnd w:id="31"/>
      <w:bookmarkEnd w:id="32"/>
    </w:p>
    <w:p w14:paraId="1C5C096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公务用车购置及运行维护费与2024年预算相比持平。</w:t>
      </w:r>
    </w:p>
    <w:p w14:paraId="5221C2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单位现有公务用车0辆。</w:t>
      </w:r>
    </w:p>
    <w:p w14:paraId="798764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2025年安排公务用车购置费0万元。</w:t>
      </w:r>
    </w:p>
    <w:p w14:paraId="31993D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2025年安排公务用车运行维护费0万元。</w:t>
      </w:r>
      <w:bookmarkStart w:id="33" w:name="_Toc15483"/>
    </w:p>
    <w:p w14:paraId="7EBD91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34" w:name="_Toc22251"/>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因公出国（境）经费</w:t>
      </w:r>
      <w:bookmarkEnd w:id="33"/>
      <w:bookmarkEnd w:id="34"/>
    </w:p>
    <w:p w14:paraId="07BDDF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因公出国（境）经费与2024年预算相比持平.</w:t>
      </w:r>
    </w:p>
    <w:p w14:paraId="5C817E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35" w:name="_Toc19162"/>
      <w:bookmarkStart w:id="36" w:name="_Toc25855"/>
      <w:r>
        <w:rPr>
          <w:rFonts w:hint="default" w:ascii="Times New Roman" w:hAnsi="Times New Roman" w:eastAsia="黑体" w:cs="Times New Roman"/>
          <w:sz w:val="32"/>
          <w:szCs w:val="32"/>
          <w:lang w:val="en-US" w:eastAsia="zh-CN"/>
        </w:rPr>
        <w:t>八、政府性基金预算支出情况说明</w:t>
      </w:r>
      <w:bookmarkEnd w:id="35"/>
      <w:bookmarkEnd w:id="36"/>
    </w:p>
    <w:p w14:paraId="5598F0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区审计局2025年无政府性基金预算拨款安排的支出。</w:t>
      </w:r>
    </w:p>
    <w:p w14:paraId="7EBD46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37" w:name="_Toc14620"/>
      <w:bookmarkStart w:id="38" w:name="_Toc4124"/>
      <w:r>
        <w:rPr>
          <w:rFonts w:hint="default" w:ascii="Times New Roman" w:hAnsi="Times New Roman" w:eastAsia="黑体" w:cs="Times New Roman"/>
          <w:sz w:val="32"/>
          <w:szCs w:val="32"/>
          <w:lang w:val="en-US" w:eastAsia="zh-CN"/>
        </w:rPr>
        <w:t>九、国有资本经营预算支出情况说明</w:t>
      </w:r>
      <w:bookmarkEnd w:id="37"/>
      <w:bookmarkEnd w:id="38"/>
    </w:p>
    <w:p w14:paraId="42B152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区审计局2025年无国有资本经营预算拨款安排的支出。</w:t>
      </w:r>
    </w:p>
    <w:p w14:paraId="208A88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39" w:name="_Toc23671"/>
      <w:bookmarkStart w:id="40" w:name="_Toc1430"/>
      <w:r>
        <w:rPr>
          <w:rFonts w:hint="default" w:ascii="Times New Roman" w:hAnsi="Times New Roman" w:eastAsia="黑体" w:cs="Times New Roman"/>
          <w:sz w:val="32"/>
          <w:szCs w:val="32"/>
          <w:lang w:val="en-US" w:eastAsia="zh-CN"/>
        </w:rPr>
        <w:t>十、其他重要事项的情况说明</w:t>
      </w:r>
      <w:bookmarkEnd w:id="39"/>
      <w:bookmarkEnd w:id="40"/>
    </w:p>
    <w:p w14:paraId="178C40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41" w:name="_Toc14658"/>
      <w:bookmarkStart w:id="42" w:name="_Toc7187"/>
      <w:r>
        <w:rPr>
          <w:rFonts w:hint="default" w:ascii="Times New Roman" w:hAnsi="Times New Roman" w:eastAsia="楷体_GB2312" w:cs="Times New Roman"/>
          <w:sz w:val="32"/>
          <w:szCs w:val="32"/>
          <w:lang w:val="en-US" w:eastAsia="zh-CN"/>
        </w:rPr>
        <w:t>（一）机关运行经费</w:t>
      </w:r>
      <w:bookmarkEnd w:id="41"/>
      <w:bookmarkEnd w:id="42"/>
    </w:p>
    <w:p w14:paraId="14BFD6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2025年，区审计局下属局机关等1家行政单位和2家事业单位的机关运行经费财政拨款预算为39.96万元，比2024年预算增加1.56万元，增长4.06%。主要原因人员增加。</w:t>
      </w:r>
    </w:p>
    <w:p w14:paraId="79D2C7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43" w:name="_Toc24526"/>
      <w:bookmarkStart w:id="44" w:name="_Toc7288"/>
      <w:r>
        <w:rPr>
          <w:rFonts w:hint="default" w:ascii="Times New Roman" w:hAnsi="Times New Roman" w:eastAsia="楷体_GB2312" w:cs="Times New Roman"/>
          <w:sz w:val="32"/>
          <w:szCs w:val="32"/>
          <w:lang w:val="en-US" w:eastAsia="zh-CN"/>
        </w:rPr>
        <w:t>（二）政府采购情况</w:t>
      </w:r>
      <w:bookmarkEnd w:id="43"/>
      <w:bookmarkEnd w:id="44"/>
    </w:p>
    <w:p w14:paraId="7C0FD7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2025年，区审计局无政府采购预算。</w:t>
      </w:r>
    </w:p>
    <w:p w14:paraId="2F32DA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45" w:name="_Toc23426"/>
      <w:bookmarkStart w:id="46" w:name="_Toc31544"/>
      <w:r>
        <w:rPr>
          <w:rFonts w:hint="default" w:ascii="Times New Roman" w:hAnsi="Times New Roman" w:eastAsia="楷体_GB2312" w:cs="Times New Roman"/>
          <w:sz w:val="32"/>
          <w:szCs w:val="32"/>
          <w:lang w:val="en-US" w:eastAsia="zh-CN"/>
        </w:rPr>
        <w:t>（三）国有资产占有使用情况</w:t>
      </w:r>
      <w:bookmarkEnd w:id="45"/>
      <w:bookmarkEnd w:id="46"/>
    </w:p>
    <w:p w14:paraId="19D6EC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截至2024年底，区审计局共有车辆0辆。单位无价值200万元以上的大型设备。</w:t>
      </w:r>
    </w:p>
    <w:p w14:paraId="2E414D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2025年部门预算安排车辆购置经费0万元。其中，财政拨款预算安排0万元，非财政拨款安排0万元。拟购置定向保障用车0车辆、执法执勤用车0辆。2025年部门预算未安排购置车辆及单位价值200万元以上大型设备。</w:t>
      </w:r>
    </w:p>
    <w:p w14:paraId="54BBD6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rPr>
      </w:pPr>
      <w:bookmarkStart w:id="47" w:name="_Toc16534"/>
      <w:bookmarkStart w:id="48" w:name="_Toc9231"/>
      <w:r>
        <w:rPr>
          <w:rFonts w:hint="default" w:ascii="Times New Roman" w:hAnsi="Times New Roman" w:eastAsia="楷体_GB2312" w:cs="Times New Roman"/>
          <w:sz w:val="32"/>
          <w:szCs w:val="32"/>
          <w:lang w:val="en-US" w:eastAsia="zh-CN"/>
        </w:rPr>
        <w:t>（四）绩效目标设置情况</w:t>
      </w:r>
      <w:bookmarkEnd w:id="47"/>
      <w:bookmarkEnd w:id="48"/>
    </w:p>
    <w:p w14:paraId="15C04D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区审计局单位开展绩效目标管理的项目10个，涉及预算273.96万元。其中：人员类项目3个，涉及预算39.96万元；运转类项目6个，涉及预算174万元；特定目标类项目1个，涉及预算60万元。因部分项目内容涉密，不予公开。</w:t>
      </w:r>
    </w:p>
    <w:p w14:paraId="5714BA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49" w:name="_Toc14934"/>
      <w:bookmarkStart w:id="50" w:name="_Toc1882"/>
      <w:r>
        <w:rPr>
          <w:rFonts w:hint="default" w:ascii="Times New Roman" w:hAnsi="Times New Roman" w:eastAsia="黑体" w:cs="Times New Roman"/>
          <w:sz w:val="32"/>
          <w:szCs w:val="32"/>
          <w:lang w:val="en-US" w:eastAsia="zh-CN"/>
        </w:rPr>
        <w:t>十一、名词解释</w:t>
      </w:r>
      <w:bookmarkEnd w:id="49"/>
      <w:bookmarkEnd w:id="50"/>
    </w:p>
    <w:p w14:paraId="0A4961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51" w:name="_Toc5479"/>
      <w:r>
        <w:rPr>
          <w:rFonts w:hint="default" w:ascii="Times New Roman" w:hAnsi="Times New Roman" w:eastAsia="楷体_GB2312" w:cs="Times New Roman"/>
          <w:sz w:val="32"/>
          <w:szCs w:val="32"/>
          <w:lang w:val="en-US" w:eastAsia="zh-CN"/>
        </w:rPr>
        <w:t>（一）财政拨款收入:</w:t>
      </w:r>
      <w:r>
        <w:rPr>
          <w:rFonts w:hint="eastAsia" w:ascii="仿宋_GB2312" w:hAnsi="仿宋_GB2312" w:eastAsia="仿宋_GB2312" w:cs="仿宋_GB2312"/>
          <w:color w:val="auto"/>
          <w:sz w:val="32"/>
          <w:szCs w:val="32"/>
          <w:lang w:val="en-US" w:eastAsia="zh-CN"/>
        </w:rPr>
        <w:t>指区级财政当年拨付的资金。</w:t>
      </w:r>
      <w:bookmarkEnd w:id="51"/>
    </w:p>
    <w:p w14:paraId="16E2188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（二）一般公共服务（类）审计事务（款）行政运行（项）：</w:t>
      </w:r>
      <w:r>
        <w:rPr>
          <w:rFonts w:hint="default" w:ascii="Times New Roman" w:hAnsi="Times New Roman" w:eastAsia="仿宋_GB2312" w:cs="Times New Roman"/>
          <w:sz w:val="32"/>
          <w:szCs w:val="32"/>
        </w:rPr>
        <w:t>指局机关用于保障机构正常运行、开展日常工作的基本支出。</w:t>
      </w:r>
    </w:p>
    <w:p w14:paraId="0EF5B80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（三）一般公共服务（类）审计事务（款）审计业务（项）：</w:t>
      </w:r>
      <w:r>
        <w:rPr>
          <w:rFonts w:hint="default" w:ascii="Times New Roman" w:hAnsi="Times New Roman" w:eastAsia="仿宋_GB2312" w:cs="Times New Roman"/>
          <w:sz w:val="32"/>
          <w:szCs w:val="32"/>
        </w:rPr>
        <w:t>指局机关开展审计、专项审计调查、聘请社会审计组织人员及技术专家等方面的支出。</w:t>
      </w:r>
    </w:p>
    <w:p w14:paraId="0E4EB59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（四）一般公共服务（类）审计事务（款）事业运行（项）：</w:t>
      </w:r>
      <w:r>
        <w:rPr>
          <w:rFonts w:hint="default" w:ascii="Times New Roman" w:hAnsi="Times New Roman" w:eastAsia="仿宋_GB2312" w:cs="Times New Roman"/>
          <w:sz w:val="32"/>
          <w:szCs w:val="32"/>
        </w:rPr>
        <w:t>指广元市昭化区政府投资审计中心、广元市昭化区审计信息中心用于保障机构正常运行、开展日常工作的基本支出。</w:t>
      </w:r>
    </w:p>
    <w:p w14:paraId="5C18B55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（五）社会保障和就业（类）行政事业单位养老支出（款）机关事业单位基本养老保险缴费支出（项）：</w:t>
      </w:r>
      <w:r>
        <w:rPr>
          <w:rFonts w:hint="default" w:ascii="Times New Roman" w:hAnsi="Times New Roman" w:eastAsia="仿宋_GB2312" w:cs="Times New Roman"/>
          <w:sz w:val="32"/>
          <w:szCs w:val="32"/>
        </w:rPr>
        <w:t>指部门实施养老保险制度由单位缴纳的养老保险费的支出。</w:t>
      </w:r>
    </w:p>
    <w:p w14:paraId="5C5B19E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（六）卫生健康支出（类）行政事业单位医疗（款）行政单位医疗（项）：</w:t>
      </w:r>
      <w:r>
        <w:rPr>
          <w:rFonts w:hint="default" w:ascii="Times New Roman" w:hAnsi="Times New Roman" w:eastAsia="仿宋_GB2312" w:cs="Times New Roman"/>
          <w:sz w:val="32"/>
          <w:szCs w:val="32"/>
        </w:rPr>
        <w:t>指局机关用于单位应缴纳基本医疗保险支出。</w:t>
      </w:r>
    </w:p>
    <w:p w14:paraId="5A77A02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（七）卫生健康支出（类）行政事业单位医疗（款）事业单位医疗（项）：</w:t>
      </w:r>
      <w:r>
        <w:rPr>
          <w:rFonts w:hint="default" w:ascii="Times New Roman" w:hAnsi="Times New Roman" w:eastAsia="仿宋_GB2312" w:cs="Times New Roman"/>
          <w:sz w:val="32"/>
          <w:szCs w:val="32"/>
        </w:rPr>
        <w:t>指事业单位用于单位应缴纳基本医疗保险支出。</w:t>
      </w:r>
    </w:p>
    <w:p w14:paraId="0F69113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（八）住房保障（类）住房改革支出（款）住房公积金（项）：</w:t>
      </w:r>
      <w:r>
        <w:rPr>
          <w:rFonts w:hint="default" w:ascii="Times New Roman" w:hAnsi="Times New Roman" w:eastAsia="仿宋_GB2312" w:cs="Times New Roman"/>
          <w:sz w:val="32"/>
          <w:szCs w:val="32"/>
        </w:rPr>
        <w:t>指按照《住房公积金管理条例》的规定，由单位及其在职职工缴存的长期住房储金。</w:t>
      </w:r>
    </w:p>
    <w:p w14:paraId="3BDF6A7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（九）基本支出：</w:t>
      </w:r>
      <w:r>
        <w:rPr>
          <w:rFonts w:hint="default" w:ascii="Times New Roman" w:hAnsi="Times New Roman" w:eastAsia="仿宋_GB2312" w:cs="Times New Roman"/>
          <w:sz w:val="32"/>
          <w:szCs w:val="32"/>
        </w:rPr>
        <w:t>指为保证机构正常运转，完成日常工作任务而发生的人员支出和公用支出。</w:t>
      </w:r>
    </w:p>
    <w:p w14:paraId="378A01D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（十）项目支出：</w:t>
      </w:r>
      <w:r>
        <w:rPr>
          <w:rFonts w:hint="default" w:ascii="Times New Roman" w:hAnsi="Times New Roman" w:eastAsia="仿宋_GB2312" w:cs="Times New Roman"/>
          <w:sz w:val="32"/>
          <w:szCs w:val="32"/>
        </w:rPr>
        <w:t>指在基本支出之外为完成特定行政任务和事业发展目标所发生的支出。</w:t>
      </w:r>
    </w:p>
    <w:p w14:paraId="31E1B8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（十一）“三公”经费：</w:t>
      </w:r>
      <w:r>
        <w:rPr>
          <w:rFonts w:hint="default" w:ascii="Times New Roman" w:hAnsi="Times New Roman" w:eastAsia="仿宋_GB2312" w:cs="Times New Roman"/>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52" w:name="_GoBack"/>
      <w:bookmarkEnd w:id="52"/>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（十二）机关运行经费：</w:t>
      </w:r>
      <w:r>
        <w:rPr>
          <w:rFonts w:hint="default" w:ascii="Times New Roman" w:hAnsi="Times New Roman" w:eastAsia="仿宋_GB2312" w:cs="Times New Roman"/>
          <w:sz w:val="32"/>
          <w:szCs w:val="32"/>
          <w:lang w:val="en-US" w:eastAsia="zh-CN"/>
        </w:rPr>
        <w:t>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0D8C6B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p>
    <w:p w14:paraId="52DFD3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附件：1.部门预算公开表</w:t>
      </w:r>
    </w:p>
    <w:p w14:paraId="61FB807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项目支出绩效目标表</w:t>
      </w:r>
    </w:p>
    <w:p w14:paraId="7AA5C41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部门整体支出绩效目标表</w:t>
      </w:r>
    </w:p>
    <w:p w14:paraId="1001F28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6AFE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22D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8CDFD4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BHLET9AQAA/wMAAA4AAABkcnMvZTJvRG9jLnhtbK1TzY7TMBC+I/EO&#10;lu80aZGgipquEFUR0oqttPAAruM0lmyPNXablAeAN+DEhTvP1edgnJ8uLBz2wMWZGU++me+b8eqm&#10;s4adFAYNruTzWc6ZchIq7Q4l//Rx+2LJWYjCVcKAUyU/q8Bv1s+frVpfqAU0YCqFjEBcKFpf8iZG&#10;X2RZkI2yIszAK0eXNaAVkVw8ZBWKltCtyRZ5/iprASuPIFUIFN0Ml3xExKcAQl1rqTYgj1a5OKCi&#10;MiISpdBoH/i677aulYx3dR1UZKbkxDT2JxUhe5/ObL0SxQGFb7QcWxBPaeERJyu0o6JXqI2Igh1R&#10;/wVltUQIUMeZBJsNRHpFiMU8f6TNfSO86rmQ1MFfRQ//D1Z+OO2Q6arkrxecOWFp4pdvXy/ff15+&#10;fGEvkz6tDwWl3fsdjl4gM5HtarTpSzRY12t6vmqqusgkBefLxXKZk9yS7iaHcLKH3z2G+E6BZcko&#10;OdLQei3F6TbEIXVKSdUcbLUxFBeFcX8ECDNFstTx0GOyYrfvxsb3UJ2JLsKwB8HLraaatyLEnUAa&#10;PPVJTyPe0VEbaEsOo8VZA/j5X/GUT/OgW85aWqSSO3o3nJn3juaUdm4ycDL2k+GO9i3QZs45E04S&#10;RskjZ0eP+tD0LSZ6wb85RuLcS5EIDSxGnrQXvZjjDqfF+93vsx7e7f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EBHLET9AQAA/wMAAA4AAAAAAAAAAQAgAAAAHwEAAGRycy9lMm9Eb2MueG1s&#10;UEsFBgAAAAAGAAYAWQEAAI4FAAAAAA==&#10;">
              <v:fill on="f" focussize="0,0"/>
              <v:stroke on="f"/>
              <v:imagedata o:title=""/>
              <o:lock v:ext="edit" aspectratio="f"/>
              <v:textbox inset="0mm,0mm,0mm,0mm" style="mso-fit-shape-to-text:t;">
                <w:txbxContent>
                  <w:p w14:paraId="48CDFD4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 w:name="KSO_WPS_MARK_KEY" w:val="c82a8566-e1d2-457e-a0a9-b7cdc5fc8f42"/>
  </w:docVars>
  <w:rsids>
    <w:rsidRoot w:val="00000000"/>
    <w:rsid w:val="62184A59"/>
    <w:rsid w:val="67BC30EE"/>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Normal (Web)"/>
    <w:basedOn w:val="1"/>
    <w:qFormat/>
    <w:uiPriority w:val="0"/>
    <w:rPr>
      <w:sz w:val="24"/>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qFormat/>
    <w:uiPriority w:val="0"/>
  </w:style>
  <w:style w:type="paragraph" w:customStyle="1" w:styleId="13">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5690</Words>
  <Characters>6031</Characters>
  <TotalTime>8</TotalTime>
  <ScaleCrop>false</ScaleCrop>
  <LinksUpToDate>false</LinksUpToDate>
  <CharactersWithSpaces>6113</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2025-02-11T07:09:54Z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8F067E0421ED4D86A7F72E8CF698A8C6_13</vt:lpwstr>
  </property>
  <property fmtid="{D5CDD505-2E9C-101B-9397-08002B2CF9AE}" pid="4" name="KSOTemplateDocerSaveRecord">
    <vt:lpwstr>eyJoZGlkIjoiZDUzZTZiOTg4ZDcwMTU2ZTc3NjViNDJlYzFhZmIyOTgiLCJ1c2VySWQiOiI1NjU4MTQxNTMifQ_x003D__x003D_</vt:lpwstr>
  </property>
</Properties>
</file>