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90A54">
      <w:pPr>
        <w:pStyle w:val="3"/>
        <w:bidi w:val="0"/>
        <w:jc w:val="center"/>
        <w:rPr>
          <w:rFonts w:hint="eastAsia"/>
          <w:sz w:val="56"/>
          <w:szCs w:val="36"/>
          <w:lang w:val="en-US" w:eastAsia="zh-CN"/>
        </w:rPr>
      </w:pPr>
    </w:p>
    <w:p w14:paraId="0D0938AE">
      <w:pPr>
        <w:pStyle w:val="3"/>
        <w:bidi w:val="0"/>
        <w:jc w:val="center"/>
        <w:rPr>
          <w:rFonts w:hint="eastAsia"/>
          <w:sz w:val="56"/>
          <w:szCs w:val="36"/>
          <w:lang w:val="en-US" w:eastAsia="zh-CN"/>
        </w:rPr>
      </w:pPr>
    </w:p>
    <w:p w14:paraId="2E713610">
      <w:pPr>
        <w:pStyle w:val="3"/>
        <w:bidi w:val="0"/>
        <w:jc w:val="center"/>
        <w:rPr>
          <w:rFonts w:hint="eastAsia"/>
          <w:sz w:val="56"/>
          <w:szCs w:val="36"/>
          <w:lang w:val="en-US" w:eastAsia="zh-CN"/>
        </w:rPr>
      </w:pPr>
    </w:p>
    <w:p w14:paraId="3A7BB732">
      <w:pPr>
        <w:pStyle w:val="3"/>
        <w:bidi w:val="0"/>
        <w:jc w:val="center"/>
        <w:rPr>
          <w:rFonts w:hint="eastAsia"/>
          <w:sz w:val="56"/>
          <w:szCs w:val="36"/>
          <w:lang w:val="en-US" w:eastAsia="zh-CN"/>
        </w:rPr>
      </w:pPr>
    </w:p>
    <w:p w14:paraId="4645DB31">
      <w:pPr>
        <w:pStyle w:val="3"/>
        <w:bidi w:val="0"/>
        <w:jc w:val="center"/>
        <w:rPr>
          <w:rFonts w:hint="default"/>
          <w:sz w:val="56"/>
          <w:szCs w:val="36"/>
          <w:lang w:val="en-US"/>
        </w:rPr>
      </w:pPr>
      <w:r>
        <w:rPr>
          <w:rFonts w:hint="eastAsia"/>
          <w:sz w:val="56"/>
          <w:szCs w:val="36"/>
          <w:lang w:val="en-US" w:eastAsia="zh-CN"/>
        </w:rPr>
        <w:t>广元市昭化区清水乡卫生院</w:t>
      </w:r>
    </w:p>
    <w:p w14:paraId="2F23962D">
      <w:pPr>
        <w:pStyle w:val="3"/>
        <w:bidi w:val="0"/>
        <w:jc w:val="center"/>
        <w:rPr>
          <w:rFonts w:hint="eastAsia"/>
          <w:sz w:val="56"/>
          <w:szCs w:val="36"/>
          <w:lang w:val="en-US" w:eastAsia="zh-CN"/>
        </w:rPr>
        <w:sectPr>
          <w:pgSz w:w="11906" w:h="16838"/>
          <w:pgMar w:top="1440" w:right="1800" w:bottom="1440" w:left="1800" w:header="851" w:footer="992" w:gutter="0"/>
          <w:cols w:space="425" w:num="1"/>
          <w:docGrid w:type="lines" w:linePitch="312" w:charSpace="0"/>
        </w:sectPr>
      </w:pPr>
      <w:r>
        <w:rPr>
          <w:rFonts w:hint="eastAsia"/>
          <w:sz w:val="56"/>
          <w:szCs w:val="36"/>
          <w:lang w:val="en-US" w:eastAsia="zh-CN"/>
        </w:rPr>
        <w:t>2021年预算编制说明</w:t>
      </w:r>
    </w:p>
    <w:sdt>
      <w:sdtPr>
        <w:rPr>
          <w:rFonts w:ascii="宋体" w:hAnsi="宋体" w:eastAsia="宋体" w:cs="Times New Roman"/>
          <w:color w:val="auto"/>
          <w:kern w:val="2"/>
          <w:sz w:val="21"/>
          <w:szCs w:val="24"/>
          <w:lang w:val="en-US" w:eastAsia="zh-CN" w:bidi="ar-SA"/>
        </w:rPr>
        <w:id w:val="147460025"/>
        <w15:color w:val="DBDBDB"/>
        <w:docPartObj>
          <w:docPartGallery w:val="Table of Contents"/>
          <w:docPartUnique/>
        </w:docPartObj>
      </w:sdtPr>
      <w:sdtEndPr>
        <w:rPr>
          <w:rFonts w:hint="eastAsia" w:ascii="宋体" w:hAnsi="宋体" w:eastAsia="宋体" w:cs="宋体"/>
          <w:b/>
          <w:snapToGrid/>
          <w:color w:val="000000"/>
          <w:spacing w:val="0"/>
          <w:w w:val="100"/>
          <w:kern w:val="2"/>
          <w:position w:val="0"/>
          <w:sz w:val="24"/>
          <w:szCs w:val="24"/>
          <w:u w:val="none" w:color="auto"/>
          <w:vertAlign w:val="baseline"/>
          <w:lang w:val="en-US" w:eastAsia="zh-CN" w:bidi="ar-SA"/>
        </w:rPr>
      </w:sdtEndPr>
      <w:sdtContent>
        <w:p w14:paraId="0FC7BA2C">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right="0" w:rightChars="0" w:firstLine="0" w:firstLineChars="0"/>
            <w:jc w:val="center"/>
            <w:textAlignment w:val="auto"/>
            <w:rPr>
              <w:rFonts w:hint="eastAsia" w:ascii="宋体" w:hAnsi="宋体" w:eastAsia="宋体" w:cs="宋体"/>
              <w:sz w:val="24"/>
              <w:szCs w:val="24"/>
            </w:rPr>
          </w:pPr>
          <w:r>
            <w:rPr>
              <w:rFonts w:ascii="宋体" w:hAnsi="宋体" w:eastAsia="宋体"/>
              <w:sz w:val="40"/>
              <w:szCs w:val="40"/>
            </w:rPr>
            <w:t>目录</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_Toc18981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end"/>
          </w:r>
        </w:p>
        <w:p w14:paraId="1CACD1B3">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_Toc645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一、基本职能及主要工作</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_Toc645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BCE18EB">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_Toc4738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（一）</w:t>
          </w:r>
          <w:r>
            <w:rPr>
              <w:rFonts w:hint="eastAsia" w:ascii="宋体" w:hAnsi="宋体" w:eastAsia="宋体" w:cs="宋体"/>
              <w:bCs/>
              <w:i w:val="0"/>
              <w:iCs w:val="0"/>
              <w:caps w:val="0"/>
              <w:snapToGrid w:val="0"/>
              <w:spacing w:val="0"/>
              <w:sz w:val="24"/>
              <w:szCs w:val="24"/>
              <w:shd w:val="clear" w:color="auto" w:fill="FFFFFF"/>
              <w:lang w:val="en-US" w:eastAsia="zh-CN"/>
            </w:rPr>
            <w:t>单位职能简介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_Toc4738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378345F">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_Toc10723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（二）</w:t>
          </w:r>
          <w:r>
            <w:rPr>
              <w:rFonts w:hint="eastAsia" w:ascii="宋体" w:hAnsi="宋体" w:eastAsia="宋体" w:cs="宋体"/>
              <w:bCs/>
              <w:i w:val="0"/>
              <w:iCs w:val="0"/>
              <w:caps w:val="0"/>
              <w:snapToGrid w:val="0"/>
              <w:spacing w:val="0"/>
              <w:sz w:val="24"/>
              <w:szCs w:val="24"/>
              <w:shd w:val="clear" w:color="auto" w:fill="FFFFFF"/>
              <w:lang w:val="en-US" w:eastAsia="zh-CN"/>
            </w:rPr>
            <w:t>单位2021年重点工作</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_Toc10723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C7E5410">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_Toc25832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二、收支预算情况说明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_Toc25832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0E8946E">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_Toc18174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（一）收入预算情况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_Toc18174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DE2C530">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_Toc23224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（二）支出预算情况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_Toc23224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1DC7C9F">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_Toc21638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三、财政拨款收支预算情况说明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_Toc21638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29A5561">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_Toc24409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四、一般公共预算当年拨款情况说明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_Toc24409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2C712A7">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_Toc20637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（一）一般公共预算当年拨款规模变化情况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_Toc20637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60A5FD0">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_Toc6218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color="auto" w:fill="FFFFFF"/>
              <w:lang w:val="en-US" w:eastAsia="zh-CN" w:bidi="ar"/>
            </w:rPr>
            <w:t>（二）一般公共预算当年拨款结构情况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_Toc6218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73F67CF">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_Toc15556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（三） </w:t>
          </w:r>
          <w:r>
            <w:rPr>
              <w:rFonts w:hint="eastAsia" w:ascii="宋体" w:hAnsi="宋体" w:eastAsia="宋体" w:cs="宋体"/>
              <w:i w:val="0"/>
              <w:caps w:val="0"/>
              <w:spacing w:val="0"/>
              <w:kern w:val="0"/>
              <w:sz w:val="24"/>
              <w:szCs w:val="24"/>
              <w:shd w:val="clear" w:color="auto" w:fill="FFFFFF"/>
              <w:lang w:val="en-US" w:eastAsia="zh-CN" w:bidi="ar"/>
            </w:rPr>
            <w:t>一般公共预算当年拨款具体使用情况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_Toc15556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6ECF446">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_Toc13061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五、 </w:t>
          </w:r>
          <w:r>
            <w:rPr>
              <w:rFonts w:hint="eastAsia" w:ascii="宋体" w:hAnsi="宋体" w:eastAsia="宋体" w:cs="宋体"/>
              <w:i w:val="0"/>
              <w:caps w:val="0"/>
              <w:spacing w:val="0"/>
              <w:kern w:val="0"/>
              <w:sz w:val="24"/>
              <w:szCs w:val="24"/>
              <w:shd w:val="clear" w:color="auto" w:fill="FFFFFF"/>
              <w:lang w:val="en-US" w:eastAsia="zh-CN" w:bidi="ar"/>
            </w:rPr>
            <w:t>一般公共预算基本支出情况说明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_Toc13061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B7E2761">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_Toc25249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六、 </w:t>
          </w:r>
          <w:r>
            <w:rPr>
              <w:rFonts w:hint="eastAsia" w:ascii="宋体" w:hAnsi="宋体" w:eastAsia="宋体" w:cs="宋体"/>
              <w:i w:val="0"/>
              <w:caps w:val="0"/>
              <w:spacing w:val="0"/>
              <w:kern w:val="0"/>
              <w:sz w:val="24"/>
              <w:szCs w:val="24"/>
              <w:shd w:val="clear" w:color="auto" w:fill="FFFFFF"/>
              <w:lang w:val="en-US" w:eastAsia="zh-CN" w:bidi="ar"/>
            </w:rPr>
            <w:t>“三公”经费财政拨款预算安排情况说明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_Toc25249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74AA953">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_Toc9315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（一） </w:t>
          </w:r>
          <w:r>
            <w:rPr>
              <w:rFonts w:hint="eastAsia" w:ascii="宋体" w:hAnsi="宋体" w:eastAsia="宋体" w:cs="宋体"/>
              <w:i w:val="0"/>
              <w:caps w:val="0"/>
              <w:spacing w:val="0"/>
              <w:kern w:val="0"/>
              <w:sz w:val="24"/>
              <w:szCs w:val="24"/>
              <w:shd w:val="clear" w:color="auto" w:fill="FFFFFF"/>
              <w:lang w:val="en-US" w:eastAsia="zh-CN" w:bidi="ar"/>
            </w:rPr>
            <w:t>公务接待费与2020年预算相比。</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_Toc9315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7BCA044">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_Toc5708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（二） </w:t>
          </w:r>
          <w:r>
            <w:rPr>
              <w:rFonts w:hint="eastAsia" w:ascii="宋体" w:hAnsi="宋体" w:eastAsia="宋体" w:cs="宋体"/>
              <w:i w:val="0"/>
              <w:caps w:val="0"/>
              <w:spacing w:val="0"/>
              <w:kern w:val="0"/>
              <w:sz w:val="24"/>
              <w:szCs w:val="24"/>
              <w:shd w:val="clear" w:color="auto" w:fill="FFFFFF"/>
              <w:lang w:val="en-US" w:eastAsia="zh-CN" w:bidi="ar"/>
            </w:rPr>
            <w:t>公务用车购置及运行维护费与2020年预算相比。</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_Toc5708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3D40B42">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_Toc24626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（三） </w:t>
          </w:r>
          <w:r>
            <w:rPr>
              <w:rFonts w:hint="eastAsia" w:ascii="宋体" w:hAnsi="宋体" w:eastAsia="宋体" w:cs="宋体"/>
              <w:i w:val="0"/>
              <w:caps w:val="0"/>
              <w:spacing w:val="0"/>
              <w:kern w:val="0"/>
              <w:sz w:val="24"/>
              <w:szCs w:val="24"/>
              <w:shd w:val="clear" w:color="auto" w:fill="FFFFFF"/>
              <w:lang w:val="en-US" w:eastAsia="zh-CN" w:bidi="ar"/>
            </w:rPr>
            <w:t>因公出国（境）经费与2020年预算相比。</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_Toc24626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3555AD1">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_Toc5134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七、 </w:t>
          </w:r>
          <w:r>
            <w:rPr>
              <w:rFonts w:hint="eastAsia" w:ascii="宋体" w:hAnsi="宋体" w:eastAsia="宋体" w:cs="宋体"/>
              <w:i w:val="0"/>
              <w:caps w:val="0"/>
              <w:spacing w:val="0"/>
              <w:kern w:val="0"/>
              <w:sz w:val="24"/>
              <w:szCs w:val="24"/>
              <w:shd w:val="clear" w:color="auto" w:fill="FFFFFF"/>
              <w:lang w:val="en-US" w:eastAsia="zh-CN" w:bidi="ar"/>
            </w:rPr>
            <w:t>政府性基金预算支出情况说明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_Toc5134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CEB0F01">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_Toc12933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八、 </w:t>
          </w:r>
          <w:r>
            <w:rPr>
              <w:rFonts w:hint="eastAsia" w:ascii="宋体" w:hAnsi="宋体" w:eastAsia="宋体" w:cs="宋体"/>
              <w:i w:val="0"/>
              <w:caps w:val="0"/>
              <w:spacing w:val="0"/>
              <w:kern w:val="0"/>
              <w:sz w:val="24"/>
              <w:szCs w:val="24"/>
              <w:shd w:val="clear" w:color="auto" w:fill="FFFFFF"/>
              <w:lang w:val="en-US" w:eastAsia="zh-CN" w:bidi="ar"/>
            </w:rPr>
            <w:t>国有资本经营预算支出情况说明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_Toc12933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5E55DB0">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_Toc7402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九、 </w:t>
          </w:r>
          <w:r>
            <w:rPr>
              <w:rFonts w:hint="eastAsia" w:ascii="宋体" w:hAnsi="宋体" w:eastAsia="宋体" w:cs="宋体"/>
              <w:i w:val="0"/>
              <w:caps w:val="0"/>
              <w:spacing w:val="0"/>
              <w:kern w:val="0"/>
              <w:sz w:val="24"/>
              <w:szCs w:val="24"/>
              <w:shd w:val="clear" w:color="auto" w:fill="FFFFFF"/>
              <w:lang w:val="en-US" w:eastAsia="zh-CN" w:bidi="ar"/>
            </w:rPr>
            <w:t>其他重要事项的情况说明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_Toc7402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A087CBC">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_Toc28810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（一） </w:t>
          </w:r>
          <w:r>
            <w:rPr>
              <w:rFonts w:hint="eastAsia" w:ascii="宋体" w:hAnsi="宋体" w:eastAsia="宋体" w:cs="宋体"/>
              <w:i w:val="0"/>
              <w:caps w:val="0"/>
              <w:spacing w:val="0"/>
              <w:kern w:val="0"/>
              <w:sz w:val="24"/>
              <w:szCs w:val="24"/>
              <w:shd w:val="clear" w:color="auto" w:fill="FFFFFF"/>
              <w:lang w:val="en-US" w:eastAsia="zh-CN" w:bidi="ar"/>
            </w:rPr>
            <w:t>单位运行经费</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_Toc28810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ADDE4E7">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_Toc20656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（二） </w:t>
          </w:r>
          <w:r>
            <w:rPr>
              <w:rFonts w:hint="eastAsia" w:ascii="宋体" w:hAnsi="宋体" w:eastAsia="宋体" w:cs="宋体"/>
              <w:i w:val="0"/>
              <w:caps w:val="0"/>
              <w:spacing w:val="0"/>
              <w:kern w:val="0"/>
              <w:sz w:val="24"/>
              <w:szCs w:val="24"/>
              <w:shd w:val="clear" w:color="auto" w:fill="FFFFFF"/>
              <w:lang w:val="en-US" w:eastAsia="zh-CN" w:bidi="ar"/>
            </w:rPr>
            <w:t>政府采购情况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_Toc20656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F121D1F">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_Toc9436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（三） </w:t>
          </w:r>
          <w:r>
            <w:rPr>
              <w:rFonts w:hint="eastAsia" w:ascii="宋体" w:hAnsi="宋体" w:eastAsia="宋体" w:cs="宋体"/>
              <w:i w:val="0"/>
              <w:caps w:val="0"/>
              <w:spacing w:val="0"/>
              <w:kern w:val="0"/>
              <w:sz w:val="24"/>
              <w:szCs w:val="24"/>
              <w:shd w:val="clear" w:color="auto" w:fill="FFFFFF"/>
              <w:lang w:val="en-US" w:eastAsia="zh-CN" w:bidi="ar"/>
            </w:rPr>
            <w:t>国有资产占有使用情况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_Toc9436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5FA12BE">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_Toc31083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（四） </w:t>
          </w:r>
          <w:r>
            <w:rPr>
              <w:rFonts w:hint="eastAsia" w:ascii="宋体" w:hAnsi="宋体" w:eastAsia="宋体" w:cs="宋体"/>
              <w:i w:val="0"/>
              <w:caps w:val="0"/>
              <w:spacing w:val="0"/>
              <w:kern w:val="0"/>
              <w:sz w:val="24"/>
              <w:szCs w:val="24"/>
              <w:shd w:val="clear" w:color="auto" w:fill="FFFFFF"/>
              <w:lang w:val="en-US" w:eastAsia="zh-CN" w:bidi="ar"/>
            </w:rPr>
            <w:t>绩效目标设置情况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_Toc31083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A189A68">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_Toc15286 </w:instrText>
          </w:r>
          <w:r>
            <w:rPr>
              <w:rFonts w:hint="eastAsia" w:ascii="宋体" w:hAnsi="宋体" w:eastAsia="宋体" w:cs="宋体"/>
              <w:sz w:val="24"/>
              <w:szCs w:val="24"/>
            </w:rPr>
            <w:fldChar w:fldCharType="separate"/>
          </w:r>
          <w:r>
            <w:rPr>
              <w:rFonts w:hint="eastAsia" w:ascii="宋体" w:hAnsi="宋体" w:eastAsia="宋体" w:cs="宋体"/>
              <w:i w:val="0"/>
              <w:caps w:val="0"/>
              <w:spacing w:val="0"/>
              <w:kern w:val="0"/>
              <w:sz w:val="24"/>
              <w:szCs w:val="24"/>
              <w:shd w:val="clear" w:fill="FFFFFF"/>
              <w:lang w:val="en-US" w:eastAsia="zh-CN" w:bidi="ar"/>
            </w:rPr>
            <w:t xml:space="preserve">十、 </w:t>
          </w:r>
          <w:r>
            <w:rPr>
              <w:rFonts w:hint="eastAsia" w:ascii="宋体" w:hAnsi="宋体" w:eastAsia="宋体" w:cs="宋体"/>
              <w:i w:val="0"/>
              <w:caps w:val="0"/>
              <w:spacing w:val="0"/>
              <w:kern w:val="0"/>
              <w:sz w:val="24"/>
              <w:szCs w:val="24"/>
              <w:shd w:val="clear" w:color="auto" w:fill="FFFFFF"/>
              <w:lang w:val="en-US" w:eastAsia="zh-CN" w:bidi="ar"/>
            </w:rPr>
            <w:t>名词解释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_Toc15286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23B6CFD">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fldChar w:fldCharType="end"/>
          </w:r>
        </w:p>
      </w:sdtContent>
    </w:sdt>
    <w:p w14:paraId="5C01A031">
      <w:pPr>
        <w:rPr>
          <w:rFonts w:hint="default"/>
        </w:rPr>
      </w:pPr>
    </w:p>
    <w:p w14:paraId="2E05334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outlineLvl w:val="0"/>
        <w:rPr>
          <w:rFonts w:ascii="仿宋_GB2312" w:eastAsia="仿宋_GB2312" w:cs="仿宋_GB2312"/>
          <w:i w:val="0"/>
          <w:caps w:val="0"/>
          <w:color w:val="333333"/>
          <w:spacing w:val="0"/>
          <w:sz w:val="30"/>
          <w:szCs w:val="30"/>
        </w:rPr>
      </w:pPr>
      <w:bookmarkStart w:id="0" w:name="_Toc18981"/>
      <w:r>
        <w:rPr>
          <w:rFonts w:hint="eastAsia" w:ascii="宋体" w:hAnsi="宋体" w:eastAsia="宋体" w:cs="宋体"/>
          <w:b/>
          <w:i w:val="0"/>
          <w:caps w:val="0"/>
          <w:color w:val="333333"/>
          <w:spacing w:val="0"/>
          <w:sz w:val="32"/>
          <w:szCs w:val="32"/>
          <w:shd w:val="clear" w:color="auto" w:fill="FFFFFF"/>
        </w:rPr>
        <w:t>    </w:t>
      </w:r>
      <w:bookmarkEnd w:id="0"/>
    </w:p>
    <w:p w14:paraId="5922DF3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40"/>
        <w:jc w:val="both"/>
        <w:outlineLvl w:val="0"/>
        <w:rPr>
          <w:rFonts w:hint="default" w:ascii="Times New Roman" w:hAnsi="Times New Roman" w:cs="Times New Roman"/>
          <w:i w:val="0"/>
          <w:caps w:val="0"/>
          <w:color w:val="333333"/>
          <w:spacing w:val="0"/>
          <w:sz w:val="32"/>
          <w:szCs w:val="32"/>
        </w:rPr>
      </w:pPr>
      <w:bookmarkStart w:id="1" w:name="_Toc645"/>
      <w:r>
        <w:rPr>
          <w:rFonts w:ascii="黑体" w:hAnsi="宋体" w:eastAsia="黑体" w:cs="黑体"/>
          <w:i w:val="0"/>
          <w:caps w:val="0"/>
          <w:color w:val="333333"/>
          <w:spacing w:val="0"/>
          <w:kern w:val="0"/>
          <w:sz w:val="32"/>
          <w:szCs w:val="32"/>
          <w:shd w:val="clear" w:color="auto" w:fill="FFFFFF"/>
          <w:lang w:val="en-US" w:eastAsia="zh-CN" w:bidi="ar"/>
        </w:rPr>
        <w:t>一、基本职能及主要工作</w:t>
      </w:r>
      <w:bookmarkEnd w:id="1"/>
    </w:p>
    <w:p w14:paraId="4F4F34EC">
      <w:pPr>
        <w:pStyle w:val="9"/>
        <w:numPr>
          <w:ilvl w:val="0"/>
          <w:numId w:val="0"/>
        </w:numPr>
        <w:shd w:val="clear" w:color="auto" w:fill="FFFFFF"/>
        <w:spacing w:line="330" w:lineRule="atLeast"/>
        <w:ind w:firstLine="643" w:firstLineChars="200"/>
        <w:rPr>
          <w:rFonts w:hint="eastAsia" w:ascii="楷体_GB2312" w:eastAsia="楷体_GB2312" w:cs="楷体_GB2312"/>
          <w:b/>
          <w:i w:val="0"/>
          <w:caps w:val="0"/>
          <w:color w:val="333333"/>
          <w:spacing w:val="0"/>
          <w:sz w:val="32"/>
          <w:szCs w:val="32"/>
          <w:shd w:val="clear" w:color="auto" w:fill="FFFFFF"/>
        </w:rPr>
      </w:pPr>
      <w:r>
        <w:rPr>
          <w:rFonts w:ascii="楷体_GB2312" w:eastAsia="楷体_GB2312" w:cs="楷体_GB2312"/>
          <w:b/>
          <w:i w:val="0"/>
          <w:caps w:val="0"/>
          <w:color w:val="333333"/>
          <w:spacing w:val="0"/>
          <w:sz w:val="32"/>
          <w:szCs w:val="32"/>
          <w:shd w:val="clear" w:color="auto" w:fill="FFFFFF"/>
        </w:rPr>
        <w:t>（一）</w:t>
      </w:r>
      <w:r>
        <w:rPr>
          <w:rFonts w:hint="eastAsia" w:ascii="楷体_GB2312" w:eastAsia="楷体_GB2312" w:cs="楷体_GB2312"/>
          <w:b/>
          <w:i w:val="0"/>
          <w:caps w:val="0"/>
          <w:color w:val="333333"/>
          <w:spacing w:val="0"/>
          <w:sz w:val="32"/>
          <w:szCs w:val="32"/>
          <w:shd w:val="clear" w:color="auto" w:fill="FFFFFF"/>
          <w:lang w:val="en-US" w:eastAsia="zh-CN"/>
        </w:rPr>
        <w:t>单位</w:t>
      </w:r>
      <w:r>
        <w:rPr>
          <w:rFonts w:hint="eastAsia" w:ascii="楷体_GB2312" w:eastAsia="楷体_GB2312" w:cs="楷体_GB2312"/>
          <w:b/>
          <w:i w:val="0"/>
          <w:caps w:val="0"/>
          <w:color w:val="333333"/>
          <w:spacing w:val="0"/>
          <w:sz w:val="32"/>
          <w:szCs w:val="32"/>
          <w:shd w:val="clear" w:color="auto" w:fill="FFFFFF"/>
        </w:rPr>
        <w:t>职能简介</w:t>
      </w:r>
    </w:p>
    <w:p w14:paraId="50B2A935">
      <w:pPr>
        <w:pStyle w:val="9"/>
        <w:numPr>
          <w:ilvl w:val="0"/>
          <w:numId w:val="0"/>
        </w:numPr>
        <w:shd w:val="clear" w:color="auto" w:fill="FFFFFF"/>
        <w:spacing w:line="330" w:lineRule="atLeast"/>
        <w:ind w:firstLine="640"/>
        <w:outlineLvl w:val="0"/>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bookmarkStart w:id="2" w:name="_Toc4738"/>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1、基本医疗服务方面</w:t>
      </w:r>
      <w:bookmarkEnd w:id="2"/>
    </w:p>
    <w:p w14:paraId="7F83649D">
      <w:pPr>
        <w:pStyle w:val="9"/>
        <w:numPr>
          <w:ilvl w:val="0"/>
          <w:numId w:val="0"/>
        </w:numPr>
        <w:shd w:val="clear" w:color="auto" w:fill="FFFFFF"/>
        <w:spacing w:line="330" w:lineRule="atLeast"/>
        <w:ind w:firstLine="640" w:firstLineChars="200"/>
        <w:rPr>
          <w:rFonts w:hint="eastAsia" w:ascii="仿宋" w:hAnsi="仿宋" w:eastAsia="仿宋" w:cs="仿宋"/>
          <w:i w:val="0"/>
          <w:iCs w:val="0"/>
          <w:caps w:val="0"/>
          <w:snapToGrid w:val="0"/>
          <w:color w:val="000000"/>
          <w:spacing w:val="0"/>
          <w:sz w:val="32"/>
          <w:szCs w:val="32"/>
          <w:shd w:val="clear" w:color="auto" w:fill="FFFFFF"/>
          <w:lang w:val="en-US" w:eastAsia="zh-CN"/>
        </w:rPr>
      </w:pPr>
      <w:r>
        <w:rPr>
          <w:rFonts w:hint="eastAsia" w:ascii="仿宋_GB2312" w:hAnsi="仿宋_GB2312" w:eastAsia="仿宋_GB2312" w:cs="仿宋_GB2312"/>
          <w:sz w:val="32"/>
          <w:szCs w:val="32"/>
          <w:lang w:val="en-US" w:eastAsia="zh-CN"/>
        </w:rPr>
        <w:t>（1）我院基本医疗工作持续高质量发展，依托分级诊疗制度，加强新冠疫情防控常态工作。通过加强组织领导，强化人才培训，着力业务拓展，我院成立了以院长为组长，资深业务骨干医师为副组长，药房负责人、护理负责人、财务负责人、辅检科室负责人和各村卫生室负责人为成员的专项工作领导小组。领导小组负责制定年度基本医疗工作计划，统筹处理日常工作中的重大事件和基本医疗日常监管等事宜。</w:t>
      </w:r>
      <w:r>
        <w:rPr>
          <w:rFonts w:hint="eastAsia" w:ascii="仿宋" w:hAnsi="仿宋" w:eastAsia="仿宋" w:cs="仿宋"/>
          <w:i w:val="0"/>
          <w:iCs w:val="0"/>
          <w:caps w:val="0"/>
          <w:snapToGrid w:val="0"/>
          <w:color w:val="000000"/>
          <w:spacing w:val="0"/>
          <w:sz w:val="32"/>
          <w:szCs w:val="32"/>
          <w:shd w:val="clear" w:color="auto" w:fill="FFFFFF"/>
          <w:lang w:val="en-US" w:eastAsia="zh-CN"/>
        </w:rPr>
        <w:t>正确处理常见病，多发病，对疑难杂症进行恰当的处理与转诊；加强急诊救护体系建设，承担乡村现场应急救护，转诊和康复服务；认真执行国家基本药物制度，加强医疗质量管理及院感防控。</w:t>
      </w:r>
      <w:r>
        <w:rPr>
          <w:rFonts w:hint="eastAsia" w:ascii="仿宋_GB2312" w:hAnsi="仿宋_GB2312" w:eastAsia="仿宋_GB2312" w:cs="仿宋_GB2312"/>
          <w:sz w:val="32"/>
          <w:szCs w:val="32"/>
          <w:lang w:val="en-US" w:eastAsia="zh-CN"/>
        </w:rPr>
        <w:t>注重指标监控等一系列措施，实现了群众小病不出村，大病不出乡工作目标，业务量同比大幅增长，群众满意度大幅提升。</w:t>
      </w:r>
      <w:r>
        <w:rPr>
          <w:rFonts w:hint="eastAsia" w:ascii="仿宋" w:hAnsi="仿宋" w:eastAsia="仿宋" w:cs="仿宋"/>
          <w:i w:val="0"/>
          <w:iCs w:val="0"/>
          <w:caps w:val="0"/>
          <w:snapToGrid w:val="0"/>
          <w:color w:val="000000"/>
          <w:spacing w:val="0"/>
          <w:sz w:val="32"/>
          <w:szCs w:val="32"/>
          <w:shd w:val="clear" w:color="auto" w:fill="FFFFFF"/>
          <w:lang w:val="en-US" w:eastAsia="zh-CN"/>
        </w:rPr>
        <w:t xml:space="preserve"> </w:t>
      </w:r>
    </w:p>
    <w:p w14:paraId="79B488B3">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（2）拓展服务项目把能否经受住大战、大考作为体现学习成效的重要指标。重点返乡人员（密切接触者）健康监测全覆盖，哨点诊室改建如期完工并投入使用。</w:t>
      </w:r>
    </w:p>
    <w:p w14:paraId="2FDC13C5">
      <w:pPr>
        <w:numPr>
          <w:ilvl w:val="0"/>
          <w:numId w:val="0"/>
        </w:numPr>
        <w:ind w:firstLine="640" w:firstLineChars="200"/>
        <w:jc w:val="left"/>
        <w:rPr>
          <w:rFonts w:hint="eastAsia" w:ascii="楷体_GB2312" w:eastAsia="楷体_GB2312" w:cs="楷体_GB2312"/>
          <w:b/>
          <w:i w:val="0"/>
          <w:caps w:val="0"/>
          <w:color w:val="333333"/>
          <w:spacing w:val="0"/>
          <w:sz w:val="32"/>
          <w:szCs w:val="32"/>
          <w:shd w:val="clear" w:color="auto" w:fill="FFFFFF"/>
        </w:rPr>
      </w:pPr>
      <w:r>
        <w:rPr>
          <w:rFonts w:hint="eastAsia" w:ascii="仿宋_GB2312" w:hAnsi="仿宋_GB2312" w:eastAsia="仿宋_GB2312" w:cs="仿宋_GB2312"/>
          <w:sz w:val="32"/>
          <w:szCs w:val="32"/>
          <w:lang w:val="en-US" w:eastAsia="zh-CN"/>
        </w:rPr>
        <w:t>（3）严格质量管理（1）根据业务发展，要求西医全科医师转岗培训、临床全科医师转岗培训</w:t>
      </w:r>
    </w:p>
    <w:p w14:paraId="1F8CFD71">
      <w:pPr>
        <w:pStyle w:val="9"/>
        <w:numPr>
          <w:ilvl w:val="0"/>
          <w:numId w:val="0"/>
        </w:numPr>
        <w:shd w:val="clear" w:color="auto" w:fill="FFFFFF"/>
        <w:spacing w:line="330" w:lineRule="atLeast"/>
        <w:ind w:firstLine="640" w:firstLineChars="200"/>
        <w:outlineLvl w:val="0"/>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bookmarkStart w:id="3" w:name="_Toc10723"/>
      <w:r>
        <w:rPr>
          <w:rFonts w:hint="eastAsia" w:ascii="宋体" w:hAnsi="宋体" w:cs="宋体"/>
          <w:color w:val="000000"/>
          <w:sz w:val="32"/>
          <w:szCs w:val="32"/>
          <w:highlight w:val="none"/>
          <w:lang w:val="en-US" w:eastAsia="zh-CN"/>
        </w:rPr>
        <w:t>2、</w:t>
      </w: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基本公共卫生服务方面</w:t>
      </w:r>
      <w:bookmarkEnd w:id="3"/>
    </w:p>
    <w:p w14:paraId="7EA4F2A3">
      <w:pPr>
        <w:pStyle w:val="9"/>
        <w:numPr>
          <w:ilvl w:val="0"/>
          <w:numId w:val="0"/>
        </w:numPr>
        <w:shd w:val="clear" w:color="auto" w:fill="FFFFFF"/>
        <w:spacing w:line="330" w:lineRule="atLeast"/>
        <w:ind w:firstLine="640"/>
        <w:rPr>
          <w:rFonts w:hint="eastAsia" w:ascii="仿宋" w:hAnsi="仿宋" w:eastAsia="仿宋" w:cs="仿宋"/>
          <w:i w:val="0"/>
          <w:iCs w:val="0"/>
          <w:caps w:val="0"/>
          <w:snapToGrid w:val="0"/>
          <w:color w:val="000000"/>
          <w:spacing w:val="0"/>
          <w:sz w:val="32"/>
          <w:szCs w:val="32"/>
          <w:shd w:val="clear" w:color="auto" w:fill="FFFFFF"/>
          <w:lang w:val="en-US" w:eastAsia="zh-CN"/>
        </w:rPr>
      </w:pPr>
      <w:r>
        <w:rPr>
          <w:rFonts w:hint="eastAsia" w:ascii="仿宋" w:hAnsi="仿宋" w:eastAsia="仿宋" w:cs="仿宋"/>
          <w:i w:val="0"/>
          <w:iCs w:val="0"/>
          <w:caps w:val="0"/>
          <w:snapToGrid w:val="0"/>
          <w:color w:val="000000"/>
          <w:spacing w:val="0"/>
          <w:sz w:val="32"/>
          <w:szCs w:val="32"/>
          <w:shd w:val="clear" w:color="auto" w:fill="FFFFFF"/>
          <w:lang w:val="en-US" w:eastAsia="zh-CN"/>
        </w:rPr>
        <w:t>落实农村居民健康档案管理及服务；普及卫生保健常识，指导开展爱国卫生工作；规范预防接种服务，执行国家免疫规划；及时发现、登记并报告辖区传染病病历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p>
    <w:p w14:paraId="1FE4BBEA">
      <w:pPr>
        <w:pStyle w:val="9"/>
        <w:numPr>
          <w:ilvl w:val="0"/>
          <w:numId w:val="0"/>
        </w:numPr>
        <w:shd w:val="clear" w:color="auto" w:fill="FFFFFF"/>
        <w:spacing w:line="330" w:lineRule="atLeast"/>
        <w:ind w:firstLine="640" w:firstLineChars="200"/>
        <w:outlineLvl w:val="0"/>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bookmarkStart w:id="4" w:name="_Toc30115"/>
      <w:r>
        <w:rPr>
          <w:rFonts w:hint="eastAsia" w:cs="宋体"/>
          <w:color w:val="000000"/>
          <w:sz w:val="32"/>
          <w:szCs w:val="32"/>
          <w:highlight w:val="none"/>
          <w:lang w:val="en-US" w:eastAsia="zh-CN"/>
        </w:rPr>
        <w:t>3</w:t>
      </w:r>
      <w:r>
        <w:rPr>
          <w:rFonts w:hint="eastAsia" w:eastAsia="宋体" w:cs="宋体"/>
          <w:color w:val="000000"/>
          <w:sz w:val="32"/>
          <w:szCs w:val="32"/>
          <w:highlight w:val="none"/>
          <w:lang w:val="en-US" w:eastAsia="zh-CN"/>
        </w:rPr>
        <w:t>、</w:t>
      </w: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基本管理服务</w:t>
      </w:r>
      <w:bookmarkEnd w:id="4"/>
    </w:p>
    <w:p w14:paraId="1754DEF0">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健全规章制度，进一步健全完善了工作制度和诊疗规范,制定完善了医疗差错防范制度，急救药品管理制度，危重病人抢救制度，医疗文书书写制度，处方病历点评制度，进一步规范了医疗行为，结合本院工作实际，进一步优化了护理工作流程。</w:t>
      </w:r>
    </w:p>
    <w:p w14:paraId="463DE070">
      <w:pPr>
        <w:numPr>
          <w:ilvl w:val="0"/>
          <w:numId w:val="0"/>
        </w:numPr>
        <w:ind w:firstLine="640" w:firstLineChars="200"/>
        <w:jc w:val="left"/>
        <w:rPr>
          <w:rFonts w:hint="eastAsia" w:ascii="仿宋" w:hAnsi="仿宋" w:eastAsia="仿宋" w:cs="仿宋"/>
          <w:i w:val="0"/>
          <w:iCs w:val="0"/>
          <w:caps w:val="0"/>
          <w:snapToGrid w:val="0"/>
          <w:color w:val="000000"/>
          <w:spacing w:val="0"/>
          <w:sz w:val="32"/>
          <w:szCs w:val="32"/>
          <w:shd w:val="clear" w:color="auto" w:fill="FFFFFF"/>
          <w:lang w:eastAsia="zh-CN"/>
        </w:rPr>
      </w:pPr>
      <w:r>
        <w:rPr>
          <w:rFonts w:hint="eastAsia" w:ascii="仿宋" w:hAnsi="仿宋" w:eastAsia="仿宋" w:cs="仿宋"/>
          <w:i w:val="0"/>
          <w:iCs w:val="0"/>
          <w:caps w:val="0"/>
          <w:snapToGrid w:val="0"/>
          <w:color w:val="000000"/>
          <w:spacing w:val="0"/>
          <w:sz w:val="32"/>
          <w:szCs w:val="32"/>
          <w:shd w:val="clear" w:color="auto" w:fill="FFFFFF"/>
          <w:lang w:val="en-US" w:eastAsia="zh-CN"/>
        </w:rPr>
        <w:t>（2）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p>
    <w:p w14:paraId="3B267567">
      <w:pPr>
        <w:pStyle w:val="9"/>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ascii="楷体_GB2312" w:eastAsia="楷体_GB2312" w:cs="楷体_GB2312"/>
          <w:b/>
          <w:i w:val="0"/>
          <w:caps w:val="0"/>
          <w:color w:val="333333"/>
          <w:spacing w:val="0"/>
          <w:sz w:val="32"/>
          <w:szCs w:val="32"/>
          <w:shd w:val="clear" w:color="auto" w:fill="FFFFFF"/>
        </w:rPr>
      </w:pPr>
      <w:r>
        <w:rPr>
          <w:rFonts w:hint="eastAsia" w:ascii="楷体_GB2312" w:eastAsia="楷体_GB2312" w:cs="楷体_GB2312"/>
          <w:b/>
          <w:i w:val="0"/>
          <w:caps w:val="0"/>
          <w:color w:val="333333"/>
          <w:spacing w:val="0"/>
          <w:sz w:val="32"/>
          <w:szCs w:val="32"/>
          <w:shd w:val="clear" w:color="auto" w:fill="FFFFFF"/>
          <w:lang w:val="en-US" w:eastAsia="zh-CN"/>
        </w:rPr>
        <w:t>单位</w:t>
      </w:r>
      <w:r>
        <w:rPr>
          <w:rFonts w:hint="eastAsia" w:ascii="楷体_GB2312" w:eastAsia="楷体_GB2312" w:cs="楷体_GB2312"/>
          <w:b/>
          <w:i w:val="0"/>
          <w:caps w:val="0"/>
          <w:color w:val="333333"/>
          <w:spacing w:val="0"/>
          <w:sz w:val="32"/>
          <w:szCs w:val="32"/>
          <w:shd w:val="clear" w:color="auto" w:fill="FFFFFF"/>
        </w:rPr>
        <w:t>202</w:t>
      </w:r>
      <w:r>
        <w:rPr>
          <w:rFonts w:hint="eastAsia" w:ascii="楷体_GB2312" w:eastAsia="楷体_GB2312" w:cs="楷体_GB2312"/>
          <w:b/>
          <w:i w:val="0"/>
          <w:caps w:val="0"/>
          <w:color w:val="333333"/>
          <w:spacing w:val="0"/>
          <w:sz w:val="32"/>
          <w:szCs w:val="32"/>
          <w:shd w:val="clear" w:color="auto" w:fill="FFFFFF"/>
          <w:lang w:val="en-US" w:eastAsia="zh-CN"/>
        </w:rPr>
        <w:t>1</w:t>
      </w:r>
      <w:r>
        <w:rPr>
          <w:rFonts w:hint="eastAsia" w:ascii="楷体_GB2312" w:eastAsia="楷体_GB2312" w:cs="楷体_GB2312"/>
          <w:b/>
          <w:i w:val="0"/>
          <w:caps w:val="0"/>
          <w:color w:val="333333"/>
          <w:spacing w:val="0"/>
          <w:sz w:val="32"/>
          <w:szCs w:val="32"/>
          <w:shd w:val="clear" w:color="auto" w:fill="FFFFFF"/>
        </w:rPr>
        <w:t>年重点工作</w:t>
      </w:r>
    </w:p>
    <w:p w14:paraId="37580145">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rightChars="0" w:firstLine="1245" w:firstLineChars="400"/>
        <w:jc w:val="left"/>
        <w:textAlignment w:val="baseline"/>
        <w:rPr>
          <w:rFonts w:hint="eastAsia" w:ascii="仿宋_GB2312" w:hAnsi="微软雅黑" w:eastAsia="仿宋_GB2312" w:cs="仿宋_GB2312"/>
          <w:b/>
          <w:bCs/>
          <w:i w:val="0"/>
          <w:iCs w:val="0"/>
          <w:caps w:val="0"/>
          <w:snapToGrid w:val="0"/>
          <w:color w:val="000000"/>
          <w:spacing w:val="0"/>
          <w:sz w:val="31"/>
          <w:szCs w:val="31"/>
          <w:shd w:val="clear" w:color="auto" w:fill="FFFFFF"/>
          <w:lang w:eastAsia="zh-CN"/>
        </w:rPr>
      </w:pP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1、</w:t>
      </w:r>
      <w:r>
        <w:rPr>
          <w:rFonts w:hint="eastAsia" w:ascii="仿宋_GB2312" w:hAnsi="微软雅黑" w:eastAsia="仿宋_GB2312" w:cs="仿宋_GB2312"/>
          <w:b/>
          <w:bCs/>
          <w:i w:val="0"/>
          <w:iCs w:val="0"/>
          <w:caps w:val="0"/>
          <w:snapToGrid w:val="0"/>
          <w:color w:val="000000"/>
          <w:spacing w:val="0"/>
          <w:sz w:val="31"/>
          <w:szCs w:val="31"/>
          <w:shd w:val="clear" w:color="auto" w:fill="FFFFFF"/>
          <w:lang w:eastAsia="zh-CN"/>
        </w:rPr>
        <w:t>加强党务工作。</w:t>
      </w:r>
    </w:p>
    <w:p w14:paraId="3E56B6EC">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rightChars="0" w:firstLine="640" w:firstLineChars="200"/>
        <w:jc w:val="left"/>
        <w:textAlignment w:val="baseline"/>
        <w:rPr>
          <w:rFonts w:hint="eastAsia" w:ascii="仿宋" w:hAnsi="仿宋" w:eastAsia="仿宋" w:cs="仿宋"/>
          <w:i w:val="0"/>
          <w:iCs w:val="0"/>
          <w:caps w:val="0"/>
          <w:snapToGrid w:val="0"/>
          <w:color w:val="000000"/>
          <w:spacing w:val="0"/>
          <w:sz w:val="32"/>
          <w:szCs w:val="32"/>
          <w:shd w:val="clear" w:color="auto" w:fill="FFFFFF"/>
          <w:lang w:eastAsia="zh-CN"/>
        </w:rPr>
      </w:pPr>
      <w:r>
        <w:rPr>
          <w:rFonts w:hint="eastAsia" w:ascii="仿宋" w:hAnsi="仿宋" w:eastAsia="仿宋" w:cs="仿宋"/>
          <w:i w:val="0"/>
          <w:iCs w:val="0"/>
          <w:caps w:val="0"/>
          <w:snapToGrid w:val="0"/>
          <w:color w:val="000000"/>
          <w:spacing w:val="0"/>
          <w:sz w:val="32"/>
          <w:szCs w:val="32"/>
          <w:shd w:val="clear" w:color="auto" w:fill="FFFFFF"/>
          <w:lang w:eastAsia="zh-CN"/>
        </w:rPr>
        <w:t>坚持民主集中制，坚持“三会一课”制度，</w:t>
      </w:r>
      <w:r>
        <w:rPr>
          <w:rFonts w:hint="eastAsia" w:ascii="仿宋" w:hAnsi="仿宋" w:eastAsia="仿宋" w:cs="仿宋"/>
          <w:b w:val="0"/>
          <w:bCs/>
          <w:sz w:val="32"/>
          <w:szCs w:val="32"/>
          <w:lang w:eastAsia="zh-CN"/>
        </w:rPr>
        <w:t>以“党史学习教育”</w:t>
      </w:r>
      <w:r>
        <w:rPr>
          <w:rFonts w:hint="eastAsia" w:ascii="仿宋" w:hAnsi="仿宋" w:eastAsia="仿宋" w:cs="仿宋"/>
          <w:b w:val="0"/>
          <w:bCs/>
          <w:sz w:val="32"/>
          <w:szCs w:val="32"/>
        </w:rPr>
        <w:t>等</w:t>
      </w:r>
      <w:r>
        <w:rPr>
          <w:rFonts w:hint="eastAsia" w:ascii="仿宋" w:hAnsi="仿宋" w:eastAsia="仿宋" w:cs="仿宋"/>
          <w:b w:val="0"/>
          <w:bCs/>
          <w:sz w:val="32"/>
          <w:szCs w:val="32"/>
          <w:lang w:eastAsia="zh-CN"/>
        </w:rPr>
        <w:t>内容为重点，积极参加党史学习教育，认真研读党史学习教育指定“四本书”，坚持读原著、学原文、悟原理，进一步深入</w:t>
      </w:r>
      <w:r>
        <w:rPr>
          <w:rFonts w:hint="eastAsia" w:ascii="仿宋" w:hAnsi="仿宋" w:eastAsia="仿宋" w:cs="仿宋"/>
          <w:b w:val="0"/>
          <w:bCs/>
          <w:sz w:val="32"/>
          <w:szCs w:val="32"/>
        </w:rPr>
        <w:t>学习贯彻习近平新时代中国特色社会主义思想</w:t>
      </w:r>
      <w:r>
        <w:rPr>
          <w:rFonts w:hint="eastAsia" w:ascii="仿宋" w:hAnsi="仿宋" w:eastAsia="仿宋" w:cs="仿宋"/>
          <w:b w:val="0"/>
          <w:bCs/>
          <w:sz w:val="32"/>
          <w:szCs w:val="32"/>
          <w:lang w:eastAsia="zh-CN"/>
        </w:rPr>
        <w:t>的领悟，进一步增强</w:t>
      </w:r>
      <w:r>
        <w:rPr>
          <w:rFonts w:hint="eastAsia" w:ascii="仿宋" w:hAnsi="仿宋" w:eastAsia="仿宋" w:cs="仿宋"/>
          <w:b w:val="0"/>
          <w:bCs/>
          <w:sz w:val="32"/>
          <w:szCs w:val="32"/>
        </w:rPr>
        <w:t>“四个意识”、坚定“四个自信”、做到“两个维护”</w:t>
      </w:r>
      <w:r>
        <w:rPr>
          <w:rFonts w:hint="eastAsia" w:ascii="仿宋" w:hAnsi="仿宋" w:eastAsia="仿宋" w:cs="仿宋"/>
          <w:b w:val="0"/>
          <w:bCs/>
          <w:sz w:val="32"/>
          <w:szCs w:val="32"/>
          <w:lang w:eastAsia="zh-CN"/>
        </w:rPr>
        <w:t>，切实把“不忘初心、牢记使命”内化于心，外化于行，并将所学所思运用于临床工作生活中，更好的服务于人民。</w:t>
      </w:r>
    </w:p>
    <w:p w14:paraId="74C26196">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firstLine="643" w:firstLineChars="200"/>
        <w:textAlignment w:val="auto"/>
        <w:rPr>
          <w:rFonts w:hint="eastAsia" w:ascii="仿宋" w:hAnsi="仿宋" w:eastAsia="仿宋" w:cs="仿宋"/>
          <w:b/>
          <w:bCs w:val="0"/>
          <w:snapToGrid/>
          <w:color w:val="000000"/>
          <w:spacing w:val="0"/>
          <w:w w:val="100"/>
          <w:kern w:val="2"/>
          <w:position w:val="0"/>
          <w:sz w:val="32"/>
          <w:szCs w:val="32"/>
          <w:u w:val="none" w:color="auto"/>
          <w:vertAlign w:val="baseline"/>
          <w:lang w:val="en-US" w:eastAsia="zh-CN" w:bidi="ar-SA"/>
        </w:rPr>
      </w:pPr>
      <w:r>
        <w:rPr>
          <w:rFonts w:hint="eastAsia" w:ascii="仿宋" w:hAnsi="仿宋" w:eastAsia="仿宋" w:cs="仿宋"/>
          <w:b/>
          <w:bCs w:val="0"/>
          <w:snapToGrid/>
          <w:color w:val="000000"/>
          <w:spacing w:val="0"/>
          <w:w w:val="100"/>
          <w:kern w:val="2"/>
          <w:position w:val="0"/>
          <w:sz w:val="32"/>
          <w:szCs w:val="32"/>
          <w:u w:val="none" w:color="auto"/>
          <w:vertAlign w:val="baseline"/>
          <w:lang w:val="en-US" w:eastAsia="zh-CN" w:bidi="ar-SA"/>
        </w:rPr>
        <w:t>2、坚决守住了新冠肺炎疫情“零”底线。</w:t>
      </w:r>
    </w:p>
    <w:p w14:paraId="09C6C25C">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iCs w:val="0"/>
          <w:caps w:val="0"/>
          <w:snapToGrid w:val="0"/>
          <w:color w:val="000000"/>
          <w:spacing w:val="0"/>
          <w:sz w:val="32"/>
          <w:szCs w:val="32"/>
          <w:shd w:val="clear" w:color="auto" w:fill="FFFFFF"/>
          <w:lang w:val="en-US" w:eastAsia="zh-CN"/>
        </w:rPr>
      </w:pPr>
      <w:r>
        <w:rPr>
          <w:rFonts w:hint="eastAsia" w:ascii="仿宋" w:hAnsi="仿宋" w:eastAsia="仿宋" w:cs="仿宋"/>
          <w:sz w:val="32"/>
          <w:szCs w:val="32"/>
          <w:lang w:eastAsia="zh-CN"/>
        </w:rPr>
        <w:t>自新冠肺炎发生以来，我把疫情防控工作作为压倒一切的重大政治任务，深入贯彻习近平总书记重要指示精神，坚决落实党中央、国务院和省、市、区</w:t>
      </w:r>
      <w:bookmarkStart w:id="26" w:name="_GoBack"/>
      <w:bookmarkEnd w:id="26"/>
      <w:r>
        <w:rPr>
          <w:rFonts w:hint="eastAsia" w:ascii="仿宋" w:hAnsi="仿宋" w:eastAsia="仿宋" w:cs="仿宋"/>
          <w:sz w:val="32"/>
          <w:szCs w:val="32"/>
          <w:lang w:eastAsia="zh-CN"/>
        </w:rPr>
        <w:t>委各项决策部署。</w:t>
      </w:r>
      <w:r>
        <w:rPr>
          <w:rFonts w:hint="eastAsia" w:ascii="仿宋_GB2312" w:hAnsi="微软雅黑" w:eastAsia="仿宋_GB2312" w:cs="仿宋_GB2312"/>
          <w:i w:val="0"/>
          <w:iCs w:val="0"/>
          <w:caps w:val="0"/>
          <w:snapToGrid w:val="0"/>
          <w:color w:val="000000"/>
          <w:spacing w:val="0"/>
          <w:sz w:val="31"/>
          <w:szCs w:val="31"/>
          <w:shd w:val="clear" w:color="auto" w:fill="FFFFFF"/>
          <w:lang w:eastAsia="zh-CN"/>
        </w:rPr>
        <w:t>严</w:t>
      </w:r>
      <w:r>
        <w:rPr>
          <w:rFonts w:hint="eastAsia" w:ascii="仿宋" w:hAnsi="仿宋" w:eastAsia="仿宋" w:cs="仿宋"/>
          <w:i w:val="0"/>
          <w:iCs w:val="0"/>
          <w:caps w:val="0"/>
          <w:snapToGrid w:val="0"/>
          <w:color w:val="000000"/>
          <w:spacing w:val="0"/>
          <w:sz w:val="32"/>
          <w:szCs w:val="32"/>
          <w:shd w:val="clear" w:color="auto" w:fill="FFFFFF"/>
          <w:lang w:eastAsia="zh-CN"/>
        </w:rPr>
        <w:t>格执行疫情监测、报告制度。进一步抓好新冠病毒防控。</w:t>
      </w:r>
      <w:r>
        <w:rPr>
          <w:rFonts w:hint="eastAsia" w:ascii="仿宋" w:hAnsi="仿宋" w:eastAsia="仿宋" w:cs="仿宋"/>
          <w:sz w:val="32"/>
          <w:szCs w:val="32"/>
          <w:lang w:eastAsia="zh-CN"/>
        </w:rPr>
        <w:t>坚决守住了新冠肺炎疫情确诊病例“零”、疑似病例“零”底线。</w:t>
      </w:r>
      <w:r>
        <w:rPr>
          <w:rFonts w:hint="eastAsia" w:ascii="仿宋" w:hAnsi="仿宋" w:eastAsia="仿宋" w:cs="仿宋"/>
          <w:i w:val="0"/>
          <w:iCs w:val="0"/>
          <w:caps w:val="0"/>
          <w:snapToGrid w:val="0"/>
          <w:color w:val="000000"/>
          <w:spacing w:val="0"/>
          <w:sz w:val="32"/>
          <w:szCs w:val="32"/>
          <w:shd w:val="clear" w:color="auto" w:fill="FFFFFF"/>
          <w:lang w:eastAsia="zh-CN"/>
        </w:rPr>
        <w:t>做好传染病监测、预测、预警、流行病学调查、疫情报告与疫情处理，有效地降低传染病发病数，控制传染病暴发流行。突出重点疾病防控及突发公共卫生事件处置和救灾防病工作。</w:t>
      </w:r>
    </w:p>
    <w:p w14:paraId="5E740F4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firstLine="934" w:firstLineChars="300"/>
        <w:jc w:val="left"/>
        <w:textAlignment w:val="baseline"/>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3、加强医疗质量管理，保障医疗安全。</w:t>
      </w:r>
    </w:p>
    <w:p w14:paraId="57CBF44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firstLine="620" w:firstLineChars="200"/>
        <w:jc w:val="left"/>
        <w:textAlignment w:val="baseline"/>
        <w:rPr>
          <w:rFonts w:hint="eastAsia" w:ascii="仿宋" w:hAnsi="仿宋" w:eastAsia="仿宋" w:cs="仿宋"/>
          <w:i w:val="0"/>
          <w:iCs w:val="0"/>
          <w:caps w:val="0"/>
          <w:snapToGrid w:val="0"/>
          <w:color w:val="000000"/>
          <w:spacing w:val="0"/>
          <w:sz w:val="32"/>
          <w:szCs w:val="32"/>
          <w:shd w:val="clear" w:color="auto" w:fill="FFFFFF"/>
          <w:lang w:eastAsia="zh-CN"/>
        </w:rPr>
      </w:pPr>
      <w:r>
        <w:rPr>
          <w:rFonts w:hint="eastAsia" w:ascii="仿宋_GB2312" w:hAnsi="微软雅黑" w:eastAsia="仿宋_GB2312" w:cs="仿宋_GB2312"/>
          <w:i w:val="0"/>
          <w:iCs w:val="0"/>
          <w:caps w:val="0"/>
          <w:snapToGrid w:val="0"/>
          <w:color w:val="000000"/>
          <w:spacing w:val="0"/>
          <w:sz w:val="31"/>
          <w:szCs w:val="31"/>
          <w:shd w:val="clear" w:color="auto" w:fill="FFFFFF"/>
          <w:lang w:eastAsia="zh-CN"/>
        </w:rPr>
        <w:t>健</w:t>
      </w:r>
      <w:r>
        <w:rPr>
          <w:rFonts w:hint="eastAsia" w:ascii="仿宋" w:hAnsi="仿宋" w:eastAsia="仿宋" w:cs="仿宋"/>
          <w:i w:val="0"/>
          <w:iCs w:val="0"/>
          <w:caps w:val="0"/>
          <w:snapToGrid w:val="0"/>
          <w:color w:val="000000"/>
          <w:spacing w:val="0"/>
          <w:sz w:val="32"/>
          <w:szCs w:val="32"/>
          <w:shd w:val="clear" w:color="auto" w:fill="FFFFFF"/>
          <w:lang w:eastAsia="zh-CN"/>
        </w:rPr>
        <w:t>全医疗、护理、功能检查、放射、检验等各个科室、各个诊疗环节的质量管理制度，制定切实可行的质量目标，实现诊疗工作的规范化。严格控制医疗费用，促进合理检查、合理用药、合理治疗，切实减轻患者就医负担。</w:t>
      </w:r>
    </w:p>
    <w:p w14:paraId="41DA9FD0">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rightChars="0" w:firstLine="622" w:firstLineChars="200"/>
        <w:jc w:val="left"/>
        <w:textAlignment w:val="baseline"/>
        <w:rPr>
          <w:rFonts w:hint="eastAsia" w:ascii="仿宋_GB2312" w:hAnsi="微软雅黑" w:eastAsia="仿宋_GB2312" w:cs="仿宋_GB2312"/>
          <w:b/>
          <w:bCs/>
          <w:i w:val="0"/>
          <w:iCs w:val="0"/>
          <w:caps w:val="0"/>
          <w:snapToGrid w:val="0"/>
          <w:color w:val="000000"/>
          <w:spacing w:val="0"/>
          <w:sz w:val="31"/>
          <w:szCs w:val="31"/>
          <w:shd w:val="clear" w:color="auto" w:fill="FFFFFF"/>
          <w:lang w:eastAsia="zh-CN"/>
        </w:rPr>
      </w:pP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4</w:t>
      </w:r>
      <w:r>
        <w:rPr>
          <w:rFonts w:hint="eastAsia" w:ascii="仿宋_GB2312" w:hAnsi="微软雅黑" w:eastAsia="仿宋_GB2312" w:cs="仿宋_GB2312"/>
          <w:b/>
          <w:bCs/>
          <w:i w:val="0"/>
          <w:iCs w:val="0"/>
          <w:caps w:val="0"/>
          <w:snapToGrid w:val="0"/>
          <w:color w:val="000000"/>
          <w:spacing w:val="0"/>
          <w:sz w:val="31"/>
          <w:szCs w:val="31"/>
          <w:shd w:val="clear" w:color="auto" w:fill="FFFFFF"/>
          <w:lang w:eastAsia="zh-CN"/>
        </w:rPr>
        <w:t>、重点抓好基本公共卫生服务项目工作。</w:t>
      </w:r>
    </w:p>
    <w:p w14:paraId="11736205">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rightChars="0" w:firstLine="620" w:firstLineChars="200"/>
        <w:jc w:val="left"/>
        <w:textAlignment w:val="baseline"/>
        <w:rPr>
          <w:rFonts w:hint="eastAsia" w:ascii="仿宋" w:hAnsi="仿宋" w:eastAsia="仿宋" w:cs="仿宋"/>
          <w:i w:val="0"/>
          <w:iCs w:val="0"/>
          <w:caps w:val="0"/>
          <w:snapToGrid w:val="0"/>
          <w:color w:val="000000"/>
          <w:spacing w:val="0"/>
          <w:sz w:val="32"/>
          <w:szCs w:val="32"/>
          <w:shd w:val="clear" w:color="auto" w:fill="FFFFFF"/>
          <w:lang w:val="en-US" w:eastAsia="zh-CN"/>
        </w:rPr>
      </w:pPr>
      <w:r>
        <w:rPr>
          <w:rFonts w:hint="eastAsia" w:ascii="仿宋_GB2312" w:hAnsi="微软雅黑" w:eastAsia="仿宋_GB2312" w:cs="仿宋_GB2312"/>
          <w:i w:val="0"/>
          <w:iCs w:val="0"/>
          <w:caps w:val="0"/>
          <w:snapToGrid w:val="0"/>
          <w:color w:val="000000"/>
          <w:spacing w:val="0"/>
          <w:sz w:val="31"/>
          <w:szCs w:val="31"/>
          <w:shd w:val="clear" w:color="auto" w:fill="FFFFFF"/>
          <w:lang w:eastAsia="zh-CN"/>
        </w:rPr>
        <w:t>按</w:t>
      </w:r>
      <w:r>
        <w:rPr>
          <w:rFonts w:hint="eastAsia" w:ascii="仿宋" w:hAnsi="仿宋" w:eastAsia="仿宋" w:cs="仿宋"/>
          <w:i w:val="0"/>
          <w:iCs w:val="0"/>
          <w:caps w:val="0"/>
          <w:snapToGrid w:val="0"/>
          <w:color w:val="000000"/>
          <w:spacing w:val="0"/>
          <w:sz w:val="32"/>
          <w:szCs w:val="32"/>
          <w:shd w:val="clear" w:color="auto" w:fill="FFFFFF"/>
          <w:lang w:eastAsia="zh-CN"/>
        </w:rPr>
        <w:t>照昭化区</w:t>
      </w:r>
      <w:r>
        <w:rPr>
          <w:rFonts w:hint="eastAsia" w:ascii="仿宋" w:hAnsi="仿宋" w:eastAsia="仿宋" w:cs="仿宋"/>
          <w:i w:val="0"/>
          <w:iCs w:val="0"/>
          <w:caps w:val="0"/>
          <w:snapToGrid w:val="0"/>
          <w:color w:val="000000"/>
          <w:spacing w:val="0"/>
          <w:sz w:val="32"/>
          <w:szCs w:val="32"/>
          <w:shd w:val="clear" w:color="auto" w:fill="FFFFFF"/>
          <w:lang w:val="en-US" w:eastAsia="zh-CN"/>
        </w:rPr>
        <w:t>2021年基本公共卫生服务实施方案的工作要求，完成2021年我乡基本公共卫生服务项目各项指标任务。</w:t>
      </w:r>
    </w:p>
    <w:p w14:paraId="04A8D20A">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rightChars="0" w:firstLine="622" w:firstLineChars="200"/>
        <w:jc w:val="left"/>
        <w:textAlignment w:val="baseline"/>
        <w:rPr>
          <w:rFonts w:hint="eastAsia" w:ascii="仿宋_GB2312" w:hAnsi="微软雅黑" w:eastAsia="仿宋_GB2312" w:cs="仿宋_GB2312"/>
          <w:b/>
          <w:bCs/>
          <w:i w:val="0"/>
          <w:iCs w:val="0"/>
          <w:caps w:val="0"/>
          <w:snapToGrid w:val="0"/>
          <w:color w:val="000000"/>
          <w:spacing w:val="0"/>
          <w:sz w:val="31"/>
          <w:szCs w:val="31"/>
          <w:shd w:val="clear" w:color="auto" w:fill="FFFFFF"/>
          <w:lang w:eastAsia="zh-CN"/>
        </w:rPr>
      </w:pP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5、</w:t>
      </w:r>
      <w:r>
        <w:rPr>
          <w:rFonts w:hint="eastAsia" w:ascii="仿宋_GB2312" w:hAnsi="微软雅黑" w:eastAsia="仿宋_GB2312" w:cs="仿宋_GB2312"/>
          <w:b/>
          <w:bCs/>
          <w:i w:val="0"/>
          <w:iCs w:val="0"/>
          <w:caps w:val="0"/>
          <w:snapToGrid w:val="0"/>
          <w:color w:val="000000"/>
          <w:spacing w:val="0"/>
          <w:sz w:val="31"/>
          <w:szCs w:val="31"/>
          <w:shd w:val="clear" w:color="auto" w:fill="FFFFFF"/>
          <w:lang w:eastAsia="zh-CN"/>
        </w:rPr>
        <w:t>加强医务人员教育培训。</w:t>
      </w:r>
    </w:p>
    <w:p w14:paraId="6B8FFF3C">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rightChars="0" w:firstLine="640" w:firstLineChars="200"/>
        <w:jc w:val="left"/>
        <w:textAlignment w:val="baseline"/>
        <w:rPr>
          <w:rFonts w:hint="eastAsia" w:ascii="仿宋_GB2312" w:hAnsi="微软雅黑" w:eastAsia="仿宋_GB2312" w:cs="仿宋_GB2312"/>
          <w:b/>
          <w:bCs/>
          <w:i w:val="0"/>
          <w:iCs w:val="0"/>
          <w:caps w:val="0"/>
          <w:snapToGrid w:val="0"/>
          <w:color w:val="000000"/>
          <w:spacing w:val="0"/>
          <w:sz w:val="31"/>
          <w:szCs w:val="31"/>
          <w:shd w:val="clear" w:color="auto" w:fill="FFFFFF"/>
          <w:lang w:eastAsia="zh-CN"/>
        </w:rPr>
      </w:pPr>
      <w:r>
        <w:rPr>
          <w:rFonts w:hint="eastAsia" w:ascii="仿宋_GB2312" w:hAnsi="仿宋_GB2312" w:eastAsia="仿宋_GB2312" w:cs="仿宋_GB2312"/>
          <w:sz w:val="32"/>
          <w:szCs w:val="32"/>
          <w:lang w:val="en-US" w:eastAsia="zh-CN"/>
        </w:rPr>
        <w:t>坚持院内培训制度。采用医院--科室--自学相结合的学习方法，并要求科室及个人要分层次制定学习培训计划，加强医务人员三基培训工作。院内培训采取专题讲座、座谈讨论等形式，内容涉及医患沟通、医疗安全等方面内容。通过一系列的学习与考核，提高了医生对危急、重症患者抢救的应急能力。</w:t>
      </w:r>
    </w:p>
    <w:p w14:paraId="694889DC">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right="0" w:rightChars="0" w:firstLine="643" w:firstLineChars="200"/>
        <w:jc w:val="left"/>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6、加强院感控制。</w:t>
      </w:r>
    </w:p>
    <w:p w14:paraId="096BE193">
      <w:pPr>
        <w:numPr>
          <w:ilvl w:val="0"/>
          <w:numId w:val="0"/>
        </w:numPr>
        <w:ind w:firstLine="640" w:firstLineChars="200"/>
        <w:jc w:val="left"/>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进一步完善了医疗废物分类收集及医疗垃圾管理流程,制定完善了医院感染控制管理制度;废物意外事故应急处置预案；医疗废物处置突发事件应急预案医疗垃圾接运专程路线图；医疗废物内部转运制度等管理制度。落实了登记制度,做到了有章可循。卫生院每季度对全院卫生专业人员和村医院内感染知识进行考核,对各科室和村卫生室医疗垃圾登记及一次性物品毁形及分类收集情况进行检查,发现问题及时处理。</w:t>
      </w:r>
    </w:p>
    <w:p w14:paraId="0ED527C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kinsoku w:val="0"/>
        <w:autoSpaceDE w:val="0"/>
        <w:autoSpaceDN w:val="0"/>
        <w:adjustRightInd w:val="0"/>
        <w:snapToGrid w:val="0"/>
        <w:spacing w:before="0" w:beforeAutospacing="0" w:after="0" w:afterAutospacing="0" w:line="540" w:lineRule="atLeast"/>
        <w:ind w:left="0" w:right="0" w:firstLine="645"/>
        <w:jc w:val="left"/>
        <w:textAlignment w:val="baseline"/>
        <w:rPr>
          <w:rFonts w:hint="eastAsia" w:ascii="仿宋" w:hAnsi="仿宋" w:eastAsia="仿宋" w:cs="仿宋"/>
          <w:i w:val="0"/>
          <w:iCs w:val="0"/>
          <w:caps w:val="0"/>
          <w:snapToGrid w:val="0"/>
          <w:color w:val="000000"/>
          <w:spacing w:val="0"/>
          <w:sz w:val="32"/>
          <w:szCs w:val="32"/>
          <w:shd w:val="clear" w:color="auto" w:fill="FFFFFF"/>
          <w:lang w:eastAsia="zh-CN"/>
        </w:rPr>
      </w:pP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7</w:t>
      </w:r>
      <w:r>
        <w:rPr>
          <w:rFonts w:hint="eastAsia" w:ascii="仿宋_GB2312" w:hAnsi="微软雅黑" w:eastAsia="仿宋_GB2312" w:cs="仿宋_GB2312"/>
          <w:b/>
          <w:bCs/>
          <w:i w:val="0"/>
          <w:iCs w:val="0"/>
          <w:caps w:val="0"/>
          <w:snapToGrid w:val="0"/>
          <w:color w:val="000000"/>
          <w:spacing w:val="0"/>
          <w:sz w:val="31"/>
          <w:szCs w:val="31"/>
          <w:shd w:val="clear" w:color="auto" w:fill="FFFFFF"/>
          <w:lang w:eastAsia="zh-CN"/>
        </w:rPr>
        <w:t>、全面统筹抓好其他工作。</w:t>
      </w:r>
      <w:r>
        <w:rPr>
          <w:rFonts w:hint="eastAsia" w:ascii="仿宋_GB2312" w:hAnsi="微软雅黑" w:eastAsia="仿宋_GB2312" w:cs="仿宋_GB2312"/>
          <w:i w:val="0"/>
          <w:iCs w:val="0"/>
          <w:caps w:val="0"/>
          <w:snapToGrid w:val="0"/>
          <w:color w:val="000000"/>
          <w:spacing w:val="0"/>
          <w:sz w:val="31"/>
          <w:szCs w:val="31"/>
          <w:shd w:val="clear" w:color="auto" w:fill="FFFFFF"/>
          <w:lang w:eastAsia="zh-CN"/>
        </w:rPr>
        <w:t>切</w:t>
      </w:r>
      <w:r>
        <w:rPr>
          <w:rFonts w:hint="eastAsia" w:ascii="仿宋" w:hAnsi="仿宋" w:eastAsia="仿宋" w:cs="仿宋"/>
          <w:i w:val="0"/>
          <w:iCs w:val="0"/>
          <w:caps w:val="0"/>
          <w:snapToGrid w:val="0"/>
          <w:color w:val="000000"/>
          <w:spacing w:val="0"/>
          <w:sz w:val="32"/>
          <w:szCs w:val="32"/>
          <w:shd w:val="clear" w:color="auto" w:fill="FFFFFF"/>
          <w:lang w:eastAsia="zh-CN"/>
        </w:rPr>
        <w:t>实抓好安全生产工作，避免发生安全责任事故。抓好信访、维稳和上级交给的其他工作。</w:t>
      </w:r>
    </w:p>
    <w:p w14:paraId="08295211">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default" w:ascii="Times New Roman" w:hAnsi="Times New Roman" w:cs="Times New Roman"/>
          <w:i w:val="0"/>
          <w:caps w:val="0"/>
          <w:color w:val="333333"/>
          <w:spacing w:val="0"/>
          <w:sz w:val="32"/>
          <w:szCs w:val="32"/>
        </w:rPr>
      </w:pPr>
      <w:bookmarkStart w:id="5" w:name="_Toc25832"/>
      <w:r>
        <w:rPr>
          <w:rFonts w:hint="eastAsia" w:ascii="黑体" w:hAnsi="宋体" w:eastAsia="黑体" w:cs="黑体"/>
          <w:i w:val="0"/>
          <w:caps w:val="0"/>
          <w:color w:val="333333"/>
          <w:spacing w:val="0"/>
          <w:kern w:val="0"/>
          <w:sz w:val="32"/>
          <w:szCs w:val="32"/>
          <w:shd w:val="clear" w:color="auto" w:fill="FFFFFF"/>
          <w:lang w:val="en-US" w:eastAsia="zh-CN" w:bidi="ar"/>
        </w:rPr>
        <w:t>二、收支预算情况说明</w:t>
      </w:r>
      <w:bookmarkEnd w:id="5"/>
    </w:p>
    <w:p w14:paraId="1404368A">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按照综合预算的原则，单位所有收入和支出均纳入部门预算管理。收入包括：一般公共预算拨款收入；支出包括：一般公共服务支出、社会保障和就业支出、卫生健康支出、住房保障支出。清水乡卫生院2021年收支总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108.6275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万元,比2020年收支预算总数减少</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1.6488</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万元，主要原因是在编人员数量减少、人员经费减少。</w:t>
      </w:r>
    </w:p>
    <w:p w14:paraId="1BB911D9">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640"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6" w:name="_Toc18174"/>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w:t>
      </w:r>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收入预算情况</w:t>
      </w:r>
      <w:bookmarkEnd w:id="6"/>
    </w:p>
    <w:p w14:paraId="3B90B283">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清水乡卫生院2021年收入预算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108.6275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万元，一般公共预算拨款收入</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108.6575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14:paraId="12F2C305">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3"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7" w:name="_Toc23224"/>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（二）支出预算情况</w:t>
      </w:r>
      <w:bookmarkEnd w:id="7"/>
    </w:p>
    <w:p w14:paraId="13883139">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清水镇乡卫生院2021年支出预算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108.6275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万元，其中：基本支出108.6275万元，占100%。</w:t>
      </w:r>
    </w:p>
    <w:p w14:paraId="2303F771">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default" w:ascii="Times New Roman" w:hAnsi="Times New Roman" w:cs="Times New Roman"/>
          <w:i w:val="0"/>
          <w:caps w:val="0"/>
          <w:color w:val="333333"/>
          <w:spacing w:val="0"/>
          <w:sz w:val="32"/>
          <w:szCs w:val="32"/>
        </w:rPr>
      </w:pPr>
      <w:bookmarkStart w:id="8" w:name="_Toc21638"/>
      <w:r>
        <w:rPr>
          <w:rFonts w:hint="eastAsia" w:ascii="黑体" w:hAnsi="宋体" w:eastAsia="黑体" w:cs="黑体"/>
          <w:i w:val="0"/>
          <w:caps w:val="0"/>
          <w:color w:val="333333"/>
          <w:spacing w:val="0"/>
          <w:kern w:val="0"/>
          <w:sz w:val="32"/>
          <w:szCs w:val="32"/>
          <w:shd w:val="clear" w:color="auto" w:fill="FFFFFF"/>
          <w:lang w:val="en-US" w:eastAsia="zh-CN" w:bidi="ar"/>
        </w:rPr>
        <w:t>三、财政拨款收支预算情况说明</w:t>
      </w:r>
      <w:bookmarkEnd w:id="8"/>
    </w:p>
    <w:p w14:paraId="6470E450">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清水乡卫生院2021年财政拨款收支总预算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108.6275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万元,比2020年财政拨款收支总预算减少</w:t>
      </w:r>
      <w:r>
        <w:rPr>
          <w:rFonts w:hint="eastAsia" w:ascii="Times New Roman" w:hAnsi="Times New Roman" w:cs="Times New Roman"/>
          <w:i w:val="0"/>
          <w:caps w:val="0"/>
          <w:color w:val="333333"/>
          <w:spacing w:val="0"/>
          <w:kern w:val="0"/>
          <w:sz w:val="32"/>
          <w:szCs w:val="32"/>
          <w:shd w:val="clear" w:color="auto" w:fill="FFFFFF"/>
          <w:lang w:val="en-US" w:eastAsia="zh-CN" w:bidi="ar"/>
        </w:rPr>
        <w:t>1.6488</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万元，主要原因是在编人员数量减少、人员经费减少。</w:t>
      </w:r>
    </w:p>
    <w:p w14:paraId="54C85B74">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收入包括：本年一般公共预算拨款收入108.6275万元；支出包括：社会保障和就业支出22.1056万元、卫生健康支出</w:t>
      </w:r>
      <w:r>
        <w:rPr>
          <w:rFonts w:hint="eastAsia" w:ascii="Times New Roman" w:hAnsi="Times New Roman" w:cs="Times New Roman"/>
          <w:i w:val="0"/>
          <w:caps w:val="0"/>
          <w:color w:val="333333"/>
          <w:spacing w:val="0"/>
          <w:kern w:val="0"/>
          <w:sz w:val="32"/>
          <w:szCs w:val="32"/>
          <w:shd w:val="clear" w:color="auto" w:fill="FFFFFF"/>
          <w:lang w:val="en-US" w:eastAsia="zh-CN" w:bidi="ar"/>
        </w:rPr>
        <w:t>76.0864</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万元、住房保障支10.4355万元。</w:t>
      </w:r>
    </w:p>
    <w:p w14:paraId="25742C80">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668" w:leftChars="0" w:right="0" w:rightChars="0"/>
        <w:jc w:val="both"/>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9" w:name="_Toc24409"/>
      <w:r>
        <w:rPr>
          <w:rFonts w:hint="eastAsia" w:ascii="黑体" w:hAnsi="宋体" w:eastAsia="黑体" w:cs="黑体"/>
          <w:i w:val="0"/>
          <w:caps w:val="0"/>
          <w:color w:val="333333"/>
          <w:spacing w:val="0"/>
          <w:kern w:val="0"/>
          <w:sz w:val="32"/>
          <w:szCs w:val="32"/>
          <w:shd w:val="clear" w:color="auto" w:fill="FFFFFF"/>
          <w:lang w:val="en-US" w:eastAsia="zh-CN" w:bidi="ar"/>
        </w:rPr>
        <w:t>四、一般公共预算当年拨款情况说明</w:t>
      </w:r>
      <w:bookmarkEnd w:id="9"/>
    </w:p>
    <w:p w14:paraId="13095CCC">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3" w:firstLineChars="200"/>
        <w:jc w:val="both"/>
        <w:outlineLvl w:val="1"/>
        <w:rPr>
          <w:rFonts w:hint="default" w:ascii="Times New Roman" w:hAnsi="Times New Roman" w:cs="Times New Roman"/>
          <w:i w:val="0"/>
          <w:caps w:val="0"/>
          <w:color w:val="333333"/>
          <w:spacing w:val="0"/>
          <w:sz w:val="32"/>
          <w:szCs w:val="32"/>
        </w:rPr>
      </w:pPr>
      <w:bookmarkStart w:id="10" w:name="_Toc20637"/>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（一）一般公共预算当年拨款规模变化情况</w:t>
      </w:r>
      <w:bookmarkEnd w:id="10"/>
    </w:p>
    <w:p w14:paraId="496DE935">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2021年一般公共预算当年拨款</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108.6275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万元，比2020年预算数减少1.6488万元，主要原因是在编人员数量减少、人员经费减少。</w:t>
      </w:r>
    </w:p>
    <w:p w14:paraId="0E006926">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3"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11" w:name="_Toc6218"/>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（二）一般公共预算当年拨款结构情况</w:t>
      </w:r>
      <w:bookmarkEnd w:id="11"/>
    </w:p>
    <w:p w14:paraId="4045FC49">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社会保障和就业支出</w:t>
      </w:r>
      <w:r>
        <w:rPr>
          <w:rFonts w:hint="eastAsia" w:ascii="Times New Roman" w:hAnsi="Times New Roman" w:cs="Times New Roman"/>
          <w:i w:val="0"/>
          <w:caps w:val="0"/>
          <w:color w:val="333333"/>
          <w:spacing w:val="0"/>
          <w:kern w:val="0"/>
          <w:sz w:val="32"/>
          <w:szCs w:val="32"/>
          <w:shd w:val="clear" w:color="auto" w:fill="FFFFFF"/>
          <w:lang w:val="en-US" w:eastAsia="zh-CN" w:bidi="ar"/>
        </w:rPr>
        <w:t>22.1056</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万元，占20.3%；卫生健康支出</w:t>
      </w:r>
      <w:r>
        <w:rPr>
          <w:rFonts w:hint="eastAsia" w:ascii="Times New Roman" w:hAnsi="Times New Roman" w:cs="Times New Roman"/>
          <w:i w:val="0"/>
          <w:caps w:val="0"/>
          <w:color w:val="333333"/>
          <w:spacing w:val="0"/>
          <w:kern w:val="0"/>
          <w:sz w:val="32"/>
          <w:szCs w:val="32"/>
          <w:shd w:val="clear" w:color="auto" w:fill="FFFFFF"/>
          <w:lang w:val="en-US" w:eastAsia="zh-CN" w:bidi="ar"/>
        </w:rPr>
        <w:t>76.0864</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w:t>
      </w:r>
      <w:r>
        <w:rPr>
          <w:rFonts w:hint="eastAsia" w:ascii="Times New Roman" w:hAnsi="Times New Roman" w:cs="Times New Roman"/>
          <w:i w:val="0"/>
          <w:caps w:val="0"/>
          <w:color w:val="333333"/>
          <w:spacing w:val="0"/>
          <w:kern w:val="0"/>
          <w:sz w:val="32"/>
          <w:szCs w:val="32"/>
          <w:shd w:val="clear" w:color="auto" w:fill="FFFFFF"/>
          <w:lang w:val="en-US" w:eastAsia="zh-CN" w:bidi="ar"/>
        </w:rPr>
        <w:t>70.1</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%；住房保障支出</w:t>
      </w:r>
      <w:r>
        <w:rPr>
          <w:rFonts w:hint="eastAsia" w:ascii="Times New Roman" w:hAnsi="Times New Roman" w:cs="Times New Roman"/>
          <w:i w:val="0"/>
          <w:caps w:val="0"/>
          <w:color w:val="333333"/>
          <w:spacing w:val="0"/>
          <w:kern w:val="0"/>
          <w:sz w:val="32"/>
          <w:szCs w:val="32"/>
          <w:shd w:val="clear" w:color="auto" w:fill="FFFFFF"/>
          <w:lang w:val="en-US" w:eastAsia="zh-CN" w:bidi="ar"/>
        </w:rPr>
        <w:t>10.4355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万元，占9.6%。</w:t>
      </w:r>
    </w:p>
    <w:p w14:paraId="1D10CD85">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74" w:firstLineChars="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12" w:name="_Toc15556"/>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一般公共预算当年拨款具体使用情况</w:t>
      </w:r>
      <w:bookmarkEnd w:id="12"/>
    </w:p>
    <w:p w14:paraId="431FB758">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社会保障和就业（210）行政事业单位养老支出（03）事业单位离退休（02）2021年预算数为2.8万元，主要用于：事业单位离退休人员经费支出。</w:t>
      </w:r>
    </w:p>
    <w:p w14:paraId="1CFF88CB">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社会保障和就业（208）行政事业单位养老支出（05）机关事业单位基本养老保险缴费支出（05）2021年预算数为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9.844</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万元，主要用于：实施养老保险制度由单位缴纳的基本养老保险支出。</w:t>
      </w:r>
    </w:p>
    <w:p w14:paraId="5DBA7F95">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社会保障和就业（208）行政事业单位养老支出（05）机关事业单位职业年金缴费支出（06）2021年预算数为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4.922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万元，主要用于：实施养老保险制度由单位缴纳的职业年金支出。</w:t>
      </w:r>
    </w:p>
    <w:p w14:paraId="4AA56899">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社会保障和就业（208）行政事业单位其他社会保障和就业支出（99）机关事业单位其他社会保障和就业支出缴费支出（99）2021年预算数为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1.3537</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万元，主要用于：实施其他社会保障和就业支出。</w:t>
      </w:r>
    </w:p>
    <w:p w14:paraId="23D68979">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卫生健康（210）行政事业单位医疗（11）事业单位医疗（02）2021年预算数为5.9857万元，主要用于：事业单位按规定由单位缴纳的基本医疗保险支出。</w:t>
      </w:r>
    </w:p>
    <w:p w14:paraId="63545566">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卫生健康（210）行政事业单位医疗（03）其他（02）2021年预算数为73.2866万元，主要用于：本单位工资待遇和项目。</w:t>
      </w:r>
    </w:p>
    <w:p w14:paraId="41A9BFBB">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住房保障（221）住房改革支出（02）住房公积金（01）2021年预算数为10.4355万元，主要用于：部门按规定为职工缴纳的住房公积金支出。</w:t>
      </w:r>
    </w:p>
    <w:p w14:paraId="58CCC847">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13" w:name="_Toc13061"/>
      <w:r>
        <w:rPr>
          <w:rFonts w:hint="eastAsia" w:ascii="黑体" w:hAnsi="宋体" w:eastAsia="黑体" w:cs="黑体"/>
          <w:i w:val="0"/>
          <w:caps w:val="0"/>
          <w:color w:val="333333"/>
          <w:spacing w:val="0"/>
          <w:kern w:val="0"/>
          <w:sz w:val="32"/>
          <w:szCs w:val="32"/>
          <w:shd w:val="clear" w:color="auto" w:fill="FFFFFF"/>
          <w:lang w:val="en-US" w:eastAsia="zh-CN" w:bidi="ar"/>
        </w:rPr>
        <w:t>一般公共预算基本支出情况说明</w:t>
      </w:r>
      <w:bookmarkEnd w:id="13"/>
    </w:p>
    <w:p w14:paraId="72389588">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2021年一般公共预算基本支出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108.6275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万元，其中：人员经费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107.9075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万元，主要包括：基本工资、津贴补贴、奖金、社会保险缴费、退休费人员生活补助、住房公积金等支出。</w:t>
      </w:r>
    </w:p>
    <w:p w14:paraId="532B863E">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公用经费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0.72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万元，主要包括：邮电费</w:t>
      </w:r>
    </w:p>
    <w:p w14:paraId="1691C4EC">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14" w:name="_Toc25249"/>
      <w:r>
        <w:rPr>
          <w:rFonts w:hint="eastAsia" w:ascii="黑体" w:hAnsi="宋体" w:eastAsia="黑体" w:cs="黑体"/>
          <w:i w:val="0"/>
          <w:caps w:val="0"/>
          <w:color w:val="333333"/>
          <w:spacing w:val="0"/>
          <w:kern w:val="0"/>
          <w:sz w:val="32"/>
          <w:szCs w:val="32"/>
          <w:shd w:val="clear" w:color="auto" w:fill="FFFFFF"/>
          <w:lang w:val="en-US" w:eastAsia="zh-CN" w:bidi="ar"/>
        </w:rPr>
        <w:t>“三公”经费财政拨款预算安排情况说明</w:t>
      </w:r>
      <w:bookmarkEnd w:id="14"/>
    </w:p>
    <w:p w14:paraId="64D812F7">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清水乡卫生院2021年“三公”经费财政拨款预算数0万元</w:t>
      </w:r>
    </w:p>
    <w:p w14:paraId="78D21E1A">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3"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15" w:name="_Toc9315"/>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公务接待费与2020年预算相比。</w:t>
      </w:r>
      <w:bookmarkEnd w:id="15"/>
    </w:p>
    <w:p w14:paraId="6D3985D4">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清水乡卫生院2020年、2021年公务接待费0万元</w:t>
      </w:r>
    </w:p>
    <w:p w14:paraId="0F50EB1B">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3"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16" w:name="_Toc5708"/>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公务用车购置及运行维护费与2020年预算相比。</w:t>
      </w:r>
      <w:bookmarkEnd w:id="16"/>
    </w:p>
    <w:p w14:paraId="2B1274D7">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清水乡卫生院2020年、2021年公务用车及公务用车运行维护费0万</w:t>
      </w:r>
    </w:p>
    <w:p w14:paraId="4129BC45">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17" w:name="_Toc24626"/>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因公出国（境）经费与2020年预算相比。</w:t>
      </w:r>
      <w:bookmarkEnd w:id="17"/>
    </w:p>
    <w:p w14:paraId="3F6EA44B">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清水乡卫生院2021年因公出国（境）经费0万元，与上年持平。</w:t>
      </w:r>
    </w:p>
    <w:p w14:paraId="23CE9BCB">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18" w:name="_Toc5134"/>
      <w:r>
        <w:rPr>
          <w:rFonts w:hint="eastAsia" w:ascii="黑体" w:hAnsi="宋体" w:eastAsia="黑体" w:cs="黑体"/>
          <w:i w:val="0"/>
          <w:caps w:val="0"/>
          <w:color w:val="333333"/>
          <w:spacing w:val="0"/>
          <w:kern w:val="0"/>
          <w:sz w:val="32"/>
          <w:szCs w:val="32"/>
          <w:shd w:val="clear" w:color="auto" w:fill="FFFFFF"/>
          <w:lang w:val="en-US" w:eastAsia="zh-CN" w:bidi="ar"/>
        </w:rPr>
        <w:t>政府性基金预算支出情况说明</w:t>
      </w:r>
      <w:bookmarkEnd w:id="18"/>
    </w:p>
    <w:p w14:paraId="7D9C98DB">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清水镇卫生院2021年无政府性基金预算拨款安排的支出。2021年本单位未在政府性基金预算拨款安排“三公”经费支出。</w:t>
      </w:r>
    </w:p>
    <w:p w14:paraId="68673776">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19" w:name="_Toc12933"/>
      <w:r>
        <w:rPr>
          <w:rFonts w:hint="eastAsia" w:ascii="黑体" w:hAnsi="宋体" w:eastAsia="黑体" w:cs="黑体"/>
          <w:i w:val="0"/>
          <w:caps w:val="0"/>
          <w:color w:val="333333"/>
          <w:spacing w:val="0"/>
          <w:kern w:val="0"/>
          <w:sz w:val="32"/>
          <w:szCs w:val="32"/>
          <w:shd w:val="clear" w:color="auto" w:fill="FFFFFF"/>
          <w:lang w:val="en-US" w:eastAsia="zh-CN" w:bidi="ar"/>
        </w:rPr>
        <w:t>国有资本经营预算支出情况说明</w:t>
      </w:r>
      <w:bookmarkEnd w:id="19"/>
    </w:p>
    <w:p w14:paraId="220B97E4">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清水镇卫生院2021年无国有资本经营预算拨款安排的支出。</w:t>
      </w:r>
    </w:p>
    <w:p w14:paraId="46DAEF78">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20" w:name="_Toc7402"/>
      <w:r>
        <w:rPr>
          <w:rFonts w:hint="eastAsia" w:ascii="黑体" w:hAnsi="宋体" w:eastAsia="黑体" w:cs="黑体"/>
          <w:i w:val="0"/>
          <w:caps w:val="0"/>
          <w:color w:val="333333"/>
          <w:spacing w:val="0"/>
          <w:kern w:val="0"/>
          <w:sz w:val="32"/>
          <w:szCs w:val="32"/>
          <w:shd w:val="clear" w:color="auto" w:fill="FFFFFF"/>
          <w:lang w:val="en-US" w:eastAsia="zh-CN" w:bidi="ar"/>
        </w:rPr>
        <w:t>其他重要事项的情况说明</w:t>
      </w:r>
      <w:bookmarkEnd w:id="20"/>
    </w:p>
    <w:p w14:paraId="6A0D1A18">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3"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21" w:name="_Toc28810"/>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单位运行经费</w:t>
      </w:r>
      <w:bookmarkEnd w:id="21"/>
    </w:p>
    <w:p w14:paraId="18C7BBB0">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2020年、2021年，清水乡卫生院单位运行经费财政拨款预算为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14:paraId="0C1AAA42">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3"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22" w:name="_Toc20656"/>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政府采购情况</w:t>
      </w:r>
      <w:bookmarkEnd w:id="22"/>
    </w:p>
    <w:p w14:paraId="32E46C09">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2020年、2021年，清水乡卫生院单位安排政府采购预算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14:paraId="0A1DB37E">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3"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23" w:name="_Toc9436"/>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国有资产占有使用情况</w:t>
      </w:r>
      <w:bookmarkEnd w:id="23"/>
    </w:p>
    <w:p w14:paraId="36E73187">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截至2020年底，清水乡卫生院单位共有特种车辆1辆（救护车），单位价值200万元以上大型设备</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台（套）。</w:t>
      </w:r>
    </w:p>
    <w:p w14:paraId="4BA23D23">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3" w:firstLineChars="200"/>
        <w:jc w:val="both"/>
        <w:outlineLvl w:val="1"/>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pPr>
      <w:bookmarkStart w:id="24" w:name="_Toc31083"/>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绩效目标设置情况</w:t>
      </w:r>
      <w:bookmarkEnd w:id="24"/>
    </w:p>
    <w:p w14:paraId="2B874394">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绩效目标是预算编制的前提和基础，2021年清水乡卫生院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14:paraId="3D542DEC">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25" w:name="_Toc15286"/>
      <w:r>
        <w:rPr>
          <w:rFonts w:hint="eastAsia" w:ascii="黑体" w:hAnsi="宋体" w:eastAsia="黑体" w:cs="黑体"/>
          <w:i w:val="0"/>
          <w:caps w:val="0"/>
          <w:color w:val="333333"/>
          <w:spacing w:val="0"/>
          <w:kern w:val="0"/>
          <w:sz w:val="32"/>
          <w:szCs w:val="32"/>
          <w:shd w:val="clear" w:color="auto" w:fill="FFFFFF"/>
          <w:lang w:val="en-US" w:eastAsia="zh-CN" w:bidi="ar"/>
        </w:rPr>
        <w:t>名词解释</w:t>
      </w:r>
      <w:bookmarkEnd w:id="25"/>
    </w:p>
    <w:p w14:paraId="004EF63D">
      <w:pPr>
        <w:keepNext w:val="0"/>
        <w:keepLines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一般公共预算拨款收入：指区财政当年拨付的资金。</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（二）社会保障和就业（210）行政事业单位养老支出（03）事业单位退休人员生活补助（02）。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  （三）社会保障和就业（208）行政事业单位养老支出（05）机关事业单位基本养老保险缴费支出（05）：预算单位实施养老保险制度由单位缴纳的养老保险费的支出。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  （四）社会保障和就业（208）行政事业单位养老支出（05）机关事业单位职业年金缴费支出（06）：指乡镇卫生院实施养老保险制度由单位缴纳的职业年金的支出。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  （五）卫生健康（210）行政事业单位医疗（11）事业单位医疗（02）：指事业单位用于单位应缴纳基本医疗保险支出。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  （六）住房保障（221）住房改革支出（02）住房公积金（01）：指按照《住房公积金管理条例》的规定，由单位及其在职职工缴存的长期住房储金。</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  （七）基本支出：指为保证机构正常运转，完成日常工作任务而发生的人员支出和公用支出。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  （八）项目支出：指在基本支出之外为完成特定行政任务和事业发展目标所发生的支出。</w:t>
      </w:r>
    </w:p>
    <w:p w14:paraId="3248B227">
      <w:pPr>
        <w:keepNext w:val="0"/>
        <w:keepLines w:val="0"/>
        <w:widowControl/>
        <w:numPr>
          <w:ilvl w:val="0"/>
          <w:numId w:val="7"/>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960" w:firstLineChars="3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三公”经费：纳入财政厅预算管理的“三公”经费，是指部门用财政拨款安排的公务用车购置及运行费和公务接待费。其中公务用车购置及运行费反映单位公务用车车辆燃料费、维修费、过路过桥费、保险费等支出；公务接待费反映单位按规定开支的各类公务接待（含外宾接待）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  （十）单位运行经费：为保障事业单位运行用于购买货物和服务的各项资金，包括办公及印刷费、邮电费、差旅费、会议费、培训费、日常维修费及一般设备购置费、办公用房水电费以及其他费用。</w:t>
      </w:r>
    </w:p>
    <w:p w14:paraId="26AE7298">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附件1：预算公开表</w:t>
      </w:r>
    </w:p>
    <w:p w14:paraId="5CC049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FB4CC"/>
    <w:multiLevelType w:val="singleLevel"/>
    <w:tmpl w:val="AACFB4CC"/>
    <w:lvl w:ilvl="0" w:tentative="0">
      <w:start w:val="1"/>
      <w:numFmt w:val="decimal"/>
      <w:lvlText w:val="%1."/>
      <w:lvlJc w:val="left"/>
      <w:pPr>
        <w:tabs>
          <w:tab w:val="left" w:pos="312"/>
        </w:tabs>
      </w:pPr>
    </w:lvl>
  </w:abstractNum>
  <w:abstractNum w:abstractNumId="1">
    <w:nsid w:val="076F70CF"/>
    <w:multiLevelType w:val="singleLevel"/>
    <w:tmpl w:val="076F70CF"/>
    <w:lvl w:ilvl="0" w:tentative="0">
      <w:start w:val="1"/>
      <w:numFmt w:val="chineseCounting"/>
      <w:suff w:val="nothing"/>
      <w:lvlText w:val="（%1）"/>
      <w:lvlJc w:val="left"/>
      <w:rPr>
        <w:rFonts w:hint="eastAsia"/>
      </w:rPr>
    </w:lvl>
  </w:abstractNum>
  <w:abstractNum w:abstractNumId="2">
    <w:nsid w:val="1B8ACC10"/>
    <w:multiLevelType w:val="singleLevel"/>
    <w:tmpl w:val="1B8ACC10"/>
    <w:lvl w:ilvl="0" w:tentative="0">
      <w:start w:val="9"/>
      <w:numFmt w:val="chineseCounting"/>
      <w:suff w:val="nothing"/>
      <w:lvlText w:val="（%1）"/>
      <w:lvlJc w:val="left"/>
      <w:rPr>
        <w:rFonts w:hint="eastAsia"/>
      </w:rPr>
    </w:lvl>
  </w:abstractNum>
  <w:abstractNum w:abstractNumId="3">
    <w:nsid w:val="406F280B"/>
    <w:multiLevelType w:val="singleLevel"/>
    <w:tmpl w:val="406F280B"/>
    <w:lvl w:ilvl="0" w:tentative="0">
      <w:start w:val="5"/>
      <w:numFmt w:val="chineseCounting"/>
      <w:suff w:val="nothing"/>
      <w:lvlText w:val="%1、"/>
      <w:lvlJc w:val="left"/>
      <w:rPr>
        <w:rFonts w:hint="eastAsia"/>
      </w:rPr>
    </w:lvl>
  </w:abstractNum>
  <w:abstractNum w:abstractNumId="4">
    <w:nsid w:val="43D5029A"/>
    <w:multiLevelType w:val="singleLevel"/>
    <w:tmpl w:val="43D5029A"/>
    <w:lvl w:ilvl="0" w:tentative="0">
      <w:start w:val="2"/>
      <w:numFmt w:val="chineseCounting"/>
      <w:suff w:val="nothing"/>
      <w:lvlText w:val="（%1）"/>
      <w:lvlJc w:val="left"/>
      <w:rPr>
        <w:rFonts w:hint="eastAsia"/>
      </w:rPr>
    </w:lvl>
  </w:abstractNum>
  <w:abstractNum w:abstractNumId="5">
    <w:nsid w:val="59784456"/>
    <w:multiLevelType w:val="singleLevel"/>
    <w:tmpl w:val="59784456"/>
    <w:lvl w:ilvl="0" w:tentative="0">
      <w:start w:val="1"/>
      <w:numFmt w:val="chineseCounting"/>
      <w:suff w:val="nothing"/>
      <w:lvlText w:val="（%1）"/>
      <w:lvlJc w:val="left"/>
      <w:rPr>
        <w:rFonts w:hint="eastAsia"/>
      </w:rPr>
    </w:lvl>
  </w:abstractNum>
  <w:abstractNum w:abstractNumId="6">
    <w:nsid w:val="64545388"/>
    <w:multiLevelType w:val="singleLevel"/>
    <w:tmpl w:val="64545388"/>
    <w:lvl w:ilvl="0" w:tentative="0">
      <w:start w:val="1"/>
      <w:numFmt w:val="chineseCounting"/>
      <w:suff w:val="nothing"/>
      <w:lvlText w:val="（%1）"/>
      <w:lvlJc w:val="left"/>
      <w:rPr>
        <w:rFonts w:hint="eastAsia"/>
      </w:rPr>
    </w:lvl>
  </w:abstractNum>
  <w:num w:numId="1">
    <w:abstractNumId w:val="4"/>
  </w:num>
  <w:num w:numId="2">
    <w:abstractNumId w:val="0"/>
  </w:num>
  <w:num w:numId="3">
    <w:abstractNumId w:val="3"/>
  </w:num>
  <w:num w:numId="4">
    <w:abstractNumId w:val="1"/>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wYjY1ZjdjNDBjNWE1ZDIzOTVkZTliNzEyMzYwNmIifQ=="/>
  </w:docVars>
  <w:rsids>
    <w:rsidRoot w:val="26FC4409"/>
    <w:rsid w:val="024408DF"/>
    <w:rsid w:val="02E80AFB"/>
    <w:rsid w:val="071C6FEC"/>
    <w:rsid w:val="09AB3C3F"/>
    <w:rsid w:val="0CDB6D52"/>
    <w:rsid w:val="1A56267C"/>
    <w:rsid w:val="1AC46965"/>
    <w:rsid w:val="1F7378C0"/>
    <w:rsid w:val="207C36C3"/>
    <w:rsid w:val="20BE6F68"/>
    <w:rsid w:val="23ED3A83"/>
    <w:rsid w:val="253141D5"/>
    <w:rsid w:val="26FC4409"/>
    <w:rsid w:val="2A4859BA"/>
    <w:rsid w:val="2D2C20F4"/>
    <w:rsid w:val="2FEA7AA2"/>
    <w:rsid w:val="41433F45"/>
    <w:rsid w:val="4C080E93"/>
    <w:rsid w:val="50BD56BE"/>
    <w:rsid w:val="59F2153E"/>
    <w:rsid w:val="5F2C4969"/>
    <w:rsid w:val="5F50072F"/>
    <w:rsid w:val="60033656"/>
    <w:rsid w:val="64072E42"/>
    <w:rsid w:val="65C14283"/>
    <w:rsid w:val="676C1E7F"/>
    <w:rsid w:val="6B0F1340"/>
    <w:rsid w:val="6CC20CD8"/>
    <w:rsid w:val="70194082"/>
    <w:rsid w:val="74831CAF"/>
    <w:rsid w:val="781F538A"/>
    <w:rsid w:val="7A010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4">
    <w:name w:val="Salutation"/>
    <w:basedOn w:val="1"/>
    <w:next w:val="1"/>
    <w:qFormat/>
    <w:uiPriority w:val="99"/>
    <w:rPr>
      <w:rFonts w:ascii="Times New Roman" w:hAnsi="Times New Roman"/>
      <w:szCs w:val="20"/>
    </w:rPr>
  </w:style>
  <w:style w:type="paragraph" w:styleId="5">
    <w:name w:val="Body Text Indent"/>
    <w:basedOn w:val="1"/>
    <w:next w:val="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6">
    <w:name w:val="Body Text First Indent 2"/>
    <w:basedOn w:val="5"/>
    <w:next w:val="1"/>
    <w:qFormat/>
    <w:uiPriority w:val="0"/>
    <w:pPr>
      <w:ind w:firstLine="420" w:firstLineChars="200"/>
    </w:p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rPr>
      <w:sz w:val="24"/>
    </w:rPr>
  </w:style>
  <w:style w:type="paragraph" w:customStyle="1" w:styleId="12">
    <w:name w:val="WPSOffice手动目录 1"/>
    <w:qFormat/>
    <w:uiPriority w:val="0"/>
    <w:pPr>
      <w:ind w:leftChars="0"/>
    </w:pPr>
    <w:rPr>
      <w:rFonts w:asciiTheme="minorHAnsi" w:hAnsiTheme="minorHAnsi" w:eastAsiaTheme="minorEastAsia" w:cstheme="minorBidi"/>
      <w:sz w:val="20"/>
      <w:szCs w:val="20"/>
    </w:rPr>
  </w:style>
  <w:style w:type="paragraph" w:customStyle="1" w:styleId="13">
    <w:name w:val="WPSOffice手动目录 2"/>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4591</Words>
  <Characters>4963</Characters>
  <Lines>0</Lines>
  <Paragraphs>0</Paragraphs>
  <TotalTime>0</TotalTime>
  <ScaleCrop>false</ScaleCrop>
  <LinksUpToDate>false</LinksUpToDate>
  <CharactersWithSpaces>5052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2022-07-14T09:39:00Z</dcterms:created>
  <dc:creator>Administrator</dc:creator>
  <cp:lastModifiedBy>昭化融媒体</cp:lastModifiedBy>
  <dcterms:modified xsi:type="dcterms:W3CDTF">2025-01-09T01:22:18Z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DC9B208F17EF45CBA9F1BA66782E0AF5</vt:lpwstr>
  </property>
  <property fmtid="{D5CDD505-2E9C-101B-9397-08002B2CF9AE}" pid="4" name="KSOTemplateDocerSaveRecord">
    <vt:lpwstr>eyJoZGlkIjoiMGVhYTg4NGNkZWJkODFjNzcyZDRjM2M4Y2UzNjI5ZmUiLCJ1c2VySWQiOiI2MTE2MzEwMDYifQ==</vt:lpwstr>
  </property>
</Properties>
</file>