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1FC92">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pacing w:before="0" w:beforeAutospacing="0" w:after="0" w:afterAutospacing="0" w:line="580" w:lineRule="atLeast"/>
        <w:ind w:right="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广元昭化区林业局</w:t>
      </w:r>
    </w:p>
    <w:p w14:paraId="50EEE83C">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pacing w:before="0" w:beforeAutospacing="0" w:after="0" w:afterAutospacing="0" w:line="580" w:lineRule="atLeast"/>
        <w:ind w:right="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2025年部门预算公开说明</w:t>
      </w:r>
    </w:p>
    <w:sdt>
      <w:sdtPr>
        <w:rPr>
          <w:rFonts w:ascii="宋体" w:hAnsi="宋体" w:eastAsia="宋体" w:cs="Times New Roman"/>
          <w:color w:val="auto"/>
          <w:kern w:val="2"/>
          <w:sz w:val="21"/>
          <w:szCs w:val="24"/>
          <w:highlight w:val="none"/>
          <w:lang w:val="en-US" w:eastAsia="zh-CN" w:bidi="ar-SA"/>
        </w:rPr>
        <w:id w:val="147481557"/>
        <w15:color w:val="DBDBDB"/>
        <w:docPartObj>
          <w:docPartGallery w:val="Table of Contents"/>
          <w:docPartUnique/>
        </w:docPartObj>
      </w:sdtPr>
      <w:sdtEndPr>
        <w:rPr>
          <w:rFonts w:hint="eastAsia" w:ascii="宋体" w:hAnsi="宋体" w:eastAsia="宋体" w:cs="宋体"/>
          <w:b/>
          <w:i w:val="0"/>
          <w:caps w:val="0"/>
          <w:color w:val="000000" w:themeColor="text1"/>
          <w:spacing w:val="0"/>
          <w:kern w:val="0"/>
          <w:sz w:val="24"/>
          <w:szCs w:val="28"/>
          <w:highlight w:val="none"/>
          <w:shd w:val="clear" w:color="auto" w:fill="FFFFFF"/>
          <w:lang w:val="en-US" w:eastAsia="zh-CN" w:bidi="ar-SA"/>
          <w14:textFill>
            <w14:solidFill>
              <w14:schemeClr w14:val="tx1"/>
            </w14:solidFill>
          </w14:textFill>
        </w:rPr>
      </w:sdtEndPr>
      <w:sdtContent>
        <w:p w14:paraId="45BD2662">
          <w:pPr>
            <w:shd w:val="clear" w:color="auto" w:fill="auto"/>
            <w:spacing w:before="0" w:beforeLines="0" w:after="0" w:afterLines="0" w:line="240" w:lineRule="auto"/>
            <w:ind w:left="0" w:leftChars="0" w:right="0" w:rightChars="0" w:firstLine="0" w:firstLineChars="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目</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录</w:t>
          </w:r>
          <w:bookmarkStart w:id="25" w:name="_GoBack"/>
          <w:bookmarkEnd w:id="25"/>
        </w:p>
        <w:p w14:paraId="0534B0BE">
          <w:pPr>
            <w:pStyle w:val="14"/>
            <w:shd w:val="clear" w:color="auto" w:fill="auto"/>
            <w:tabs>
              <w:tab w:val="right" w:leader="dot" w:pos="8845"/>
            </w:tabs>
            <w:rPr>
              <w:rFonts w:hint="eastAsia" w:ascii="仿宋_GB2312" w:hAnsi="仿宋_GB2312" w:eastAsia="仿宋_GB2312" w:cs="仿宋_GB2312"/>
              <w:b/>
              <w:sz w:val="32"/>
              <w:szCs w:val="32"/>
              <w:highlight w:val="none"/>
            </w:rPr>
          </w:pPr>
          <w:r>
            <w:rPr>
              <w:rFonts w:hint="eastAsia" w:ascii="宋体" w:hAnsi="宋体" w:eastAsia="宋体" w:cs="宋体"/>
              <w:i w:val="0"/>
              <w:caps w:val="0"/>
              <w:color w:val="000000" w:themeColor="text1"/>
              <w:spacing w:val="0"/>
              <w:kern w:val="0"/>
              <w:sz w:val="28"/>
              <w:szCs w:val="28"/>
              <w:highlight w:val="none"/>
              <w:lang w:val="en-US" w:eastAsia="zh-CN"/>
              <w14:textFill>
                <w14:solidFill>
                  <w14:schemeClr w14:val="tx1"/>
                </w14:solidFill>
              </w14:textFill>
            </w:rPr>
            <w:fldChar w:fldCharType="begin"/>
          </w:r>
          <w:r>
            <w:rPr>
              <w:rFonts w:hint="eastAsia" w:ascii="宋体" w:hAnsi="宋体" w:eastAsia="宋体" w:cs="宋体"/>
              <w:i w:val="0"/>
              <w:caps w:val="0"/>
              <w:color w:val="000000" w:themeColor="text1"/>
              <w:spacing w:val="0"/>
              <w:kern w:val="0"/>
              <w:sz w:val="28"/>
              <w:szCs w:val="28"/>
              <w:highlight w:val="none"/>
              <w:lang w:val="en-US" w:eastAsia="zh-CN"/>
              <w14:textFill>
                <w14:solidFill>
                  <w14:schemeClr w14:val="tx1"/>
                </w14:solidFill>
              </w14:textFill>
            </w:rPr>
            <w:instrText xml:space="preserve">TOC \o "1-2" \h \u</w:instrText>
          </w:r>
          <w:r>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fldChar w:fldCharType="separate"/>
          </w:r>
          <w:r>
            <w:fldChar w:fldCharType="begin"/>
          </w:r>
          <w:r>
            <w:instrText xml:space="preserve"> HYPERLINK \l "_Toc16158" </w:instrText>
          </w:r>
          <w:r>
            <w:fldChar w:fldCharType="separate"/>
          </w:r>
          <w:r>
            <w:rPr>
              <w:rFonts w:hint="eastAsia" w:ascii="仿宋_GB2312" w:hAnsi="仿宋_GB2312" w:eastAsia="仿宋_GB2312" w:cs="仿宋_GB2312"/>
              <w:b/>
              <w:sz w:val="32"/>
              <w:szCs w:val="32"/>
              <w:highlight w:val="none"/>
              <w:lang w:val="en-US" w:eastAsia="zh-CN"/>
            </w:rPr>
            <w:t>一、基本职能及主要工作</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_Toc16158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2</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6F0AA8AB">
          <w:pPr>
            <w:pStyle w:val="15"/>
            <w:shd w:val="clear" w:color="auto" w:fill="auto"/>
            <w:tabs>
              <w:tab w:val="right" w:leader="dot" w:pos="8845"/>
            </w:tabs>
            <w:rPr>
              <w:rFonts w:hint="eastAsia" w:ascii="仿宋_GB2312" w:hAnsi="仿宋_GB2312" w:eastAsia="仿宋_GB2312" w:cs="仿宋_GB2312"/>
              <w:sz w:val="32"/>
              <w:szCs w:val="32"/>
              <w:highlight w:val="none"/>
            </w:rPr>
          </w:pPr>
          <w:r>
            <w:fldChar w:fldCharType="begin"/>
          </w:r>
          <w:r>
            <w:instrText xml:space="preserve"> HYPERLINK \l "_Toc19437" </w:instrText>
          </w:r>
          <w:r>
            <w:fldChar w:fldCharType="separate"/>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val="en-US" w:eastAsia="zh-CN"/>
            </w:rPr>
            <w:t>区林业局单位</w:t>
          </w:r>
          <w:r>
            <w:rPr>
              <w:rFonts w:hint="eastAsia" w:ascii="仿宋_GB2312" w:hAnsi="仿宋_GB2312" w:eastAsia="仿宋_GB2312" w:cs="仿宋_GB2312"/>
              <w:sz w:val="32"/>
              <w:szCs w:val="32"/>
              <w:highlight w:val="none"/>
            </w:rPr>
            <w:t>职能简介</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_Toc19437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7401FFE8">
          <w:pPr>
            <w:pStyle w:val="15"/>
            <w:shd w:val="clear" w:color="auto" w:fill="auto"/>
            <w:tabs>
              <w:tab w:val="right" w:leader="dot" w:pos="8845"/>
            </w:tabs>
            <w:rPr>
              <w:rFonts w:hint="eastAsia" w:ascii="仿宋_GB2312" w:hAnsi="仿宋_GB2312" w:eastAsia="仿宋_GB2312" w:cs="仿宋_GB2312"/>
              <w:sz w:val="32"/>
              <w:szCs w:val="32"/>
              <w:highlight w:val="none"/>
            </w:rPr>
          </w:pPr>
          <w:r>
            <w:fldChar w:fldCharType="begin"/>
          </w:r>
          <w:r>
            <w:instrText xml:space="preserve"> HYPERLINK \l "_Toc28801" </w:instrText>
          </w:r>
          <w:r>
            <w:fldChar w:fldCharType="separate"/>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区林业</w:t>
          </w:r>
          <w:r>
            <w:rPr>
              <w:rFonts w:hint="eastAsia" w:ascii="仿宋_GB2312" w:hAnsi="仿宋_GB2312" w:eastAsia="仿宋_GB2312" w:cs="仿宋_GB2312"/>
              <w:sz w:val="32"/>
              <w:szCs w:val="32"/>
              <w:highlight w:val="none"/>
              <w:lang w:val="en-US"/>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年重点工作</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_Toc28801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1C2F8537">
          <w:pPr>
            <w:pStyle w:val="14"/>
            <w:shd w:val="clear" w:color="auto" w:fill="auto"/>
            <w:tabs>
              <w:tab w:val="right" w:leader="dot" w:pos="8845"/>
            </w:tabs>
            <w:rPr>
              <w:rFonts w:hint="eastAsia" w:ascii="仿宋_GB2312" w:hAnsi="仿宋_GB2312" w:eastAsia="仿宋_GB2312" w:cs="仿宋_GB2312"/>
              <w:b/>
              <w:sz w:val="32"/>
              <w:szCs w:val="32"/>
              <w:highlight w:val="none"/>
            </w:rPr>
          </w:pPr>
          <w:r>
            <w:fldChar w:fldCharType="begin"/>
          </w:r>
          <w:r>
            <w:instrText xml:space="preserve"> HYPERLINK \l "_Toc1971" </w:instrText>
          </w:r>
          <w:r>
            <w:fldChar w:fldCharType="separate"/>
          </w:r>
          <w:r>
            <w:rPr>
              <w:rFonts w:hint="eastAsia" w:ascii="仿宋_GB2312" w:hAnsi="仿宋_GB2312" w:eastAsia="仿宋_GB2312" w:cs="仿宋_GB2312"/>
              <w:b/>
              <w:sz w:val="32"/>
              <w:szCs w:val="32"/>
              <w:highlight w:val="none"/>
              <w:lang w:val="en-US" w:eastAsia="zh-CN"/>
            </w:rPr>
            <w:t>二、部门预算单位构成</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_Toc1971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10</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0B67B68E">
          <w:pPr>
            <w:pStyle w:val="14"/>
            <w:shd w:val="clear" w:color="auto" w:fill="auto"/>
            <w:tabs>
              <w:tab w:val="right" w:leader="dot" w:pos="8845"/>
            </w:tabs>
            <w:rPr>
              <w:rFonts w:hint="eastAsia" w:ascii="仿宋_GB2312" w:hAnsi="仿宋_GB2312" w:eastAsia="仿宋_GB2312" w:cs="仿宋_GB2312"/>
              <w:b/>
              <w:sz w:val="32"/>
              <w:szCs w:val="32"/>
              <w:highlight w:val="none"/>
            </w:rPr>
          </w:pPr>
          <w:r>
            <w:fldChar w:fldCharType="begin"/>
          </w:r>
          <w:r>
            <w:instrText xml:space="preserve"> HYPERLINK \l "_Toc16771" </w:instrText>
          </w:r>
          <w:r>
            <w:fldChar w:fldCharType="separate"/>
          </w:r>
          <w:r>
            <w:rPr>
              <w:rFonts w:hint="eastAsia" w:ascii="仿宋_GB2312" w:hAnsi="仿宋_GB2312" w:eastAsia="仿宋_GB2312" w:cs="仿宋_GB2312"/>
              <w:b/>
              <w:sz w:val="32"/>
              <w:szCs w:val="32"/>
              <w:highlight w:val="none"/>
              <w:lang w:val="en-US" w:eastAsia="zh-CN"/>
            </w:rPr>
            <w:t>三、收支预算情况说明</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_Toc16771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10</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36B3CF17">
          <w:pPr>
            <w:pStyle w:val="15"/>
            <w:shd w:val="clear" w:color="auto" w:fill="auto"/>
            <w:tabs>
              <w:tab w:val="right" w:leader="dot" w:pos="8845"/>
            </w:tabs>
            <w:rPr>
              <w:rFonts w:hint="eastAsia" w:ascii="仿宋_GB2312" w:hAnsi="仿宋_GB2312" w:eastAsia="仿宋_GB2312" w:cs="仿宋_GB2312"/>
              <w:sz w:val="32"/>
              <w:szCs w:val="32"/>
              <w:highlight w:val="none"/>
            </w:rPr>
          </w:pPr>
          <w:r>
            <w:fldChar w:fldCharType="begin"/>
          </w:r>
          <w:r>
            <w:instrText xml:space="preserve"> HYPERLINK \l "_Toc11086" </w:instrText>
          </w:r>
          <w:r>
            <w:fldChar w:fldCharType="separate"/>
          </w:r>
          <w:r>
            <w:rPr>
              <w:rFonts w:hint="eastAsia" w:ascii="仿宋_GB2312" w:hAnsi="仿宋_GB2312" w:eastAsia="仿宋_GB2312" w:cs="仿宋_GB2312"/>
              <w:sz w:val="32"/>
              <w:szCs w:val="32"/>
              <w:highlight w:val="none"/>
              <w:lang w:val="en-US" w:eastAsia="zh-CN"/>
            </w:rPr>
            <w:t>（一）收入预算情况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_Toc11086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10</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6BF85972">
          <w:pPr>
            <w:pStyle w:val="15"/>
            <w:shd w:val="clear" w:color="auto" w:fill="auto"/>
            <w:tabs>
              <w:tab w:val="right" w:leader="dot" w:pos="8845"/>
            </w:tabs>
            <w:rPr>
              <w:rFonts w:hint="eastAsia" w:ascii="仿宋_GB2312" w:hAnsi="仿宋_GB2312" w:eastAsia="仿宋_GB2312" w:cs="仿宋_GB2312"/>
              <w:sz w:val="32"/>
              <w:szCs w:val="32"/>
              <w:highlight w:val="none"/>
            </w:rPr>
          </w:pPr>
          <w:r>
            <w:fldChar w:fldCharType="begin"/>
          </w:r>
          <w:r>
            <w:instrText xml:space="preserve"> HYPERLINK \l "_Toc10217" </w:instrText>
          </w:r>
          <w:r>
            <w:fldChar w:fldCharType="separate"/>
          </w:r>
          <w:r>
            <w:rPr>
              <w:rFonts w:hint="eastAsia" w:ascii="仿宋_GB2312" w:hAnsi="仿宋_GB2312" w:eastAsia="仿宋_GB2312" w:cs="仿宋_GB2312"/>
              <w:sz w:val="32"/>
              <w:szCs w:val="32"/>
              <w:highlight w:val="none"/>
              <w:lang w:val="en-US" w:eastAsia="zh-CN"/>
            </w:rPr>
            <w:t>（二）支出预算情况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_Toc10217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10</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1F153127">
          <w:pPr>
            <w:pStyle w:val="14"/>
            <w:shd w:val="clear" w:color="auto" w:fill="auto"/>
            <w:tabs>
              <w:tab w:val="right" w:leader="dot" w:pos="8845"/>
            </w:tabs>
            <w:rPr>
              <w:rFonts w:hint="eastAsia" w:ascii="仿宋_GB2312" w:hAnsi="仿宋_GB2312" w:eastAsia="仿宋_GB2312" w:cs="仿宋_GB2312"/>
              <w:b/>
              <w:sz w:val="32"/>
              <w:szCs w:val="32"/>
              <w:highlight w:val="none"/>
            </w:rPr>
          </w:pPr>
          <w:r>
            <w:fldChar w:fldCharType="begin"/>
          </w:r>
          <w:r>
            <w:instrText xml:space="preserve"> HYPERLINK \l "_Toc17686" </w:instrText>
          </w:r>
          <w:r>
            <w:fldChar w:fldCharType="separate"/>
          </w:r>
          <w:r>
            <w:rPr>
              <w:rFonts w:hint="eastAsia" w:ascii="仿宋_GB2312" w:hAnsi="仿宋_GB2312" w:eastAsia="仿宋_GB2312" w:cs="仿宋_GB2312"/>
              <w:b/>
              <w:sz w:val="32"/>
              <w:szCs w:val="32"/>
              <w:highlight w:val="none"/>
              <w:lang w:val="en-US" w:eastAsia="zh-CN"/>
            </w:rPr>
            <w:t>四、财政拨款收支预算情况说明</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_Toc17686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11</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09AA8534">
          <w:pPr>
            <w:pStyle w:val="14"/>
            <w:shd w:val="clear" w:color="auto" w:fill="auto"/>
            <w:tabs>
              <w:tab w:val="right" w:leader="dot" w:pos="8845"/>
            </w:tabs>
            <w:rPr>
              <w:rFonts w:hint="eastAsia" w:ascii="仿宋_GB2312" w:hAnsi="仿宋_GB2312" w:eastAsia="仿宋_GB2312" w:cs="仿宋_GB2312"/>
              <w:b/>
              <w:sz w:val="32"/>
              <w:szCs w:val="32"/>
              <w:highlight w:val="none"/>
            </w:rPr>
          </w:pPr>
          <w:r>
            <w:fldChar w:fldCharType="begin"/>
          </w:r>
          <w:r>
            <w:instrText xml:space="preserve"> HYPERLINK \l "_Toc12741" </w:instrText>
          </w:r>
          <w:r>
            <w:fldChar w:fldCharType="separate"/>
          </w:r>
          <w:r>
            <w:rPr>
              <w:rFonts w:hint="eastAsia" w:ascii="仿宋_GB2312" w:hAnsi="仿宋_GB2312" w:eastAsia="仿宋_GB2312" w:cs="仿宋_GB2312"/>
              <w:b/>
              <w:sz w:val="32"/>
              <w:szCs w:val="32"/>
              <w:highlight w:val="none"/>
              <w:lang w:val="en-US" w:eastAsia="zh-CN"/>
            </w:rPr>
            <w:t>五、一般公共预算当年拨款情况说明</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_Toc12741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11</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4A15EFCA">
          <w:pPr>
            <w:pStyle w:val="15"/>
            <w:shd w:val="clear" w:color="auto" w:fill="auto"/>
            <w:tabs>
              <w:tab w:val="right" w:leader="dot" w:pos="8845"/>
            </w:tabs>
            <w:rPr>
              <w:rFonts w:hint="eastAsia" w:ascii="仿宋_GB2312" w:hAnsi="仿宋_GB2312" w:eastAsia="仿宋_GB2312" w:cs="仿宋_GB2312"/>
              <w:sz w:val="32"/>
              <w:szCs w:val="32"/>
              <w:highlight w:val="none"/>
            </w:rPr>
          </w:pPr>
          <w:r>
            <w:fldChar w:fldCharType="begin"/>
          </w:r>
          <w:r>
            <w:instrText xml:space="preserve"> HYPERLINK \l "_Toc26499" </w:instrText>
          </w:r>
          <w:r>
            <w:fldChar w:fldCharType="separate"/>
          </w:r>
          <w:r>
            <w:rPr>
              <w:rFonts w:hint="eastAsia" w:ascii="仿宋_GB2312" w:hAnsi="仿宋_GB2312" w:eastAsia="仿宋_GB2312" w:cs="仿宋_GB2312"/>
              <w:sz w:val="32"/>
              <w:szCs w:val="32"/>
              <w:highlight w:val="none"/>
              <w:lang w:val="en-US" w:eastAsia="zh-CN"/>
            </w:rPr>
            <w:t>（一）一般公共预算当年拨款规模变化情况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_Toc26499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3E75E2FB">
          <w:pPr>
            <w:pStyle w:val="15"/>
            <w:shd w:val="clear" w:color="auto" w:fill="auto"/>
            <w:tabs>
              <w:tab w:val="right" w:leader="dot" w:pos="8845"/>
            </w:tabs>
            <w:rPr>
              <w:rFonts w:hint="eastAsia" w:ascii="仿宋_GB2312" w:hAnsi="仿宋_GB2312" w:eastAsia="仿宋_GB2312" w:cs="仿宋_GB2312"/>
              <w:sz w:val="32"/>
              <w:szCs w:val="32"/>
              <w:highlight w:val="none"/>
            </w:rPr>
          </w:pPr>
          <w:r>
            <w:fldChar w:fldCharType="begin"/>
          </w:r>
          <w:r>
            <w:instrText xml:space="preserve"> HYPERLINK \l "_Toc14747" </w:instrText>
          </w:r>
          <w:r>
            <w:fldChar w:fldCharType="separate"/>
          </w:r>
          <w:r>
            <w:rPr>
              <w:rFonts w:hint="eastAsia" w:ascii="仿宋_GB2312" w:hAnsi="仿宋_GB2312" w:eastAsia="仿宋_GB2312" w:cs="仿宋_GB2312"/>
              <w:sz w:val="32"/>
              <w:szCs w:val="32"/>
              <w:highlight w:val="none"/>
              <w:lang w:val="en-US" w:eastAsia="zh-CN"/>
            </w:rPr>
            <w:t>（二）一般公共预算当年拨款结构情况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_Toc14747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4011368D">
          <w:pPr>
            <w:pStyle w:val="15"/>
            <w:shd w:val="clear" w:color="auto" w:fill="auto"/>
            <w:tabs>
              <w:tab w:val="right" w:leader="dot" w:pos="8845"/>
            </w:tabs>
            <w:rPr>
              <w:rFonts w:hint="eastAsia" w:ascii="仿宋_GB2312" w:hAnsi="仿宋_GB2312" w:eastAsia="仿宋_GB2312" w:cs="仿宋_GB2312"/>
              <w:sz w:val="32"/>
              <w:szCs w:val="32"/>
              <w:highlight w:val="none"/>
            </w:rPr>
          </w:pPr>
          <w:r>
            <w:fldChar w:fldCharType="begin"/>
          </w:r>
          <w:r>
            <w:instrText xml:space="preserve"> HYPERLINK \l "_Toc30027" </w:instrText>
          </w:r>
          <w:r>
            <w:fldChar w:fldCharType="separate"/>
          </w:r>
          <w:r>
            <w:rPr>
              <w:rFonts w:hint="eastAsia" w:ascii="仿宋_GB2312" w:hAnsi="仿宋_GB2312" w:eastAsia="仿宋_GB2312" w:cs="仿宋_GB2312"/>
              <w:sz w:val="32"/>
              <w:szCs w:val="32"/>
              <w:highlight w:val="none"/>
              <w:lang w:val="en-US" w:eastAsia="zh-CN"/>
            </w:rPr>
            <w:t>（三）一般公共预算当年拨款具体使用情况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_Toc30027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675CF909">
          <w:pPr>
            <w:pStyle w:val="14"/>
            <w:shd w:val="clear" w:color="auto" w:fill="auto"/>
            <w:tabs>
              <w:tab w:val="right" w:leader="dot" w:pos="8845"/>
            </w:tabs>
            <w:rPr>
              <w:rFonts w:hint="eastAsia" w:ascii="仿宋_GB2312" w:hAnsi="仿宋_GB2312" w:eastAsia="仿宋_GB2312" w:cs="仿宋_GB2312"/>
              <w:b/>
              <w:sz w:val="32"/>
              <w:szCs w:val="32"/>
              <w:highlight w:val="none"/>
            </w:rPr>
          </w:pPr>
          <w:r>
            <w:fldChar w:fldCharType="begin"/>
          </w:r>
          <w:r>
            <w:instrText xml:space="preserve"> HYPERLINK \l "_Toc18561" </w:instrText>
          </w:r>
          <w:r>
            <w:fldChar w:fldCharType="separate"/>
          </w:r>
          <w:r>
            <w:rPr>
              <w:rFonts w:hint="eastAsia" w:ascii="仿宋_GB2312" w:hAnsi="仿宋_GB2312" w:eastAsia="仿宋_GB2312" w:cs="仿宋_GB2312"/>
              <w:b/>
              <w:sz w:val="32"/>
              <w:szCs w:val="32"/>
              <w:highlight w:val="none"/>
              <w:lang w:val="en-US" w:eastAsia="zh-CN"/>
            </w:rPr>
            <w:t>六、一般公共预算基本支出情况说明</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_Toc18561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12</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627A593D">
          <w:pPr>
            <w:pStyle w:val="14"/>
            <w:shd w:val="clear" w:color="auto" w:fill="auto"/>
            <w:tabs>
              <w:tab w:val="right" w:leader="dot" w:pos="8845"/>
            </w:tabs>
            <w:rPr>
              <w:rFonts w:hint="eastAsia" w:ascii="仿宋_GB2312" w:hAnsi="仿宋_GB2312" w:eastAsia="仿宋_GB2312" w:cs="仿宋_GB2312"/>
              <w:b/>
              <w:sz w:val="32"/>
              <w:szCs w:val="32"/>
              <w:highlight w:val="none"/>
            </w:rPr>
          </w:pPr>
          <w:r>
            <w:fldChar w:fldCharType="begin"/>
          </w:r>
          <w:r>
            <w:instrText xml:space="preserve"> HYPERLINK \l "_Toc10113" </w:instrText>
          </w:r>
          <w:r>
            <w:fldChar w:fldCharType="separate"/>
          </w:r>
          <w:r>
            <w:rPr>
              <w:rFonts w:hint="eastAsia" w:ascii="仿宋_GB2312" w:hAnsi="仿宋_GB2312" w:eastAsia="仿宋_GB2312" w:cs="仿宋_GB2312"/>
              <w:b/>
              <w:sz w:val="32"/>
              <w:szCs w:val="32"/>
              <w:highlight w:val="none"/>
              <w:lang w:val="en-US" w:eastAsia="zh-CN"/>
            </w:rPr>
            <w:t>七、“三公”经费财政拨款预算安排情况说明</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_Toc10113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13</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6D1CBC87">
          <w:pPr>
            <w:pStyle w:val="15"/>
            <w:shd w:val="clear" w:color="auto" w:fill="auto"/>
            <w:tabs>
              <w:tab w:val="right" w:leader="dot" w:pos="8845"/>
            </w:tabs>
            <w:rPr>
              <w:rFonts w:hint="eastAsia" w:ascii="仿宋_GB2312" w:hAnsi="仿宋_GB2312" w:eastAsia="仿宋_GB2312" w:cs="仿宋_GB2312"/>
              <w:sz w:val="32"/>
              <w:szCs w:val="32"/>
              <w:highlight w:val="none"/>
            </w:rPr>
          </w:pPr>
          <w:r>
            <w:fldChar w:fldCharType="begin"/>
          </w:r>
          <w:r>
            <w:instrText xml:space="preserve"> HYPERLINK \l "_Toc32327" </w:instrText>
          </w:r>
          <w:r>
            <w:fldChar w:fldCharType="separate"/>
          </w:r>
          <w:r>
            <w:rPr>
              <w:rFonts w:hint="eastAsia" w:ascii="仿宋_GB2312" w:hAnsi="仿宋_GB2312" w:eastAsia="仿宋_GB2312" w:cs="仿宋_GB2312"/>
              <w:sz w:val="32"/>
              <w:szCs w:val="32"/>
              <w:highlight w:val="none"/>
              <w:lang w:val="en-US" w:eastAsia="zh-CN"/>
            </w:rPr>
            <w:t>（一）公务接待费</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_Toc32327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6ED7E979">
          <w:pPr>
            <w:pStyle w:val="15"/>
            <w:shd w:val="clear" w:color="auto" w:fill="auto"/>
            <w:tabs>
              <w:tab w:val="right" w:leader="dot" w:pos="8845"/>
            </w:tabs>
            <w:rPr>
              <w:rFonts w:hint="eastAsia" w:ascii="仿宋_GB2312" w:hAnsi="仿宋_GB2312" w:eastAsia="仿宋_GB2312" w:cs="仿宋_GB2312"/>
              <w:sz w:val="32"/>
              <w:szCs w:val="32"/>
              <w:highlight w:val="none"/>
            </w:rPr>
          </w:pPr>
          <w:r>
            <w:fldChar w:fldCharType="begin"/>
          </w:r>
          <w:r>
            <w:instrText xml:space="preserve"> HYPERLINK \l "_Toc26007" </w:instrText>
          </w:r>
          <w:r>
            <w:fldChar w:fldCharType="separate"/>
          </w:r>
          <w:r>
            <w:rPr>
              <w:rFonts w:hint="eastAsia" w:ascii="仿宋_GB2312" w:hAnsi="仿宋_GB2312" w:eastAsia="仿宋_GB2312" w:cs="仿宋_GB2312"/>
              <w:sz w:val="32"/>
              <w:szCs w:val="32"/>
              <w:highlight w:val="none"/>
              <w:lang w:val="en-US" w:eastAsia="zh-CN"/>
            </w:rPr>
            <w:t>（二） 公务用车购置及运行维护费</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_Toc26007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5485C510">
          <w:pPr>
            <w:pStyle w:val="15"/>
            <w:shd w:val="clear" w:color="auto" w:fill="auto"/>
            <w:tabs>
              <w:tab w:val="right" w:leader="dot" w:pos="8845"/>
            </w:tabs>
            <w:rPr>
              <w:rFonts w:hint="eastAsia" w:ascii="仿宋_GB2312" w:hAnsi="仿宋_GB2312" w:eastAsia="仿宋_GB2312" w:cs="仿宋_GB2312"/>
              <w:sz w:val="32"/>
              <w:szCs w:val="32"/>
              <w:highlight w:val="none"/>
            </w:rPr>
          </w:pPr>
          <w:r>
            <w:fldChar w:fldCharType="begin"/>
          </w:r>
          <w:r>
            <w:instrText xml:space="preserve"> HYPERLINK \l "_Toc22514" </w:instrText>
          </w:r>
          <w:r>
            <w:fldChar w:fldCharType="separate"/>
          </w:r>
          <w:r>
            <w:rPr>
              <w:rFonts w:hint="eastAsia" w:ascii="仿宋_GB2312" w:hAnsi="仿宋_GB2312" w:eastAsia="仿宋_GB2312" w:cs="仿宋_GB2312"/>
              <w:sz w:val="32"/>
              <w:szCs w:val="32"/>
              <w:highlight w:val="none"/>
              <w:lang w:val="en-US" w:eastAsia="zh-CN"/>
            </w:rPr>
            <w:t>（三）因公出国（境）经费</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_Toc22514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14CA60B3">
          <w:pPr>
            <w:pStyle w:val="14"/>
            <w:shd w:val="clear" w:color="auto" w:fill="auto"/>
            <w:tabs>
              <w:tab w:val="right" w:leader="dot" w:pos="8845"/>
            </w:tabs>
            <w:rPr>
              <w:rFonts w:hint="eastAsia" w:ascii="仿宋_GB2312" w:hAnsi="仿宋_GB2312" w:eastAsia="仿宋_GB2312" w:cs="仿宋_GB2312"/>
              <w:b/>
              <w:sz w:val="32"/>
              <w:szCs w:val="32"/>
              <w:highlight w:val="none"/>
            </w:rPr>
          </w:pPr>
          <w:r>
            <w:fldChar w:fldCharType="begin"/>
          </w:r>
          <w:r>
            <w:instrText xml:space="preserve"> HYPERLINK \l "_Toc1642" </w:instrText>
          </w:r>
          <w:r>
            <w:fldChar w:fldCharType="separate"/>
          </w:r>
          <w:r>
            <w:rPr>
              <w:rFonts w:hint="eastAsia" w:ascii="仿宋_GB2312" w:hAnsi="仿宋_GB2312" w:eastAsia="仿宋_GB2312" w:cs="仿宋_GB2312"/>
              <w:b/>
              <w:sz w:val="32"/>
              <w:szCs w:val="32"/>
              <w:highlight w:val="none"/>
              <w:lang w:val="en-US" w:eastAsia="zh-CN"/>
            </w:rPr>
            <w:t>八、政府性基金预算支出情况说明</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_Toc1642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14</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0828C53B">
          <w:pPr>
            <w:pStyle w:val="14"/>
            <w:shd w:val="clear" w:color="auto" w:fill="auto"/>
            <w:tabs>
              <w:tab w:val="right" w:leader="dot" w:pos="8845"/>
            </w:tabs>
            <w:rPr>
              <w:rFonts w:hint="eastAsia" w:ascii="仿宋_GB2312" w:hAnsi="仿宋_GB2312" w:eastAsia="仿宋_GB2312" w:cs="仿宋_GB2312"/>
              <w:b/>
              <w:sz w:val="32"/>
              <w:szCs w:val="32"/>
              <w:highlight w:val="none"/>
            </w:rPr>
          </w:pPr>
          <w:r>
            <w:fldChar w:fldCharType="begin"/>
          </w:r>
          <w:r>
            <w:instrText xml:space="preserve"> HYPERLINK \l "_Toc12054" </w:instrText>
          </w:r>
          <w:r>
            <w:fldChar w:fldCharType="separate"/>
          </w:r>
          <w:r>
            <w:rPr>
              <w:rFonts w:hint="eastAsia" w:ascii="仿宋_GB2312" w:hAnsi="仿宋_GB2312" w:eastAsia="仿宋_GB2312" w:cs="仿宋_GB2312"/>
              <w:b/>
              <w:sz w:val="32"/>
              <w:szCs w:val="32"/>
              <w:highlight w:val="none"/>
              <w:lang w:val="en-US" w:eastAsia="zh-CN"/>
            </w:rPr>
            <w:t>九、国有资本经营预算支出情况说明</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_Toc12054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14</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79DE4D22">
          <w:pPr>
            <w:pStyle w:val="14"/>
            <w:shd w:val="clear" w:color="auto" w:fill="auto"/>
            <w:tabs>
              <w:tab w:val="right" w:leader="dot" w:pos="8845"/>
            </w:tabs>
            <w:rPr>
              <w:rFonts w:hint="eastAsia" w:ascii="仿宋_GB2312" w:hAnsi="仿宋_GB2312" w:eastAsia="仿宋_GB2312" w:cs="仿宋_GB2312"/>
              <w:b/>
              <w:sz w:val="32"/>
              <w:szCs w:val="32"/>
              <w:highlight w:val="none"/>
            </w:rPr>
          </w:pPr>
          <w:r>
            <w:fldChar w:fldCharType="begin"/>
          </w:r>
          <w:r>
            <w:instrText xml:space="preserve"> HYPERLINK \l "_Toc2760" </w:instrText>
          </w:r>
          <w:r>
            <w:fldChar w:fldCharType="separate"/>
          </w:r>
          <w:r>
            <w:rPr>
              <w:rFonts w:hint="eastAsia" w:ascii="仿宋_GB2312" w:hAnsi="仿宋_GB2312" w:eastAsia="仿宋_GB2312" w:cs="仿宋_GB2312"/>
              <w:b/>
              <w:sz w:val="32"/>
              <w:szCs w:val="32"/>
              <w:highlight w:val="none"/>
              <w:lang w:val="en-US" w:eastAsia="zh-CN"/>
            </w:rPr>
            <w:t>十、其他重要事项的情况说明</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_Toc2760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14</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405EBE7B">
          <w:pPr>
            <w:pStyle w:val="15"/>
            <w:shd w:val="clear" w:color="auto" w:fill="auto"/>
            <w:tabs>
              <w:tab w:val="right" w:leader="dot" w:pos="8845"/>
            </w:tabs>
            <w:rPr>
              <w:rFonts w:hint="eastAsia" w:ascii="仿宋_GB2312" w:hAnsi="仿宋_GB2312" w:eastAsia="仿宋_GB2312" w:cs="仿宋_GB2312"/>
              <w:sz w:val="32"/>
              <w:szCs w:val="32"/>
              <w:highlight w:val="none"/>
            </w:rPr>
          </w:pPr>
          <w:r>
            <w:fldChar w:fldCharType="begin"/>
          </w:r>
          <w:r>
            <w:instrText xml:space="preserve"> HYPERLINK \l "_Toc24770" </w:instrText>
          </w:r>
          <w:r>
            <w:fldChar w:fldCharType="separate"/>
          </w:r>
          <w:r>
            <w:rPr>
              <w:rFonts w:hint="eastAsia" w:ascii="仿宋_GB2312" w:hAnsi="仿宋_GB2312" w:eastAsia="仿宋_GB2312" w:cs="仿宋_GB2312"/>
              <w:sz w:val="32"/>
              <w:szCs w:val="32"/>
              <w:highlight w:val="none"/>
              <w:lang w:val="en-US" w:eastAsia="zh-CN"/>
            </w:rPr>
            <w:t>（一）机关运行经费</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_Toc24770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374C8F5F">
          <w:pPr>
            <w:pStyle w:val="15"/>
            <w:shd w:val="clear" w:color="auto" w:fill="auto"/>
            <w:tabs>
              <w:tab w:val="right" w:leader="dot" w:pos="8845"/>
            </w:tabs>
            <w:rPr>
              <w:rFonts w:hint="eastAsia" w:ascii="仿宋_GB2312" w:hAnsi="仿宋_GB2312" w:eastAsia="仿宋_GB2312" w:cs="仿宋_GB2312"/>
              <w:sz w:val="32"/>
              <w:szCs w:val="32"/>
              <w:highlight w:val="none"/>
            </w:rPr>
          </w:pPr>
          <w:r>
            <w:fldChar w:fldCharType="begin"/>
          </w:r>
          <w:r>
            <w:instrText xml:space="preserve"> HYPERLINK \l "_Toc9487" </w:instrText>
          </w:r>
          <w:r>
            <w:fldChar w:fldCharType="separate"/>
          </w:r>
          <w:r>
            <w:rPr>
              <w:rFonts w:hint="eastAsia" w:ascii="仿宋_GB2312" w:hAnsi="仿宋_GB2312" w:eastAsia="仿宋_GB2312" w:cs="仿宋_GB2312"/>
              <w:sz w:val="32"/>
              <w:szCs w:val="32"/>
              <w:highlight w:val="none"/>
              <w:lang w:val="en-US" w:eastAsia="zh-CN"/>
            </w:rPr>
            <w:t>（二）政府采购情况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_Toc9487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24ED366C">
          <w:pPr>
            <w:pStyle w:val="15"/>
            <w:shd w:val="clear" w:color="auto" w:fill="auto"/>
            <w:tabs>
              <w:tab w:val="right" w:leader="dot" w:pos="8845"/>
            </w:tabs>
            <w:rPr>
              <w:rFonts w:hint="eastAsia" w:ascii="仿宋_GB2312" w:hAnsi="仿宋_GB2312" w:eastAsia="仿宋_GB2312" w:cs="仿宋_GB2312"/>
              <w:sz w:val="32"/>
              <w:szCs w:val="32"/>
              <w:highlight w:val="none"/>
            </w:rPr>
          </w:pPr>
          <w:r>
            <w:fldChar w:fldCharType="begin"/>
          </w:r>
          <w:r>
            <w:instrText xml:space="preserve"> HYPERLINK \l "_Toc16679" </w:instrText>
          </w:r>
          <w:r>
            <w:fldChar w:fldCharType="separate"/>
          </w:r>
          <w:r>
            <w:rPr>
              <w:rFonts w:hint="eastAsia" w:ascii="仿宋_GB2312" w:hAnsi="仿宋_GB2312" w:eastAsia="仿宋_GB2312" w:cs="仿宋_GB2312"/>
              <w:sz w:val="32"/>
              <w:szCs w:val="32"/>
              <w:highlight w:val="none"/>
              <w:lang w:val="en-US" w:eastAsia="zh-CN"/>
            </w:rPr>
            <w:t>（三）国有资产占有使用情况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_Toc16679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77274BEF">
          <w:pPr>
            <w:pStyle w:val="15"/>
            <w:shd w:val="clear" w:color="auto" w:fill="auto"/>
            <w:tabs>
              <w:tab w:val="right" w:leader="dot" w:pos="8845"/>
            </w:tabs>
            <w:rPr>
              <w:rFonts w:hint="eastAsia" w:ascii="仿宋_GB2312" w:hAnsi="仿宋_GB2312" w:eastAsia="仿宋_GB2312" w:cs="仿宋_GB2312"/>
              <w:sz w:val="32"/>
              <w:szCs w:val="32"/>
              <w:highlight w:val="none"/>
            </w:rPr>
          </w:pPr>
          <w:r>
            <w:fldChar w:fldCharType="begin"/>
          </w:r>
          <w:r>
            <w:instrText xml:space="preserve"> HYPERLINK \l "_Toc16084" </w:instrText>
          </w:r>
          <w:r>
            <w:fldChar w:fldCharType="separate"/>
          </w:r>
          <w:r>
            <w:rPr>
              <w:rFonts w:hint="eastAsia" w:ascii="仿宋_GB2312" w:hAnsi="仿宋_GB2312" w:eastAsia="仿宋_GB2312" w:cs="仿宋_GB2312"/>
              <w:sz w:val="32"/>
              <w:szCs w:val="32"/>
              <w:highlight w:val="none"/>
              <w:lang w:val="en-US" w:eastAsia="zh-CN"/>
            </w:rPr>
            <w:t>（四）绩效目标设置情况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_Toc16084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2CAC3643">
          <w:pPr>
            <w:pStyle w:val="14"/>
            <w:shd w:val="clear" w:color="auto" w:fill="auto"/>
            <w:tabs>
              <w:tab w:val="right" w:leader="dot" w:pos="8845"/>
            </w:tabs>
            <w:rPr>
              <w:b/>
              <w:highlight w:val="none"/>
            </w:rPr>
          </w:pPr>
          <w:r>
            <w:fldChar w:fldCharType="begin"/>
          </w:r>
          <w:r>
            <w:instrText xml:space="preserve"> HYPERLINK \l "_Toc26912" </w:instrText>
          </w:r>
          <w:r>
            <w:fldChar w:fldCharType="separate"/>
          </w:r>
          <w:r>
            <w:rPr>
              <w:rFonts w:hint="eastAsia" w:ascii="仿宋_GB2312" w:hAnsi="仿宋_GB2312" w:eastAsia="仿宋_GB2312" w:cs="仿宋_GB2312"/>
              <w:b/>
              <w:sz w:val="32"/>
              <w:szCs w:val="32"/>
              <w:highlight w:val="none"/>
              <w:lang w:val="en-US" w:eastAsia="zh-CN"/>
            </w:rPr>
            <w:t>十一、名词解释</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_Toc26912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15</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47A8C0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pacing w:before="130" w:beforeAutospacing="0" w:after="0" w:afterAutospacing="0" w:line="580" w:lineRule="atLeast"/>
            <w:ind w:right="0" w:rightChars="0"/>
            <w:jc w:val="both"/>
            <w:textAlignment w:val="auto"/>
            <w:rPr>
              <w:highlight w:val="none"/>
            </w:rPr>
          </w:pPr>
          <w:r>
            <w:rPr>
              <w:rFonts w:hint="eastAsia" w:ascii="宋体" w:hAnsi="宋体" w:eastAsia="宋体" w:cs="宋体"/>
              <w:b/>
              <w:i w:val="0"/>
              <w:caps w:val="0"/>
              <w:color w:val="000000" w:themeColor="text1"/>
              <w:spacing w:val="0"/>
              <w:kern w:val="0"/>
              <w:szCs w:val="28"/>
              <w:highlight w:val="none"/>
              <w:shd w:val="clear" w:color="auto" w:fill="FFFFFF"/>
              <w:lang w:val="en-US" w:eastAsia="zh-CN"/>
              <w14:textFill>
                <w14:solidFill>
                  <w14:schemeClr w14:val="tx1"/>
                </w14:solidFill>
              </w14:textFill>
            </w:rPr>
            <w:fldChar w:fldCharType="end"/>
          </w:r>
          <w:bookmarkStart w:id="0" w:name="_Toc16158"/>
        </w:p>
      </w:sdtContent>
    </w:sdt>
    <w:p w14:paraId="7A8AAEF4">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lang w:val="en-US" w:eastAsia="zh-CN"/>
        </w:rPr>
      </w:pPr>
    </w:p>
    <w:p w14:paraId="2AB55E62">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lang w:val="en-US" w:eastAsia="zh-CN"/>
        </w:rPr>
      </w:pPr>
    </w:p>
    <w:p w14:paraId="53C06871">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lang w:val="en-US" w:eastAsia="zh-CN"/>
        </w:rPr>
      </w:pPr>
    </w:p>
    <w:p w14:paraId="70CB429D">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lang w:val="en-US" w:eastAsia="zh-CN"/>
        </w:rPr>
      </w:pPr>
    </w:p>
    <w:p w14:paraId="6FF2CFE4">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lang w:val="en-US" w:eastAsia="zh-CN"/>
        </w:rPr>
      </w:pPr>
    </w:p>
    <w:p w14:paraId="7A6598C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lang w:val="en-US" w:eastAsia="zh-CN"/>
        </w:rPr>
      </w:pPr>
    </w:p>
    <w:p w14:paraId="49FD2388">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lang w:val="en-US" w:eastAsia="zh-CN"/>
        </w:rPr>
      </w:pPr>
    </w:p>
    <w:p w14:paraId="546E2C5C">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lang w:val="en-US" w:eastAsia="zh-CN"/>
        </w:rPr>
      </w:pPr>
    </w:p>
    <w:p w14:paraId="649C35B9">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lang w:val="en-US" w:eastAsia="zh-CN"/>
        </w:rPr>
      </w:pPr>
    </w:p>
    <w:p w14:paraId="2C8E2002">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lang w:val="en-US" w:eastAsia="zh-CN"/>
        </w:rPr>
      </w:pPr>
    </w:p>
    <w:p w14:paraId="5308BC74">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textAlignment w:val="auto"/>
        <w:outlineLvl w:val="0"/>
        <w:rPr>
          <w:rFonts w:hint="eastAsia" w:ascii="黑体" w:hAnsi="黑体" w:eastAsia="黑体" w:cs="黑体"/>
          <w:sz w:val="32"/>
          <w:szCs w:val="32"/>
          <w:highlight w:val="none"/>
          <w:lang w:val="en-US" w:eastAsia="zh-CN"/>
        </w:rPr>
      </w:pPr>
    </w:p>
    <w:p w14:paraId="2287618B">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一、基本职能及主要工作</w:t>
      </w:r>
      <w:bookmarkEnd w:id="0"/>
    </w:p>
    <w:p w14:paraId="6820E692">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1"/>
        <w:rPr>
          <w:rFonts w:hint="eastAsia" w:ascii="楷体_GB2312" w:hAnsi="楷体_GB2312" w:eastAsia="楷体_GB2312" w:cs="楷体_GB2312"/>
          <w:sz w:val="32"/>
          <w:szCs w:val="32"/>
          <w:highlight w:val="none"/>
        </w:rPr>
      </w:pPr>
      <w:bookmarkStart w:id="1" w:name="_Toc19437"/>
      <w:r>
        <w:rPr>
          <w:rFonts w:hint="eastAsia" w:ascii="楷体_GB2312" w:hAnsi="楷体_GB2312" w:eastAsia="楷体_GB2312" w:cs="楷体_GB2312"/>
          <w:sz w:val="32"/>
          <w:szCs w:val="32"/>
          <w:highlight w:val="none"/>
        </w:rPr>
        <w:t>（一）</w:t>
      </w:r>
      <w:r>
        <w:rPr>
          <w:rFonts w:hint="eastAsia" w:ascii="楷体_GB2312" w:hAnsi="楷体_GB2312" w:eastAsia="楷体_GB2312" w:cs="楷体_GB2312"/>
          <w:sz w:val="32"/>
          <w:szCs w:val="32"/>
          <w:highlight w:val="none"/>
          <w:lang w:val="en-US" w:eastAsia="zh-CN"/>
        </w:rPr>
        <w:t>区林业局单位</w:t>
      </w:r>
      <w:r>
        <w:rPr>
          <w:rFonts w:hint="eastAsia" w:ascii="楷体_GB2312" w:hAnsi="楷体_GB2312" w:eastAsia="楷体_GB2312" w:cs="楷体_GB2312"/>
          <w:sz w:val="32"/>
          <w:szCs w:val="32"/>
          <w:highlight w:val="none"/>
        </w:rPr>
        <w:t>职能简介</w:t>
      </w:r>
      <w:bookmarkEnd w:id="1"/>
    </w:p>
    <w:p w14:paraId="7DBC933E">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负责全区林业及其生态保护修复的监督管理。拟订全区林业及其生态保护修复的相关政策、规划和起草相关规范性文件并组织实施。组织拟订有关地方标准和规程并指导实施，组织开展全区森林、陆生野生动植物、湿地、自然保护地和荒漠等资源的动态监测与评价。承担林业生态文明建设的有关工作。推进全区林业数字化建设。</w:t>
      </w:r>
    </w:p>
    <w:p w14:paraId="0386359B">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拟订全区林业资源优化配置及木材利用政策，拟订相关林业产业地方标准并监督实施，组织、指导林产品质量监督。组织、指导开展生态扶贫相关工作。组织指导开展林业现代园区建设、低产低效林改造、花卉、特色经济林、林下经济、森林康养和生态旅游等产业建设。负责编制全区中药材、食用菌产业建设规划并组织实施。推进林业绿色产业发展。</w:t>
      </w:r>
    </w:p>
    <w:p w14:paraId="5A6E93B2">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负责全区森林资源的监督管理。贯彻执行全省森林采伐限额和林地保护利用规划。组织编制并监督执行全区森林采伐限额，监督检查林木凭证采伐、经营加工、运输。负责林地管理，拟订林地保护利用规划并组织实施，组织实施公益林划定管理工作，管理国有森林资源。</w:t>
      </w:r>
    </w:p>
    <w:p w14:paraId="71FCD0D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负责全区湿地资源的监督管理。贯彻执行有关湿地保护规划及其相关的标准规定，拟订全区湿地保护规划及其相关的地方标准。负责湿地科研监测、生态保护修复工作，监督管理湿地的合理利用。</w:t>
      </w:r>
    </w:p>
    <w:p w14:paraId="3A096F46">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负责全区陆生野生动植物资源的保护、监督管理。组织开展陆生野生动植物资源调查，拟订及调整全区重点保护陆生野生动物、植物名录，组织开展陆生野生动植物的救护繁育、栖息地恢复发展、疫源疫病监测，监督管理全区陆生野生动植物猎捕或采集、驯养繁殖或培植、经营利用，按分工监督管理野生动植物进出口。</w:t>
      </w:r>
    </w:p>
    <w:p w14:paraId="039A4A3D">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负责监督管理全区各类自然保护地。拟订全区自然保护区、森林公园、地质公园、湿地公园、风景名胜区、自然遗产等各类自然保护地规划和相关地方标准。组织开展全区各类自然保护地的建设和管理。负责国家公园昭化区境内的相关工作。负责区级政府直接行使和代理行使全民所有权的国家公园等自然保护地的自然资源资产管理和国土空间用途管制。提出新建、调整各类自然保护地和湿地的审核建议并按程序报批。负责生物多样性保护相关工作。承担自然遗产申报的相关工作。</w:t>
      </w:r>
    </w:p>
    <w:p w14:paraId="35191378">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负责推进全区林业改革相关工作。拟订集体林权制度、国有林区等重大改革意见并组织实施。拟订农村林业发展、维护林业经营者合法权益的政策措施。指导农村林地承包经营工作。开展退耕还林，负责天然林保护工作。</w:t>
      </w:r>
    </w:p>
    <w:p w14:paraId="6ABF3701">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组织全区生态保护修复和造林绿化工作。组织实施林业重点生态保护修复工程，组织开展公益林和商品林的培育，指导、组织和监督全民义务植树、国土绿化工作，组织开展林业有害生物防治、检疫工作。承担林业应对气候变化的相关工作。负责全区荒漠化防治工作。承担广元市昭化区绿化委员会的具体工作。</w:t>
      </w:r>
    </w:p>
    <w:p w14:paraId="0D2BD35F">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9.</w:t>
      </w:r>
      <w:r>
        <w:rPr>
          <w:rFonts w:hint="eastAsia" w:ascii="仿宋_GB2312" w:hAnsi="仿宋" w:eastAsia="仿宋_GB2312"/>
          <w:color w:val="auto"/>
          <w:sz w:val="32"/>
          <w:szCs w:val="32"/>
          <w:highlight w:val="none"/>
        </w:rPr>
        <w:t>组织林木种质资源普查，组织建立种质资源库，负责良种选育推广，管理林木种苗生产经营行为，监管林木种苗质量。监督管理林业生物种质资源、转基因生物安全、植物新品种保护。</w:t>
      </w:r>
    </w:p>
    <w:p w14:paraId="2D496A9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10.</w:t>
      </w:r>
      <w:r>
        <w:rPr>
          <w:rFonts w:hint="eastAsia" w:ascii="仿宋_GB2312" w:hAnsi="仿宋" w:eastAsia="仿宋_GB2312"/>
          <w:color w:val="auto"/>
          <w:sz w:val="32"/>
          <w:szCs w:val="32"/>
          <w:highlight w:val="none"/>
        </w:rPr>
        <w:t>指导</w:t>
      </w:r>
      <w:r>
        <w:rPr>
          <w:rFonts w:hint="eastAsia" w:ascii="仿宋_GB2312" w:hAnsi="仿宋" w:eastAsia="仿宋_GB2312"/>
          <w:color w:val="auto"/>
          <w:sz w:val="32"/>
          <w:szCs w:val="32"/>
          <w:highlight w:val="none"/>
          <w:lang w:val="en-US" w:eastAsia="zh-CN"/>
        </w:rPr>
        <w:t>全</w:t>
      </w:r>
      <w:r>
        <w:rPr>
          <w:rFonts w:hint="eastAsia" w:ascii="仿宋_GB2312" w:hAnsi="仿宋" w:eastAsia="仿宋_GB2312"/>
          <w:color w:val="auto"/>
          <w:sz w:val="32"/>
          <w:szCs w:val="32"/>
          <w:highlight w:val="none"/>
        </w:rPr>
        <w:t>区森林公安工作，监督管理森林公安队伍，指导全区林业重大违法案件的查处，指导林区社会治安治理工作。负责林业相关行政执法监管工作。</w:t>
      </w:r>
    </w:p>
    <w:p w14:paraId="160352F4">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负责落实全区综合防灾减灾规划相关要求，负责全区森林防火宣传教育、野外火源管控、日常巡护、隐患排查整治、监测预警、基础设施建设、专业防火队伍建设管理、未达到林草火灾应急预案中启动应急响应条件的初期火情火灾处置、牵头灾损评估等工作。</w:t>
      </w:r>
    </w:p>
    <w:p w14:paraId="66FF39DD">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olor w:val="auto"/>
          <w:sz w:val="32"/>
          <w:szCs w:val="32"/>
          <w:highlight w:val="none"/>
        </w:rPr>
        <w:t>监督管理全区林业区级及以上资金和国有资产，提出林业预算内投资、区级及以上财政性资金安排建议，按区政府规定权限，核报、监督管理规划内和年度计划内投资项目。参与拟订全区林业经济调节政策，组织实施林业生态补偿工作。</w:t>
      </w:r>
    </w:p>
    <w:p w14:paraId="57591E0B">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13.</w:t>
      </w:r>
      <w:r>
        <w:rPr>
          <w:rFonts w:hint="eastAsia" w:ascii="仿宋_GB2312" w:hAnsi="仿宋" w:eastAsia="仿宋_GB2312"/>
          <w:color w:val="auto"/>
          <w:sz w:val="32"/>
          <w:szCs w:val="32"/>
          <w:highlight w:val="none"/>
        </w:rPr>
        <w:t>负责林业科技、教育、对外交流和宣传工作。组织重点科技项目攻关和科技成果转化、推广。组织开展全区林业人才队伍建设。组织实施林业对外交流与合作事务，承担湿地、防治荒漠化、濒危野生动植物等国际公约履约有关工作。负责林业行业宣传工作。</w:t>
      </w:r>
    </w:p>
    <w:p w14:paraId="0E74135E">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14.</w:t>
      </w:r>
      <w:r>
        <w:rPr>
          <w:rFonts w:hint="eastAsia" w:ascii="仿宋_GB2312" w:hAnsi="仿宋" w:eastAsia="仿宋_GB2312"/>
          <w:color w:val="auto"/>
          <w:sz w:val="32"/>
          <w:szCs w:val="32"/>
          <w:highlight w:val="none"/>
        </w:rPr>
        <w:t>承担职责范围内安全生产和职业健康、生态环境保护等工作，指导全区林业审批服务便民化等工作。</w:t>
      </w:r>
    </w:p>
    <w:p w14:paraId="75C184EE">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15.</w:t>
      </w:r>
      <w:r>
        <w:rPr>
          <w:rFonts w:hint="eastAsia" w:ascii="仿宋_GB2312" w:hAnsi="仿宋" w:eastAsia="仿宋_GB2312"/>
          <w:color w:val="auto"/>
          <w:sz w:val="32"/>
          <w:szCs w:val="32"/>
          <w:highlight w:val="none"/>
        </w:rPr>
        <w:t>完成区委、区政府交办的其他任务。</w:t>
      </w:r>
    </w:p>
    <w:p w14:paraId="2BD28224">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16.</w:t>
      </w:r>
      <w:r>
        <w:rPr>
          <w:rFonts w:hint="eastAsia" w:ascii="仿宋_GB2312" w:hAnsi="仿宋" w:eastAsia="仿宋_GB2312"/>
          <w:color w:val="auto"/>
          <w:sz w:val="32"/>
          <w:szCs w:val="32"/>
          <w:highlight w:val="none"/>
        </w:rPr>
        <w:t>职能转变。围绕高质量筑牢嘉陵江上游生态屏障，加强森林、湿地监督管理的统筹协调，切实加大生态系统保护力度，实施重要生态系统保护和修复工程，高质量实施绿化全川广元行动昭化实践、低产低效林改造、增彩添香和花卉产业发展，高水平推进数字林业建设，加快实现林业生态、经济、社会三大效益。推进全区范围内自然保护区、森林公园、地质公园、湿地公园、风景名胜区、自然遗产等各类自然保护地的清理规范、归并整合及监督管理。负责国家公园昭化境内相关工作。</w:t>
      </w:r>
    </w:p>
    <w:p w14:paraId="3230F836">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17.</w:t>
      </w:r>
      <w:r>
        <w:rPr>
          <w:rFonts w:hint="eastAsia" w:ascii="仿宋_GB2312" w:hAnsi="仿宋" w:eastAsia="仿宋_GB2312"/>
          <w:color w:val="auto"/>
          <w:sz w:val="32"/>
          <w:szCs w:val="32"/>
          <w:highlight w:val="none"/>
        </w:rPr>
        <w:t>在自然灾害防救方面的职责分工。</w:t>
      </w:r>
    </w:p>
    <w:p w14:paraId="2688EA2D">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区林业局与市自然资源局昭化分局、区水利局、区应急管理局等部门要做到各司其职、无缝对接。区应急管理局负责统一组织、统一指挥、统一协调自然灾害类突发事件应急救援救灾工作。市自然资源局昭化分局、区水利局、区林业局、区应急管理局依法依规承担相关行业领域的灾害监测、预警、防治工作及抢险救援的技术保障工作。</w:t>
      </w:r>
    </w:p>
    <w:p w14:paraId="2F0E3726">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区应急管理局负责牵头组织编制全区综合应急防灾减灾预案和安全生产类、自然灾害类专项预案，承担应急预案衔接工作，组织开展预案演练并落实。按照分级负责的原则，组织、指导自然灾害类应急救援救灾；组织、协调一般灾害应急救援工作，并按权限作出决定；承担全区应对较大及以上灾害指挥部工作，负责组织较大及以上灾害应急处置工作。组织编制全区综合防灾减灾规划，指导、协调相关部门森林火灾、水旱灾害、地质灾害等防治工作；会同区自然资源局昭化分局、区水利局、区林业局等有关部门建立统一的应急管理信息平台，建立监测预警和灾情报告制度，健全自然灾害信息资源获取和共享机制，依法统一发布灾情、发布森林火险信息。组织开展多灾种和灾害链综合监测预警。</w:t>
      </w:r>
    </w:p>
    <w:p w14:paraId="74187E2E">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区林业局负责落实综合防灾减灾规划相关要求，负责全区森林防火宣传教育、野外火源管控、日常巡护、隐患排查整治、监测预警、基础设施建设、专业防火队伍建设管理、未达到林草火灾应急预案中启动应急响应条件的初期火情火灾处置、牵头灾损评估等工作。火灾达到本级应急响应最低条件的，第一时间提请区级防灭火指挥部启动相应等级应急响应。</w:t>
      </w:r>
    </w:p>
    <w:p w14:paraId="00FB3D56">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必要时，区林业局可以提请区应急管理局，以区应急指挥机构名义部署相关工作。</w:t>
      </w:r>
    </w:p>
    <w:p w14:paraId="1EA0E119">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18.</w:t>
      </w:r>
      <w:r>
        <w:rPr>
          <w:rFonts w:hint="eastAsia" w:ascii="仿宋_GB2312" w:hAnsi="仿宋" w:eastAsia="仿宋_GB2312"/>
          <w:color w:val="auto"/>
          <w:sz w:val="32"/>
          <w:szCs w:val="32"/>
          <w:highlight w:val="none"/>
        </w:rPr>
        <w:t>在中药材产业发展方面的职责分工。</w:t>
      </w:r>
    </w:p>
    <w:p w14:paraId="4FAF6E09">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区卫生健康局负责拟订全区中医药产业发展规划、产业政策和扶持政策并指导实施。</w:t>
      </w:r>
    </w:p>
    <w:p w14:paraId="2355D60A">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val="0"/>
        <w:spacing w:beforeAutospacing="0" w:after="0" w:afterAutospacing="0" w:line="576" w:lineRule="exact"/>
        <w:ind w:right="0" w:firstLine="640" w:firstLineChars="200"/>
        <w:textAlignment w:val="auto"/>
        <w:rPr>
          <w:rFonts w:hint="eastAsia" w:ascii="楷体_GB2312" w:hAnsi="楷体_GB2312" w:eastAsia="楷体_GB2312" w:cs="楷体_GB2312"/>
          <w:sz w:val="32"/>
          <w:szCs w:val="32"/>
          <w:highlight w:val="none"/>
        </w:rPr>
      </w:pP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区林业局负责拟订全区中药材产业发展规划、产业政策和扶持政策并指导实施。</w:t>
      </w:r>
    </w:p>
    <w:p w14:paraId="24C1601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1"/>
        <w:rPr>
          <w:rFonts w:hint="eastAsia" w:ascii="楷体_GB2312" w:hAnsi="楷体_GB2312" w:eastAsia="楷体_GB2312" w:cs="楷体_GB2312"/>
          <w:sz w:val="32"/>
          <w:szCs w:val="32"/>
          <w:highlight w:val="none"/>
        </w:rPr>
      </w:pPr>
      <w:bookmarkStart w:id="2" w:name="_Toc28801"/>
      <w:r>
        <w:rPr>
          <w:rFonts w:hint="eastAsia" w:ascii="楷体_GB2312" w:hAnsi="楷体_GB2312" w:eastAsia="楷体_GB2312" w:cs="楷体_GB2312"/>
          <w:sz w:val="32"/>
          <w:szCs w:val="32"/>
          <w:highlight w:val="none"/>
        </w:rPr>
        <w:t>（二）</w:t>
      </w:r>
      <w:r>
        <w:rPr>
          <w:rFonts w:hint="eastAsia" w:ascii="楷体_GB2312" w:hAnsi="楷体_GB2312" w:eastAsia="楷体_GB2312" w:cs="楷体_GB2312"/>
          <w:sz w:val="32"/>
          <w:szCs w:val="32"/>
          <w:highlight w:val="none"/>
          <w:lang w:val="en-US" w:eastAsia="zh-CN"/>
        </w:rPr>
        <w:t>区林业</w:t>
      </w:r>
      <w:r>
        <w:rPr>
          <w:rFonts w:hint="eastAsia" w:ascii="楷体_GB2312" w:hAnsi="楷体_GB2312" w:eastAsia="楷体_GB2312" w:cs="楷体_GB2312"/>
          <w:sz w:val="32"/>
          <w:szCs w:val="32"/>
          <w:highlight w:val="none"/>
          <w:lang w:val="en-US"/>
        </w:rPr>
        <w:t>202</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rPr>
        <w:t>年重点工作</w:t>
      </w:r>
      <w:bookmarkEnd w:id="2"/>
    </w:p>
    <w:p w14:paraId="6496791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440"/>
        </w:tabs>
        <w:kinsoku/>
        <w:wordWrap/>
        <w:overflowPunct/>
        <w:topLinePunct w:val="0"/>
        <w:autoSpaceDE w:val="0"/>
        <w:autoSpaceDN w:val="0"/>
        <w:bidi w:val="0"/>
        <w:adjustRightInd w:val="0"/>
        <w:snapToGrid w:val="0"/>
        <w:spacing w:beforeAutospacing="0" w:after="0" w:afterAutospacing="0" w:line="576" w:lineRule="exact"/>
        <w:ind w:left="0" w:leftChars="0" w:right="0" w:rightChars="0"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方正楷体简体" w:hAnsi="方正楷体简体" w:eastAsia="方正楷体简体" w:cs="方正楷体简体"/>
          <w:b/>
          <w:bCs/>
          <w:color w:val="auto"/>
          <w:kern w:val="2"/>
          <w:sz w:val="32"/>
          <w:szCs w:val="32"/>
          <w:highlight w:val="none"/>
          <w:lang w:val="en-US" w:eastAsia="zh-CN" w:bidi="ar-SA"/>
        </w:rPr>
        <w:t>1.</w:t>
      </w:r>
      <w:r>
        <w:rPr>
          <w:rFonts w:hint="default" w:ascii="方正楷体简体" w:hAnsi="方正楷体简体" w:eastAsia="方正楷体简体" w:cs="方正楷体简体"/>
          <w:b/>
          <w:bCs/>
          <w:color w:val="auto"/>
          <w:kern w:val="2"/>
          <w:sz w:val="32"/>
          <w:szCs w:val="32"/>
          <w:highlight w:val="none"/>
          <w:lang w:val="en-US" w:eastAsia="zh-CN" w:bidi="ar-SA"/>
        </w:rPr>
        <w:t>持之以恒抓好产业发展。</w:t>
      </w:r>
      <w:r>
        <w:rPr>
          <w:rFonts w:hint="default" w:ascii="Times New Roman" w:hAnsi="Times New Roman" w:eastAsia="仿宋_GB2312" w:cs="Times New Roman"/>
          <w:b w:val="0"/>
          <w:bCs w:val="0"/>
          <w:sz w:val="32"/>
          <w:szCs w:val="32"/>
          <w:highlight w:val="none"/>
          <w:lang w:val="en-US" w:eastAsia="zh-CN"/>
        </w:rPr>
        <w:t>一是扩面提升产业基地。</w:t>
      </w:r>
      <w:r>
        <w:rPr>
          <w:rFonts w:hint="default" w:ascii="Times New Roman" w:hAnsi="Times New Roman" w:eastAsia="仿宋_GB2312" w:cs="Times New Roman"/>
          <w:b w:val="0"/>
          <w:bCs w:val="0"/>
          <w:kern w:val="2"/>
          <w:sz w:val="32"/>
          <w:szCs w:val="32"/>
          <w:highlight w:val="none"/>
          <w:lang w:val="en-US" w:eastAsia="zh-CN" w:bidi="ar-SA"/>
        </w:rPr>
        <w:t>结合国家储备林建设、村集体经济建设和庭院经济建设，新发展道地中药材2.</w:t>
      </w:r>
      <w:r>
        <w:rPr>
          <w:rFonts w:hint="eastAsia" w:ascii="Times New Roman" w:hAnsi="Times New Roman" w:eastAsia="仿宋_GB2312" w:cs="Times New Roman"/>
          <w:b w:val="0"/>
          <w:bCs w:val="0"/>
          <w:kern w:val="2"/>
          <w:sz w:val="32"/>
          <w:szCs w:val="32"/>
          <w:highlight w:val="none"/>
          <w:lang w:val="en-US" w:eastAsia="zh-CN" w:bidi="ar-SA"/>
        </w:rPr>
        <w:t>8</w:t>
      </w:r>
      <w:r>
        <w:rPr>
          <w:rFonts w:hint="default" w:ascii="Times New Roman" w:hAnsi="Times New Roman" w:eastAsia="仿宋_GB2312" w:cs="Times New Roman"/>
          <w:b w:val="0"/>
          <w:bCs w:val="0"/>
          <w:kern w:val="2"/>
          <w:sz w:val="32"/>
          <w:szCs w:val="32"/>
          <w:highlight w:val="none"/>
          <w:lang w:val="en-US" w:eastAsia="zh-CN" w:bidi="ar-SA"/>
        </w:rPr>
        <w:t>万亩、油茶0.2万亩、食用菌200万袋；巩固提升林下中药材及茯苓园区1.4万亩、核桃丰产管护</w:t>
      </w:r>
      <w:r>
        <w:rPr>
          <w:rFonts w:hint="eastAsia" w:ascii="Times New Roman" w:hAnsi="Times New Roman" w:eastAsia="仿宋_GB2312" w:cs="Times New Roman"/>
          <w:b w:val="0"/>
          <w:bCs w:val="0"/>
          <w:kern w:val="2"/>
          <w:sz w:val="32"/>
          <w:szCs w:val="32"/>
          <w:highlight w:val="none"/>
          <w:lang w:val="en-US" w:eastAsia="zh-CN" w:bidi="ar-SA"/>
        </w:rPr>
        <w:t>4</w:t>
      </w:r>
      <w:r>
        <w:rPr>
          <w:rFonts w:hint="default" w:ascii="Times New Roman" w:hAnsi="Times New Roman" w:eastAsia="仿宋_GB2312" w:cs="Times New Roman"/>
          <w:b w:val="0"/>
          <w:bCs w:val="0"/>
          <w:kern w:val="2"/>
          <w:sz w:val="32"/>
          <w:szCs w:val="32"/>
          <w:highlight w:val="none"/>
          <w:lang w:val="en-US" w:eastAsia="zh-CN" w:bidi="ar-SA"/>
        </w:rPr>
        <w:t>万亩、笋用竹基地0.3万亩；力争将射箭镇林下经济产业园一二期和元坝镇茯苓产业园打造为省级“天府森林粮库”现代产业基地，争创“</w:t>
      </w:r>
      <w:r>
        <w:rPr>
          <w:rFonts w:hint="default" w:ascii="Times New Roman" w:hAnsi="Times New Roman" w:eastAsia="仿宋_GB2312" w:cs="Times New Roman"/>
          <w:b w:val="0"/>
          <w:bCs w:val="0"/>
          <w:sz w:val="32"/>
          <w:szCs w:val="32"/>
          <w:highlight w:val="none"/>
          <w:lang w:val="en-US" w:eastAsia="zh-CN"/>
        </w:rPr>
        <w:t>天府森林粮库”高质量发展县</w:t>
      </w: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sz w:val="32"/>
          <w:szCs w:val="32"/>
          <w:highlight w:val="none"/>
          <w:lang w:val="en-US" w:eastAsia="zh-CN"/>
        </w:rPr>
        <w:t>二是提升产业加工。</w:t>
      </w:r>
      <w:r>
        <w:rPr>
          <w:rFonts w:hint="default" w:ascii="Times New Roman" w:hAnsi="Times New Roman" w:eastAsia="仿宋_GB2312" w:cs="Times New Roman"/>
          <w:b w:val="0"/>
          <w:bCs w:val="0"/>
          <w:kern w:val="2"/>
          <w:sz w:val="32"/>
          <w:szCs w:val="32"/>
          <w:highlight w:val="none"/>
          <w:lang w:val="en-US" w:eastAsia="zh-CN" w:bidi="ar-SA"/>
        </w:rPr>
        <w:t>结合各镇中药材产业发展实际，科学合理分布初加工点2个，引进有技术的公司适当发展精深加工线1条。</w:t>
      </w:r>
      <w:r>
        <w:rPr>
          <w:rFonts w:hint="default" w:ascii="Times New Roman" w:hAnsi="Times New Roman" w:eastAsia="仿宋_GB2312" w:cs="Times New Roman"/>
          <w:b w:val="0"/>
          <w:bCs w:val="0"/>
          <w:sz w:val="32"/>
          <w:szCs w:val="32"/>
          <w:highlight w:val="none"/>
          <w:lang w:val="en-US" w:eastAsia="zh-CN"/>
        </w:rPr>
        <w:t>三是加强社会化服务。</w:t>
      </w:r>
      <w:r>
        <w:rPr>
          <w:rFonts w:hint="default" w:ascii="Times New Roman" w:hAnsi="Times New Roman" w:eastAsia="仿宋_GB2312" w:cs="Times New Roman"/>
          <w:b w:val="0"/>
          <w:bCs w:val="0"/>
          <w:kern w:val="2"/>
          <w:sz w:val="32"/>
          <w:szCs w:val="32"/>
          <w:highlight w:val="none"/>
          <w:lang w:val="en-US" w:eastAsia="zh-CN" w:bidi="ar-SA"/>
        </w:rPr>
        <w:t>持续与成都中医药大学等院校合作，选育淫羊藿本地壮苗品种1个，研发“林粮”产品5个。积极培育欢欢食品为市级以上龙头企业</w:t>
      </w:r>
      <w:r>
        <w:rPr>
          <w:rFonts w:hint="default" w:ascii="Times New Roman" w:hAnsi="Times New Roman" w:eastAsia="仿宋_GB2312" w:cs="Times New Roman"/>
          <w:b w:val="0"/>
          <w:bCs w:val="0"/>
          <w:sz w:val="32"/>
          <w:szCs w:val="32"/>
          <w:highlight w:val="none"/>
          <w:lang w:val="en-US" w:eastAsia="zh-CN"/>
        </w:rPr>
        <w:t>。</w:t>
      </w:r>
    </w:p>
    <w:p w14:paraId="2EFA683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440"/>
        </w:tabs>
        <w:kinsoku/>
        <w:wordWrap/>
        <w:overflowPunct/>
        <w:topLinePunct w:val="0"/>
        <w:autoSpaceDE w:val="0"/>
        <w:autoSpaceDN w:val="0"/>
        <w:bidi w:val="0"/>
        <w:adjustRightInd w:val="0"/>
        <w:snapToGrid w:val="0"/>
        <w:spacing w:beforeAutospacing="0" w:after="0" w:afterAutospacing="0" w:line="576"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方正楷体简体" w:hAnsi="方正楷体简体" w:eastAsia="方正楷体简体" w:cs="方正楷体简体"/>
          <w:b/>
          <w:bCs/>
          <w:color w:val="auto"/>
          <w:kern w:val="2"/>
          <w:sz w:val="32"/>
          <w:szCs w:val="32"/>
          <w:highlight w:val="none"/>
          <w:lang w:val="en-US" w:eastAsia="zh-CN" w:bidi="ar-SA"/>
        </w:rPr>
        <w:t>2.</w:t>
      </w:r>
      <w:r>
        <w:rPr>
          <w:rFonts w:hint="default" w:ascii="方正楷体简体" w:hAnsi="方正楷体简体" w:eastAsia="方正楷体简体" w:cs="方正楷体简体"/>
          <w:b/>
          <w:bCs/>
          <w:color w:val="auto"/>
          <w:kern w:val="2"/>
          <w:sz w:val="32"/>
          <w:szCs w:val="32"/>
          <w:highlight w:val="none"/>
          <w:lang w:val="en-US" w:eastAsia="zh-CN" w:bidi="ar-SA"/>
        </w:rPr>
        <w:t>用心用力抓好林长制工作。</w:t>
      </w:r>
      <w:r>
        <w:rPr>
          <w:rFonts w:hint="default" w:ascii="Times New Roman" w:hAnsi="Times New Roman" w:eastAsia="仿宋_GB2312" w:cs="Times New Roman"/>
          <w:b w:val="0"/>
          <w:bCs w:val="0"/>
          <w:color w:val="auto"/>
          <w:kern w:val="2"/>
          <w:sz w:val="32"/>
          <w:szCs w:val="32"/>
          <w:highlight w:val="none"/>
          <w:lang w:val="en-US" w:eastAsia="zh-CN" w:bidi="ar-SA"/>
        </w:rPr>
        <w:t>继续优化完善林长制组织责任体系，明确责任区域，进一步压紧压实各级林长森林资源保护、发展和安全工作责任。严格执行《林长巡林工作制度（试行）》，全面推行“三单一函”“项目林长”，加强工作调度，提升巡林质量，促进巡林制度化、规范化、常态化。认真落实《区级林长制运行规则（试行）》《林长制督查制度（试行）》等制度规定，进一步健全区级林长重点阶段、重要任务发令机制，抓实督查突出问题整改，强化林长制年度考核结果运用，持续推动各级林长主动协调解决区域内森林资源保护、发展、安全等重大突出问题走深走实、落地见效。</w:t>
      </w:r>
    </w:p>
    <w:p w14:paraId="2D3F423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440"/>
        </w:tabs>
        <w:kinsoku/>
        <w:wordWrap/>
        <w:overflowPunct/>
        <w:topLinePunct w:val="0"/>
        <w:autoSpaceDE w:val="0"/>
        <w:autoSpaceDN w:val="0"/>
        <w:bidi w:val="0"/>
        <w:adjustRightInd w:val="0"/>
        <w:snapToGrid w:val="0"/>
        <w:spacing w:beforeAutospacing="0" w:after="0" w:afterAutospacing="0" w:line="576"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方正楷体简体" w:hAnsi="方正楷体简体" w:eastAsia="方正楷体简体" w:cs="方正楷体简体"/>
          <w:b/>
          <w:bCs/>
          <w:color w:val="auto"/>
          <w:kern w:val="2"/>
          <w:sz w:val="32"/>
          <w:szCs w:val="32"/>
          <w:highlight w:val="none"/>
          <w:lang w:val="en-US" w:eastAsia="zh-CN" w:bidi="ar-SA"/>
        </w:rPr>
        <w:t>3.</w:t>
      </w:r>
      <w:r>
        <w:rPr>
          <w:rFonts w:hint="default" w:ascii="方正楷体简体" w:hAnsi="方正楷体简体" w:eastAsia="方正楷体简体" w:cs="方正楷体简体"/>
          <w:b/>
          <w:bCs/>
          <w:color w:val="auto"/>
          <w:kern w:val="2"/>
          <w:sz w:val="32"/>
          <w:szCs w:val="32"/>
          <w:highlight w:val="none"/>
          <w:lang w:val="en-US" w:eastAsia="zh-CN" w:bidi="ar-SA"/>
        </w:rPr>
        <w:t>全力以赴抓好资源保护管理。</w:t>
      </w:r>
      <w:r>
        <w:rPr>
          <w:rFonts w:hint="default" w:ascii="Times New Roman" w:hAnsi="Times New Roman" w:eastAsia="仿宋_GB2312" w:cs="Times New Roman"/>
          <w:b w:val="0"/>
          <w:bCs w:val="0"/>
          <w:color w:val="auto"/>
          <w:kern w:val="2"/>
          <w:sz w:val="32"/>
          <w:szCs w:val="32"/>
          <w:highlight w:val="none"/>
          <w:lang w:val="en-US" w:eastAsia="zh-CN" w:bidi="ar-SA"/>
        </w:rPr>
        <w:t>严格落实地方党政领导干部保护发展森林资源目标责任，实行最严格的森林资源保护管理制度。强化林木采伐管理和区内重点工程项目建设使用林地保障。</w:t>
      </w:r>
      <w:r>
        <w:rPr>
          <w:rFonts w:hint="default" w:ascii="Times New Roman" w:hAnsi="Times New Roman" w:eastAsia="仿宋_GB2312" w:cs="Times New Roman"/>
          <w:b w:val="0"/>
          <w:bCs w:val="0"/>
          <w:color w:val="auto"/>
          <w:sz w:val="32"/>
          <w:szCs w:val="32"/>
          <w:highlight w:val="none"/>
          <w:lang w:val="en-US" w:eastAsia="zh-CN"/>
        </w:rPr>
        <w:t>强力推进林草湿荒普查任务，精确落实林地管理边界，为资源管理打下坚实基础</w:t>
      </w:r>
      <w:r>
        <w:rPr>
          <w:rFonts w:hint="default" w:ascii="Times New Roman" w:hAnsi="Times New Roman" w:eastAsia="仿宋_GB2312" w:cs="Times New Roman"/>
          <w:b w:val="0"/>
          <w:bCs w:val="0"/>
          <w:color w:val="auto"/>
          <w:kern w:val="2"/>
          <w:sz w:val="32"/>
          <w:szCs w:val="32"/>
          <w:highlight w:val="none"/>
          <w:lang w:val="en-US" w:eastAsia="zh-CN" w:bidi="ar-SA"/>
        </w:rPr>
        <w:t>。高质量选聘生态护林员，强化人员培训管理，全面提升基层林业治理能力。充分发挥村级“一长两员”队伍作用，将森林督查等发现问题与基层监管员、护林员日常管护工作挂钩，实行责任倒追机制，以实实在在的工作成效推动森林督查变动图斑数和问题图斑数“双下降”。</w:t>
      </w:r>
    </w:p>
    <w:p w14:paraId="518FC56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440"/>
        </w:tabs>
        <w:kinsoku/>
        <w:wordWrap/>
        <w:overflowPunct/>
        <w:topLinePunct w:val="0"/>
        <w:autoSpaceDE w:val="0"/>
        <w:autoSpaceDN w:val="0"/>
        <w:bidi w:val="0"/>
        <w:adjustRightInd w:val="0"/>
        <w:snapToGrid w:val="0"/>
        <w:spacing w:beforeAutospacing="0" w:after="0" w:afterAutospacing="0" w:line="576"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方正楷体简体" w:hAnsi="方正楷体简体" w:eastAsia="方正楷体简体" w:cs="方正楷体简体"/>
          <w:b/>
          <w:bCs/>
          <w:color w:val="auto"/>
          <w:kern w:val="2"/>
          <w:sz w:val="32"/>
          <w:szCs w:val="32"/>
          <w:highlight w:val="none"/>
          <w:lang w:val="en-US" w:eastAsia="zh-CN" w:bidi="ar-SA"/>
        </w:rPr>
        <w:t>4.</w:t>
      </w:r>
      <w:r>
        <w:rPr>
          <w:rFonts w:hint="default" w:ascii="方正楷体简体" w:hAnsi="方正楷体简体" w:eastAsia="方正楷体简体" w:cs="方正楷体简体"/>
          <w:b/>
          <w:bCs/>
          <w:color w:val="auto"/>
          <w:kern w:val="2"/>
          <w:sz w:val="32"/>
          <w:szCs w:val="32"/>
          <w:highlight w:val="none"/>
          <w:lang w:val="en-US" w:eastAsia="zh-CN" w:bidi="ar-SA"/>
        </w:rPr>
        <w:t>千方百计抓好项目投资。</w:t>
      </w:r>
      <w:r>
        <w:rPr>
          <w:rFonts w:hint="default" w:ascii="Times New Roman" w:hAnsi="Times New Roman" w:eastAsia="仿宋_GB2312" w:cs="Times New Roman"/>
          <w:b w:val="0"/>
          <w:bCs w:val="0"/>
          <w:color w:val="auto"/>
          <w:kern w:val="2"/>
          <w:sz w:val="32"/>
          <w:szCs w:val="32"/>
          <w:highlight w:val="none"/>
          <w:lang w:val="en-US" w:eastAsia="zh-CN" w:bidi="ar-SA"/>
        </w:rPr>
        <w:t>加快《广元市昭化区国家储备林项目集体林权流转实施方案》审定及印发，全面下达镇、村林权流转任务，开展村集体与农户林权预流转工作。2025年计划在元坝、卫子、王家、射箭、磨滩等镇启动大径级木材、珍稀林木、现有林改培、森林抚育等5000亩示范基地建设。围绕上级政策安排，积极争取项目资金和项目储备。</w:t>
      </w:r>
      <w:r>
        <w:rPr>
          <w:rFonts w:hint="default" w:ascii="Times New Roman" w:hAnsi="Times New Roman" w:eastAsia="仿宋_GB2312" w:cs="Times New Roman"/>
          <w:b w:val="0"/>
          <w:bCs w:val="0"/>
          <w:color w:val="auto"/>
          <w:sz w:val="32"/>
          <w:szCs w:val="32"/>
          <w:highlight w:val="none"/>
          <w:u w:val="none"/>
          <w:lang w:val="en-US" w:eastAsia="zh-CN"/>
        </w:rPr>
        <w:t>积极争取</w:t>
      </w:r>
      <w:r>
        <w:rPr>
          <w:rFonts w:hint="default" w:ascii="Times New Roman" w:hAnsi="Times New Roman" w:eastAsia="仿宋_GB2312" w:cs="Times New Roman"/>
          <w:b w:val="0"/>
          <w:bCs w:val="0"/>
          <w:color w:val="auto"/>
          <w:sz w:val="32"/>
          <w:szCs w:val="32"/>
          <w:highlight w:val="none"/>
          <w:u w:val="none"/>
          <w:lang w:eastAsia="zh-CN"/>
        </w:rPr>
        <w:t>四川省广元市昭化区采煤沉陷区林下经济产业园建设项、</w:t>
      </w:r>
      <w:r>
        <w:rPr>
          <w:rFonts w:hint="default" w:ascii="Times New Roman" w:hAnsi="Times New Roman" w:eastAsia="仿宋_GB2312" w:cs="Times New Roman"/>
          <w:b w:val="0"/>
          <w:bCs w:val="0"/>
          <w:color w:val="auto"/>
          <w:sz w:val="32"/>
          <w:szCs w:val="32"/>
          <w:highlight w:val="none"/>
          <w:u w:val="none"/>
          <w:lang w:val="en-US" w:eastAsia="zh-CN"/>
        </w:rPr>
        <w:t>广元市昭化区国家储备林项目在内的7个项目纳入储备，总投资22.7亿元。</w:t>
      </w:r>
      <w:r>
        <w:rPr>
          <w:rFonts w:hint="default" w:ascii="Times New Roman" w:hAnsi="Times New Roman" w:eastAsia="仿宋_GB2312" w:cs="Times New Roman"/>
          <w:b w:val="0"/>
          <w:bCs w:val="0"/>
          <w:color w:val="auto"/>
          <w:kern w:val="2"/>
          <w:sz w:val="32"/>
          <w:szCs w:val="32"/>
          <w:highlight w:val="none"/>
          <w:lang w:val="en-US" w:eastAsia="zh-CN" w:bidi="ar-SA"/>
        </w:rPr>
        <w:t>聚力固投和招商引资。重点对接在2024年招商引资中有主动意向投资的企业，积极做好投资方向的政策优惠宣传工作。加快国家储备林项目、四川信德农牧有限公司“东西部协作—昭·拱林下生态循环示范园”项目固投入库，预计2025年实现</w:t>
      </w:r>
      <w:r>
        <w:rPr>
          <w:rFonts w:hint="eastAsia" w:ascii="Times New Roman" w:hAnsi="Times New Roman" w:eastAsia="仿宋_GB2312" w:cs="Times New Roman"/>
          <w:b w:val="0"/>
          <w:bCs w:val="0"/>
          <w:color w:val="auto"/>
          <w:kern w:val="2"/>
          <w:sz w:val="32"/>
          <w:szCs w:val="32"/>
          <w:highlight w:val="none"/>
          <w:lang w:val="en-US" w:eastAsia="zh-CN" w:bidi="ar-SA"/>
        </w:rPr>
        <w:t>8</w:t>
      </w:r>
      <w:r>
        <w:rPr>
          <w:rFonts w:hint="default" w:ascii="Times New Roman" w:hAnsi="Times New Roman" w:eastAsia="仿宋_GB2312" w:cs="Times New Roman"/>
          <w:b w:val="0"/>
          <w:bCs w:val="0"/>
          <w:color w:val="auto"/>
          <w:kern w:val="2"/>
          <w:sz w:val="32"/>
          <w:szCs w:val="32"/>
          <w:highlight w:val="none"/>
          <w:lang w:val="en-US" w:eastAsia="zh-CN" w:bidi="ar-SA"/>
        </w:rPr>
        <w:t>000万元固投入统资金。</w:t>
      </w:r>
    </w:p>
    <w:p w14:paraId="3983324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pacing w:beforeAutospacing="0" w:after="0" w:afterAutospacing="0" w:line="576" w:lineRule="exact"/>
        <w:ind w:right="0" w:firstLine="643" w:firstLineChars="200"/>
        <w:textAlignment w:val="auto"/>
        <w:rPr>
          <w:rFonts w:hint="eastAsia"/>
          <w:highlight w:val="none"/>
        </w:rPr>
      </w:pPr>
      <w:r>
        <w:rPr>
          <w:rFonts w:hint="eastAsia" w:ascii="方正楷体简体" w:hAnsi="方正楷体简体" w:eastAsia="方正楷体简体" w:cs="方正楷体简体"/>
          <w:b/>
          <w:bCs/>
          <w:color w:val="auto"/>
          <w:kern w:val="2"/>
          <w:sz w:val="32"/>
          <w:szCs w:val="32"/>
          <w:highlight w:val="none"/>
          <w:lang w:val="en-US" w:eastAsia="zh-CN" w:bidi="ar-SA"/>
        </w:rPr>
        <w:t>5.</w:t>
      </w:r>
      <w:r>
        <w:rPr>
          <w:rFonts w:hint="default" w:ascii="方正楷体简体" w:hAnsi="方正楷体简体" w:eastAsia="方正楷体简体" w:cs="方正楷体简体"/>
          <w:b/>
          <w:bCs/>
          <w:color w:val="auto"/>
          <w:kern w:val="2"/>
          <w:sz w:val="32"/>
          <w:szCs w:val="32"/>
          <w:highlight w:val="none"/>
          <w:lang w:val="en-US" w:eastAsia="zh-CN" w:bidi="ar-SA"/>
        </w:rPr>
        <w:t>持续不懈抓好森林防火和防灾减灾工作。</w:t>
      </w:r>
      <w:r>
        <w:rPr>
          <w:rFonts w:hint="default" w:ascii="Times New Roman" w:hAnsi="Times New Roman" w:eastAsia="仿宋_GB2312" w:cs="Times New Roman"/>
          <w:b w:val="0"/>
          <w:bCs w:val="0"/>
          <w:color w:val="auto"/>
          <w:kern w:val="2"/>
          <w:sz w:val="32"/>
          <w:szCs w:val="32"/>
          <w:highlight w:val="none"/>
          <w:lang w:val="en-US" w:eastAsia="zh-CN" w:bidi="ar-SA"/>
        </w:rPr>
        <w:t>坚持“党政同责、一岗双责、齐抓共管、失职追责”和“三管三必须”要求，认真贯彻落实安全生产十五条措施，扎实抓好防汛减灾和地质灾害防控工作，严格落实管控治理措施。健全完善区、镇、村（社区）、护林员防火网格化体系，强化队伍建设，加大森林防火宣传力度和防火技能培训演练，加强对火源、火险隐患的管理和整治排查力度。</w:t>
      </w:r>
    </w:p>
    <w:p w14:paraId="09523923">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lang w:val="en-US" w:eastAsia="zh-CN"/>
        </w:rPr>
      </w:pPr>
      <w:bookmarkStart w:id="3" w:name="_Toc1971"/>
      <w:r>
        <w:rPr>
          <w:rFonts w:hint="eastAsia" w:ascii="黑体" w:hAnsi="黑体" w:eastAsia="黑体" w:cs="黑体"/>
          <w:sz w:val="32"/>
          <w:szCs w:val="32"/>
          <w:highlight w:val="none"/>
          <w:lang w:val="en-US" w:eastAsia="zh-CN"/>
        </w:rPr>
        <w:t>二、部门预算单位构成</w:t>
      </w:r>
      <w:bookmarkEnd w:id="3"/>
    </w:p>
    <w:p w14:paraId="4842062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区林业局为</w:t>
      </w:r>
      <w:r>
        <w:rPr>
          <w:rFonts w:hint="eastAsia" w:ascii="仿宋_GB2312" w:hAnsi="仿宋_GB2312" w:eastAsia="仿宋_GB2312" w:cs="仿宋_GB2312"/>
          <w:color w:val="auto"/>
          <w:sz w:val="32"/>
          <w:szCs w:val="32"/>
          <w:highlight w:val="none"/>
          <w:lang w:val="en-US" w:eastAsia="zh-CN"/>
        </w:rPr>
        <w:t>一级预算单位，下属二级单位7个，其中其他事业单位7个。主要包括：区林业要素市场服务中心、区林业产业发展服务中心、区森林保护站、区林业科技推广服务中心、四川柏林湖国家湿地公园保护中心、区生态修复站、四川翠云廊古柏省级自然保护区昭化保护站。</w:t>
      </w:r>
    </w:p>
    <w:p w14:paraId="283CE137">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rPr>
      </w:pPr>
      <w:bookmarkStart w:id="4" w:name="_Toc16771"/>
      <w:r>
        <w:rPr>
          <w:rFonts w:hint="eastAsia" w:ascii="黑体" w:hAnsi="黑体" w:eastAsia="黑体" w:cs="黑体"/>
          <w:sz w:val="32"/>
          <w:szCs w:val="32"/>
          <w:highlight w:val="none"/>
          <w:lang w:val="en-US" w:eastAsia="zh-CN"/>
        </w:rPr>
        <w:t>三、收支预算情况说明</w:t>
      </w:r>
      <w:bookmarkEnd w:id="4"/>
    </w:p>
    <w:p w14:paraId="00923638">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按照综合预算的原则，区林业局所有收入和支出均纳入部门预算管理。收入均为一般公共预算拨款收入；支出包括：社会保障和就业支出、卫生健康支出、农林水支出、住房保障支出。区林业局2025年收支预算总数785.07万元,比2024年收支预算总数减少19.62万元，主要原因是2025年无职业年金预算。</w:t>
      </w:r>
    </w:p>
    <w:p w14:paraId="420E8E8C">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5" w:name="_Toc11086"/>
      <w:r>
        <w:rPr>
          <w:rFonts w:hint="eastAsia" w:ascii="楷体_GB2312" w:hAnsi="楷体_GB2312" w:eastAsia="楷体_GB2312" w:cs="楷体_GB2312"/>
          <w:sz w:val="32"/>
          <w:szCs w:val="32"/>
          <w:highlight w:val="none"/>
          <w:lang w:val="en-US" w:eastAsia="zh-CN"/>
        </w:rPr>
        <w:t>（一）收入预算情况</w:t>
      </w:r>
      <w:bookmarkEnd w:id="5"/>
    </w:p>
    <w:p w14:paraId="409B8B02">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区林业局2025年收入预算785.07万元，一般公共预算拨款收入785.07万元，占100%。</w:t>
      </w:r>
    </w:p>
    <w:p w14:paraId="22FE142B">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6" w:name="_Toc10217"/>
      <w:r>
        <w:rPr>
          <w:rFonts w:hint="eastAsia" w:ascii="楷体_GB2312" w:hAnsi="楷体_GB2312" w:eastAsia="楷体_GB2312" w:cs="楷体_GB2312"/>
          <w:sz w:val="32"/>
          <w:szCs w:val="32"/>
          <w:highlight w:val="none"/>
          <w:lang w:val="en-US" w:eastAsia="zh-CN"/>
        </w:rPr>
        <w:t>（二）支出预算情况</w:t>
      </w:r>
      <w:bookmarkEnd w:id="6"/>
    </w:p>
    <w:p w14:paraId="4DA5B6EA">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区林业局2025年支出预算785.07万元，其中：基本支出613.07万元，占78.09%；项目支出172万元，占21.91%</w:t>
      </w:r>
      <w:r>
        <w:rPr>
          <w:rFonts w:hint="eastAsia" w:ascii="仿宋_GB2312" w:hAnsi="仿宋_GB2312" w:eastAsia="仿宋_GB2312" w:cs="仿宋_GB2312"/>
          <w:b w:val="0"/>
          <w:bCs w:val="0"/>
          <w:sz w:val="32"/>
          <w:szCs w:val="32"/>
          <w:highlight w:val="none"/>
          <w:lang w:val="en-US" w:eastAsia="zh-CN"/>
        </w:rPr>
        <w:t>。</w:t>
      </w:r>
    </w:p>
    <w:p w14:paraId="5F49769C">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rPr>
      </w:pPr>
      <w:bookmarkStart w:id="7" w:name="_Toc17686"/>
      <w:r>
        <w:rPr>
          <w:rFonts w:hint="eastAsia" w:ascii="黑体" w:hAnsi="黑体" w:eastAsia="黑体" w:cs="黑体"/>
          <w:sz w:val="32"/>
          <w:szCs w:val="32"/>
          <w:highlight w:val="none"/>
          <w:lang w:val="en-US" w:eastAsia="zh-CN"/>
        </w:rPr>
        <w:t>四、财政拨款收支预算情况说明</w:t>
      </w:r>
      <w:bookmarkEnd w:id="7"/>
    </w:p>
    <w:p w14:paraId="468549CE">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区林业局2025年财政拨款收支预算总数785.07万元,比2024年财政拨款收支预算总数减少19.62万元，主要原因是2025年无职业年金预算。</w:t>
      </w:r>
    </w:p>
    <w:p w14:paraId="4C8724D2">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收入包括：本年一般公共预算拨款收入785.07万元；支出包括：社会保障和就业支出96.45万元、卫生健康支出21.91万元、农林水支出621.13万元、住房保障支出45.58万元。</w:t>
      </w:r>
    </w:p>
    <w:p w14:paraId="4DFE980C">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lang w:val="en-US" w:eastAsia="zh-CN"/>
        </w:rPr>
      </w:pPr>
      <w:bookmarkStart w:id="8" w:name="_Toc12741"/>
      <w:r>
        <w:rPr>
          <w:rFonts w:hint="eastAsia" w:ascii="黑体" w:hAnsi="黑体" w:eastAsia="黑体" w:cs="黑体"/>
          <w:sz w:val="32"/>
          <w:szCs w:val="32"/>
          <w:highlight w:val="none"/>
          <w:lang w:val="en-US" w:eastAsia="zh-CN"/>
        </w:rPr>
        <w:t>五、一般公共预算当年拨款情况说明</w:t>
      </w:r>
      <w:bookmarkEnd w:id="8"/>
    </w:p>
    <w:p w14:paraId="748F4B0D">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9" w:name="_Toc26499"/>
      <w:r>
        <w:rPr>
          <w:rFonts w:hint="eastAsia" w:ascii="楷体_GB2312" w:hAnsi="楷体_GB2312" w:eastAsia="楷体_GB2312" w:cs="楷体_GB2312"/>
          <w:sz w:val="32"/>
          <w:szCs w:val="32"/>
          <w:highlight w:val="none"/>
          <w:lang w:val="en-US" w:eastAsia="zh-CN"/>
        </w:rPr>
        <w:t>（一）一般公共预算当年拨款规模变化情况</w:t>
      </w:r>
      <w:bookmarkEnd w:id="9"/>
    </w:p>
    <w:p w14:paraId="6D028044">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区林业局2025年一般公共预算当年拨款785.07万元，比2024年预算数减少19.62万元，主要原因是2025年无职业年金预算。</w:t>
      </w:r>
    </w:p>
    <w:p w14:paraId="71855D24">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10" w:name="_Toc14747"/>
      <w:r>
        <w:rPr>
          <w:rFonts w:hint="eastAsia" w:ascii="楷体_GB2312" w:hAnsi="楷体_GB2312" w:eastAsia="楷体_GB2312" w:cs="楷体_GB2312"/>
          <w:sz w:val="32"/>
          <w:szCs w:val="32"/>
          <w:highlight w:val="none"/>
          <w:lang w:val="en-US" w:eastAsia="zh-CN"/>
        </w:rPr>
        <w:t>（二）一般公共预算当年拨款结构情况</w:t>
      </w:r>
      <w:bookmarkEnd w:id="10"/>
    </w:p>
    <w:p w14:paraId="5AF884A6">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社会保障和就业支出96.45万元，占12.29%；卫生健康支出21.91万元，占2.79%；农林水支出621.13万元，占79.12%；住房保障支出45.58万元，占5.8%。</w:t>
      </w:r>
    </w:p>
    <w:p w14:paraId="2DBBD7FA">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11" w:name="_Toc30027"/>
      <w:r>
        <w:rPr>
          <w:rFonts w:hint="eastAsia" w:ascii="楷体_GB2312" w:hAnsi="楷体_GB2312" w:eastAsia="楷体_GB2312" w:cs="楷体_GB2312"/>
          <w:sz w:val="32"/>
          <w:szCs w:val="32"/>
          <w:highlight w:val="none"/>
          <w:lang w:val="en-US" w:eastAsia="zh-CN"/>
        </w:rPr>
        <w:t>（三）一般公共预算当年拨款具体使用情况</w:t>
      </w:r>
      <w:bookmarkEnd w:id="11"/>
    </w:p>
    <w:p w14:paraId="3D84DCE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1.社会保障和就业（类）行政事业单位养老支出（款）行政单位离退休（项）2025年预算数为34万元，主要用于：机关及参公管理事业单位离退休人员经费支出。</w:t>
      </w:r>
    </w:p>
    <w:p w14:paraId="4805106F">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2.社会保障和就业（类）行政事业单位养老支出（款）机关事业单位基本养老保险缴费支出（项）2025年预算数为60.77万元，主要用于：实施养老保险制度由单位缴纳的基本养老保险支出。</w:t>
      </w:r>
    </w:p>
    <w:p w14:paraId="71430711">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3.社会保障和就业（类）</w:t>
      </w:r>
      <w:r>
        <w:rPr>
          <w:rFonts w:hint="eastAsia" w:ascii="仿宋_GB2312" w:hAnsi="仿宋_GB2312" w:eastAsia="仿宋_GB2312" w:cs="仿宋_GB2312"/>
          <w:color w:val="auto"/>
          <w:sz w:val="32"/>
          <w:szCs w:val="32"/>
          <w:highlight w:val="none"/>
          <w:lang w:val="en-US" w:eastAsia="zh-CN"/>
        </w:rPr>
        <w:t>其他社会保障和就业支出</w:t>
      </w:r>
      <w:r>
        <w:rPr>
          <w:rFonts w:hint="eastAsia" w:ascii="仿宋_GB2312" w:hAnsi="仿宋_GB2312" w:eastAsia="仿宋_GB2312" w:cs="仿宋_GB2312"/>
          <w:sz w:val="32"/>
          <w:szCs w:val="32"/>
          <w:highlight w:val="none"/>
          <w:lang w:val="en-US" w:eastAsia="zh-CN"/>
        </w:rPr>
        <w:t>（款）</w:t>
      </w:r>
      <w:r>
        <w:rPr>
          <w:rFonts w:hint="eastAsia" w:ascii="仿宋_GB2312" w:hAnsi="仿宋_GB2312" w:eastAsia="仿宋_GB2312" w:cs="仿宋_GB2312"/>
          <w:color w:val="auto"/>
          <w:sz w:val="32"/>
          <w:szCs w:val="32"/>
          <w:highlight w:val="none"/>
          <w:lang w:val="en-US" w:eastAsia="zh-CN"/>
        </w:rPr>
        <w:t>其他社会保障和就业支出</w:t>
      </w:r>
      <w:r>
        <w:rPr>
          <w:rFonts w:hint="eastAsia" w:ascii="仿宋_GB2312" w:hAnsi="仿宋_GB2312" w:eastAsia="仿宋_GB2312" w:cs="仿宋_GB2312"/>
          <w:sz w:val="32"/>
          <w:szCs w:val="32"/>
          <w:highlight w:val="none"/>
          <w:lang w:val="en-US" w:eastAsia="zh-CN"/>
        </w:rPr>
        <w:t>（项）2025年预算数为1.68万元，主要用于：</w:t>
      </w:r>
      <w:r>
        <w:rPr>
          <w:rFonts w:hint="eastAsia" w:ascii="仿宋_GB2312" w:hAnsi="仿宋_GB2312" w:eastAsia="仿宋_GB2312" w:cs="仿宋_GB2312"/>
          <w:color w:val="auto"/>
          <w:sz w:val="32"/>
          <w:szCs w:val="32"/>
          <w:highlight w:val="none"/>
          <w:lang w:val="en-US" w:eastAsia="zh-CN"/>
        </w:rPr>
        <w:t>反映除上述项目以其他用于社会保障和就业方面的支出</w:t>
      </w:r>
      <w:r>
        <w:rPr>
          <w:rFonts w:hint="eastAsia" w:ascii="仿宋_GB2312" w:hAnsi="仿宋_GB2312" w:eastAsia="仿宋_GB2312" w:cs="仿宋_GB2312"/>
          <w:sz w:val="32"/>
          <w:szCs w:val="32"/>
          <w:highlight w:val="none"/>
          <w:lang w:val="en-US" w:eastAsia="zh-CN"/>
        </w:rPr>
        <w:t>。</w:t>
      </w:r>
    </w:p>
    <w:p w14:paraId="0BEE20DC">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卫生健康（类）行政事业单位医疗（款）行政单位医疗（项）</w:t>
      </w:r>
      <w:r>
        <w:rPr>
          <w:rFonts w:hint="eastAsia" w:ascii="仿宋_GB2312" w:hAnsi="仿宋_GB2312" w:eastAsia="仿宋_GB2312" w:cs="仿宋_GB2312"/>
          <w:sz w:val="32"/>
          <w:szCs w:val="32"/>
          <w:highlight w:val="none"/>
          <w:lang w:val="en-US" w:eastAsia="zh-CN"/>
        </w:rPr>
        <w:t>2025年预算数为21.91万元，主要用于：机关及参公管理事业单位按规定由单位缴纳的基本医疗保险支出。</w:t>
      </w:r>
    </w:p>
    <w:p w14:paraId="679BB053">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农林水（类）林业和草原（款）行政运行（项）</w:t>
      </w:r>
      <w:r>
        <w:rPr>
          <w:rFonts w:hint="eastAsia" w:ascii="仿宋_GB2312" w:hAnsi="仿宋_GB2312" w:eastAsia="仿宋_GB2312" w:cs="仿宋_GB2312"/>
          <w:color w:val="auto"/>
          <w:sz w:val="32"/>
          <w:szCs w:val="32"/>
          <w:highlight w:val="none"/>
          <w:lang w:val="en-US" w:eastAsia="zh-CN"/>
        </w:rPr>
        <w:t>2025年预算数为591.13万元，主要用于：</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行政单位（包括实行公务员管理的事业单位）的基本支出</w:t>
      </w:r>
      <w:r>
        <w:rPr>
          <w:rFonts w:hint="eastAsia" w:ascii="仿宋_GB2312" w:hAnsi="仿宋_GB2312" w:eastAsia="仿宋_GB2312" w:cs="仿宋_GB2312"/>
          <w:sz w:val="32"/>
          <w:szCs w:val="32"/>
          <w:highlight w:val="none"/>
          <w:lang w:val="en-US" w:eastAsia="zh-CN"/>
        </w:rPr>
        <w:t>。</w:t>
      </w:r>
    </w:p>
    <w:p w14:paraId="36902D73">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农林水（类）林业和草原（款）动植物保护（项）</w:t>
      </w:r>
      <w:r>
        <w:rPr>
          <w:rFonts w:hint="default" w:ascii="仿宋_GB2312" w:hAnsi="仿宋_GB2312" w:eastAsia="仿宋_GB2312" w:cs="仿宋_GB2312"/>
          <w:color w:val="auto"/>
          <w:sz w:val="32"/>
          <w:szCs w:val="32"/>
          <w:highlight w:val="none"/>
          <w:lang w:val="en-US" w:eastAsia="zh-CN"/>
        </w:rPr>
        <w:t>202</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年预算数为</w:t>
      </w:r>
      <w:r>
        <w:rPr>
          <w:rFonts w:hint="eastAsia" w:ascii="仿宋_GB2312" w:hAnsi="仿宋_GB2312" w:eastAsia="仿宋_GB2312" w:cs="仿宋_GB2312"/>
          <w:color w:val="auto"/>
          <w:sz w:val="32"/>
          <w:szCs w:val="32"/>
          <w:highlight w:val="none"/>
          <w:lang w:val="en-US" w:eastAsia="zh-CN"/>
        </w:rPr>
        <w:t>30</w:t>
      </w:r>
      <w:r>
        <w:rPr>
          <w:rFonts w:hint="default" w:ascii="仿宋_GB2312" w:hAnsi="仿宋_GB2312" w:eastAsia="仿宋_GB2312" w:cs="仿宋_GB2312"/>
          <w:color w:val="auto"/>
          <w:sz w:val="32"/>
          <w:szCs w:val="32"/>
          <w:highlight w:val="none"/>
          <w:lang w:val="en-US" w:eastAsia="zh-CN"/>
        </w:rPr>
        <w:t>万元，主要用于：</w:t>
      </w:r>
      <w:r>
        <w:rPr>
          <w:rFonts w:hint="eastAsia" w:ascii="仿宋_GB2312" w:hAnsi="仿宋_GB2312" w:eastAsia="仿宋_GB2312" w:cs="仿宋_GB2312"/>
          <w:color w:val="auto"/>
          <w:sz w:val="32"/>
          <w:szCs w:val="32"/>
          <w:highlight w:val="none"/>
          <w:lang w:val="en-US" w:eastAsia="zh-CN"/>
        </w:rPr>
        <w:t>动植物资源生存环境调查、监测、保护管理、野外放（回）归、巡护、野生动物疫源疫病监测防控、濒危野生动植物拯救、繁育及进出口管理等方面的支出</w:t>
      </w:r>
      <w:r>
        <w:rPr>
          <w:rFonts w:hint="eastAsia" w:ascii="仿宋_GB2312" w:hAnsi="仿宋_GB2312" w:eastAsia="仿宋_GB2312" w:cs="仿宋_GB2312"/>
          <w:sz w:val="32"/>
          <w:szCs w:val="32"/>
          <w:highlight w:val="none"/>
          <w:lang w:val="en-US" w:eastAsia="zh-CN"/>
        </w:rPr>
        <w:t>。</w:t>
      </w:r>
    </w:p>
    <w:p w14:paraId="3C3AAD9D">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7.住房保障（类）住房改革支出（款）住房公积金（项）2025年预算数为45.58万元，主要用于：部门按规定为职工缴纳的住房公积金支出。</w:t>
      </w:r>
    </w:p>
    <w:p w14:paraId="4CE8EA4C">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rPr>
      </w:pPr>
      <w:bookmarkStart w:id="12" w:name="_Toc18561"/>
      <w:r>
        <w:rPr>
          <w:rFonts w:hint="eastAsia" w:ascii="黑体" w:hAnsi="黑体" w:eastAsia="黑体" w:cs="黑体"/>
          <w:sz w:val="32"/>
          <w:szCs w:val="32"/>
          <w:highlight w:val="none"/>
          <w:lang w:val="en-US" w:eastAsia="zh-CN"/>
        </w:rPr>
        <w:t>六、一般公共预算基本支出情况说明</w:t>
      </w:r>
      <w:bookmarkEnd w:id="12"/>
    </w:p>
    <w:p w14:paraId="20C90EE5">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区林业局2025年一般公共预算基本支出613.07万元，其中：</w:t>
      </w:r>
    </w:p>
    <w:p w14:paraId="1EACBEEC">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人员经费550.16万元，主要包括：基本工资、津贴补贴、奖金、绩效工资、机关事业单位基本养老保险缴费、职工基本医疗保险缴费、其他社会保障缴费、住房公积金、生活补助支出。</w:t>
      </w:r>
    </w:p>
    <w:p w14:paraId="06D39C2B">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公用经费62.91万元，主要包括：办公费、水费、电费、邮电费、差旅费、维修（护）费、公务接待费、工会经费、公务用车运行维护费、其他交通费用、其他商品和服务支出等支出。</w:t>
      </w:r>
    </w:p>
    <w:p w14:paraId="7B330C54">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rPr>
      </w:pPr>
      <w:bookmarkStart w:id="13" w:name="_Toc10113"/>
      <w:r>
        <w:rPr>
          <w:rFonts w:hint="eastAsia" w:ascii="黑体" w:hAnsi="黑体" w:eastAsia="黑体" w:cs="黑体"/>
          <w:sz w:val="32"/>
          <w:szCs w:val="32"/>
          <w:highlight w:val="none"/>
          <w:lang w:val="en-US" w:eastAsia="zh-CN"/>
        </w:rPr>
        <w:t>七、“三公”经费财政拨款预算安排情况说明</w:t>
      </w:r>
      <w:bookmarkEnd w:id="13"/>
    </w:p>
    <w:p w14:paraId="5B239279">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区林业局2025年“三公”经费财政拨款预算数6万元，其中：公务接待费5万元，公务用车购置及运行维护费1万元，因公出国（境）经费0万元。</w:t>
      </w:r>
    </w:p>
    <w:p w14:paraId="1F5EDDDE">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14" w:name="_Toc32327"/>
      <w:r>
        <w:rPr>
          <w:rFonts w:hint="eastAsia" w:ascii="楷体_GB2312" w:hAnsi="楷体_GB2312" w:eastAsia="楷体_GB2312" w:cs="楷体_GB2312"/>
          <w:sz w:val="32"/>
          <w:szCs w:val="32"/>
          <w:highlight w:val="none"/>
          <w:lang w:val="en-US" w:eastAsia="zh-CN"/>
        </w:rPr>
        <w:t>（一）公务接待费</w:t>
      </w:r>
      <w:bookmarkEnd w:id="14"/>
    </w:p>
    <w:p w14:paraId="2DC212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公务接待费与2024年预算相比下降16.67%，主要原因是根据坚持厉行节约的原则，减少公务接待开支。</w:t>
      </w:r>
    </w:p>
    <w:p w14:paraId="18CF87F5">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lang w:val="en-US" w:eastAsia="zh-CN"/>
        </w:rPr>
        <w:t>2025年公务接待费计划用于执行接待考察调研、检查指导等公务活动开支的交通费、住宿费、用餐费等。</w:t>
      </w:r>
    </w:p>
    <w:p w14:paraId="10D955CF">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15" w:name="_Toc26007"/>
      <w:r>
        <w:rPr>
          <w:rFonts w:hint="eastAsia" w:ascii="楷体_GB2312" w:hAnsi="楷体_GB2312" w:eastAsia="楷体_GB2312" w:cs="楷体_GB2312"/>
          <w:sz w:val="32"/>
          <w:szCs w:val="32"/>
          <w:highlight w:val="none"/>
          <w:lang w:val="en-US" w:eastAsia="zh-CN"/>
        </w:rPr>
        <w:t>公务用车购置及运行维护费</w:t>
      </w:r>
      <w:bookmarkEnd w:id="15"/>
    </w:p>
    <w:p w14:paraId="5F02FC5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lang w:val="en-US" w:eastAsia="zh-CN"/>
        </w:rPr>
        <w:t>公务用车购置及运行维护费与2024年预算相比增长，主要原因是我单位承担森林森林防火职责，用于日常森林防火工作检查。</w:t>
      </w:r>
    </w:p>
    <w:p w14:paraId="057B700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单位现有公务用车7辆，其中：</w:t>
      </w:r>
      <w:r>
        <w:rPr>
          <w:rFonts w:hint="default" w:ascii="仿宋_GB2312" w:hAnsi="仿宋_GB2312" w:eastAsia="仿宋_GB2312" w:cs="仿宋_GB2312"/>
          <w:color w:val="auto"/>
          <w:sz w:val="32"/>
          <w:szCs w:val="32"/>
          <w:highlight w:val="none"/>
          <w:lang w:val="en-US" w:eastAsia="zh-CN"/>
        </w:rPr>
        <w:t>执法执勤用车1辆、特种专业技术用车</w:t>
      </w:r>
      <w:r>
        <w:rPr>
          <w:rFonts w:hint="eastAsia" w:ascii="仿宋_GB2312" w:hAnsi="仿宋_GB2312" w:eastAsia="仿宋_GB2312" w:cs="仿宋_GB2312"/>
          <w:color w:val="auto"/>
          <w:sz w:val="32"/>
          <w:szCs w:val="32"/>
          <w:highlight w:val="none"/>
          <w:lang w:val="en-US" w:eastAsia="zh-CN"/>
        </w:rPr>
        <w:t>6</w:t>
      </w:r>
      <w:r>
        <w:rPr>
          <w:rFonts w:hint="default" w:ascii="仿宋_GB2312" w:hAnsi="仿宋_GB2312" w:eastAsia="仿宋_GB2312" w:cs="仿宋_GB2312"/>
          <w:color w:val="auto"/>
          <w:sz w:val="32"/>
          <w:szCs w:val="32"/>
          <w:highlight w:val="none"/>
          <w:lang w:val="en-US" w:eastAsia="zh-CN"/>
        </w:rPr>
        <w:t>辆。</w:t>
      </w:r>
    </w:p>
    <w:p w14:paraId="1BFF5687">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2025年未安排公务用车购置费。</w:t>
      </w:r>
    </w:p>
    <w:p w14:paraId="00E52D8F">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2025年安排公务用车运行维护费1万元，用于3辆公务用车燃油、过路（桥）、维修、保险等方面支出，主要用于森林防灭火相关工作、林下经济产业相关工作检查。</w:t>
      </w:r>
    </w:p>
    <w:p w14:paraId="34BE83D5">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1"/>
        <w:rPr>
          <w:rFonts w:hint="default" w:ascii="仿宋_GB2312" w:hAnsi="仿宋_GB2312" w:eastAsia="仿宋_GB2312" w:cs="仿宋_GB2312"/>
          <w:sz w:val="32"/>
          <w:szCs w:val="32"/>
          <w:highlight w:val="none"/>
          <w:lang w:val="en-US" w:eastAsia="zh-CN"/>
        </w:rPr>
      </w:pPr>
      <w:bookmarkStart w:id="16" w:name="_Toc22514"/>
      <w:r>
        <w:rPr>
          <w:rFonts w:hint="eastAsia" w:ascii="仿宋_GB2312" w:hAnsi="仿宋_GB2312" w:eastAsia="仿宋_GB2312" w:cs="仿宋_GB2312"/>
          <w:sz w:val="32"/>
          <w:szCs w:val="32"/>
          <w:highlight w:val="none"/>
          <w:lang w:val="en-US" w:eastAsia="zh-CN"/>
        </w:rPr>
        <w:t>（</w:t>
      </w:r>
      <w:r>
        <w:rPr>
          <w:rFonts w:hint="eastAsia" w:ascii="楷体_GB2312" w:hAnsi="楷体_GB2312" w:eastAsia="楷体_GB2312" w:cs="楷体_GB2312"/>
          <w:sz w:val="32"/>
          <w:szCs w:val="32"/>
          <w:highlight w:val="none"/>
          <w:lang w:val="en-US" w:eastAsia="zh-CN"/>
        </w:rPr>
        <w:t>三）因公出国（境）经费</w:t>
      </w:r>
      <w:bookmarkEnd w:id="16"/>
    </w:p>
    <w:p w14:paraId="6983E519">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因公出国（境）经费与2024年预算相比持平。</w:t>
      </w:r>
    </w:p>
    <w:p w14:paraId="0D80EEAC">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lang w:val="en-US" w:eastAsia="zh-CN"/>
        </w:rPr>
      </w:pPr>
      <w:bookmarkStart w:id="17" w:name="_Toc1642"/>
      <w:r>
        <w:rPr>
          <w:rFonts w:hint="eastAsia" w:ascii="黑体" w:hAnsi="黑体" w:eastAsia="黑体" w:cs="黑体"/>
          <w:sz w:val="32"/>
          <w:szCs w:val="32"/>
          <w:highlight w:val="none"/>
          <w:lang w:val="en-US" w:eastAsia="zh-CN"/>
        </w:rPr>
        <w:t>八、政府性基金预算支出情况说明</w:t>
      </w:r>
      <w:bookmarkEnd w:id="17"/>
    </w:p>
    <w:p w14:paraId="5D033361">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区林业局2025年无政府性基金预算拨款安排的支出。</w:t>
      </w:r>
    </w:p>
    <w:p w14:paraId="4B9DDB78">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lang w:val="en-US" w:eastAsia="zh-CN"/>
        </w:rPr>
      </w:pPr>
      <w:bookmarkStart w:id="18" w:name="_Toc12054"/>
      <w:r>
        <w:rPr>
          <w:rFonts w:hint="eastAsia" w:ascii="黑体" w:hAnsi="黑体" w:eastAsia="黑体" w:cs="黑体"/>
          <w:sz w:val="32"/>
          <w:szCs w:val="32"/>
          <w:highlight w:val="none"/>
          <w:lang w:val="en-US" w:eastAsia="zh-CN"/>
        </w:rPr>
        <w:t>九、国有资本经营预算支出情况说明</w:t>
      </w:r>
      <w:bookmarkEnd w:id="18"/>
    </w:p>
    <w:p w14:paraId="00F0D0AA">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区林业局2025年无国有资本经营预算拨款安排的支出。</w:t>
      </w:r>
    </w:p>
    <w:p w14:paraId="3BC1C3C9">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rPr>
      </w:pPr>
      <w:bookmarkStart w:id="19" w:name="_Toc2760"/>
      <w:r>
        <w:rPr>
          <w:rFonts w:hint="eastAsia" w:ascii="黑体" w:hAnsi="黑体" w:eastAsia="黑体" w:cs="黑体"/>
          <w:sz w:val="32"/>
          <w:szCs w:val="32"/>
          <w:highlight w:val="none"/>
          <w:lang w:val="en-US" w:eastAsia="zh-CN"/>
        </w:rPr>
        <w:t>十、其他重要事项的情况说明</w:t>
      </w:r>
      <w:bookmarkEnd w:id="19"/>
    </w:p>
    <w:p w14:paraId="2CF6DB0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20" w:name="_Toc24770"/>
      <w:r>
        <w:rPr>
          <w:rFonts w:hint="eastAsia" w:ascii="楷体_GB2312" w:hAnsi="楷体_GB2312" w:eastAsia="楷体_GB2312" w:cs="楷体_GB2312"/>
          <w:sz w:val="32"/>
          <w:szCs w:val="32"/>
          <w:highlight w:val="none"/>
          <w:lang w:val="en-US" w:eastAsia="zh-CN"/>
        </w:rPr>
        <w:t>（一）机关运行经费</w:t>
      </w:r>
      <w:bookmarkEnd w:id="20"/>
    </w:p>
    <w:p w14:paraId="6F931BE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2025年，区林业局的机关运行经费财政拨款预算为62.91万元，比2024年预算减少1.11万元，下降1.73%。主要原因为单位人员变动，公用经费减少。</w:t>
      </w:r>
    </w:p>
    <w:p w14:paraId="796AD0CD">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21" w:name="_Toc9487"/>
      <w:r>
        <w:rPr>
          <w:rFonts w:hint="eastAsia" w:ascii="楷体_GB2312" w:hAnsi="楷体_GB2312" w:eastAsia="楷体_GB2312" w:cs="楷体_GB2312"/>
          <w:sz w:val="32"/>
          <w:szCs w:val="32"/>
          <w:highlight w:val="none"/>
          <w:lang w:val="en-US" w:eastAsia="zh-CN"/>
        </w:rPr>
        <w:t>（二）政府采购情况</w:t>
      </w:r>
      <w:bookmarkEnd w:id="21"/>
    </w:p>
    <w:p w14:paraId="2532FFEF">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2025年，区林业局安排政府采购预算0万元。</w:t>
      </w:r>
    </w:p>
    <w:p w14:paraId="6B7845EF">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22" w:name="_Toc16679"/>
      <w:r>
        <w:rPr>
          <w:rFonts w:hint="eastAsia" w:ascii="楷体_GB2312" w:hAnsi="楷体_GB2312" w:eastAsia="楷体_GB2312" w:cs="楷体_GB2312"/>
          <w:sz w:val="32"/>
          <w:szCs w:val="32"/>
          <w:highlight w:val="none"/>
          <w:lang w:val="en-US" w:eastAsia="zh-CN"/>
        </w:rPr>
        <w:t>（三）国有资产占有使用情况</w:t>
      </w:r>
      <w:bookmarkEnd w:id="22"/>
    </w:p>
    <w:p w14:paraId="4D257DA8">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截至2024年底，区林业局共有车辆7辆，其中，</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执法执勤用车</w:t>
      </w:r>
      <w:r>
        <w:rPr>
          <w:rFonts w:hint="default" w:ascii="Times New Roman" w:hAnsi="Times New Roman" w:eastAsia="仿宋_GB2312" w:cs="Times New Roman"/>
          <w:strike w:val="0"/>
          <w:color w:val="auto"/>
          <w:sz w:val="32"/>
          <w:szCs w:val="32"/>
          <w:highlight w:val="none"/>
          <w:u w:val="none"/>
          <w:lang w:val="en-US" w:eastAsia="zh-CN"/>
        </w:rPr>
        <w:t>1辆、特种专业技术用车</w:t>
      </w:r>
      <w:r>
        <w:rPr>
          <w:rFonts w:hint="eastAsia" w:ascii="Times New Roman" w:hAnsi="Times New Roman" w:eastAsia="仿宋_GB2312" w:cs="Times New Roman"/>
          <w:strike w:val="0"/>
          <w:color w:val="auto"/>
          <w:sz w:val="32"/>
          <w:szCs w:val="32"/>
          <w:highlight w:val="none"/>
          <w:u w:val="none"/>
          <w:lang w:val="en-US" w:eastAsia="zh-CN"/>
        </w:rPr>
        <w:t>6</w:t>
      </w:r>
      <w:r>
        <w:rPr>
          <w:rFonts w:hint="default" w:ascii="Times New Roman" w:hAnsi="Times New Roman" w:eastAsia="仿宋_GB2312" w:cs="Times New Roman"/>
          <w:strike w:val="0"/>
          <w:color w:val="auto"/>
          <w:sz w:val="32"/>
          <w:szCs w:val="32"/>
          <w:highlight w:val="none"/>
          <w:u w:val="none"/>
          <w:lang w:val="en-US" w:eastAsia="zh-CN"/>
        </w:rPr>
        <w:t>辆</w:t>
      </w:r>
      <w:r>
        <w:rPr>
          <w:rFonts w:hint="eastAsia" w:ascii="Times New Roman" w:hAnsi="Times New Roman" w:eastAsia="仿宋_GB2312" w:cs="Times New Roman"/>
          <w:strike w:val="0"/>
          <w:color w:val="auto"/>
          <w:sz w:val="32"/>
          <w:szCs w:val="32"/>
          <w:highlight w:val="none"/>
          <w:u w:val="none"/>
          <w:lang w:val="en-US" w:eastAsia="zh-CN"/>
        </w:rPr>
        <w:t>，</w:t>
      </w:r>
      <w:r>
        <w:rPr>
          <w:rFonts w:hint="eastAsia" w:ascii="仿宋_GB2312" w:hAnsi="仿宋_GB2312" w:eastAsia="仿宋_GB2312" w:cs="仿宋_GB2312"/>
          <w:sz w:val="32"/>
          <w:szCs w:val="32"/>
          <w:highlight w:val="none"/>
          <w:lang w:val="en-US" w:eastAsia="zh-CN"/>
        </w:rPr>
        <w:t>单位无价值200万元以上的大型设备。</w:t>
      </w:r>
    </w:p>
    <w:p w14:paraId="6D6468EF">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2024年部门预算未安排购置车辆及单位价值200万元以上大型设备。</w:t>
      </w:r>
    </w:p>
    <w:p w14:paraId="4156E411">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1"/>
        <w:rPr>
          <w:rFonts w:hint="eastAsia" w:ascii="楷体_GB2312" w:hAnsi="楷体_GB2312" w:eastAsia="楷体_GB2312" w:cs="楷体_GB2312"/>
          <w:sz w:val="32"/>
          <w:szCs w:val="32"/>
          <w:highlight w:val="none"/>
        </w:rPr>
      </w:pPr>
      <w:bookmarkStart w:id="23" w:name="_Toc16084"/>
      <w:r>
        <w:rPr>
          <w:rFonts w:hint="eastAsia" w:ascii="楷体_GB2312" w:hAnsi="楷体_GB2312" w:eastAsia="楷体_GB2312" w:cs="楷体_GB2312"/>
          <w:sz w:val="32"/>
          <w:szCs w:val="32"/>
          <w:highlight w:val="none"/>
          <w:lang w:val="en-US" w:eastAsia="zh-CN"/>
        </w:rPr>
        <w:t>（四）绩效目标设置情况</w:t>
      </w:r>
      <w:bookmarkEnd w:id="23"/>
    </w:p>
    <w:p w14:paraId="4D07AB49">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2025年区林业局开展绩效目标管理的项目11个，涉及预算234.91万元。其中：运转类项目9个，涉及预算202.91万元；特定目标类项目2个，涉及预算32万元。</w:t>
      </w:r>
    </w:p>
    <w:p w14:paraId="380A1294">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outlineLvl w:val="0"/>
        <w:rPr>
          <w:rFonts w:hint="eastAsia" w:ascii="黑体" w:hAnsi="黑体" w:eastAsia="黑体" w:cs="黑体"/>
          <w:sz w:val="32"/>
          <w:szCs w:val="32"/>
          <w:highlight w:val="none"/>
        </w:rPr>
      </w:pPr>
      <w:bookmarkStart w:id="24" w:name="_Toc26912"/>
      <w:r>
        <w:rPr>
          <w:rFonts w:hint="eastAsia" w:ascii="黑体" w:hAnsi="黑体" w:eastAsia="黑体" w:cs="黑体"/>
          <w:sz w:val="32"/>
          <w:szCs w:val="32"/>
          <w:highlight w:val="none"/>
          <w:lang w:val="en-US" w:eastAsia="zh-CN"/>
        </w:rPr>
        <w:t>十一、名词解释</w:t>
      </w:r>
      <w:bookmarkEnd w:id="24"/>
    </w:p>
    <w:p w14:paraId="79430501">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（一）财政拨款收入</w:t>
      </w:r>
      <w:r>
        <w:rPr>
          <w:rFonts w:hint="default" w:ascii="楷体_GB2312" w:hAnsi="楷体_GB2312" w:eastAsia="楷体_GB2312" w:cs="楷体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指区财政当年安排的财政预算收入。按现行管理制度</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部门预算中反映的财政拨款包括一般公共预算拨款和政府性基金预算拨款。</w:t>
      </w:r>
    </w:p>
    <w:p w14:paraId="15320F2F">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val="en-US" w:eastAsia="zh-CN"/>
        </w:rPr>
        <w:t>（二）社会保障和就业（类）行政事业单位养老支出（款）行政单位离退休（项）：</w:t>
      </w:r>
      <w:r>
        <w:rPr>
          <w:rFonts w:hint="eastAsia" w:ascii="仿宋_GB2312" w:hAnsi="仿宋_GB2312" w:eastAsia="仿宋_GB2312" w:cs="仿宋_GB2312"/>
          <w:sz w:val="32"/>
          <w:szCs w:val="32"/>
          <w:highlight w:val="none"/>
          <w:lang w:val="en-US" w:eastAsia="zh-CN"/>
        </w:rPr>
        <w:t>机关及参公管理事业单位离退休人员经费支出。</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w:t>
      </w:r>
      <w:r>
        <w:rPr>
          <w:rFonts w:hint="eastAsia" w:ascii="楷体_GB2312" w:hAnsi="楷体_GB2312" w:eastAsia="楷体_GB2312" w:cs="楷体_GB2312"/>
          <w:sz w:val="32"/>
          <w:szCs w:val="32"/>
          <w:highlight w:val="none"/>
          <w:lang w:val="en-US" w:eastAsia="zh-CN"/>
        </w:rPr>
        <w:t>（三）社会保障和就业（类）行政事业单位养老支出（款）机关事业单位基本养老保险缴费支出（项）：</w:t>
      </w:r>
      <w:r>
        <w:rPr>
          <w:rFonts w:hint="eastAsia" w:ascii="仿宋_GB2312" w:hAnsi="仿宋_GB2312" w:eastAsia="仿宋_GB2312" w:cs="仿宋_GB2312"/>
          <w:sz w:val="32"/>
          <w:szCs w:val="32"/>
          <w:highlight w:val="none"/>
          <w:lang w:val="en-US" w:eastAsia="zh-CN"/>
        </w:rPr>
        <w:t>实施养老保险制度由单位缴纳的基本养老保险支出。</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w:t>
      </w:r>
      <w:r>
        <w:rPr>
          <w:rFonts w:hint="eastAsia" w:ascii="楷体_GB2312" w:hAnsi="楷体_GB2312" w:eastAsia="楷体_GB2312" w:cs="楷体_GB2312"/>
          <w:sz w:val="32"/>
          <w:szCs w:val="32"/>
          <w:highlight w:val="none"/>
          <w:lang w:val="en-US" w:eastAsia="zh-CN"/>
        </w:rPr>
        <w:t>（七）社会保障和就业（类）其他社会保障和就业支出（款）其他社会保障和就业支出（项）：</w:t>
      </w:r>
      <w:r>
        <w:rPr>
          <w:rFonts w:hint="eastAsia" w:ascii="仿宋_GB2312" w:hAnsi="仿宋_GB2312" w:eastAsia="仿宋_GB2312" w:cs="仿宋_GB2312"/>
          <w:sz w:val="32"/>
          <w:szCs w:val="32"/>
          <w:highlight w:val="none"/>
          <w:lang w:val="en-US" w:eastAsia="zh-CN"/>
        </w:rPr>
        <w:t>反映除上述项目以外其他用于社会保障和就业方面的支出。</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w:t>
      </w:r>
      <w:r>
        <w:rPr>
          <w:rFonts w:hint="eastAsia" w:ascii="楷体_GB2312" w:hAnsi="楷体_GB2312" w:eastAsia="楷体_GB2312" w:cs="楷体_GB2312"/>
          <w:sz w:val="32"/>
          <w:szCs w:val="32"/>
          <w:highlight w:val="none"/>
          <w:lang w:val="en-US" w:eastAsia="zh-CN"/>
        </w:rPr>
        <w:t>（四）卫生健康（类）行政事业单位医疗（款）行政单位医疗（项）：</w:t>
      </w:r>
      <w:r>
        <w:rPr>
          <w:rFonts w:hint="eastAsia" w:ascii="仿宋_GB2312" w:hAnsi="仿宋_GB2312" w:eastAsia="仿宋_GB2312" w:cs="仿宋_GB2312"/>
          <w:sz w:val="32"/>
          <w:szCs w:val="32"/>
          <w:highlight w:val="none"/>
          <w:lang w:val="en-US" w:eastAsia="zh-CN"/>
        </w:rPr>
        <w:t>机关及参公管理事业单位按规定由单位缴纳的基本医疗保险支出。</w:t>
      </w:r>
    </w:p>
    <w:p w14:paraId="1705387B">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（五）农林水（类）林业和草原（款）行政运行（项）：</w:t>
      </w:r>
      <w:r>
        <w:rPr>
          <w:rFonts w:hint="eastAsia" w:ascii="仿宋_GB2312" w:hAnsi="仿宋_GB2312" w:eastAsia="仿宋_GB2312" w:cs="仿宋_GB2312"/>
          <w:sz w:val="32"/>
          <w:szCs w:val="32"/>
          <w:highlight w:val="none"/>
          <w:lang w:val="en-US" w:eastAsia="zh-CN"/>
        </w:rPr>
        <w:t>行政单位（包括实行公务员管理的事业单位）的基本支出。</w:t>
      </w:r>
    </w:p>
    <w:p w14:paraId="25D936B6">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（六）农林水（类）林业和草原（款）动植物保护（项）：</w:t>
      </w:r>
      <w:r>
        <w:rPr>
          <w:rFonts w:hint="eastAsia" w:ascii="仿宋_GB2312" w:hAnsi="仿宋_GB2312" w:eastAsia="仿宋_GB2312" w:cs="仿宋_GB2312"/>
          <w:sz w:val="32"/>
          <w:szCs w:val="32"/>
          <w:highlight w:val="none"/>
          <w:lang w:val="en-US" w:eastAsia="zh-CN"/>
        </w:rPr>
        <w:t>动植物资源生存环境调查、监测、保护管理、野外放（回）归、巡护、野生动物疫源疫病监测防控、濒危野生动植物拯救、繁育及进出口管理等方面的支出。</w:t>
      </w:r>
    </w:p>
    <w:p w14:paraId="3299A2BC">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（七）农林水（类）住房改革支出（款）住房公积金（项）：</w:t>
      </w:r>
      <w:r>
        <w:rPr>
          <w:rFonts w:hint="eastAsia" w:ascii="仿宋_GB2312" w:hAnsi="仿宋_GB2312" w:eastAsia="仿宋_GB2312" w:cs="仿宋_GB2312"/>
          <w:sz w:val="32"/>
          <w:szCs w:val="32"/>
          <w:highlight w:val="none"/>
          <w:lang w:val="en-US" w:eastAsia="zh-CN"/>
        </w:rPr>
        <w:t>部门按规定为职工缴纳的住房公积金支出。</w:t>
      </w:r>
    </w:p>
    <w:p w14:paraId="0E1F8D5B">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val="en-US" w:eastAsia="zh-CN"/>
        </w:rPr>
        <w:t>（八）基本支出：</w:t>
      </w:r>
      <w:r>
        <w:rPr>
          <w:rFonts w:hint="eastAsia" w:ascii="仿宋_GB2312" w:hAnsi="仿宋_GB2312" w:eastAsia="仿宋_GB2312" w:cs="仿宋_GB2312"/>
          <w:sz w:val="32"/>
          <w:szCs w:val="32"/>
          <w:highlight w:val="none"/>
          <w:lang w:val="en-US" w:eastAsia="zh-CN"/>
        </w:rPr>
        <w:t>指为保证机构正常运转，完成日常工作任务而发生的人员支出和公用支出。</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w:t>
      </w:r>
      <w:r>
        <w:rPr>
          <w:rFonts w:hint="eastAsia" w:ascii="楷体_GB2312" w:hAnsi="楷体_GB2312" w:eastAsia="楷体_GB2312" w:cs="楷体_GB2312"/>
          <w:sz w:val="32"/>
          <w:szCs w:val="32"/>
          <w:highlight w:val="none"/>
          <w:lang w:val="en-US" w:eastAsia="zh-CN"/>
        </w:rPr>
        <w:t>（九）项目支出：</w:t>
      </w:r>
      <w:r>
        <w:rPr>
          <w:rFonts w:hint="eastAsia" w:ascii="仿宋_GB2312" w:hAnsi="仿宋_GB2312" w:eastAsia="仿宋_GB2312" w:cs="仿宋_GB2312"/>
          <w:sz w:val="32"/>
          <w:szCs w:val="32"/>
          <w:highlight w:val="none"/>
          <w:lang w:val="en-US" w:eastAsia="zh-CN"/>
        </w:rPr>
        <w:t>指在基本支出之外为完成特定行政任务和事业发展目标所发生的支出。</w:t>
      </w:r>
    </w:p>
    <w:p w14:paraId="1F197B35">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（十）“三公”经费：</w:t>
      </w:r>
      <w:r>
        <w:rPr>
          <w:rFonts w:hint="eastAsia" w:ascii="仿宋_GB2312" w:hAnsi="仿宋_GB2312" w:eastAsia="仿宋_GB2312" w:cs="仿宋_GB2312"/>
          <w:sz w:val="32"/>
          <w:szCs w:val="32"/>
          <w:highlight w:val="none"/>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楷体_GB2312" w:hAnsi="楷体_GB2312" w:eastAsia="楷体_GB2312" w:cs="楷体_GB2312"/>
          <w:sz w:val="32"/>
          <w:szCs w:val="32"/>
          <w:highlight w:val="none"/>
          <w:lang w:val="en-US" w:eastAsia="zh-CN"/>
        </w:rPr>
        <w:t>（十一）机关运行经费：</w:t>
      </w:r>
      <w:r>
        <w:rPr>
          <w:rFonts w:hint="eastAsia" w:ascii="仿宋_GB2312" w:hAnsi="仿宋_GB2312" w:eastAsia="仿宋_GB2312" w:cs="仿宋_GB2312"/>
          <w:sz w:val="32"/>
          <w:szCs w:val="32"/>
          <w:highlight w:val="none"/>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5BC779C7">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p>
    <w:p w14:paraId="6AEDAF2E">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附件：1.部门预算公开表</w:t>
      </w:r>
    </w:p>
    <w:p w14:paraId="11B9FBB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rightChars="0" w:firstLine="1600" w:firstLineChars="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sz w:val="32"/>
          <w:szCs w:val="32"/>
          <w:highlight w:val="none"/>
          <w:lang w:val="en-US" w:eastAsia="zh-CN"/>
        </w:rPr>
        <w:t>项目支出绩效目标表</w:t>
      </w:r>
    </w:p>
    <w:p w14:paraId="74EB2AC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rightChars="0" w:firstLine="1600" w:firstLineChars="5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sz w:val="32"/>
          <w:szCs w:val="32"/>
          <w:highlight w:val="none"/>
          <w:lang w:val="en-US" w:eastAsia="zh-CN"/>
        </w:rPr>
        <w:t>部门整体支出绩效目标表</w:t>
      </w:r>
    </w:p>
    <w:p w14:paraId="708EE92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Autospacing="0" w:after="0" w:afterAutospacing="0" w:line="576" w:lineRule="exact"/>
        <w:ind w:right="0" w:firstLine="643" w:firstLineChars="200"/>
        <w:textAlignment w:val="auto"/>
        <w:rPr>
          <w:rFonts w:hint="eastAsia" w:ascii="仿宋_GB2312" w:hAnsi="仿宋_GB2312" w:eastAsia="仿宋_GB2312" w:cs="仿宋_GB2312"/>
          <w:b/>
          <w:bCs/>
          <w:sz w:val="32"/>
          <w:szCs w:val="32"/>
          <w:highlight w:val="none"/>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0AD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E84E43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Djkpwb9AQAA/wMAAA4AAAAAAAAAAQAgAAAAHwEAAGRycy9lMm9Eb2MueG1s&#10;UEsFBgAAAAAGAAYAWQEAAI4FAAAAAA==&#10;">
              <v:fill on="f" focussize="0,0"/>
              <v:stroke on="f"/>
              <v:imagedata o:title=""/>
              <o:lock v:ext="edit" aspectratio="f"/>
              <v:textbox inset="0mm,0mm,0mm,0mm" style="mso-fit-shape-to-text:t;">
                <w:txbxContent>
                  <w:p w14:paraId="5E84E43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EF7CA"/>
    <w:multiLevelType w:val="singleLevel"/>
    <w:tmpl w:val="A77EF7C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4CE5638"/>
    <w:rsid w:val="26452CBC"/>
    <w:rsid w:val="27DD2DAA"/>
    <w:rsid w:val="39E7FD75"/>
    <w:rsid w:val="43A3416D"/>
    <w:rsid w:val="4A0B7DF5"/>
    <w:rsid w:val="58B85826"/>
    <w:rsid w:val="5938758A"/>
    <w:rsid w:val="5F134362"/>
    <w:rsid w:val="5F266725"/>
    <w:rsid w:val="610417D1"/>
    <w:rsid w:val="64E734E0"/>
    <w:rsid w:val="6CF95582"/>
    <w:rsid w:val="77B6147B"/>
    <w:rsid w:val="7B8A4229"/>
    <w:rsid w:val="7F0A35C4"/>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before="0" w:after="140" w:line="276" w:lineRule="auto"/>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2"/>
    <w:autoRedefine/>
    <w:qFormat/>
    <w:uiPriority w:val="0"/>
  </w:style>
  <w:style w:type="paragraph" w:styleId="7">
    <w:name w:val="Normal (Web)"/>
    <w:basedOn w:val="1"/>
    <w:autoRedefine/>
    <w:qFormat/>
    <w:uiPriority w:val="0"/>
    <w:rPr>
      <w:sz w:val="24"/>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默认段落字体1"/>
    <w:autoRedefine/>
    <w:qFormat/>
    <w:uiPriority w:val="0"/>
  </w:style>
  <w:style w:type="paragraph" w:customStyle="1" w:styleId="12">
    <w:name w:val="Heading"/>
    <w:basedOn w:val="1"/>
    <w:next w:val="2"/>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autoRedefine/>
    <w:qFormat/>
    <w:uiPriority w:val="0"/>
    <w:pPr>
      <w:widowControl w:val="0"/>
      <w:suppressLineNumbers/>
      <w:suppressAutoHyphens/>
    </w:p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7455</Words>
  <Characters>7845</Characters>
  <TotalTime>16</TotalTime>
  <ScaleCrop>false</ScaleCrop>
  <LinksUpToDate>false</LinksUpToDate>
  <CharactersWithSpaces>7936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玲</cp:lastModifiedBy>
  <dcterms:modified xsi:type="dcterms:W3CDTF">2025-02-14T02:40:51Z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76264F79F37B4B608A155DFE8AFA322E_13</vt:lpwstr>
  </property>
  <property fmtid="{D5CDD505-2E9C-101B-9397-08002B2CF9AE}" pid="4" name="KSOTemplateDocerSaveRecord">
    <vt:lpwstr>eyJoZGlkIjoiN2E5Nzc0NGVjNDIzYzBiMWU2ZDM1M2NiZmY0NWJkNDUiLCJ1c2VySWQiOiI1NjAzNzQ3NDEifQ==</vt:lpwstr>
  </property>
</Properties>
</file>