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2CEEA">
      <w:pPr>
        <w:spacing w:line="600" w:lineRule="exact"/>
        <w:jc w:val="center"/>
        <w:outlineLvl w:val="0"/>
        <w:rPr>
          <w:rFonts w:ascii="方正小标宋简体" w:hAnsi="宋体" w:eastAsia="方正小标宋简体"/>
          <w:color w:val="000000"/>
          <w:sz w:val="72"/>
          <w:szCs w:val="72"/>
        </w:rPr>
      </w:pPr>
      <w:bookmarkStart w:id="0" w:name="YS060100"/>
      <w:bookmarkStart w:id="1" w:name="第七部分部门决算分析报告撰写提纲"/>
    </w:p>
    <w:p w14:paraId="0DC9AB8F">
      <w:pPr>
        <w:adjustRightInd w:val="0"/>
        <w:snapToGrid w:val="0"/>
        <w:spacing w:line="360" w:lineRule="auto"/>
        <w:jc w:val="center"/>
        <w:outlineLvl w:val="0"/>
        <w:rPr>
          <w:rFonts w:ascii="方正小标宋简体" w:hAnsi="宋体" w:eastAsia="方正小标宋简体"/>
          <w:color w:val="000000"/>
          <w:sz w:val="72"/>
          <w:szCs w:val="72"/>
        </w:rPr>
      </w:pPr>
      <w:bookmarkStart w:id="2" w:name="_Toc15377193"/>
      <w:bookmarkStart w:id="3" w:name="_Toc15377425"/>
      <w:bookmarkStart w:id="4" w:name="_Toc15378441"/>
      <w:bookmarkStart w:id="5" w:name="_Toc15396597"/>
      <w:bookmarkStart w:id="6" w:name="_Toc15396475"/>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2"/>
      <w:bookmarkEnd w:id="3"/>
      <w:bookmarkEnd w:id="4"/>
      <w:bookmarkEnd w:id="5"/>
      <w:bookmarkEnd w:id="6"/>
    </w:p>
    <w:p w14:paraId="4A44E01E">
      <w:pPr>
        <w:adjustRightInd w:val="0"/>
        <w:snapToGrid w:val="0"/>
        <w:spacing w:line="360" w:lineRule="auto"/>
        <w:jc w:val="center"/>
        <w:outlineLvl w:val="0"/>
        <w:rPr>
          <w:rFonts w:ascii="方正小标宋简体" w:hAnsi="宋体" w:eastAsia="方正小标宋简体"/>
          <w:color w:val="000000"/>
          <w:sz w:val="72"/>
          <w:szCs w:val="72"/>
        </w:rPr>
      </w:pPr>
      <w:bookmarkStart w:id="7" w:name="_Toc15396476"/>
      <w:bookmarkStart w:id="8" w:name="_Toc15378442"/>
      <w:bookmarkStart w:id="9" w:name="_Toc15396598"/>
      <w:bookmarkStart w:id="10" w:name="_Toc15377426"/>
      <w:bookmarkStart w:id="11" w:name="_Toc15377194"/>
      <w:r>
        <w:rPr>
          <w:rFonts w:hint="eastAsia" w:ascii="方正小标宋简体" w:hAnsi="宋体" w:eastAsia="方正小标宋简体"/>
          <w:color w:val="000000"/>
          <w:sz w:val="72"/>
          <w:szCs w:val="72"/>
        </w:rPr>
        <w:t>四川省</w:t>
      </w:r>
      <w:bookmarkStart w:id="12" w:name="_Toc15306268"/>
      <w:r>
        <w:rPr>
          <w:rFonts w:hint="eastAsia" w:ascii="方正小标宋简体" w:hAnsi="宋体" w:eastAsia="方正小标宋简体"/>
          <w:color w:val="000000"/>
          <w:sz w:val="72"/>
          <w:szCs w:val="72"/>
          <w:lang w:val="en-US" w:eastAsia="zh-CN"/>
        </w:rPr>
        <w:t>广元市昭化区林业局</w:t>
      </w:r>
      <w:r>
        <w:rPr>
          <w:rFonts w:hint="eastAsia" w:ascii="方正小标宋简体" w:hAnsi="宋体" w:eastAsia="方正小标宋简体"/>
          <w:color w:val="000000"/>
          <w:sz w:val="72"/>
          <w:szCs w:val="72"/>
        </w:rPr>
        <w:t>部门决算</w:t>
      </w:r>
      <w:bookmarkEnd w:id="7"/>
      <w:bookmarkEnd w:id="8"/>
      <w:bookmarkEnd w:id="9"/>
      <w:bookmarkEnd w:id="10"/>
      <w:bookmarkEnd w:id="11"/>
      <w:bookmarkEnd w:id="12"/>
    </w:p>
    <w:p w14:paraId="2C1CC5E9">
      <w:pPr>
        <w:widowControl/>
        <w:jc w:val="center"/>
        <w:rPr>
          <w:rFonts w:ascii="黑体" w:hAnsi="黑体" w:eastAsia="黑体" w:cstheme="minorBidi"/>
          <w:sz w:val="28"/>
          <w:szCs w:val="2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4080EBF8">
      <w:pPr>
        <w:pStyle w:val="8"/>
        <w:keepNext w:val="0"/>
        <w:keepLines w:val="0"/>
        <w:pageBreakBefore w:val="0"/>
        <w:widowControl w:val="0"/>
        <w:kinsoku/>
        <w:wordWrap/>
        <w:overflowPunct/>
        <w:topLinePunct w:val="0"/>
        <w:autoSpaceDE/>
        <w:autoSpaceDN/>
        <w:bidi w:val="0"/>
        <w:spacing w:line="600" w:lineRule="atLeast"/>
        <w:textAlignment w:val="auto"/>
        <w:rPr>
          <w:rFonts w:cstheme="minorBidi"/>
          <w:u w:val="none"/>
        </w:rPr>
      </w:pPr>
      <w:r>
        <w:rPr>
          <w:u w:val="none"/>
        </w:rPr>
        <w:fldChar w:fldCharType="begin"/>
      </w:r>
      <w:r>
        <w:rPr>
          <w:u w:val="none"/>
        </w:rPr>
        <w:instrText xml:space="preserve"> HYPERLINK \l "_Toc15396599" </w:instrText>
      </w:r>
      <w:r>
        <w:rPr>
          <w:u w:val="none"/>
        </w:rPr>
        <w:fldChar w:fldCharType="separate"/>
      </w:r>
      <w:r>
        <w:rPr>
          <w:rStyle w:val="13"/>
          <w:rFonts w:hint="eastAsia"/>
          <w:color w:val="auto"/>
          <w:u w:val="none"/>
        </w:rPr>
        <w:t>第一部分</w:t>
      </w:r>
      <w:r>
        <w:rPr>
          <w:rStyle w:val="13"/>
          <w:color w:val="auto"/>
          <w:u w:val="none"/>
        </w:rPr>
        <w:t xml:space="preserve"> </w:t>
      </w:r>
      <w:r>
        <w:rPr>
          <w:rStyle w:val="13"/>
          <w:rFonts w:hint="eastAsia"/>
          <w:color w:val="auto"/>
          <w:u w:val="none"/>
        </w:rPr>
        <w:t>部门概况</w:t>
      </w:r>
      <w:r>
        <w:rPr>
          <w:u w:val="none"/>
        </w:rPr>
        <w:tab/>
      </w:r>
      <w:r>
        <w:rPr>
          <w:rFonts w:hint="eastAsia"/>
          <w:u w:val="none"/>
        </w:rPr>
        <w:t>4</w:t>
      </w:r>
      <w:r>
        <w:rPr>
          <w:rFonts w:hint="eastAsia"/>
          <w:u w:val="none"/>
        </w:rPr>
        <w:fldChar w:fldCharType="end"/>
      </w:r>
    </w:p>
    <w:p w14:paraId="7C3BB79F">
      <w:pPr>
        <w:pStyle w:val="9"/>
        <w:keepNext w:val="0"/>
        <w:keepLines w:val="0"/>
        <w:pageBreakBefore w:val="0"/>
        <w:widowControl w:val="0"/>
        <w:kinsoku/>
        <w:wordWrap/>
        <w:overflowPunct/>
        <w:topLinePunct w:val="0"/>
        <w:autoSpaceDE/>
        <w:autoSpaceDN/>
        <w:bidi w:val="0"/>
        <w:spacing w:line="600" w:lineRule="atLeast"/>
        <w:ind w:left="0" w:leftChars="0" w:firstLine="420" w:firstLineChars="200"/>
        <w:textAlignment w:val="auto"/>
        <w:rPr>
          <w:rFonts w:ascii="仿宋" w:hAnsi="仿宋" w:eastAsia="仿宋" w:cstheme="minorBidi"/>
          <w:sz w:val="28"/>
          <w:szCs w:val="28"/>
          <w:u w:val="none"/>
        </w:rPr>
      </w:pPr>
      <w:r>
        <w:rPr>
          <w:u w:val="none"/>
        </w:rPr>
        <w:fldChar w:fldCharType="begin"/>
      </w:r>
      <w:r>
        <w:rPr>
          <w:u w:val="none"/>
        </w:rPr>
        <w:instrText xml:space="preserve"> HYPERLINK \l "_Toc15396600" </w:instrText>
      </w:r>
      <w:r>
        <w:rPr>
          <w:u w:val="none"/>
        </w:rPr>
        <w:fldChar w:fldCharType="separate"/>
      </w:r>
      <w:r>
        <w:rPr>
          <w:rStyle w:val="13"/>
          <w:rFonts w:hint="eastAsia" w:ascii="仿宋" w:hAnsi="仿宋" w:eastAsia="仿宋"/>
          <w:color w:val="auto"/>
          <w:sz w:val="28"/>
          <w:szCs w:val="28"/>
          <w:u w:val="none"/>
        </w:rPr>
        <w:t>一、基本职能及主要工作</w:t>
      </w:r>
      <w:r>
        <w:rPr>
          <w:rFonts w:ascii="仿宋" w:hAnsi="仿宋" w:eastAsia="仿宋"/>
          <w:sz w:val="28"/>
          <w:szCs w:val="28"/>
          <w:u w:val="none"/>
        </w:rPr>
        <w:tab/>
      </w:r>
      <w:r>
        <w:rPr>
          <w:rFonts w:hint="eastAsia" w:ascii="仿宋" w:hAnsi="仿宋" w:eastAsia="仿宋"/>
          <w:sz w:val="28"/>
          <w:szCs w:val="28"/>
          <w:u w:val="none"/>
        </w:rPr>
        <w:t>4</w:t>
      </w:r>
      <w:r>
        <w:rPr>
          <w:rFonts w:hint="eastAsia" w:ascii="仿宋" w:hAnsi="仿宋" w:eastAsia="仿宋"/>
          <w:sz w:val="28"/>
          <w:szCs w:val="28"/>
          <w:u w:val="none"/>
        </w:rPr>
        <w:fldChar w:fldCharType="end"/>
      </w:r>
    </w:p>
    <w:p w14:paraId="1FD4E66E">
      <w:pPr>
        <w:pStyle w:val="8"/>
        <w:keepNext w:val="0"/>
        <w:keepLines w:val="0"/>
        <w:pageBreakBefore w:val="0"/>
        <w:widowControl w:val="0"/>
        <w:kinsoku/>
        <w:wordWrap/>
        <w:overflowPunct/>
        <w:topLinePunct w:val="0"/>
        <w:autoSpaceDE/>
        <w:autoSpaceDN/>
        <w:bidi w:val="0"/>
        <w:adjustRightInd w:val="0"/>
        <w:snapToGrid w:val="0"/>
        <w:spacing w:before="0" w:line="600" w:lineRule="atLeast"/>
        <w:ind w:firstLine="420" w:firstLineChars="150"/>
        <w:jc w:val="left"/>
        <w:textAlignment w:val="auto"/>
        <w:rPr>
          <w:rFonts w:ascii="仿宋" w:hAnsi="仿宋" w:eastAsia="仿宋"/>
          <w:sz w:val="28"/>
          <w:szCs w:val="28"/>
          <w:u w:val="none"/>
        </w:rPr>
      </w:pPr>
      <w:r>
        <w:rPr>
          <w:u w:val="none"/>
        </w:rPr>
        <w:fldChar w:fldCharType="begin"/>
      </w:r>
      <w:r>
        <w:rPr>
          <w:u w:val="none"/>
        </w:rPr>
        <w:instrText xml:space="preserve"> HYPERLINK \l "_Toc15396601" </w:instrText>
      </w:r>
      <w:r>
        <w:rPr>
          <w:u w:val="none"/>
        </w:rPr>
        <w:fldChar w:fldCharType="separate"/>
      </w:r>
      <w:r>
        <w:rPr>
          <w:rStyle w:val="14"/>
          <w:rFonts w:hint="eastAsia" w:ascii="仿宋" w:hAnsi="仿宋" w:eastAsia="仿宋" w:cs="Times New Roman"/>
          <w:color w:val="auto"/>
          <w:kern w:val="2"/>
          <w:sz w:val="28"/>
          <w:szCs w:val="21"/>
          <w:u w:val="none"/>
          <w:lang w:val="en-US" w:eastAsia="zh-CN" w:bidi="ar-SA"/>
        </w:rPr>
        <w:t>二、</w:t>
      </w:r>
      <w:r>
        <w:rPr>
          <w:rStyle w:val="14"/>
          <w:rFonts w:hint="eastAsia" w:ascii="仿宋" w:hAnsi="仿宋" w:eastAsia="仿宋"/>
          <w:color w:val="auto"/>
          <w:sz w:val="28"/>
          <w:szCs w:val="21"/>
          <w:u w:val="none"/>
        </w:rPr>
        <w:t>机构设置</w:t>
      </w:r>
      <w:r>
        <w:rPr>
          <w:rFonts w:ascii="仿宋" w:hAnsi="仿宋" w:eastAsia="仿宋"/>
          <w:sz w:val="28"/>
          <w:szCs w:val="28"/>
          <w:u w:val="none"/>
        </w:rPr>
        <w:tab/>
      </w:r>
      <w:r>
        <w:rPr>
          <w:rFonts w:ascii="仿宋" w:hAnsi="仿宋" w:eastAsia="仿宋"/>
          <w:sz w:val="28"/>
          <w:szCs w:val="28"/>
          <w:u w:val="none"/>
        </w:rPr>
        <w:fldChar w:fldCharType="begin"/>
      </w:r>
      <w:r>
        <w:rPr>
          <w:rFonts w:ascii="仿宋" w:hAnsi="仿宋" w:eastAsia="仿宋"/>
          <w:sz w:val="28"/>
          <w:szCs w:val="28"/>
          <w:u w:val="none"/>
        </w:rPr>
        <w:instrText xml:space="preserve"> PAGEREF _Toc15396601 \h </w:instrText>
      </w:r>
      <w:r>
        <w:rPr>
          <w:rFonts w:ascii="仿宋" w:hAnsi="仿宋" w:eastAsia="仿宋"/>
          <w:sz w:val="28"/>
          <w:szCs w:val="28"/>
          <w:u w:val="none"/>
        </w:rPr>
        <w:fldChar w:fldCharType="separate"/>
      </w:r>
      <w:r>
        <w:rPr>
          <w:rFonts w:ascii="仿宋" w:hAnsi="仿宋" w:eastAsia="仿宋"/>
          <w:sz w:val="28"/>
          <w:szCs w:val="28"/>
          <w:u w:val="none"/>
        </w:rPr>
        <w:t>5</w:t>
      </w:r>
      <w:r>
        <w:rPr>
          <w:rFonts w:ascii="仿宋" w:hAnsi="仿宋" w:eastAsia="仿宋"/>
          <w:sz w:val="28"/>
          <w:szCs w:val="28"/>
          <w:u w:val="none"/>
        </w:rPr>
        <w:fldChar w:fldCharType="end"/>
      </w:r>
      <w:r>
        <w:rPr>
          <w:rFonts w:ascii="仿宋" w:hAnsi="仿宋" w:eastAsia="仿宋"/>
          <w:sz w:val="28"/>
          <w:szCs w:val="28"/>
          <w:u w:val="none"/>
        </w:rPr>
        <w:fldChar w:fldCharType="end"/>
      </w:r>
    </w:p>
    <w:p w14:paraId="5F4490E0">
      <w:pPr>
        <w:pStyle w:val="8"/>
        <w:keepNext w:val="0"/>
        <w:keepLines w:val="0"/>
        <w:pageBreakBefore w:val="0"/>
        <w:widowControl w:val="0"/>
        <w:kinsoku/>
        <w:wordWrap/>
        <w:overflowPunct/>
        <w:topLinePunct w:val="0"/>
        <w:autoSpaceDE/>
        <w:autoSpaceDN/>
        <w:bidi w:val="0"/>
        <w:adjustRightInd w:val="0"/>
        <w:snapToGrid w:val="0"/>
        <w:spacing w:before="0" w:line="600" w:lineRule="atLeast"/>
        <w:jc w:val="left"/>
        <w:textAlignment w:val="auto"/>
        <w:rPr>
          <w:rFonts w:hint="eastAsia" w:eastAsia="仿宋"/>
          <w:sz w:val="24"/>
          <w:szCs w:val="24"/>
          <w:u w:val="none"/>
          <w:lang w:val="en-US" w:eastAsia="zh-CN"/>
        </w:rPr>
      </w:pPr>
      <w:r>
        <w:rPr>
          <w:rStyle w:val="14"/>
          <w:rFonts w:hint="eastAsia" w:ascii="仿宋" w:hAnsi="仿宋" w:eastAsia="仿宋" w:cs="Times New Roman"/>
          <w:color w:val="auto"/>
          <w:kern w:val="2"/>
          <w:sz w:val="28"/>
          <w:szCs w:val="28"/>
          <w:u w:val="none"/>
          <w:lang w:val="en-US" w:eastAsia="zh-CN" w:bidi="ar-SA"/>
        </w:rPr>
        <w:t>第二部分度部门决算情况说明</w:t>
      </w:r>
      <w:r>
        <w:rPr>
          <w:rFonts w:ascii="仿宋" w:hAnsi="仿宋" w:eastAsia="仿宋"/>
          <w:sz w:val="28"/>
          <w:szCs w:val="28"/>
          <w:u w:val="none"/>
        </w:rPr>
        <w:tab/>
      </w:r>
      <w:r>
        <w:rPr>
          <w:rFonts w:hint="eastAsia"/>
          <w:sz w:val="28"/>
          <w:szCs w:val="28"/>
          <w:u w:val="none"/>
          <w:lang w:val="en-US" w:eastAsia="zh-CN"/>
        </w:rPr>
        <w:t>6</w:t>
      </w:r>
    </w:p>
    <w:p w14:paraId="52CEBF4F">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u w:val="none"/>
        </w:rPr>
        <w:t>一、收入支出决算总体情</w:t>
      </w:r>
      <w:r>
        <w:rPr>
          <w:rFonts w:hint="eastAsia" w:ascii="仿宋" w:hAnsi="仿宋" w:eastAsia="仿宋" w:cs="仿宋"/>
          <w:sz w:val="28"/>
          <w:szCs w:val="28"/>
        </w:rPr>
        <w:t>况说明</w:t>
      </w:r>
      <w:r>
        <w:rPr>
          <w:rFonts w:ascii="仿宋" w:hAnsi="仿宋" w:eastAsia="仿宋"/>
          <w:sz w:val="28"/>
          <w:szCs w:val="28"/>
          <w:u w:val="none"/>
        </w:rPr>
        <w:tab/>
      </w:r>
      <w:r>
        <w:rPr>
          <w:rFonts w:hint="eastAsia" w:ascii="仿宋" w:hAnsi="仿宋" w:eastAsia="仿宋"/>
          <w:sz w:val="28"/>
          <w:szCs w:val="28"/>
          <w:u w:val="none"/>
          <w:lang w:val="en-US" w:eastAsia="zh-CN"/>
        </w:rPr>
        <w:t>6</w:t>
      </w:r>
    </w:p>
    <w:p w14:paraId="7082CF9C">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二、收入决算情况说明</w:t>
      </w:r>
      <w:r>
        <w:rPr>
          <w:rFonts w:ascii="仿宋" w:hAnsi="仿宋" w:eastAsia="仿宋"/>
          <w:sz w:val="28"/>
          <w:szCs w:val="28"/>
          <w:u w:val="none"/>
        </w:rPr>
        <w:tab/>
      </w:r>
      <w:r>
        <w:rPr>
          <w:rFonts w:hint="eastAsia" w:ascii="仿宋" w:hAnsi="仿宋" w:eastAsia="仿宋"/>
          <w:sz w:val="28"/>
          <w:szCs w:val="28"/>
          <w:u w:val="none"/>
          <w:lang w:val="en-US" w:eastAsia="zh-CN"/>
        </w:rPr>
        <w:t>6</w:t>
      </w:r>
    </w:p>
    <w:p w14:paraId="78302A2C">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三、支出决算情况说明</w:t>
      </w:r>
      <w:r>
        <w:rPr>
          <w:rFonts w:ascii="仿宋" w:hAnsi="仿宋" w:eastAsia="仿宋"/>
          <w:sz w:val="28"/>
          <w:szCs w:val="28"/>
          <w:u w:val="none"/>
        </w:rPr>
        <w:tab/>
      </w:r>
      <w:r>
        <w:rPr>
          <w:rFonts w:hint="eastAsia" w:ascii="仿宋" w:hAnsi="仿宋" w:eastAsia="仿宋"/>
          <w:sz w:val="28"/>
          <w:szCs w:val="28"/>
          <w:u w:val="none"/>
          <w:lang w:val="en-US" w:eastAsia="zh-CN"/>
        </w:rPr>
        <w:t>7</w:t>
      </w:r>
    </w:p>
    <w:p w14:paraId="3E7A8E02">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四、财政拨款收入支出决算总体情况说明</w:t>
      </w:r>
      <w:r>
        <w:rPr>
          <w:rFonts w:ascii="仿宋" w:hAnsi="仿宋" w:eastAsia="仿宋"/>
          <w:sz w:val="28"/>
          <w:szCs w:val="28"/>
          <w:u w:val="none"/>
        </w:rPr>
        <w:tab/>
      </w:r>
      <w:r>
        <w:rPr>
          <w:rFonts w:hint="eastAsia" w:ascii="仿宋" w:hAnsi="仿宋" w:eastAsia="仿宋"/>
          <w:sz w:val="28"/>
          <w:szCs w:val="28"/>
          <w:u w:val="none"/>
          <w:lang w:val="en-US" w:eastAsia="zh-CN"/>
        </w:rPr>
        <w:t>7</w:t>
      </w:r>
    </w:p>
    <w:p w14:paraId="6538030B">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五、一般公共预算财政拨款支出决算情况说明</w:t>
      </w:r>
      <w:r>
        <w:rPr>
          <w:rFonts w:ascii="仿宋" w:hAnsi="仿宋" w:eastAsia="仿宋"/>
          <w:sz w:val="28"/>
          <w:szCs w:val="28"/>
          <w:u w:val="none"/>
        </w:rPr>
        <w:tab/>
      </w:r>
      <w:r>
        <w:rPr>
          <w:rFonts w:hint="eastAsia" w:ascii="仿宋" w:hAnsi="仿宋" w:eastAsia="仿宋"/>
          <w:sz w:val="28"/>
          <w:szCs w:val="28"/>
          <w:u w:val="none"/>
          <w:lang w:val="en-US" w:eastAsia="zh-CN"/>
        </w:rPr>
        <w:t>8</w:t>
      </w:r>
    </w:p>
    <w:p w14:paraId="057E995C">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六、一般公共预算财政拨款基本支出决算情况说明</w:t>
      </w:r>
      <w:r>
        <w:rPr>
          <w:rFonts w:ascii="仿宋" w:hAnsi="仿宋" w:eastAsia="仿宋"/>
          <w:sz w:val="28"/>
          <w:szCs w:val="28"/>
          <w:u w:val="none"/>
        </w:rPr>
        <w:tab/>
      </w:r>
      <w:r>
        <w:rPr>
          <w:rFonts w:hint="eastAsia" w:ascii="仿宋" w:hAnsi="仿宋" w:eastAsia="仿宋"/>
          <w:sz w:val="28"/>
          <w:szCs w:val="28"/>
          <w:u w:val="none"/>
          <w:lang w:val="en-US" w:eastAsia="zh-CN"/>
        </w:rPr>
        <w:t>11</w:t>
      </w:r>
    </w:p>
    <w:p w14:paraId="4FD7FF90">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七、“三公”经费财政拨款支出决算情况说明</w:t>
      </w:r>
      <w:r>
        <w:rPr>
          <w:rFonts w:ascii="仿宋" w:hAnsi="仿宋" w:eastAsia="仿宋"/>
          <w:sz w:val="28"/>
          <w:szCs w:val="28"/>
          <w:u w:val="none"/>
        </w:rPr>
        <w:tab/>
      </w:r>
      <w:r>
        <w:rPr>
          <w:rFonts w:hint="eastAsia" w:ascii="仿宋" w:hAnsi="仿宋" w:eastAsia="仿宋"/>
          <w:sz w:val="28"/>
          <w:szCs w:val="28"/>
          <w:u w:val="none"/>
          <w:lang w:val="en-US" w:eastAsia="zh-CN"/>
        </w:rPr>
        <w:t>12</w:t>
      </w:r>
    </w:p>
    <w:p w14:paraId="64CF3A47">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八、政府性基金预算支出决算情况说明</w:t>
      </w:r>
      <w:r>
        <w:rPr>
          <w:rFonts w:ascii="仿宋" w:hAnsi="仿宋" w:eastAsia="仿宋"/>
          <w:sz w:val="28"/>
          <w:szCs w:val="28"/>
          <w:u w:val="none"/>
        </w:rPr>
        <w:tab/>
      </w:r>
      <w:r>
        <w:rPr>
          <w:rFonts w:hint="eastAsia" w:ascii="仿宋" w:hAnsi="仿宋" w:eastAsia="仿宋"/>
          <w:sz w:val="28"/>
          <w:szCs w:val="28"/>
          <w:u w:val="none"/>
          <w:lang w:val="en-US" w:eastAsia="zh-CN"/>
        </w:rPr>
        <w:t>13</w:t>
      </w:r>
    </w:p>
    <w:p w14:paraId="20317553">
      <w:pPr>
        <w:pStyle w:val="9"/>
        <w:keepNext w:val="0"/>
        <w:keepLines w:val="0"/>
        <w:pageBreakBefore w:val="0"/>
        <w:widowControl w:val="0"/>
        <w:kinsoku/>
        <w:wordWrap/>
        <w:overflowPunct/>
        <w:topLinePunct w:val="0"/>
        <w:autoSpaceDE/>
        <w:autoSpaceDN/>
        <w:bidi w:val="0"/>
        <w:adjustRightInd w:val="0"/>
        <w:snapToGrid w:val="0"/>
        <w:spacing w:line="600" w:lineRule="atLeast"/>
        <w:ind w:leftChars="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九、国有资本经营预算支出决算情况说明</w:t>
      </w:r>
      <w:r>
        <w:rPr>
          <w:rFonts w:ascii="仿宋" w:hAnsi="仿宋" w:eastAsia="仿宋"/>
          <w:sz w:val="28"/>
          <w:szCs w:val="28"/>
          <w:u w:val="none"/>
        </w:rPr>
        <w:tab/>
      </w:r>
      <w:r>
        <w:rPr>
          <w:rFonts w:hint="eastAsia" w:ascii="仿宋" w:hAnsi="仿宋" w:eastAsia="仿宋"/>
          <w:sz w:val="28"/>
          <w:szCs w:val="28"/>
          <w:u w:val="none"/>
          <w:lang w:val="en-US" w:eastAsia="zh-CN"/>
        </w:rPr>
        <w:t>13</w:t>
      </w:r>
    </w:p>
    <w:p w14:paraId="3E6BD9CD">
      <w:pPr>
        <w:pStyle w:val="9"/>
        <w:keepNext w:val="0"/>
        <w:keepLines w:val="0"/>
        <w:pageBreakBefore w:val="0"/>
        <w:widowControl w:val="0"/>
        <w:kinsoku/>
        <w:wordWrap/>
        <w:overflowPunct/>
        <w:topLinePunct w:val="0"/>
        <w:autoSpaceDE/>
        <w:autoSpaceDN/>
        <w:bidi w:val="0"/>
        <w:adjustRightInd w:val="0"/>
        <w:snapToGrid w:val="0"/>
        <w:spacing w:line="600" w:lineRule="atLeast"/>
        <w:ind w:leftChars="0"/>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十</w:t>
      </w:r>
      <w:r>
        <w:rPr>
          <w:rFonts w:hint="eastAsia" w:ascii="仿宋" w:hAnsi="仿宋" w:eastAsia="仿宋" w:cs="仿宋"/>
          <w:sz w:val="28"/>
          <w:szCs w:val="28"/>
        </w:rPr>
        <w:t>、</w:t>
      </w:r>
      <w:r>
        <w:rPr>
          <w:rFonts w:hint="eastAsia" w:ascii="仿宋" w:hAnsi="仿宋" w:eastAsia="仿宋" w:cs="仿宋"/>
          <w:sz w:val="28"/>
          <w:szCs w:val="28"/>
          <w:lang w:val="en-US" w:eastAsia="zh-CN"/>
        </w:rPr>
        <w:t>其他重要事项的</w:t>
      </w:r>
      <w:r>
        <w:rPr>
          <w:rFonts w:hint="eastAsia" w:ascii="仿宋" w:hAnsi="仿宋" w:eastAsia="仿宋" w:cs="仿宋"/>
          <w:sz w:val="28"/>
          <w:szCs w:val="28"/>
        </w:rPr>
        <w:t>情况说明</w:t>
      </w:r>
      <w:r>
        <w:rPr>
          <w:rFonts w:ascii="仿宋" w:hAnsi="仿宋" w:eastAsia="仿宋"/>
          <w:sz w:val="28"/>
          <w:szCs w:val="28"/>
          <w:u w:val="none"/>
        </w:rPr>
        <w:tab/>
      </w:r>
      <w:r>
        <w:rPr>
          <w:rFonts w:hint="eastAsia" w:ascii="仿宋" w:hAnsi="仿宋" w:eastAsia="仿宋"/>
          <w:sz w:val="28"/>
          <w:szCs w:val="28"/>
          <w:u w:val="none"/>
          <w:lang w:val="en-US" w:eastAsia="zh-CN"/>
        </w:rPr>
        <w:t>13</w:t>
      </w:r>
    </w:p>
    <w:p w14:paraId="1CFB5E2D">
      <w:pPr>
        <w:pStyle w:val="8"/>
        <w:keepNext w:val="0"/>
        <w:keepLines w:val="0"/>
        <w:pageBreakBefore w:val="0"/>
        <w:widowControl w:val="0"/>
        <w:kinsoku/>
        <w:wordWrap/>
        <w:overflowPunct/>
        <w:topLinePunct w:val="0"/>
        <w:autoSpaceDE/>
        <w:autoSpaceDN/>
        <w:bidi w:val="0"/>
        <w:adjustRightInd w:val="0"/>
        <w:snapToGrid w:val="0"/>
        <w:spacing w:before="0"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第三部分 名词解释</w:t>
      </w:r>
      <w:r>
        <w:rPr>
          <w:rFonts w:hint="eastAsia" w:ascii="仿宋" w:hAnsi="仿宋" w:eastAsia="仿宋" w:cs="仿宋"/>
          <w:sz w:val="28"/>
          <w:szCs w:val="28"/>
          <w:u w:val="none"/>
        </w:rPr>
        <w:tab/>
      </w:r>
      <w:r>
        <w:rPr>
          <w:rFonts w:hint="eastAsia" w:cs="仿宋"/>
          <w:sz w:val="28"/>
          <w:szCs w:val="28"/>
          <w:u w:val="none"/>
          <w:lang w:val="en-US" w:eastAsia="zh-CN"/>
        </w:rPr>
        <w:t>20</w:t>
      </w:r>
    </w:p>
    <w:p w14:paraId="1D198F76">
      <w:pPr>
        <w:pStyle w:val="8"/>
        <w:keepNext w:val="0"/>
        <w:keepLines w:val="0"/>
        <w:pageBreakBefore w:val="0"/>
        <w:widowControl w:val="0"/>
        <w:kinsoku/>
        <w:wordWrap/>
        <w:overflowPunct/>
        <w:topLinePunct w:val="0"/>
        <w:autoSpaceDE/>
        <w:autoSpaceDN/>
        <w:bidi w:val="0"/>
        <w:adjustRightInd w:val="0"/>
        <w:snapToGrid w:val="0"/>
        <w:spacing w:before="0"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第四部分 附件</w:t>
      </w:r>
      <w:r>
        <w:rPr>
          <w:rFonts w:hint="eastAsia" w:ascii="仿宋" w:hAnsi="仿宋" w:eastAsia="仿宋" w:cs="仿宋"/>
          <w:sz w:val="28"/>
          <w:szCs w:val="28"/>
          <w:u w:val="none"/>
        </w:rPr>
        <w:tab/>
      </w:r>
      <w:r>
        <w:rPr>
          <w:rFonts w:hint="eastAsia" w:cs="仿宋"/>
          <w:sz w:val="28"/>
          <w:szCs w:val="28"/>
          <w:u w:val="none"/>
          <w:lang w:val="en-US" w:eastAsia="zh-CN"/>
        </w:rPr>
        <w:t>26</w:t>
      </w:r>
    </w:p>
    <w:p w14:paraId="1EE5AE1F">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附件1</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26</w:t>
      </w:r>
    </w:p>
    <w:p w14:paraId="09F0F39C">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附件2</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30</w:t>
      </w:r>
    </w:p>
    <w:p w14:paraId="6FFFDC5E">
      <w:pPr>
        <w:pStyle w:val="8"/>
        <w:keepNext w:val="0"/>
        <w:keepLines w:val="0"/>
        <w:pageBreakBefore w:val="0"/>
        <w:widowControl w:val="0"/>
        <w:kinsoku/>
        <w:wordWrap/>
        <w:overflowPunct/>
        <w:topLinePunct w:val="0"/>
        <w:autoSpaceDE/>
        <w:autoSpaceDN/>
        <w:bidi w:val="0"/>
        <w:adjustRightInd w:val="0"/>
        <w:snapToGrid w:val="0"/>
        <w:spacing w:before="0"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第五部分 附表</w:t>
      </w:r>
      <w:r>
        <w:rPr>
          <w:rFonts w:hint="eastAsia" w:ascii="仿宋" w:hAnsi="仿宋" w:eastAsia="仿宋" w:cs="仿宋"/>
          <w:sz w:val="28"/>
          <w:szCs w:val="28"/>
          <w:u w:val="none"/>
        </w:rPr>
        <w:tab/>
      </w:r>
      <w:r>
        <w:rPr>
          <w:rFonts w:hint="eastAsia" w:cs="仿宋"/>
          <w:sz w:val="28"/>
          <w:szCs w:val="28"/>
          <w:u w:val="none"/>
          <w:lang w:val="en-US" w:eastAsia="zh-CN"/>
        </w:rPr>
        <w:t>52</w:t>
      </w:r>
    </w:p>
    <w:p w14:paraId="45140532">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一、收入支出决算总表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1B6D7374">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二、收入决算表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020521BB">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三、支出决算表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184EEC4B">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四、财政拨款收入支出决算总表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759C1CF7">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五、财政拨款支出决算明细表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6FD2364A">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六、一般公共预算财政拨款支出决算表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232741A5">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39A07E71">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799D493F">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523D7988">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十、一般公共预算财政拨款“三公”经费支出决算表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5774EEAF">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十一、政府性基金预算财政拨款收入支出决算表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56E440A7">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rPr>
        <w:t>十二、政府性基金预算财政拨款“三公”经费支出决算表</w:t>
      </w:r>
      <w:r>
        <w:rPr>
          <w:rFonts w:hint="eastAsia" w:ascii="仿宋" w:hAnsi="仿宋" w:eastAsia="仿宋" w:cs="仿宋"/>
          <w:sz w:val="28"/>
          <w:szCs w:val="28"/>
          <w:u w:val="none"/>
        </w:rPr>
        <w:tab/>
      </w:r>
      <w:r>
        <w:rPr>
          <w:rFonts w:hint="eastAsia" w:ascii="仿宋" w:hAnsi="仿宋" w:eastAsia="仿宋" w:cs="仿宋"/>
          <w:sz w:val="28"/>
          <w:szCs w:val="28"/>
          <w:u w:val="none"/>
          <w:lang w:val="en-US" w:eastAsia="zh-CN"/>
        </w:rPr>
        <w:t>52</w:t>
      </w:r>
    </w:p>
    <w:p w14:paraId="39378A77">
      <w:pPr>
        <w:pStyle w:val="9"/>
        <w:keepNext w:val="0"/>
        <w:keepLines w:val="0"/>
        <w:pageBreakBefore w:val="0"/>
        <w:widowControl w:val="0"/>
        <w:kinsoku/>
        <w:wordWrap/>
        <w:overflowPunct/>
        <w:topLinePunct w:val="0"/>
        <w:autoSpaceDE/>
        <w:autoSpaceDN/>
        <w:bidi w:val="0"/>
        <w:adjustRightInd w:val="0"/>
        <w:snapToGrid w:val="0"/>
        <w:spacing w:line="600" w:lineRule="atLeast"/>
        <w:jc w:val="left"/>
        <w:textAlignment w:val="auto"/>
        <w:rPr>
          <w:rFonts w:hint="default" w:ascii="仿宋" w:hAnsi="仿宋" w:eastAsia="仿宋" w:cstheme="minorBidi"/>
          <w:sz w:val="24"/>
          <w:lang w:val="en-US" w:eastAsia="zh-CN"/>
        </w:rPr>
      </w:pPr>
      <w:r>
        <w:rPr>
          <w:rFonts w:hint="eastAsia" w:ascii="仿宋" w:hAnsi="仿宋" w:eastAsia="仿宋" w:cs="仿宋"/>
          <w:sz w:val="28"/>
          <w:szCs w:val="28"/>
        </w:rPr>
        <w:t>十三、国有资本经营预算支出决算表</w:t>
      </w:r>
      <w:r>
        <w:rPr>
          <w:rFonts w:ascii="仿宋" w:hAnsi="仿宋" w:eastAsia="仿宋"/>
          <w:sz w:val="28"/>
          <w:szCs w:val="28"/>
          <w:u w:val="none"/>
        </w:rPr>
        <w:tab/>
      </w:r>
      <w:r>
        <w:rPr>
          <w:rFonts w:hint="eastAsia" w:ascii="仿宋" w:hAnsi="仿宋" w:eastAsia="仿宋"/>
          <w:sz w:val="28"/>
          <w:szCs w:val="28"/>
          <w:u w:val="none"/>
          <w:lang w:val="en-US" w:eastAsia="zh-CN"/>
        </w:rPr>
        <w:t>52</w:t>
      </w:r>
    </w:p>
    <w:p w14:paraId="24EB8B78">
      <w:pPr>
        <w:keepNext w:val="0"/>
        <w:keepLines w:val="0"/>
        <w:pageBreakBefore w:val="0"/>
        <w:widowControl w:val="0"/>
        <w:kinsoku/>
        <w:wordWrap/>
        <w:overflowPunct/>
        <w:topLinePunct w:val="0"/>
        <w:autoSpaceDE/>
        <w:autoSpaceDN/>
        <w:bidi w:val="0"/>
        <w:snapToGrid w:val="0"/>
        <w:spacing w:line="600" w:lineRule="atLeast"/>
        <w:ind w:firstLine="720" w:firstLineChars="200"/>
        <w:jc w:val="center"/>
        <w:textAlignment w:val="auto"/>
        <w:rPr>
          <w:rFonts w:hint="eastAsia" w:ascii="华文中宋" w:hAnsi="华文中宋" w:eastAsia="华文中宋"/>
          <w:sz w:val="36"/>
          <w:szCs w:val="36"/>
        </w:rPr>
      </w:pPr>
    </w:p>
    <w:p w14:paraId="0754DAFA">
      <w:pPr>
        <w:pStyle w:val="3"/>
        <w:jc w:val="center"/>
        <w:rPr>
          <w:rFonts w:hint="eastAsia" w:ascii="黑体" w:hAnsi="黑体" w:eastAsia="黑体"/>
          <w:b w:val="0"/>
        </w:rPr>
      </w:pPr>
    </w:p>
    <w:p w14:paraId="4E22AE3B">
      <w:pPr>
        <w:rPr>
          <w:rFonts w:hint="eastAsia" w:ascii="黑体" w:hAnsi="黑体" w:eastAsia="黑体"/>
          <w:b w:val="0"/>
        </w:rPr>
      </w:pPr>
    </w:p>
    <w:p w14:paraId="769B9C87">
      <w:pPr>
        <w:pStyle w:val="2"/>
        <w:rPr>
          <w:rFonts w:hint="eastAsia" w:ascii="黑体" w:hAnsi="黑体" w:eastAsia="黑体"/>
          <w:b w:val="0"/>
        </w:rPr>
      </w:pPr>
    </w:p>
    <w:p w14:paraId="2DAAFB9B">
      <w:pPr>
        <w:rPr>
          <w:rFonts w:hint="eastAsia" w:ascii="黑体" w:hAnsi="黑体" w:eastAsia="黑体"/>
          <w:b w:val="0"/>
        </w:rPr>
      </w:pPr>
    </w:p>
    <w:p w14:paraId="16106419">
      <w:pPr>
        <w:pStyle w:val="2"/>
        <w:rPr>
          <w:rFonts w:hint="eastAsia" w:ascii="黑体" w:hAnsi="黑体" w:eastAsia="黑体"/>
          <w:b w:val="0"/>
        </w:rPr>
      </w:pPr>
    </w:p>
    <w:p w14:paraId="1AEE05E8">
      <w:pPr>
        <w:rPr>
          <w:rFonts w:hint="eastAsia" w:ascii="黑体" w:hAnsi="黑体" w:eastAsia="黑体"/>
          <w:b w:val="0"/>
        </w:rPr>
      </w:pPr>
    </w:p>
    <w:p w14:paraId="770FD9A3">
      <w:pPr>
        <w:pStyle w:val="2"/>
        <w:rPr>
          <w:rFonts w:hint="eastAsia" w:ascii="黑体" w:hAnsi="黑体" w:eastAsia="黑体"/>
          <w:b w:val="0"/>
        </w:rPr>
      </w:pPr>
    </w:p>
    <w:p w14:paraId="36207C07">
      <w:pPr>
        <w:rPr>
          <w:rFonts w:hint="eastAsia" w:ascii="黑体" w:hAnsi="黑体" w:eastAsia="黑体"/>
          <w:b w:val="0"/>
        </w:rPr>
      </w:pPr>
    </w:p>
    <w:p w14:paraId="043D5F76">
      <w:pPr>
        <w:pStyle w:val="2"/>
        <w:rPr>
          <w:rFonts w:hint="eastAsia"/>
        </w:rPr>
      </w:pPr>
    </w:p>
    <w:p w14:paraId="5AF5B386">
      <w:pPr>
        <w:pStyle w:val="3"/>
        <w:jc w:val="center"/>
        <w:rPr>
          <w:rFonts w:ascii="黑体" w:eastAsia="黑体"/>
          <w:color w:val="000000"/>
          <w:sz w:val="32"/>
          <w:szCs w:val="32"/>
        </w:rPr>
      </w:pPr>
      <w:r>
        <w:rPr>
          <w:rFonts w:hint="eastAsia" w:ascii="黑体" w:hAnsi="黑体" w:eastAsia="黑体"/>
          <w:b w:val="0"/>
        </w:rPr>
        <w:t xml:space="preserve">第一部分 </w:t>
      </w:r>
      <w:r>
        <w:rPr>
          <w:rStyle w:val="15"/>
          <w:rFonts w:hint="eastAsia" w:ascii="黑体" w:hAnsi="黑体" w:eastAsia="黑体"/>
          <w:b w:val="0"/>
          <w:bCs w:val="0"/>
        </w:rPr>
        <w:t>部门概况</w:t>
      </w:r>
    </w:p>
    <w:p w14:paraId="729BA131">
      <w:pPr>
        <w:pStyle w:val="4"/>
        <w:numPr>
          <w:ilvl w:val="0"/>
          <w:numId w:val="0"/>
        </w:numPr>
        <w:ind w:firstLine="640" w:firstLineChars="200"/>
        <w:rPr>
          <w:rStyle w:val="16"/>
          <w:rFonts w:hint="eastAsia" w:ascii="黑体" w:hAnsi="黑体" w:eastAsia="黑体"/>
          <w:b w:val="0"/>
          <w:bCs w:val="0"/>
        </w:rPr>
      </w:pPr>
      <w:bookmarkStart w:id="13" w:name="_Toc15396600"/>
      <w:bookmarkStart w:id="14" w:name="_Toc15377197"/>
      <w:r>
        <w:rPr>
          <w:rFonts w:hint="eastAsia" w:ascii="黑体" w:hAnsi="黑体" w:eastAsia="黑体"/>
          <w:b w:val="0"/>
          <w:color w:val="000000"/>
          <w:lang w:val="en-US" w:eastAsia="zh-CN"/>
        </w:rPr>
        <w:t>一、</w:t>
      </w:r>
      <w:r>
        <w:rPr>
          <w:rFonts w:hint="eastAsia" w:ascii="黑体" w:hAnsi="黑体" w:eastAsia="黑体"/>
          <w:b w:val="0"/>
          <w:color w:val="000000"/>
        </w:rPr>
        <w:t>基</w:t>
      </w:r>
      <w:r>
        <w:rPr>
          <w:rStyle w:val="16"/>
          <w:rFonts w:hint="eastAsia" w:ascii="黑体" w:hAnsi="黑体" w:eastAsia="黑体"/>
          <w:b w:val="0"/>
          <w:bCs w:val="0"/>
        </w:rPr>
        <w:t>本职能及主要工作</w:t>
      </w:r>
      <w:bookmarkEnd w:id="0"/>
      <w:bookmarkEnd w:id="13"/>
      <w:bookmarkEnd w:id="14"/>
      <w:bookmarkStart w:id="15" w:name="YS060101"/>
    </w:p>
    <w:bookmarkEnd w:id="15"/>
    <w:p w14:paraId="318C7CB4">
      <w:pPr>
        <w:snapToGrid w:val="0"/>
        <w:spacing w:line="520" w:lineRule="exact"/>
        <w:ind w:firstLine="643" w:firstLineChars="200"/>
        <w:rPr>
          <w:rFonts w:hint="eastAsia" w:ascii="仿宋_GB2312" w:hAnsi="仿宋" w:eastAsia="仿宋_GB2312"/>
          <w:sz w:val="32"/>
          <w:szCs w:val="32"/>
        </w:rPr>
      </w:pPr>
      <w:r>
        <w:rPr>
          <w:rFonts w:hint="eastAsia" w:ascii="楷体_GB2312" w:hAnsi="仿宋" w:eastAsia="楷体_GB2312"/>
          <w:b/>
          <w:sz w:val="32"/>
          <w:szCs w:val="32"/>
        </w:rPr>
        <w:t>（一）</w:t>
      </w:r>
      <w:r>
        <w:rPr>
          <w:rFonts w:hint="eastAsia" w:ascii="仿宋_GB2312" w:hAnsi="仿宋" w:eastAsia="仿宋_GB2312"/>
          <w:sz w:val="32"/>
          <w:szCs w:val="32"/>
        </w:rPr>
        <w:t>主要职能。</w:t>
      </w:r>
    </w:p>
    <w:p w14:paraId="17431D8B">
      <w:pPr>
        <w:spacing w:line="600" w:lineRule="exact"/>
        <w:ind w:firstLine="640" w:firstLineChars="200"/>
        <w:outlineLvl w:val="1"/>
        <w:rPr>
          <w:rFonts w:hint="eastAsia" w:ascii="仿宋" w:hAnsi="仿宋" w:eastAsia="仿宋"/>
          <w:color w:val="000000"/>
          <w:sz w:val="32"/>
          <w:szCs w:val="32"/>
        </w:rPr>
      </w:pPr>
      <w:r>
        <w:rPr>
          <w:rFonts w:hint="eastAsia" w:ascii="仿宋_GB2312" w:hAnsi="仿宋" w:eastAsia="仿宋_GB2312"/>
          <w:sz w:val="32"/>
          <w:szCs w:val="32"/>
        </w:rPr>
        <w:t>负责</w:t>
      </w:r>
      <w:r>
        <w:rPr>
          <w:rFonts w:hint="eastAsia" w:ascii="仿宋" w:hAnsi="仿宋" w:eastAsia="仿宋"/>
          <w:color w:val="000000"/>
          <w:sz w:val="32"/>
          <w:szCs w:val="32"/>
        </w:rPr>
        <w:t>全区林业及其生态保护修复的监督管理。拟定全区林业资源优化配置及木材利用政策，拟定相关林业产业地方标准并监督实施，组织、指导林产品质量监督。负责全区森林资源的监督管理。负责全区湿地资源的监督管理。负责全区陆生野生动植物资源的保护、监督管理。 负责监督管理全区各类自然保护地。负责推进全区林业改革相关工作。组织全区生态保护修复和造林绿化工作。组织林木种质资源普查，组织建立种质资源库，负责良种选育推广，管理林木种苗生产经营行为，监管林木种苗质量。指导区森林公安工作，监督管理森林公安队伍，指导全区林业重大违法案件的查处，指导林区社会治安治理工作。负责林业相关行政执法监管工作。负责落实全区综合防灾减灾规划相关要求，负责全区森林防火宣传教育、野外火源管控、日常巡护、隐患排查整治、监测预警、基础设施建设、专业防火队伍建设管理、未达到林草火灾应急预案中启动应急响应条件的初期火情火灾处置、牵头灾损评估等工作。负责拟定全区中药材产业发展规划、产业政策和扶持政策并指导实施。完成区委、区政府交办的其他任务等。</w:t>
      </w:r>
    </w:p>
    <w:p w14:paraId="0124C4EA">
      <w:pPr>
        <w:spacing w:line="600" w:lineRule="exact"/>
        <w:ind w:firstLine="640" w:firstLineChars="200"/>
        <w:outlineLvl w:val="1"/>
        <w:rPr>
          <w:rFonts w:hint="eastAsia" w:ascii="仿宋" w:hAnsi="仿宋" w:eastAsia="仿宋"/>
          <w:color w:val="000000"/>
          <w:sz w:val="32"/>
          <w:szCs w:val="32"/>
          <w:lang w:eastAsia="zh-CN"/>
        </w:rPr>
      </w:pPr>
      <w:r>
        <w:rPr>
          <w:rFonts w:hint="eastAsia" w:ascii="仿宋" w:hAnsi="仿宋" w:eastAsia="仿宋"/>
          <w:color w:val="000000"/>
          <w:sz w:val="32"/>
          <w:szCs w:val="32"/>
        </w:rPr>
        <w:t>（二）2019年重点工作完成情况</w:t>
      </w:r>
      <w:r>
        <w:rPr>
          <w:rFonts w:hint="eastAsia" w:ascii="仿宋" w:hAnsi="仿宋" w:eastAsia="仿宋"/>
          <w:color w:val="000000"/>
          <w:sz w:val="32"/>
          <w:szCs w:val="32"/>
          <w:lang w:eastAsia="zh-CN"/>
        </w:rPr>
        <w:t>。</w:t>
      </w:r>
    </w:p>
    <w:p w14:paraId="2452C4A4">
      <w:pPr>
        <w:spacing w:line="600" w:lineRule="exact"/>
        <w:ind w:firstLine="640" w:firstLineChars="200"/>
        <w:outlineLvl w:val="1"/>
        <w:rPr>
          <w:rFonts w:hint="default" w:ascii="仿宋" w:hAnsi="仿宋" w:eastAsia="仿宋"/>
          <w:color w:val="000000"/>
          <w:sz w:val="32"/>
          <w:szCs w:val="32"/>
          <w:lang w:val="en-US" w:eastAsia="zh-CN"/>
        </w:rPr>
      </w:pPr>
      <w:r>
        <w:rPr>
          <w:rFonts w:hint="default" w:ascii="仿宋" w:hAnsi="仿宋" w:eastAsia="仿宋"/>
          <w:color w:val="000000"/>
          <w:sz w:val="32"/>
          <w:szCs w:val="32"/>
          <w:lang w:eastAsia="zh-CN"/>
        </w:rPr>
        <w:t>一是</w:t>
      </w:r>
      <w:r>
        <w:rPr>
          <w:rFonts w:hint="default" w:ascii="仿宋" w:hAnsi="仿宋" w:eastAsia="仿宋"/>
          <w:color w:val="000000"/>
          <w:sz w:val="32"/>
          <w:szCs w:val="32"/>
          <w:lang w:val="en-US" w:eastAsia="zh-CN"/>
        </w:rPr>
        <w:t>行业扶贫工作卓有成效。昭化区“林业扶贫车间”让林农变“林工”的工作经验被国家林草局、浙江省林业局、四川省林草局等多家网站宣传，建立了发展特色林产业、实施生态建设和强化科技推广三大扶贫机制，助推了磨滩镇佛岩村、文村乡云华村等4个贫困村退出、促进6265人脱贫，巩固提升46个已退出贫困村，顺利通过各级验收。二是</w:t>
      </w:r>
      <w:r>
        <w:rPr>
          <w:rFonts w:hint="default" w:ascii="仿宋" w:hAnsi="仿宋" w:eastAsia="仿宋"/>
          <w:color w:val="000000"/>
          <w:sz w:val="32"/>
          <w:szCs w:val="32"/>
          <w:lang w:eastAsia="zh-CN"/>
        </w:rPr>
        <w:t>中药材产业</w:t>
      </w:r>
      <w:r>
        <w:rPr>
          <w:rFonts w:hint="default" w:ascii="仿宋" w:hAnsi="仿宋" w:eastAsia="仿宋"/>
          <w:color w:val="000000"/>
          <w:sz w:val="32"/>
          <w:szCs w:val="32"/>
          <w:lang w:val="en-US" w:eastAsia="zh-CN"/>
        </w:rPr>
        <w:t>经济效益不断提升</w:t>
      </w:r>
      <w:r>
        <w:rPr>
          <w:rFonts w:hint="default" w:ascii="仿宋" w:hAnsi="仿宋" w:eastAsia="仿宋"/>
          <w:color w:val="000000"/>
          <w:sz w:val="32"/>
          <w:szCs w:val="32"/>
          <w:lang w:eastAsia="zh-CN"/>
        </w:rPr>
        <w:t>。</w:t>
      </w:r>
      <w:r>
        <w:rPr>
          <w:rFonts w:hint="default" w:ascii="仿宋" w:hAnsi="仿宋" w:eastAsia="仿宋"/>
          <w:color w:val="000000"/>
          <w:sz w:val="32"/>
          <w:szCs w:val="32"/>
          <w:lang w:val="en-US" w:eastAsia="zh-CN"/>
        </w:rPr>
        <w:t>全年中药材产业新建基地3.5万亩，新培育中药材新型经营主体12家，年产量达2.28万吨，年产值2.22亿元。三是资源管理水平不断提升。扩大生态护林员规模，强化森林防火、古树名木森林资源保护，昭化区挂牌定责推进古树名木保护工作经验被市政府门户网站宣传，森林防火宣传工作被省林草局表彰为成绩突出单位。四是项目建设用地保障成效明显。</w:t>
      </w:r>
      <w:r>
        <w:rPr>
          <w:rFonts w:hint="default" w:ascii="仿宋" w:hAnsi="仿宋" w:eastAsia="仿宋"/>
          <w:color w:val="000000"/>
          <w:sz w:val="32"/>
          <w:szCs w:val="32"/>
        </w:rPr>
        <w:t>优先保障</w:t>
      </w:r>
      <w:r>
        <w:rPr>
          <w:rFonts w:hint="default" w:ascii="仿宋" w:hAnsi="仿宋" w:eastAsia="仿宋"/>
          <w:color w:val="000000"/>
          <w:sz w:val="32"/>
          <w:szCs w:val="32"/>
          <w:lang w:val="en-US" w:eastAsia="zh-CN"/>
        </w:rPr>
        <w:t>区内</w:t>
      </w:r>
      <w:r>
        <w:rPr>
          <w:rFonts w:hint="default" w:ascii="仿宋" w:hAnsi="仿宋" w:eastAsia="仿宋"/>
          <w:color w:val="000000"/>
          <w:sz w:val="32"/>
          <w:szCs w:val="32"/>
        </w:rPr>
        <w:t>重点建设项目、基础设施和民生发展项目的用地需求，</w:t>
      </w:r>
      <w:r>
        <w:rPr>
          <w:rFonts w:hint="default" w:ascii="仿宋" w:hAnsi="仿宋" w:eastAsia="仿宋"/>
          <w:color w:val="000000"/>
          <w:sz w:val="32"/>
          <w:szCs w:val="32"/>
          <w:lang w:val="en-US" w:eastAsia="zh-CN"/>
        </w:rPr>
        <w:t>高效完成了家居产业城、新希望生猪养殖等30</w:t>
      </w:r>
      <w:r>
        <w:rPr>
          <w:rFonts w:hint="default" w:ascii="仿宋" w:hAnsi="仿宋" w:eastAsia="仿宋"/>
          <w:color w:val="000000"/>
          <w:sz w:val="32"/>
          <w:szCs w:val="32"/>
        </w:rPr>
        <w:t>宗</w:t>
      </w:r>
      <w:r>
        <w:rPr>
          <w:rFonts w:hint="default" w:ascii="仿宋" w:hAnsi="仿宋" w:eastAsia="仿宋"/>
          <w:color w:val="000000"/>
          <w:sz w:val="32"/>
          <w:szCs w:val="32"/>
          <w:lang w:eastAsia="zh-CN"/>
        </w:rPr>
        <w:t>区内重点</w:t>
      </w:r>
      <w:r>
        <w:rPr>
          <w:rFonts w:hint="default" w:ascii="仿宋" w:hAnsi="仿宋" w:eastAsia="仿宋"/>
          <w:color w:val="000000"/>
          <w:sz w:val="32"/>
          <w:szCs w:val="32"/>
          <w:lang w:val="en-US" w:eastAsia="zh-CN"/>
        </w:rPr>
        <w:t>项目建设154.77公顷林地征占审批手续，为加快推进项目建设奠定了基础</w:t>
      </w:r>
      <w:r>
        <w:rPr>
          <w:rFonts w:hint="default" w:ascii="仿宋" w:hAnsi="仿宋" w:eastAsia="仿宋"/>
          <w:color w:val="000000"/>
          <w:sz w:val="32"/>
          <w:szCs w:val="32"/>
        </w:rPr>
        <w:t>。</w:t>
      </w:r>
      <w:r>
        <w:rPr>
          <w:rFonts w:hint="default" w:ascii="仿宋" w:hAnsi="仿宋" w:eastAsia="仿宋"/>
          <w:color w:val="000000"/>
          <w:sz w:val="32"/>
          <w:szCs w:val="32"/>
          <w:lang w:eastAsia="zh-CN"/>
        </w:rPr>
        <w:t>五</w:t>
      </w:r>
      <w:r>
        <w:rPr>
          <w:rFonts w:hint="default" w:ascii="仿宋" w:hAnsi="仿宋" w:eastAsia="仿宋"/>
          <w:color w:val="000000"/>
          <w:sz w:val="32"/>
          <w:szCs w:val="32"/>
          <w:lang w:val="en-US" w:eastAsia="zh-CN"/>
        </w:rPr>
        <w:t>是国家园林城市创建取得明显成效。围绕打造生态康养旅游名市总体布局，将“创国园”工作与城市棚户区改造相结合，因地制宜，聚焦重点，国家园林城市创建顺利通过验收。</w:t>
      </w:r>
    </w:p>
    <w:p w14:paraId="3646CA13">
      <w:pPr>
        <w:pStyle w:val="2"/>
        <w:rPr>
          <w:rFonts w:hint="default"/>
          <w:lang w:val="en-US" w:eastAsia="zh-CN"/>
        </w:rPr>
      </w:pPr>
    </w:p>
    <w:p w14:paraId="442AA5D9">
      <w:pPr>
        <w:numPr>
          <w:ilvl w:val="0"/>
          <w:numId w:val="0"/>
        </w:numPr>
        <w:snapToGrid w:val="0"/>
        <w:spacing w:line="520" w:lineRule="exact"/>
        <w:ind w:leftChars="0" w:firstLine="640" w:firstLineChars="200"/>
        <w:rPr>
          <w:rStyle w:val="16"/>
          <w:rFonts w:hint="eastAsia" w:ascii="黑体" w:hAnsi="黑体" w:eastAsia="黑体"/>
          <w:b w:val="0"/>
          <w:bCs w:val="0"/>
        </w:rPr>
      </w:pPr>
      <w:bookmarkStart w:id="16" w:name="_Toc15377200"/>
      <w:bookmarkStart w:id="17" w:name="_Toc15396601"/>
      <w:bookmarkStart w:id="18" w:name="YS060102"/>
      <w:r>
        <w:rPr>
          <w:rStyle w:val="16"/>
          <w:rFonts w:hint="eastAsia" w:ascii="黑体" w:hAnsi="黑体" w:eastAsia="黑体"/>
          <w:b w:val="0"/>
          <w:bCs w:val="0"/>
          <w:lang w:val="en-US" w:eastAsia="zh-CN"/>
        </w:rPr>
        <w:t>二、</w:t>
      </w:r>
      <w:r>
        <w:rPr>
          <w:rStyle w:val="16"/>
          <w:rFonts w:hint="eastAsia" w:ascii="黑体" w:hAnsi="黑体" w:eastAsia="黑体"/>
          <w:b w:val="0"/>
          <w:bCs w:val="0"/>
        </w:rPr>
        <w:t>机构设置</w:t>
      </w:r>
      <w:bookmarkEnd w:id="16"/>
      <w:bookmarkEnd w:id="17"/>
    </w:p>
    <w:p w14:paraId="3F92B598">
      <w:pPr>
        <w:snapToGrid w:val="0"/>
        <w:spacing w:line="520" w:lineRule="exact"/>
        <w:ind w:firstLine="640" w:firstLineChars="200"/>
        <w:rPr>
          <w:rFonts w:hint="eastAsia" w:ascii="仿宋_GB2312" w:hAnsi="仿宋" w:eastAsia="仿宋_GB2312"/>
          <w:sz w:val="32"/>
          <w:szCs w:val="32"/>
        </w:rPr>
      </w:pPr>
    </w:p>
    <w:p w14:paraId="291E3FBC">
      <w:pPr>
        <w:snapToGrid w:val="0"/>
        <w:spacing w:line="520" w:lineRule="exact"/>
        <w:ind w:firstLine="640" w:firstLineChars="200"/>
        <w:rPr>
          <w:rFonts w:hint="default" w:ascii="仿宋_GB2312" w:hAnsi="仿宋" w:eastAsia="仿宋_GB2312"/>
          <w:sz w:val="32"/>
          <w:szCs w:val="32"/>
          <w:lang w:val="en-US" w:eastAsia="zh-CN"/>
        </w:rPr>
      </w:pPr>
      <w:r>
        <w:rPr>
          <w:rFonts w:hint="eastAsia" w:ascii="仿宋_GB2312" w:hAnsi="仿宋" w:eastAsia="仿宋_GB2312"/>
          <w:sz w:val="32"/>
          <w:szCs w:val="32"/>
        </w:rPr>
        <w:t>区林业局</w:t>
      </w:r>
      <w:r>
        <w:rPr>
          <w:rFonts w:hint="eastAsia" w:ascii="仿宋_GB2312" w:hAnsi="仿宋" w:eastAsia="仿宋_GB2312"/>
          <w:sz w:val="32"/>
          <w:szCs w:val="32"/>
          <w:lang w:val="en-US" w:eastAsia="zh-CN"/>
        </w:rPr>
        <w:t>下属</w:t>
      </w:r>
      <w:r>
        <w:rPr>
          <w:rFonts w:hint="eastAsia" w:ascii="仿宋" w:hAnsi="仿宋" w:eastAsia="仿宋"/>
          <w:sz w:val="32"/>
          <w:szCs w:val="32"/>
        </w:rPr>
        <w:t>行政单位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_GB2312" w:hAnsi="仿宋" w:eastAsia="仿宋_GB2312"/>
          <w:sz w:val="32"/>
          <w:szCs w:val="32"/>
          <w:lang w:val="en-US" w:eastAsia="zh-CN"/>
        </w:rPr>
        <w:t>其他事业机构10个。</w:t>
      </w:r>
    </w:p>
    <w:p w14:paraId="07F89BCF">
      <w:pPr>
        <w:pStyle w:val="3"/>
        <w:ind w:right="440"/>
        <w:jc w:val="right"/>
        <w:rPr>
          <w:rStyle w:val="15"/>
          <w:rFonts w:ascii="黑体" w:hAnsi="黑体" w:eastAsia="黑体"/>
          <w:b w:val="0"/>
          <w:bCs w:val="0"/>
        </w:rPr>
      </w:pPr>
      <w:bookmarkStart w:id="19" w:name="_Toc15377204"/>
      <w:bookmarkStart w:id="20"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15"/>
          <w:rFonts w:hint="eastAsia" w:ascii="黑体" w:hAnsi="黑体" w:eastAsia="黑体"/>
          <w:b w:val="0"/>
          <w:bCs w:val="0"/>
        </w:rPr>
        <w:t>2019年度部门决算情况说明</w:t>
      </w:r>
      <w:bookmarkEnd w:id="19"/>
      <w:bookmarkEnd w:id="20"/>
    </w:p>
    <w:p w14:paraId="34DD6DDF">
      <w:pPr>
        <w:pStyle w:val="17"/>
        <w:numPr>
          <w:ilvl w:val="0"/>
          <w:numId w:val="1"/>
        </w:numPr>
        <w:spacing w:line="600" w:lineRule="exact"/>
        <w:ind w:firstLineChars="0"/>
        <w:outlineLvl w:val="1"/>
        <w:rPr>
          <w:rStyle w:val="16"/>
          <w:rFonts w:ascii="黑体" w:hAnsi="黑体" w:eastAsia="黑体"/>
          <w:b w:val="0"/>
        </w:rPr>
      </w:pPr>
      <w:bookmarkStart w:id="21" w:name="_Toc15396603"/>
      <w:bookmarkStart w:id="22" w:name="_Toc15377205"/>
      <w:r>
        <w:rPr>
          <w:rFonts w:hint="eastAsia" w:ascii="黑体" w:hAnsi="黑体" w:eastAsia="黑体"/>
          <w:color w:val="000000"/>
          <w:sz w:val="32"/>
          <w:szCs w:val="32"/>
        </w:rPr>
        <w:t>收</w:t>
      </w:r>
      <w:r>
        <w:rPr>
          <w:rStyle w:val="16"/>
          <w:rFonts w:hint="eastAsia" w:ascii="黑体" w:hAnsi="黑体" w:eastAsia="黑体"/>
          <w:b w:val="0"/>
        </w:rPr>
        <w:t>入支出决算总体情况说明</w:t>
      </w:r>
      <w:bookmarkEnd w:id="21"/>
      <w:bookmarkEnd w:id="22"/>
    </w:p>
    <w:p w14:paraId="14FB4BAE">
      <w:pPr>
        <w:snapToGrid w:val="0"/>
        <w:spacing w:line="520" w:lineRule="exact"/>
        <w:ind w:firstLine="640" w:firstLineChars="200"/>
        <w:rPr>
          <w:rFonts w:hint="eastAsia" w:ascii="仿宋_GB2312" w:hAnsi="仿宋" w:eastAsia="仿宋_GB2312"/>
          <w:sz w:val="32"/>
          <w:szCs w:val="32"/>
          <w:lang w:val="en-US"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9565.06</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1101.53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10.33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lang w:val="en-US" w:eastAsia="zh-CN"/>
        </w:rPr>
        <w:t>2019年到位上级下达项目资金较少。</w:t>
      </w:r>
    </w:p>
    <w:p w14:paraId="1E59746E">
      <w:pPr>
        <w:spacing w:line="600" w:lineRule="exact"/>
        <w:ind w:firstLine="640" w:firstLineChars="200"/>
        <w:rPr>
          <w:rFonts w:hint="eastAsia" w:ascii="黑体" w:hAnsi="黑体" w:eastAsia="黑体"/>
          <w:sz w:val="32"/>
          <w:szCs w:val="32"/>
        </w:rPr>
      </w:pPr>
      <w:r>
        <w:rPr>
          <w:rFonts w:hint="eastAsia" w:ascii="仿宋" w:hAnsi="仿宋" w:eastAsia="仿宋"/>
          <w:color w:val="000000"/>
          <w:sz w:val="32"/>
          <w:szCs w:val="32"/>
          <w:lang w:eastAsia="zh-CN"/>
        </w:rPr>
        <w:drawing>
          <wp:anchor distT="0" distB="0" distL="114300" distR="114300" simplePos="0" relativeHeight="251659264" behindDoc="1" locked="0" layoutInCell="1" allowOverlap="1">
            <wp:simplePos x="0" y="0"/>
            <wp:positionH relativeFrom="column">
              <wp:posOffset>83820</wp:posOffset>
            </wp:positionH>
            <wp:positionV relativeFrom="paragraph">
              <wp:posOffset>241300</wp:posOffset>
            </wp:positionV>
            <wp:extent cx="5080000" cy="2437765"/>
            <wp:effectExtent l="4445" t="4445" r="20955" b="15240"/>
            <wp:wrapTight wrapText="bothSides">
              <wp:wrapPolygon>
                <wp:start x="-19" y="-39"/>
                <wp:lineTo x="-19" y="21397"/>
                <wp:lineTo x="21527" y="21397"/>
                <wp:lineTo x="21527" y="-39"/>
                <wp:lineTo x="-19" y="-39"/>
              </wp:wrapPolygon>
            </wp:wrapTight>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 w:hAnsi="仿宋" w:eastAsia="仿宋"/>
          <w:color w:val="000000"/>
          <w:sz w:val="32"/>
          <w:szCs w:val="32"/>
          <w:lang w:val="en-US" w:eastAsia="zh-CN"/>
        </w:rPr>
        <w:t xml:space="preserve">     </w:t>
      </w: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14:paraId="307593C9">
      <w:pPr>
        <w:pStyle w:val="17"/>
        <w:numPr>
          <w:ilvl w:val="0"/>
          <w:numId w:val="1"/>
        </w:numPr>
        <w:spacing w:line="600" w:lineRule="exact"/>
        <w:ind w:firstLineChars="0"/>
        <w:outlineLvl w:val="1"/>
        <w:rPr>
          <w:rStyle w:val="16"/>
          <w:rFonts w:ascii="黑体" w:hAnsi="黑体" w:eastAsia="黑体"/>
          <w:b w:val="0"/>
        </w:rPr>
      </w:pPr>
      <w:bookmarkStart w:id="23" w:name="_Toc15396604"/>
      <w:bookmarkStart w:id="24" w:name="_Toc15377206"/>
      <w:r>
        <w:rPr>
          <w:rFonts w:hint="eastAsia" w:ascii="黑体" w:hAnsi="黑体" w:eastAsia="黑体"/>
          <w:color w:val="000000"/>
          <w:sz w:val="32"/>
          <w:szCs w:val="32"/>
        </w:rPr>
        <w:t>收</w:t>
      </w:r>
      <w:r>
        <w:rPr>
          <w:rStyle w:val="16"/>
          <w:rFonts w:hint="eastAsia" w:ascii="黑体" w:hAnsi="黑体" w:eastAsia="黑体"/>
          <w:b w:val="0"/>
        </w:rPr>
        <w:t>入决算情况说明</w:t>
      </w:r>
      <w:bookmarkEnd w:id="23"/>
      <w:bookmarkEnd w:id="24"/>
    </w:p>
    <w:p w14:paraId="226DF388">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_GB2312" w:hAnsi="仿宋" w:eastAsia="仿宋_GB2312"/>
          <w:sz w:val="32"/>
          <w:szCs w:val="32"/>
          <w:lang w:val="en-US" w:eastAsia="zh-CN"/>
        </w:rPr>
        <w:t>6147.27万元</w:t>
      </w:r>
      <w:r>
        <w:rPr>
          <w:rFonts w:hint="eastAsia" w:ascii="仿宋" w:hAnsi="仿宋" w:eastAsia="仿宋"/>
          <w:color w:val="000000"/>
          <w:sz w:val="32"/>
          <w:szCs w:val="32"/>
        </w:rPr>
        <w:t>，其中：一般公共预算财政拨款收入</w:t>
      </w:r>
      <w:r>
        <w:rPr>
          <w:rFonts w:hint="eastAsia" w:ascii="仿宋_GB2312" w:hAnsi="仿宋" w:eastAsia="仿宋_GB2312"/>
          <w:sz w:val="32"/>
          <w:szCs w:val="32"/>
          <w:lang w:val="en-US" w:eastAsia="zh-CN"/>
        </w:rPr>
        <w:t>6147.27万元</w:t>
      </w:r>
      <w:r>
        <w:rPr>
          <w:rFonts w:hint="eastAsia" w:ascii="仿宋" w:hAnsi="仿宋" w:eastAsia="仿宋"/>
          <w:color w:val="000000"/>
          <w:sz w:val="32"/>
          <w:szCs w:val="32"/>
        </w:rPr>
        <w:t>，占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780A15D1">
      <w:pPr>
        <w:pStyle w:val="5"/>
        <w:jc w:val="center"/>
        <w:rPr>
          <w:rFonts w:hint="eastAsia" w:ascii="仿宋" w:hAnsi="仿宋" w:eastAsia="仿宋"/>
          <w:color w:val="00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r>
        <w:rPr>
          <w:rFonts w:hint="eastAsia" w:ascii="仿宋" w:hAnsi="仿宋" w:eastAsia="仿宋"/>
          <w:color w:val="000000"/>
          <w:sz w:val="32"/>
          <w:szCs w:val="32"/>
          <w:lang w:eastAsia="zh-CN"/>
        </w:rPr>
        <w:drawing>
          <wp:anchor distT="0" distB="0" distL="114300" distR="114300" simplePos="0" relativeHeight="251660288" behindDoc="1" locked="0" layoutInCell="1" allowOverlap="1">
            <wp:simplePos x="0" y="0"/>
            <wp:positionH relativeFrom="column">
              <wp:posOffset>80645</wp:posOffset>
            </wp:positionH>
            <wp:positionV relativeFrom="paragraph">
              <wp:posOffset>148590</wp:posOffset>
            </wp:positionV>
            <wp:extent cx="5080000" cy="2175510"/>
            <wp:effectExtent l="7620" t="7620" r="17780" b="64770"/>
            <wp:wrapTight wrapText="bothSides">
              <wp:wrapPolygon>
                <wp:start x="49" y="-76"/>
                <wp:lineTo x="-32" y="492"/>
                <wp:lineTo x="-32" y="21108"/>
                <wp:lineTo x="292" y="22054"/>
                <wp:lineTo x="21271" y="22054"/>
                <wp:lineTo x="21595" y="21297"/>
                <wp:lineTo x="21595" y="492"/>
                <wp:lineTo x="21514" y="-76"/>
                <wp:lineTo x="49" y="-76"/>
              </wp:wrapPolygon>
            </wp:wrapTight>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DF0A438">
      <w:pPr>
        <w:pStyle w:val="17"/>
        <w:numPr>
          <w:ilvl w:val="0"/>
          <w:numId w:val="1"/>
        </w:numPr>
        <w:spacing w:line="600" w:lineRule="exact"/>
        <w:ind w:firstLineChars="0"/>
        <w:outlineLvl w:val="1"/>
        <w:rPr>
          <w:rStyle w:val="16"/>
          <w:rFonts w:ascii="黑体" w:hAnsi="黑体" w:eastAsia="黑体"/>
          <w:b w:val="0"/>
        </w:rPr>
      </w:pPr>
      <w:bookmarkStart w:id="25" w:name="_Toc15377207"/>
      <w:bookmarkStart w:id="26" w:name="_Toc15396605"/>
      <w:r>
        <w:rPr>
          <w:rFonts w:hint="eastAsia" w:ascii="黑体" w:hAnsi="黑体" w:eastAsia="黑体"/>
          <w:color w:val="000000"/>
          <w:sz w:val="32"/>
          <w:szCs w:val="32"/>
        </w:rPr>
        <w:t>支</w:t>
      </w:r>
      <w:r>
        <w:rPr>
          <w:rStyle w:val="16"/>
          <w:rFonts w:hint="eastAsia" w:ascii="黑体" w:hAnsi="黑体" w:eastAsia="黑体"/>
          <w:b w:val="0"/>
        </w:rPr>
        <w:t>出决算情况说明</w:t>
      </w:r>
      <w:bookmarkEnd w:id="25"/>
      <w:bookmarkEnd w:id="26"/>
    </w:p>
    <w:p w14:paraId="7BC22228">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_GB2312" w:hAnsi="仿宋" w:eastAsia="仿宋_GB2312"/>
          <w:sz w:val="32"/>
          <w:szCs w:val="32"/>
          <w:lang w:val="en-US" w:eastAsia="zh-CN"/>
        </w:rPr>
        <w:t>6775.75</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731.56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6044.19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89.2</w:t>
      </w:r>
      <w:r>
        <w:rPr>
          <w:rFonts w:ascii="仿宋" w:hAnsi="仿宋" w:eastAsia="仿宋"/>
          <w:color w:val="000000"/>
          <w:sz w:val="32"/>
          <w:szCs w:val="32"/>
        </w:rPr>
        <w:t>%</w:t>
      </w:r>
      <w:r>
        <w:rPr>
          <w:rFonts w:hint="eastAsia" w:ascii="仿宋" w:hAnsi="仿宋" w:eastAsia="仿宋"/>
          <w:color w:val="000000"/>
          <w:sz w:val="32"/>
          <w:szCs w:val="32"/>
        </w:rPr>
        <w:t>。</w:t>
      </w:r>
    </w:p>
    <w:p w14:paraId="4F7BD7C5">
      <w:pPr>
        <w:spacing w:line="600" w:lineRule="exact"/>
        <w:jc w:val="center"/>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drawing>
          <wp:anchor distT="0" distB="0" distL="114300" distR="114300" simplePos="0" relativeHeight="251661312" behindDoc="1" locked="0" layoutInCell="1" allowOverlap="1">
            <wp:simplePos x="0" y="0"/>
            <wp:positionH relativeFrom="column">
              <wp:posOffset>136525</wp:posOffset>
            </wp:positionH>
            <wp:positionV relativeFrom="paragraph">
              <wp:posOffset>204470</wp:posOffset>
            </wp:positionV>
            <wp:extent cx="5080000" cy="2040255"/>
            <wp:effectExtent l="7620" t="7620" r="17780" b="66675"/>
            <wp:wrapTight wrapText="bothSides">
              <wp:wrapPolygon>
                <wp:start x="49" y="-81"/>
                <wp:lineTo x="-32" y="524"/>
                <wp:lineTo x="-32" y="21499"/>
                <wp:lineTo x="292" y="22104"/>
                <wp:lineTo x="21190" y="22104"/>
                <wp:lineTo x="21595" y="21297"/>
                <wp:lineTo x="21595" y="524"/>
                <wp:lineTo x="21514" y="-81"/>
                <wp:lineTo x="49" y="-81"/>
              </wp:wrapPolygon>
            </wp:wrapTight>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000000" w:themeColor="text1"/>
          <w:sz w:val="32"/>
          <w:szCs w:val="32"/>
          <w14:textFill>
            <w14:solidFill>
              <w14:schemeClr w14:val="tx1"/>
            </w14:solidFill>
          </w14:textFill>
        </w:rPr>
        <w:t>图3：支出决算结构图</w:t>
      </w:r>
    </w:p>
    <w:p w14:paraId="1CF55806">
      <w:pPr>
        <w:spacing w:line="600" w:lineRule="exact"/>
        <w:ind w:firstLine="640" w:firstLineChars="200"/>
        <w:outlineLvl w:val="1"/>
        <w:rPr>
          <w:rStyle w:val="16"/>
          <w:rFonts w:ascii="黑体" w:hAnsi="黑体" w:eastAsia="黑体"/>
          <w:b w:val="0"/>
        </w:rPr>
      </w:pPr>
      <w:bookmarkStart w:id="27" w:name="_Toc15377208"/>
      <w:bookmarkStart w:id="28" w:name="_Toc15396606"/>
      <w:r>
        <w:rPr>
          <w:rFonts w:hint="eastAsia" w:ascii="黑体" w:hAnsi="黑体" w:eastAsia="黑体"/>
          <w:color w:val="000000"/>
          <w:sz w:val="32"/>
          <w:szCs w:val="32"/>
        </w:rPr>
        <w:t>四、财</w:t>
      </w:r>
      <w:r>
        <w:rPr>
          <w:rStyle w:val="16"/>
          <w:rFonts w:hint="eastAsia" w:ascii="黑体" w:hAnsi="黑体" w:eastAsia="黑体"/>
          <w:b w:val="0"/>
        </w:rPr>
        <w:t>政拨款收入支出决算总体情况说明</w:t>
      </w:r>
      <w:bookmarkEnd w:id="27"/>
      <w:bookmarkEnd w:id="28"/>
    </w:p>
    <w:p w14:paraId="26819758">
      <w:pPr>
        <w:spacing w:line="600" w:lineRule="exact"/>
        <w:ind w:firstLine="640"/>
        <w:rPr>
          <w:rFonts w:hint="eastAsia" w:ascii="仿宋_GB2312" w:hAnsi="仿宋" w:eastAsia="仿宋_GB2312"/>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9565.06</w:t>
      </w:r>
      <w:r>
        <w:rPr>
          <w:rFonts w:hint="eastAsia" w:ascii="仿宋" w:hAnsi="仿宋" w:eastAsia="仿宋"/>
          <w:color w:val="000000"/>
          <w:sz w:val="32"/>
          <w:szCs w:val="32"/>
        </w:rPr>
        <w:t>万元。与2018年相比，收、支总计各减少</w:t>
      </w:r>
      <w:r>
        <w:rPr>
          <w:rFonts w:hint="eastAsia" w:ascii="仿宋" w:hAnsi="仿宋" w:eastAsia="仿宋"/>
          <w:color w:val="000000"/>
          <w:sz w:val="32"/>
          <w:szCs w:val="32"/>
          <w:lang w:val="en-US" w:eastAsia="zh-CN"/>
        </w:rPr>
        <w:t>1101.53</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10.33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_GB2312" w:hAnsi="仿宋" w:eastAsia="仿宋_GB2312"/>
          <w:sz w:val="32"/>
          <w:szCs w:val="32"/>
          <w:lang w:val="en-US" w:eastAsia="zh-CN"/>
        </w:rPr>
        <w:t>2019年到位上级下达项目资金较少。</w:t>
      </w:r>
    </w:p>
    <w:p w14:paraId="5DB47711">
      <w:pPr>
        <w:pStyle w:val="5"/>
        <w:jc w:val="center"/>
        <w:rPr>
          <w:rFonts w:ascii="仿宋" w:hAnsi="仿宋" w:eastAsia="仿宋"/>
          <w:b/>
          <w:color w:val="00B050"/>
          <w:sz w:val="32"/>
          <w:szCs w:val="32"/>
        </w:rPr>
      </w:pPr>
      <w:r>
        <w:rPr>
          <w:rFonts w:hint="eastAsia" w:ascii="仿宋" w:hAnsi="仿宋" w:eastAsia="仿宋"/>
          <w:color w:val="000000"/>
          <w:sz w:val="32"/>
          <w:szCs w:val="32"/>
          <w:lang w:eastAsia="zh-CN"/>
        </w:rPr>
        <w:drawing>
          <wp:anchor distT="0" distB="0" distL="114300" distR="114300" simplePos="0" relativeHeight="251662336" behindDoc="1" locked="0" layoutInCell="1" allowOverlap="1">
            <wp:simplePos x="0" y="0"/>
            <wp:positionH relativeFrom="column">
              <wp:posOffset>12700</wp:posOffset>
            </wp:positionH>
            <wp:positionV relativeFrom="paragraph">
              <wp:posOffset>208915</wp:posOffset>
            </wp:positionV>
            <wp:extent cx="5080000" cy="2437765"/>
            <wp:effectExtent l="4445" t="4445" r="20955" b="15240"/>
            <wp:wrapTight wrapText="bothSides">
              <wp:wrapPolygon>
                <wp:start x="-19" y="-39"/>
                <wp:lineTo x="-19" y="21397"/>
                <wp:lineTo x="21527" y="21397"/>
                <wp:lineTo x="21527" y="-39"/>
                <wp:lineTo x="-19" y="-39"/>
              </wp:wrapPolygon>
            </wp:wrapTight>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000000" w:themeColor="text1"/>
          <w:sz w:val="32"/>
          <w:szCs w:val="32"/>
          <w14:textFill>
            <w14:solidFill>
              <w14:schemeClr w14:val="tx1"/>
            </w14:solidFill>
          </w14:textFill>
        </w:rPr>
        <w:t>图4：财政拨款收、支决算总计变动情况</w:t>
      </w:r>
    </w:p>
    <w:p w14:paraId="7A7223FE">
      <w:pPr>
        <w:spacing w:line="600" w:lineRule="exact"/>
        <w:ind w:firstLine="640" w:firstLineChars="200"/>
        <w:outlineLvl w:val="1"/>
        <w:rPr>
          <w:rStyle w:val="16"/>
          <w:rFonts w:ascii="黑体" w:hAnsi="黑体" w:eastAsia="黑体"/>
          <w:b w:val="0"/>
        </w:rPr>
      </w:pPr>
      <w:bookmarkStart w:id="29" w:name="_Toc15396607"/>
      <w:bookmarkStart w:id="30"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6"/>
          <w:rFonts w:hint="eastAsia" w:ascii="黑体" w:hAnsi="黑体" w:eastAsia="黑体"/>
          <w:b w:val="0"/>
        </w:rPr>
        <w:t>般公共预算财政拨款支出决算情况说明</w:t>
      </w:r>
      <w:bookmarkEnd w:id="29"/>
      <w:bookmarkEnd w:id="30"/>
    </w:p>
    <w:p w14:paraId="7AA590B2">
      <w:pPr>
        <w:spacing w:line="600" w:lineRule="exact"/>
        <w:ind w:firstLine="643" w:firstLineChars="200"/>
        <w:outlineLvl w:val="2"/>
        <w:rPr>
          <w:rFonts w:ascii="仿宋" w:hAnsi="仿宋" w:eastAsia="仿宋"/>
          <w:b/>
          <w:color w:val="000000"/>
          <w:sz w:val="32"/>
          <w:szCs w:val="32"/>
        </w:rPr>
      </w:pPr>
      <w:bookmarkStart w:id="31" w:name="_Toc15377210"/>
      <w:r>
        <w:rPr>
          <w:rFonts w:hint="eastAsia" w:ascii="仿宋" w:hAnsi="仿宋" w:eastAsia="仿宋"/>
          <w:b/>
          <w:color w:val="000000"/>
          <w:sz w:val="32"/>
          <w:szCs w:val="32"/>
        </w:rPr>
        <w:t>（一）一般公共预算财政拨款支出决算总体情况</w:t>
      </w:r>
      <w:bookmarkEnd w:id="31"/>
    </w:p>
    <w:p w14:paraId="1AEF24A8">
      <w:pPr>
        <w:spacing w:line="600" w:lineRule="exact"/>
        <w:ind w:firstLine="640" w:firstLineChars="200"/>
        <w:rPr>
          <w:rFonts w:hint="default" w:ascii="仿宋" w:hAnsi="仿宋" w:eastAsia="仿宋"/>
          <w:color w:val="000000"/>
          <w:sz w:val="32"/>
          <w:szCs w:val="32"/>
          <w:lang w:val="en-US" w:eastAsia="zh-CN"/>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6775.75</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w:t>
      </w:r>
      <w:r>
        <w:rPr>
          <w:rFonts w:hint="eastAsia" w:ascii="仿宋" w:hAnsi="仿宋" w:eastAsia="仿宋"/>
          <w:color w:val="000000"/>
          <w:sz w:val="32"/>
          <w:szCs w:val="32"/>
          <w:lang w:val="en-US" w:eastAsia="zh-CN"/>
        </w:rPr>
        <w:t>659.21</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10.78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2019年所有支出均为一般公共预算财政拨款支出，2018年支出中包含1041.23万元政府性基金预算支出。</w:t>
      </w:r>
    </w:p>
    <w:p w14:paraId="3C91FCCF">
      <w:pPr>
        <w:spacing w:line="600" w:lineRule="exact"/>
        <w:ind w:firstLine="840" w:firstLineChars="400"/>
        <w:jc w:val="both"/>
        <w:rPr>
          <w:rFonts w:ascii="仿宋" w:hAnsi="仿宋" w:eastAsia="仿宋"/>
          <w:color w:val="000000" w:themeColor="text1"/>
          <w:sz w:val="32"/>
          <w:szCs w:val="32"/>
          <w14:textFill>
            <w14:solidFill>
              <w14:schemeClr w14:val="tx1"/>
            </w14:solidFill>
          </w14:textFill>
        </w:rPr>
      </w:pPr>
      <w:r>
        <w:rPr>
          <w:rFonts w:hint="eastAsia" w:eastAsiaTheme="minorEastAsia"/>
        </w:rPr>
        <w:drawing>
          <wp:anchor distT="0" distB="0" distL="114300" distR="114300" simplePos="0" relativeHeight="251663360" behindDoc="1" locked="0" layoutInCell="1" allowOverlap="1">
            <wp:simplePos x="0" y="0"/>
            <wp:positionH relativeFrom="column">
              <wp:posOffset>86995</wp:posOffset>
            </wp:positionH>
            <wp:positionV relativeFrom="paragraph">
              <wp:posOffset>125730</wp:posOffset>
            </wp:positionV>
            <wp:extent cx="4998720" cy="2008505"/>
            <wp:effectExtent l="4445" t="4445" r="6985" b="82550"/>
            <wp:wrapTight wrapText="bothSides">
              <wp:wrapPolygon>
                <wp:start x="-19" y="-48"/>
                <wp:lineTo x="-19" y="22078"/>
                <wp:lineTo x="21548" y="22078"/>
                <wp:lineTo x="21548" y="-48"/>
                <wp:lineTo x="-19" y="-48"/>
              </wp:wrapPolygon>
            </wp:wrapTight>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14:paraId="22D65A1D">
      <w:pPr>
        <w:spacing w:line="600" w:lineRule="exact"/>
        <w:ind w:firstLine="643" w:firstLineChars="200"/>
        <w:outlineLvl w:val="2"/>
        <w:rPr>
          <w:rFonts w:ascii="仿宋" w:hAnsi="仿宋" w:eastAsia="仿宋"/>
          <w:b/>
          <w:color w:val="000000"/>
          <w:sz w:val="32"/>
          <w:szCs w:val="32"/>
        </w:rPr>
      </w:pPr>
      <w:bookmarkStart w:id="32" w:name="_Toc15377211"/>
      <w:r>
        <w:rPr>
          <w:rFonts w:hint="eastAsia" w:ascii="仿宋" w:hAnsi="仿宋" w:eastAsia="仿宋"/>
          <w:b/>
          <w:color w:val="000000"/>
          <w:sz w:val="32"/>
          <w:szCs w:val="32"/>
        </w:rPr>
        <w:t>（二）一般公共预算财政拨款支出决算结构情况</w:t>
      </w:r>
      <w:bookmarkEnd w:id="32"/>
    </w:p>
    <w:p w14:paraId="019D2630">
      <w:pPr>
        <w:spacing w:line="600" w:lineRule="exact"/>
        <w:ind w:firstLine="64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6775.75</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节能环保支出</w:t>
      </w:r>
      <w:r>
        <w:rPr>
          <w:rFonts w:hint="eastAsia" w:ascii="仿宋" w:hAnsi="仿宋" w:eastAsia="仿宋"/>
          <w:b w:val="0"/>
          <w:bCs/>
          <w:color w:val="000000" w:themeColor="text1"/>
          <w:sz w:val="32"/>
          <w:szCs w:val="32"/>
          <w:lang w:val="en-US" w:eastAsia="zh-CN"/>
          <w14:textFill>
            <w14:solidFill>
              <w14:schemeClr w14:val="tx1"/>
            </w14:solidFill>
          </w14:textFill>
        </w:rPr>
        <w:t>604.09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8.92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农林水支出</w:t>
      </w:r>
      <w:r>
        <w:rPr>
          <w:rFonts w:hint="eastAsia" w:ascii="仿宋" w:hAnsi="仿宋" w:eastAsia="仿宋"/>
          <w:color w:val="000000" w:themeColor="text1"/>
          <w:sz w:val="32"/>
          <w:szCs w:val="32"/>
          <w:lang w:val="en-US" w:eastAsia="zh-CN"/>
          <w14:textFill>
            <w14:solidFill>
              <w14:schemeClr w14:val="tx1"/>
            </w14:solidFill>
          </w14:textFill>
        </w:rPr>
        <w:t>6171.66</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91.08</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14:paraId="1A09004A">
      <w:pPr>
        <w:spacing w:line="600" w:lineRule="exact"/>
        <w:jc w:val="center"/>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4384" behindDoc="1" locked="0" layoutInCell="1" allowOverlap="1">
            <wp:simplePos x="0" y="0"/>
            <wp:positionH relativeFrom="column">
              <wp:posOffset>95885</wp:posOffset>
            </wp:positionH>
            <wp:positionV relativeFrom="paragraph">
              <wp:posOffset>140970</wp:posOffset>
            </wp:positionV>
            <wp:extent cx="5080000" cy="2166620"/>
            <wp:effectExtent l="7620" t="7620" r="17780" b="54610"/>
            <wp:wrapTight wrapText="bothSides">
              <wp:wrapPolygon>
                <wp:start x="49" y="-76"/>
                <wp:lineTo x="-32" y="494"/>
                <wp:lineTo x="-32" y="21195"/>
                <wp:lineTo x="130" y="21955"/>
                <wp:lineTo x="21433" y="21955"/>
                <wp:lineTo x="21595" y="21005"/>
                <wp:lineTo x="21595" y="494"/>
                <wp:lineTo x="21514" y="-76"/>
                <wp:lineTo x="49" y="-76"/>
              </wp:wrapPolygon>
            </wp:wrapTight>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000000"/>
          <w:sz w:val="32"/>
          <w:szCs w:val="32"/>
        </w:rPr>
        <w:t>图6：一般公共预算财政拨款支出决算结构</w:t>
      </w:r>
    </w:p>
    <w:p w14:paraId="23F32538">
      <w:pPr>
        <w:spacing w:line="600" w:lineRule="exact"/>
        <w:ind w:firstLine="643" w:firstLineChars="200"/>
        <w:outlineLvl w:val="2"/>
        <w:rPr>
          <w:rFonts w:ascii="仿宋" w:hAnsi="仿宋" w:eastAsia="仿宋"/>
          <w:b/>
          <w:color w:val="000000"/>
          <w:sz w:val="32"/>
          <w:szCs w:val="32"/>
        </w:rPr>
      </w:pPr>
      <w:bookmarkStart w:id="33" w:name="_Toc15377212"/>
      <w:r>
        <w:rPr>
          <w:rFonts w:hint="eastAsia" w:ascii="仿宋" w:hAnsi="仿宋" w:eastAsia="仿宋"/>
          <w:b/>
          <w:color w:val="000000"/>
          <w:sz w:val="32"/>
          <w:szCs w:val="32"/>
        </w:rPr>
        <w:t>（三）一般公共预算财政拨款支出决算具体情况</w:t>
      </w:r>
      <w:bookmarkEnd w:id="33"/>
    </w:p>
    <w:p w14:paraId="56C22222">
      <w:pPr>
        <w:spacing w:line="600" w:lineRule="exact"/>
        <w:ind w:firstLine="643" w:firstLineChars="200"/>
        <w:outlineLvl w:val="2"/>
        <w:rPr>
          <w:rFonts w:ascii="仿宋" w:hAnsi="仿宋" w:eastAsia="仿宋"/>
          <w:color w:val="FF0000"/>
          <w:sz w:val="32"/>
          <w:szCs w:val="32"/>
        </w:rPr>
      </w:pPr>
      <w:bookmarkStart w:id="34" w:name="_Toc15377444"/>
      <w:bookmarkStart w:id="35" w:name="_Toc15378460"/>
      <w:bookmarkStart w:id="36" w:name="_Toc15377213"/>
      <w:r>
        <w:rPr>
          <w:rFonts w:hint="eastAsia" w:ascii="仿宋" w:hAnsi="仿宋" w:eastAsia="仿宋"/>
          <w:b/>
          <w:color w:val="000000" w:themeColor="text1"/>
          <w:sz w:val="32"/>
          <w:szCs w:val="32"/>
          <w14:textFill>
            <w14:solidFill>
              <w14:schemeClr w14:val="tx1"/>
            </w14:solidFill>
          </w14:textFill>
        </w:rPr>
        <w:t>2019年</w:t>
      </w:r>
      <w:r>
        <w:rPr>
          <w:rFonts w:hint="eastAsia" w:ascii="仿宋" w:hAnsi="仿宋" w:eastAsia="仿宋"/>
          <w:b/>
          <w:color w:val="000000" w:themeColor="text1"/>
          <w:sz w:val="32"/>
          <w:szCs w:val="32"/>
          <w:lang w:val="en-US"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6775.75万元</w:t>
      </w:r>
      <w:r>
        <w:rPr>
          <w:rFonts w:hint="eastAsia" w:ascii="仿宋" w:hAnsi="仿宋" w:eastAsia="仿宋"/>
          <w:color w:val="000000" w:themeColor="text1"/>
          <w:sz w:val="32"/>
          <w:szCs w:val="32"/>
          <w14:textFill>
            <w14:solidFill>
              <w14:schemeClr w14:val="tx1"/>
            </w14:solidFill>
          </w14:textFill>
        </w:rPr>
        <w:t>，</w:t>
      </w:r>
      <w:r>
        <w:rPr>
          <w:rStyle w:val="12"/>
          <w:rFonts w:hint="eastAsia" w:ascii="仿宋" w:hAnsi="仿宋" w:eastAsia="仿宋"/>
          <w:bCs/>
          <w:color w:val="000000" w:themeColor="text1"/>
          <w:sz w:val="32"/>
          <w:szCs w:val="32"/>
          <w14:textFill>
            <w14:solidFill>
              <w14:schemeClr w14:val="tx1"/>
            </w14:solidFill>
          </w14:textFill>
        </w:rPr>
        <w:t>完成</w:t>
      </w:r>
      <w:r>
        <w:rPr>
          <w:rStyle w:val="12"/>
          <w:rFonts w:hint="eastAsia" w:ascii="仿宋" w:hAnsi="仿宋" w:eastAsia="仿宋"/>
          <w:bCs/>
          <w:color w:val="000000"/>
          <w:sz w:val="32"/>
          <w:szCs w:val="32"/>
        </w:rPr>
        <w:t>预算</w:t>
      </w:r>
      <w:r>
        <w:rPr>
          <w:rStyle w:val="12"/>
          <w:rFonts w:hint="eastAsia" w:ascii="仿宋" w:hAnsi="仿宋" w:eastAsia="仿宋"/>
          <w:bCs/>
          <w:color w:val="000000"/>
          <w:sz w:val="32"/>
          <w:szCs w:val="32"/>
          <w:lang w:val="en-US" w:eastAsia="zh-CN"/>
        </w:rPr>
        <w:t>110.22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。其中：</w:t>
      </w:r>
      <w:bookmarkEnd w:id="34"/>
      <w:bookmarkEnd w:id="35"/>
      <w:bookmarkEnd w:id="36"/>
    </w:p>
    <w:p w14:paraId="6D2FA116">
      <w:pPr>
        <w:spacing w:line="600" w:lineRule="exact"/>
        <w:ind w:firstLine="643" w:firstLineChars="200"/>
        <w:rPr>
          <w:rFonts w:ascii="仿宋" w:hAnsi="仿宋" w:eastAsia="仿宋"/>
          <w:b/>
          <w:color w:val="000000"/>
          <w:sz w:val="32"/>
          <w:szCs w:val="32"/>
        </w:rPr>
      </w:pPr>
      <w:r>
        <w:rPr>
          <w:rStyle w:val="12"/>
          <w:rFonts w:ascii="仿宋" w:hAnsi="仿宋" w:eastAsia="仿宋"/>
          <w:bCs/>
          <w:color w:val="000000"/>
          <w:sz w:val="32"/>
          <w:szCs w:val="32"/>
        </w:rPr>
        <w:t>1.</w:t>
      </w:r>
      <w:r>
        <w:rPr>
          <w:rStyle w:val="12"/>
          <w:rFonts w:hint="eastAsia" w:ascii="仿宋" w:hAnsi="仿宋" w:eastAsia="仿宋"/>
          <w:bCs/>
          <w:color w:val="000000"/>
          <w:sz w:val="32"/>
          <w:szCs w:val="32"/>
        </w:rPr>
        <w:t>节能环保支出（类）退耕还林（款）退耕现金（项）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505.95</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103.85</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w:t>
      </w:r>
      <w:r>
        <w:rPr>
          <w:rStyle w:val="12"/>
          <w:rFonts w:hint="eastAsia" w:ascii="仿宋" w:hAnsi="仿宋" w:eastAsia="仿宋"/>
          <w:b w:val="0"/>
          <w:bCs/>
          <w:color w:val="000000"/>
          <w:sz w:val="32"/>
          <w:szCs w:val="32"/>
          <w:lang w:val="en-US" w:eastAsia="zh-CN"/>
        </w:rPr>
        <w:t>大于</w:t>
      </w:r>
      <w:r>
        <w:rPr>
          <w:rStyle w:val="12"/>
          <w:rFonts w:hint="eastAsia" w:ascii="仿宋" w:hAnsi="仿宋" w:eastAsia="仿宋"/>
          <w:b w:val="0"/>
          <w:bCs/>
          <w:color w:val="000000"/>
          <w:sz w:val="32"/>
          <w:szCs w:val="32"/>
        </w:rPr>
        <w:t>预算数的主要原因是</w:t>
      </w:r>
      <w:r>
        <w:rPr>
          <w:rStyle w:val="12"/>
          <w:rFonts w:hint="eastAsia" w:ascii="仿宋" w:hAnsi="仿宋" w:eastAsia="仿宋"/>
          <w:b w:val="0"/>
          <w:bCs/>
          <w:color w:val="000000"/>
          <w:sz w:val="32"/>
          <w:szCs w:val="32"/>
          <w:lang w:val="en-US" w:eastAsia="zh-CN"/>
        </w:rPr>
        <w:t>兑现了部分以前年度的退耕还林资金</w:t>
      </w:r>
      <w:r>
        <w:rPr>
          <w:rStyle w:val="12"/>
          <w:rFonts w:hint="eastAsia" w:ascii="仿宋" w:hAnsi="仿宋" w:eastAsia="仿宋"/>
          <w:b w:val="0"/>
          <w:bCs/>
          <w:color w:val="000000"/>
          <w:sz w:val="32"/>
          <w:szCs w:val="32"/>
        </w:rPr>
        <w:t>。</w:t>
      </w:r>
    </w:p>
    <w:p w14:paraId="444EE999">
      <w:pPr>
        <w:spacing w:line="600" w:lineRule="exact"/>
        <w:ind w:firstLine="643" w:firstLineChars="200"/>
        <w:rPr>
          <w:rStyle w:val="12"/>
          <w:rFonts w:ascii="仿宋" w:hAnsi="仿宋" w:eastAsia="仿宋"/>
          <w:bCs/>
          <w:color w:val="000000"/>
          <w:sz w:val="32"/>
          <w:szCs w:val="32"/>
        </w:rPr>
      </w:pPr>
      <w:r>
        <w:rPr>
          <w:rStyle w:val="12"/>
          <w:rFonts w:hint="eastAsia" w:ascii="仿宋" w:hAnsi="仿宋" w:eastAsia="仿宋"/>
          <w:bCs/>
          <w:color w:val="000000"/>
          <w:sz w:val="32"/>
          <w:szCs w:val="32"/>
          <w:lang w:val="en-US" w:eastAsia="zh-CN"/>
        </w:rPr>
        <w:t>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节能环保支出（类）退耕还林（款）退耕还林工程建设（项）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78.11</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4AA13BF8">
      <w:pPr>
        <w:spacing w:line="600" w:lineRule="exact"/>
        <w:ind w:firstLine="643" w:firstLineChars="200"/>
        <w:rPr>
          <w:rStyle w:val="12"/>
          <w:rFonts w:ascii="仿宋" w:hAnsi="仿宋" w:eastAsia="仿宋"/>
          <w:bCs/>
          <w:color w:val="000000"/>
          <w:sz w:val="32"/>
          <w:szCs w:val="32"/>
        </w:rPr>
      </w:pPr>
      <w:r>
        <w:rPr>
          <w:rStyle w:val="12"/>
          <w:rFonts w:hint="eastAsia" w:ascii="仿宋" w:hAnsi="仿宋" w:eastAsia="仿宋"/>
          <w:bCs/>
          <w:color w:val="000000"/>
          <w:sz w:val="32"/>
          <w:szCs w:val="32"/>
          <w:lang w:val="en-US" w:eastAsia="zh-CN"/>
        </w:rPr>
        <w:t>3</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节能环保支出（类）其他节能环保支出（款）其他节能环保支出（项）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20</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6B60B58D">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4</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农林水支出（类）农业（款）其他农业支出（项）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1567.41</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p>
    <w:p w14:paraId="7B3E5509">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5</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农林水支出（类）林业和草原（款）行政运行（项）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731.56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94.77</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，决算数小于预算数的主要原因是</w:t>
      </w:r>
      <w:r>
        <w:rPr>
          <w:rStyle w:val="12"/>
          <w:rFonts w:hint="eastAsia" w:ascii="仿宋" w:hAnsi="仿宋" w:eastAsia="仿宋"/>
          <w:b w:val="0"/>
          <w:bCs/>
          <w:color w:val="000000"/>
          <w:sz w:val="32"/>
          <w:szCs w:val="32"/>
          <w:lang w:val="en-US" w:eastAsia="zh-CN"/>
        </w:rPr>
        <w:t>个别小班验收不合格，正在整改中，待整改完成后拨付报账资金</w:t>
      </w:r>
      <w:r>
        <w:rPr>
          <w:rStyle w:val="12"/>
          <w:rFonts w:hint="eastAsia" w:ascii="仿宋" w:hAnsi="仿宋" w:eastAsia="仿宋"/>
          <w:b w:val="0"/>
          <w:bCs/>
          <w:color w:val="000000"/>
          <w:sz w:val="32"/>
          <w:szCs w:val="32"/>
        </w:rPr>
        <w:t>。</w:t>
      </w:r>
    </w:p>
    <w:p w14:paraId="00714D99">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6</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农林水支出（类）林业和草原（款）森林培育（项）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518.88</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1449.39</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w:t>
      </w:r>
      <w:r>
        <w:rPr>
          <w:rStyle w:val="12"/>
          <w:rFonts w:hint="eastAsia" w:ascii="仿宋" w:hAnsi="仿宋" w:eastAsia="仿宋"/>
          <w:b w:val="0"/>
          <w:bCs/>
          <w:color w:val="000000"/>
          <w:sz w:val="32"/>
          <w:szCs w:val="32"/>
          <w:lang w:val="en-US" w:eastAsia="zh-CN"/>
        </w:rPr>
        <w:t>大于</w:t>
      </w:r>
      <w:r>
        <w:rPr>
          <w:rStyle w:val="12"/>
          <w:rFonts w:hint="eastAsia" w:ascii="仿宋" w:hAnsi="仿宋" w:eastAsia="仿宋"/>
          <w:b w:val="0"/>
          <w:bCs/>
          <w:color w:val="000000"/>
          <w:sz w:val="32"/>
          <w:szCs w:val="32"/>
        </w:rPr>
        <w:t>预算数的主要原因是</w:t>
      </w:r>
      <w:r>
        <w:rPr>
          <w:rStyle w:val="12"/>
          <w:rFonts w:hint="eastAsia" w:ascii="仿宋" w:hAnsi="仿宋" w:eastAsia="仿宋"/>
          <w:b w:val="0"/>
          <w:bCs/>
          <w:color w:val="000000"/>
          <w:sz w:val="32"/>
          <w:szCs w:val="32"/>
          <w:lang w:val="en-US" w:eastAsia="zh-CN"/>
        </w:rPr>
        <w:t>支付了以前年度的项目资金</w:t>
      </w:r>
      <w:r>
        <w:rPr>
          <w:rStyle w:val="12"/>
          <w:rFonts w:hint="eastAsia" w:ascii="仿宋" w:hAnsi="仿宋" w:eastAsia="仿宋"/>
          <w:b w:val="0"/>
          <w:bCs/>
          <w:color w:val="000000"/>
          <w:sz w:val="32"/>
          <w:szCs w:val="32"/>
        </w:rPr>
        <w:t>。</w:t>
      </w:r>
    </w:p>
    <w:p w14:paraId="27312B59">
      <w:pPr>
        <w:spacing w:line="600" w:lineRule="exact"/>
        <w:ind w:firstLine="643" w:firstLineChars="200"/>
        <w:rPr>
          <w:rFonts w:ascii="仿宋" w:hAnsi="仿宋" w:eastAsia="仿宋"/>
          <w:b/>
          <w:color w:val="000000"/>
          <w:sz w:val="32"/>
          <w:szCs w:val="32"/>
        </w:rPr>
      </w:pPr>
      <w:r>
        <w:rPr>
          <w:rStyle w:val="12"/>
          <w:rFonts w:hint="eastAsia" w:ascii="仿宋" w:hAnsi="仿宋" w:eastAsia="仿宋"/>
          <w:bCs/>
          <w:color w:val="000000"/>
          <w:sz w:val="32"/>
          <w:szCs w:val="32"/>
          <w:lang w:val="en-US" w:eastAsia="zh-CN"/>
        </w:rPr>
        <w:t>7</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农林水支出（类）林业和草原（款）森林资源管理（项）</w:t>
      </w:r>
      <w:r>
        <w:rPr>
          <w:rStyle w:val="12"/>
          <w:rFonts w:ascii="仿宋" w:hAnsi="仿宋" w:eastAsia="仿宋"/>
          <w:bCs/>
          <w:color w:val="000000"/>
          <w:sz w:val="32"/>
          <w:szCs w:val="32"/>
        </w:rPr>
        <w:t>:</w:t>
      </w:r>
      <w:r>
        <w:rPr>
          <w:rStyle w:val="12"/>
          <w:rFonts w:ascii="仿宋" w:hAnsi="仿宋" w:eastAsia="仿宋"/>
          <w:b w:val="0"/>
          <w:bCs/>
          <w:color w:val="000000"/>
          <w:sz w:val="32"/>
          <w:szCs w:val="32"/>
        </w:rPr>
        <w:t xml:space="preserve"> </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448.86</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122.77</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w:t>
      </w:r>
      <w:r>
        <w:rPr>
          <w:rStyle w:val="12"/>
          <w:rFonts w:hint="eastAsia" w:ascii="仿宋" w:hAnsi="仿宋" w:eastAsia="仿宋"/>
          <w:b w:val="0"/>
          <w:bCs/>
          <w:color w:val="000000"/>
          <w:sz w:val="32"/>
          <w:szCs w:val="32"/>
          <w:lang w:val="en-US" w:eastAsia="zh-CN"/>
        </w:rPr>
        <w:t>大于</w:t>
      </w:r>
      <w:r>
        <w:rPr>
          <w:rStyle w:val="12"/>
          <w:rFonts w:hint="eastAsia" w:ascii="仿宋" w:hAnsi="仿宋" w:eastAsia="仿宋"/>
          <w:b w:val="0"/>
          <w:bCs/>
          <w:color w:val="000000"/>
          <w:sz w:val="32"/>
          <w:szCs w:val="32"/>
        </w:rPr>
        <w:t>预算数的主要原因是</w:t>
      </w:r>
      <w:r>
        <w:rPr>
          <w:rStyle w:val="12"/>
          <w:rFonts w:hint="eastAsia" w:ascii="仿宋" w:hAnsi="仿宋" w:eastAsia="仿宋"/>
          <w:b w:val="0"/>
          <w:bCs/>
          <w:color w:val="000000"/>
          <w:sz w:val="32"/>
          <w:szCs w:val="32"/>
          <w:lang w:val="en-US" w:eastAsia="zh-CN"/>
        </w:rPr>
        <w:t>支付了以前年度的项目资金</w:t>
      </w:r>
      <w:r>
        <w:rPr>
          <w:rStyle w:val="12"/>
          <w:rFonts w:hint="eastAsia" w:ascii="仿宋" w:hAnsi="仿宋" w:eastAsia="仿宋"/>
          <w:b w:val="0"/>
          <w:bCs/>
          <w:color w:val="000000"/>
          <w:sz w:val="32"/>
          <w:szCs w:val="32"/>
        </w:rPr>
        <w:t>。</w:t>
      </w:r>
    </w:p>
    <w:p w14:paraId="08C07501">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8</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农林水支出（类）林业和草原（款）森林生态效益补偿（项）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896.21</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101.95</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w:t>
      </w:r>
      <w:r>
        <w:rPr>
          <w:rStyle w:val="12"/>
          <w:rFonts w:hint="eastAsia" w:ascii="仿宋" w:hAnsi="仿宋" w:eastAsia="仿宋"/>
          <w:b w:val="0"/>
          <w:bCs/>
          <w:color w:val="000000"/>
          <w:sz w:val="32"/>
          <w:szCs w:val="32"/>
          <w:lang w:val="en-US" w:eastAsia="zh-CN"/>
        </w:rPr>
        <w:t>大于</w:t>
      </w:r>
      <w:r>
        <w:rPr>
          <w:rStyle w:val="12"/>
          <w:rFonts w:hint="eastAsia" w:ascii="仿宋" w:hAnsi="仿宋" w:eastAsia="仿宋"/>
          <w:b w:val="0"/>
          <w:bCs/>
          <w:color w:val="000000"/>
          <w:sz w:val="32"/>
          <w:szCs w:val="32"/>
        </w:rPr>
        <w:t>预算数的主要原因是</w:t>
      </w:r>
      <w:r>
        <w:rPr>
          <w:rStyle w:val="12"/>
          <w:rFonts w:hint="eastAsia" w:ascii="仿宋" w:hAnsi="仿宋" w:eastAsia="仿宋"/>
          <w:b w:val="0"/>
          <w:bCs/>
          <w:color w:val="000000"/>
          <w:sz w:val="32"/>
          <w:szCs w:val="32"/>
          <w:lang w:val="en-US" w:eastAsia="zh-CN"/>
        </w:rPr>
        <w:t>支付了以前年度的项目资金</w:t>
      </w:r>
      <w:r>
        <w:rPr>
          <w:rStyle w:val="12"/>
          <w:rFonts w:hint="eastAsia" w:ascii="仿宋" w:hAnsi="仿宋" w:eastAsia="仿宋"/>
          <w:b w:val="0"/>
          <w:bCs/>
          <w:color w:val="000000"/>
          <w:sz w:val="32"/>
          <w:szCs w:val="32"/>
        </w:rPr>
        <w:t>。</w:t>
      </w:r>
    </w:p>
    <w:p w14:paraId="0FBFECE3">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9</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农林水支出（类）林业和草原（款）动植物保护（项）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150</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300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w:t>
      </w:r>
      <w:r>
        <w:rPr>
          <w:rStyle w:val="12"/>
          <w:rFonts w:hint="eastAsia" w:ascii="仿宋" w:hAnsi="仿宋" w:eastAsia="仿宋"/>
          <w:b w:val="0"/>
          <w:bCs/>
          <w:color w:val="000000"/>
          <w:sz w:val="32"/>
          <w:szCs w:val="32"/>
          <w:lang w:val="en-US" w:eastAsia="zh-CN"/>
        </w:rPr>
        <w:t>大于</w:t>
      </w:r>
      <w:r>
        <w:rPr>
          <w:rStyle w:val="12"/>
          <w:rFonts w:hint="eastAsia" w:ascii="仿宋" w:hAnsi="仿宋" w:eastAsia="仿宋"/>
          <w:b w:val="0"/>
          <w:bCs/>
          <w:color w:val="000000"/>
          <w:sz w:val="32"/>
          <w:szCs w:val="32"/>
        </w:rPr>
        <w:t>预算数的主要原因是</w:t>
      </w:r>
      <w:r>
        <w:rPr>
          <w:rStyle w:val="12"/>
          <w:rFonts w:hint="eastAsia" w:ascii="仿宋" w:hAnsi="仿宋" w:eastAsia="仿宋"/>
          <w:b w:val="0"/>
          <w:bCs/>
          <w:color w:val="000000"/>
          <w:sz w:val="32"/>
          <w:szCs w:val="32"/>
          <w:lang w:val="en-US" w:eastAsia="zh-CN"/>
        </w:rPr>
        <w:t>支付了以前年度的项目资金</w:t>
      </w:r>
      <w:r>
        <w:rPr>
          <w:rStyle w:val="12"/>
          <w:rFonts w:hint="eastAsia" w:ascii="仿宋" w:hAnsi="仿宋" w:eastAsia="仿宋"/>
          <w:b w:val="0"/>
          <w:bCs/>
          <w:color w:val="000000"/>
          <w:sz w:val="32"/>
          <w:szCs w:val="32"/>
        </w:rPr>
        <w:t>。</w:t>
      </w:r>
    </w:p>
    <w:p w14:paraId="207139E9">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10</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农林水支出（类）林业和草原（款）执法与监督（项）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2.93</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21.7</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，决算数小于预算数的主要原因是</w:t>
      </w:r>
      <w:r>
        <w:rPr>
          <w:rStyle w:val="12"/>
          <w:rFonts w:hint="eastAsia" w:ascii="仿宋" w:hAnsi="仿宋" w:eastAsia="仿宋"/>
          <w:b w:val="0"/>
          <w:bCs/>
          <w:color w:val="000000"/>
          <w:sz w:val="32"/>
          <w:szCs w:val="32"/>
          <w:lang w:val="en-US" w:eastAsia="zh-CN"/>
        </w:rPr>
        <w:t>该项目预算下达较迟，且当年森林公安局支出控制较好，预计于2020年使用本资金</w:t>
      </w:r>
      <w:r>
        <w:rPr>
          <w:rStyle w:val="12"/>
          <w:rFonts w:hint="eastAsia" w:ascii="仿宋" w:hAnsi="仿宋" w:eastAsia="仿宋"/>
          <w:b w:val="0"/>
          <w:bCs/>
          <w:color w:val="000000"/>
          <w:sz w:val="32"/>
          <w:szCs w:val="32"/>
        </w:rPr>
        <w:t>。</w:t>
      </w:r>
    </w:p>
    <w:p w14:paraId="7AE93A98">
      <w:pPr>
        <w:spacing w:line="600" w:lineRule="exact"/>
        <w:ind w:firstLine="643" w:firstLineChars="200"/>
        <w:rPr>
          <w:rStyle w:val="12"/>
          <w:rFonts w:hint="eastAsia" w:ascii="仿宋" w:hAnsi="仿宋" w:eastAsia="仿宋"/>
          <w:bCs/>
          <w:color w:val="000000"/>
          <w:sz w:val="32"/>
          <w:szCs w:val="32"/>
          <w:lang w:val="en-US" w:eastAsia="zh-CN"/>
        </w:rPr>
      </w:pPr>
      <w:r>
        <w:rPr>
          <w:rStyle w:val="12"/>
          <w:rFonts w:hint="eastAsia" w:ascii="仿宋" w:hAnsi="仿宋" w:eastAsia="仿宋"/>
          <w:bCs/>
          <w:color w:val="000000"/>
          <w:sz w:val="32"/>
          <w:szCs w:val="32"/>
          <w:lang w:val="en-US" w:eastAsia="zh-CN"/>
        </w:rPr>
        <w:t>11</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农林水支出（类）林业和草原（款）防灾减灾（项）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0</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，决算数小于预算数的主要原因是</w:t>
      </w:r>
      <w:r>
        <w:rPr>
          <w:rStyle w:val="12"/>
          <w:rFonts w:hint="eastAsia" w:ascii="仿宋" w:hAnsi="仿宋" w:eastAsia="仿宋"/>
          <w:b w:val="0"/>
          <w:bCs/>
          <w:color w:val="000000"/>
          <w:sz w:val="32"/>
          <w:szCs w:val="32"/>
          <w:lang w:val="en-US" w:eastAsia="zh-CN"/>
        </w:rPr>
        <w:t>该项目在2019年开展前期工作，计划于2020年初正式开工建设，待工程正式施工后按工程进度拨付资金</w:t>
      </w:r>
      <w:r>
        <w:rPr>
          <w:rStyle w:val="12"/>
          <w:rFonts w:hint="eastAsia" w:ascii="仿宋" w:hAnsi="仿宋" w:eastAsia="仿宋"/>
          <w:b w:val="0"/>
          <w:bCs/>
          <w:color w:val="000000"/>
          <w:sz w:val="32"/>
          <w:szCs w:val="32"/>
        </w:rPr>
        <w:t>。</w:t>
      </w:r>
    </w:p>
    <w:p w14:paraId="3862EB31">
      <w:pPr>
        <w:spacing w:line="600" w:lineRule="exact"/>
        <w:ind w:firstLine="643" w:firstLineChars="200"/>
        <w:rPr>
          <w:rStyle w:val="12"/>
          <w:rFonts w:hint="eastAsia" w:ascii="仿宋" w:hAnsi="仿宋" w:eastAsia="仿宋"/>
          <w:b w:val="0"/>
          <w:bCs/>
          <w:color w:val="000000"/>
          <w:sz w:val="32"/>
          <w:szCs w:val="32"/>
        </w:rPr>
      </w:pPr>
      <w:r>
        <w:rPr>
          <w:rStyle w:val="12"/>
          <w:rFonts w:hint="eastAsia" w:ascii="仿宋" w:hAnsi="仿宋" w:eastAsia="仿宋"/>
          <w:bCs/>
          <w:color w:val="000000"/>
          <w:sz w:val="32"/>
          <w:szCs w:val="32"/>
          <w:lang w:val="en-US" w:eastAsia="zh-CN"/>
        </w:rPr>
        <w:t>12</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农林水支出（类）林业和草原（款）其他林业和草原支出（项）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1044.99</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108.74</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w:t>
      </w:r>
      <w:r>
        <w:rPr>
          <w:rStyle w:val="12"/>
          <w:rFonts w:hint="eastAsia" w:ascii="仿宋" w:hAnsi="仿宋" w:eastAsia="仿宋"/>
          <w:b w:val="0"/>
          <w:bCs/>
          <w:color w:val="000000"/>
          <w:sz w:val="32"/>
          <w:szCs w:val="32"/>
          <w:lang w:val="en-US" w:eastAsia="zh-CN"/>
        </w:rPr>
        <w:t>大于</w:t>
      </w:r>
      <w:r>
        <w:rPr>
          <w:rStyle w:val="12"/>
          <w:rFonts w:hint="eastAsia" w:ascii="仿宋" w:hAnsi="仿宋" w:eastAsia="仿宋"/>
          <w:b w:val="0"/>
          <w:bCs/>
          <w:color w:val="000000"/>
          <w:sz w:val="32"/>
          <w:szCs w:val="32"/>
        </w:rPr>
        <w:t>预算数的主要原因是</w:t>
      </w:r>
      <w:r>
        <w:rPr>
          <w:rStyle w:val="12"/>
          <w:rFonts w:hint="eastAsia" w:ascii="仿宋" w:hAnsi="仿宋" w:eastAsia="仿宋"/>
          <w:b w:val="0"/>
          <w:bCs/>
          <w:color w:val="000000"/>
          <w:sz w:val="32"/>
          <w:szCs w:val="32"/>
          <w:lang w:val="en-US" w:eastAsia="zh-CN"/>
        </w:rPr>
        <w:t>支付了以前年度的项目资金</w:t>
      </w:r>
      <w:r>
        <w:rPr>
          <w:rStyle w:val="12"/>
          <w:rFonts w:hint="eastAsia" w:ascii="仿宋" w:hAnsi="仿宋" w:eastAsia="仿宋"/>
          <w:b w:val="0"/>
          <w:bCs/>
          <w:color w:val="000000"/>
          <w:sz w:val="32"/>
          <w:szCs w:val="32"/>
        </w:rPr>
        <w:t>。</w:t>
      </w:r>
    </w:p>
    <w:p w14:paraId="0DD77F9D">
      <w:pPr>
        <w:spacing w:line="600" w:lineRule="exact"/>
        <w:ind w:firstLine="643" w:firstLineChars="200"/>
        <w:rPr>
          <w:rStyle w:val="12"/>
          <w:rFonts w:hint="default" w:ascii="仿宋" w:hAnsi="仿宋" w:eastAsia="仿宋"/>
          <w:b w:val="0"/>
          <w:bCs/>
          <w:color w:val="000000"/>
          <w:sz w:val="32"/>
          <w:szCs w:val="32"/>
          <w:lang w:val="en-US" w:eastAsia="zh-CN"/>
        </w:rPr>
      </w:pPr>
      <w:r>
        <w:rPr>
          <w:rStyle w:val="12"/>
          <w:rFonts w:hint="eastAsia" w:ascii="仿宋" w:hAnsi="仿宋" w:eastAsia="仿宋"/>
          <w:bCs/>
          <w:color w:val="000000"/>
          <w:sz w:val="32"/>
          <w:szCs w:val="32"/>
          <w:lang w:val="en-US" w:eastAsia="zh-CN"/>
        </w:rPr>
        <w:t>13</w:t>
      </w:r>
      <w:r>
        <w:rPr>
          <w:rStyle w:val="12"/>
          <w:rFonts w:ascii="仿宋" w:hAnsi="仿宋" w:eastAsia="仿宋"/>
          <w:bCs/>
          <w:color w:val="000000"/>
          <w:sz w:val="32"/>
          <w:szCs w:val="32"/>
        </w:rPr>
        <w:t>.</w:t>
      </w:r>
      <w:r>
        <w:rPr>
          <w:rStyle w:val="12"/>
          <w:rFonts w:hint="eastAsia" w:ascii="仿宋" w:hAnsi="仿宋" w:eastAsia="仿宋"/>
          <w:bCs/>
          <w:color w:val="000000"/>
          <w:sz w:val="32"/>
          <w:szCs w:val="32"/>
        </w:rPr>
        <w:t>农林水支出（类）扶贫（款）其他扶贫支出（项）</w:t>
      </w:r>
      <w:r>
        <w:rPr>
          <w:rStyle w:val="12"/>
          <w:rFonts w:ascii="仿宋" w:hAnsi="仿宋" w:eastAsia="仿宋"/>
          <w:bCs/>
          <w:color w:val="000000"/>
          <w:sz w:val="32"/>
          <w:szCs w:val="32"/>
        </w:rPr>
        <w:t>:</w:t>
      </w:r>
      <w:r>
        <w:rPr>
          <w:rStyle w:val="12"/>
          <w:rFonts w:hint="eastAsia" w:ascii="仿宋" w:hAnsi="仿宋" w:eastAsia="仿宋"/>
          <w:b w:val="0"/>
          <w:bCs/>
          <w:color w:val="000000"/>
          <w:sz w:val="32"/>
          <w:szCs w:val="32"/>
        </w:rPr>
        <w:t>支出决算为</w:t>
      </w:r>
      <w:r>
        <w:rPr>
          <w:rStyle w:val="12"/>
          <w:rFonts w:hint="eastAsia" w:ascii="仿宋" w:hAnsi="仿宋" w:eastAsia="仿宋"/>
          <w:b w:val="0"/>
          <w:bCs/>
          <w:color w:val="000000"/>
          <w:sz w:val="32"/>
          <w:szCs w:val="32"/>
          <w:lang w:val="en-US" w:eastAsia="zh-CN"/>
        </w:rPr>
        <w:t>810.82</w:t>
      </w:r>
      <w:r>
        <w:rPr>
          <w:rStyle w:val="12"/>
          <w:rFonts w:hint="eastAsia" w:ascii="仿宋" w:hAnsi="仿宋" w:eastAsia="仿宋"/>
          <w:b w:val="0"/>
          <w:bCs/>
          <w:color w:val="000000"/>
          <w:sz w:val="32"/>
          <w:szCs w:val="32"/>
        </w:rPr>
        <w:t>万元，完成预算</w:t>
      </w:r>
      <w:r>
        <w:rPr>
          <w:rStyle w:val="12"/>
          <w:rFonts w:hint="eastAsia" w:ascii="仿宋" w:hAnsi="仿宋" w:eastAsia="仿宋"/>
          <w:b w:val="0"/>
          <w:bCs/>
          <w:color w:val="000000"/>
          <w:sz w:val="32"/>
          <w:szCs w:val="32"/>
          <w:lang w:val="en-US" w:eastAsia="zh-CN"/>
        </w:rPr>
        <w:t>86.72</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，决算数小于预算数的主要原因</w:t>
      </w:r>
      <w:r>
        <w:rPr>
          <w:rStyle w:val="12"/>
          <w:rFonts w:hint="eastAsia" w:ascii="仿宋" w:hAnsi="仿宋" w:eastAsia="仿宋"/>
          <w:b w:val="0"/>
          <w:bCs/>
          <w:color w:val="000000"/>
          <w:sz w:val="32"/>
          <w:szCs w:val="32"/>
          <w:lang w:val="en-US" w:eastAsia="zh-CN"/>
        </w:rPr>
        <w:t>一</w:t>
      </w:r>
      <w:r>
        <w:rPr>
          <w:rStyle w:val="12"/>
          <w:rFonts w:hint="eastAsia" w:ascii="仿宋" w:hAnsi="仿宋" w:eastAsia="仿宋"/>
          <w:b w:val="0"/>
          <w:bCs/>
          <w:color w:val="000000"/>
          <w:sz w:val="32"/>
          <w:szCs w:val="32"/>
        </w:rPr>
        <w:t>是</w:t>
      </w:r>
      <w:r>
        <w:rPr>
          <w:rStyle w:val="12"/>
          <w:rFonts w:hint="eastAsia" w:ascii="仿宋" w:hAnsi="仿宋" w:eastAsia="仿宋"/>
          <w:b w:val="0"/>
          <w:bCs/>
          <w:color w:val="000000"/>
          <w:sz w:val="32"/>
          <w:szCs w:val="32"/>
          <w:lang w:val="en-US" w:eastAsia="zh-CN"/>
        </w:rPr>
        <w:t>东西部协作中药材基地项目招标金额较预算金额减少了约80万元</w:t>
      </w:r>
      <w:r>
        <w:rPr>
          <w:rStyle w:val="12"/>
          <w:rFonts w:hint="eastAsia" w:ascii="仿宋" w:hAnsi="仿宋" w:eastAsia="仿宋"/>
          <w:b w:val="0"/>
          <w:bCs/>
          <w:color w:val="000000"/>
          <w:sz w:val="32"/>
          <w:szCs w:val="32"/>
          <w:lang w:eastAsia="zh-CN"/>
        </w:rPr>
        <w:t>；</w:t>
      </w:r>
      <w:r>
        <w:rPr>
          <w:rStyle w:val="12"/>
          <w:rFonts w:hint="eastAsia" w:ascii="仿宋" w:hAnsi="仿宋" w:eastAsia="仿宋"/>
          <w:b w:val="0"/>
          <w:bCs/>
          <w:color w:val="000000"/>
          <w:sz w:val="32"/>
          <w:szCs w:val="32"/>
          <w:lang w:val="en-US" w:eastAsia="zh-CN"/>
        </w:rPr>
        <w:t>二是中药材基地项目还未竣工验收，不能拨付项目尾款。</w:t>
      </w:r>
    </w:p>
    <w:p w14:paraId="3CFDAE4D">
      <w:pPr>
        <w:tabs>
          <w:tab w:val="right" w:pos="8306"/>
        </w:tabs>
        <w:spacing w:line="600" w:lineRule="exact"/>
        <w:ind w:firstLine="640"/>
        <w:outlineLvl w:val="1"/>
        <w:rPr>
          <w:rStyle w:val="16"/>
        </w:rPr>
      </w:pPr>
      <w:bookmarkStart w:id="37" w:name="_Toc15396608"/>
      <w:bookmarkStart w:id="38"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6"/>
          <w:rFonts w:hint="eastAsia" w:ascii="黑体" w:hAnsi="黑体" w:eastAsia="黑体"/>
          <w:b w:val="0"/>
        </w:rPr>
        <w:t>般公共预算财政拨款基本支出决算情况说明</w:t>
      </w:r>
      <w:bookmarkEnd w:id="37"/>
      <w:bookmarkEnd w:id="38"/>
      <w:r>
        <w:rPr>
          <w:rStyle w:val="16"/>
          <w:rFonts w:ascii="黑体" w:hAnsi="黑体" w:eastAsia="黑体"/>
          <w:b w:val="0"/>
        </w:rPr>
        <w:tab/>
      </w:r>
    </w:p>
    <w:p w14:paraId="7C8192BA">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731.56</w:t>
      </w:r>
      <w:r>
        <w:rPr>
          <w:rFonts w:hint="eastAsia" w:ascii="仿宋" w:hAnsi="仿宋" w:eastAsia="仿宋"/>
          <w:color w:val="000000"/>
          <w:sz w:val="32"/>
          <w:szCs w:val="32"/>
        </w:rPr>
        <w:t>万元，其中：</w:t>
      </w:r>
    </w:p>
    <w:p w14:paraId="03437F0C">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546.79</w:t>
      </w:r>
      <w:r>
        <w:rPr>
          <w:rFonts w:hint="eastAsia" w:ascii="仿宋" w:hAnsi="仿宋" w:eastAsia="仿宋"/>
          <w:color w:val="000000"/>
          <w:sz w:val="32"/>
          <w:szCs w:val="32"/>
        </w:rPr>
        <w:t>万元，主要包括：基本工资、津贴补贴、绩效工资、机关事业单位基本养老保险缴费、职业年金缴费、职工基本医疗保险缴费</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其他社会保障缴费、住房公积金</w:t>
      </w:r>
      <w:r>
        <w:rPr>
          <w:rFonts w:hint="eastAsia" w:ascii="仿宋" w:hAnsi="仿宋" w:eastAsia="仿宋"/>
          <w:color w:val="000000"/>
          <w:sz w:val="32"/>
          <w:szCs w:val="32"/>
          <w:lang w:eastAsia="zh-CN"/>
        </w:rPr>
        <w:t>、</w:t>
      </w:r>
      <w:r>
        <w:rPr>
          <w:rFonts w:hint="eastAsia" w:ascii="仿宋" w:hAnsi="仿宋" w:eastAsia="仿宋"/>
          <w:color w:val="000000"/>
          <w:sz w:val="32"/>
          <w:szCs w:val="32"/>
        </w:rPr>
        <w:t>其他工资福利支出、抚恤金、生活补助、医疗费补助、奖励金、其他对个人和家庭的补助支出等。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184.77</w:t>
      </w:r>
      <w:r>
        <w:rPr>
          <w:rFonts w:hint="eastAsia" w:ascii="仿宋" w:hAnsi="仿宋" w:eastAsia="仿宋"/>
          <w:color w:val="000000"/>
          <w:sz w:val="32"/>
          <w:szCs w:val="32"/>
        </w:rPr>
        <w:t>万元，主要包括：办公费、印刷费、咨询费、手续费、水费、电费、邮电费、差旅费、维修（护）费、会议费、培训费、公务接待费、劳务费、委托业务费、工会经费、福利费、公务用车运行维护费、其他交通费、税金及附加费用、其他商品和服务支出等。</w:t>
      </w:r>
    </w:p>
    <w:p w14:paraId="04C4B2EA">
      <w:pPr>
        <w:spacing w:line="600" w:lineRule="exact"/>
        <w:ind w:firstLine="640"/>
        <w:outlineLvl w:val="1"/>
        <w:rPr>
          <w:rStyle w:val="16"/>
          <w:rFonts w:ascii="黑体" w:hAnsi="黑体" w:eastAsia="黑体"/>
          <w:b w:val="0"/>
        </w:rPr>
      </w:pPr>
      <w:bookmarkStart w:id="39" w:name="_Toc15396609"/>
      <w:bookmarkStart w:id="40" w:name="_Toc15377215"/>
      <w:r>
        <w:rPr>
          <w:rFonts w:hint="eastAsia" w:ascii="黑体" w:eastAsia="黑体"/>
          <w:color w:val="000000"/>
          <w:sz w:val="32"/>
          <w:szCs w:val="32"/>
        </w:rPr>
        <w:t>七、</w:t>
      </w:r>
      <w:r>
        <w:rPr>
          <w:rStyle w:val="16"/>
          <w:rFonts w:hint="eastAsia" w:ascii="黑体" w:hAnsi="黑体" w:eastAsia="黑体"/>
        </w:rPr>
        <w:t>“</w:t>
      </w:r>
      <w:r>
        <w:rPr>
          <w:rStyle w:val="16"/>
          <w:rFonts w:hint="eastAsia" w:ascii="黑体" w:hAnsi="黑体" w:eastAsia="黑体"/>
          <w:b w:val="0"/>
        </w:rPr>
        <w:t>三公”经费财政拨款支出决算情况说明</w:t>
      </w:r>
      <w:bookmarkEnd w:id="39"/>
      <w:bookmarkEnd w:id="40"/>
    </w:p>
    <w:p w14:paraId="2627C9D0">
      <w:pPr>
        <w:spacing w:line="600" w:lineRule="exact"/>
        <w:ind w:firstLine="640"/>
        <w:outlineLvl w:val="2"/>
        <w:rPr>
          <w:rFonts w:ascii="仿宋" w:hAnsi="仿宋" w:eastAsia="仿宋"/>
          <w:b/>
          <w:color w:val="000000"/>
          <w:sz w:val="32"/>
          <w:szCs w:val="32"/>
        </w:rPr>
      </w:pPr>
      <w:bookmarkStart w:id="41" w:name="_Toc15377216"/>
      <w:r>
        <w:rPr>
          <w:rFonts w:hint="eastAsia" w:ascii="仿宋" w:hAnsi="仿宋" w:eastAsia="仿宋"/>
          <w:b/>
          <w:color w:val="000000"/>
          <w:sz w:val="32"/>
          <w:szCs w:val="32"/>
        </w:rPr>
        <w:t>（一）“三公”经费财政拨款支出决算总体情况说明</w:t>
      </w:r>
      <w:bookmarkEnd w:id="41"/>
    </w:p>
    <w:p w14:paraId="52F54622">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w:t>
      </w:r>
      <w:r>
        <w:rPr>
          <w:rFonts w:hint="eastAsia" w:ascii="仿宋" w:hAnsi="仿宋" w:eastAsia="仿宋"/>
          <w:color w:val="000000"/>
          <w:sz w:val="32"/>
          <w:szCs w:val="32"/>
          <w:lang w:val="en-US" w:eastAsia="zh-CN"/>
        </w:rPr>
        <w:t>12.09</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122.74</w:t>
      </w:r>
      <w:r>
        <w:rPr>
          <w:rFonts w:ascii="仿宋" w:hAnsi="仿宋" w:eastAsia="仿宋"/>
          <w:color w:val="000000"/>
          <w:sz w:val="32"/>
          <w:szCs w:val="32"/>
        </w:rPr>
        <w:t>%</w:t>
      </w:r>
      <w:r>
        <w:rPr>
          <w:rFonts w:hint="eastAsia" w:ascii="仿宋" w:hAnsi="仿宋" w:eastAsia="仿宋"/>
          <w:color w:val="000000"/>
          <w:sz w:val="32"/>
          <w:szCs w:val="32"/>
        </w:rPr>
        <w:t>，决算数</w:t>
      </w:r>
      <w:r>
        <w:rPr>
          <w:rFonts w:hint="eastAsia" w:ascii="仿宋" w:hAnsi="仿宋" w:eastAsia="仿宋"/>
          <w:color w:val="000000"/>
          <w:sz w:val="32"/>
          <w:szCs w:val="32"/>
          <w:lang w:val="en-US" w:eastAsia="zh-CN"/>
        </w:rPr>
        <w:t>大于</w:t>
      </w:r>
      <w:r>
        <w:rPr>
          <w:rFonts w:hint="eastAsia" w:ascii="仿宋" w:hAnsi="仿宋" w:eastAsia="仿宋"/>
          <w:color w:val="000000"/>
          <w:sz w:val="32"/>
          <w:szCs w:val="32"/>
        </w:rPr>
        <w:t>预算数的主要原因是</w:t>
      </w:r>
      <w:r>
        <w:rPr>
          <w:rFonts w:hint="eastAsia" w:ascii="仿宋" w:hAnsi="仿宋" w:eastAsia="仿宋"/>
          <w:color w:val="000000"/>
          <w:sz w:val="32"/>
          <w:szCs w:val="32"/>
          <w:lang w:val="en-US" w:eastAsia="zh-CN"/>
        </w:rPr>
        <w:t>年初未预算公务用车运行维护费，但我局2019年末实有防火车8辆</w:t>
      </w:r>
      <w:r>
        <w:rPr>
          <w:rFonts w:hint="eastAsia" w:ascii="仿宋" w:hAnsi="仿宋" w:eastAsia="仿宋"/>
          <w:color w:val="000000"/>
          <w:sz w:val="32"/>
          <w:szCs w:val="32"/>
        </w:rPr>
        <w:t>。</w:t>
      </w:r>
    </w:p>
    <w:p w14:paraId="286ED674">
      <w:pPr>
        <w:spacing w:line="600" w:lineRule="exact"/>
        <w:ind w:firstLine="640"/>
        <w:outlineLvl w:val="2"/>
        <w:rPr>
          <w:rFonts w:ascii="仿宋" w:hAnsi="仿宋" w:eastAsia="仿宋"/>
          <w:b/>
          <w:color w:val="000000"/>
          <w:sz w:val="32"/>
          <w:szCs w:val="32"/>
        </w:rPr>
      </w:pPr>
      <w:bookmarkStart w:id="42" w:name="_Toc15377217"/>
      <w:r>
        <w:rPr>
          <w:rFonts w:hint="eastAsia" w:ascii="仿宋" w:hAnsi="仿宋" w:eastAsia="仿宋"/>
          <w:b/>
          <w:color w:val="000000"/>
          <w:sz w:val="32"/>
          <w:szCs w:val="32"/>
        </w:rPr>
        <w:t>（二）“三公”经费财政拨款支出决算具体情况说明</w:t>
      </w:r>
      <w:bookmarkEnd w:id="42"/>
    </w:p>
    <w:p w14:paraId="52E106B5">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4.96</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41.03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7.13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58.97</w:t>
      </w:r>
      <w:r>
        <w:rPr>
          <w:rFonts w:ascii="仿宋" w:hAnsi="仿宋" w:eastAsia="仿宋"/>
          <w:color w:val="000000"/>
          <w:sz w:val="32"/>
          <w:szCs w:val="32"/>
        </w:rPr>
        <w:t>%</w:t>
      </w:r>
      <w:r>
        <w:rPr>
          <w:rFonts w:hint="eastAsia" w:ascii="仿宋" w:hAnsi="仿宋" w:eastAsia="仿宋"/>
          <w:color w:val="000000"/>
          <w:sz w:val="32"/>
          <w:szCs w:val="32"/>
        </w:rPr>
        <w:t>。具体情况如下：</w:t>
      </w:r>
    </w:p>
    <w:p w14:paraId="183D8589">
      <w:pPr>
        <w:spacing w:line="600" w:lineRule="exact"/>
        <w:ind w:firstLine="1609" w:firstLineChars="503"/>
        <w:rPr>
          <w:rFonts w:ascii="仿宋" w:hAnsi="仿宋" w:eastAsia="仿宋"/>
          <w:color w:val="000000"/>
          <w:sz w:val="32"/>
          <w:szCs w:val="32"/>
        </w:rPr>
      </w:pPr>
      <w:r>
        <w:rPr>
          <w:rFonts w:hint="eastAsia" w:ascii="仿宋" w:hAnsi="仿宋" w:eastAsia="仿宋"/>
          <w:color w:val="000000"/>
          <w:sz w:val="32"/>
          <w:szCs w:val="32"/>
          <w:lang w:eastAsia="zh-CN"/>
        </w:rPr>
        <w:drawing>
          <wp:anchor distT="0" distB="0" distL="114300" distR="114300" simplePos="0" relativeHeight="251665408" behindDoc="1" locked="0" layoutInCell="1" allowOverlap="1">
            <wp:simplePos x="0" y="0"/>
            <wp:positionH relativeFrom="column">
              <wp:posOffset>25400</wp:posOffset>
            </wp:positionH>
            <wp:positionV relativeFrom="paragraph">
              <wp:posOffset>140970</wp:posOffset>
            </wp:positionV>
            <wp:extent cx="5080000" cy="2389505"/>
            <wp:effectExtent l="4445" t="4445" r="20955" b="82550"/>
            <wp:wrapTight wrapText="bothSides">
              <wp:wrapPolygon>
                <wp:start x="-19" y="-40"/>
                <wp:lineTo x="-19" y="22002"/>
                <wp:lineTo x="21527" y="22002"/>
                <wp:lineTo x="21527" y="-40"/>
                <wp:lineTo x="-19" y="-40"/>
              </wp:wrapPolygon>
            </wp:wrapTight>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hAnsi="仿宋" w:eastAsia="仿宋"/>
          <w:color w:val="000000"/>
          <w:sz w:val="32"/>
          <w:szCs w:val="32"/>
        </w:rPr>
        <w:t>图7：“三公”经费财政拨款支出结构</w:t>
      </w:r>
    </w:p>
    <w:p w14:paraId="0147C198">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0</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w:t>
      </w:r>
      <w:r>
        <w:rPr>
          <w:rFonts w:hint="eastAsia" w:ascii="仿宋_GB2312" w:eastAsia="仿宋_GB2312"/>
          <w:color w:val="000000"/>
          <w:sz w:val="32"/>
          <w:szCs w:val="32"/>
          <w:lang w:val="en-US" w:eastAsia="zh-CN"/>
        </w:rPr>
        <w:t>与</w:t>
      </w:r>
      <w:r>
        <w:rPr>
          <w:rFonts w:ascii="仿宋_GB2312" w:eastAsia="仿宋_GB2312"/>
          <w:color w:val="000000"/>
          <w:sz w:val="32"/>
          <w:szCs w:val="32"/>
        </w:rPr>
        <w:t>201</w:t>
      </w:r>
      <w:r>
        <w:rPr>
          <w:rFonts w:hint="eastAsia" w:ascii="仿宋_GB2312" w:eastAsia="仿宋_GB2312"/>
          <w:color w:val="000000"/>
          <w:sz w:val="32"/>
          <w:szCs w:val="32"/>
        </w:rPr>
        <w:t>8年</w:t>
      </w:r>
      <w:r>
        <w:rPr>
          <w:rFonts w:hint="eastAsia" w:ascii="仿宋_GB2312" w:eastAsia="仿宋_GB2312"/>
          <w:color w:val="000000"/>
          <w:sz w:val="32"/>
          <w:szCs w:val="32"/>
          <w:lang w:val="en-US" w:eastAsia="zh-CN"/>
        </w:rPr>
        <w:t>持平。</w:t>
      </w:r>
    </w:p>
    <w:p w14:paraId="680B40F9">
      <w:pPr>
        <w:spacing w:line="600" w:lineRule="exact"/>
        <w:ind w:firstLine="640"/>
        <w:rPr>
          <w:rFonts w:hint="default" w:ascii="仿宋_GB2312" w:eastAsia="仿宋"/>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4.96</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41.03</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13.28</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72.81</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val="en-US" w:eastAsia="zh-CN"/>
        </w:rPr>
        <w:t>2018年森林公安局经</w:t>
      </w:r>
      <w:r>
        <w:rPr>
          <w:rFonts w:hint="eastAsia" w:ascii="仿宋" w:hAnsi="仿宋" w:eastAsia="仿宋"/>
          <w:sz w:val="32"/>
          <w:szCs w:val="32"/>
        </w:rPr>
        <w:t>区人民政府批准后新购置警车1辆</w:t>
      </w:r>
      <w:r>
        <w:rPr>
          <w:rFonts w:hint="eastAsia" w:ascii="仿宋" w:hAnsi="仿宋" w:eastAsia="仿宋"/>
          <w:sz w:val="32"/>
          <w:szCs w:val="32"/>
          <w:lang w:eastAsia="zh-CN"/>
        </w:rPr>
        <w:t>，</w:t>
      </w:r>
      <w:r>
        <w:rPr>
          <w:rFonts w:hint="eastAsia" w:ascii="仿宋" w:hAnsi="仿宋" w:eastAsia="仿宋"/>
          <w:sz w:val="32"/>
          <w:szCs w:val="32"/>
          <w:lang w:val="en-US" w:eastAsia="zh-CN"/>
        </w:rPr>
        <w:t>2019年仅公务用车运行维护支出。</w:t>
      </w:r>
    </w:p>
    <w:p w14:paraId="49FD9EA5">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4.96</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森林防火、产业发展、下乡扶贫</w:t>
      </w:r>
      <w:r>
        <w:rPr>
          <w:rFonts w:hint="eastAsia" w:ascii="仿宋_GB2312" w:eastAsia="仿宋_GB2312"/>
          <w:color w:val="000000"/>
          <w:sz w:val="32"/>
          <w:szCs w:val="32"/>
        </w:rPr>
        <w:t>等所需的公务用车燃料费、维修费、过路过桥费、保险费等支出。</w:t>
      </w:r>
    </w:p>
    <w:p w14:paraId="017B3A9E">
      <w:pPr>
        <w:spacing w:line="600" w:lineRule="exact"/>
        <w:ind w:firstLine="640"/>
        <w:rPr>
          <w:rFonts w:hint="eastAsia" w:eastAsia="仿宋_GB2312"/>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7.13</w:t>
      </w:r>
      <w:r>
        <w:rPr>
          <w:rFonts w:hint="eastAsia" w:ascii="仿宋_GB2312" w:eastAsia="仿宋_GB2312"/>
          <w:color w:val="000000"/>
          <w:sz w:val="32"/>
          <w:szCs w:val="32"/>
        </w:rPr>
        <w:t>万元，</w:t>
      </w:r>
      <w:r>
        <w:rPr>
          <w:rStyle w:val="12"/>
          <w:rFonts w:hint="eastAsia" w:ascii="仿宋" w:hAnsi="仿宋" w:eastAsia="仿宋"/>
          <w:b w:val="0"/>
          <w:bCs/>
          <w:color w:val="000000"/>
          <w:sz w:val="32"/>
          <w:szCs w:val="32"/>
        </w:rPr>
        <w:t>完成预算</w:t>
      </w:r>
      <w:r>
        <w:rPr>
          <w:rStyle w:val="12"/>
          <w:rFonts w:hint="eastAsia" w:ascii="仿宋" w:hAnsi="仿宋" w:eastAsia="仿宋"/>
          <w:b w:val="0"/>
          <w:bCs/>
          <w:color w:val="000000"/>
          <w:sz w:val="32"/>
          <w:szCs w:val="32"/>
          <w:lang w:val="en-US" w:eastAsia="zh-CN"/>
        </w:rPr>
        <w:t>58.97</w:t>
      </w:r>
      <w:r>
        <w:rPr>
          <w:rStyle w:val="12"/>
          <w:rFonts w:ascii="仿宋" w:hAnsi="仿宋" w:eastAsia="仿宋"/>
          <w:b w:val="0"/>
          <w:bCs/>
          <w:color w:val="000000"/>
          <w:sz w:val="32"/>
          <w:szCs w:val="32"/>
        </w:rPr>
        <w:t>%</w:t>
      </w:r>
      <w:r>
        <w:rPr>
          <w:rStyle w:val="1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w:t>
      </w:r>
      <w:r>
        <w:rPr>
          <w:rFonts w:hint="eastAsia" w:ascii="仿宋_GB2312" w:eastAsia="仿宋_GB2312"/>
          <w:color w:val="000000"/>
          <w:sz w:val="32"/>
          <w:szCs w:val="32"/>
        </w:rPr>
        <w:t>8年减少</w:t>
      </w:r>
      <w:r>
        <w:rPr>
          <w:rFonts w:hint="eastAsia" w:ascii="仿宋_GB2312" w:eastAsia="仿宋_GB2312"/>
          <w:color w:val="000000"/>
          <w:sz w:val="32"/>
          <w:szCs w:val="32"/>
          <w:lang w:val="en-US" w:eastAsia="zh-CN"/>
        </w:rPr>
        <w:t>0.31</w:t>
      </w:r>
      <w:r>
        <w:rPr>
          <w:rFonts w:hint="eastAsia" w:ascii="仿宋_GB2312" w:eastAsia="仿宋_GB2312"/>
          <w:color w:val="000000"/>
          <w:sz w:val="32"/>
          <w:szCs w:val="32"/>
        </w:rPr>
        <w:t>万元，下降</w:t>
      </w:r>
      <w:r>
        <w:rPr>
          <w:rFonts w:hint="eastAsia" w:ascii="仿宋_GB2312" w:eastAsia="仿宋_GB2312"/>
          <w:color w:val="000000"/>
          <w:sz w:val="32"/>
          <w:szCs w:val="32"/>
          <w:lang w:val="en-US" w:eastAsia="zh-CN"/>
        </w:rPr>
        <w:t>4.17</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eastAsia="仿宋_GB2312"/>
          <w:sz w:val="32"/>
          <w:szCs w:val="32"/>
        </w:rPr>
        <w:t>加强管理，接待标准严格执行公务接待有关规定，厉行节约，反对铺张浪费</w:t>
      </w:r>
      <w:r>
        <w:rPr>
          <w:rFonts w:hint="eastAsia" w:eastAsia="仿宋_GB2312"/>
          <w:sz w:val="32"/>
          <w:szCs w:val="32"/>
          <w:lang w:eastAsia="zh-CN"/>
        </w:rPr>
        <w:t>。</w:t>
      </w:r>
    </w:p>
    <w:p w14:paraId="0D2DA136">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7.13</w:t>
      </w:r>
      <w:r>
        <w:rPr>
          <w:rFonts w:hint="eastAsia" w:ascii="仿宋_GB2312" w:eastAsia="仿宋_GB2312"/>
          <w:color w:val="000000"/>
          <w:sz w:val="32"/>
          <w:szCs w:val="32"/>
        </w:rPr>
        <w:t>万元，主要用于开展</w:t>
      </w:r>
      <w:r>
        <w:rPr>
          <w:rFonts w:hint="eastAsia" w:ascii="仿宋_GB2312" w:eastAsia="仿宋_GB2312"/>
          <w:color w:val="000000"/>
          <w:sz w:val="32"/>
          <w:szCs w:val="32"/>
          <w:lang w:val="en-US" w:eastAsia="zh-CN"/>
        </w:rPr>
        <w:t>争取项目、招商引资等</w:t>
      </w:r>
      <w:r>
        <w:rPr>
          <w:rFonts w:hint="eastAsia" w:ascii="仿宋_GB2312" w:eastAsia="仿宋_GB2312"/>
          <w:color w:val="000000"/>
          <w:sz w:val="32"/>
          <w:szCs w:val="32"/>
        </w:rPr>
        <w:t>活动</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接待上级检查、乡镇来人</w:t>
      </w:r>
      <w:r>
        <w:rPr>
          <w:rFonts w:hint="eastAsia" w:ascii="仿宋_GB2312" w:eastAsia="仿宋_GB2312"/>
          <w:color w:val="000000"/>
          <w:sz w:val="32"/>
          <w:szCs w:val="32"/>
        </w:rPr>
        <w:t>开支的交通费、住宿费、用餐费等。国内公务接待</w:t>
      </w:r>
      <w:r>
        <w:rPr>
          <w:rFonts w:hint="eastAsia" w:ascii="仿宋_GB2312" w:eastAsia="仿宋_GB2312"/>
          <w:color w:val="000000"/>
          <w:sz w:val="32"/>
          <w:szCs w:val="32"/>
          <w:lang w:val="en-US" w:eastAsia="zh-CN"/>
        </w:rPr>
        <w:t>58</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462</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7.13</w:t>
      </w:r>
      <w:r>
        <w:rPr>
          <w:rFonts w:hint="eastAsia" w:ascii="仿宋_GB2312" w:eastAsia="仿宋_GB2312"/>
          <w:color w:val="000000"/>
          <w:sz w:val="32"/>
          <w:szCs w:val="32"/>
        </w:rPr>
        <w:t>万元，具体内容包括：</w:t>
      </w:r>
      <w:r>
        <w:rPr>
          <w:rFonts w:hint="eastAsia" w:ascii="仿宋_GB2312" w:eastAsia="仿宋_GB2312"/>
          <w:color w:val="000000"/>
          <w:sz w:val="32"/>
          <w:szCs w:val="32"/>
          <w:lang w:val="en-US" w:eastAsia="zh-CN"/>
        </w:rPr>
        <w:t>用餐费7.13万元</w:t>
      </w:r>
      <w:r>
        <w:rPr>
          <w:rFonts w:hint="eastAsia" w:ascii="仿宋_GB2312" w:eastAsia="仿宋_GB2312"/>
          <w:color w:val="000000"/>
          <w:sz w:val="32"/>
          <w:szCs w:val="32"/>
        </w:rPr>
        <w:t>。</w:t>
      </w:r>
    </w:p>
    <w:p w14:paraId="68CBDA3C">
      <w:pPr>
        <w:spacing w:line="600" w:lineRule="exact"/>
        <w:ind w:firstLine="640"/>
        <w:outlineLvl w:val="1"/>
        <w:rPr>
          <w:rStyle w:val="16"/>
          <w:rFonts w:ascii="黑体" w:hAnsi="黑体" w:eastAsia="黑体"/>
        </w:rPr>
      </w:pPr>
      <w:bookmarkStart w:id="43" w:name="_Toc15377218"/>
      <w:bookmarkStart w:id="44" w:name="_Toc15396610"/>
      <w:r>
        <w:rPr>
          <w:rFonts w:hint="eastAsia" w:ascii="黑体" w:eastAsia="黑体"/>
          <w:color w:val="000000"/>
          <w:sz w:val="32"/>
          <w:szCs w:val="32"/>
        </w:rPr>
        <w:t>八、</w:t>
      </w:r>
      <w:r>
        <w:rPr>
          <w:rStyle w:val="16"/>
          <w:rFonts w:hint="eastAsia" w:ascii="黑体" w:hAnsi="黑体" w:eastAsia="黑体"/>
          <w:b w:val="0"/>
        </w:rPr>
        <w:t>政府性基金预算支出决算情况说明</w:t>
      </w:r>
      <w:bookmarkEnd w:id="43"/>
      <w:bookmarkEnd w:id="44"/>
    </w:p>
    <w:p w14:paraId="4EFF3F8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F6FD2CB">
      <w:pPr>
        <w:numPr>
          <w:ilvl w:val="0"/>
          <w:numId w:val="2"/>
        </w:numPr>
        <w:spacing w:line="600" w:lineRule="exact"/>
        <w:ind w:firstLine="640"/>
        <w:outlineLvl w:val="1"/>
        <w:rPr>
          <w:rStyle w:val="16"/>
          <w:rFonts w:ascii="黑体" w:hAnsi="黑体" w:eastAsia="黑体"/>
          <w:b w:val="0"/>
        </w:rPr>
      </w:pPr>
      <w:bookmarkStart w:id="45" w:name="_Toc15377219"/>
      <w:bookmarkStart w:id="46" w:name="_Toc15396611"/>
      <w:r>
        <w:rPr>
          <w:rStyle w:val="16"/>
          <w:rFonts w:hint="eastAsia" w:ascii="黑体" w:hAnsi="黑体" w:eastAsia="黑体"/>
          <w:b w:val="0"/>
        </w:rPr>
        <w:t>国有资本经营预算支出决算情况说明</w:t>
      </w:r>
      <w:bookmarkEnd w:id="45"/>
      <w:bookmarkEnd w:id="46"/>
    </w:p>
    <w:p w14:paraId="6AC24E0A">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76F11E30">
      <w:pPr>
        <w:spacing w:line="600" w:lineRule="exact"/>
        <w:ind w:firstLine="800" w:firstLineChars="250"/>
        <w:outlineLvl w:val="1"/>
        <w:rPr>
          <w:rStyle w:val="16"/>
          <w:rFonts w:ascii="黑体" w:hAnsi="黑体" w:eastAsia="黑体"/>
        </w:rPr>
      </w:pPr>
      <w:bookmarkStart w:id="47" w:name="_Toc15377221"/>
      <w:bookmarkStart w:id="48" w:name="_Toc15396612"/>
      <w:r>
        <w:rPr>
          <w:rFonts w:hint="eastAsia" w:ascii="黑体" w:hAnsi="黑体" w:eastAsia="黑体"/>
          <w:color w:val="000000"/>
          <w:sz w:val="32"/>
          <w:szCs w:val="32"/>
        </w:rPr>
        <w:t>十</w:t>
      </w:r>
      <w:r>
        <w:rPr>
          <w:rStyle w:val="16"/>
          <w:rFonts w:hint="eastAsia" w:ascii="黑体" w:hAnsi="黑体" w:eastAsia="黑体"/>
        </w:rPr>
        <w:t>、</w:t>
      </w:r>
      <w:r>
        <w:rPr>
          <w:rStyle w:val="16"/>
          <w:rFonts w:hint="eastAsia" w:ascii="黑体" w:hAnsi="黑体" w:eastAsia="黑体"/>
          <w:b w:val="0"/>
        </w:rPr>
        <w:t>其他重要事项的情况说明</w:t>
      </w:r>
      <w:bookmarkEnd w:id="47"/>
      <w:bookmarkEnd w:id="48"/>
    </w:p>
    <w:p w14:paraId="1C2D91BC">
      <w:pPr>
        <w:spacing w:line="600" w:lineRule="exact"/>
        <w:ind w:firstLine="643" w:firstLineChars="200"/>
        <w:outlineLvl w:val="2"/>
        <w:rPr>
          <w:rFonts w:ascii="仿宋" w:hAnsi="仿宋" w:eastAsia="仿宋"/>
          <w:color w:val="000000"/>
          <w:sz w:val="32"/>
          <w:szCs w:val="32"/>
        </w:rPr>
      </w:pPr>
      <w:bookmarkStart w:id="49" w:name="_Toc15377222"/>
      <w:r>
        <w:rPr>
          <w:rFonts w:hint="eastAsia" w:ascii="仿宋" w:hAnsi="仿宋" w:eastAsia="仿宋"/>
          <w:b/>
          <w:color w:val="000000"/>
          <w:sz w:val="32"/>
          <w:szCs w:val="32"/>
        </w:rPr>
        <w:t>（一）机关运行经费支出情况</w:t>
      </w:r>
      <w:bookmarkEnd w:id="49"/>
    </w:p>
    <w:p w14:paraId="02159272">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区林业局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万元，与</w:t>
      </w:r>
      <w:r>
        <w:rPr>
          <w:rFonts w:ascii="仿宋_GB2312" w:eastAsia="仿宋_GB2312"/>
          <w:color w:val="000000"/>
          <w:sz w:val="32"/>
          <w:szCs w:val="32"/>
        </w:rPr>
        <w:t>201</w:t>
      </w:r>
      <w:r>
        <w:rPr>
          <w:rFonts w:hint="eastAsia" w:ascii="仿宋_GB2312" w:eastAsia="仿宋_GB2312"/>
          <w:color w:val="000000"/>
          <w:sz w:val="32"/>
          <w:szCs w:val="32"/>
        </w:rPr>
        <w:t>8年决算数持平</w:t>
      </w:r>
      <w:r>
        <w:rPr>
          <w:rFonts w:hint="eastAsia" w:ascii="仿宋_GB2312" w:eastAsia="仿宋_GB2312"/>
          <w:color w:val="000000"/>
          <w:sz w:val="32"/>
          <w:szCs w:val="32"/>
          <w:lang w:eastAsia="zh-CN"/>
        </w:rPr>
        <w:t>。</w:t>
      </w:r>
    </w:p>
    <w:p w14:paraId="29F73B9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3"/>
      <w:r>
        <w:rPr>
          <w:rFonts w:hint="eastAsia" w:ascii="仿宋" w:hAnsi="仿宋" w:eastAsia="仿宋"/>
          <w:b/>
          <w:color w:val="000000"/>
          <w:sz w:val="32"/>
          <w:szCs w:val="32"/>
        </w:rPr>
        <w:t>（二）政府采购支出情况</w:t>
      </w:r>
      <w:bookmarkEnd w:id="50"/>
    </w:p>
    <w:p w14:paraId="0311534B">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val="en-US" w:eastAsia="zh-CN"/>
        </w:rPr>
        <w:t>区林业局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11.8</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11.8</w:t>
      </w:r>
      <w:r>
        <w:rPr>
          <w:rFonts w:hint="eastAsia" w:ascii="仿宋_GB2312" w:eastAsia="仿宋_GB2312"/>
          <w:color w:val="000000"/>
          <w:sz w:val="32"/>
          <w:szCs w:val="32"/>
        </w:rPr>
        <w:t>万元。主要用于</w:t>
      </w:r>
      <w:r>
        <w:rPr>
          <w:rFonts w:hint="eastAsia" w:ascii="仿宋_GB2312" w:eastAsia="仿宋_GB2312"/>
          <w:color w:val="000000"/>
          <w:sz w:val="32"/>
          <w:szCs w:val="32"/>
          <w:lang w:val="en-US" w:eastAsia="zh-CN"/>
        </w:rPr>
        <w:t>森林病虫害防治等工作</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11.8</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100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1D8BE61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1" w:name="_Toc15377224"/>
      <w:r>
        <w:rPr>
          <w:rFonts w:hint="eastAsia" w:ascii="仿宋" w:hAnsi="仿宋" w:eastAsia="仿宋"/>
          <w:b/>
          <w:color w:val="000000"/>
          <w:sz w:val="32"/>
          <w:szCs w:val="32"/>
        </w:rPr>
        <w:t>（三）国有资产占有使用情况</w:t>
      </w:r>
      <w:bookmarkEnd w:id="51"/>
    </w:p>
    <w:p w14:paraId="7F44453B">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val="en-US" w:eastAsia="zh-CN"/>
        </w:rPr>
        <w:t>区林业局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辆，其中：主要</w:t>
      </w:r>
      <w:r>
        <w:rPr>
          <w:rFonts w:hint="eastAsia" w:ascii="仿宋_GB2312" w:eastAsia="仿宋_GB2312"/>
          <w:color w:val="000000"/>
          <w:sz w:val="32"/>
          <w:szCs w:val="32"/>
          <w:lang w:val="en-US" w:eastAsia="zh-CN"/>
        </w:rPr>
        <w:t>执法执勤用车3辆</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特种专业技术用车5辆。</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026975B9">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B261E6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根据预算绩效管理要求，本部门在年初预算编制阶段，组织对</w:t>
      </w:r>
      <w:r>
        <w:rPr>
          <w:rFonts w:hint="eastAsia" w:ascii="仿宋_GB2312" w:hAnsi="仿宋_GB2312" w:eastAsia="仿宋_GB2312" w:cs="仿宋_GB2312"/>
          <w:sz w:val="32"/>
          <w:szCs w:val="32"/>
          <w:lang w:val="en-US" w:eastAsia="zh-CN"/>
        </w:rPr>
        <w:t>3个</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森林防火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森林生态效益补偿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集体和个人天然商品林停伐管护补助</w:t>
      </w:r>
      <w:r>
        <w:rPr>
          <w:rFonts w:hint="eastAsia" w:ascii="仿宋_GB2312" w:hAnsi="仿宋_GB2312" w:eastAsia="仿宋_GB2312" w:cs="仿宋_GB2312"/>
          <w:sz w:val="32"/>
          <w:szCs w:val="32"/>
        </w:rPr>
        <w:t>）开展了预算事前绩效评估，编制了绩效目标，预算执行过程中，选取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w:t>
      </w:r>
    </w:p>
    <w:p w14:paraId="0DC3DDE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开展绩效自评，从评价情况来看各项绩效指标已基本完成，群众满意度较高，生态效益显著，对本地区林业行业发展促进程度显著。但也存在以下问题：一是中期评估、绩效监控执行不到位，二是绩效评价开展及结果应用执行情况一般。本部门还自行组织了5个项目</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绩效评价，从评价情况来看从评价情况来看各项绩效指标已基本完成，群众满意度较高，生态效益显著，对本地区林业行业发展促进程度显著。但也存在以下问题：</w:t>
      </w:r>
      <w:r>
        <w:rPr>
          <w:rFonts w:hint="eastAsia" w:ascii="仿宋_GB2312" w:hAnsi="仿宋_GB2312" w:eastAsia="仿宋_GB2312" w:cs="仿宋_GB2312"/>
          <w:sz w:val="32"/>
          <w:szCs w:val="32"/>
          <w:lang w:val="en-US" w:eastAsia="zh-CN"/>
        </w:rPr>
        <w:t>一是</w:t>
      </w:r>
      <w:r>
        <w:rPr>
          <w:rFonts w:hint="default" w:ascii="Times New Roman" w:hAnsi="Times New Roman" w:eastAsia="仿宋_GB2312" w:cs="Times New Roman"/>
          <w:sz w:val="32"/>
          <w:szCs w:val="32"/>
          <w:lang w:eastAsia="zh-CN"/>
        </w:rPr>
        <w:t>年初绩效目标设置不够精准</w:t>
      </w:r>
      <w:r>
        <w:rPr>
          <w:rFonts w:hint="eastAsia" w:eastAsia="仿宋_GB2312" w:cs="Times New Roman"/>
          <w:sz w:val="32"/>
          <w:szCs w:val="32"/>
          <w:lang w:eastAsia="zh-CN"/>
        </w:rPr>
        <w:t>；</w:t>
      </w:r>
      <w:r>
        <w:rPr>
          <w:rFonts w:hint="eastAsia" w:eastAsia="仿宋_GB2312" w:cs="Times New Roman"/>
          <w:sz w:val="32"/>
          <w:szCs w:val="32"/>
          <w:lang w:val="en-US" w:eastAsia="zh-CN"/>
        </w:rPr>
        <w:t>二是技术力量整体不够强，参加培训人员年龄总体偏大，接受新技术能力不足，队伍不稳定；三是缺少优质高效的技术服务，种植企业、专合社、农户与科研院校合作层次相对较浅，全区产业专业技术人员较少，尚不能满足全区产业发展需要；四是缺少完整的产业链条，目前，我区林业产业仍以初加工为主，产业链条短，附加值偏低；五是缺少高端科技示范基地，全区已建产业示范基地科技含量相对较低，区级科技示范园尚未建成，缺少科技含量相对较高的示范基地。</w:t>
      </w:r>
    </w:p>
    <w:p w14:paraId="7A3799D6">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val="en-US" w:eastAsia="zh-CN"/>
        </w:rPr>
        <w:t>森林防火</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森林生态效益补偿</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集体和个人天然商品林停伐管护补助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中药材茯苓种植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龙泉</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昭化食用菌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个项目绩效目标实际完成情况。</w:t>
      </w:r>
    </w:p>
    <w:p w14:paraId="402F74E1">
      <w:pPr>
        <w:spacing w:line="5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森林防火</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val="en-US" w:eastAsia="zh-CN"/>
        </w:rPr>
        <w:t>2019年</w:t>
      </w:r>
      <w:r>
        <w:rPr>
          <w:rFonts w:hint="eastAsia" w:ascii="仿宋_GB2312" w:hAnsi="仿宋_GB2312" w:eastAsia="仿宋_GB2312" w:cs="仿宋_GB2312"/>
          <w:sz w:val="32"/>
          <w:szCs w:val="32"/>
        </w:rPr>
        <w:t>全区未发生重特大森林火灾事故，森林火灾损失率≦0.1‰，森林火灾损失小于3000万元，全面保障</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森林防火巡回宣传、防火检查、防火用车等所需经费</w:t>
      </w:r>
      <w:r>
        <w:rPr>
          <w:rFonts w:hint="eastAsia" w:ascii="仿宋_GB2312" w:hAnsi="仿宋_GB2312" w:eastAsia="仿宋_GB2312" w:cs="仿宋_GB2312"/>
          <w:sz w:val="32"/>
          <w:szCs w:val="32"/>
          <w:lang w:val="en-US" w:eastAsia="zh-CN"/>
        </w:rPr>
        <w:t>。</w:t>
      </w:r>
    </w:p>
    <w:p w14:paraId="120533B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森林生态效益补偿</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875.03</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875.03</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%。通过项目实施，严格控制采伐公益林，杜绝擅自改变公益林地用途，确保公益林资源得到有效保护保障，提高林区老百姓收益。</w:t>
      </w:r>
    </w:p>
    <w:p w14:paraId="1BD6B64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集体和个人天然商品林停伐管护补助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343.94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343.84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99.97</w:t>
      </w:r>
      <w:r>
        <w:rPr>
          <w:rFonts w:hint="eastAsia" w:ascii="仿宋_GB2312" w:hAnsi="仿宋_GB2312" w:eastAsia="仿宋_GB2312" w:cs="仿宋_GB2312"/>
          <w:sz w:val="32"/>
          <w:szCs w:val="32"/>
        </w:rPr>
        <w:t>%。通过项目实施，严格控制采伐</w:t>
      </w:r>
      <w:r>
        <w:rPr>
          <w:rFonts w:hint="eastAsia" w:ascii="仿宋_GB2312" w:hAnsi="仿宋_GB2312" w:eastAsia="仿宋_GB2312" w:cs="仿宋_GB2312"/>
          <w:sz w:val="32"/>
          <w:szCs w:val="32"/>
          <w:lang w:val="en-US" w:eastAsia="zh-CN"/>
        </w:rPr>
        <w:t>天然商品林</w:t>
      </w:r>
      <w:r>
        <w:rPr>
          <w:rFonts w:hint="eastAsia" w:ascii="仿宋_GB2312" w:hAnsi="仿宋_GB2312" w:eastAsia="仿宋_GB2312" w:cs="仿宋_GB2312"/>
          <w:sz w:val="32"/>
          <w:szCs w:val="32"/>
        </w:rPr>
        <w:t>，确保</w:t>
      </w:r>
      <w:r>
        <w:rPr>
          <w:rFonts w:hint="eastAsia" w:ascii="仿宋_GB2312" w:hAnsi="仿宋_GB2312" w:eastAsia="仿宋_GB2312" w:cs="仿宋_GB2312"/>
          <w:sz w:val="32"/>
          <w:szCs w:val="32"/>
          <w:lang w:val="en-US" w:eastAsia="zh-CN"/>
        </w:rPr>
        <w:t>天然商品林</w:t>
      </w:r>
      <w:r>
        <w:rPr>
          <w:rFonts w:hint="eastAsia" w:ascii="仿宋_GB2312" w:hAnsi="仿宋_GB2312" w:eastAsia="仿宋_GB2312" w:cs="仿宋_GB2312"/>
          <w:sz w:val="32"/>
          <w:szCs w:val="32"/>
        </w:rPr>
        <w:t>资源得到有效保护保障，提高林区老百姓收益。</w:t>
      </w:r>
    </w:p>
    <w:p w14:paraId="7F4B49CC">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中药材茯苓种植</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%。通过项目实施，帮助农户稳定增收、逐步推进贫困山区农户整体脱贫致富，积极打造中药材产业扶贫示范村，巩固脱贫成效，努力实现乡村振兴。</w:t>
      </w:r>
    </w:p>
    <w:p w14:paraId="11EB4BF7">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龙泉</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昭化食用菌</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360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360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%。通过项目实施，可解决农村富余劳动力，通过“龙头企业+专合社+农户”的模式带动贫困户精准脱贫、致富奔康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成为</w:t>
      </w:r>
      <w:r>
        <w:rPr>
          <w:rFonts w:hint="eastAsia" w:ascii="仿宋_GB2312" w:hAnsi="仿宋_GB2312" w:eastAsia="仿宋_GB2312" w:cs="仿宋_GB2312"/>
          <w:sz w:val="32"/>
          <w:szCs w:val="32"/>
        </w:rPr>
        <w:t>昭化区食用菌产业规模化、标准化的典范。</w:t>
      </w:r>
    </w:p>
    <w:tbl>
      <w:tblPr>
        <w:tblStyle w:val="10"/>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FDBB454">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07599994">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14:paraId="1072858C">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DC75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A7F2A">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森林防火、森林生态效益补偿、集体和个人天然商品林停伐管护补助、中药材茯苓种植、龙泉</w:t>
            </w:r>
            <w:r>
              <w:rPr>
                <w:rFonts w:hint="eastAsia" w:ascii="微软雅黑" w:hAnsi="微软雅黑" w:eastAsia="微软雅黑" w:cs="微软雅黑"/>
                <w:color w:val="000000"/>
                <w:sz w:val="21"/>
                <w:szCs w:val="21"/>
                <w:lang w:val="en-US" w:eastAsia="zh-CN"/>
              </w:rPr>
              <w:t>·</w:t>
            </w:r>
            <w:r>
              <w:rPr>
                <w:rFonts w:hint="eastAsia" w:ascii="宋体" w:hAnsi="宋体" w:cs="宋体"/>
                <w:color w:val="000000"/>
                <w:sz w:val="21"/>
                <w:szCs w:val="21"/>
                <w:lang w:val="en-US" w:eastAsia="zh-CN"/>
              </w:rPr>
              <w:t>昭化食用菌</w:t>
            </w:r>
          </w:p>
        </w:tc>
      </w:tr>
      <w:tr w14:paraId="26F19C2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ACBB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E3D5C">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广元市昭化区林业局</w:t>
            </w:r>
          </w:p>
        </w:tc>
      </w:tr>
      <w:tr w14:paraId="7B52317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04EA7">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D38D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5150F6">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2501.89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C905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00521">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2501.79</w:t>
            </w:r>
          </w:p>
        </w:tc>
      </w:tr>
      <w:tr w14:paraId="4702E33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EFEC9">
            <w:pPr>
              <w:jc w:val="center"/>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226F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97D13">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1617.17</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5AEB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28134B">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1617.07</w:t>
            </w:r>
          </w:p>
        </w:tc>
      </w:tr>
      <w:tr w14:paraId="05AD3B75">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CE796">
            <w:pPr>
              <w:jc w:val="center"/>
              <w:rPr>
                <w:rFonts w:ascii="宋体" w:hAnsi="宋体" w:cs="宋体"/>
                <w:color w:val="000000"/>
                <w:sz w:val="21"/>
                <w:szCs w:val="21"/>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0098D">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002A">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884.72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81045">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F734C">
            <w:pPr>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884.72</w:t>
            </w:r>
          </w:p>
        </w:tc>
      </w:tr>
      <w:tr w14:paraId="48234D5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1332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D8610">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27EDE">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实际完成目标</w:t>
            </w:r>
          </w:p>
        </w:tc>
      </w:tr>
      <w:tr w14:paraId="3E898E04">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1ED76">
            <w:pPr>
              <w:jc w:val="center"/>
              <w:rPr>
                <w:rFonts w:ascii="宋体" w:hAnsi="宋体" w:cs="宋体"/>
                <w:color w:val="000000"/>
                <w:sz w:val="21"/>
                <w:szCs w:val="21"/>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1E131">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集体和个人天然商品林停伐管护补助绩效目标任务为协议停伐面积34.45万亩</w:t>
            </w:r>
            <w:r>
              <w:rPr>
                <w:rFonts w:hint="eastAsia" w:ascii="宋体" w:hAnsi="宋体" w:cs="宋体"/>
                <w:color w:val="000000"/>
                <w:sz w:val="21"/>
                <w:szCs w:val="21"/>
                <w:lang w:eastAsia="zh-CN"/>
              </w:rPr>
              <w:t>；</w:t>
            </w:r>
            <w:r>
              <w:rPr>
                <w:rFonts w:hint="eastAsia" w:ascii="宋体" w:hAnsi="宋体" w:cs="宋体"/>
                <w:color w:val="000000"/>
                <w:sz w:val="21"/>
                <w:szCs w:val="21"/>
              </w:rPr>
              <w:t>集体和个人所有公益林生态效益补偿绩效目标为补偿集体和个人所有公益林56.55万亩</w:t>
            </w:r>
            <w:r>
              <w:rPr>
                <w:rFonts w:hint="eastAsia" w:ascii="宋体" w:hAnsi="宋体" w:cs="宋体"/>
                <w:color w:val="000000"/>
                <w:sz w:val="21"/>
                <w:szCs w:val="21"/>
                <w:lang w:eastAsia="zh-CN"/>
              </w:rPr>
              <w:t>；</w:t>
            </w:r>
            <w:r>
              <w:rPr>
                <w:rFonts w:hint="eastAsia" w:ascii="宋体" w:hAnsi="宋体" w:cs="宋体"/>
                <w:color w:val="000000"/>
                <w:sz w:val="21"/>
                <w:szCs w:val="21"/>
              </w:rPr>
              <w:t>森林火灾损失率控制在≦0.1‰以内</w:t>
            </w:r>
            <w:r>
              <w:rPr>
                <w:rFonts w:hint="eastAsia" w:ascii="宋体" w:hAnsi="宋体" w:cs="宋体"/>
                <w:color w:val="000000"/>
                <w:sz w:val="21"/>
                <w:szCs w:val="21"/>
                <w:lang w:eastAsia="zh-CN"/>
              </w:rPr>
              <w:t>，</w:t>
            </w:r>
            <w:r>
              <w:rPr>
                <w:rFonts w:hint="eastAsia" w:ascii="宋体" w:hAnsi="宋体" w:cs="宋体"/>
                <w:color w:val="000000"/>
                <w:sz w:val="21"/>
                <w:szCs w:val="21"/>
              </w:rPr>
              <w:t>森林资源损失减小3000万元</w:t>
            </w:r>
            <w:r>
              <w:rPr>
                <w:rFonts w:hint="eastAsia" w:ascii="宋体" w:hAnsi="宋体" w:cs="宋体"/>
                <w:color w:val="000000"/>
                <w:sz w:val="21"/>
                <w:szCs w:val="21"/>
                <w:lang w:eastAsia="zh-CN"/>
              </w:rPr>
              <w:t>，</w:t>
            </w:r>
            <w:r>
              <w:rPr>
                <w:rFonts w:hint="eastAsia" w:ascii="宋体" w:hAnsi="宋体" w:cs="宋体"/>
                <w:color w:val="000000"/>
                <w:sz w:val="21"/>
                <w:szCs w:val="21"/>
              </w:rPr>
              <w:t>森林覆盖率保持提高</w:t>
            </w:r>
            <w:r>
              <w:rPr>
                <w:rFonts w:hint="eastAsia" w:ascii="宋体" w:hAnsi="宋体" w:cs="宋体"/>
                <w:color w:val="000000"/>
                <w:sz w:val="21"/>
                <w:szCs w:val="21"/>
                <w:lang w:eastAsia="zh-CN"/>
              </w:rPr>
              <w:t>，</w:t>
            </w:r>
            <w:r>
              <w:rPr>
                <w:rFonts w:hint="eastAsia" w:ascii="宋体" w:hAnsi="宋体" w:cs="宋体"/>
                <w:color w:val="000000"/>
                <w:sz w:val="21"/>
                <w:szCs w:val="21"/>
              </w:rPr>
              <w:t>森林防火基层基础能力建设逐步加强</w:t>
            </w:r>
            <w:r>
              <w:rPr>
                <w:rFonts w:hint="eastAsia" w:ascii="宋体" w:hAnsi="宋体" w:cs="宋体"/>
                <w:color w:val="000000"/>
                <w:sz w:val="21"/>
                <w:szCs w:val="21"/>
                <w:lang w:eastAsia="zh-CN"/>
              </w:rPr>
              <w:t>，</w:t>
            </w:r>
            <w:r>
              <w:rPr>
                <w:rFonts w:hint="eastAsia" w:ascii="宋体" w:hAnsi="宋体" w:cs="宋体"/>
                <w:color w:val="000000"/>
                <w:sz w:val="21"/>
                <w:szCs w:val="21"/>
              </w:rPr>
              <w:t>群众满意度≧94%</w:t>
            </w:r>
            <w:r>
              <w:rPr>
                <w:rFonts w:hint="eastAsia" w:ascii="宋体" w:hAnsi="宋体" w:cs="宋体"/>
                <w:color w:val="000000"/>
                <w:sz w:val="21"/>
                <w:szCs w:val="21"/>
                <w:lang w:eastAsia="zh-CN"/>
              </w:rPr>
              <w:t>；</w:t>
            </w:r>
            <w:r>
              <w:rPr>
                <w:rFonts w:hint="eastAsia" w:ascii="宋体" w:hAnsi="宋体" w:cs="宋体"/>
                <w:color w:val="000000"/>
                <w:sz w:val="21"/>
                <w:szCs w:val="21"/>
              </w:rPr>
              <w:t>新建以茯苓为主的中药材种植示范基地580亩</w:t>
            </w:r>
            <w:r>
              <w:rPr>
                <w:rFonts w:hint="eastAsia" w:ascii="宋体" w:hAnsi="宋体" w:cs="宋体"/>
                <w:color w:val="000000"/>
                <w:sz w:val="21"/>
                <w:szCs w:val="21"/>
                <w:lang w:eastAsia="zh-CN"/>
              </w:rPr>
              <w:t>；建设以香菇、灵芝为主的食用菌基地，其中香菇63万袋，（晋贤新华村50万袋、熨斗村10万袋，紫云乡云雾村3万袋），灵芝180亩（晋贤乡道角村120亩、千秋村60亩），并配套相关设施建设。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CD0DD">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完成</w:t>
            </w:r>
            <w:r>
              <w:rPr>
                <w:rFonts w:hint="eastAsia" w:ascii="宋体" w:hAnsi="宋体" w:cs="宋体"/>
                <w:color w:val="000000"/>
                <w:sz w:val="21"/>
                <w:szCs w:val="21"/>
              </w:rPr>
              <w:t>集体和个人天然商品林停伐管护面积34.45万亩</w:t>
            </w:r>
            <w:r>
              <w:rPr>
                <w:rFonts w:hint="eastAsia" w:ascii="宋体" w:hAnsi="宋体" w:cs="宋体"/>
                <w:color w:val="000000"/>
                <w:sz w:val="21"/>
                <w:szCs w:val="21"/>
                <w:lang w:eastAsia="zh-CN"/>
              </w:rPr>
              <w:t>；</w:t>
            </w:r>
            <w:r>
              <w:rPr>
                <w:rFonts w:hint="eastAsia" w:ascii="宋体" w:hAnsi="宋体" w:cs="宋体"/>
                <w:color w:val="000000"/>
                <w:sz w:val="21"/>
                <w:szCs w:val="21"/>
              </w:rPr>
              <w:t>集体和个人所有公益林生态效益补偿</w:t>
            </w:r>
            <w:r>
              <w:rPr>
                <w:rFonts w:hint="eastAsia" w:ascii="宋体" w:hAnsi="宋体" w:cs="宋体"/>
                <w:color w:val="000000"/>
                <w:sz w:val="21"/>
                <w:szCs w:val="21"/>
                <w:lang w:val="en-US" w:eastAsia="zh-CN"/>
              </w:rPr>
              <w:t>面积</w:t>
            </w:r>
            <w:r>
              <w:rPr>
                <w:rFonts w:hint="eastAsia" w:ascii="宋体" w:hAnsi="宋体" w:cs="宋体"/>
                <w:color w:val="000000"/>
                <w:sz w:val="21"/>
                <w:szCs w:val="21"/>
              </w:rPr>
              <w:t>56.55万亩</w:t>
            </w:r>
            <w:r>
              <w:rPr>
                <w:rFonts w:hint="eastAsia" w:ascii="宋体" w:hAnsi="宋体" w:cs="宋体"/>
                <w:color w:val="000000"/>
                <w:sz w:val="21"/>
                <w:szCs w:val="21"/>
                <w:lang w:eastAsia="zh-CN"/>
              </w:rPr>
              <w:t>；</w:t>
            </w:r>
            <w:r>
              <w:rPr>
                <w:rFonts w:hint="eastAsia" w:ascii="宋体" w:hAnsi="宋体" w:cs="宋体"/>
                <w:color w:val="000000"/>
                <w:sz w:val="21"/>
                <w:szCs w:val="21"/>
              </w:rPr>
              <w:t>森林火灾损失率控制在≦0.1‰以内</w:t>
            </w:r>
            <w:r>
              <w:rPr>
                <w:rFonts w:hint="eastAsia" w:ascii="宋体" w:hAnsi="宋体" w:cs="宋体"/>
                <w:color w:val="000000"/>
                <w:sz w:val="21"/>
                <w:szCs w:val="21"/>
                <w:lang w:eastAsia="zh-CN"/>
              </w:rPr>
              <w:t>，</w:t>
            </w:r>
            <w:r>
              <w:rPr>
                <w:rFonts w:hint="eastAsia" w:ascii="宋体" w:hAnsi="宋体" w:cs="宋体"/>
                <w:color w:val="000000"/>
                <w:sz w:val="21"/>
                <w:szCs w:val="21"/>
              </w:rPr>
              <w:t>森林资源损失减小3000万元</w:t>
            </w:r>
            <w:r>
              <w:rPr>
                <w:rFonts w:hint="eastAsia" w:ascii="宋体" w:hAnsi="宋体" w:cs="宋体"/>
                <w:color w:val="000000"/>
                <w:sz w:val="21"/>
                <w:szCs w:val="21"/>
                <w:lang w:eastAsia="zh-CN"/>
              </w:rPr>
              <w:t>，</w:t>
            </w:r>
            <w:r>
              <w:rPr>
                <w:rFonts w:hint="eastAsia" w:ascii="宋体" w:hAnsi="宋体" w:cs="宋体"/>
                <w:color w:val="000000"/>
                <w:sz w:val="21"/>
                <w:szCs w:val="21"/>
              </w:rPr>
              <w:t>森林覆盖率保持提高</w:t>
            </w:r>
            <w:r>
              <w:rPr>
                <w:rFonts w:hint="eastAsia" w:ascii="宋体" w:hAnsi="宋体" w:cs="宋体"/>
                <w:color w:val="000000"/>
                <w:sz w:val="21"/>
                <w:szCs w:val="21"/>
                <w:lang w:eastAsia="zh-CN"/>
              </w:rPr>
              <w:t>，</w:t>
            </w:r>
            <w:r>
              <w:rPr>
                <w:rFonts w:hint="eastAsia" w:ascii="宋体" w:hAnsi="宋体" w:cs="宋体"/>
                <w:color w:val="000000"/>
                <w:sz w:val="21"/>
                <w:szCs w:val="21"/>
              </w:rPr>
              <w:t>森林防火基层基础能力建设逐步加强</w:t>
            </w:r>
            <w:r>
              <w:rPr>
                <w:rFonts w:hint="eastAsia" w:ascii="宋体" w:hAnsi="宋体" w:cs="宋体"/>
                <w:color w:val="000000"/>
                <w:sz w:val="21"/>
                <w:szCs w:val="21"/>
                <w:lang w:eastAsia="zh-CN"/>
              </w:rPr>
              <w:t>，</w:t>
            </w:r>
            <w:r>
              <w:rPr>
                <w:rFonts w:hint="eastAsia" w:ascii="宋体" w:hAnsi="宋体" w:cs="宋体"/>
                <w:color w:val="000000"/>
                <w:sz w:val="21"/>
                <w:szCs w:val="21"/>
              </w:rPr>
              <w:t>群众满意度≧9</w:t>
            </w:r>
            <w:r>
              <w:rPr>
                <w:rFonts w:hint="eastAsia" w:ascii="宋体" w:hAnsi="宋体" w:cs="宋体"/>
                <w:color w:val="000000"/>
                <w:sz w:val="21"/>
                <w:szCs w:val="21"/>
                <w:lang w:val="en-US" w:eastAsia="zh-CN"/>
              </w:rPr>
              <w:t>5</w:t>
            </w:r>
            <w:r>
              <w:rPr>
                <w:rFonts w:hint="eastAsia" w:ascii="宋体" w:hAnsi="宋体" w:cs="宋体"/>
                <w:color w:val="000000"/>
                <w:sz w:val="21"/>
                <w:szCs w:val="21"/>
              </w:rPr>
              <w:t>%</w:t>
            </w:r>
            <w:r>
              <w:rPr>
                <w:rFonts w:hint="eastAsia" w:ascii="宋体" w:hAnsi="宋体" w:cs="宋体"/>
                <w:color w:val="000000"/>
                <w:sz w:val="21"/>
                <w:szCs w:val="21"/>
                <w:lang w:eastAsia="zh-CN"/>
              </w:rPr>
              <w:t>；</w:t>
            </w:r>
            <w:r>
              <w:rPr>
                <w:rFonts w:hint="eastAsia" w:ascii="宋体" w:hAnsi="宋体" w:cs="宋体"/>
                <w:color w:val="000000"/>
                <w:sz w:val="21"/>
                <w:szCs w:val="21"/>
              </w:rPr>
              <w:t>新建以茯苓为主的中药材种植示范基地580亩</w:t>
            </w:r>
            <w:r>
              <w:rPr>
                <w:rFonts w:hint="eastAsia" w:ascii="宋体" w:hAnsi="宋体" w:cs="宋体"/>
                <w:color w:val="000000"/>
                <w:sz w:val="21"/>
                <w:szCs w:val="21"/>
                <w:lang w:eastAsia="zh-CN"/>
              </w:rPr>
              <w:t>；建设以香菇、灵芝为主的食用菌基地，其中香菇63万袋，（晋贤新华村50万袋、熨斗村10万袋，紫云乡云雾村3万袋），灵芝180亩（晋贤乡道角村120亩、千秋村60亩），并配套相关设施。</w:t>
            </w:r>
          </w:p>
        </w:tc>
      </w:tr>
      <w:tr w14:paraId="55770A94">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6E915FE1">
            <w:pPr>
              <w:widowControl/>
              <w:jc w:val="center"/>
              <w:textAlignment w:val="center"/>
              <w:rPr>
                <w:rFonts w:ascii="宋体" w:hAnsi="宋体" w:cs="宋体"/>
                <w:color w:val="000000"/>
                <w:sz w:val="21"/>
                <w:szCs w:val="21"/>
              </w:rPr>
            </w:pPr>
            <w:r>
              <w:rPr>
                <w:rFonts w:hint="eastAsia" w:ascii="宋体" w:hAnsi="宋体" w:cs="宋体"/>
                <w:color w:val="000000"/>
                <w:sz w:val="21"/>
                <w:szCs w:val="21"/>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519A4">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E85B9">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A60DA">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D45AF">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9ABC3">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实际完成指标值(包含数字及文字描述)</w:t>
            </w:r>
          </w:p>
        </w:tc>
      </w:tr>
      <w:tr w14:paraId="77B6C166">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15E60A3">
            <w:pPr>
              <w:widowControl/>
              <w:jc w:val="center"/>
              <w:textAlignment w:val="center"/>
              <w:rPr>
                <w:rFonts w:ascii="宋体" w:hAnsi="宋体" w:cs="宋体"/>
                <w:color w:val="000000"/>
                <w:sz w:val="21"/>
                <w:szCs w:val="21"/>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9C5712D">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项目完成指标</w:t>
            </w:r>
          </w:p>
          <w:p w14:paraId="42C490CD">
            <w:pPr>
              <w:widowControl/>
              <w:jc w:val="center"/>
              <w:textAlignment w:val="center"/>
              <w:rPr>
                <w:rFonts w:ascii="宋体" w:hAnsi="宋体" w:cs="宋体"/>
                <w:color w:val="000000"/>
                <w:sz w:val="21"/>
                <w:szCs w:val="21"/>
              </w:rPr>
            </w:pP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1A2D8B20">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DC535">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集体和个人所有国家级公益林面积（万亩</w:t>
            </w:r>
            <w:r>
              <w:rPr>
                <w:rFonts w:hint="eastAsia" w:ascii="宋体" w:hAnsi="宋体" w:cs="宋体"/>
                <w:color w:val="000000"/>
                <w:sz w:val="21"/>
                <w:szCs w:val="21"/>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7D9EA">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完成</w:t>
            </w:r>
            <w:r>
              <w:rPr>
                <w:rFonts w:hint="eastAsia" w:ascii="宋体" w:hAnsi="宋体" w:cs="宋体"/>
                <w:color w:val="000000"/>
                <w:sz w:val="21"/>
                <w:szCs w:val="21"/>
              </w:rPr>
              <w:t>40.85</w:t>
            </w:r>
            <w:r>
              <w:rPr>
                <w:rFonts w:hint="eastAsia" w:ascii="宋体" w:hAnsi="宋体" w:cs="宋体"/>
                <w:color w:val="000000"/>
                <w:sz w:val="21"/>
                <w:szCs w:val="21"/>
                <w:lang w:val="en-US" w:eastAsia="zh-CN"/>
              </w:rPr>
              <w:t>万亩集体和个人所有国家级公益林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B33CB">
            <w:pPr>
              <w:widowControl/>
              <w:jc w:val="center"/>
              <w:textAlignment w:val="center"/>
              <w:rPr>
                <w:rFonts w:ascii="宋体" w:hAnsi="宋体" w:cs="宋体"/>
                <w:color w:val="000000"/>
                <w:sz w:val="21"/>
                <w:szCs w:val="21"/>
              </w:rPr>
            </w:pPr>
            <w:r>
              <w:rPr>
                <w:rFonts w:hint="eastAsia" w:ascii="宋体" w:hAnsi="宋体" w:cs="宋体"/>
                <w:color w:val="000000"/>
                <w:sz w:val="21"/>
                <w:szCs w:val="21"/>
                <w:lang w:val="en-US" w:eastAsia="zh-CN"/>
              </w:rPr>
              <w:t>已完成</w:t>
            </w:r>
            <w:r>
              <w:rPr>
                <w:rFonts w:hint="eastAsia" w:ascii="宋体" w:hAnsi="宋体" w:cs="宋体"/>
                <w:color w:val="000000"/>
                <w:sz w:val="21"/>
                <w:szCs w:val="21"/>
              </w:rPr>
              <w:t>40.85</w:t>
            </w:r>
            <w:r>
              <w:rPr>
                <w:rFonts w:hint="eastAsia" w:ascii="宋体" w:hAnsi="宋体" w:cs="宋体"/>
                <w:color w:val="000000"/>
                <w:sz w:val="21"/>
                <w:szCs w:val="21"/>
                <w:lang w:val="en-US" w:eastAsia="zh-CN"/>
              </w:rPr>
              <w:t>万亩集体和个人所有国家级公益林</w:t>
            </w:r>
          </w:p>
        </w:tc>
      </w:tr>
      <w:tr w14:paraId="38AF2A9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54199E5E">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2513E199">
            <w:pPr>
              <w:widowControl/>
              <w:jc w:val="center"/>
              <w:textAlignment w:val="center"/>
              <w:rPr>
                <w:rFonts w:ascii="宋体" w:hAnsi="宋体" w:cs="宋体"/>
                <w:color w:val="000000"/>
                <w:sz w:val="21"/>
                <w:szCs w:val="21"/>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428DDBEE">
            <w:pPr>
              <w:widowControl/>
              <w:jc w:val="center"/>
              <w:textAlignment w:val="center"/>
              <w:rPr>
                <w:rFonts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A34C1">
            <w:pPr>
              <w:widowControl/>
              <w:jc w:val="center"/>
              <w:textAlignment w:val="center"/>
              <w:rPr>
                <w:rFonts w:ascii="宋体" w:hAnsi="宋体" w:cs="宋体"/>
                <w:color w:val="000000"/>
                <w:sz w:val="21"/>
                <w:szCs w:val="21"/>
              </w:rPr>
            </w:pPr>
            <w:r>
              <w:rPr>
                <w:rFonts w:hint="eastAsia" w:ascii="宋体" w:hAnsi="宋体" w:cs="宋体"/>
                <w:color w:val="000000"/>
                <w:sz w:val="21"/>
                <w:szCs w:val="21"/>
              </w:rPr>
              <w:t>集体和个人所有</w:t>
            </w:r>
            <w:r>
              <w:rPr>
                <w:rFonts w:hint="eastAsia" w:ascii="宋体" w:hAnsi="宋体" w:cs="宋体"/>
                <w:color w:val="000000"/>
                <w:sz w:val="21"/>
                <w:szCs w:val="21"/>
                <w:lang w:val="en-US" w:eastAsia="zh-CN"/>
              </w:rPr>
              <w:t>省级</w:t>
            </w:r>
            <w:r>
              <w:rPr>
                <w:rFonts w:hint="eastAsia" w:ascii="宋体" w:hAnsi="宋体" w:cs="宋体"/>
                <w:color w:val="000000"/>
                <w:sz w:val="21"/>
                <w:szCs w:val="21"/>
              </w:rPr>
              <w:t>公益林面积（万亩</w:t>
            </w:r>
            <w:r>
              <w:rPr>
                <w:rFonts w:hint="eastAsia" w:ascii="宋体" w:hAnsi="宋体" w:cs="宋体"/>
                <w:color w:val="000000"/>
                <w:sz w:val="21"/>
                <w:szCs w:val="21"/>
                <w:lang w:eastAsia="zh-CN"/>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9B70E">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完成15.7万亩集体和个人所有省级公益林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3EEF2">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已完成15.7万亩集体和个人所有省级公益林</w:t>
            </w:r>
          </w:p>
        </w:tc>
      </w:tr>
      <w:tr w14:paraId="660D8EC6">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17B6933">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49FDC277">
            <w:pPr>
              <w:widowControl/>
              <w:jc w:val="center"/>
              <w:textAlignment w:val="center"/>
              <w:rPr>
                <w:rFonts w:ascii="宋体" w:hAnsi="宋体" w:cs="宋体"/>
                <w:color w:val="000000"/>
                <w:sz w:val="21"/>
                <w:szCs w:val="21"/>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47516C0C">
            <w:pPr>
              <w:widowControl/>
              <w:jc w:val="center"/>
              <w:textAlignment w:val="center"/>
              <w:rPr>
                <w:rFonts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D8312">
            <w:pPr>
              <w:widowControl/>
              <w:jc w:val="center"/>
              <w:textAlignment w:val="center"/>
              <w:rPr>
                <w:rFonts w:hint="eastAsia" w:ascii="宋体" w:hAnsi="宋体" w:eastAsia="宋体" w:cs="宋体"/>
                <w:color w:val="000000"/>
                <w:sz w:val="21"/>
                <w:szCs w:val="21"/>
                <w:lang w:eastAsia="zh-CN"/>
              </w:rPr>
            </w:pPr>
            <w:r>
              <w:rPr>
                <w:rFonts w:hint="eastAsia" w:ascii="宋体" w:hAnsi="宋体" w:cs="宋体"/>
                <w:color w:val="000000"/>
                <w:sz w:val="21"/>
                <w:szCs w:val="21"/>
              </w:rPr>
              <w:t>集体和个人天然商品林</w:t>
            </w:r>
            <w:r>
              <w:rPr>
                <w:rFonts w:hint="eastAsia" w:ascii="宋体" w:hAnsi="宋体" w:cs="宋体"/>
                <w:color w:val="000000"/>
                <w:sz w:val="21"/>
                <w:szCs w:val="21"/>
                <w:lang w:val="en-US" w:eastAsia="zh-CN"/>
              </w:rPr>
              <w:t>协议</w:t>
            </w:r>
            <w:r>
              <w:rPr>
                <w:rFonts w:hint="eastAsia" w:ascii="宋体" w:hAnsi="宋体" w:cs="宋体"/>
                <w:color w:val="000000"/>
                <w:sz w:val="21"/>
                <w:szCs w:val="21"/>
              </w:rPr>
              <w:t>停伐</w:t>
            </w:r>
            <w:r>
              <w:rPr>
                <w:rFonts w:hint="eastAsia" w:ascii="宋体" w:hAnsi="宋体" w:cs="宋体"/>
                <w:color w:val="000000"/>
                <w:sz w:val="21"/>
                <w:szCs w:val="21"/>
                <w:lang w:val="en-US" w:eastAsia="zh-CN"/>
              </w:rPr>
              <w:t>面积（万亩）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A54E2">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完成34.45万亩</w:t>
            </w:r>
            <w:r>
              <w:rPr>
                <w:rFonts w:hint="eastAsia" w:ascii="宋体" w:hAnsi="宋体" w:cs="宋体"/>
                <w:color w:val="000000"/>
                <w:sz w:val="21"/>
                <w:szCs w:val="21"/>
              </w:rPr>
              <w:t>集体和个人天然商品林</w:t>
            </w:r>
            <w:r>
              <w:rPr>
                <w:rFonts w:hint="eastAsia" w:ascii="宋体" w:hAnsi="宋体" w:cs="宋体"/>
                <w:color w:val="000000"/>
                <w:sz w:val="21"/>
                <w:szCs w:val="21"/>
                <w:lang w:val="en-US" w:eastAsia="zh-CN"/>
              </w:rPr>
              <w:t>协议</w:t>
            </w:r>
            <w:r>
              <w:rPr>
                <w:rFonts w:hint="eastAsia" w:ascii="宋体" w:hAnsi="宋体" w:cs="宋体"/>
                <w:color w:val="000000"/>
                <w:sz w:val="21"/>
                <w:szCs w:val="21"/>
              </w:rPr>
              <w:t>停伐</w:t>
            </w:r>
            <w:r>
              <w:rPr>
                <w:rFonts w:hint="eastAsia" w:ascii="宋体" w:hAnsi="宋体" w:cs="宋体"/>
                <w:color w:val="000000"/>
                <w:sz w:val="21"/>
                <w:szCs w:val="21"/>
                <w:lang w:val="en-US" w:eastAsia="zh-CN"/>
              </w:rPr>
              <w:t>面积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C2151">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已完成34.45万亩</w:t>
            </w:r>
            <w:r>
              <w:rPr>
                <w:rFonts w:hint="eastAsia" w:ascii="宋体" w:hAnsi="宋体" w:cs="宋体"/>
                <w:color w:val="000000"/>
                <w:sz w:val="21"/>
                <w:szCs w:val="21"/>
              </w:rPr>
              <w:t>集体和个人天然商品林</w:t>
            </w:r>
            <w:r>
              <w:rPr>
                <w:rFonts w:hint="eastAsia" w:ascii="宋体" w:hAnsi="宋体" w:cs="宋体"/>
                <w:color w:val="000000"/>
                <w:sz w:val="21"/>
                <w:szCs w:val="21"/>
                <w:lang w:val="en-US" w:eastAsia="zh-CN"/>
              </w:rPr>
              <w:t>协议</w:t>
            </w:r>
            <w:r>
              <w:rPr>
                <w:rFonts w:hint="eastAsia" w:ascii="宋体" w:hAnsi="宋体" w:cs="宋体"/>
                <w:color w:val="000000"/>
                <w:sz w:val="21"/>
                <w:szCs w:val="21"/>
              </w:rPr>
              <w:t>停伐</w:t>
            </w:r>
            <w:r>
              <w:rPr>
                <w:rFonts w:hint="eastAsia" w:ascii="宋体" w:hAnsi="宋体" w:cs="宋体"/>
                <w:color w:val="000000"/>
                <w:sz w:val="21"/>
                <w:szCs w:val="21"/>
                <w:lang w:val="en-US" w:eastAsia="zh-CN"/>
              </w:rPr>
              <w:t>面积</w:t>
            </w:r>
          </w:p>
        </w:tc>
      </w:tr>
      <w:tr w14:paraId="391B712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E9AB354">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377C6153">
            <w:pPr>
              <w:widowControl/>
              <w:jc w:val="center"/>
              <w:textAlignment w:val="center"/>
              <w:rPr>
                <w:rFonts w:ascii="宋体" w:hAnsi="宋体" w:cs="宋体"/>
                <w:color w:val="000000"/>
                <w:kern w:val="0"/>
                <w:sz w:val="21"/>
                <w:szCs w:val="21"/>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066B9D73">
            <w:pPr>
              <w:widowControl/>
              <w:jc w:val="center"/>
              <w:textAlignment w:val="center"/>
              <w:rPr>
                <w:rFonts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6BB60">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森林火灾损失率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08B50">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rPr>
              <w:t>≦0.1‰</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2C2D1">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rPr>
              <w:t>≦0.1‰</w:t>
            </w:r>
          </w:p>
        </w:tc>
      </w:tr>
      <w:tr w14:paraId="52FDA145">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D1BCDA1">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67B8E3C9">
            <w:pPr>
              <w:widowControl/>
              <w:jc w:val="center"/>
              <w:textAlignment w:val="center"/>
              <w:rPr>
                <w:rFonts w:ascii="宋体" w:hAnsi="宋体" w:cs="宋体"/>
                <w:color w:val="000000"/>
                <w:kern w:val="0"/>
                <w:sz w:val="21"/>
                <w:szCs w:val="21"/>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2488E64D">
            <w:pPr>
              <w:widowControl/>
              <w:jc w:val="center"/>
              <w:textAlignment w:val="center"/>
              <w:rPr>
                <w:rFonts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754C3">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开展防火宣传</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AFFB2">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组织应急演练1次，制作防火宣传碑3个，印制防火宣传资料10万份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1A17D">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已组织应急演练1次，制作宣传标语4幅，印制防火宣传资料8万份</w:t>
            </w:r>
          </w:p>
        </w:tc>
      </w:tr>
      <w:tr w14:paraId="1FB4C53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4E1B92F">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5D41F703">
            <w:pPr>
              <w:widowControl/>
              <w:jc w:val="center"/>
              <w:textAlignment w:val="center"/>
              <w:rPr>
                <w:rFonts w:ascii="宋体" w:hAnsi="宋体" w:cs="宋体"/>
                <w:color w:val="000000"/>
                <w:sz w:val="21"/>
                <w:szCs w:val="21"/>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25173FD2">
            <w:pPr>
              <w:widowControl/>
              <w:jc w:val="center"/>
              <w:textAlignment w:val="center"/>
              <w:rPr>
                <w:rFonts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2328A">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中药材示范基地（亩）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49EE0F">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新建以茯苓为主的中药材种植示范基地580亩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BE6B7">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已建成以茯苓为主的中药材种植示范基地580亩</w:t>
            </w:r>
          </w:p>
        </w:tc>
      </w:tr>
      <w:tr w14:paraId="0BCF70B7">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696AB16">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5048016D">
            <w:pPr>
              <w:widowControl/>
              <w:jc w:val="center"/>
              <w:textAlignment w:val="center"/>
              <w:rPr>
                <w:rFonts w:ascii="宋体" w:hAnsi="宋体" w:cs="宋体"/>
                <w:color w:val="000000"/>
                <w:sz w:val="21"/>
                <w:szCs w:val="21"/>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78EB573A">
            <w:pPr>
              <w:widowControl/>
              <w:jc w:val="center"/>
              <w:textAlignment w:val="center"/>
              <w:rPr>
                <w:rFonts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7B72A">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建设食用菌基地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31217">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新建香菇、灵芝为主的食用菌基地建设，其中香菇63万袋，灵芝180亩</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DF780">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已建成香菇、灵芝为主的食用菌基地建设，其中香菇63万袋，灵芝180亩</w:t>
            </w:r>
          </w:p>
        </w:tc>
      </w:tr>
      <w:tr w14:paraId="178E850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6F7E53D">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57947C04">
            <w:pPr>
              <w:widowControl/>
              <w:jc w:val="center"/>
              <w:textAlignment w:val="center"/>
              <w:rPr>
                <w:rFonts w:ascii="宋体" w:hAnsi="宋体" w:cs="宋体"/>
                <w:color w:val="000000"/>
                <w:sz w:val="21"/>
                <w:szCs w:val="21"/>
              </w:rPr>
            </w:pPr>
          </w:p>
        </w:tc>
        <w:tc>
          <w:tcPr>
            <w:tcW w:w="1025" w:type="dxa"/>
            <w:tcBorders>
              <w:left w:val="single" w:color="000000" w:sz="4" w:space="0"/>
              <w:bottom w:val="single" w:color="000000" w:sz="4" w:space="0"/>
              <w:right w:val="single" w:color="000000" w:sz="4" w:space="0"/>
            </w:tcBorders>
            <w:tcMar>
              <w:top w:w="15" w:type="dxa"/>
              <w:left w:w="15" w:type="dxa"/>
              <w:right w:w="15" w:type="dxa"/>
            </w:tcMar>
            <w:vAlign w:val="center"/>
          </w:tcPr>
          <w:p w14:paraId="710BF707">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55588">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森林生态效益当期任务完成率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F8493">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7E8B0">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100%</w:t>
            </w:r>
          </w:p>
        </w:tc>
      </w:tr>
      <w:tr w14:paraId="1AAE8BC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7F7692F">
            <w:pPr>
              <w:widowControl/>
              <w:jc w:val="center"/>
              <w:textAlignment w:val="center"/>
              <w:rPr>
                <w:rFonts w:ascii="宋体" w:hAnsi="宋体" w:cs="宋体"/>
                <w:color w:val="000000"/>
                <w:sz w:val="21"/>
                <w:szCs w:val="21"/>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04689342">
            <w:pPr>
              <w:widowControl/>
              <w:jc w:val="center"/>
              <w:textAlignment w:val="center"/>
              <w:rPr>
                <w:rFonts w:ascii="宋体" w:hAnsi="宋体" w:cs="宋体"/>
                <w:color w:val="000000"/>
                <w:sz w:val="21"/>
                <w:szCs w:val="21"/>
              </w:rPr>
            </w:pPr>
          </w:p>
        </w:tc>
        <w:tc>
          <w:tcPr>
            <w:tcW w:w="1025" w:type="dxa"/>
            <w:tcBorders>
              <w:left w:val="single" w:color="000000" w:sz="4" w:space="0"/>
              <w:bottom w:val="single" w:color="000000" w:sz="4" w:space="0"/>
              <w:right w:val="single" w:color="000000" w:sz="4" w:space="0"/>
            </w:tcBorders>
            <w:tcMar>
              <w:top w:w="15" w:type="dxa"/>
              <w:left w:w="15" w:type="dxa"/>
              <w:right w:w="15" w:type="dxa"/>
            </w:tcMar>
            <w:vAlign w:val="center"/>
          </w:tcPr>
          <w:p w14:paraId="7EADBC42">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DC0D1">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中药材示范基地补助财政标准（元/亩）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B18D24">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6D58B">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400</w:t>
            </w:r>
          </w:p>
        </w:tc>
      </w:tr>
      <w:tr w14:paraId="2DE1B663">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A5A679E">
            <w:pPr>
              <w:widowControl/>
              <w:jc w:val="center"/>
              <w:textAlignment w:val="center"/>
              <w:rPr>
                <w:rFonts w:ascii="宋体" w:hAnsi="宋体" w:cs="宋体"/>
                <w:color w:val="000000"/>
                <w:sz w:val="21"/>
                <w:szCs w:val="21"/>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625C93B">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效益指标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30DEF98A">
            <w:pPr>
              <w:widowControl/>
              <w:jc w:val="center"/>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经济效益</w:t>
            </w:r>
          </w:p>
          <w:p w14:paraId="7AA76F7D">
            <w:pPr>
              <w:widowControl/>
              <w:jc w:val="center"/>
              <w:textAlignment w:val="center"/>
              <w:rPr>
                <w:rFonts w:hint="default" w:ascii="宋体" w:hAnsi="宋体" w:eastAsia="宋体" w:cs="宋体"/>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E470B">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茯苓产值（元/亩）</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8833C">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8000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D24F1">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8000</w:t>
            </w:r>
          </w:p>
        </w:tc>
      </w:tr>
      <w:tr w14:paraId="2DF8FB8C">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832ED60">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2CC616BC">
            <w:pPr>
              <w:widowControl/>
              <w:jc w:val="center"/>
              <w:textAlignment w:val="center"/>
              <w:rPr>
                <w:rFonts w:hint="eastAsia" w:ascii="宋体" w:hAnsi="宋体" w:cs="宋体"/>
                <w:color w:val="000000"/>
                <w:kern w:val="0"/>
                <w:sz w:val="21"/>
                <w:szCs w:val="21"/>
              </w:rPr>
            </w:pPr>
          </w:p>
        </w:tc>
        <w:tc>
          <w:tcPr>
            <w:tcW w:w="1025" w:type="dxa"/>
            <w:vMerge w:val="continue"/>
            <w:tcBorders>
              <w:left w:val="single" w:color="000000" w:sz="4" w:space="0"/>
              <w:right w:val="single" w:color="000000" w:sz="4" w:space="0"/>
            </w:tcBorders>
            <w:tcMar>
              <w:top w:w="15" w:type="dxa"/>
              <w:left w:w="15" w:type="dxa"/>
              <w:right w:w="15" w:type="dxa"/>
            </w:tcMar>
            <w:vAlign w:val="center"/>
          </w:tcPr>
          <w:p w14:paraId="7B1FC21E">
            <w:pPr>
              <w:widowControl/>
              <w:jc w:val="center"/>
              <w:textAlignment w:val="center"/>
              <w:rPr>
                <w:rFonts w:hint="eastAsia" w:ascii="宋体" w:hAnsi="宋体" w:cs="宋体"/>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18031">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食用菌总产值（万元）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94771">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1500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3482F">
            <w:pPr>
              <w:widowControl/>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1500</w:t>
            </w:r>
          </w:p>
        </w:tc>
      </w:tr>
      <w:tr w14:paraId="76A87A8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44300D21">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5FA10DD9">
            <w:pPr>
              <w:widowControl/>
              <w:jc w:val="center"/>
              <w:textAlignment w:val="center"/>
              <w:rPr>
                <w:rFonts w:ascii="宋体" w:hAnsi="宋体" w:cs="宋体"/>
                <w:color w:val="000000"/>
                <w:sz w:val="21"/>
                <w:szCs w:val="21"/>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381185B">
            <w:pPr>
              <w:widowControl/>
              <w:jc w:val="center"/>
              <w:textAlignment w:val="center"/>
              <w:rPr>
                <w:rFonts w:hint="default" w:ascii="宋体" w:hAnsi="宋体" w:eastAsia="宋体" w:cs="宋体"/>
                <w:color w:val="000000"/>
                <w:sz w:val="21"/>
                <w:szCs w:val="21"/>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F9E93">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林业防灾减灾挽回经济损失（亿元）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CE0D3">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2F6D6">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≥0.3</w:t>
            </w:r>
          </w:p>
        </w:tc>
      </w:tr>
      <w:tr w14:paraId="5519BA84">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8B6AC53">
            <w:pPr>
              <w:widowControl/>
              <w:jc w:val="center"/>
              <w:textAlignment w:val="center"/>
              <w:rPr>
                <w:rFonts w:ascii="宋体" w:hAnsi="宋体" w:cs="宋体"/>
                <w:color w:val="000000"/>
                <w:sz w:val="21"/>
                <w:szCs w:val="21"/>
              </w:rPr>
            </w:pPr>
          </w:p>
        </w:tc>
        <w:tc>
          <w:tcPr>
            <w:tcW w:w="1367" w:type="dxa"/>
            <w:vMerge w:val="continue"/>
            <w:tcBorders>
              <w:left w:val="single" w:color="000000" w:sz="4" w:space="0"/>
              <w:right w:val="single" w:color="000000" w:sz="4" w:space="0"/>
            </w:tcBorders>
            <w:tcMar>
              <w:top w:w="15" w:type="dxa"/>
              <w:left w:w="15" w:type="dxa"/>
              <w:right w:w="15" w:type="dxa"/>
            </w:tcMar>
            <w:vAlign w:val="center"/>
          </w:tcPr>
          <w:p w14:paraId="00207E66">
            <w:pPr>
              <w:widowControl/>
              <w:jc w:val="center"/>
              <w:textAlignment w:val="center"/>
              <w:rPr>
                <w:rFonts w:ascii="宋体" w:hAnsi="宋体" w:cs="宋体"/>
                <w:color w:val="000000"/>
                <w:kern w:val="0"/>
                <w:sz w:val="21"/>
                <w:szCs w:val="21"/>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496BA">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生态效益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B6A57">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公益林对生态环境改善情况（是否明显）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597CF">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8F775">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是</w:t>
            </w:r>
          </w:p>
        </w:tc>
      </w:tr>
      <w:tr w14:paraId="15ABD8E3">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CE41470">
            <w:pPr>
              <w:widowControl/>
              <w:jc w:val="center"/>
              <w:textAlignment w:val="center"/>
              <w:rPr>
                <w:rFonts w:ascii="宋体" w:hAnsi="宋体" w:cs="宋体"/>
                <w:color w:val="000000"/>
                <w:sz w:val="21"/>
                <w:szCs w:val="21"/>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457E8033">
            <w:pPr>
              <w:widowControl/>
              <w:jc w:val="center"/>
              <w:textAlignment w:val="center"/>
              <w:rPr>
                <w:rFonts w:ascii="宋体" w:hAnsi="宋体" w:cs="宋体"/>
                <w:color w:val="000000"/>
                <w:sz w:val="21"/>
                <w:szCs w:val="21"/>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483C9">
            <w:pPr>
              <w:widowControl/>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可持续影响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8787E">
            <w:pPr>
              <w:widowControl/>
              <w:jc w:val="center"/>
              <w:textAlignment w:val="center"/>
              <w:rPr>
                <w:rFonts w:ascii="宋体" w:hAnsi="宋体" w:cs="宋体"/>
                <w:color w:val="000000"/>
                <w:sz w:val="21"/>
                <w:szCs w:val="21"/>
              </w:rPr>
            </w:pPr>
            <w:r>
              <w:rPr>
                <w:rFonts w:hint="eastAsia" w:ascii="宋体" w:hAnsi="宋体" w:cs="宋体"/>
                <w:color w:val="000000"/>
                <w:sz w:val="21"/>
                <w:szCs w:val="21"/>
              </w:rPr>
              <w:t>森林覆盖率保持</w:t>
            </w:r>
            <w:r>
              <w:rPr>
                <w:rFonts w:hint="eastAsia" w:ascii="宋体" w:hAnsi="宋体" w:cs="宋体"/>
                <w:color w:val="000000"/>
                <w:sz w:val="21"/>
                <w:szCs w:val="21"/>
                <w:lang w:val="en-US" w:eastAsia="zh-CN"/>
              </w:rPr>
              <w:t>是否</w:t>
            </w:r>
            <w:r>
              <w:rPr>
                <w:rFonts w:hint="eastAsia" w:ascii="宋体" w:hAnsi="宋体" w:cs="宋体"/>
                <w:color w:val="000000"/>
                <w:sz w:val="21"/>
                <w:szCs w:val="21"/>
              </w:rPr>
              <w:t>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50E74">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是</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2D5C7">
            <w:pPr>
              <w:widowControl/>
              <w:jc w:val="center"/>
              <w:textAlignment w:val="center"/>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是</w:t>
            </w:r>
          </w:p>
        </w:tc>
      </w:tr>
      <w:tr w14:paraId="6F3B545E">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49B8FAA">
            <w:pPr>
              <w:widowControl/>
              <w:jc w:val="center"/>
              <w:textAlignment w:val="center"/>
              <w:rPr>
                <w:rFonts w:ascii="宋体" w:hAnsi="宋体" w:cs="宋体"/>
                <w:color w:val="000000"/>
                <w:sz w:val="21"/>
                <w:szCs w:val="21"/>
              </w:rPr>
            </w:pPr>
          </w:p>
        </w:tc>
        <w:tc>
          <w:tcPr>
            <w:tcW w:w="136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57AB7EB5">
            <w:pPr>
              <w:widowControl/>
              <w:jc w:val="center"/>
              <w:textAlignment w:val="center"/>
              <w:rPr>
                <w:rFonts w:hint="eastAsia" w:ascii="宋体" w:hAnsi="宋体" w:cs="宋体"/>
                <w:color w:val="000000"/>
                <w:kern w:val="0"/>
                <w:sz w:val="21"/>
                <w:szCs w:val="21"/>
              </w:rPr>
            </w:pPr>
            <w:r>
              <w:rPr>
                <w:rFonts w:hint="eastAsia" w:ascii="宋体" w:hAnsi="宋体" w:cs="宋体"/>
                <w:color w:val="000000"/>
                <w:kern w:val="0"/>
                <w:sz w:val="21"/>
                <w:szCs w:val="21"/>
              </w:rPr>
              <w:t>满意度指标</w:t>
            </w:r>
          </w:p>
        </w:tc>
        <w:tc>
          <w:tcPr>
            <w:tcW w:w="10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280A5D43">
            <w:pPr>
              <w:widowControl/>
              <w:jc w:val="center"/>
              <w:textAlignment w:val="center"/>
              <w:rPr>
                <w:rFonts w:hint="eastAsia" w:ascii="宋体" w:hAnsi="宋体" w:cs="宋体"/>
                <w:color w:val="000000"/>
                <w:sz w:val="21"/>
                <w:szCs w:val="21"/>
              </w:rPr>
            </w:pPr>
            <w:r>
              <w:rPr>
                <w:rFonts w:hint="eastAsia" w:ascii="宋体" w:hAnsi="宋体" w:cs="宋体"/>
                <w:color w:val="000000"/>
                <w:sz w:val="21"/>
                <w:szCs w:val="21"/>
              </w:rPr>
              <w:t>服务对象</w:t>
            </w:r>
          </w:p>
          <w:p w14:paraId="4B62A456">
            <w:pPr>
              <w:widowControl/>
              <w:jc w:val="center"/>
              <w:textAlignment w:val="center"/>
              <w:rPr>
                <w:rFonts w:ascii="宋体" w:hAnsi="宋体" w:cs="宋体"/>
                <w:color w:val="000000"/>
                <w:sz w:val="21"/>
                <w:szCs w:val="21"/>
              </w:rPr>
            </w:pPr>
            <w:r>
              <w:rPr>
                <w:rFonts w:hint="eastAsia" w:ascii="宋体" w:hAnsi="宋体" w:cs="宋体"/>
                <w:color w:val="000000"/>
                <w:sz w:val="21"/>
                <w:szCs w:val="21"/>
              </w:rPr>
              <w:t>满意度</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AB93F">
            <w:pPr>
              <w:widowControl/>
              <w:jc w:val="center"/>
              <w:textAlignment w:val="center"/>
              <w:rPr>
                <w:rFonts w:ascii="宋体" w:hAnsi="宋体" w:cs="宋体"/>
                <w:color w:val="000000"/>
                <w:sz w:val="21"/>
                <w:szCs w:val="21"/>
              </w:rPr>
            </w:pPr>
            <w:r>
              <w:rPr>
                <w:rFonts w:hint="eastAsia" w:ascii="宋体" w:hAnsi="宋体" w:cs="宋体"/>
                <w:color w:val="000000"/>
                <w:sz w:val="21"/>
                <w:szCs w:val="21"/>
              </w:rPr>
              <w:t>群众满意度</w:t>
            </w:r>
            <w:r>
              <w:rPr>
                <w:rFonts w:hint="eastAsia" w:asciiTheme="minorEastAsia" w:hAnsiTheme="minorEastAsia" w:eastAsiaTheme="minorEastAsia" w:cstheme="minorEastAsia"/>
                <w:sz w:val="21"/>
                <w:szCs w:val="21"/>
              </w:rPr>
              <w:t>（%）</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D427E">
            <w:pPr>
              <w:widowControl/>
              <w:jc w:val="center"/>
              <w:textAlignment w:val="center"/>
              <w:rPr>
                <w:rFonts w:ascii="宋体" w:hAnsi="宋体" w:cs="宋体"/>
                <w:color w:val="000000"/>
                <w:sz w:val="21"/>
                <w:szCs w:val="21"/>
              </w:rPr>
            </w:pPr>
            <w:r>
              <w:rPr>
                <w:rFonts w:hint="eastAsia" w:ascii="宋体" w:hAnsi="宋体" w:cs="宋体"/>
                <w:color w:val="000000"/>
                <w:sz w:val="21"/>
                <w:szCs w:val="21"/>
              </w:rPr>
              <w:t>≧94%</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73387">
            <w:pPr>
              <w:widowControl/>
              <w:jc w:val="center"/>
              <w:textAlignment w:val="center"/>
              <w:rPr>
                <w:rFonts w:ascii="宋体" w:hAnsi="宋体" w:cs="宋体"/>
                <w:color w:val="000000"/>
                <w:sz w:val="21"/>
                <w:szCs w:val="21"/>
              </w:rPr>
            </w:pPr>
            <w:r>
              <w:rPr>
                <w:rFonts w:hint="eastAsia" w:ascii="宋体" w:hAnsi="宋体" w:cs="宋体"/>
                <w:color w:val="000000"/>
                <w:sz w:val="21"/>
                <w:szCs w:val="21"/>
              </w:rPr>
              <w:t>≧9</w:t>
            </w:r>
            <w:r>
              <w:rPr>
                <w:rFonts w:hint="eastAsia" w:ascii="宋体" w:hAnsi="宋体" w:cs="宋体"/>
                <w:color w:val="000000"/>
                <w:sz w:val="21"/>
                <w:szCs w:val="21"/>
                <w:lang w:val="en-US" w:eastAsia="zh-CN"/>
              </w:rPr>
              <w:t>5</w:t>
            </w:r>
            <w:r>
              <w:rPr>
                <w:rFonts w:hint="eastAsia" w:ascii="宋体" w:hAnsi="宋体" w:cs="宋体"/>
                <w:color w:val="000000"/>
                <w:sz w:val="21"/>
                <w:szCs w:val="21"/>
              </w:rPr>
              <w:t>%</w:t>
            </w:r>
          </w:p>
        </w:tc>
      </w:tr>
      <w:tr w14:paraId="13C57F51">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E055630">
            <w:pPr>
              <w:widowControl/>
              <w:jc w:val="center"/>
              <w:textAlignment w:val="center"/>
              <w:rPr>
                <w:rFonts w:ascii="宋体" w:hAnsi="宋体" w:cs="宋体"/>
                <w:color w:val="000000"/>
                <w:sz w:val="21"/>
                <w:szCs w:val="21"/>
              </w:rPr>
            </w:pPr>
          </w:p>
        </w:tc>
        <w:tc>
          <w:tcPr>
            <w:tcW w:w="136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27844927">
            <w:pPr>
              <w:widowControl/>
              <w:jc w:val="center"/>
              <w:textAlignment w:val="center"/>
              <w:rPr>
                <w:rFonts w:hint="eastAsia" w:ascii="宋体" w:hAnsi="宋体" w:cs="宋体"/>
                <w:color w:val="000000"/>
                <w:kern w:val="0"/>
                <w:sz w:val="21"/>
                <w:szCs w:val="21"/>
              </w:rPr>
            </w:pPr>
          </w:p>
        </w:tc>
        <w:tc>
          <w:tcPr>
            <w:tcW w:w="10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5B8C5C0E">
            <w:pPr>
              <w:widowControl/>
              <w:jc w:val="center"/>
              <w:textAlignment w:val="center"/>
              <w:rPr>
                <w:rFonts w:hint="eastAsia" w:ascii="宋体" w:hAnsi="宋体" w:cs="宋体"/>
                <w:color w:val="000000"/>
                <w:sz w:val="21"/>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990D7">
            <w:pPr>
              <w:widowControl/>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国家级公益林管护满意度（%）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B3812">
            <w:pPr>
              <w:widowControl/>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79C0D">
            <w:pPr>
              <w:widowControl/>
              <w:jc w:val="center"/>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≧95%</w:t>
            </w:r>
          </w:p>
        </w:tc>
      </w:tr>
    </w:tbl>
    <w:p w14:paraId="04339655">
      <w:pPr>
        <w:spacing w:line="580" w:lineRule="exact"/>
        <w:ind w:left="630"/>
        <w:rPr>
          <w:rFonts w:ascii="仿宋_GB2312" w:hAnsi="仿宋_GB2312" w:eastAsia="仿宋_GB2312" w:cs="仿宋_GB2312"/>
          <w:sz w:val="32"/>
          <w:szCs w:val="32"/>
        </w:rPr>
      </w:pPr>
    </w:p>
    <w:p w14:paraId="15FFFC7A">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14:paraId="15AE3E7D">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val="en-US" w:eastAsia="zh-CN"/>
        </w:rPr>
        <w:t>广元市昭化区林业局</w:t>
      </w:r>
      <w:r>
        <w:rPr>
          <w:rFonts w:hint="eastAsia" w:ascii="仿宋_GB2312" w:hAnsi="仿宋_GB2312" w:eastAsia="仿宋_GB2312" w:cs="仿宋_GB2312"/>
          <w:sz w:val="32"/>
          <w:szCs w:val="32"/>
        </w:rPr>
        <w:t>部门2019年部门整体支出绩效评价报告》见附件（附件1）。</w:t>
      </w:r>
    </w:p>
    <w:p w14:paraId="42B6DA06">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val="en-US" w:eastAsia="zh-CN"/>
        </w:rPr>
        <w:t>森林防火</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森林生态效益补偿</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集体和个人天然商品林停伐管护补助项目、中药材茯苓种植项目、龙泉</w:t>
      </w:r>
      <w:r>
        <w:rPr>
          <w:rFonts w:hint="eastAsia" w:ascii="微软雅黑" w:hAnsi="微软雅黑" w:eastAsia="微软雅黑" w:cs="微软雅黑"/>
          <w:sz w:val="32"/>
          <w:szCs w:val="32"/>
          <w:lang w:val="en-US" w:eastAsia="zh-CN"/>
        </w:rPr>
        <w:t>·</w:t>
      </w:r>
      <w:r>
        <w:rPr>
          <w:rFonts w:hint="eastAsia" w:ascii="仿宋_GB2312" w:hAnsi="仿宋_GB2312" w:eastAsia="仿宋_GB2312" w:cs="仿宋_GB2312"/>
          <w:sz w:val="32"/>
          <w:szCs w:val="32"/>
          <w:lang w:val="en-US" w:eastAsia="zh-CN"/>
        </w:rPr>
        <w:t>昭化食用菌项目</w:t>
      </w:r>
      <w:r>
        <w:rPr>
          <w:rFonts w:hint="eastAsia" w:ascii="仿宋_GB2312" w:hAnsi="仿宋_GB2312" w:eastAsia="仿宋_GB2312" w:cs="仿宋_GB2312"/>
          <w:sz w:val="32"/>
          <w:szCs w:val="32"/>
        </w:rPr>
        <w:t>开展了绩效评价，《项目2019年绩效评价报告》见附件（附件2）。</w:t>
      </w:r>
    </w:p>
    <w:p w14:paraId="29446216">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2CBF1A86">
      <w:pPr>
        <w:numPr>
          <w:ilvl w:val="0"/>
          <w:numId w:val="3"/>
        </w:numPr>
        <w:spacing w:line="600" w:lineRule="exact"/>
        <w:ind w:firstLine="660" w:firstLineChars="150"/>
        <w:jc w:val="center"/>
        <w:outlineLvl w:val="0"/>
        <w:rPr>
          <w:rStyle w:val="15"/>
          <w:rFonts w:ascii="黑体" w:hAnsi="黑体" w:eastAsia="黑体"/>
          <w:b w:val="0"/>
        </w:rPr>
      </w:pPr>
      <w:bookmarkStart w:id="52" w:name="_Toc15377225"/>
      <w:bookmarkStart w:id="53" w:name="_Toc15396613"/>
      <w:r>
        <w:rPr>
          <w:rFonts w:hint="eastAsia" w:ascii="黑体" w:hAnsi="黑体" w:eastAsia="黑体"/>
          <w:color w:val="000000"/>
          <w:sz w:val="44"/>
          <w:szCs w:val="44"/>
        </w:rPr>
        <w:t>名</w:t>
      </w:r>
      <w:r>
        <w:rPr>
          <w:rStyle w:val="15"/>
          <w:rFonts w:hint="eastAsia" w:ascii="黑体" w:hAnsi="黑体" w:eastAsia="黑体"/>
          <w:b w:val="0"/>
        </w:rPr>
        <w:t>词解释</w:t>
      </w:r>
      <w:bookmarkEnd w:id="52"/>
      <w:bookmarkEnd w:id="53"/>
    </w:p>
    <w:p w14:paraId="0C7ECFAD">
      <w:pPr>
        <w:spacing w:line="600" w:lineRule="exact"/>
        <w:jc w:val="left"/>
        <w:rPr>
          <w:rFonts w:ascii="宋体"/>
          <w:b/>
          <w:color w:val="000000"/>
          <w:sz w:val="44"/>
          <w:szCs w:val="44"/>
        </w:rPr>
      </w:pPr>
    </w:p>
    <w:p w14:paraId="4D6A689A">
      <w:pPr>
        <w:ind w:firstLine="640" w:firstLineChars="200"/>
        <w:rPr>
          <w:rFonts w:hint="eastAsia" w:ascii="仿宋_GB2312" w:eastAsia="仿宋_GB2312"/>
          <w:sz w:val="32"/>
          <w:szCs w:val="32"/>
        </w:rPr>
      </w:pPr>
      <w:r>
        <w:rPr>
          <w:rFonts w:hint="eastAsia" w:ascii="仿宋_GB2312" w:eastAsia="仿宋_GB2312"/>
          <w:sz w:val="32"/>
          <w:szCs w:val="32"/>
        </w:rPr>
        <w:t>第三部分名词解释</w:t>
      </w:r>
    </w:p>
    <w:p w14:paraId="2D322A3A">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31AC23A1">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189CDF84">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2A33516E">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6D4EF913">
      <w:pPr>
        <w:ind w:firstLine="640" w:firstLineChars="200"/>
        <w:rPr>
          <w:rFonts w:hint="eastAsia"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32306984">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625C1FF">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7.结余分配：指事业单位按照事业单位会计制度的规定从非财政补助结余中分配的事业基金和职工福利基金等。</w:t>
      </w:r>
    </w:p>
    <w:p w14:paraId="0823D8E9">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111C0D41">
      <w:pPr>
        <w:ind w:firstLine="640" w:firstLineChars="200"/>
        <w:rPr>
          <w:rFonts w:hint="eastAsia" w:ascii="仿宋_GB2312" w:eastAsia="仿宋_GB2312"/>
          <w:sz w:val="32"/>
          <w:szCs w:val="32"/>
        </w:rPr>
      </w:pPr>
      <w:r>
        <w:rPr>
          <w:rFonts w:hint="eastAsia" w:ascii="仿宋_GB2312" w:eastAsia="仿宋_GB2312"/>
          <w:sz w:val="32"/>
          <w:szCs w:val="32"/>
        </w:rPr>
        <w:t>9、一般公共服务支出（类）政府办公厅（室）及相关机构事务（款）其他政府办公厅（室）及相关机构事务支出（项）：</w:t>
      </w:r>
    </w:p>
    <w:p w14:paraId="5C50E3A1">
      <w:pPr>
        <w:ind w:firstLine="640" w:firstLineChars="200"/>
        <w:rPr>
          <w:rFonts w:hint="eastAsia" w:ascii="仿宋_GB2312" w:eastAsia="仿宋_GB2312"/>
          <w:sz w:val="32"/>
          <w:szCs w:val="32"/>
        </w:rPr>
      </w:pPr>
      <w:r>
        <w:rPr>
          <w:rFonts w:hint="eastAsia" w:ascii="仿宋_GB2312" w:eastAsia="仿宋_GB2312"/>
          <w:sz w:val="32"/>
          <w:szCs w:val="32"/>
        </w:rPr>
        <w:t>10、一般公共服务支出（类）财政事务（款）行政运行（项）：反映行政单位（包括实行公务员管理的事业单位）的基本支出。</w:t>
      </w:r>
    </w:p>
    <w:p w14:paraId="5A17DD18">
      <w:pPr>
        <w:ind w:firstLine="640" w:firstLineChars="200"/>
        <w:rPr>
          <w:rFonts w:hint="eastAsia" w:ascii="仿宋_GB2312" w:eastAsia="仿宋_GB2312"/>
          <w:sz w:val="32"/>
          <w:szCs w:val="32"/>
        </w:rPr>
      </w:pPr>
      <w:r>
        <w:rPr>
          <w:rFonts w:hint="eastAsia" w:ascii="仿宋_GB2312" w:eastAsia="仿宋_GB2312"/>
          <w:sz w:val="32"/>
          <w:szCs w:val="32"/>
        </w:rPr>
        <w:t>11、一般公共服务支出（类）财政事务（款）预算改革业务（项）：反映财政部门用于预算改革方面的支出。</w:t>
      </w:r>
    </w:p>
    <w:p w14:paraId="4D45AB36">
      <w:pPr>
        <w:ind w:firstLine="640" w:firstLineChars="200"/>
        <w:rPr>
          <w:rFonts w:hint="eastAsia" w:ascii="仿宋_GB2312" w:eastAsia="仿宋_GB2312"/>
          <w:sz w:val="32"/>
          <w:szCs w:val="32"/>
        </w:rPr>
      </w:pPr>
      <w:r>
        <w:rPr>
          <w:rFonts w:hint="eastAsia" w:ascii="仿宋_GB2312" w:eastAsia="仿宋_GB2312"/>
          <w:sz w:val="32"/>
          <w:szCs w:val="32"/>
        </w:rPr>
        <w:t>12、一般公共服务支出（类）财政事务（款）财政国库业务（项）：反映财政部门用于财政国库集中收付业务方面的支出。</w:t>
      </w:r>
    </w:p>
    <w:p w14:paraId="66B34FDE">
      <w:pPr>
        <w:ind w:firstLine="640" w:firstLineChars="200"/>
        <w:rPr>
          <w:rFonts w:hint="eastAsia" w:ascii="仿宋_GB2312" w:eastAsia="仿宋_GB2312"/>
          <w:sz w:val="32"/>
          <w:szCs w:val="32"/>
        </w:rPr>
      </w:pPr>
      <w:r>
        <w:rPr>
          <w:rFonts w:hint="eastAsia" w:ascii="仿宋_GB2312" w:eastAsia="仿宋_GB2312"/>
          <w:sz w:val="32"/>
          <w:szCs w:val="32"/>
        </w:rPr>
        <w:t>13、一般公共服务支出（类）财政事务（款）信息化建设（项）：反映财政部门用于“金财工程”等信息化建设方面的支出。</w:t>
      </w:r>
    </w:p>
    <w:p w14:paraId="1271AE16">
      <w:pPr>
        <w:ind w:firstLine="640" w:firstLineChars="200"/>
        <w:rPr>
          <w:rFonts w:hint="eastAsia" w:ascii="仿宋_GB2312" w:eastAsia="仿宋_GB2312"/>
          <w:sz w:val="32"/>
          <w:szCs w:val="32"/>
        </w:rPr>
      </w:pPr>
      <w:r>
        <w:rPr>
          <w:rFonts w:hint="eastAsia" w:ascii="仿宋_GB2312" w:eastAsia="仿宋_GB2312"/>
          <w:sz w:val="32"/>
          <w:szCs w:val="32"/>
        </w:rPr>
        <w:t>14、一般公共服务支出（类）财政事务（款）财政委托业务支出（项）：反映财政委托评审机构进行财政投资评审和委托建设银行等机构代理业务发生的支出。</w:t>
      </w:r>
    </w:p>
    <w:p w14:paraId="572B5513">
      <w:pPr>
        <w:ind w:firstLine="640" w:firstLineChars="200"/>
        <w:rPr>
          <w:rFonts w:hint="eastAsia" w:ascii="仿宋_GB2312" w:eastAsia="仿宋_GB2312"/>
          <w:sz w:val="32"/>
          <w:szCs w:val="32"/>
        </w:rPr>
      </w:pPr>
      <w:r>
        <w:rPr>
          <w:rFonts w:hint="eastAsia" w:ascii="仿宋_GB2312" w:eastAsia="仿宋_GB2312"/>
          <w:sz w:val="32"/>
          <w:szCs w:val="32"/>
        </w:rPr>
        <w:t>15、一般公共服务支出（类）税收事务（款）其他税收事务支出（项）：反映其他税收实务实务方面的支出。</w:t>
      </w:r>
    </w:p>
    <w:p w14:paraId="1BA1C339">
      <w:pPr>
        <w:ind w:firstLine="640" w:firstLineChars="200"/>
        <w:rPr>
          <w:rFonts w:hint="eastAsia" w:ascii="仿宋_GB2312" w:eastAsia="仿宋_GB2312"/>
          <w:sz w:val="32"/>
          <w:szCs w:val="32"/>
        </w:rPr>
      </w:pPr>
      <w:r>
        <w:rPr>
          <w:rFonts w:hint="eastAsia" w:ascii="仿宋_GB2312" w:eastAsia="仿宋_GB2312"/>
          <w:sz w:val="32"/>
          <w:szCs w:val="32"/>
        </w:rPr>
        <w:t>16、一般公共服务支出（类）其他一般公共服务支出（款）其他一般公共服务支出（项）：反映其他一般公共服务支出。</w:t>
      </w:r>
    </w:p>
    <w:p w14:paraId="7D587BD2">
      <w:pPr>
        <w:ind w:firstLine="640" w:firstLineChars="200"/>
        <w:rPr>
          <w:rFonts w:hint="eastAsia" w:ascii="仿宋_GB2312" w:eastAsia="仿宋_GB2312"/>
          <w:sz w:val="32"/>
          <w:szCs w:val="32"/>
        </w:rPr>
      </w:pPr>
      <w:r>
        <w:rPr>
          <w:rFonts w:hint="eastAsia" w:ascii="仿宋_GB2312" w:eastAsia="仿宋_GB2312"/>
          <w:sz w:val="32"/>
          <w:szCs w:val="32"/>
        </w:rPr>
        <w:t>17、医疗卫生与计划生育支出（类）行政事业单位医疗（款）事业单位医疗（项）：反映财政部门集中安排的事业单位基本医疗保险缴费经费，未参加医疗保险的事业单位的公费医疗经费，按国家规定享受离休人员待遇的医疗经费。</w:t>
      </w:r>
    </w:p>
    <w:p w14:paraId="7633E181">
      <w:pPr>
        <w:ind w:firstLine="640" w:firstLineChars="200"/>
        <w:rPr>
          <w:rFonts w:hint="eastAsia" w:ascii="仿宋_GB2312" w:eastAsia="仿宋_GB2312"/>
          <w:sz w:val="32"/>
          <w:szCs w:val="32"/>
        </w:rPr>
      </w:pPr>
      <w:r>
        <w:rPr>
          <w:rFonts w:hint="eastAsia" w:ascii="仿宋_GB2312" w:eastAsia="仿宋_GB2312"/>
          <w:sz w:val="32"/>
          <w:szCs w:val="32"/>
        </w:rPr>
        <w:t>18、节能环保支出（类）天然林保护（款）森林管护（项）：反映专项用于森林资源管护所发生的各项补助支出。</w:t>
      </w:r>
    </w:p>
    <w:p w14:paraId="1AE17158">
      <w:pPr>
        <w:ind w:firstLine="640" w:firstLineChars="200"/>
        <w:rPr>
          <w:rFonts w:hint="eastAsia" w:ascii="仿宋_GB2312" w:eastAsia="仿宋_GB2312"/>
          <w:sz w:val="32"/>
          <w:szCs w:val="32"/>
        </w:rPr>
      </w:pPr>
      <w:r>
        <w:rPr>
          <w:rFonts w:hint="eastAsia" w:ascii="仿宋_GB2312" w:eastAsia="仿宋_GB2312"/>
          <w:sz w:val="32"/>
          <w:szCs w:val="32"/>
        </w:rPr>
        <w:t>19、节能环保支出（类）天然林保护（款）社会保险补助（项）：反映专项用于由于木材减产或停产造成实施单位应缴纳社会保险费缺口的补助支出。</w:t>
      </w:r>
    </w:p>
    <w:p w14:paraId="26924282">
      <w:pPr>
        <w:ind w:firstLine="640" w:firstLineChars="200"/>
        <w:rPr>
          <w:rFonts w:hint="eastAsia" w:ascii="仿宋_GB2312" w:eastAsia="仿宋_GB2312"/>
          <w:sz w:val="32"/>
          <w:szCs w:val="32"/>
        </w:rPr>
      </w:pPr>
      <w:r>
        <w:rPr>
          <w:rFonts w:hint="eastAsia" w:ascii="仿宋_GB2312" w:eastAsia="仿宋_GB2312"/>
          <w:sz w:val="32"/>
          <w:szCs w:val="32"/>
        </w:rPr>
        <w:t>20、节能环保支出（类）天然林保护（款）其他天然林保护支出（项）：反映除上述项目以外其他用于天然林保护方面的支出。</w:t>
      </w:r>
    </w:p>
    <w:p w14:paraId="5B3A6470">
      <w:pPr>
        <w:ind w:firstLine="640" w:firstLineChars="200"/>
        <w:rPr>
          <w:rFonts w:hint="eastAsia" w:ascii="仿宋_GB2312" w:eastAsia="仿宋_GB2312"/>
          <w:sz w:val="32"/>
          <w:szCs w:val="32"/>
        </w:rPr>
      </w:pPr>
      <w:r>
        <w:rPr>
          <w:rFonts w:hint="eastAsia" w:ascii="仿宋_GB2312" w:eastAsia="仿宋_GB2312"/>
          <w:sz w:val="32"/>
          <w:szCs w:val="32"/>
        </w:rPr>
        <w:t>21、节能环保支出（类）退耕还林（款）退耕现金（项）：反映专项用于退耕户的医疗、教育等日常生活需要的支出。</w:t>
      </w:r>
    </w:p>
    <w:p w14:paraId="14EE0282">
      <w:pPr>
        <w:ind w:firstLine="640" w:firstLineChars="200"/>
        <w:rPr>
          <w:rFonts w:hint="eastAsia" w:ascii="仿宋_GB2312" w:eastAsia="仿宋_GB2312"/>
          <w:sz w:val="32"/>
          <w:szCs w:val="32"/>
        </w:rPr>
      </w:pPr>
      <w:r>
        <w:rPr>
          <w:rFonts w:hint="eastAsia" w:ascii="仿宋_GB2312" w:eastAsia="仿宋_GB2312"/>
          <w:sz w:val="32"/>
          <w:szCs w:val="32"/>
        </w:rPr>
        <w:t>22、节能环保支出（类）退耕还林（款）其他退耕还林支出（项）：反映除上述项目以外其他用于退耕还林方面的支出。</w:t>
      </w:r>
    </w:p>
    <w:p w14:paraId="22D1C3AA">
      <w:pPr>
        <w:ind w:firstLine="640" w:firstLineChars="200"/>
        <w:rPr>
          <w:rFonts w:hint="eastAsia" w:ascii="仿宋_GB2312" w:eastAsia="仿宋_GB2312"/>
          <w:sz w:val="32"/>
          <w:szCs w:val="32"/>
        </w:rPr>
      </w:pPr>
      <w:r>
        <w:rPr>
          <w:rFonts w:hint="eastAsia" w:ascii="仿宋_GB2312" w:eastAsia="仿宋_GB2312"/>
          <w:sz w:val="32"/>
          <w:szCs w:val="32"/>
        </w:rPr>
        <w:t>23、节能环保支出（类）其他节能环保支出（款）其他节能环保支出（项）：反映除上述项目以外其他用于节能环保方面的支出。</w:t>
      </w:r>
    </w:p>
    <w:p w14:paraId="374226DD">
      <w:pPr>
        <w:ind w:firstLine="640" w:firstLineChars="200"/>
        <w:rPr>
          <w:rFonts w:hint="eastAsia" w:ascii="仿宋_GB2312" w:eastAsia="仿宋_GB2312"/>
          <w:sz w:val="32"/>
          <w:szCs w:val="32"/>
        </w:rPr>
      </w:pPr>
      <w:r>
        <w:rPr>
          <w:rFonts w:hint="eastAsia" w:ascii="仿宋_GB2312" w:eastAsia="仿宋_GB2312"/>
          <w:sz w:val="32"/>
          <w:szCs w:val="32"/>
        </w:rPr>
        <w:t>24、农林水支出（类）林业（款）行政运行（项）：反映行政单位（包括实行公务员管理的事业单位）的基本支出。</w:t>
      </w:r>
    </w:p>
    <w:p w14:paraId="21F2362F">
      <w:pPr>
        <w:ind w:firstLine="640" w:firstLineChars="200"/>
        <w:rPr>
          <w:rFonts w:hint="eastAsia" w:ascii="仿宋_GB2312" w:eastAsia="仿宋_GB2312"/>
          <w:sz w:val="32"/>
          <w:szCs w:val="32"/>
        </w:rPr>
      </w:pPr>
      <w:r>
        <w:rPr>
          <w:rFonts w:hint="eastAsia" w:ascii="仿宋_GB2312" w:eastAsia="仿宋_GB2312"/>
          <w:sz w:val="32"/>
          <w:szCs w:val="32"/>
        </w:rPr>
        <w:t>25、农林水支出（类）林业（款）森林培育（项）：反映育苗（种）、造林、抚育、生物质能源建设以及义务植树，生物措施治理水地流失等支出。</w:t>
      </w:r>
    </w:p>
    <w:p w14:paraId="1ED0C028">
      <w:pPr>
        <w:ind w:firstLine="640" w:firstLineChars="200"/>
        <w:rPr>
          <w:rFonts w:hint="eastAsia" w:ascii="仿宋_GB2312" w:eastAsia="仿宋_GB2312"/>
          <w:sz w:val="32"/>
          <w:szCs w:val="32"/>
        </w:rPr>
      </w:pPr>
      <w:r>
        <w:rPr>
          <w:rFonts w:hint="eastAsia" w:ascii="仿宋_GB2312" w:eastAsia="仿宋_GB2312"/>
          <w:sz w:val="32"/>
          <w:szCs w:val="32"/>
        </w:rPr>
        <w:t>26、农林水支出（类）林业（款）森林资源管理（项）：反映森林经营、利用、森林资源资产、林地保护及权属调处等森林资源管理方面的支出。</w:t>
      </w:r>
    </w:p>
    <w:p w14:paraId="6858D7C9">
      <w:pPr>
        <w:ind w:firstLine="640" w:firstLineChars="200"/>
        <w:rPr>
          <w:rFonts w:hint="eastAsia" w:ascii="仿宋_GB2312" w:eastAsia="仿宋_GB2312"/>
          <w:sz w:val="32"/>
          <w:szCs w:val="32"/>
        </w:rPr>
      </w:pPr>
      <w:r>
        <w:rPr>
          <w:rFonts w:hint="eastAsia" w:ascii="仿宋_GB2312" w:eastAsia="仿宋_GB2312"/>
          <w:sz w:val="32"/>
          <w:szCs w:val="32"/>
        </w:rPr>
        <w:t>27、农林水支出（类）林业（款）森林生态效益补偿（项）：反映由森林生态效益补偿基金安排用于公益林营造、抚育、管理和保护等方面的支出。</w:t>
      </w:r>
    </w:p>
    <w:p w14:paraId="5F2C0A53">
      <w:pPr>
        <w:ind w:firstLine="640" w:firstLineChars="200"/>
        <w:rPr>
          <w:rFonts w:hint="eastAsia" w:ascii="仿宋_GB2312" w:eastAsia="仿宋_GB2312"/>
          <w:sz w:val="32"/>
          <w:szCs w:val="32"/>
        </w:rPr>
      </w:pPr>
      <w:r>
        <w:rPr>
          <w:rFonts w:hint="eastAsia" w:ascii="仿宋_GB2312" w:eastAsia="仿宋_GB2312"/>
          <w:sz w:val="32"/>
          <w:szCs w:val="32"/>
        </w:rPr>
        <w:t>28、农林水支出（类）林业（款）林业自然保护区（项）：反映林业自然保护区域能力建设、本底调查、管护、试点示范等方面的支出。</w:t>
      </w:r>
    </w:p>
    <w:p w14:paraId="21BCB7BF">
      <w:pPr>
        <w:ind w:firstLine="640" w:firstLineChars="200"/>
        <w:rPr>
          <w:rFonts w:hint="eastAsia" w:ascii="仿宋_GB2312" w:eastAsia="仿宋_GB2312"/>
          <w:sz w:val="32"/>
          <w:szCs w:val="32"/>
        </w:rPr>
      </w:pPr>
      <w:r>
        <w:rPr>
          <w:rFonts w:hint="eastAsia" w:ascii="仿宋_GB2312" w:eastAsia="仿宋_GB2312"/>
          <w:sz w:val="32"/>
          <w:szCs w:val="32"/>
        </w:rPr>
        <w:t>29、农林水支出（类）林业（款）林业执法与监督（项）：反映林业执法与监督队伍建设，林业刑事、行政案件受理、查处和督办，林业行政许可、复议与诉讼管理等方面的支出。</w:t>
      </w:r>
    </w:p>
    <w:p w14:paraId="77DEBF99">
      <w:pPr>
        <w:ind w:firstLine="640" w:firstLineChars="200"/>
        <w:rPr>
          <w:rFonts w:hint="eastAsia" w:ascii="仿宋_GB2312" w:eastAsia="仿宋_GB2312"/>
          <w:sz w:val="32"/>
          <w:szCs w:val="32"/>
        </w:rPr>
      </w:pPr>
      <w:r>
        <w:rPr>
          <w:rFonts w:hint="eastAsia" w:ascii="仿宋_GB2312" w:eastAsia="仿宋_GB2312"/>
          <w:sz w:val="32"/>
          <w:szCs w:val="32"/>
        </w:rPr>
        <w:t>30、农林水支出（类）林业（款）林业产业化（项）：反映林业产业化建设及管理等方面的支出。</w:t>
      </w:r>
    </w:p>
    <w:p w14:paraId="72E841EC">
      <w:pPr>
        <w:ind w:firstLine="640" w:firstLineChars="200"/>
        <w:rPr>
          <w:rFonts w:hint="eastAsia" w:ascii="仿宋_GB2312" w:eastAsia="仿宋_GB2312"/>
          <w:sz w:val="32"/>
          <w:szCs w:val="32"/>
        </w:rPr>
      </w:pPr>
      <w:r>
        <w:rPr>
          <w:rFonts w:hint="eastAsia" w:ascii="仿宋_GB2312" w:eastAsia="仿宋_GB2312"/>
          <w:sz w:val="32"/>
          <w:szCs w:val="32"/>
        </w:rPr>
        <w:t>31、农林水支出（类）林业（款）成品油价格改革对林业的补贴（项）：反映成品油价格改革对林业的补贴。</w:t>
      </w:r>
    </w:p>
    <w:p w14:paraId="58F6D9D7">
      <w:pPr>
        <w:ind w:firstLine="640" w:firstLineChars="200"/>
        <w:rPr>
          <w:rFonts w:hint="eastAsia" w:ascii="仿宋_GB2312" w:eastAsia="仿宋_GB2312"/>
          <w:sz w:val="32"/>
          <w:szCs w:val="32"/>
        </w:rPr>
      </w:pPr>
      <w:r>
        <w:rPr>
          <w:rFonts w:hint="eastAsia" w:ascii="仿宋_GB2312" w:eastAsia="仿宋_GB2312"/>
          <w:sz w:val="32"/>
          <w:szCs w:val="32"/>
        </w:rPr>
        <w:t>32、农林水支出（类）林业（款）林业防灾减灾（项）：反映为预防和扑救、救治森林火灾、林业有害生物灾害、自然水旱灾害等发生的支出。</w:t>
      </w:r>
    </w:p>
    <w:p w14:paraId="02C24543">
      <w:pPr>
        <w:ind w:firstLine="640" w:firstLineChars="200"/>
        <w:rPr>
          <w:rFonts w:hint="eastAsia" w:ascii="仿宋_GB2312" w:eastAsia="仿宋_GB2312"/>
          <w:sz w:val="32"/>
          <w:szCs w:val="32"/>
        </w:rPr>
      </w:pPr>
      <w:r>
        <w:rPr>
          <w:rFonts w:hint="eastAsia" w:ascii="仿宋_GB2312" w:eastAsia="仿宋_GB2312"/>
          <w:sz w:val="32"/>
          <w:szCs w:val="32"/>
        </w:rPr>
        <w:t>33、农林水支出（类）林业（款）其他林业支出（项）：反映除上述项目以外其他用于林业方面的支出。</w:t>
      </w:r>
    </w:p>
    <w:p w14:paraId="35EB28DA">
      <w:pPr>
        <w:ind w:firstLine="640" w:firstLineChars="200"/>
        <w:rPr>
          <w:rFonts w:hint="eastAsia" w:ascii="仿宋_GB2312" w:eastAsia="仿宋_GB2312"/>
          <w:sz w:val="32"/>
          <w:szCs w:val="32"/>
        </w:rPr>
      </w:pPr>
      <w:r>
        <w:rPr>
          <w:rFonts w:hint="eastAsia" w:ascii="仿宋_GB2312" w:eastAsia="仿宋_GB2312"/>
          <w:sz w:val="32"/>
          <w:szCs w:val="32"/>
        </w:rPr>
        <w:t>34、农林水支出（类）扶贫（款）生产发展（项）：反映用于农村贫困地区发展种植业、养殖业、畜牧业、农副产品加工、林果地建设等生产发展项目以及相关技术推广等方面的项目支出。</w:t>
      </w:r>
    </w:p>
    <w:p w14:paraId="781E9C1C">
      <w:pPr>
        <w:ind w:firstLine="640" w:firstLineChars="200"/>
        <w:rPr>
          <w:rFonts w:hint="eastAsia" w:ascii="仿宋_GB2312" w:eastAsia="仿宋_GB2312"/>
          <w:sz w:val="32"/>
          <w:szCs w:val="32"/>
        </w:rPr>
      </w:pPr>
      <w:r>
        <w:rPr>
          <w:rFonts w:hint="eastAsia" w:ascii="仿宋_GB2312" w:eastAsia="仿宋_GB2312"/>
          <w:sz w:val="32"/>
          <w:szCs w:val="32"/>
        </w:rPr>
        <w:t>35、农林水支出（类）扶贫（款）其他扶贫支出（项）：反映除上述项目以外其他用于扶贫方面的支出。</w:t>
      </w:r>
    </w:p>
    <w:p w14:paraId="46BE9D60">
      <w:pPr>
        <w:ind w:firstLine="640" w:firstLineChars="200"/>
        <w:rPr>
          <w:rFonts w:hint="eastAsia" w:ascii="仿宋_GB2312" w:eastAsia="仿宋_GB2312"/>
          <w:sz w:val="32"/>
          <w:szCs w:val="32"/>
        </w:rPr>
      </w:pPr>
      <w:r>
        <w:rPr>
          <w:rFonts w:hint="eastAsia" w:ascii="仿宋_GB2312" w:eastAsia="仿宋_GB2312"/>
          <w:sz w:val="32"/>
          <w:szCs w:val="32"/>
        </w:rPr>
        <w:t>36、住房保障支出（类）住房改革支出（款）住房公积金（项）：反映行政事业单位按人力资源和社会保障部、财政部规定的基本工资和津贴补贴以及规定比例为职工缴纳的住房公积金。</w:t>
      </w:r>
    </w:p>
    <w:p w14:paraId="050A218A">
      <w:pPr>
        <w:ind w:firstLine="640" w:firstLineChars="200"/>
        <w:rPr>
          <w:rFonts w:hint="eastAsia" w:ascii="仿宋_GB2312" w:eastAsia="仿宋_GB2312"/>
          <w:sz w:val="32"/>
          <w:szCs w:val="32"/>
        </w:rPr>
      </w:pPr>
      <w:r>
        <w:rPr>
          <w:rFonts w:hint="eastAsia" w:ascii="仿宋_GB2312" w:eastAsia="仿宋_GB2312"/>
          <w:sz w:val="32"/>
          <w:szCs w:val="32"/>
        </w:rPr>
        <w:t>37.基本支出：指为保障机构正常运转、完成日常工作任务而发生的人员支出和公用支出。</w:t>
      </w:r>
    </w:p>
    <w:p w14:paraId="0FEBCB11">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1AB0BC15">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9.</w:t>
      </w:r>
      <w:r>
        <w:rPr>
          <w:rFonts w:hint="eastAsia" w:ascii="仿宋_GB2312" w:eastAsia="仿宋_GB2312"/>
          <w:color w:val="000000"/>
          <w:sz w:val="32"/>
          <w:szCs w:val="32"/>
        </w:rPr>
        <w:t>经营支出：指事业单位在专业业务活动及其辅助活动之外开展非独立核算经营活动发生的支出。</w:t>
      </w:r>
    </w:p>
    <w:p w14:paraId="2C298FA5">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FBD495">
      <w:pPr>
        <w:pStyle w:val="18"/>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C64B2E2">
      <w:pPr>
        <w:spacing w:line="600" w:lineRule="exact"/>
        <w:jc w:val="center"/>
        <w:outlineLvl w:val="0"/>
        <w:rPr>
          <w:rStyle w:val="15"/>
          <w:rFonts w:ascii="黑体" w:hAnsi="黑体" w:eastAsia="黑体"/>
          <w:b w:val="0"/>
        </w:rPr>
      </w:pPr>
      <w:bookmarkStart w:id="54" w:name="_Toc15377226"/>
      <w:r>
        <w:rPr>
          <w:rFonts w:ascii="宋体"/>
          <w:b/>
          <w:color w:val="000000"/>
          <w:sz w:val="44"/>
          <w:szCs w:val="44"/>
        </w:rPr>
        <w:br w:type="page"/>
      </w:r>
      <w:bookmarkStart w:id="55" w:name="_Toc15396614"/>
      <w:r>
        <w:rPr>
          <w:rFonts w:hint="eastAsia" w:ascii="黑体" w:hAnsi="黑体" w:eastAsia="黑体"/>
          <w:color w:val="000000"/>
          <w:sz w:val="44"/>
          <w:szCs w:val="44"/>
        </w:rPr>
        <w:t>第</w:t>
      </w:r>
      <w:r>
        <w:rPr>
          <w:rStyle w:val="15"/>
          <w:rFonts w:hint="eastAsia" w:ascii="黑体" w:hAnsi="黑体" w:eastAsia="黑体"/>
          <w:b w:val="0"/>
        </w:rPr>
        <w:t>四部分 附件</w:t>
      </w:r>
      <w:bookmarkEnd w:id="55"/>
    </w:p>
    <w:p w14:paraId="69D32103">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14:paraId="0975E9F4">
      <w:pPr>
        <w:spacing w:line="580" w:lineRule="exact"/>
        <w:jc w:val="center"/>
        <w:rPr>
          <w:rFonts w:ascii="方正小标宋简体" w:hAnsi="方正小标宋简体" w:eastAsia="方正小标宋简体" w:cs="方正小标宋简体"/>
          <w:sz w:val="44"/>
          <w:szCs w:val="44"/>
        </w:rPr>
      </w:pPr>
    </w:p>
    <w:p w14:paraId="0CD916A4">
      <w:pPr>
        <w:spacing w:line="600" w:lineRule="exact"/>
        <w:jc w:val="center"/>
        <w:rPr>
          <w:rFonts w:hint="eastAsia" w:ascii="方正小标宋简体" w:hAnsi="宋体" w:eastAsia="方正小标宋简体"/>
          <w:color w:val="000000"/>
          <w:kern w:val="0"/>
          <w:sz w:val="40"/>
          <w:szCs w:val="44"/>
          <w:lang w:val="en-US" w:eastAsia="zh-CN"/>
        </w:rPr>
      </w:pPr>
      <w:r>
        <w:rPr>
          <w:rFonts w:hint="eastAsia" w:ascii="方正小标宋简体" w:hAnsi="宋体" w:eastAsia="方正小标宋简体"/>
          <w:color w:val="000000"/>
          <w:kern w:val="0"/>
          <w:sz w:val="40"/>
          <w:szCs w:val="44"/>
          <w:lang w:val="en-US" w:eastAsia="zh-CN"/>
        </w:rPr>
        <w:t>广元市昭化区林业局</w:t>
      </w:r>
    </w:p>
    <w:p w14:paraId="15ABA479">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14:paraId="724D89D0">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5F50DCB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0ADE1A60">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14:paraId="385B7D51">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区林业局下属行政单位1个，其他事业机构10个。</w:t>
      </w:r>
    </w:p>
    <w:p w14:paraId="1223F25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p>
    <w:p w14:paraId="5CC8B9D2">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负责全区林业及其生态保护修复的监督管理。拟定全区林业资源优化配置及木材利用政策，拟定相关林业产业地方标准并监督实施，组织、指导林产品质量监督。负责全区森林资源的监督管理。负责全区湿地资源的监督管理。负责全区陆生野生动植物资源的保护、监督管理。 负责监督管理全区各类自然保护地。负责推进全区林业改革相关工作。组织全区生态保护修复和造林绿化工作。组织林木种质资源普查，组织建立种质资源库，负责良种选育推广，管理林木种苗生产经营行为，监管林木种苗质量。指导区森林公安工作，监督管理森林公安队伍，指导全区林业重大违法案件的查处，指导林区社会治安治理工作。负责林业相关行政执法监管工作。负责落实全区综合防灾减灾规划相关要求，负责全区森林防火宣传教育、野外火源管控、日常巡护、隐患排查整治、监测预警、基础设施建设、专业防火队伍建设管理、未达到林草火灾应急预案中启动应急响应条件的初期火情火灾处置、牵头灾损评估等工作。负责拟定全区中药材产业发展规划、产业政策和扶持政策并指导实施。完成区委、区政府交办的其他任务等。</w:t>
      </w:r>
    </w:p>
    <w:p w14:paraId="2ACD0E6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735543A5">
      <w:pPr>
        <w:widowControl/>
        <w:adjustRightInd w:val="0"/>
        <w:snapToGrid w:val="0"/>
        <w:spacing w:line="580" w:lineRule="exact"/>
        <w:ind w:firstLine="640" w:firstLineChars="200"/>
        <w:contextualSpacing/>
        <w:jc w:val="left"/>
        <w:rPr>
          <w:rFonts w:hint="eastAsia" w:ascii="黑体" w:hAnsi="宋体" w:eastAsia="黑体"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区林业局编制</w:t>
      </w:r>
      <w:r>
        <w:rPr>
          <w:rFonts w:hint="eastAsia" w:ascii="仿宋_GB2312" w:hAnsi="宋体" w:eastAsia="仿宋_GB2312" w:cs="宋体"/>
          <w:color w:val="000000"/>
          <w:kern w:val="0"/>
          <w:sz w:val="32"/>
          <w:szCs w:val="32"/>
          <w:shd w:val="clear" w:color="auto" w:fill="FFFFFF"/>
          <w:lang w:val="en-US" w:eastAsia="zh-CN"/>
        </w:rPr>
        <w:t>48</w:t>
      </w:r>
      <w:r>
        <w:rPr>
          <w:rFonts w:hint="eastAsia" w:ascii="仿宋_GB2312" w:hAnsi="宋体" w:eastAsia="仿宋_GB2312" w:cs="宋体"/>
          <w:color w:val="000000"/>
          <w:kern w:val="0"/>
          <w:sz w:val="32"/>
          <w:szCs w:val="32"/>
          <w:shd w:val="clear" w:color="auto" w:fill="FFFFFF"/>
          <w:lang w:val="zh-CN"/>
        </w:rPr>
        <w:t>人，实有人员</w:t>
      </w:r>
      <w:r>
        <w:rPr>
          <w:rFonts w:hint="eastAsia" w:ascii="仿宋_GB2312" w:hAnsi="宋体" w:eastAsia="仿宋_GB2312" w:cs="宋体"/>
          <w:color w:val="000000"/>
          <w:kern w:val="0"/>
          <w:sz w:val="32"/>
          <w:szCs w:val="32"/>
          <w:shd w:val="clear" w:color="auto" w:fill="FFFFFF"/>
          <w:lang w:val="en-US" w:eastAsia="zh-CN"/>
        </w:rPr>
        <w:t>48</w:t>
      </w:r>
      <w:r>
        <w:rPr>
          <w:rFonts w:hint="eastAsia" w:ascii="仿宋_GB2312" w:hAnsi="宋体" w:eastAsia="仿宋_GB2312" w:cs="宋体"/>
          <w:color w:val="000000"/>
          <w:kern w:val="0"/>
          <w:sz w:val="32"/>
          <w:szCs w:val="32"/>
          <w:shd w:val="clear" w:color="auto" w:fill="FFFFFF"/>
          <w:lang w:val="zh-CN"/>
        </w:rPr>
        <w:t>人。</w:t>
      </w:r>
    </w:p>
    <w:p w14:paraId="0EBCFA0D">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1A06D3B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14:paraId="61E5A83A">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2018年区林业局财政资金收入合计</w:t>
      </w:r>
      <w:r>
        <w:rPr>
          <w:rFonts w:hint="eastAsia" w:ascii="仿宋_GB2312" w:hAnsi="宋体" w:eastAsia="仿宋_GB2312" w:cs="宋体"/>
          <w:color w:val="000000"/>
          <w:kern w:val="0"/>
          <w:sz w:val="32"/>
          <w:szCs w:val="32"/>
          <w:shd w:val="clear" w:color="auto" w:fill="FFFFFF"/>
          <w:lang w:val="en-US" w:eastAsia="zh-CN"/>
        </w:rPr>
        <w:t>9565.06</w:t>
      </w:r>
      <w:r>
        <w:rPr>
          <w:rFonts w:hint="eastAsia" w:ascii="仿宋_GB2312" w:hAnsi="宋体" w:eastAsia="仿宋_GB2312" w:cs="宋体"/>
          <w:color w:val="000000"/>
          <w:kern w:val="0"/>
          <w:sz w:val="32"/>
          <w:szCs w:val="32"/>
          <w:shd w:val="clear" w:color="auto" w:fill="FFFFFF"/>
          <w:lang w:val="zh-CN"/>
        </w:rPr>
        <w:t>万元，其中本年预算收入</w:t>
      </w:r>
      <w:r>
        <w:rPr>
          <w:rFonts w:hint="eastAsia" w:ascii="仿宋_GB2312" w:hAnsi="宋体" w:eastAsia="仿宋_GB2312" w:cs="宋体"/>
          <w:color w:val="000000"/>
          <w:kern w:val="0"/>
          <w:sz w:val="32"/>
          <w:szCs w:val="32"/>
          <w:shd w:val="clear" w:color="auto" w:fill="FFFFFF"/>
          <w:lang w:val="en-US" w:eastAsia="zh-CN"/>
        </w:rPr>
        <w:t>6147.27</w:t>
      </w:r>
      <w:r>
        <w:rPr>
          <w:rFonts w:hint="eastAsia" w:ascii="仿宋_GB2312" w:hAnsi="宋体" w:eastAsia="仿宋_GB2312" w:cs="宋体"/>
          <w:color w:val="000000"/>
          <w:kern w:val="0"/>
          <w:sz w:val="32"/>
          <w:szCs w:val="32"/>
          <w:shd w:val="clear" w:color="auto" w:fill="FFFFFF"/>
          <w:lang w:val="zh-CN"/>
        </w:rPr>
        <w:t>万元，上年结转</w:t>
      </w:r>
      <w:r>
        <w:rPr>
          <w:rFonts w:hint="eastAsia" w:ascii="仿宋_GB2312" w:hAnsi="宋体" w:eastAsia="仿宋_GB2312" w:cs="宋体"/>
          <w:color w:val="000000"/>
          <w:kern w:val="0"/>
          <w:sz w:val="32"/>
          <w:szCs w:val="32"/>
          <w:shd w:val="clear" w:color="auto" w:fill="FFFFFF"/>
          <w:lang w:val="en-US" w:eastAsia="zh-CN"/>
        </w:rPr>
        <w:t>3417.79</w:t>
      </w:r>
      <w:r>
        <w:rPr>
          <w:rFonts w:hint="eastAsia" w:ascii="仿宋_GB2312" w:hAnsi="宋体" w:eastAsia="仿宋_GB2312" w:cs="宋体"/>
          <w:color w:val="000000"/>
          <w:kern w:val="0"/>
          <w:sz w:val="32"/>
          <w:szCs w:val="32"/>
          <w:shd w:val="clear" w:color="auto" w:fill="FFFFFF"/>
          <w:lang w:val="zh-CN"/>
        </w:rPr>
        <w:t>万元。</w:t>
      </w:r>
    </w:p>
    <w:p w14:paraId="3EB645A6">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（二）部门财政资金支出情况。</w:t>
      </w:r>
    </w:p>
    <w:p w14:paraId="10C5D67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2018年区林业局财政资金支出合计</w:t>
      </w:r>
      <w:r>
        <w:rPr>
          <w:rFonts w:hint="eastAsia" w:ascii="仿宋_GB2312" w:hAnsi="宋体" w:eastAsia="仿宋_GB2312" w:cs="宋体"/>
          <w:color w:val="000000"/>
          <w:kern w:val="0"/>
          <w:sz w:val="32"/>
          <w:szCs w:val="32"/>
          <w:shd w:val="clear" w:color="auto" w:fill="FFFFFF"/>
          <w:lang w:val="en-US" w:eastAsia="zh-CN"/>
        </w:rPr>
        <w:t>9565.06</w:t>
      </w:r>
      <w:r>
        <w:rPr>
          <w:rFonts w:hint="eastAsia" w:ascii="仿宋_GB2312" w:hAnsi="宋体" w:eastAsia="仿宋_GB2312" w:cs="宋体"/>
          <w:color w:val="000000"/>
          <w:kern w:val="0"/>
          <w:sz w:val="32"/>
          <w:szCs w:val="32"/>
          <w:shd w:val="clear" w:color="auto" w:fill="FFFFFF"/>
          <w:lang w:val="zh-CN"/>
        </w:rPr>
        <w:t>万元，其中支出</w:t>
      </w:r>
      <w:r>
        <w:rPr>
          <w:rFonts w:hint="eastAsia" w:ascii="仿宋_GB2312" w:hAnsi="宋体" w:eastAsia="仿宋_GB2312" w:cs="宋体"/>
          <w:color w:val="000000"/>
          <w:kern w:val="0"/>
          <w:sz w:val="32"/>
          <w:szCs w:val="32"/>
          <w:shd w:val="clear" w:color="auto" w:fill="FFFFFF"/>
          <w:lang w:val="en-US" w:eastAsia="zh-CN"/>
        </w:rPr>
        <w:t>6775.75</w:t>
      </w:r>
      <w:r>
        <w:rPr>
          <w:rFonts w:hint="eastAsia" w:ascii="仿宋_GB2312" w:hAnsi="宋体" w:eastAsia="仿宋_GB2312" w:cs="宋体"/>
          <w:color w:val="000000"/>
          <w:kern w:val="0"/>
          <w:sz w:val="32"/>
          <w:szCs w:val="32"/>
          <w:shd w:val="clear" w:color="auto" w:fill="FFFFFF"/>
          <w:lang w:val="zh-CN"/>
        </w:rPr>
        <w:t>万元，结转下年</w:t>
      </w:r>
      <w:r>
        <w:rPr>
          <w:rFonts w:hint="eastAsia" w:ascii="仿宋_GB2312" w:hAnsi="宋体" w:eastAsia="仿宋_GB2312" w:cs="宋体"/>
          <w:color w:val="000000"/>
          <w:kern w:val="0"/>
          <w:sz w:val="32"/>
          <w:szCs w:val="32"/>
          <w:shd w:val="clear" w:color="auto" w:fill="FFFFFF"/>
          <w:lang w:val="en-US" w:eastAsia="zh-CN"/>
        </w:rPr>
        <w:t>2789.31</w:t>
      </w:r>
      <w:r>
        <w:rPr>
          <w:rFonts w:hint="eastAsia" w:ascii="仿宋_GB2312" w:hAnsi="宋体" w:eastAsia="仿宋_GB2312" w:cs="宋体"/>
          <w:color w:val="000000"/>
          <w:kern w:val="0"/>
          <w:sz w:val="32"/>
          <w:szCs w:val="32"/>
          <w:shd w:val="clear" w:color="auto" w:fill="FFFFFF"/>
          <w:lang w:val="zh-CN"/>
        </w:rPr>
        <w:t>万元。</w:t>
      </w:r>
    </w:p>
    <w:p w14:paraId="4F145BB2">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3DAB44FF">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14:paraId="32517B0B">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2019年年初预算时区林业局制定了综合预算绩效目标表，包括发展林下经济，全区种植中药材4.5万亩，其中新增前胡、茯苓、夏枯草为主的中药材3.5万亩，打造秦巴山区道地中药材示范基地；发展高效林业，核桃种植基地面积稳定在10万亩，实施核桃品种改良1万亩、综合管护1万亩、示范带动全区农户自主实施核桃品种改良1万亩；新建笋用竹基地0.2万亩；新建灵芝基地180亩，香菇基地83万袋；建设广元市昭化区五房岭现代市级林业园区1个；林业案件查处率95%以上，森林火灾损失率控制在0.1‰以内，林业有害生物成灾率控制在3‰以下；牵头完成国家园林城市创建阶段性任务；加强天然林保护，按时完成森林质量精准提升、生态公益林建设任务；深化林业改革，完成全区政策性森林保险任务，参保率达90%以上，全面完成经果林确权登记工作</w:t>
      </w:r>
      <w:r>
        <w:rPr>
          <w:rFonts w:hint="eastAsia" w:ascii="仿宋" w:hAnsi="仿宋" w:eastAsia="仿宋" w:cs="仿宋_GB2312"/>
          <w:sz w:val="32"/>
          <w:szCs w:val="32"/>
          <w:lang w:val="en-US" w:eastAsia="zh-CN"/>
        </w:rPr>
        <w:t>以及完成省、市、区下达的各项任务等。绩效目标制定准确，年终完成情况良好。预算编制准确，年初能基本准确预算基本支出，年中执行预算时能及时动态调整预算，未超预算支出。项目预算及时动态调整，总体执行进度较好。2019年区林业局预算收入6147.27万元，预算支出6775.75万元，预算完成率为110.22%，在预算完成过程中无违规违纪等情况发生。</w:t>
      </w:r>
    </w:p>
    <w:p w14:paraId="3975B885">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14:paraId="6C967347">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区林业局自评质量较高，绩效目标公开和自评公开均按要求按时公开，能够根据绩效评价结果及时调整项目执行措施和项目进度等，应用反馈结果良好。</w:t>
      </w:r>
    </w:p>
    <w:p w14:paraId="1658BCEA">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2EBBD4BA">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4FDF4A2B">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区林业局根据设定的指标评价体系，结合我局财政资金的使用情况，认真开展自评，自评得分100分。</w:t>
      </w:r>
    </w:p>
    <w:p w14:paraId="18F55224">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（二）存在问题。</w:t>
      </w:r>
    </w:p>
    <w:p w14:paraId="6724C398">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是政府采购实施计划编制不完整，年初在编制预算时，不能准确预测当年需采购当年所要采购的计划清单，导致不能准确编入政府采购计划；二是内控制度管理质量不高，个别内控制度执行力不强、监督不力，导致制度管理质量不高。</w:t>
      </w:r>
    </w:p>
    <w:p w14:paraId="24B11DFE">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14:paraId="743B5EF6">
      <w:pPr>
        <w:spacing w:line="580" w:lineRule="exact"/>
        <w:ind w:firstLine="640" w:firstLineChars="200"/>
        <w:rPr>
          <w:rFonts w:ascii="仿宋_GB2312" w:hAnsi="仿宋_GB2312" w:eastAsia="仿宋_GB2312" w:cs="仿宋_GB2312"/>
          <w:sz w:val="32"/>
          <w:szCs w:val="32"/>
        </w:rPr>
      </w:pPr>
      <w:r>
        <w:rPr>
          <w:rFonts w:hint="eastAsia" w:ascii="仿宋" w:hAnsi="仿宋" w:eastAsia="仿宋" w:cs="仿宋_GB2312"/>
          <w:sz w:val="32"/>
          <w:szCs w:val="32"/>
          <w:lang w:eastAsia="zh-CN"/>
        </w:rPr>
        <w:t>加强预算法和行政事业单位会计制度的学习和培训。加强对单位会计的《预算法》、《行政单位会计制度》等的学习培训，规范部门预算收支核算，制定和完善基本支出、项目支出等各项支出标准，严格按项目和进度执行预算，增强预算的约束力和严肃性</w:t>
      </w:r>
      <w:r>
        <w:rPr>
          <w:rFonts w:hint="eastAsia" w:ascii="仿宋" w:hAnsi="仿宋" w:eastAsia="仿宋" w:cs="仿宋_GB2312"/>
          <w:sz w:val="32"/>
          <w:szCs w:val="32"/>
        </w:rPr>
        <w:t>。</w:t>
      </w:r>
    </w:p>
    <w:p w14:paraId="7E901A0B">
      <w:pPr>
        <w:spacing w:line="580" w:lineRule="exact"/>
        <w:rPr>
          <w:rFonts w:hint="eastAsia" w:ascii="黑体" w:hAnsi="黑体" w:eastAsia="黑体" w:cs="黑体"/>
          <w:sz w:val="32"/>
          <w:szCs w:val="32"/>
        </w:rPr>
      </w:pPr>
    </w:p>
    <w:p w14:paraId="1BC4E8CA">
      <w:pPr>
        <w:spacing w:line="580" w:lineRule="exact"/>
        <w:rPr>
          <w:rFonts w:hint="eastAsia" w:ascii="黑体" w:hAnsi="黑体" w:eastAsia="黑体" w:cs="黑体"/>
          <w:sz w:val="32"/>
          <w:szCs w:val="32"/>
        </w:rPr>
      </w:pPr>
    </w:p>
    <w:p w14:paraId="03892BE3">
      <w:pPr>
        <w:spacing w:line="580" w:lineRule="exact"/>
        <w:rPr>
          <w:rFonts w:hint="eastAsia" w:ascii="黑体" w:hAnsi="黑体" w:eastAsia="黑体" w:cs="黑体"/>
          <w:sz w:val="32"/>
          <w:szCs w:val="32"/>
        </w:rPr>
      </w:pPr>
    </w:p>
    <w:p w14:paraId="2E710841">
      <w:pPr>
        <w:spacing w:line="580" w:lineRule="exact"/>
        <w:rPr>
          <w:rFonts w:hint="eastAsia" w:ascii="黑体" w:hAnsi="黑体" w:eastAsia="黑体" w:cs="黑体"/>
          <w:sz w:val="32"/>
          <w:szCs w:val="32"/>
        </w:rPr>
      </w:pPr>
    </w:p>
    <w:p w14:paraId="56EFE4AF">
      <w:pPr>
        <w:spacing w:line="580" w:lineRule="exact"/>
        <w:rPr>
          <w:rFonts w:hint="eastAsia" w:ascii="黑体" w:hAnsi="黑体" w:eastAsia="黑体" w:cs="黑体"/>
          <w:sz w:val="32"/>
          <w:szCs w:val="32"/>
        </w:rPr>
      </w:pPr>
    </w:p>
    <w:p w14:paraId="5CD4A252">
      <w:pPr>
        <w:spacing w:line="580" w:lineRule="exact"/>
        <w:rPr>
          <w:rFonts w:hint="eastAsia" w:ascii="黑体" w:hAnsi="黑体" w:eastAsia="黑体" w:cs="黑体"/>
          <w:sz w:val="32"/>
          <w:szCs w:val="32"/>
        </w:rPr>
      </w:pPr>
    </w:p>
    <w:p w14:paraId="49D2EC0D">
      <w:pPr>
        <w:spacing w:line="580" w:lineRule="exact"/>
        <w:rPr>
          <w:rFonts w:hint="eastAsia" w:ascii="黑体" w:hAnsi="黑体" w:eastAsia="黑体" w:cs="黑体"/>
          <w:sz w:val="32"/>
          <w:szCs w:val="32"/>
        </w:rPr>
      </w:pPr>
    </w:p>
    <w:p w14:paraId="35DD5CAD">
      <w:pPr>
        <w:spacing w:line="580" w:lineRule="exact"/>
        <w:rPr>
          <w:rFonts w:hint="eastAsia" w:ascii="黑体" w:hAnsi="黑体" w:eastAsia="黑体" w:cs="黑体"/>
          <w:sz w:val="32"/>
          <w:szCs w:val="32"/>
        </w:rPr>
      </w:pPr>
    </w:p>
    <w:p w14:paraId="6C32BFED">
      <w:pPr>
        <w:spacing w:line="580" w:lineRule="exact"/>
        <w:rPr>
          <w:rFonts w:hint="eastAsia" w:ascii="黑体" w:hAnsi="黑体" w:eastAsia="黑体" w:cs="黑体"/>
          <w:sz w:val="32"/>
          <w:szCs w:val="32"/>
        </w:rPr>
      </w:pPr>
    </w:p>
    <w:p w14:paraId="133CC870">
      <w:pPr>
        <w:spacing w:line="580" w:lineRule="exact"/>
        <w:rPr>
          <w:rFonts w:hint="eastAsia" w:ascii="黑体" w:hAnsi="黑体" w:eastAsia="黑体" w:cs="黑体"/>
          <w:sz w:val="32"/>
          <w:szCs w:val="32"/>
        </w:rPr>
      </w:pPr>
    </w:p>
    <w:p w14:paraId="6E3A3606">
      <w:pPr>
        <w:spacing w:line="580" w:lineRule="exact"/>
        <w:rPr>
          <w:rFonts w:hint="eastAsia" w:ascii="黑体" w:hAnsi="黑体" w:eastAsia="黑体" w:cs="黑体"/>
          <w:sz w:val="32"/>
          <w:szCs w:val="32"/>
        </w:rPr>
      </w:pPr>
    </w:p>
    <w:p w14:paraId="537BCB08">
      <w:pPr>
        <w:spacing w:line="580" w:lineRule="exact"/>
        <w:rPr>
          <w:rFonts w:hint="eastAsia" w:ascii="黑体" w:hAnsi="黑体" w:eastAsia="黑体" w:cs="黑体"/>
          <w:sz w:val="32"/>
          <w:szCs w:val="32"/>
        </w:rPr>
      </w:pPr>
    </w:p>
    <w:p w14:paraId="6E241AF4">
      <w:pPr>
        <w:spacing w:line="580" w:lineRule="exact"/>
        <w:rPr>
          <w:rFonts w:hint="eastAsia" w:ascii="黑体" w:hAnsi="黑体" w:eastAsia="黑体" w:cs="黑体"/>
          <w:sz w:val="32"/>
          <w:szCs w:val="32"/>
        </w:rPr>
      </w:pPr>
    </w:p>
    <w:p w14:paraId="57A4D2C4">
      <w:pPr>
        <w:spacing w:line="580" w:lineRule="exact"/>
        <w:rPr>
          <w:rFonts w:hint="eastAsia" w:ascii="黑体" w:hAnsi="黑体" w:eastAsia="黑体" w:cs="黑体"/>
          <w:sz w:val="32"/>
          <w:szCs w:val="32"/>
        </w:rPr>
      </w:pPr>
    </w:p>
    <w:p w14:paraId="3A8F27E9">
      <w:pPr>
        <w:spacing w:line="580" w:lineRule="exact"/>
        <w:rPr>
          <w:rFonts w:hint="eastAsia" w:ascii="黑体" w:hAnsi="黑体" w:eastAsia="黑体" w:cs="黑体"/>
          <w:sz w:val="32"/>
          <w:szCs w:val="32"/>
        </w:rPr>
      </w:pPr>
    </w:p>
    <w:p w14:paraId="6A386306">
      <w:pPr>
        <w:spacing w:line="580" w:lineRule="exact"/>
        <w:rPr>
          <w:rFonts w:hint="eastAsia" w:ascii="黑体" w:hAnsi="黑体" w:eastAsia="黑体" w:cs="黑体"/>
          <w:sz w:val="32"/>
          <w:szCs w:val="32"/>
        </w:rPr>
      </w:pPr>
    </w:p>
    <w:p w14:paraId="260A35C1">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14:paraId="6926BA98">
      <w:pPr>
        <w:spacing w:line="580" w:lineRule="exact"/>
        <w:ind w:firstLine="640" w:firstLineChars="200"/>
        <w:rPr>
          <w:rFonts w:ascii="仿宋_GB2312" w:hAnsi="仿宋_GB2312" w:eastAsia="仿宋_GB2312" w:cs="仿宋_GB2312"/>
          <w:sz w:val="32"/>
          <w:szCs w:val="32"/>
        </w:rPr>
      </w:pPr>
    </w:p>
    <w:p w14:paraId="06DE47EC">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森林生态效益补偿</w:t>
      </w:r>
      <w:r>
        <w:rPr>
          <w:rFonts w:hint="eastAsia" w:ascii="方正小标宋简体" w:hAnsi="宋体" w:eastAsia="方正小标宋简体"/>
          <w:color w:val="000000"/>
          <w:kern w:val="0"/>
          <w:sz w:val="44"/>
          <w:szCs w:val="44"/>
          <w:lang w:val="zh-CN"/>
        </w:rPr>
        <w:t>项目</w:t>
      </w:r>
    </w:p>
    <w:p w14:paraId="169C108D">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5BF7C3D4">
      <w:pPr>
        <w:spacing w:line="600" w:lineRule="exact"/>
        <w:rPr>
          <w:rFonts w:ascii="宋体" w:hAnsi="宋体"/>
          <w:sz w:val="32"/>
          <w:szCs w:val="32"/>
          <w:lang w:val="zh-CN"/>
        </w:rPr>
      </w:pPr>
    </w:p>
    <w:p w14:paraId="41C51779">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D3BE38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467F3739">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区林业局负责管理、使用该项目资金，并对项目资金的使用过程和使用结果进行监督。</w:t>
      </w:r>
    </w:p>
    <w:p w14:paraId="273E9C1C">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根据上级下达文件</w:t>
      </w:r>
      <w:r>
        <w:rPr>
          <w:rFonts w:hint="eastAsia" w:ascii="仿宋_GB2312" w:hAnsi="宋体" w:eastAsia="仿宋_GB2312"/>
          <w:sz w:val="32"/>
          <w:szCs w:val="32"/>
          <w:lang w:val="zh-CN"/>
        </w:rPr>
        <w:t>《关于提前下达2019年森林生态效益补偿资金的通知》（广财农〔2019〕16号）、《关于下达2019年中央财政林业改革发展资金（第二批）的通知》（广财农〔2019〕73号）</w:t>
      </w:r>
      <w:r>
        <w:rPr>
          <w:rFonts w:hint="eastAsia" w:ascii="仿宋_GB2312" w:hAnsi="宋体" w:eastAsia="仿宋_GB2312"/>
          <w:sz w:val="32"/>
          <w:szCs w:val="32"/>
          <w:lang w:val="en-US" w:eastAsia="zh-CN"/>
        </w:rPr>
        <w:t>对项目进行立项和资金申报</w:t>
      </w:r>
      <w:r>
        <w:rPr>
          <w:rFonts w:hint="eastAsia" w:ascii="仿宋_GB2312" w:hAnsi="宋体" w:eastAsia="仿宋_GB2312"/>
          <w:sz w:val="32"/>
          <w:szCs w:val="32"/>
          <w:lang w:val="zh-CN"/>
        </w:rPr>
        <w:t>。</w:t>
      </w:r>
    </w:p>
    <w:p w14:paraId="02A39A24">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3．项目资金严格实行专帐管理、专款专用，并制定出台了《广元市昭化区林业产业项目资金绩效考评细则》、《广元市昭化区林业产业项目资金使用管理办法（试行）》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等项目管理办法</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项目资金用于全区集体和个人公益林补偿兑现。</w:t>
      </w:r>
    </w:p>
    <w:p w14:paraId="7D614B5D">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4．</w:t>
      </w:r>
      <w:r>
        <w:rPr>
          <w:rFonts w:hint="eastAsia" w:ascii="仿宋_GB2312" w:hAnsi="宋体" w:eastAsia="仿宋_GB2312"/>
          <w:sz w:val="32"/>
          <w:szCs w:val="32"/>
          <w:lang w:val="en-US" w:eastAsia="zh-CN"/>
        </w:rPr>
        <w:t>资金按照国家级公益林15.75元/亩、省级公益林14.75元/亩的标准对全区纳入森林生态效益补偿范围的面积进行补偿。</w:t>
      </w:r>
    </w:p>
    <w:p w14:paraId="55BAECD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51F57E0F">
      <w:pPr>
        <w:adjustRightInd w:val="0"/>
        <w:snapToGrid w:val="0"/>
        <w:spacing w:line="600" w:lineRule="exact"/>
        <w:ind w:firstLine="720"/>
        <w:rPr>
          <w:rFonts w:hint="default" w:ascii="仿宋_GB2312" w:hAnsi="宋体" w:eastAsia="仿宋_GB2312"/>
          <w:sz w:val="32"/>
          <w:szCs w:val="32"/>
          <w:lang w:val="en-US" w:eastAsia="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对全区集体和个人生态公益林56.55万亩按照国家级公益林15.75元/亩、省级公益林14.75元/亩的标准进行补偿。</w:t>
      </w:r>
    </w:p>
    <w:p w14:paraId="05CBBA65">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项目</w:t>
      </w:r>
      <w:r>
        <w:rPr>
          <w:rFonts w:hint="eastAsia" w:ascii="仿宋_GB2312" w:hAnsi="宋体" w:eastAsia="仿宋_GB2312"/>
          <w:sz w:val="32"/>
          <w:szCs w:val="32"/>
          <w:lang w:val="zh-CN"/>
        </w:rPr>
        <w:t>绩效目标为</w:t>
      </w:r>
      <w:r>
        <w:rPr>
          <w:rFonts w:hint="eastAsia" w:ascii="仿宋_GB2312" w:hAnsi="宋体" w:eastAsia="仿宋_GB2312"/>
          <w:sz w:val="32"/>
          <w:szCs w:val="32"/>
          <w:lang w:val="en-US" w:eastAsia="zh-CN"/>
        </w:rPr>
        <w:t>完成</w:t>
      </w:r>
      <w:r>
        <w:rPr>
          <w:rFonts w:hint="eastAsia" w:ascii="仿宋_GB2312" w:hAnsi="宋体" w:eastAsia="仿宋_GB2312"/>
          <w:sz w:val="32"/>
          <w:szCs w:val="32"/>
          <w:lang w:val="zh-CN"/>
        </w:rPr>
        <w:t>集体和个人所有公益林生态效益补偿56.55万亩，</w:t>
      </w:r>
      <w:r>
        <w:rPr>
          <w:rFonts w:hint="eastAsia" w:ascii="仿宋_GB2312" w:hAnsi="宋体" w:eastAsia="仿宋_GB2312"/>
          <w:sz w:val="32"/>
          <w:szCs w:val="32"/>
          <w:lang w:val="en-US" w:eastAsia="zh-CN"/>
        </w:rPr>
        <w:t>森林生态效益绩效目标任务为当期任务完成率≥90%，公益林对生态环境改善情况明显，</w:t>
      </w:r>
      <w:r>
        <w:rPr>
          <w:rFonts w:hint="default" w:ascii="仿宋_GB2312" w:hAnsi="宋体" w:eastAsia="仿宋_GB2312"/>
          <w:sz w:val="32"/>
          <w:szCs w:val="32"/>
          <w:lang w:val="zh-CN"/>
        </w:rPr>
        <w:t>公益林保障经济可持续发展</w:t>
      </w:r>
      <w:r>
        <w:rPr>
          <w:rFonts w:hint="eastAsia" w:ascii="仿宋_GB2312" w:hAnsi="宋体" w:eastAsia="仿宋_GB2312"/>
          <w:sz w:val="32"/>
          <w:szCs w:val="32"/>
          <w:lang w:val="zh-CN"/>
        </w:rPr>
        <w:t>，</w:t>
      </w:r>
      <w:r>
        <w:rPr>
          <w:rFonts w:hint="eastAsia" w:ascii="仿宋_GB2312" w:hAnsi="宋体" w:eastAsia="仿宋_GB2312"/>
          <w:sz w:val="32"/>
          <w:szCs w:val="32"/>
          <w:lang w:val="zh-CN" w:eastAsia="zh-CN"/>
        </w:rPr>
        <w:t>公益林管护满意度≥95%。</w:t>
      </w:r>
    </w:p>
    <w:p w14:paraId="0D7D138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eastAsia" w:ascii="仿宋_GB2312" w:hAnsi="宋体" w:eastAsia="仿宋_GB2312"/>
          <w:sz w:val="32"/>
          <w:szCs w:val="32"/>
          <w:lang w:val="en-US" w:eastAsia="zh-CN"/>
        </w:rPr>
        <w:t>绩效目标申报</w:t>
      </w:r>
      <w:r>
        <w:rPr>
          <w:rFonts w:hint="eastAsia" w:ascii="仿宋_GB2312" w:hAnsi="宋体" w:eastAsia="仿宋_GB2312"/>
          <w:sz w:val="32"/>
          <w:szCs w:val="32"/>
          <w:lang w:val="zh-CN"/>
        </w:rPr>
        <w:t>与实际相符，申报目标合理可行。</w:t>
      </w:r>
    </w:p>
    <w:p w14:paraId="0285E05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4C18FBE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我局成立了绩效自评小组，通过翻阅档案资料、实施查看项目实施成果、走访收益农户等相结合的方式，对项目开展绩效自评工作</w:t>
      </w:r>
      <w:r>
        <w:rPr>
          <w:rFonts w:hint="eastAsia" w:ascii="仿宋_GB2312" w:hAnsi="宋体" w:eastAsia="仿宋_GB2312"/>
          <w:sz w:val="32"/>
          <w:szCs w:val="32"/>
          <w:lang w:val="zh-CN"/>
        </w:rPr>
        <w:t>。</w:t>
      </w:r>
    </w:p>
    <w:p w14:paraId="1FB8C5B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6D12A62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4BEB7CB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根据上级下达文件《关于提前下达2019年森林生态效益补偿资金的通知》（广财农〔2019〕16号）、《关于下达2019年中央财政林业改革发展资金（第二批）的通知》（广财农〔2019〕73号）对项目进行立项和资金申报。</w:t>
      </w:r>
      <w:r>
        <w:rPr>
          <w:rFonts w:hint="eastAsia" w:ascii="仿宋_GB2312" w:hAnsi="宋体" w:eastAsia="仿宋_GB2312"/>
          <w:sz w:val="32"/>
          <w:szCs w:val="32"/>
          <w:lang w:val="en-US" w:eastAsia="zh-CN"/>
        </w:rPr>
        <w:t>根据己下达资金文件在年底进行</w:t>
      </w:r>
      <w:r>
        <w:rPr>
          <w:rFonts w:hint="eastAsia" w:ascii="仿宋_GB2312" w:hAnsi="宋体" w:eastAsia="仿宋_GB2312"/>
          <w:sz w:val="32"/>
          <w:szCs w:val="32"/>
          <w:lang w:val="zh-CN"/>
        </w:rPr>
        <w:t>预算调整。</w:t>
      </w:r>
    </w:p>
    <w:p w14:paraId="2C48A40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1E07FE0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en-US" w:eastAsia="zh-CN"/>
        </w:rPr>
        <w:t>该项目计划使用财政资金875.03万元，其中中央财政资金690.55万元，省级财政资金184.48万元。</w:t>
      </w:r>
    </w:p>
    <w:p w14:paraId="4C159AC0">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en-US" w:eastAsia="zh-CN"/>
        </w:rPr>
        <w:t>截至目前，项目资金已全部到位，资金到位率100%</w:t>
      </w:r>
      <w:r>
        <w:rPr>
          <w:rFonts w:hint="eastAsia" w:ascii="仿宋_GB2312" w:hAnsi="宋体" w:eastAsia="仿宋_GB2312"/>
          <w:sz w:val="32"/>
          <w:szCs w:val="32"/>
          <w:lang w:val="zh-CN"/>
        </w:rPr>
        <w:t>。</w:t>
      </w:r>
    </w:p>
    <w:p w14:paraId="6D29492D">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en-US" w:eastAsia="zh-CN"/>
        </w:rPr>
        <w:t>截至目前，资金已支付875.03万元，资金支付率100%</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资金均通过“一卡通支付平台”支付到受益人社保卡，资金使用安全、规范、有效，</w:t>
      </w:r>
      <w:r>
        <w:rPr>
          <w:rFonts w:hint="eastAsia" w:ascii="仿宋_GB2312" w:hAnsi="宋体" w:eastAsia="仿宋_GB2312"/>
          <w:sz w:val="32"/>
          <w:szCs w:val="32"/>
          <w:lang w:val="zh-CN"/>
        </w:rPr>
        <w:t>资金支付范围、支付标准、支付进度、支付依据合规合法、与预算相符。</w:t>
      </w:r>
    </w:p>
    <w:p w14:paraId="1CD10DD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113E313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局项目资金实行专帐管理、专款专用，并制定出台了《广元市昭化区林业产业项目资金绩效考评细则》、《广元市昭化区林业产业项目资金使用管理办法（试行）》、《广元市昭化区林业项目评审检查验收办法（试行）》、《林业专项资金财务支出制度》，从制度上保障了资金管理使用的规范性、严谨性和有效性，杜绝了资金管理使用过程中可能出现的截留、滞留、违规抵扣资金等问题。在项目实施过程中，严格项目资金的审批拨付制度，同时加强了痕迹和档案资料管理，进一步严肃财经纪律，从源头上预防问题的发生。</w:t>
      </w:r>
    </w:p>
    <w:p w14:paraId="16BABF9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6C3F7C5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18BBBD3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0FFE7906">
      <w:pPr>
        <w:adjustRightInd w:val="0"/>
        <w:snapToGrid w:val="0"/>
        <w:spacing w:line="600" w:lineRule="exact"/>
        <w:ind w:firstLine="72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为加强项目的监督、管理，切实保障项目资金使用安全性，我局高度重视，认真研究，成立了以党组书记、局长王振江同志为组长的森林生态效益补偿项目工作推进领导小组，领导小组办公室设在局资源股。我局负责组织、规划实施项目，各乡镇配合确定实施地点及范围、具体实施，我局进行监督和项目资金的兑现。</w:t>
      </w:r>
    </w:p>
    <w:p w14:paraId="0EFF652B">
      <w:pPr>
        <w:adjustRightInd w:val="0"/>
        <w:snapToGrid w:val="0"/>
        <w:spacing w:line="600" w:lineRule="exact"/>
        <w:ind w:firstLine="720"/>
        <w:rPr>
          <w:rFonts w:hint="eastAsia" w:ascii="仿宋_GB2312" w:hAnsi="宋体" w:eastAsia="仿宋_GB2312"/>
          <w:sz w:val="32"/>
          <w:szCs w:val="32"/>
          <w:lang w:val="zh-CN"/>
          <w14:textFill>
            <w14:gradFill>
              <w14:gsLst>
                <w14:gs w14:pos="0">
                  <w14:srgbClr w14:val="FE4444"/>
                </w14:gs>
                <w14:gs w14:pos="100000">
                  <w14:srgbClr w14:val="832B2B"/>
                </w14:gs>
              </w14:gsLst>
              <w14:lin w14:scaled="0"/>
            </w14:gradFill>
          </w14:textFill>
        </w:rPr>
      </w:pPr>
      <w:r>
        <w:rPr>
          <w:rFonts w:hint="eastAsia" w:ascii="楷体_GB2312" w:hAnsi="宋体" w:eastAsia="楷体_GB2312"/>
          <w:b/>
          <w:sz w:val="32"/>
          <w:szCs w:val="32"/>
          <w:lang w:val="zh-CN"/>
        </w:rPr>
        <w:t>（二）项目管理情况。</w:t>
      </w:r>
    </w:p>
    <w:p w14:paraId="71F58B25">
      <w:pPr>
        <w:adjustRightInd w:val="0"/>
        <w:snapToGrid w:val="0"/>
        <w:spacing w:line="600" w:lineRule="exact"/>
        <w:ind w:firstLine="720"/>
        <w:rPr>
          <w:rFonts w:hint="eastAsia" w:ascii="楷体_GB2312" w:hAnsi="宋体" w:eastAsia="楷体_GB2312"/>
          <w:b/>
          <w:sz w:val="32"/>
          <w:szCs w:val="32"/>
          <w:lang w:val="zh-CN"/>
        </w:rPr>
      </w:pPr>
      <w:r>
        <w:rPr>
          <w:rFonts w:hint="eastAsia" w:ascii="仿宋_GB2312" w:hAnsi="宋体" w:eastAsia="仿宋_GB2312"/>
          <w:sz w:val="32"/>
          <w:szCs w:val="32"/>
          <w:lang w:val="en-US" w:eastAsia="zh-CN"/>
        </w:rPr>
        <w:t>该项目为惠民资金，根据《</w:t>
      </w:r>
      <w:r>
        <w:rPr>
          <w:rFonts w:hint="eastAsia" w:ascii="仿宋_GB2312" w:hAnsi="宋体" w:eastAsia="仿宋_GB2312"/>
          <w:sz w:val="32"/>
          <w:szCs w:val="32"/>
          <w:lang w:val="zh-CN"/>
        </w:rPr>
        <w:t>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等制度和办法进行管理。</w:t>
      </w:r>
    </w:p>
    <w:p w14:paraId="226B7CA7">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6E3F5261">
      <w:pPr>
        <w:adjustRightInd w:val="0"/>
        <w:snapToGrid w:val="0"/>
        <w:spacing w:line="600" w:lineRule="exact"/>
        <w:ind w:firstLine="720"/>
        <w:rPr>
          <w:rFonts w:hint="eastAsia" w:ascii="黑体" w:hAnsi="宋体" w:eastAsia="黑体"/>
          <w:sz w:val="32"/>
          <w:szCs w:val="32"/>
        </w:rPr>
      </w:pPr>
      <w:r>
        <w:rPr>
          <w:rFonts w:hint="eastAsia" w:ascii="仿宋_GB2312" w:hAnsi="宋体" w:eastAsia="仿宋_GB2312"/>
          <w:sz w:val="32"/>
          <w:szCs w:val="32"/>
          <w:lang w:val="en-US" w:eastAsia="zh-CN"/>
        </w:rPr>
        <w:t>我局按照《</w:t>
      </w:r>
      <w:r>
        <w:rPr>
          <w:rFonts w:hint="eastAsia" w:ascii="仿宋_GB2312" w:hAnsi="宋体" w:eastAsia="仿宋_GB2312"/>
          <w:sz w:val="32"/>
          <w:szCs w:val="32"/>
          <w:lang w:val="zh-CN"/>
        </w:rPr>
        <w:t>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等制度和办法对项目进行监管，实施过程中未发现违规违纪情况，无老百姓投诉，实现效果较好。</w:t>
      </w:r>
    </w:p>
    <w:p w14:paraId="63437554">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0F396D0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A19FAFC">
      <w:pPr>
        <w:adjustRightInd w:val="0"/>
        <w:snapToGrid w:val="0"/>
        <w:spacing w:line="600" w:lineRule="exact"/>
        <w:ind w:firstLine="720"/>
        <w:rPr>
          <w:rFonts w:hint="default" w:ascii="楷体_GB2312" w:hAnsi="宋体" w:eastAsia="仿宋_GB2312"/>
          <w:b/>
          <w:sz w:val="32"/>
          <w:szCs w:val="32"/>
          <w:lang w:val="en-US" w:eastAsia="zh-CN"/>
        </w:rPr>
      </w:pPr>
      <w:r>
        <w:rPr>
          <w:rFonts w:hint="eastAsia" w:ascii="仿宋_GB2312" w:hAnsi="宋体" w:eastAsia="仿宋_GB2312"/>
          <w:sz w:val="32"/>
          <w:szCs w:val="32"/>
          <w:lang w:val="en-US" w:eastAsia="zh-CN"/>
        </w:rPr>
        <w:t>截至目前，共完成兑现面积56.55万亩，兑现金额875.03万元，兑现率100%，当期任务完成率100%。</w:t>
      </w:r>
    </w:p>
    <w:p w14:paraId="0DC602C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19F84159">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公益林对生态环境改善情况明显，</w:t>
      </w:r>
      <w:r>
        <w:rPr>
          <w:rFonts w:hint="default" w:ascii="仿宋_GB2312" w:hAnsi="宋体" w:eastAsia="仿宋_GB2312"/>
          <w:sz w:val="32"/>
          <w:szCs w:val="32"/>
          <w:lang w:val="zh-CN"/>
        </w:rPr>
        <w:t>公益林保障经济可持续发展</w:t>
      </w:r>
      <w:r>
        <w:rPr>
          <w:rFonts w:hint="eastAsia" w:ascii="仿宋_GB2312" w:hAnsi="宋体" w:eastAsia="仿宋_GB2312"/>
          <w:sz w:val="32"/>
          <w:szCs w:val="32"/>
          <w:lang w:val="zh-CN"/>
        </w:rPr>
        <w:t>，</w:t>
      </w:r>
      <w:r>
        <w:rPr>
          <w:rFonts w:hint="eastAsia" w:ascii="仿宋_GB2312" w:hAnsi="宋体" w:eastAsia="仿宋_GB2312"/>
          <w:sz w:val="32"/>
          <w:szCs w:val="32"/>
          <w:lang w:val="zh-CN" w:eastAsia="zh-CN"/>
        </w:rPr>
        <w:t>公益林管护满意度≥95%。</w:t>
      </w:r>
    </w:p>
    <w:p w14:paraId="02BF474E">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2CAE758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评价结论。</w:t>
      </w:r>
    </w:p>
    <w:p w14:paraId="5F6426AA">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eastAsia="仿宋_GB2312"/>
          <w:sz w:val="32"/>
          <w:szCs w:val="32"/>
          <w:lang w:val="en-US" w:eastAsia="zh-CN"/>
        </w:rPr>
        <w:t>对照年初绩效目标，我局认真自查分析，项目实施</w:t>
      </w:r>
      <w:r>
        <w:rPr>
          <w:rFonts w:hint="eastAsia" w:ascii="仿宋" w:hAnsi="仿宋" w:eastAsia="仿宋" w:cs="仿宋"/>
          <w:sz w:val="32"/>
          <w:szCs w:val="32"/>
        </w:rPr>
        <w:t>促进了生态环境改善，并严格控制公益林采伐，杜绝擅自改变公益林地用途现象发生，确保公益林资源得到有效保护保障，提高林区老百姓收益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综上，年初绩效目标已完成，完成情况好</w:t>
      </w:r>
      <w:r>
        <w:rPr>
          <w:rFonts w:hint="eastAsia" w:ascii="仿宋_GB2312" w:hAnsi="宋体" w:eastAsia="仿宋_GB2312"/>
          <w:sz w:val="32"/>
          <w:szCs w:val="32"/>
          <w:lang w:val="zh-CN"/>
        </w:rPr>
        <w:t>。</w:t>
      </w:r>
    </w:p>
    <w:p w14:paraId="026B71E3">
      <w:pPr>
        <w:spacing w:line="580" w:lineRule="exact"/>
        <w:ind w:firstLine="640"/>
        <w:rPr>
          <w:rFonts w:ascii="仿宋_GB2312" w:hAnsi="仿宋_GB2312" w:eastAsia="仿宋_GB2312" w:cs="仿宋_GB2312"/>
          <w:sz w:val="32"/>
          <w:szCs w:val="32"/>
        </w:rPr>
      </w:pPr>
    </w:p>
    <w:p w14:paraId="127AF69B">
      <w:pPr>
        <w:pStyle w:val="5"/>
      </w:pPr>
    </w:p>
    <w:p w14:paraId="52F13B63">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集体和个人天然商品林停伐管护补助</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7417F041">
      <w:pPr>
        <w:spacing w:line="600" w:lineRule="exact"/>
        <w:rPr>
          <w:rFonts w:ascii="宋体" w:hAnsi="宋体"/>
          <w:sz w:val="32"/>
          <w:szCs w:val="32"/>
          <w:lang w:val="zh-CN"/>
        </w:rPr>
      </w:pPr>
    </w:p>
    <w:p w14:paraId="16F3C543">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A22FB8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2F889C65">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区林业局负责管理、使用该项目资金，并对项目资金的使用过程和使用结果进行监督</w:t>
      </w:r>
      <w:r>
        <w:rPr>
          <w:rFonts w:hint="eastAsia" w:ascii="仿宋_GB2312" w:hAnsi="宋体" w:eastAsia="仿宋_GB2312"/>
          <w:sz w:val="32"/>
          <w:szCs w:val="32"/>
          <w:lang w:val="zh-CN"/>
        </w:rPr>
        <w:t>。</w:t>
      </w:r>
    </w:p>
    <w:p w14:paraId="29AA811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根据上级下达文件</w:t>
      </w:r>
      <w:r>
        <w:rPr>
          <w:rFonts w:hint="eastAsia" w:ascii="仿宋_GB2312" w:hAnsi="宋体" w:eastAsia="仿宋_GB2312"/>
          <w:sz w:val="32"/>
          <w:szCs w:val="32"/>
          <w:lang w:val="zh-CN"/>
        </w:rPr>
        <w:t>《关于提前下达2019年中央财政林业改革发展资金预算的通知》（广财农〔2019〕17号）、《关于下达2019年中央财政林业改革发展资金（第二批）的通知》（广财农〔2019〕73号）</w:t>
      </w:r>
      <w:r>
        <w:rPr>
          <w:rFonts w:hint="eastAsia" w:ascii="仿宋_GB2312" w:hAnsi="宋体" w:eastAsia="仿宋_GB2312"/>
          <w:sz w:val="32"/>
          <w:szCs w:val="32"/>
          <w:lang w:val="en-US" w:eastAsia="zh-CN"/>
        </w:rPr>
        <w:t>对项目进行立项和资金申报</w:t>
      </w:r>
      <w:r>
        <w:rPr>
          <w:rFonts w:hint="eastAsia" w:ascii="仿宋_GB2312" w:hAnsi="宋体" w:eastAsia="仿宋_GB2312"/>
          <w:sz w:val="32"/>
          <w:szCs w:val="32"/>
          <w:lang w:val="zh-CN"/>
        </w:rPr>
        <w:t>。</w:t>
      </w:r>
    </w:p>
    <w:p w14:paraId="153C9229">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3．项目资金严格实行专帐管理、专款专用，并制定出台了《广元市昭化区林业产业项目资金绩效考评细则》、《广元市昭化区林业产业项目资金使用管理办法（试行）》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等项目管理办法</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项目资金用于全区集体和个人天然商品林停伐管护补助兑现</w:t>
      </w:r>
      <w:r>
        <w:rPr>
          <w:rFonts w:hint="eastAsia" w:ascii="仿宋_GB2312" w:hAnsi="宋体" w:eastAsia="仿宋_GB2312"/>
          <w:sz w:val="32"/>
          <w:szCs w:val="32"/>
          <w:lang w:val="zh-CN"/>
        </w:rPr>
        <w:t>。</w:t>
      </w:r>
    </w:p>
    <w:p w14:paraId="05DB0285">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w:t>
      </w:r>
      <w:r>
        <w:rPr>
          <w:rFonts w:hint="eastAsia" w:ascii="仿宋_GB2312" w:hAnsi="宋体" w:eastAsia="仿宋_GB2312"/>
          <w:sz w:val="32"/>
          <w:szCs w:val="32"/>
          <w:lang w:val="en-US" w:eastAsia="zh-CN"/>
        </w:rPr>
        <w:t>资金按照9.98元/亩的标准对全区纳入停伐管护范围的天然商品林进行补偿</w:t>
      </w:r>
      <w:r>
        <w:rPr>
          <w:rFonts w:hint="eastAsia" w:ascii="仿宋_GB2312" w:hAnsi="宋体" w:eastAsia="仿宋_GB2312"/>
          <w:sz w:val="32"/>
          <w:szCs w:val="32"/>
          <w:lang w:val="zh-CN"/>
        </w:rPr>
        <w:t>。</w:t>
      </w:r>
    </w:p>
    <w:p w14:paraId="7794D8A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78E38CA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对全区34.45万亩纳入停伐管护范围的集体和个人天然商品林按照9.98元/亩的标准进行补偿</w:t>
      </w:r>
      <w:r>
        <w:rPr>
          <w:rFonts w:hint="eastAsia" w:ascii="仿宋_GB2312" w:hAnsi="宋体" w:eastAsia="仿宋_GB2312"/>
          <w:sz w:val="32"/>
          <w:szCs w:val="32"/>
          <w:lang w:val="zh-CN"/>
        </w:rPr>
        <w:t>。</w:t>
      </w:r>
    </w:p>
    <w:p w14:paraId="0FDAEA9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绩效目标申报</w:t>
      </w:r>
      <w:r>
        <w:rPr>
          <w:rFonts w:hint="eastAsia" w:ascii="仿宋_GB2312" w:hAnsi="宋体" w:eastAsia="仿宋_GB2312"/>
          <w:sz w:val="32"/>
          <w:szCs w:val="32"/>
          <w:lang w:val="zh-CN"/>
        </w:rPr>
        <w:t>与实际相符，申报目标合理可行。</w:t>
      </w:r>
    </w:p>
    <w:p w14:paraId="062D164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5026B7D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我局成立了绩效自评小组，通过翻阅档案资料、实施查看项目实施成果、走访收益农户等相结合的方式，对项目开展绩效自评工作</w:t>
      </w:r>
      <w:r>
        <w:rPr>
          <w:rFonts w:hint="eastAsia" w:ascii="仿宋_GB2312" w:hAnsi="宋体" w:eastAsia="仿宋_GB2312"/>
          <w:sz w:val="32"/>
          <w:szCs w:val="32"/>
          <w:lang w:val="zh-CN"/>
        </w:rPr>
        <w:t>。</w:t>
      </w:r>
    </w:p>
    <w:p w14:paraId="466EF18F">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01B7BCC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10C80AD9">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根据上级下达文件</w:t>
      </w:r>
      <w:r>
        <w:rPr>
          <w:rFonts w:hint="eastAsia" w:ascii="仿宋_GB2312" w:hAnsi="宋体" w:eastAsia="仿宋_GB2312"/>
          <w:sz w:val="32"/>
          <w:szCs w:val="32"/>
          <w:lang w:val="zh-CN"/>
        </w:rPr>
        <w:t>《关于提前下达2019年中央财政林业改革发展资金预算的通知》（广财农〔2019〕17号）、《关于下达2019年中央财政林业改革发展资金（第二批）的通知》（广财农〔2019〕73号）</w:t>
      </w:r>
      <w:r>
        <w:rPr>
          <w:rFonts w:hint="eastAsia" w:ascii="仿宋_GB2312" w:hAnsi="宋体" w:eastAsia="仿宋_GB2312"/>
          <w:sz w:val="32"/>
          <w:szCs w:val="32"/>
          <w:lang w:val="en-US" w:eastAsia="zh-CN"/>
        </w:rPr>
        <w:t>对项目进行立项和资金申报</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根据己下达资金文件在年底进行</w:t>
      </w:r>
      <w:r>
        <w:rPr>
          <w:rFonts w:hint="eastAsia" w:ascii="仿宋_GB2312" w:hAnsi="宋体" w:eastAsia="仿宋_GB2312"/>
          <w:sz w:val="32"/>
          <w:szCs w:val="32"/>
          <w:lang w:val="zh-CN"/>
        </w:rPr>
        <w:t>预算调整。</w:t>
      </w:r>
    </w:p>
    <w:p w14:paraId="5854600A">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5E3A634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en-US" w:eastAsia="zh-CN"/>
        </w:rPr>
        <w:t>该项目计划使用财政资金343.94万元，其中中央财政资金343.94万元</w:t>
      </w:r>
      <w:r>
        <w:rPr>
          <w:rFonts w:hint="eastAsia" w:ascii="仿宋_GB2312" w:hAnsi="宋体" w:eastAsia="仿宋_GB2312"/>
          <w:sz w:val="32"/>
          <w:szCs w:val="32"/>
          <w:lang w:val="zh-CN"/>
        </w:rPr>
        <w:t>。</w:t>
      </w:r>
    </w:p>
    <w:p w14:paraId="4446E249">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en-US" w:eastAsia="zh-CN"/>
        </w:rPr>
        <w:t>截至目前，项目资金已全部到位，资金到位率100%</w:t>
      </w:r>
      <w:r>
        <w:rPr>
          <w:rFonts w:hint="eastAsia" w:ascii="仿宋_GB2312" w:hAnsi="宋体" w:eastAsia="仿宋_GB2312"/>
          <w:sz w:val="32"/>
          <w:szCs w:val="32"/>
          <w:lang w:val="zh-CN"/>
        </w:rPr>
        <w:t>。。</w:t>
      </w:r>
    </w:p>
    <w:p w14:paraId="0843F0EB">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en-US" w:eastAsia="zh-CN"/>
        </w:rPr>
        <w:t>截至目前，资金已支付343.84万元，资金支付率99.97%</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资金均通过“一卡通支付平台”支付到受益人社保卡，资金使用安全、规范、有效，</w:t>
      </w:r>
      <w:r>
        <w:rPr>
          <w:rFonts w:hint="eastAsia" w:ascii="仿宋_GB2312" w:hAnsi="宋体" w:eastAsia="仿宋_GB2312"/>
          <w:sz w:val="32"/>
          <w:szCs w:val="32"/>
          <w:lang w:val="zh-CN"/>
        </w:rPr>
        <w:t>资金支付范围、支付标准、支付进度、支付依据合规合法、与预算相符。</w:t>
      </w:r>
    </w:p>
    <w:p w14:paraId="1C61B95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2B59CC50">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局项目资金实行专帐管理、专款专用，并制定出台了《广元市昭化区林业产业项目资金绩效考评细则》、《广元市昭化区林业产业项目资金使用管理办法（试行）》、《广元市昭化区林业项目评审检查验收办法（试行）》、《林业专项资金财务支出制度》，从制度上保障了资金管理使用的规范性、严谨性和有效性，杜绝了资金管理使用过程中可能出现的截留、滞留、违规抵扣资金等问题。在项目实施过程中，严格项目资金的审批拨付制度，同时加强了痕迹和档案资料管理，进一步严肃财经纪律，从源头上预防问题的发生。</w:t>
      </w:r>
    </w:p>
    <w:p w14:paraId="7A70A15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5068436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75E4490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0EB0D14D">
      <w:pPr>
        <w:adjustRightInd w:val="0"/>
        <w:snapToGrid w:val="0"/>
        <w:spacing w:line="600" w:lineRule="exact"/>
        <w:ind w:firstLine="720"/>
        <w:rPr>
          <w:rFonts w:hint="eastAsia" w:ascii="楷体_GB2312" w:hAnsi="宋体" w:eastAsia="楷体_GB2312"/>
          <w:b/>
          <w:sz w:val="32"/>
          <w:szCs w:val="32"/>
          <w:lang w:val="zh-CN"/>
        </w:rPr>
      </w:pPr>
      <w:r>
        <w:rPr>
          <w:rFonts w:hint="eastAsia" w:ascii="仿宋_GB2312" w:hAnsi="宋体" w:eastAsia="仿宋_GB2312"/>
          <w:sz w:val="32"/>
          <w:szCs w:val="32"/>
          <w:lang w:val="zh-CN"/>
        </w:rPr>
        <w:t>为加强项目的监督、管理，切实保障项目资金使用安全性，我局高度重视，认真研究，成立了以党组书记、局长王振江同志为组长的</w:t>
      </w:r>
      <w:r>
        <w:rPr>
          <w:rFonts w:hint="eastAsia" w:ascii="仿宋_GB2312" w:hAnsi="宋体" w:eastAsia="仿宋_GB2312"/>
          <w:sz w:val="32"/>
          <w:szCs w:val="32"/>
          <w:lang w:val="en-US" w:eastAsia="zh-CN"/>
        </w:rPr>
        <w:t>天然林停伐管护补助</w:t>
      </w:r>
      <w:r>
        <w:rPr>
          <w:rFonts w:hint="eastAsia" w:ascii="仿宋_GB2312" w:hAnsi="宋体" w:eastAsia="仿宋_GB2312"/>
          <w:sz w:val="32"/>
          <w:szCs w:val="32"/>
          <w:lang w:val="zh-CN"/>
        </w:rPr>
        <w:t>项目工作推进领导小组，领导小组办公室设在</w:t>
      </w:r>
      <w:r>
        <w:rPr>
          <w:rFonts w:hint="eastAsia" w:ascii="仿宋_GB2312" w:hAnsi="宋体" w:eastAsia="仿宋_GB2312"/>
          <w:sz w:val="32"/>
          <w:szCs w:val="32"/>
          <w:lang w:val="en-US" w:eastAsia="zh-CN"/>
        </w:rPr>
        <w:t>局资源股。我局</w:t>
      </w:r>
      <w:r>
        <w:rPr>
          <w:rFonts w:hint="eastAsia" w:ascii="仿宋_GB2312" w:hAnsi="宋体" w:eastAsia="仿宋_GB2312"/>
          <w:sz w:val="32"/>
          <w:szCs w:val="32"/>
          <w:lang w:val="zh-CN"/>
        </w:rPr>
        <w:t>负责组织、规划</w:t>
      </w:r>
      <w:r>
        <w:rPr>
          <w:rFonts w:hint="eastAsia" w:ascii="仿宋_GB2312" w:hAnsi="宋体" w:eastAsia="仿宋_GB2312"/>
          <w:sz w:val="32"/>
          <w:szCs w:val="32"/>
          <w:lang w:val="en-US" w:eastAsia="zh-CN"/>
        </w:rPr>
        <w:t>实施项目</w:t>
      </w:r>
      <w:r>
        <w:rPr>
          <w:rFonts w:hint="eastAsia" w:ascii="仿宋_GB2312" w:hAnsi="宋体" w:eastAsia="仿宋_GB2312"/>
          <w:sz w:val="32"/>
          <w:szCs w:val="32"/>
          <w:lang w:val="zh-CN"/>
        </w:rPr>
        <w:t>，各乡镇配合确定实施地点及范围、具体实施，我局进行监督和项目资金的兑现。</w:t>
      </w:r>
    </w:p>
    <w:p w14:paraId="7B137906">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14:paraId="58B4037E">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该项目为惠民资金，根据《</w:t>
      </w:r>
      <w:r>
        <w:rPr>
          <w:rFonts w:hint="eastAsia" w:ascii="仿宋_GB2312" w:hAnsi="宋体" w:eastAsia="仿宋_GB2312"/>
          <w:sz w:val="32"/>
          <w:szCs w:val="32"/>
          <w:lang w:val="zh-CN"/>
        </w:rPr>
        <w:t>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等制度和办法进行管理。</w:t>
      </w:r>
    </w:p>
    <w:p w14:paraId="3E6E3780">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14:paraId="1140C03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我局按照《</w:t>
      </w:r>
      <w:r>
        <w:rPr>
          <w:rFonts w:hint="eastAsia" w:ascii="仿宋_GB2312" w:hAnsi="宋体" w:eastAsia="仿宋_GB2312"/>
          <w:sz w:val="32"/>
          <w:szCs w:val="32"/>
          <w:lang w:val="zh-CN"/>
        </w:rPr>
        <w:t>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等制度和办法对项目进行监管，实施过程中未发现违规违纪情况，无老百姓投诉，实现效果较好。</w:t>
      </w:r>
    </w:p>
    <w:p w14:paraId="77F6F38B">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6E190D5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B8FE686">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en-US" w:eastAsia="zh-CN"/>
        </w:rPr>
        <w:t>截至目前，共完成兑现面积34.44万亩，兑现金额343.84万元，兑现率99.97%，当期任务完成率99.97%</w:t>
      </w:r>
      <w:r>
        <w:rPr>
          <w:rFonts w:hint="eastAsia" w:ascii="仿宋_GB2312" w:hAnsi="宋体" w:eastAsia="仿宋_GB2312"/>
          <w:sz w:val="32"/>
          <w:szCs w:val="32"/>
          <w:lang w:val="zh-CN"/>
        </w:rPr>
        <w:t>。</w:t>
      </w:r>
    </w:p>
    <w:p w14:paraId="68F041F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C3E49C7">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天然商品林停伐对生态环境改善情况明显，</w:t>
      </w:r>
      <w:r>
        <w:rPr>
          <w:rFonts w:hint="default" w:ascii="仿宋_GB2312" w:hAnsi="宋体" w:eastAsia="仿宋_GB2312"/>
          <w:sz w:val="32"/>
          <w:szCs w:val="32"/>
          <w:lang w:val="zh-CN"/>
        </w:rPr>
        <w:t>保障</w:t>
      </w:r>
      <w:r>
        <w:rPr>
          <w:rFonts w:hint="eastAsia" w:ascii="仿宋_GB2312" w:hAnsi="宋体" w:eastAsia="仿宋_GB2312"/>
          <w:sz w:val="32"/>
          <w:szCs w:val="32"/>
          <w:lang w:val="en-US" w:eastAsia="zh-CN"/>
        </w:rPr>
        <w:t>了</w:t>
      </w:r>
      <w:r>
        <w:rPr>
          <w:rFonts w:hint="default" w:ascii="仿宋_GB2312" w:hAnsi="宋体" w:eastAsia="仿宋_GB2312"/>
          <w:sz w:val="32"/>
          <w:szCs w:val="32"/>
          <w:lang w:val="zh-CN"/>
        </w:rPr>
        <w:t>经济可持续发展</w:t>
      </w:r>
      <w:r>
        <w:rPr>
          <w:rFonts w:hint="eastAsia" w:ascii="仿宋_GB2312" w:hAnsi="宋体" w:eastAsia="仿宋_GB2312"/>
          <w:sz w:val="32"/>
          <w:szCs w:val="32"/>
          <w:lang w:val="zh-CN" w:eastAsia="zh-CN"/>
        </w:rPr>
        <w:t>。</w:t>
      </w:r>
    </w:p>
    <w:p w14:paraId="6A5EE6ED">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5D62663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12020C93">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eastAsia="仿宋_GB2312"/>
          <w:sz w:val="32"/>
          <w:szCs w:val="32"/>
          <w:lang w:val="en-US" w:eastAsia="zh-CN"/>
        </w:rPr>
        <w:t>对照年初绩效目标，我局认真自查分析，项目实施</w:t>
      </w:r>
      <w:r>
        <w:rPr>
          <w:rFonts w:hint="eastAsia" w:ascii="仿宋" w:hAnsi="仿宋" w:eastAsia="仿宋" w:cs="仿宋"/>
          <w:sz w:val="32"/>
          <w:szCs w:val="32"/>
        </w:rPr>
        <w:t>促进了生态环境改善，确保</w:t>
      </w:r>
      <w:r>
        <w:rPr>
          <w:rFonts w:hint="eastAsia" w:ascii="仿宋" w:hAnsi="仿宋" w:eastAsia="仿宋" w:cs="仿宋"/>
          <w:sz w:val="32"/>
          <w:szCs w:val="32"/>
          <w:lang w:val="en-US" w:eastAsia="zh-CN"/>
        </w:rPr>
        <w:t>天然商品林</w:t>
      </w:r>
      <w:r>
        <w:rPr>
          <w:rFonts w:hint="eastAsia" w:ascii="仿宋" w:hAnsi="仿宋" w:eastAsia="仿宋" w:cs="仿宋"/>
          <w:sz w:val="32"/>
          <w:szCs w:val="32"/>
        </w:rPr>
        <w:t>资源得到有效保护保障，提高林区老百姓收益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综上，年初绩效目标已完成，完成情况好</w:t>
      </w:r>
      <w:r>
        <w:rPr>
          <w:rFonts w:hint="eastAsia" w:ascii="仿宋_GB2312" w:hAnsi="宋体" w:eastAsia="仿宋_GB2312"/>
          <w:sz w:val="32"/>
          <w:szCs w:val="32"/>
          <w:lang w:val="zh-CN"/>
        </w:rPr>
        <w:t>。</w:t>
      </w:r>
    </w:p>
    <w:p w14:paraId="4A6CD8D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6B1601B6">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en-US" w:eastAsia="zh-CN"/>
        </w:rPr>
        <w:t>因个别林地涉及征占用和林地用途变更，未及时调整方案，导致部分资金不能发放</w:t>
      </w:r>
      <w:r>
        <w:rPr>
          <w:rFonts w:hint="eastAsia" w:ascii="仿宋_GB2312" w:hAnsi="宋体" w:eastAsia="仿宋_GB2312"/>
          <w:sz w:val="32"/>
          <w:szCs w:val="32"/>
          <w:lang w:val="zh-CN"/>
        </w:rPr>
        <w:t>。下一步我局将加强信息</w:t>
      </w:r>
      <w:r>
        <w:rPr>
          <w:rFonts w:hint="eastAsia" w:ascii="仿宋_GB2312" w:hAnsi="宋体" w:eastAsia="仿宋_GB2312"/>
          <w:sz w:val="32"/>
          <w:szCs w:val="32"/>
          <w:lang w:val="en-US" w:eastAsia="zh-CN"/>
        </w:rPr>
        <w:t>收集、</w:t>
      </w:r>
      <w:r>
        <w:rPr>
          <w:rFonts w:hint="eastAsia" w:ascii="仿宋_GB2312" w:hAnsi="宋体" w:eastAsia="仿宋_GB2312"/>
          <w:sz w:val="32"/>
          <w:szCs w:val="32"/>
          <w:lang w:val="zh-CN"/>
        </w:rPr>
        <w:t>核实工作，</w:t>
      </w:r>
      <w:r>
        <w:rPr>
          <w:rFonts w:hint="eastAsia" w:ascii="仿宋_GB2312" w:hAnsi="宋体" w:eastAsia="仿宋_GB2312"/>
          <w:sz w:val="32"/>
          <w:szCs w:val="32"/>
          <w:lang w:val="en-US" w:eastAsia="zh-CN"/>
        </w:rPr>
        <w:t>尽快变更方案，确保</w:t>
      </w:r>
      <w:r>
        <w:rPr>
          <w:rFonts w:hint="eastAsia" w:ascii="仿宋_GB2312" w:hAnsi="宋体" w:eastAsia="仿宋_GB2312"/>
          <w:sz w:val="32"/>
          <w:szCs w:val="32"/>
          <w:lang w:val="zh-CN"/>
        </w:rPr>
        <w:t>及时支付相关资金。</w:t>
      </w:r>
    </w:p>
    <w:p w14:paraId="79D63C16">
      <w:pPr>
        <w:pStyle w:val="5"/>
        <w:rPr>
          <w:rFonts w:hint="eastAsia" w:ascii="仿宋_GB2312" w:hAnsi="宋体" w:eastAsia="仿宋_GB2312"/>
          <w:sz w:val="32"/>
          <w:szCs w:val="32"/>
          <w:lang w:val="zh-CN"/>
        </w:rPr>
      </w:pPr>
    </w:p>
    <w:p w14:paraId="16CF6325">
      <w:pPr>
        <w:pStyle w:val="5"/>
        <w:rPr>
          <w:rFonts w:hint="eastAsia" w:ascii="仿宋_GB2312" w:hAnsi="宋体" w:eastAsia="仿宋_GB2312"/>
          <w:sz w:val="32"/>
          <w:szCs w:val="32"/>
          <w:lang w:val="zh-CN"/>
        </w:rPr>
      </w:pPr>
    </w:p>
    <w:p w14:paraId="631C2997">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森林防火</w:t>
      </w:r>
      <w:r>
        <w:rPr>
          <w:rFonts w:hint="eastAsia" w:ascii="方正小标宋简体" w:hAnsi="宋体" w:eastAsia="方正小标宋简体"/>
          <w:color w:val="000000"/>
          <w:kern w:val="0"/>
          <w:sz w:val="44"/>
          <w:szCs w:val="44"/>
          <w:lang w:val="zh-CN"/>
        </w:rPr>
        <w:t>项目</w:t>
      </w:r>
    </w:p>
    <w:p w14:paraId="7CF69AD8">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5AA2A85A">
      <w:pPr>
        <w:spacing w:line="600" w:lineRule="exact"/>
        <w:rPr>
          <w:rFonts w:ascii="宋体" w:hAnsi="宋体"/>
          <w:sz w:val="32"/>
          <w:szCs w:val="32"/>
          <w:lang w:val="zh-CN"/>
        </w:rPr>
      </w:pPr>
    </w:p>
    <w:p w14:paraId="23D95FC7">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002E680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C4116E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我局根据“三重一大”集体事项决策制度、林业局财务管理制度等制度对森林防火资金进行管理。</w:t>
      </w:r>
    </w:p>
    <w:p w14:paraId="1080404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我局森林防火资金是根据2019年森林防火工作重点以及我局实际运行需求进行分配，以确保能满足我局森林防火工作需求</w:t>
      </w:r>
      <w:r>
        <w:rPr>
          <w:rFonts w:hint="eastAsia" w:ascii="仿宋_GB2312" w:hAnsi="宋体" w:eastAsia="仿宋_GB2312"/>
          <w:sz w:val="32"/>
          <w:szCs w:val="32"/>
          <w:lang w:val="zh-CN"/>
        </w:rPr>
        <w:t>。</w:t>
      </w:r>
    </w:p>
    <w:p w14:paraId="4FB1983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w:t>
      </w:r>
      <w:r>
        <w:rPr>
          <w:rFonts w:hint="default" w:ascii="Times New Roman" w:hAnsi="Times New Roman" w:eastAsia="仿宋_GB2312" w:cs="Times New Roman"/>
          <w:sz w:val="32"/>
          <w:szCs w:val="32"/>
          <w:lang w:eastAsia="zh-CN"/>
        </w:rPr>
        <w:t>因森林防火资金属于基本支出，我局未单独设置项目核算。但我局在使用资金的过程中，严格遵守</w:t>
      </w:r>
      <w:r>
        <w:rPr>
          <w:rFonts w:hint="default" w:ascii="Times New Roman" w:hAnsi="Times New Roman" w:eastAsia="仿宋_GB2312" w:cs="Times New Roman"/>
          <w:sz w:val="32"/>
          <w:szCs w:val="32"/>
          <w:lang w:val="en-US" w:eastAsia="zh-CN"/>
        </w:rPr>
        <w:t>“三重一大”集体事项决策制度、林业局财务管理制度等财务管理制度，规范、及时的对相关支出进行了财务处理。</w:t>
      </w:r>
    </w:p>
    <w:p w14:paraId="2D82685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w:t>
      </w:r>
      <w:r>
        <w:rPr>
          <w:rFonts w:hint="eastAsia" w:ascii="仿宋_GB2312" w:hAnsi="宋体" w:eastAsia="仿宋_GB2312"/>
          <w:sz w:val="32"/>
          <w:szCs w:val="32"/>
          <w:lang w:val="en-US" w:eastAsia="zh-CN"/>
        </w:rPr>
        <w:t>项目资金主要用于开展森林防火演练、森林防火宣传、保障森林防火用车、日常防火检查、巡护支出等</w:t>
      </w:r>
      <w:r>
        <w:rPr>
          <w:rFonts w:hint="eastAsia" w:ascii="仿宋_GB2312" w:hAnsi="宋体" w:eastAsia="仿宋_GB2312"/>
          <w:sz w:val="32"/>
          <w:szCs w:val="32"/>
          <w:lang w:val="zh-CN"/>
        </w:rPr>
        <w:t>。</w:t>
      </w:r>
    </w:p>
    <w:p w14:paraId="07931A9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344DCC5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开展2019年度森林防火工作</w:t>
      </w:r>
      <w:r>
        <w:rPr>
          <w:rFonts w:hint="eastAsia" w:ascii="仿宋_GB2312" w:hAnsi="宋体" w:eastAsia="仿宋_GB2312"/>
          <w:sz w:val="32"/>
          <w:szCs w:val="32"/>
          <w:lang w:val="zh-CN"/>
        </w:rPr>
        <w:t>。</w:t>
      </w:r>
    </w:p>
    <w:p w14:paraId="092C1E4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仿宋_GB2312" w:hAnsi="宋体" w:eastAsia="仿宋_GB2312"/>
          <w:sz w:val="32"/>
          <w:szCs w:val="32"/>
          <w:lang w:val="zh-CN"/>
        </w:rPr>
        <w:t>2．</w:t>
      </w:r>
      <w:r>
        <w:rPr>
          <w:rFonts w:hint="default" w:ascii="Times New Roman" w:hAnsi="Times New Roman" w:eastAsia="仿宋_GB2312" w:cs="Times New Roman"/>
          <w:sz w:val="32"/>
          <w:szCs w:val="32"/>
          <w:lang w:val="en-US" w:eastAsia="zh-CN"/>
        </w:rPr>
        <w:t>2019年森林防火项目总体绩效目标为使用3.5万元制作中型防火宣传碑牌2个、大型防火宣传碑牌1个；使用3万元开展全区森林防火应急演练1次；使用5.5万元印制宣传图片30000张、宣传小物件20000个、宣传资料50000份；使用3万元进行器材维护、开展宣传等；项目在2019年12月31日前完成；森林火灾损失率控制在≦0.1‰以内；</w:t>
      </w:r>
      <w:r>
        <w:rPr>
          <w:rFonts w:hint="default" w:ascii="Times New Roman" w:hAnsi="Times New Roman" w:eastAsia="仿宋_GB2312" w:cs="Times New Roman"/>
          <w:sz w:val="32"/>
          <w:szCs w:val="32"/>
          <w:lang w:eastAsia="zh-CN"/>
        </w:rPr>
        <w:t>森林资源损失减小3000万元；全社会参与森林防火意识提升；森林覆盖率保持提高；森林防火基层基础能力建设逐步加强；群众满意度≧94%。</w:t>
      </w:r>
    </w:p>
    <w:p w14:paraId="4CB0DA6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仿宋_GB2312" w:hAnsi="宋体" w:eastAsia="仿宋_GB2312"/>
          <w:sz w:val="32"/>
          <w:szCs w:val="32"/>
          <w:lang w:val="zh-CN"/>
        </w:rPr>
        <w:t>3．</w:t>
      </w:r>
      <w:r>
        <w:rPr>
          <w:rFonts w:hint="default" w:ascii="Times New Roman" w:hAnsi="Times New Roman" w:eastAsia="仿宋_GB2312" w:cs="Times New Roman"/>
          <w:sz w:val="32"/>
          <w:szCs w:val="32"/>
          <w:lang w:eastAsia="zh-CN"/>
        </w:rPr>
        <w:t>森林防火绩效目标申报内容均是开展森林防火宣传、提升森林防火意识、提高森林防火能力，与具体实施内容相符，申报目标合理可行。</w:t>
      </w:r>
    </w:p>
    <w:p w14:paraId="5C0E7AA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0E8EEC15">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我局成立了绩效自评小组，通过翻阅档案资料、实施查看项目实施成果、走访收益农户等相结合的方式，对项目开展绩效自评工作</w:t>
      </w:r>
      <w:r>
        <w:rPr>
          <w:rFonts w:hint="eastAsia" w:ascii="仿宋_GB2312" w:hAnsi="宋体" w:eastAsia="仿宋_GB2312"/>
          <w:sz w:val="32"/>
          <w:szCs w:val="32"/>
          <w:lang w:val="zh-CN"/>
        </w:rPr>
        <w:t>。</w:t>
      </w:r>
    </w:p>
    <w:p w14:paraId="7E16E284">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5E4FA87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541E960E">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根据年初预算下达给我局，无预算变更情况</w:t>
      </w:r>
      <w:r>
        <w:rPr>
          <w:rFonts w:hint="eastAsia" w:ascii="仿宋_GB2312" w:hAnsi="宋体" w:eastAsia="仿宋_GB2312"/>
          <w:sz w:val="32"/>
          <w:szCs w:val="32"/>
          <w:lang w:val="zh-CN"/>
        </w:rPr>
        <w:t>。</w:t>
      </w:r>
    </w:p>
    <w:p w14:paraId="5DF9B372">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0A0032D8">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default" w:ascii="Times New Roman" w:hAnsi="Times New Roman" w:eastAsia="仿宋_GB2312" w:cs="Times New Roman"/>
          <w:sz w:val="32"/>
          <w:szCs w:val="32"/>
          <w:lang w:val="en-US" w:eastAsia="zh-CN"/>
        </w:rPr>
        <w:t>2019年计划区级配套森林防火资金15万元</w:t>
      </w:r>
      <w:r>
        <w:rPr>
          <w:rFonts w:hint="eastAsia" w:ascii="仿宋_GB2312" w:hAnsi="宋体" w:eastAsia="仿宋_GB2312"/>
          <w:sz w:val="32"/>
          <w:szCs w:val="32"/>
          <w:lang w:val="zh-CN"/>
        </w:rPr>
        <w:t>。</w:t>
      </w:r>
    </w:p>
    <w:p w14:paraId="53F98DAD">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default" w:ascii="Times New Roman" w:hAnsi="Times New Roman" w:eastAsia="仿宋_GB2312" w:cs="Times New Roman"/>
          <w:sz w:val="32"/>
          <w:szCs w:val="32"/>
          <w:lang w:val="en-US" w:eastAsia="zh-CN"/>
        </w:rPr>
        <w:t>2019年实际到位15万元，到位率100%</w:t>
      </w:r>
      <w:r>
        <w:rPr>
          <w:rFonts w:hint="eastAsia" w:ascii="仿宋_GB2312" w:hAnsi="宋体" w:eastAsia="仿宋_GB2312"/>
          <w:sz w:val="32"/>
          <w:szCs w:val="32"/>
          <w:lang w:val="zh-CN"/>
        </w:rPr>
        <w:t>。</w:t>
      </w:r>
    </w:p>
    <w:p w14:paraId="0FEA1545">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_GB2312" w:hAnsi="宋体" w:eastAsia="楷体_GB2312"/>
          <w:sz w:val="32"/>
          <w:szCs w:val="32"/>
          <w:lang w:val="zh-CN"/>
        </w:rPr>
        <w:t>3．资金使用。</w:t>
      </w:r>
      <w:r>
        <w:rPr>
          <w:rFonts w:hint="default" w:ascii="Times New Roman" w:hAnsi="Times New Roman" w:eastAsia="仿宋_GB2312" w:cs="Times New Roman"/>
          <w:sz w:val="32"/>
          <w:szCs w:val="32"/>
          <w:lang w:val="en-US" w:eastAsia="zh-CN"/>
        </w:rPr>
        <w:t>，共使用森林防火资金15万元，支付率100%。主要用于保障森林防火用车支出、防火巡查、检查人员支出、宣传资料打印等。依据各项资金管理制度，我局对支付依据进行了严格审核，确保支付依据合法合规，与预算相符。</w:t>
      </w:r>
      <w:bookmarkStart w:id="70" w:name="_GoBack"/>
      <w:bookmarkEnd w:id="70"/>
    </w:p>
    <w:p w14:paraId="2C2FD665">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1B89A3F6">
      <w:pPr>
        <w:adjustRightInd w:val="0"/>
        <w:snapToGrid w:val="0"/>
        <w:spacing w:line="600" w:lineRule="exact"/>
        <w:ind w:firstLine="720"/>
        <w:rPr>
          <w:rFonts w:ascii="仿宋_GB2312" w:hAnsi="宋体" w:eastAsia="仿宋_GB2312"/>
          <w:sz w:val="32"/>
          <w:szCs w:val="32"/>
          <w:lang w:val="zh-CN"/>
        </w:rPr>
      </w:pPr>
      <w:r>
        <w:rPr>
          <w:rFonts w:hint="default" w:ascii="Times New Roman" w:hAnsi="Times New Roman" w:eastAsia="仿宋_GB2312" w:cs="Times New Roman"/>
          <w:sz w:val="32"/>
          <w:szCs w:val="32"/>
          <w:lang w:eastAsia="zh-CN"/>
        </w:rPr>
        <w:t>因森林防火资金属于基本支出，我局未单独设置项目核算。但我局在使用资金的过程中，严格遵守</w:t>
      </w:r>
      <w:r>
        <w:rPr>
          <w:rFonts w:hint="default" w:ascii="Times New Roman" w:hAnsi="Times New Roman" w:eastAsia="仿宋_GB2312" w:cs="Times New Roman"/>
          <w:sz w:val="32"/>
          <w:szCs w:val="32"/>
          <w:lang w:val="en-US" w:eastAsia="zh-CN"/>
        </w:rPr>
        <w:t>“三重一大”集体事项决策制度、林业局财务管理制度等财务管理制度，规范、及时的对相关支出进行了财务处理</w:t>
      </w:r>
      <w:r>
        <w:rPr>
          <w:rFonts w:hint="eastAsia" w:ascii="仿宋_GB2312" w:hAnsi="宋体" w:eastAsia="仿宋_GB2312"/>
          <w:sz w:val="32"/>
          <w:szCs w:val="32"/>
          <w:lang w:val="zh-CN"/>
        </w:rPr>
        <w:t>。</w:t>
      </w:r>
    </w:p>
    <w:p w14:paraId="5AB801CE">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75B807E3">
      <w:pPr>
        <w:adjustRightInd w:val="0"/>
        <w:snapToGrid w:val="0"/>
        <w:spacing w:line="600" w:lineRule="exact"/>
        <w:ind w:firstLine="720"/>
        <w:rPr>
          <w:rFonts w:ascii="仿宋_GB2312" w:hAnsi="宋体" w:eastAsia="仿宋_GB2312"/>
          <w:sz w:val="32"/>
          <w:szCs w:val="32"/>
          <w:lang w:val="zh-CN"/>
        </w:rPr>
      </w:pPr>
      <w:r>
        <w:rPr>
          <w:rFonts w:hint="default" w:ascii="Times New Roman" w:hAnsi="Times New Roman" w:eastAsia="仿宋_GB2312" w:cs="Times New Roman"/>
          <w:sz w:val="32"/>
          <w:szCs w:val="32"/>
          <w:lang w:eastAsia="zh-CN"/>
        </w:rPr>
        <w:t>因森林防火资金属于基本支出，我局未单独设置项目核算。但我局在使用资金的过程中，严格遵守</w:t>
      </w:r>
      <w:r>
        <w:rPr>
          <w:rFonts w:hint="default" w:ascii="Times New Roman" w:hAnsi="Times New Roman" w:eastAsia="仿宋_GB2312" w:cs="Times New Roman"/>
          <w:sz w:val="32"/>
          <w:szCs w:val="32"/>
          <w:lang w:val="en-US" w:eastAsia="zh-CN"/>
        </w:rPr>
        <w:t>“三重一大”集体事项决策制度、林业局财务管理制度等财务管理制度，规范、及时的对相关支出进行了财务处理</w:t>
      </w:r>
      <w:r>
        <w:rPr>
          <w:rFonts w:hint="eastAsia" w:ascii="仿宋_GB2312" w:hAnsi="宋体" w:eastAsia="仿宋_GB2312"/>
          <w:sz w:val="32"/>
          <w:szCs w:val="32"/>
          <w:lang w:val="zh-CN"/>
        </w:rPr>
        <w:t>。</w:t>
      </w:r>
    </w:p>
    <w:p w14:paraId="4F83849B">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1E8D6BE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65A809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2019年，我局组织开展全区森林防火应急演练1次，印制大型防火宣传标语4幅、宣传图片3万余张，宣传资料5万余份，全区未发生重特大森林火灾事故，森林火灾损失率≦0.1‰，森林火灾损失小于3000万元，全面保障森林防火巡回宣传、防火检查、防火用车等所需经费。</w:t>
      </w:r>
    </w:p>
    <w:p w14:paraId="4E901211">
      <w:pPr>
        <w:adjustRightInd w:val="0"/>
        <w:snapToGrid w:val="0"/>
        <w:spacing w:line="600" w:lineRule="exact"/>
        <w:ind w:firstLine="72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照年初目标，我局完成了森林防火任务。但也存在部分绩效目标未完成的情况，如未制作防火碑牌、宣传小物件、森林防火演练仅使用0.1万元、器材维护金额超标等。未按年初绩效目标实施项目的原因一是防火碑牌的造价较高，宣传效果也比不上横幅，为提升资金使用效益，我局制作了横幅宣传森林防火知识；二是制作宣传小物件的造价较高，宣传效果和传单差不多，为提升资金使用效益，我局未制作宣传小物件；三是森林防火演练使用的设备均为以前年度采购，仅支出了防火演练人员的餐费和汽油费；四是我局2019年新增了3辆防火车，防火用车共计花费8.6万元。</w:t>
      </w:r>
    </w:p>
    <w:p w14:paraId="67B4B146">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7D67854C">
      <w:pPr>
        <w:adjustRightInd w:val="0"/>
        <w:snapToGrid w:val="0"/>
        <w:spacing w:line="600" w:lineRule="exact"/>
        <w:ind w:firstLine="72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2019年我区</w:t>
      </w:r>
      <w:r>
        <w:rPr>
          <w:rFonts w:hint="default" w:ascii="Times New Roman" w:hAnsi="Times New Roman" w:eastAsia="仿宋_GB2312" w:cs="Times New Roman"/>
          <w:sz w:val="32"/>
          <w:szCs w:val="32"/>
          <w:lang w:eastAsia="zh-CN"/>
        </w:rPr>
        <w:t>森林资源损失小于</w:t>
      </w:r>
      <w:r>
        <w:rPr>
          <w:rFonts w:hint="default" w:ascii="Times New Roman" w:hAnsi="Times New Roman" w:eastAsia="仿宋_GB2312" w:cs="Times New Roman"/>
          <w:sz w:val="32"/>
          <w:szCs w:val="32"/>
          <w:lang w:val="en-US" w:eastAsia="zh-CN"/>
        </w:rPr>
        <w:t>3000万元</w:t>
      </w:r>
      <w:r>
        <w:rPr>
          <w:rFonts w:hint="default" w:ascii="Times New Roman" w:hAnsi="Times New Roman" w:eastAsia="仿宋_GB2312" w:cs="Times New Roman"/>
          <w:sz w:val="32"/>
          <w:szCs w:val="32"/>
          <w:lang w:eastAsia="zh-CN"/>
        </w:rPr>
        <w:t>，全社会参与森林防火意识较</w:t>
      </w:r>
      <w:r>
        <w:rPr>
          <w:rFonts w:hint="default" w:ascii="Times New Roman" w:hAnsi="Times New Roman" w:eastAsia="仿宋_GB2312" w:cs="Times New Roman"/>
          <w:sz w:val="32"/>
          <w:szCs w:val="32"/>
          <w:lang w:val="en-US" w:eastAsia="zh-CN"/>
        </w:rPr>
        <w:t>2018年有所</w:t>
      </w:r>
      <w:r>
        <w:rPr>
          <w:rFonts w:hint="default" w:ascii="Times New Roman" w:hAnsi="Times New Roman" w:eastAsia="仿宋_GB2312" w:cs="Times New Roman"/>
          <w:sz w:val="32"/>
          <w:szCs w:val="32"/>
          <w:lang w:eastAsia="zh-CN"/>
        </w:rPr>
        <w:t>提升，2018年森林覆盖率56.27%，2019年56.65%，森林覆盖率</w:t>
      </w:r>
      <w:r>
        <w:rPr>
          <w:rFonts w:hint="default" w:ascii="Times New Roman" w:hAnsi="Times New Roman" w:eastAsia="仿宋_GB2312" w:cs="Times New Roman"/>
          <w:sz w:val="32"/>
          <w:szCs w:val="32"/>
          <w:lang w:val="en-US" w:eastAsia="zh-CN"/>
        </w:rPr>
        <w:t>保持提高</w:t>
      </w:r>
      <w:r>
        <w:rPr>
          <w:rFonts w:hint="default" w:ascii="Times New Roman" w:hAnsi="Times New Roman" w:eastAsia="仿宋_GB2312" w:cs="Times New Roman"/>
          <w:sz w:val="32"/>
          <w:szCs w:val="32"/>
          <w:lang w:eastAsia="zh-CN"/>
        </w:rPr>
        <w:t>，森林防火基层基础能力建设逐步加强，群众满意度≧9</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%，均达到了年初绩效目标。</w:t>
      </w:r>
    </w:p>
    <w:p w14:paraId="65C6D70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1C95027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62D96B26">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default" w:ascii="Times New Roman" w:hAnsi="Times New Roman" w:eastAsia="仿宋_GB2312" w:cs="Times New Roman"/>
          <w:sz w:val="32"/>
          <w:szCs w:val="32"/>
          <w:lang w:eastAsia="zh-CN"/>
        </w:rPr>
        <w:t>森林防火工作最核心的要求就是</w:t>
      </w:r>
      <w:r>
        <w:rPr>
          <w:rFonts w:hint="default" w:ascii="Times New Roman" w:hAnsi="Times New Roman" w:eastAsia="仿宋_GB2312" w:cs="Times New Roman"/>
          <w:sz w:val="32"/>
          <w:szCs w:val="32"/>
          <w:lang w:val="en-US" w:eastAsia="zh-CN"/>
        </w:rPr>
        <w:t>森林火灾损失率要≦0.1‰，同时要保证</w:t>
      </w:r>
      <w:r>
        <w:rPr>
          <w:rFonts w:hint="default" w:ascii="Times New Roman" w:hAnsi="Times New Roman" w:eastAsia="仿宋_GB2312" w:cs="Times New Roman"/>
          <w:sz w:val="32"/>
          <w:szCs w:val="32"/>
          <w:lang w:eastAsia="zh-CN"/>
        </w:rPr>
        <w:t>群众满意度≧94%，围绕这一核心要求我局开展了防火演练、防火宣传等一系列工作。</w:t>
      </w:r>
      <w:r>
        <w:rPr>
          <w:rFonts w:hint="default" w:ascii="Times New Roman" w:hAnsi="Times New Roman" w:eastAsia="仿宋_GB2312" w:cs="Times New Roman"/>
          <w:sz w:val="32"/>
          <w:szCs w:val="32"/>
          <w:lang w:val="en-US" w:eastAsia="zh-CN"/>
        </w:rPr>
        <w:t>2019年我区的森林火灾损失小于3000万元，</w:t>
      </w:r>
      <w:r>
        <w:rPr>
          <w:rFonts w:hint="default" w:ascii="Times New Roman" w:hAnsi="Times New Roman" w:eastAsia="仿宋_GB2312" w:cs="Times New Roman"/>
          <w:sz w:val="32"/>
          <w:szCs w:val="32"/>
          <w:lang w:eastAsia="zh-CN"/>
        </w:rPr>
        <w:t>群众满意度≧9</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%，圆满完成了工作任务，达到了年初绩效目标</w:t>
      </w:r>
      <w:r>
        <w:rPr>
          <w:rFonts w:hint="eastAsia" w:ascii="仿宋_GB2312" w:hAnsi="宋体" w:eastAsia="仿宋_GB2312"/>
          <w:sz w:val="32"/>
          <w:szCs w:val="32"/>
          <w:lang w:val="zh-CN"/>
        </w:rPr>
        <w:t>。</w:t>
      </w:r>
    </w:p>
    <w:p w14:paraId="6F4E3F8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1DC23AC4">
      <w:pPr>
        <w:pStyle w:val="5"/>
        <w:ind w:firstLine="640" w:firstLineChars="200"/>
        <w:rPr>
          <w:rFonts w:hint="eastAsia" w:ascii="仿宋_GB2312" w:hAnsi="宋体" w:eastAsia="仿宋_GB2312"/>
          <w:sz w:val="32"/>
          <w:szCs w:val="32"/>
          <w:lang w:val="zh-CN"/>
        </w:rPr>
      </w:pPr>
      <w:r>
        <w:rPr>
          <w:rFonts w:hint="default" w:ascii="Times New Roman" w:hAnsi="Times New Roman" w:eastAsia="仿宋_GB2312" w:cs="Times New Roman"/>
          <w:sz w:val="32"/>
          <w:szCs w:val="32"/>
          <w:lang w:eastAsia="zh-CN"/>
        </w:rPr>
        <w:t>通过对比森林防火年初目标及完成情况，我局也存在一定的问题，主要是年初绩效目标设置不够精准，在设置年初目标时仅考虑了当年的工作任务，未思考怎样在保证完成工作任务的前提下将资金效益最大化</w:t>
      </w:r>
      <w:r>
        <w:rPr>
          <w:rFonts w:hint="eastAsia" w:ascii="仿宋_GB2312" w:hAnsi="宋体" w:eastAsia="仿宋_GB2312"/>
          <w:sz w:val="32"/>
          <w:szCs w:val="32"/>
          <w:lang w:val="zh-CN"/>
        </w:rPr>
        <w:t>。</w:t>
      </w:r>
    </w:p>
    <w:p w14:paraId="6F844F7A">
      <w:pPr>
        <w:pStyle w:val="5"/>
        <w:rPr>
          <w:rFonts w:hint="eastAsia" w:ascii="仿宋_GB2312" w:hAnsi="宋体" w:eastAsia="仿宋_GB2312"/>
          <w:sz w:val="32"/>
          <w:szCs w:val="32"/>
          <w:lang w:val="zh-CN"/>
        </w:rPr>
      </w:pPr>
    </w:p>
    <w:p w14:paraId="60AD62B1">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中药材茯苓种植</w:t>
      </w:r>
      <w:r>
        <w:rPr>
          <w:rFonts w:hint="eastAsia" w:ascii="方正小标宋简体" w:hAnsi="宋体" w:eastAsia="方正小标宋简体"/>
          <w:color w:val="000000"/>
          <w:kern w:val="0"/>
          <w:sz w:val="44"/>
          <w:szCs w:val="44"/>
          <w:lang w:val="zh-CN"/>
        </w:rPr>
        <w:t>项目</w:t>
      </w:r>
    </w:p>
    <w:p w14:paraId="31E5BA46">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2E708813">
      <w:pPr>
        <w:spacing w:line="600" w:lineRule="exact"/>
        <w:rPr>
          <w:rFonts w:ascii="宋体" w:hAnsi="宋体"/>
          <w:sz w:val="32"/>
          <w:szCs w:val="32"/>
          <w:lang w:val="zh-CN"/>
        </w:rPr>
      </w:pPr>
    </w:p>
    <w:p w14:paraId="470FDAD6">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5C303FD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7E04ECD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区林业局负责管理、使用该项目资金，并对项目资金的使用过程和使用结果进行监督</w:t>
      </w:r>
      <w:r>
        <w:rPr>
          <w:rFonts w:hint="eastAsia" w:ascii="仿宋_GB2312" w:hAnsi="宋体" w:eastAsia="仿宋_GB2312"/>
          <w:sz w:val="32"/>
          <w:szCs w:val="32"/>
          <w:lang w:val="zh-CN"/>
        </w:rPr>
        <w:t>。</w:t>
      </w:r>
    </w:p>
    <w:p w14:paraId="22003BF2">
      <w:pPr>
        <w:adjustRightInd w:val="0"/>
        <w:snapToGrid w:val="0"/>
        <w:spacing w:line="600" w:lineRule="exact"/>
        <w:ind w:firstLine="720"/>
        <w:rPr>
          <w:rFonts w:hint="eastAsia" w:ascii="仿宋_GB2312" w:hAnsi="宋体" w:eastAsia="仿宋_GB2312"/>
          <w:sz w:val="32"/>
          <w:szCs w:val="32"/>
          <w:lang w:val="zh-CN" w:eastAsia="zh-CN"/>
        </w:rPr>
      </w:pPr>
      <w:r>
        <w:rPr>
          <w:rFonts w:hint="eastAsia" w:ascii="仿宋_GB2312" w:hAnsi="宋体" w:eastAsia="仿宋_GB2312"/>
          <w:sz w:val="32"/>
          <w:szCs w:val="32"/>
          <w:lang w:val="zh-CN"/>
        </w:rPr>
        <w:t>2．</w:t>
      </w:r>
      <w:r>
        <w:rPr>
          <w:rFonts w:hint="eastAsia" w:ascii="仿宋_GB2312" w:hAnsi="宋体" w:eastAsia="仿宋_GB2312"/>
          <w:sz w:val="32"/>
          <w:szCs w:val="32"/>
          <w:lang w:val="en-US" w:eastAsia="zh-CN"/>
        </w:rPr>
        <w:t>2019年中药材中药材茯苓种植建设项目计划总投资25.52万元，其中整合涉农资金23.2万元</w:t>
      </w:r>
      <w:r>
        <w:rPr>
          <w:rFonts w:hint="eastAsia" w:ascii="仿宋_GB2312" w:hAnsi="宋体" w:eastAsia="仿宋_GB2312"/>
          <w:sz w:val="32"/>
          <w:szCs w:val="32"/>
          <w:lang w:val="zh-CN" w:eastAsia="zh-CN"/>
        </w:rPr>
        <w:t>。</w:t>
      </w:r>
    </w:p>
    <w:p w14:paraId="17B0227D">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3．项目资金严格实行专帐管理、专款专用，并制定出台了《广元市昭化区林业产业项目资金绩效考评细则》、《广元市昭化区林业产业项目资金使用管理办法（试行）》</w:t>
      </w:r>
      <w:r>
        <w:rPr>
          <w:rFonts w:hint="eastAsia" w:ascii="仿宋_GB2312" w:hAnsi="宋体" w:eastAsia="仿宋_GB2312"/>
          <w:sz w:val="32"/>
          <w:szCs w:val="32"/>
          <w:lang w:val="en-US" w:eastAsia="zh-CN"/>
        </w:rPr>
        <w:t>等项目管理办法</w:t>
      </w:r>
      <w:r>
        <w:rPr>
          <w:rFonts w:hint="eastAsia" w:ascii="仿宋_GB2312" w:hAnsi="宋体" w:eastAsia="仿宋_GB2312"/>
          <w:sz w:val="32"/>
          <w:szCs w:val="32"/>
          <w:lang w:val="zh-CN"/>
        </w:rPr>
        <w:t>。新建以茯苓为主的中药材种植示范基地580亩，涉及元坝镇光华村1个村，1个社。</w:t>
      </w:r>
    </w:p>
    <w:p w14:paraId="7BF680DC">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4．通过建设中药材基地，以帮助农户稳定增收、逐步推进贫困山区农户整体脱贫致富为根本目标，积极打造中药材产业扶贫示范村，巩固脱贫成效，努力实现乡村振兴。</w:t>
      </w:r>
    </w:p>
    <w:p w14:paraId="4F1935FE">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0A65DE2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在</w:t>
      </w:r>
      <w:r>
        <w:rPr>
          <w:rFonts w:hint="eastAsia" w:ascii="仿宋_GB2312" w:hAnsi="宋体" w:eastAsia="仿宋_GB2312"/>
          <w:sz w:val="32"/>
          <w:szCs w:val="32"/>
          <w:lang w:val="zh-CN" w:eastAsia="zh-CN"/>
        </w:rPr>
        <w:t>元坝镇光华村</w:t>
      </w:r>
      <w:r>
        <w:rPr>
          <w:rFonts w:hint="eastAsia" w:ascii="仿宋_GB2312" w:hAnsi="宋体" w:eastAsia="仿宋_GB2312"/>
          <w:sz w:val="32"/>
          <w:szCs w:val="32"/>
          <w:lang w:val="zh-CN"/>
        </w:rPr>
        <w:t>新建以</w:t>
      </w:r>
      <w:r>
        <w:rPr>
          <w:rFonts w:hint="eastAsia" w:ascii="仿宋_GB2312" w:hAnsi="宋体" w:eastAsia="仿宋_GB2312"/>
          <w:sz w:val="32"/>
          <w:szCs w:val="32"/>
          <w:lang w:val="zh-CN" w:eastAsia="zh-CN"/>
        </w:rPr>
        <w:t>茯苓</w:t>
      </w:r>
      <w:r>
        <w:rPr>
          <w:rFonts w:hint="eastAsia" w:ascii="仿宋_GB2312" w:hAnsi="宋体" w:eastAsia="仿宋_GB2312"/>
          <w:sz w:val="32"/>
          <w:szCs w:val="32"/>
          <w:lang w:val="zh-CN"/>
        </w:rPr>
        <w:t>为主的中药材种植示范基地</w:t>
      </w:r>
      <w:r>
        <w:rPr>
          <w:rFonts w:hint="eastAsia" w:ascii="仿宋_GB2312" w:hAnsi="宋体" w:eastAsia="仿宋_GB2312"/>
          <w:sz w:val="32"/>
          <w:szCs w:val="32"/>
          <w:lang w:val="en-US" w:eastAsia="zh-CN"/>
        </w:rPr>
        <w:t>580</w:t>
      </w:r>
      <w:r>
        <w:rPr>
          <w:rFonts w:hint="eastAsia" w:ascii="仿宋_GB2312" w:hAnsi="宋体" w:eastAsia="仿宋_GB2312"/>
          <w:sz w:val="32"/>
          <w:szCs w:val="32"/>
          <w:lang w:val="zh-CN"/>
        </w:rPr>
        <w:t>亩。</w:t>
      </w:r>
    </w:p>
    <w:p w14:paraId="78E61C4A">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2．通过建设中药材基地，以帮助农户稳定增收、逐步推进贫困山区农户整体脱贫致富为根本目标，积极打造中药材产业扶贫示范村，巩固脱贫成效，努力实现乡村振兴。</w:t>
      </w:r>
    </w:p>
    <w:p w14:paraId="703538C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3．项目资金申报内容与施工合同签订内容一致，申报目标符合项目计划目标，切实可行。</w:t>
      </w:r>
    </w:p>
    <w:p w14:paraId="37912A3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6DE1E99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我局成立了绩效自评小组，通过翻阅档案资料、实施查看项目实施成果、走访收益农户等相结合的方式，对项目开展绩效自评工作</w:t>
      </w:r>
      <w:r>
        <w:rPr>
          <w:rFonts w:hint="eastAsia" w:ascii="仿宋_GB2312" w:hAnsi="宋体" w:eastAsia="仿宋_GB2312"/>
          <w:sz w:val="32"/>
          <w:szCs w:val="32"/>
          <w:lang w:val="zh-CN"/>
        </w:rPr>
        <w:t>。</w:t>
      </w:r>
    </w:p>
    <w:p w14:paraId="5AE2D9E8">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155035F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6AAC2CC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说明项目资金申报、批复及预算调整等程序的相关情况。</w:t>
      </w:r>
    </w:p>
    <w:p w14:paraId="7E60D8F7">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7E4E825A">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项目计划总投资</w:t>
      </w:r>
      <w:r>
        <w:rPr>
          <w:rFonts w:hint="eastAsia" w:ascii="仿宋_GB2312" w:hAnsi="宋体" w:eastAsia="仿宋_GB2312"/>
          <w:sz w:val="32"/>
          <w:szCs w:val="32"/>
          <w:lang w:val="en-US" w:eastAsia="zh-CN"/>
        </w:rPr>
        <w:t>25.52</w:t>
      </w:r>
      <w:r>
        <w:rPr>
          <w:rFonts w:hint="eastAsia" w:ascii="仿宋_GB2312" w:hAnsi="宋体" w:eastAsia="仿宋_GB2312"/>
          <w:sz w:val="32"/>
          <w:szCs w:val="32"/>
          <w:lang w:val="zh-CN"/>
        </w:rPr>
        <w:t>万元，</w:t>
      </w:r>
      <w:r>
        <w:rPr>
          <w:rFonts w:hint="eastAsia" w:ascii="仿宋_GB2312" w:hAnsi="宋体" w:eastAsia="仿宋_GB2312"/>
          <w:sz w:val="32"/>
          <w:szCs w:val="32"/>
          <w:lang w:val="en-US" w:eastAsia="zh-CN"/>
        </w:rPr>
        <w:t>其中区级</w:t>
      </w:r>
      <w:r>
        <w:rPr>
          <w:rFonts w:hint="eastAsia" w:ascii="仿宋_GB2312" w:hAnsi="宋体" w:eastAsia="仿宋_GB2312"/>
          <w:sz w:val="32"/>
          <w:szCs w:val="32"/>
          <w:lang w:val="zh-CN"/>
        </w:rPr>
        <w:t>整合涉农资金23.2万元。。</w:t>
      </w:r>
    </w:p>
    <w:p w14:paraId="4531EB1D">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w:t>
      </w:r>
      <w:r>
        <w:rPr>
          <w:rFonts w:hint="eastAsia" w:ascii="仿宋_GB2312" w:hAnsi="宋体" w:eastAsia="仿宋_GB2312"/>
          <w:sz w:val="32"/>
          <w:szCs w:val="32"/>
          <w:lang w:val="en-US" w:eastAsia="zh-CN"/>
        </w:rPr>
        <w:t>区级整合涉农资金</w:t>
      </w:r>
      <w:r>
        <w:rPr>
          <w:rFonts w:hint="eastAsia" w:ascii="仿宋_GB2312" w:hAnsi="宋体" w:eastAsia="仿宋_GB2312"/>
          <w:sz w:val="32"/>
          <w:szCs w:val="32"/>
          <w:lang w:val="zh-CN"/>
        </w:rPr>
        <w:t>到位23.2万元，资金到位率100%。</w:t>
      </w:r>
    </w:p>
    <w:p w14:paraId="48D4C2B2">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，支付整合涉农资金23.2万元，资金使用率100%。</w:t>
      </w:r>
    </w:p>
    <w:p w14:paraId="19945D1C">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29C7551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严格按照党风廉政建设责任制和有关财务管理方面的规章制度，强化2019年中药材示范基地建设项目资金的管理，做到责任到人，分工负责。局主管财务领导对项目支出进行严格把关，较大的支出由局班子研究决定，并接受纪检组的监督，听取各方面的意见和建议，做到了公正、透明，保证了项目资金的规范运行和有效使用。</w:t>
      </w:r>
    </w:p>
    <w:p w14:paraId="1F6A7C93">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7AABCAD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7520C89A">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3A36709">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为加强项目的监督、管理，切实保障项目资金使用安全性，我局高度重视，认真研究，成立了以党组书记、局长王振江同志为组长的中药材基地建设项目工作推进领导小组，领导小组办公室设在区林业产业发展服务中心。</w:t>
      </w:r>
    </w:p>
    <w:p w14:paraId="3A3745E5">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（二）项目监管情况。</w:t>
      </w:r>
    </w:p>
    <w:p w14:paraId="06CE32E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局计财股与区林业产业发展服务中心实行分工协作，落实责任，严格按照《广元市昭化区统筹整合使用财政涉农资金管理办法（试行）》、《昭化区财政专项扶贫资金报账实施细则》等规定，加强项目实施，资金计划申请、划拨等全过程指导服务与监督管理。</w:t>
      </w:r>
    </w:p>
    <w:p w14:paraId="6958FD5B">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548E9209">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FB44094">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截至2019年12月底，该项目已经完成以茯苓为主的中药材示范基地580亩，完成投资23.2万元，占计划资金23.2万元的100%，项目建设质量符合昭脱贫指办〔2019〕83号）文件等相关标准。</w:t>
      </w:r>
    </w:p>
    <w:p w14:paraId="67455AF1">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05BDB30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中药材产业基地建成后，茯苓每亩产茯苓1000公斤，按照2018年广元市优质茯苓价格8元/kg，每亩收入8000元。项目的实施能有效改善项目区经济落后的现状，调整农业和农村经济结构，促进农业产业化经营及提高农民的收入，并能辐射带动昭化区中药材种植产业的全面发展。通过项目示范，培养一批精通中药材集约经营的农村实用技术人才，变粗放经营为集约经营，利用业主的带动能力和辐射能力，促进中药材产业化发展和产业结构调整。</w:t>
      </w:r>
    </w:p>
    <w:p w14:paraId="13739747">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0A56D072">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4209CDC4">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eastAsia="仿宋_GB2312"/>
          <w:sz w:val="32"/>
          <w:szCs w:val="32"/>
          <w:lang w:val="en-US" w:eastAsia="zh-CN"/>
        </w:rPr>
        <w:t>对照年初绩效目标，我局认真自查分析，项目实施能有效改善项目区经济情况，提升了我区中药材产业发展水平</w:t>
      </w:r>
      <w:r>
        <w:rPr>
          <w:rFonts w:hint="eastAsia" w:ascii="仿宋" w:hAnsi="仿宋" w:eastAsia="仿宋" w:cs="仿宋"/>
          <w:sz w:val="32"/>
          <w:szCs w:val="32"/>
        </w:rPr>
        <w:t>，</w:t>
      </w:r>
      <w:r>
        <w:rPr>
          <w:rFonts w:hint="eastAsia" w:ascii="仿宋" w:hAnsi="仿宋" w:eastAsia="仿宋" w:cs="仿宋"/>
          <w:sz w:val="32"/>
          <w:szCs w:val="32"/>
          <w:lang w:val="en-US" w:eastAsia="zh-CN"/>
        </w:rPr>
        <w:t>调整了农业农村经济结构，辐射带动了昭化区中药材种植产业的全面发展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综上，年初绩效目标已完成，完成情况好</w:t>
      </w:r>
      <w:r>
        <w:rPr>
          <w:rFonts w:hint="eastAsia" w:ascii="仿宋_GB2312" w:hAnsi="宋体" w:eastAsia="仿宋_GB2312"/>
          <w:sz w:val="32"/>
          <w:szCs w:val="32"/>
          <w:lang w:val="zh-CN"/>
        </w:rPr>
        <w:t>。</w:t>
      </w:r>
    </w:p>
    <w:p w14:paraId="31B2077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38B26C09">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一是缺少优质高效的技术服务。种植企业、专合社、农户与科研院校合作层次相对较浅，全区中药材专业技术人员较少，尚不能满足全区中药材产业发展需要。</w:t>
      </w:r>
    </w:p>
    <w:p w14:paraId="45E77870">
      <w:pPr>
        <w:adjustRightInd w:val="0"/>
        <w:snapToGrid w:val="0"/>
        <w:spacing w:line="600" w:lineRule="exact"/>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二是缺少完整的产业链条。目前，中药材产业仍以初加工为主，仓储、晒场、拣选场地和切割等配套设施相对低端，尚无开展中药材切片、制剂等精深加工企业，产业链条短，附加值偏低。</w:t>
      </w:r>
    </w:p>
    <w:p w14:paraId="78A09D33">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三是缺少高端科技示范基地。全区已建产业示范基地科技含量相对较低，区级科技示范园尚未建成，缺少科技含量相对较高的示范基地。</w:t>
      </w:r>
      <w:r>
        <w:rPr>
          <w:rFonts w:hint="eastAsia" w:ascii="仿宋_GB2312" w:hAnsi="宋体" w:eastAsia="仿宋_GB2312"/>
          <w:sz w:val="32"/>
          <w:szCs w:val="32"/>
          <w:lang w:val="zh-CN"/>
        </w:rPr>
        <w:tab/>
      </w:r>
    </w:p>
    <w:p w14:paraId="5BE578B3">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2D5BAB8A">
      <w:pPr>
        <w:pStyle w:val="5"/>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一是强化政策扶持。加大金融扶持力度，解决中药材中小企业融资难等问题。加大土地等要素供给，引导农村土地经营权有序流转，保障中药材产业发展用地需要。加大政策项目补助，确保产业发展速度。</w:t>
      </w:r>
    </w:p>
    <w:p w14:paraId="45B59D68">
      <w:pPr>
        <w:pStyle w:val="5"/>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二是实施院区合作工程。主动加强与科研院校对接，建力中药材产业院区合作战略，确保技术保障。</w:t>
      </w:r>
    </w:p>
    <w:p w14:paraId="601EBD3F">
      <w:pPr>
        <w:pStyle w:val="5"/>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三是实施农技人员培训工程。区、乡镇、村分级分层开展技术培训，加强技术提升，优选技术骨干参加省市培训，做到中药材技术员培训全覆盖。</w:t>
      </w:r>
    </w:p>
    <w:p w14:paraId="4F90254A">
      <w:pPr>
        <w:pStyle w:val="5"/>
        <w:rPr>
          <w:rFonts w:hint="eastAsia" w:ascii="仿宋_GB2312" w:hAnsi="宋体" w:eastAsia="仿宋_GB2312"/>
          <w:sz w:val="32"/>
          <w:szCs w:val="32"/>
          <w:lang w:val="zh-CN"/>
        </w:rPr>
      </w:pPr>
    </w:p>
    <w:p w14:paraId="4F5B4D86">
      <w:pPr>
        <w:spacing w:line="600" w:lineRule="exact"/>
        <w:jc w:val="center"/>
        <w:rPr>
          <w:rFonts w:hint="eastAsia"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en-US" w:eastAsia="zh-CN"/>
        </w:rPr>
        <w:t>龙泉·昭化食用菌</w:t>
      </w:r>
      <w:r>
        <w:rPr>
          <w:rFonts w:hint="eastAsia" w:ascii="方正小标宋简体" w:hAnsi="宋体" w:eastAsia="方正小标宋简体"/>
          <w:color w:val="000000"/>
          <w:kern w:val="0"/>
          <w:sz w:val="44"/>
          <w:szCs w:val="44"/>
          <w:lang w:val="zh-CN"/>
        </w:rPr>
        <w:t>项目</w:t>
      </w:r>
    </w:p>
    <w:p w14:paraId="75E325E9">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14:paraId="71AE96FE">
      <w:pPr>
        <w:spacing w:line="600" w:lineRule="exact"/>
        <w:rPr>
          <w:rFonts w:ascii="宋体" w:hAnsi="宋体"/>
          <w:sz w:val="32"/>
          <w:szCs w:val="32"/>
          <w:lang w:val="zh-CN"/>
        </w:rPr>
      </w:pPr>
    </w:p>
    <w:p w14:paraId="1532C8F2">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29CEC5E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14:paraId="5593854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w:t>
      </w:r>
      <w:r>
        <w:rPr>
          <w:rFonts w:hint="eastAsia" w:ascii="仿宋_GB2312" w:hAnsi="宋体" w:eastAsia="仿宋_GB2312"/>
          <w:sz w:val="32"/>
          <w:szCs w:val="32"/>
          <w:lang w:val="en-US" w:eastAsia="zh-CN"/>
        </w:rPr>
        <w:t>区林业局负责管理、使用该项目资金，并对项目资金的使用过程和使用结果进行监督</w:t>
      </w:r>
      <w:r>
        <w:rPr>
          <w:rFonts w:hint="eastAsia" w:ascii="仿宋_GB2312" w:hAnsi="宋体" w:eastAsia="仿宋_GB2312"/>
          <w:sz w:val="32"/>
          <w:szCs w:val="32"/>
          <w:lang w:val="zh-CN"/>
        </w:rPr>
        <w:t>。</w:t>
      </w:r>
    </w:p>
    <w:p w14:paraId="2CEF9C44">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2．项目计划总投资360万元，其中财政资金360万元（东西部扶贫协作补助资金360万元）。</w:t>
      </w:r>
    </w:p>
    <w:p w14:paraId="3A0190E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2019年4月22日，广元市昭化区财政局《关于下达2019年东西部扶贫协作第一批项目资金的通知》（昭财协作〔2019〕1号）下达项目名称为：龙泉.昭化食用菌产业园建设项目，帮扶资金360万元。</w:t>
      </w:r>
    </w:p>
    <w:p w14:paraId="37B39C3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在项目管理方面，领导高度重视，制定和完善了相关项目资金管理办法和财务制度。在具体的项目实施过程中，严格按照制定的相关制度和办法对资金进行管理，并接受纪检组的监督，听取各方面的意见和建议，做到了公正、透明，保证了项目资金的规范运行和有效使用。</w:t>
      </w:r>
    </w:p>
    <w:p w14:paraId="6B06B4EF">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4．为推进我区食用菌产业发展，共同推进昭化区脱贫奔小康，</w:t>
      </w:r>
      <w:r>
        <w:rPr>
          <w:rFonts w:hint="eastAsia" w:ascii="仿宋_GB2312" w:hAnsi="宋体" w:eastAsia="仿宋_GB2312"/>
          <w:sz w:val="32"/>
          <w:szCs w:val="32"/>
          <w:lang w:val="en-US" w:eastAsia="zh-CN"/>
        </w:rPr>
        <w:t>我局计划</w:t>
      </w:r>
      <w:r>
        <w:rPr>
          <w:rFonts w:hint="eastAsia" w:ascii="仿宋_GB2312" w:hAnsi="宋体" w:eastAsia="仿宋_GB2312"/>
          <w:sz w:val="32"/>
          <w:szCs w:val="32"/>
          <w:lang w:val="zh-CN"/>
        </w:rPr>
        <w:t>在昭化区晋贤乡道角村、熨斗村、千秋村、新华村、紫云乡云雾村，建设以香菇、灵芝为主的食用菌基地。</w:t>
      </w:r>
    </w:p>
    <w:p w14:paraId="475E3FA4">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14:paraId="6CCEADD1">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1．建设以香菇、灵芝为主的食用菌基地。</w:t>
      </w:r>
    </w:p>
    <w:p w14:paraId="6972DA7B">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在昭化区晋贤乡道角村、熨斗村、千秋村、新华村、紫云乡云雾村，建设以香菇、灵芝为主的食用菌基地，其中香菇63万袋，（晋贤新华村50万袋、熨斗村10万袋，紫云乡云雾村3万袋），灵芝180亩（晋贤乡道角村120亩、千秋村60亩），并配套相关设施建设。</w:t>
      </w:r>
    </w:p>
    <w:p w14:paraId="77D30B73">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3．项目资金申报内容与项目实施内容一致，申报目标符合项目计划目标，切实可行。</w:t>
      </w:r>
    </w:p>
    <w:p w14:paraId="75AD4868">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14:paraId="1523E69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en-US" w:eastAsia="zh-CN"/>
        </w:rPr>
        <w:t>我局成立了绩效自评小组，通过翻阅档案资料、实施查看项目实施成果、走访收益农户等相结合的方式，对项目开展绩效自评工作</w:t>
      </w:r>
      <w:r>
        <w:rPr>
          <w:rFonts w:hint="eastAsia" w:ascii="仿宋_GB2312" w:hAnsi="宋体" w:eastAsia="仿宋_GB2312"/>
          <w:sz w:val="32"/>
          <w:szCs w:val="32"/>
          <w:lang w:val="zh-CN"/>
        </w:rPr>
        <w:t>。</w:t>
      </w:r>
    </w:p>
    <w:p w14:paraId="1C39B5DC">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14:paraId="61E65E2F">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14:paraId="0F117FE2">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项目计划总投资360万元，其中财政资金360万元（东西部扶贫协作补助资金360万元）。</w:t>
      </w:r>
    </w:p>
    <w:p w14:paraId="7DA0B3F2">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2019年4月22日，广元市昭化区财政局《关于下达2019年东西部扶贫协作第一批项目资金的通知》（昭财协作〔2019〕1号）下达项目名称为：龙泉.昭化食用菌产业园建设项目，帮扶资金360万元。</w:t>
      </w:r>
    </w:p>
    <w:p w14:paraId="202928D6">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（二）资金计划、到位及使用情况（可用表格形式反映）。</w:t>
      </w:r>
    </w:p>
    <w:p w14:paraId="5EDE16E4">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宋体" w:eastAsia="仿宋_GB2312"/>
          <w:sz w:val="32"/>
          <w:szCs w:val="32"/>
          <w:lang w:val="zh-CN"/>
        </w:rPr>
        <w:t>项目总投资1242.4万元，其中东西部扶贫协作资金360万元。</w:t>
      </w:r>
    </w:p>
    <w:p w14:paraId="1FE4A9E8">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，项目总投资到位360万元，资金到位率100%。</w:t>
      </w:r>
    </w:p>
    <w:p w14:paraId="4D782266">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，共支出360万元，占已到位金额的100%。</w:t>
      </w:r>
    </w:p>
    <w:p w14:paraId="4633AD5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14:paraId="77FE27C4">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在项目资金管理方面，领导高度重视，制定和完善了相关项目资金管理办法和财务制度。在具体的项目实施过程中，严格按照制定的相关制度和办法对资金进行管理，并接受纪检组的监督，听取各方面的意见和建议，做到了公正、透明，保证了项目资金的规范运行和有效使用。</w:t>
      </w:r>
    </w:p>
    <w:p w14:paraId="75B53EB7">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14:paraId="571A81B7">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结合项目组织实施管理办法，重点围绕以下内容进行分析评价，并对自评中发现的问题分析说明。</w:t>
      </w:r>
    </w:p>
    <w:p w14:paraId="73C6A230">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14:paraId="46451C2A">
      <w:pPr>
        <w:adjustRightInd w:val="0"/>
        <w:snapToGrid w:val="0"/>
        <w:spacing w:line="600" w:lineRule="exact"/>
        <w:ind w:firstLine="720"/>
        <w:rPr>
          <w:rFonts w:hint="eastAsia" w:ascii="楷体_GB2312" w:hAnsi="宋体" w:eastAsia="楷体_GB2312"/>
          <w:b/>
          <w:sz w:val="32"/>
          <w:szCs w:val="32"/>
          <w:lang w:val="zh-CN"/>
        </w:rPr>
      </w:pPr>
      <w:r>
        <w:rPr>
          <w:rFonts w:hint="eastAsia" w:ascii="仿宋_GB2312" w:hAnsi="宋体" w:eastAsia="仿宋_GB2312"/>
          <w:sz w:val="32"/>
          <w:szCs w:val="32"/>
          <w:lang w:val="zh-CN"/>
        </w:rPr>
        <w:t>为加强项目的监督、管理，切实保障项目资金使用安全性，我局高度重视，认真研究，成立了以党组书记、局长王振江同志为组长的涉农统筹整合资金项目工作推进领导小组，领导小组办公室设在区林业产业发展服务中心。</w:t>
      </w:r>
    </w:p>
    <w:p w14:paraId="707E5DAC">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（二）项目监管情况。</w:t>
      </w:r>
    </w:p>
    <w:p w14:paraId="09CC5B59">
      <w:pPr>
        <w:adjustRightInd w:val="0"/>
        <w:snapToGrid w:val="0"/>
        <w:spacing w:line="600" w:lineRule="exact"/>
        <w:ind w:firstLine="720"/>
        <w:rPr>
          <w:rFonts w:hint="eastAsia" w:ascii="仿宋_GB2312" w:hAnsi="宋体" w:eastAsia="仿宋_GB2312"/>
          <w:sz w:val="32"/>
          <w:szCs w:val="32"/>
          <w:lang w:val="zh-CN"/>
        </w:rPr>
      </w:pPr>
      <w:r>
        <w:rPr>
          <w:rFonts w:hint="eastAsia" w:ascii="仿宋_GB2312" w:hAnsi="宋体" w:eastAsia="仿宋_GB2312"/>
          <w:sz w:val="32"/>
          <w:szCs w:val="32"/>
          <w:lang w:val="zh-CN"/>
        </w:rPr>
        <w:t>局计财股与区林业产业发展服务中心实行分工协作，落实责任，严格按照严格按照《广元市昭化区东西部扶贫协作项目管理暂行实施细则》、《昭化区财政专项扶贫资金报账实施细则》等规定，加强项目实施，资金计划申请、划拨等全过程指导服务与监督管理。</w:t>
      </w:r>
    </w:p>
    <w:p w14:paraId="79133848">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本项目按照《广元市昭化区东西部扶贫协作援助资金管理暂行办法》相关规定，按项目进度拨付资金，实行报账制管理。项目由晋贤乡、紫云乡人民政府组织实施，区林业局负责将资金拨付到实施主体，并加强资金监管。</w:t>
      </w:r>
    </w:p>
    <w:p w14:paraId="31DA932D">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14:paraId="2CC6FA3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3F2B8F15">
      <w:pPr>
        <w:adjustRightInd w:val="0"/>
        <w:snapToGrid w:val="0"/>
        <w:spacing w:line="600" w:lineRule="exact"/>
        <w:ind w:firstLine="720"/>
        <w:rPr>
          <w:rFonts w:ascii="楷体_GB2312" w:hAnsi="宋体" w:eastAsia="楷体_GB2312"/>
          <w:b/>
          <w:sz w:val="32"/>
          <w:szCs w:val="32"/>
          <w:lang w:val="zh-CN"/>
        </w:rPr>
      </w:pPr>
      <w:r>
        <w:rPr>
          <w:rFonts w:hint="eastAsia" w:ascii="仿宋_GB2312" w:hAnsi="宋体" w:eastAsia="仿宋_GB2312"/>
          <w:sz w:val="32"/>
          <w:szCs w:val="32"/>
          <w:lang w:val="zh-CN"/>
        </w:rPr>
        <w:t>截至2019年12月底，该项目已经完成香菇、灵芝为主的食用菌基地建设，其中香菇63万袋，（晋贤乡新华村50万袋、熨斗村10万袋，紫云乡云雾村3万袋），灵芝180亩（晋贤乡道角村120亩、千秋村60亩），并配套相关设施建设。项目建设质量符合《土地整治工程质量检验与评定规程》、等相关国家质量标准。截至2019年12月底，完成投资360万元，占计划资金360万元的100%。</w:t>
      </w:r>
    </w:p>
    <w:p w14:paraId="145A380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14:paraId="51DDB441">
      <w:pPr>
        <w:adjustRightInd w:val="0"/>
        <w:snapToGrid w:val="0"/>
        <w:spacing w:line="600" w:lineRule="exact"/>
        <w:ind w:firstLine="720"/>
        <w:rPr>
          <w:lang w:val="zh-CN"/>
        </w:rPr>
      </w:pPr>
      <w:r>
        <w:rPr>
          <w:rFonts w:hint="eastAsia" w:ascii="仿宋_GB2312" w:hAnsi="宋体" w:eastAsia="仿宋_GB2312"/>
          <w:sz w:val="32"/>
          <w:szCs w:val="32"/>
          <w:lang w:val="zh-CN"/>
        </w:rPr>
        <w:t>食用菌基地建设项目可解决农村富余劳动力，通过“龙头企业+专合社+农户”的模式带动贫困户精准脱贫、致富奔康。项目建成后，可产香菇375吨以上、灵芝粉135吨，产值达1500万元以上，带动217个建档立卡贫困人口增收，将成为昭化区食用菌产业规模化、标准化的典范。该项目的实施带动了当地地方经济，解决了农村就业劳动力、实现了农户（建档立卡贫困户）稳定增收。</w:t>
      </w:r>
    </w:p>
    <w:p w14:paraId="1CD2F15F">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14:paraId="1B86DB9B">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14:paraId="5818F7CF">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lang w:val="zh-CN"/>
        </w:rPr>
        <w:t>对照年初绩效目标，我局认真自查分析，项目实施能有效改善项目区经济情况，提升了我区</w:t>
      </w:r>
      <w:r>
        <w:rPr>
          <w:rFonts w:hint="eastAsia" w:ascii="仿宋_GB2312" w:hAnsi="宋体" w:eastAsia="仿宋_GB2312"/>
          <w:sz w:val="32"/>
          <w:szCs w:val="32"/>
          <w:lang w:val="en-US" w:eastAsia="zh-CN"/>
        </w:rPr>
        <w:t>食用菌</w:t>
      </w:r>
      <w:r>
        <w:rPr>
          <w:rFonts w:hint="eastAsia" w:ascii="仿宋_GB2312" w:hAnsi="宋体" w:eastAsia="仿宋_GB2312"/>
          <w:sz w:val="32"/>
          <w:szCs w:val="32"/>
          <w:lang w:val="zh-CN"/>
        </w:rPr>
        <w:t>产业发展水平，调整了农业农村经济结构，辐射带动了昭化区</w:t>
      </w:r>
      <w:r>
        <w:rPr>
          <w:rFonts w:hint="eastAsia" w:ascii="仿宋_GB2312" w:hAnsi="宋体" w:eastAsia="仿宋_GB2312"/>
          <w:sz w:val="32"/>
          <w:szCs w:val="32"/>
          <w:lang w:val="en-US" w:eastAsia="zh-CN"/>
        </w:rPr>
        <w:t>食用菌</w:t>
      </w:r>
      <w:r>
        <w:rPr>
          <w:rFonts w:hint="eastAsia" w:ascii="仿宋_GB2312" w:hAnsi="宋体" w:eastAsia="仿宋_GB2312"/>
          <w:sz w:val="32"/>
          <w:szCs w:val="32"/>
          <w:lang w:val="zh-CN"/>
        </w:rPr>
        <w:t>产业的全面发展。综上，年初绩效目标已完成，完成情况好。</w:t>
      </w:r>
    </w:p>
    <w:p w14:paraId="60A6F2BD">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14:paraId="72E08F49">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技术力量整体不够强。近几年，我区食用菌种植技术人员年龄总体偏大，接受新技术能力不足，导致能够熟练开展种植技术的人员不多。</w:t>
      </w:r>
      <w:r>
        <w:rPr>
          <w:rFonts w:hint="eastAsia" w:ascii="仿宋_GB2312" w:hAnsi="宋体" w:eastAsia="仿宋_GB2312"/>
          <w:sz w:val="32"/>
          <w:szCs w:val="32"/>
          <w:lang w:val="zh-CN"/>
        </w:rPr>
        <w:tab/>
      </w:r>
    </w:p>
    <w:p w14:paraId="3D6D3257">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14:paraId="30F2FE28">
      <w:pPr>
        <w:pStyle w:val="5"/>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一是同步技术服务。针对食用菌项目，聘请浙江香菇专家作为技术服务团队负责人，开展种植技术培训，培养产业能手，实现昭化技术与龙泉技术同步。</w:t>
      </w:r>
    </w:p>
    <w:p w14:paraId="3C2175D0">
      <w:pPr>
        <w:pStyle w:val="5"/>
        <w:ind w:firstLine="640" w:firstLineChars="200"/>
        <w:rPr>
          <w:rFonts w:hint="eastAsia" w:ascii="仿宋_GB2312" w:hAnsi="宋体" w:eastAsia="仿宋_GB2312"/>
          <w:sz w:val="32"/>
          <w:szCs w:val="32"/>
          <w:lang w:val="zh-CN"/>
        </w:rPr>
      </w:pPr>
      <w:r>
        <w:rPr>
          <w:rFonts w:hint="eastAsia" w:ascii="仿宋_GB2312" w:hAnsi="宋体" w:eastAsia="仿宋_GB2312"/>
          <w:sz w:val="32"/>
          <w:szCs w:val="32"/>
          <w:lang w:val="zh-CN"/>
        </w:rPr>
        <w:t>二是强化示范建设。以培育食用菌产业基地为示范，逐步优化产业适度规模化、集约化生产经营，以优质品牌带动全产业链发展。积极培育家庭林场、业主大户、专业合作社等新型经营主体，发挥优质新型经营主体对产业的引领作用，以“公司+专合社+基地+农户”等模式，完善利益联结机制建设，实现示范带动、增产增收，助推脱贫攻坚。</w:t>
      </w:r>
    </w:p>
    <w:p w14:paraId="12E598D6">
      <w:pPr>
        <w:pStyle w:val="5"/>
        <w:ind w:firstLine="640" w:firstLineChars="200"/>
        <w:rPr>
          <w:rStyle w:val="15"/>
          <w:rFonts w:ascii="黑体" w:hAnsi="黑体" w:eastAsia="黑体"/>
          <w:b w:val="0"/>
        </w:rPr>
      </w:pPr>
      <w:r>
        <w:rPr>
          <w:rFonts w:hint="eastAsia" w:ascii="仿宋_GB2312" w:hAnsi="宋体" w:eastAsia="仿宋_GB2312"/>
          <w:sz w:val="32"/>
          <w:szCs w:val="32"/>
          <w:lang w:val="zh-CN"/>
        </w:rPr>
        <w:t>三是加大技术培训。与省农科院开展院区合作，全区聘请兼职食用菌技术人员，开展技术培训。援助资金主要用于食用菌基地建设、技术服务体系建设补助。</w:t>
      </w:r>
    </w:p>
    <w:p w14:paraId="4B7A47C5">
      <w:pPr>
        <w:spacing w:line="600" w:lineRule="exact"/>
        <w:jc w:val="center"/>
        <w:outlineLvl w:val="0"/>
        <w:rPr>
          <w:rStyle w:val="15"/>
          <w:rFonts w:ascii="黑体" w:hAnsi="黑体" w:eastAsia="黑体"/>
          <w:b w:val="0"/>
        </w:rPr>
      </w:pPr>
      <w:bookmarkStart w:id="56" w:name="_Toc15396618"/>
      <w:r>
        <w:rPr>
          <w:rFonts w:hint="eastAsia" w:ascii="黑体" w:hAnsi="黑体" w:eastAsia="黑体"/>
          <w:color w:val="000000"/>
          <w:sz w:val="44"/>
          <w:szCs w:val="44"/>
        </w:rPr>
        <w:t>第</w:t>
      </w:r>
      <w:r>
        <w:rPr>
          <w:rStyle w:val="15"/>
          <w:rFonts w:hint="eastAsia" w:ascii="黑体" w:hAnsi="黑体" w:eastAsia="黑体"/>
          <w:b w:val="0"/>
        </w:rPr>
        <w:t>五部分 附表</w:t>
      </w:r>
      <w:bookmarkEnd w:id="54"/>
      <w:bookmarkEnd w:id="56"/>
    </w:p>
    <w:p w14:paraId="28F98883">
      <w:pPr>
        <w:spacing w:line="600" w:lineRule="exact"/>
        <w:jc w:val="center"/>
        <w:outlineLvl w:val="0"/>
        <w:rPr>
          <w:rFonts w:ascii="仿宋" w:hAnsi="仿宋" w:eastAsia="仿宋"/>
          <w:b/>
          <w:color w:val="000000"/>
          <w:sz w:val="44"/>
          <w:szCs w:val="44"/>
        </w:rPr>
      </w:pPr>
    </w:p>
    <w:p w14:paraId="40F1B104">
      <w:pPr>
        <w:pStyle w:val="4"/>
        <w:rPr>
          <w:rFonts w:ascii="仿宋" w:hAnsi="仿宋" w:eastAsia="仿宋"/>
          <w:color w:val="000000"/>
        </w:rPr>
      </w:pPr>
      <w:bookmarkStart w:id="57" w:name="_Toc15396619"/>
      <w:r>
        <w:rPr>
          <w:rFonts w:hint="eastAsia" w:ascii="仿宋" w:hAnsi="仿宋" w:eastAsia="仿宋"/>
          <w:b w:val="0"/>
          <w:color w:val="000000"/>
        </w:rPr>
        <w:t>一、收</w:t>
      </w:r>
      <w:r>
        <w:rPr>
          <w:rStyle w:val="16"/>
          <w:rFonts w:hint="eastAsia" w:ascii="仿宋" w:hAnsi="仿宋" w:eastAsia="仿宋"/>
          <w:b w:val="0"/>
          <w:bCs w:val="0"/>
        </w:rPr>
        <w:t>入支出决算总表</w:t>
      </w:r>
      <w:bookmarkEnd w:id="57"/>
    </w:p>
    <w:p w14:paraId="57370C24">
      <w:pPr>
        <w:pStyle w:val="4"/>
        <w:rPr>
          <w:rFonts w:ascii="仿宋" w:hAnsi="仿宋" w:eastAsia="仿宋"/>
          <w:color w:val="000000"/>
        </w:rPr>
      </w:pPr>
      <w:bookmarkStart w:id="58" w:name="_Toc15396620"/>
      <w:r>
        <w:rPr>
          <w:rFonts w:hint="eastAsia" w:ascii="仿宋" w:hAnsi="仿宋" w:eastAsia="仿宋"/>
          <w:b w:val="0"/>
          <w:color w:val="000000"/>
        </w:rPr>
        <w:t>二、收</w:t>
      </w:r>
      <w:r>
        <w:rPr>
          <w:rStyle w:val="16"/>
          <w:rFonts w:hint="eastAsia" w:ascii="仿宋" w:hAnsi="仿宋" w:eastAsia="仿宋"/>
          <w:b w:val="0"/>
          <w:bCs w:val="0"/>
        </w:rPr>
        <w:t>入决算表</w:t>
      </w:r>
      <w:bookmarkEnd w:id="58"/>
    </w:p>
    <w:p w14:paraId="178F2A31">
      <w:pPr>
        <w:pStyle w:val="4"/>
        <w:rPr>
          <w:rFonts w:ascii="仿宋" w:hAnsi="仿宋" w:eastAsia="仿宋"/>
          <w:color w:val="000000"/>
        </w:rPr>
      </w:pPr>
      <w:bookmarkStart w:id="59" w:name="_Toc15396621"/>
      <w:r>
        <w:rPr>
          <w:rStyle w:val="16"/>
          <w:rFonts w:hint="eastAsia" w:ascii="仿宋" w:hAnsi="仿宋" w:eastAsia="仿宋"/>
          <w:b w:val="0"/>
          <w:bCs w:val="0"/>
        </w:rPr>
        <w:t>三、</w:t>
      </w:r>
      <w:r>
        <w:rPr>
          <w:rFonts w:hint="eastAsia" w:ascii="仿宋" w:hAnsi="仿宋" w:eastAsia="仿宋"/>
          <w:b w:val="0"/>
          <w:color w:val="000000"/>
        </w:rPr>
        <w:t>支</w:t>
      </w:r>
      <w:r>
        <w:rPr>
          <w:rStyle w:val="16"/>
          <w:rFonts w:hint="eastAsia" w:ascii="仿宋" w:hAnsi="仿宋" w:eastAsia="仿宋"/>
          <w:b w:val="0"/>
          <w:bCs w:val="0"/>
        </w:rPr>
        <w:t>出决算表</w:t>
      </w:r>
      <w:bookmarkEnd w:id="59"/>
    </w:p>
    <w:p w14:paraId="7BD50F4E">
      <w:pPr>
        <w:pStyle w:val="4"/>
        <w:rPr>
          <w:rFonts w:ascii="仿宋" w:hAnsi="仿宋" w:eastAsia="仿宋"/>
          <w:b w:val="0"/>
          <w:color w:val="000000"/>
        </w:rPr>
      </w:pPr>
      <w:bookmarkStart w:id="60" w:name="_Toc15396622"/>
      <w:r>
        <w:rPr>
          <w:rStyle w:val="16"/>
          <w:rFonts w:hint="eastAsia" w:ascii="仿宋" w:hAnsi="仿宋" w:eastAsia="仿宋"/>
          <w:b w:val="0"/>
          <w:bCs w:val="0"/>
        </w:rPr>
        <w:t>四、</w:t>
      </w:r>
      <w:r>
        <w:rPr>
          <w:rFonts w:hint="eastAsia" w:ascii="仿宋" w:hAnsi="仿宋" w:eastAsia="仿宋"/>
          <w:b w:val="0"/>
          <w:color w:val="000000"/>
        </w:rPr>
        <w:t>财</w:t>
      </w:r>
      <w:r>
        <w:rPr>
          <w:rStyle w:val="16"/>
          <w:rFonts w:hint="eastAsia" w:ascii="仿宋" w:hAnsi="仿宋" w:eastAsia="仿宋"/>
          <w:b w:val="0"/>
          <w:bCs w:val="0"/>
        </w:rPr>
        <w:t>政拨款收入支出决算总表</w:t>
      </w:r>
      <w:bookmarkEnd w:id="60"/>
    </w:p>
    <w:p w14:paraId="179F5069">
      <w:pPr>
        <w:pStyle w:val="4"/>
        <w:rPr>
          <w:rStyle w:val="16"/>
          <w:rFonts w:ascii="仿宋" w:hAnsi="仿宋" w:eastAsia="仿宋"/>
          <w:b w:val="0"/>
          <w:bCs w:val="0"/>
        </w:rPr>
      </w:pPr>
      <w:bookmarkStart w:id="61" w:name="_Toc15396623"/>
      <w:r>
        <w:rPr>
          <w:rStyle w:val="16"/>
          <w:rFonts w:hint="eastAsia" w:ascii="仿宋" w:hAnsi="仿宋" w:eastAsia="仿宋"/>
          <w:b w:val="0"/>
          <w:bCs w:val="0"/>
        </w:rPr>
        <w:t>五、</w:t>
      </w:r>
      <w:r>
        <w:rPr>
          <w:rFonts w:hint="eastAsia" w:ascii="仿宋" w:hAnsi="仿宋" w:eastAsia="仿宋"/>
          <w:b w:val="0"/>
          <w:color w:val="000000"/>
        </w:rPr>
        <w:t>财</w:t>
      </w:r>
      <w:r>
        <w:rPr>
          <w:rStyle w:val="16"/>
          <w:rFonts w:hint="eastAsia" w:ascii="仿宋" w:hAnsi="仿宋" w:eastAsia="仿宋"/>
          <w:b w:val="0"/>
          <w:bCs w:val="0"/>
        </w:rPr>
        <w:t>政拨款支出决算明细表</w:t>
      </w:r>
      <w:bookmarkEnd w:id="61"/>
      <w:bookmarkStart w:id="62" w:name="_Toc15396624"/>
    </w:p>
    <w:p w14:paraId="4AAAF316">
      <w:pPr>
        <w:pStyle w:val="4"/>
        <w:rPr>
          <w:rFonts w:ascii="仿宋" w:hAnsi="仿宋" w:eastAsia="仿宋"/>
          <w:color w:val="000000"/>
        </w:rPr>
      </w:pPr>
      <w:r>
        <w:rPr>
          <w:rStyle w:val="16"/>
          <w:rFonts w:hint="eastAsia" w:ascii="仿宋" w:hAnsi="仿宋" w:eastAsia="仿宋"/>
          <w:b w:val="0"/>
          <w:bCs w:val="0"/>
        </w:rPr>
        <w:t>六、</w:t>
      </w:r>
      <w:r>
        <w:rPr>
          <w:rFonts w:hint="eastAsia" w:ascii="仿宋" w:hAnsi="仿宋" w:eastAsia="仿宋"/>
          <w:b w:val="0"/>
          <w:color w:val="000000"/>
        </w:rPr>
        <w:t>一</w:t>
      </w:r>
      <w:r>
        <w:rPr>
          <w:rStyle w:val="16"/>
          <w:rFonts w:hint="eastAsia" w:ascii="仿宋" w:hAnsi="仿宋" w:eastAsia="仿宋"/>
          <w:b w:val="0"/>
          <w:bCs w:val="0"/>
        </w:rPr>
        <w:t>般公共预算财政拨款支出决算表</w:t>
      </w:r>
      <w:bookmarkEnd w:id="62"/>
    </w:p>
    <w:p w14:paraId="3B7B195E">
      <w:pPr>
        <w:pStyle w:val="4"/>
        <w:rPr>
          <w:rFonts w:ascii="仿宋" w:hAnsi="仿宋" w:eastAsia="仿宋"/>
          <w:color w:val="000000"/>
        </w:rPr>
      </w:pPr>
      <w:bookmarkStart w:id="63" w:name="_Toc15396625"/>
      <w:r>
        <w:rPr>
          <w:rStyle w:val="16"/>
          <w:rFonts w:hint="eastAsia" w:ascii="仿宋" w:hAnsi="仿宋" w:eastAsia="仿宋"/>
          <w:b w:val="0"/>
          <w:bCs w:val="0"/>
        </w:rPr>
        <w:t>七、</w:t>
      </w:r>
      <w:r>
        <w:rPr>
          <w:rFonts w:hint="eastAsia" w:ascii="仿宋" w:hAnsi="仿宋" w:eastAsia="仿宋"/>
          <w:b w:val="0"/>
          <w:color w:val="000000"/>
        </w:rPr>
        <w:t>一</w:t>
      </w:r>
      <w:r>
        <w:rPr>
          <w:rStyle w:val="16"/>
          <w:rFonts w:hint="eastAsia" w:ascii="仿宋" w:hAnsi="仿宋" w:eastAsia="仿宋"/>
          <w:b w:val="0"/>
          <w:bCs w:val="0"/>
        </w:rPr>
        <w:t>般公共预算财政拨款支出决算明细表</w:t>
      </w:r>
      <w:bookmarkEnd w:id="63"/>
    </w:p>
    <w:p w14:paraId="3D54989E">
      <w:pPr>
        <w:pStyle w:val="4"/>
        <w:rPr>
          <w:rFonts w:ascii="仿宋" w:hAnsi="仿宋" w:eastAsia="仿宋"/>
          <w:color w:val="000000"/>
        </w:rPr>
      </w:pPr>
      <w:bookmarkStart w:id="64" w:name="_Toc15396626"/>
      <w:r>
        <w:rPr>
          <w:rStyle w:val="16"/>
          <w:rFonts w:hint="eastAsia" w:ascii="仿宋" w:hAnsi="仿宋" w:eastAsia="仿宋"/>
          <w:b w:val="0"/>
          <w:bCs w:val="0"/>
        </w:rPr>
        <w:t>八、</w:t>
      </w:r>
      <w:r>
        <w:rPr>
          <w:rFonts w:hint="eastAsia" w:ascii="仿宋" w:hAnsi="仿宋" w:eastAsia="仿宋"/>
          <w:b w:val="0"/>
          <w:color w:val="000000"/>
        </w:rPr>
        <w:t>一</w:t>
      </w:r>
      <w:r>
        <w:rPr>
          <w:rStyle w:val="16"/>
          <w:rFonts w:hint="eastAsia" w:ascii="仿宋" w:hAnsi="仿宋" w:eastAsia="仿宋"/>
          <w:b w:val="0"/>
          <w:bCs w:val="0"/>
        </w:rPr>
        <w:t>般公共预算财政拨款基本支出决算表</w:t>
      </w:r>
      <w:bookmarkEnd w:id="64"/>
    </w:p>
    <w:p w14:paraId="555FE30B">
      <w:pPr>
        <w:pStyle w:val="4"/>
        <w:rPr>
          <w:rFonts w:ascii="仿宋" w:hAnsi="仿宋" w:eastAsia="仿宋"/>
          <w:color w:val="000000"/>
        </w:rPr>
      </w:pPr>
      <w:bookmarkStart w:id="65" w:name="_Toc15396627"/>
      <w:r>
        <w:rPr>
          <w:rStyle w:val="16"/>
          <w:rFonts w:hint="eastAsia" w:ascii="仿宋" w:hAnsi="仿宋" w:eastAsia="仿宋"/>
          <w:b w:val="0"/>
          <w:bCs w:val="0"/>
        </w:rPr>
        <w:t>九、</w:t>
      </w:r>
      <w:r>
        <w:rPr>
          <w:rFonts w:hint="eastAsia" w:ascii="仿宋" w:hAnsi="仿宋" w:eastAsia="仿宋"/>
          <w:b w:val="0"/>
          <w:color w:val="000000"/>
        </w:rPr>
        <w:t>一</w:t>
      </w:r>
      <w:r>
        <w:rPr>
          <w:rStyle w:val="16"/>
          <w:rFonts w:hint="eastAsia" w:ascii="仿宋" w:hAnsi="仿宋" w:eastAsia="仿宋"/>
          <w:b w:val="0"/>
          <w:bCs w:val="0"/>
        </w:rPr>
        <w:t>般公共预算财政拨款项目支出决算表</w:t>
      </w:r>
      <w:bookmarkEnd w:id="65"/>
    </w:p>
    <w:p w14:paraId="0C1B29D6">
      <w:pPr>
        <w:pStyle w:val="4"/>
        <w:rPr>
          <w:rFonts w:ascii="仿宋" w:hAnsi="仿宋" w:eastAsia="仿宋"/>
          <w:color w:val="000000"/>
        </w:rPr>
      </w:pPr>
      <w:bookmarkStart w:id="66" w:name="_Toc15396628"/>
      <w:r>
        <w:rPr>
          <w:rStyle w:val="16"/>
          <w:rFonts w:hint="eastAsia" w:ascii="仿宋" w:hAnsi="仿宋" w:eastAsia="仿宋"/>
          <w:b w:val="0"/>
          <w:bCs w:val="0"/>
        </w:rPr>
        <w:t>十、</w:t>
      </w:r>
      <w:r>
        <w:rPr>
          <w:rFonts w:hint="eastAsia" w:ascii="仿宋" w:hAnsi="仿宋" w:eastAsia="仿宋"/>
          <w:b w:val="0"/>
          <w:color w:val="000000"/>
        </w:rPr>
        <w:t>一</w:t>
      </w:r>
      <w:r>
        <w:rPr>
          <w:rStyle w:val="16"/>
          <w:rFonts w:hint="eastAsia" w:ascii="仿宋" w:hAnsi="仿宋" w:eastAsia="仿宋"/>
          <w:b w:val="0"/>
          <w:bCs w:val="0"/>
        </w:rPr>
        <w:t>般公共预算财政拨款“三公”经费支出决算表</w:t>
      </w:r>
      <w:bookmarkEnd w:id="66"/>
    </w:p>
    <w:p w14:paraId="403F8CCF">
      <w:pPr>
        <w:pStyle w:val="4"/>
        <w:rPr>
          <w:rFonts w:ascii="仿宋" w:hAnsi="仿宋" w:eastAsia="仿宋"/>
          <w:color w:val="000000"/>
        </w:rPr>
      </w:pPr>
      <w:bookmarkStart w:id="67" w:name="_Toc15396629"/>
      <w:r>
        <w:rPr>
          <w:rStyle w:val="16"/>
          <w:rFonts w:hint="eastAsia" w:ascii="仿宋" w:hAnsi="仿宋" w:eastAsia="仿宋"/>
          <w:b w:val="0"/>
          <w:bCs w:val="0"/>
        </w:rPr>
        <w:t>十一、</w:t>
      </w:r>
      <w:r>
        <w:rPr>
          <w:rFonts w:hint="eastAsia" w:ascii="仿宋" w:hAnsi="仿宋" w:eastAsia="仿宋"/>
          <w:b w:val="0"/>
          <w:color w:val="000000"/>
        </w:rPr>
        <w:t>政</w:t>
      </w:r>
      <w:r>
        <w:rPr>
          <w:rStyle w:val="16"/>
          <w:rFonts w:hint="eastAsia" w:ascii="仿宋" w:hAnsi="仿宋" w:eastAsia="仿宋"/>
          <w:b w:val="0"/>
          <w:bCs w:val="0"/>
        </w:rPr>
        <w:t>府性基金预算财政拨款收入支出决算表</w:t>
      </w:r>
      <w:bookmarkEnd w:id="67"/>
    </w:p>
    <w:p w14:paraId="23A7A615">
      <w:pPr>
        <w:pStyle w:val="4"/>
        <w:rPr>
          <w:rFonts w:ascii="仿宋" w:hAnsi="仿宋" w:eastAsia="仿宋"/>
          <w:color w:val="000000"/>
        </w:rPr>
      </w:pPr>
      <w:bookmarkStart w:id="68" w:name="_Toc15396630"/>
      <w:r>
        <w:rPr>
          <w:rStyle w:val="16"/>
          <w:rFonts w:hint="eastAsia" w:ascii="仿宋" w:hAnsi="仿宋" w:eastAsia="仿宋"/>
          <w:b w:val="0"/>
          <w:bCs w:val="0"/>
        </w:rPr>
        <w:t>十二、</w:t>
      </w:r>
      <w:r>
        <w:rPr>
          <w:rFonts w:hint="eastAsia" w:ascii="仿宋" w:hAnsi="仿宋" w:eastAsia="仿宋"/>
          <w:b w:val="0"/>
          <w:color w:val="000000"/>
        </w:rPr>
        <w:t>政</w:t>
      </w:r>
      <w:r>
        <w:rPr>
          <w:rStyle w:val="16"/>
          <w:rFonts w:hint="eastAsia" w:ascii="仿宋" w:hAnsi="仿宋" w:eastAsia="仿宋"/>
          <w:b w:val="0"/>
          <w:bCs w:val="0"/>
        </w:rPr>
        <w:t>府性基金预算财政拨款“三公”经费支出决算表</w:t>
      </w:r>
      <w:bookmarkEnd w:id="68"/>
    </w:p>
    <w:p w14:paraId="07344113">
      <w:pPr>
        <w:pStyle w:val="4"/>
        <w:rPr>
          <w:rFonts w:ascii="仿宋" w:hAnsi="仿宋" w:eastAsia="仿宋"/>
          <w:color w:val="000000" w:themeColor="text1"/>
          <w14:textFill>
            <w14:solidFill>
              <w14:schemeClr w14:val="tx1"/>
            </w14:solidFill>
          </w14:textFill>
        </w:rPr>
      </w:pPr>
      <w:bookmarkStart w:id="69" w:name="_Toc15396631"/>
      <w:r>
        <w:rPr>
          <w:rStyle w:val="16"/>
          <w:rFonts w:hint="eastAsia" w:ascii="仿宋" w:hAnsi="仿宋" w:eastAsia="仿宋"/>
          <w:b w:val="0"/>
          <w:bCs w:val="0"/>
        </w:rPr>
        <w:t>十三、</w:t>
      </w:r>
      <w:r>
        <w:rPr>
          <w:rFonts w:hint="eastAsia" w:ascii="仿宋" w:hAnsi="仿宋" w:eastAsia="仿宋"/>
          <w:b w:val="0"/>
          <w:color w:val="000000"/>
        </w:rPr>
        <w:t>国</w:t>
      </w:r>
      <w:r>
        <w:rPr>
          <w:rStyle w:val="16"/>
          <w:rFonts w:hint="eastAsia" w:ascii="仿宋" w:hAnsi="仿宋" w:eastAsia="仿宋"/>
          <w:b w:val="0"/>
          <w:bCs w:val="0"/>
        </w:rPr>
        <w:t>有资本经营预算支出决算表</w:t>
      </w:r>
      <w:bookmarkEnd w:id="69"/>
    </w:p>
    <w:bookmarkEnd w:id="18"/>
    <w:p w14:paraId="780E3E96">
      <w:pPr>
        <w:snapToGrid w:val="0"/>
        <w:spacing w:line="520" w:lineRule="exact"/>
        <w:ind w:left="0" w:leftChars="0" w:firstLine="640" w:firstLineChars="200"/>
        <w:rPr>
          <w:rFonts w:hint="default" w:ascii="仿宋_GB2312" w:hAnsi="仿宋" w:eastAsia="仿宋_GB2312"/>
          <w:sz w:val="32"/>
          <w:szCs w:val="32"/>
          <w:lang w:val="en-US" w:eastAsia="zh-CN"/>
        </w:rPr>
      </w:pPr>
    </w:p>
    <w:bookmarkEnd w:id="1"/>
    <w:p w14:paraId="559260CE"/>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BDEA0E1-B804-4819-B07E-3615E42B7A1A}"/>
  </w:font>
  <w:font w:name="黑体">
    <w:panose1 w:val="02010609060101010101"/>
    <w:charset w:val="86"/>
    <w:family w:val="auto"/>
    <w:pitch w:val="default"/>
    <w:sig w:usb0="800002BF" w:usb1="38CF7CFA" w:usb2="00000016" w:usb3="00000000" w:csb0="00040001" w:csb1="00000000"/>
    <w:embedRegular r:id="rId2" w:fontKey="{FB04BB56-0CDA-49BB-BD9D-38C5214C83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embedRegular r:id="rId3" w:fontKey="{1F7ADDAE-581A-4327-A66C-64123D30DBCF}"/>
  </w:font>
  <w:font w:name="仿宋">
    <w:panose1 w:val="02010609060101010101"/>
    <w:charset w:val="86"/>
    <w:family w:val="modern"/>
    <w:pitch w:val="default"/>
    <w:sig w:usb0="800002BF" w:usb1="38CF7CFA" w:usb2="00000016" w:usb3="00000000" w:csb0="00040001" w:csb1="00000000"/>
    <w:embedRegular r:id="rId4" w:fontKey="{6CDA7230-0DD7-46B6-94B2-C7912C6E0B0D}"/>
  </w:font>
  <w:font w:name="方正小标宋简体">
    <w:panose1 w:val="02000000000000000000"/>
    <w:charset w:val="86"/>
    <w:family w:val="script"/>
    <w:pitch w:val="default"/>
    <w:sig w:usb0="00000001" w:usb1="08000000" w:usb2="00000000" w:usb3="00000000" w:csb0="00040000" w:csb1="00000000"/>
    <w:embedRegular r:id="rId5" w:fontKey="{B5D42F4F-30BE-474A-B4DC-7F52FDA741C2}"/>
  </w:font>
  <w:font w:name="华文中宋">
    <w:panose1 w:val="02010600040101010101"/>
    <w:charset w:val="86"/>
    <w:family w:val="auto"/>
    <w:pitch w:val="default"/>
    <w:sig w:usb0="00000287" w:usb1="080F0000" w:usb2="00000000" w:usb3="00000000" w:csb0="0004009F" w:csb1="DFD70000"/>
    <w:embedRegular r:id="rId6" w:fontKey="{17453595-C620-4540-BC68-9268C9F5C95E}"/>
  </w:font>
  <w:font w:name="仿宋_GB2312">
    <w:panose1 w:val="02010609030101010101"/>
    <w:charset w:val="86"/>
    <w:family w:val="modern"/>
    <w:pitch w:val="default"/>
    <w:sig w:usb0="00000001" w:usb1="080E0000" w:usb2="00000000" w:usb3="00000000" w:csb0="00040000" w:csb1="00000000"/>
    <w:embedRegular r:id="rId7" w:fontKey="{23C3020A-A782-471E-95BC-7DBE3DB3C801}"/>
  </w:font>
  <w:font w:name="楷体_GB2312">
    <w:panose1 w:val="02010609030101010101"/>
    <w:charset w:val="86"/>
    <w:family w:val="modern"/>
    <w:pitch w:val="default"/>
    <w:sig w:usb0="00000001" w:usb1="080E0000" w:usb2="00000000" w:usb3="00000000" w:csb0="00040000" w:csb1="00000000"/>
    <w:embedRegular r:id="rId8" w:fontKey="{DA10D1B0-764B-49F9-A43B-5AE9F8B14CF0}"/>
  </w:font>
  <w:font w:name="微软雅黑">
    <w:panose1 w:val="020B0503020204020204"/>
    <w:charset w:val="86"/>
    <w:family w:val="swiss"/>
    <w:pitch w:val="variable"/>
    <w:sig w:usb0="80000287" w:usb1="2ACF3C50" w:usb2="00000016" w:usb3="00000000" w:csb0="0004001F" w:csb1="00000000"/>
    <w:embedRegular r:id="rId9" w:fontKey="{EAE769E2-B147-4BE0-9DAD-BE03BEF5A25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73D2">
    <w:pPr>
      <w:pStyle w:val="6"/>
      <w:jc w:val="center"/>
      <w:rPr>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PAGE   \* MERGEFORMAT </w:instrText>
    </w:r>
    <w:r>
      <w:rPr>
        <w:rFonts w:ascii="Arial" w:hAnsi="Arial" w:cs="Arial"/>
        <w:sz w:val="24"/>
        <w:szCs w:val="24"/>
      </w:rPr>
      <w:fldChar w:fldCharType="separate"/>
    </w:r>
    <w:r>
      <w:rPr>
        <w:rFonts w:ascii="Arial" w:hAnsi="Arial" w:cs="Arial"/>
        <w:sz w:val="24"/>
        <w:szCs w:val="24"/>
        <w:lang w:val="zh-CN"/>
      </w:rPr>
      <w:t>2</w:t>
    </w:r>
    <w:r>
      <w:rPr>
        <w:rFonts w:ascii="Arial" w:hAnsi="Arial" w:cs="Arial"/>
        <w:sz w:val="24"/>
        <w:szCs w:val="24"/>
      </w:rPr>
      <w:fldChar w:fldCharType="end"/>
    </w:r>
  </w:p>
  <w:p w14:paraId="2B1A0F0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4NGNkZWJkODFjNzcyZDRjM2M4Y2UzNjI5ZmUifQ=="/>
  </w:docVars>
  <w:rsids>
    <w:rsidRoot w:val="7CD92DC8"/>
    <w:rsid w:val="00B83D3B"/>
    <w:rsid w:val="014468B2"/>
    <w:rsid w:val="03024DB4"/>
    <w:rsid w:val="034E5C13"/>
    <w:rsid w:val="05CF4186"/>
    <w:rsid w:val="0B260967"/>
    <w:rsid w:val="0E9A00F9"/>
    <w:rsid w:val="13CD2390"/>
    <w:rsid w:val="176C5F9A"/>
    <w:rsid w:val="17D542AC"/>
    <w:rsid w:val="1AB90BDE"/>
    <w:rsid w:val="1CF650E5"/>
    <w:rsid w:val="206D7E5B"/>
    <w:rsid w:val="24292904"/>
    <w:rsid w:val="27F054A2"/>
    <w:rsid w:val="28932F48"/>
    <w:rsid w:val="2B570522"/>
    <w:rsid w:val="2D5A67D1"/>
    <w:rsid w:val="317A337E"/>
    <w:rsid w:val="36D706EA"/>
    <w:rsid w:val="37E75960"/>
    <w:rsid w:val="38143871"/>
    <w:rsid w:val="3A7F3710"/>
    <w:rsid w:val="3CBF56B7"/>
    <w:rsid w:val="3F0B6C00"/>
    <w:rsid w:val="45B570B2"/>
    <w:rsid w:val="469F18F0"/>
    <w:rsid w:val="46B6210A"/>
    <w:rsid w:val="478E1771"/>
    <w:rsid w:val="4D6B3819"/>
    <w:rsid w:val="4F8F7475"/>
    <w:rsid w:val="55FA616E"/>
    <w:rsid w:val="58E579AB"/>
    <w:rsid w:val="5E5E60CE"/>
    <w:rsid w:val="63601D31"/>
    <w:rsid w:val="65F06FFE"/>
    <w:rsid w:val="6EC8549B"/>
    <w:rsid w:val="71AE4B8C"/>
    <w:rsid w:val="73162084"/>
    <w:rsid w:val="78E707D2"/>
    <w:rsid w:val="7CD92DC8"/>
    <w:rsid w:val="7F227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table of figures1"/>
    <w:basedOn w:val="1"/>
    <w:next w:val="1"/>
    <w:qFormat/>
    <w:uiPriority w:val="99"/>
    <w:pPr>
      <w:ind w:left="200" w:leftChars="200" w:hanging="200" w:hangingChars="200"/>
    </w:pPr>
  </w:style>
  <w:style w:type="paragraph" w:styleId="5">
    <w:name w:val="Body Text"/>
    <w:basedOn w:val="1"/>
    <w:qFormat/>
    <w:uiPriority w:val="0"/>
    <w:rPr>
      <w:sz w:val="18"/>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8">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9">
    <w:name w:val="toc 2"/>
    <w:basedOn w:val="1"/>
    <w:next w:val="1"/>
    <w:unhideWhenUsed/>
    <w:qFormat/>
    <w:uiPriority w:val="39"/>
    <w:pPr>
      <w:tabs>
        <w:tab w:val="right" w:leader="dot" w:pos="8296"/>
      </w:tabs>
      <w:ind w:left="420" w:leftChars="200"/>
    </w:pPr>
  </w:style>
  <w:style w:type="character" w:styleId="12">
    <w:name w:val="Strong"/>
    <w:basedOn w:val="11"/>
    <w:qFormat/>
    <w:uiPriority w:val="99"/>
    <w:rPr>
      <w:b/>
    </w:rPr>
  </w:style>
  <w:style w:type="character" w:styleId="13">
    <w:name w:val="FollowedHyperlink"/>
    <w:basedOn w:val="11"/>
    <w:qFormat/>
    <w:uiPriority w:val="0"/>
    <w:rPr>
      <w:color w:val="800080"/>
      <w:u w:val="single"/>
    </w:rPr>
  </w:style>
  <w:style w:type="character" w:styleId="14">
    <w:name w:val="Hyperlink"/>
    <w:basedOn w:val="11"/>
    <w:unhideWhenUsed/>
    <w:qFormat/>
    <w:uiPriority w:val="99"/>
    <w:rPr>
      <w:color w:val="0563C1" w:themeColor="hyperlink"/>
      <w:u w:val="single"/>
      <w14:textFill>
        <w14:solidFill>
          <w14:schemeClr w14:val="hlink"/>
        </w14:solidFill>
      </w14:textFill>
    </w:rPr>
  </w:style>
  <w:style w:type="character" w:customStyle="1" w:styleId="15">
    <w:name w:val="标题 1 Char"/>
    <w:basedOn w:val="11"/>
    <w:link w:val="3"/>
    <w:qFormat/>
    <w:uiPriority w:val="9"/>
    <w:rPr>
      <w:b/>
      <w:bCs/>
      <w:kern w:val="44"/>
      <w:sz w:val="44"/>
      <w:szCs w:val="44"/>
    </w:rPr>
  </w:style>
  <w:style w:type="character" w:customStyle="1" w:styleId="16">
    <w:name w:val="标题 2 Char"/>
    <w:basedOn w:val="11"/>
    <w:link w:val="4"/>
    <w:qFormat/>
    <w:uiPriority w:val="9"/>
    <w:rPr>
      <w:rFonts w:asciiTheme="majorHAnsi" w:hAnsiTheme="majorHAnsi" w:eastAsiaTheme="majorEastAsia" w:cstheme="majorBidi"/>
      <w:b/>
      <w:bCs/>
      <w:sz w:val="32"/>
      <w:szCs w:val="32"/>
    </w:rPr>
  </w:style>
  <w:style w:type="paragraph" w:styleId="17">
    <w:name w:val="List Paragraph"/>
    <w:basedOn w:val="1"/>
    <w:qFormat/>
    <w:uiPriority w:val="34"/>
    <w:pPr>
      <w:ind w:firstLine="420" w:firstLineChars="200"/>
    </w:pPr>
  </w:style>
  <w:style w:type="paragraph" w:customStyle="1" w:styleId="1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hart" Target="charts/chart7.xml"/><Relationship Id="rId10" Type="http://schemas.openxmlformats.org/officeDocument/2006/relationships/chart" Target="charts/chart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5.xml"/><Relationship Id="rId1" Type="http://schemas.openxmlformats.org/officeDocument/2006/relationships/package" Target="../embeddings/Workbook7.xlsx"/></Relationships>
</file>

<file path=word/charts/_rels/chart6.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3.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4.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收入、支出</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10666.59</c:v>
                </c:pt>
                <c:pt idx="1">
                  <c:v>9565.06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0226123"/>
        <c:axId val="875371506"/>
      </c:barChart>
      <c:catAx>
        <c:axId val="830226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371506"/>
        <c:crosses val="autoZero"/>
        <c:auto val="1"/>
        <c:lblAlgn val="ctr"/>
        <c:lblOffset val="100"/>
        <c:noMultiLvlLbl val="0"/>
      </c:catAx>
      <c:valAx>
        <c:axId val="875371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22612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a9d2d5f-3557-4bd0-9d27-efd7e285d2ee}"/>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
        <c:rich>
          <a:bodyPr/>
          <a:lstStyle/>
          <a:p>
            <a:pPr>
              <a:defRPr/>
            </a:pPr>
          </a:p>
        </c:rich>
      </c:tx>
    </c:title>
    <c:autoTitleDeleted val="0"/>
    <c:plotArea>
      <c:layout>
        <c:manualLayout>
          <c:layoutTarget val="inner"/>
          <c:xMode val="edge"/>
          <c:yMode val="edge"/>
          <c:x val="0.278022520337437"/>
          <c:y val="0.211675094816688"/>
          <c:w val="0.419668098082688"/>
          <c:h val="0.700287610619469"/>
        </c:manualLayout>
      </c:layout>
      <c:pieChart>
        <c:varyColors val="1"/>
        <c:ser>
          <c:idx val="0"/>
          <c:order val="0"/>
          <c:tx>
            <c:strRef>
              <c:f>Sheet1!$B$1</c:f>
              <c:strCache>
                <c:ptCount val="1"/>
                <c:pt idx="0">
                  <c:v>2019年</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8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c:v>
                </c:pt>
              </c:strCache>
            </c:strRef>
          </c:cat>
          <c:val>
            <c:numRef>
              <c:f>Sheet1!$B$2</c:f>
              <c:numCache>
                <c:formatCode>General</c:formatCode>
                <c:ptCount val="1"/>
                <c:pt idx="0">
                  <c:v>6147.27</c:v>
                </c:pt>
              </c:numCache>
            </c:numRef>
          </c:val>
        </c:ser>
        <c:ser>
          <c:idx val="1"/>
          <c:order val="1"/>
          <c:tx>
            <c:strRef>
              <c:f>Sheet1!#REF!</c:f>
              <c:strCache>
                <c:ptCount val="1"/>
                <c:pt idx="0">
                  <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一般公共预算</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59934486673731"/>
          <c:y val="0.379154130639333"/>
          <c:w val="0.0787024867915832"/>
          <c:h val="0.37630636325326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769a2a7d-60e8-47bc-a026-89f76dcc3751}"/>
      </c:ext>
    </c:extLst>
  </c:chart>
  <c:spPr>
    <a:solidFill>
      <a:sysClr val="window" lastClr="FFFFFF"/>
    </a:solidFill>
    <a:ln w="15875" cap="flat" cmpd="sng" algn="ctr">
      <a:solidFill>
        <a:srgbClr val="BFCFD1"/>
      </a:solidFill>
      <a:prstDash val="solid"/>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8022520337437"/>
          <c:y val="0.211675094816688"/>
          <c:w val="0.419668098082688"/>
          <c:h val="0.700287610619469"/>
        </c:manualLayout>
      </c:layout>
      <c:pieChart>
        <c:varyColors val="1"/>
        <c:ser>
          <c:idx val="0"/>
          <c:order val="0"/>
          <c:tx>
            <c:strRef>
              <c:f>Sheet1!$B$1</c:f>
              <c:strCache>
                <c:ptCount val="1"/>
                <c:pt idx="0">
                  <c:v>2019年</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Pt>
            <c:idx val="1"/>
            <c:bubble3D val="0"/>
            <c:spPr>
              <a:solidFill>
                <a:srgbClr val="D77C74"/>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8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731.56</c:v>
                </c:pt>
                <c:pt idx="1">
                  <c:v>6044.19</c:v>
                </c:pt>
              </c:numCache>
            </c:numRef>
          </c:val>
        </c:ser>
        <c:ser>
          <c:idx val="1"/>
          <c:order val="1"/>
          <c:tx>
            <c:strRef>
              <c:f>Sheet1!#REF!</c:f>
              <c:strCache>
                <c:ptCount val="1"/>
                <c:pt idx="0">
                  <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59934486673731"/>
          <c:y val="0.379154130639333"/>
          <c:w val="0.0787024867915832"/>
          <c:h val="0.37630636325326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b905ef1a-638e-45cd-a205-e46b3f18bea2}"/>
      </c:ext>
    </c:extLst>
  </c:chart>
  <c:spPr>
    <a:solidFill>
      <a:sysClr val="window" lastClr="FFFFFF"/>
    </a:solidFill>
    <a:ln w="15875" cap="flat" cmpd="sng" algn="ctr">
      <a:solidFill>
        <a:srgbClr val="BFCFD1"/>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收入、支出</c:v>
                </c:pt>
              </c:strCache>
            </c:strRef>
          </c:tx>
          <c:spPr>
            <a:solidFill>
              <a:schemeClr val="accent1"/>
            </a:solidFill>
            <a:ln>
              <a:noFill/>
            </a:ln>
            <a:effectLst/>
          </c:spPr>
          <c:invertIfNegative val="0"/>
          <c:dLbls>
            <c:delete val="1"/>
          </c:dLbls>
          <c:cat>
            <c:strRef>
              <c:f>Sheet1!$A$2:$A$3</c:f>
              <c:strCache>
                <c:ptCount val="2"/>
                <c:pt idx="0">
                  <c:v>2018年</c:v>
                </c:pt>
                <c:pt idx="1">
                  <c:v>2019年</c:v>
                </c:pt>
              </c:strCache>
            </c:strRef>
          </c:cat>
          <c:val>
            <c:numRef>
              <c:f>Sheet1!$B$2:$B$3</c:f>
              <c:numCache>
                <c:formatCode>General</c:formatCode>
                <c:ptCount val="2"/>
                <c:pt idx="0">
                  <c:v>10666.59</c:v>
                </c:pt>
                <c:pt idx="1">
                  <c:v>9565.06</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2018年</c:v>
                </c:pt>
                <c:pt idx="1">
                  <c:v>2019年</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0226123"/>
        <c:axId val="875371506"/>
      </c:barChart>
      <c:catAx>
        <c:axId val="83022612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5371506"/>
        <c:crosses val="autoZero"/>
        <c:auto val="1"/>
        <c:lblAlgn val="ctr"/>
        <c:lblOffset val="100"/>
        <c:noMultiLvlLbl val="0"/>
      </c:catAx>
      <c:valAx>
        <c:axId val="8753715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226123"/>
        <c:crosses val="autoZero"/>
        <c:crossBetween val="between"/>
      </c:valAx>
      <c:spPr>
        <a:noFill/>
        <a:ln>
          <a:noFill/>
        </a:ln>
        <a:effectLst/>
      </c:spPr>
    </c:plotArea>
    <c:legend>
      <c:legendPos val="b"/>
      <c:legendEntry>
        <c:idx val="1"/>
        <c:delete val="1"/>
      </c:legendEntry>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b4240c-5d93-4825-abd1-cb57b2760eb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58572946258466"/>
          <c:y val="0.182600604791812"/>
          <c:w val="0.85438995055459"/>
          <c:h val="0.665364038148407"/>
        </c:manualLayout>
      </c:layout>
      <c:barChart>
        <c:barDir val="col"/>
        <c:grouping val="clustered"/>
        <c:varyColors val="0"/>
        <c:ser>
          <c:idx val="0"/>
          <c:order val="0"/>
          <c:tx>
            <c:strRef>
              <c:f>Sheet1!$B$1</c:f>
              <c:strCache>
                <c:ptCount val="1"/>
                <c:pt idx="0">
                  <c:v>一般公共预算财政拨款支出</c:v>
                </c:pt>
              </c:strCache>
            </c:strRef>
          </c:tx>
          <c:spPr>
            <a:solidFill>
              <a:srgbClr val="304269"/>
            </a:solidFill>
            <a:ln w="9525">
              <a:solidFill>
                <a:schemeClr val="lt1"/>
              </a:solidFill>
            </a:ln>
            <a:effectLst/>
          </c:spPr>
          <c:invertIfNegative val="0"/>
          <c:dPt>
            <c:idx val="0"/>
            <c:invertIfNegative val="0"/>
            <c:bubble3D val="0"/>
            <c:spPr>
              <a:solidFill>
                <a:srgbClr val="304269"/>
              </a:solidFill>
              <a:ln w="9525">
                <a:solidFill>
                  <a:schemeClr val="lt1"/>
                </a:solidFill>
              </a:ln>
              <a:effectLst/>
            </c:spPr>
          </c:dPt>
          <c:dPt>
            <c:idx val="1"/>
            <c:invertIfNegative val="0"/>
            <c:bubble3D val="0"/>
            <c:spPr>
              <a:solidFill>
                <a:srgbClr val="304269"/>
              </a:solidFill>
              <a:ln w="9525">
                <a:solidFill>
                  <a:schemeClr val="lt1"/>
                </a:solidFill>
              </a:ln>
              <a:effectLst/>
            </c:spPr>
          </c:dPt>
          <c:dPt>
            <c:idx val="2"/>
            <c:invertIfNegative val="0"/>
            <c:bubble3D val="0"/>
            <c:spPr>
              <a:solidFill>
                <a:srgbClr val="304269"/>
              </a:solidFill>
              <a:ln w="9525">
                <a:solidFill>
                  <a:schemeClr val="lt1"/>
                </a:solidFill>
              </a:ln>
              <a:effectLst/>
            </c:spPr>
          </c:dPt>
          <c:dLbls>
            <c:delete val="1"/>
          </c:dLbls>
          <c:cat>
            <c:strRef>
              <c:f>Sheet1!$A$2:$A$5</c:f>
              <c:strCache>
                <c:ptCount val="4"/>
                <c:pt idx="0">
                  <c:v>2018年</c:v>
                </c:pt>
                <c:pt idx="1">
                  <c:v>2019年</c:v>
                </c:pt>
              </c:strCache>
            </c:strRef>
          </c:cat>
          <c:val>
            <c:numRef>
              <c:f>Sheet1!$B$2:$B$5</c:f>
              <c:numCache>
                <c:formatCode>General</c:formatCode>
                <c:ptCount val="4"/>
                <c:pt idx="0">
                  <c:v>6116.54</c:v>
                </c:pt>
                <c:pt idx="1">
                  <c:v>6775.75</c:v>
                </c:pt>
              </c:numCache>
            </c:numRef>
          </c:val>
        </c:ser>
        <c:ser>
          <c:idx val="1"/>
          <c:order val="1"/>
          <c:tx>
            <c:strRef>
              <c:f>Sheet1!$C$1</c:f>
              <c:strCache>
                <c:ptCount val="1"/>
                <c:pt idx="0">
                  <c:v/>
                </c:pt>
              </c:strCache>
            </c:strRef>
          </c:tx>
          <c:spPr>
            <a:solidFill>
              <a:schemeClr val="accent2"/>
            </a:solidFill>
            <a:ln w="19050">
              <a:solidFill>
                <a:schemeClr val="lt1"/>
              </a:solidFill>
            </a:ln>
            <a:effectLst/>
          </c:spPr>
          <c:invertIfNegative val="0"/>
          <c:dLbls>
            <c:delete val="1"/>
          </c:dLbls>
          <c:cat>
            <c:strRef>
              <c:f>Sheet1!$A$2:$A$5</c:f>
              <c:strCache>
                <c:ptCount val="4"/>
                <c:pt idx="0">
                  <c:v>2018年</c:v>
                </c:pt>
                <c:pt idx="1">
                  <c:v>2019年</c:v>
                </c:pt>
              </c:strCache>
            </c:strRef>
          </c:cat>
          <c:val>
            <c:numRef>
              <c:f>Sheet1!$C$2:$C$5</c:f>
              <c:numCache>
                <c:formatCode>General</c:formatCode>
                <c:ptCount val="4"/>
              </c:numCache>
            </c:numRef>
          </c:val>
        </c:ser>
        <c:ser>
          <c:idx val="2"/>
          <c:order val="2"/>
          <c:tx>
            <c:strRef>
              <c:f>Sheet1!$D$1</c:f>
              <c:strCache>
                <c:ptCount val="1"/>
                <c:pt idx="0">
                  <c:v/>
                </c:pt>
              </c:strCache>
            </c:strRef>
          </c:tx>
          <c:spPr>
            <a:solidFill>
              <a:srgbClr val="91BED4"/>
            </a:solidFill>
            <a:ln w="19050">
              <a:solidFill>
                <a:schemeClr val="lt1"/>
              </a:solidFill>
            </a:ln>
            <a:effectLst/>
          </c:spPr>
          <c:invertIfNegative val="0"/>
          <c:dLbls>
            <c:delete val="1"/>
          </c:dLbls>
          <c:cat>
            <c:strRef>
              <c:f>Sheet1!$A$2:$A$5</c:f>
              <c:strCache>
                <c:ptCount val="4"/>
                <c:pt idx="0">
                  <c:v>2018年</c:v>
                </c:pt>
                <c:pt idx="1">
                  <c:v>2019年</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154863872"/>
        <c:axId val="154873856"/>
      </c:barChart>
      <c:catAx>
        <c:axId val="154863872"/>
        <c:scaling>
          <c:orientation val="minMax"/>
        </c:scaling>
        <c:delete val="0"/>
        <c:axPos val="b"/>
        <c:numFmt formatCode="General" sourceLinked="0"/>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54873856"/>
        <c:crosses val="autoZero"/>
        <c:auto val="1"/>
        <c:lblAlgn val="ctr"/>
        <c:lblOffset val="100"/>
        <c:noMultiLvlLbl val="0"/>
      </c:catAx>
      <c:valAx>
        <c:axId val="154873856"/>
        <c:scaling>
          <c:orientation val="minMax"/>
        </c:scaling>
        <c:delete val="0"/>
        <c:axPos val="l"/>
        <c:numFmt formatCode="General" sourceLinked="1"/>
        <c:majorTickMark val="out"/>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crossAx val="154863872"/>
        <c:crosses val="autoZero"/>
        <c:crossBetween val="between"/>
      </c:valAx>
      <c:spPr>
        <a:noFill/>
        <a:ln>
          <a:noFill/>
        </a:ln>
        <a:effectLst>
          <a:glow rad="63500">
            <a:schemeClr val="bg1">
              <a:alpha val="40000"/>
            </a:schemeClr>
          </a:glow>
        </a:effectLst>
      </c:spPr>
    </c:plotArea>
    <c:plotVisOnly val="1"/>
    <c:dispBlanksAs val="gap"/>
    <c:showDLblsOverMax val="0"/>
    <c:extLst>
      <c:ext uri="{0b15fc19-7d7d-44ad-8c2d-2c3a37ce22c3}">
        <chartProps xmlns="https://web.wps.cn/et/2018/main" chartId="{c8a5e975-3889-4afe-869d-5e235c6612cd}"/>
      </c:ext>
    </c:extLst>
  </c:chart>
  <c:spPr>
    <a:pattFill prst="lgGrid">
      <a:fgClr>
        <a:srgbClr val="F5F5F5"/>
      </a:fgClr>
      <a:bgClr>
        <a:schemeClr val="bg1"/>
      </a:bgClr>
    </a:patt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8022520337437"/>
          <c:y val="0.211675094816688"/>
          <c:w val="0.419668098082688"/>
          <c:h val="0.700287610619469"/>
        </c:manualLayout>
      </c:layout>
      <c:pieChart>
        <c:varyColors val="1"/>
        <c:ser>
          <c:idx val="0"/>
          <c:order val="0"/>
          <c:tx>
            <c:strRef>
              <c:f>Sheet1!$B$1</c:f>
              <c:strCache>
                <c:ptCount val="1"/>
                <c:pt idx="0">
                  <c:v>系列 1</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Pt>
            <c:idx val="1"/>
            <c:bubble3D val="0"/>
            <c:spPr>
              <a:solidFill>
                <a:srgbClr val="D77C74"/>
              </a:solidFill>
              <a:ln w="28575" cap="rnd" cmpd="sng">
                <a:solidFill>
                  <a:schemeClr val="bg1"/>
                </a:solidFill>
                <a:prstDash val="solid"/>
                <a:round/>
              </a:ln>
              <a:effectLst>
                <a:innerShdw blurRad="63500" dist="50800">
                  <a:prstClr val="black">
                    <a:alpha val="50000"/>
                  </a:prstClr>
                </a:innerShdw>
              </a:effectLst>
            </c:spPr>
          </c:dPt>
          <c:dPt>
            <c:idx val="2"/>
            <c:bubble3D val="0"/>
            <c:spPr>
              <a:solidFill>
                <a:srgbClr val="E9C5B3"/>
              </a:solidFill>
              <a:ln w="28575" cap="rnd" cmpd="sng">
                <a:solidFill>
                  <a:schemeClr val="bg1"/>
                </a:solidFill>
                <a:prstDash val="solid"/>
                <a:round/>
              </a:ln>
              <a:effectLst>
                <a:innerShdw blurRad="63500" dist="50800">
                  <a:prstClr val="black">
                    <a:alpha val="50000"/>
                  </a:prstClr>
                </a:innerShdw>
              </a:effectLst>
            </c:spPr>
          </c:dPt>
          <c:dPt>
            <c:idx val="3"/>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8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节能环保支出</c:v>
                </c:pt>
                <c:pt idx="1">
                  <c:v>农林水支出</c:v>
                </c:pt>
              </c:strCache>
            </c:strRef>
          </c:cat>
          <c:val>
            <c:numRef>
              <c:f>Sheet1!$B$2:$B$5</c:f>
              <c:numCache>
                <c:formatCode>General</c:formatCode>
                <c:ptCount val="4"/>
                <c:pt idx="0">
                  <c:v>604.09</c:v>
                </c:pt>
                <c:pt idx="1">
                  <c:v>6171.66</c:v>
                </c:pt>
              </c:numCache>
            </c:numRef>
          </c:val>
        </c:ser>
        <c:ser>
          <c:idx val="1"/>
          <c:order val="1"/>
          <c:tx>
            <c:strRef>
              <c:f>Sheet1!$C$1</c:f>
              <c:strCache>
                <c:ptCount val="1"/>
                <c:pt idx="0">
                  <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Pt>
            <c:idx val="1"/>
            <c:bubble3D val="0"/>
            <c:spPr>
              <a:solidFill>
                <a:srgbClr val="D77C74"/>
              </a:solidFill>
              <a:ln w="28575" cap="rnd" cmpd="sng">
                <a:solidFill>
                  <a:schemeClr val="bg1"/>
                </a:solidFill>
                <a:prstDash val="solid"/>
                <a:round/>
              </a:ln>
              <a:effectLst>
                <a:innerShdw blurRad="63500" dist="50800">
                  <a:prstClr val="black">
                    <a:alpha val="50000"/>
                  </a:prstClr>
                </a:innerShdw>
              </a:effectLst>
            </c:spPr>
          </c:dPt>
          <c:dPt>
            <c:idx val="2"/>
            <c:bubble3D val="0"/>
            <c:spPr>
              <a:solidFill>
                <a:srgbClr val="E9C5B3"/>
              </a:solidFill>
              <a:ln w="28575" cap="rnd" cmpd="sng">
                <a:solidFill>
                  <a:schemeClr val="bg1"/>
                </a:solidFill>
                <a:prstDash val="solid"/>
                <a:round/>
              </a:ln>
              <a:effectLst>
                <a:innerShdw blurRad="63500" dist="50800">
                  <a:prstClr val="black">
                    <a:alpha val="50000"/>
                  </a:prstClr>
                </a:innerShdw>
              </a:effectLst>
            </c:spPr>
          </c:dPt>
          <c:dPt>
            <c:idx val="3"/>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节能环保支出</c:v>
                </c:pt>
                <c:pt idx="1">
                  <c:v>农林水支出</c:v>
                </c:pt>
              </c:strCache>
            </c:strRef>
          </c:cat>
          <c:val>
            <c:numRef>
              <c:f>Sheet1!$C$2:$C$5</c:f>
              <c:numCache>
                <c:formatCode>General</c:formatCode>
                <c:ptCount val="4"/>
              </c:numCache>
            </c:numRef>
          </c:val>
        </c:ser>
        <c:ser>
          <c:idx val="2"/>
          <c:order val="2"/>
          <c:tx>
            <c:strRef>
              <c:f>Sheet1!$D$1</c:f>
              <c:strCache>
                <c:ptCount val="1"/>
                <c:pt idx="0">
                  <c:v/>
                </c:pt>
              </c:strCache>
            </c:strRef>
          </c:tx>
          <c:spPr>
            <a:solidFill>
              <a:srgbClr val="1E2223"/>
            </a:solidFill>
            <a:ln w="28575" cap="rnd" cmpd="sng">
              <a:solidFill>
                <a:schemeClr val="bg1"/>
              </a:solidFill>
              <a:prstDash val="solid"/>
              <a:round/>
            </a:ln>
            <a:effectLst>
              <a:innerShdw blurRad="63500" dist="50800">
                <a:prstClr val="black">
                  <a:alpha val="50000"/>
                </a:prstClr>
              </a:innerShdw>
            </a:effectLst>
          </c:spPr>
          <c:explosion val="0"/>
          <c:dPt>
            <c:idx val="0"/>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Pt>
            <c:idx val="1"/>
            <c:bubble3D val="0"/>
            <c:spPr>
              <a:solidFill>
                <a:srgbClr val="D77C74"/>
              </a:solidFill>
              <a:ln w="28575" cap="rnd" cmpd="sng">
                <a:solidFill>
                  <a:schemeClr val="bg1"/>
                </a:solidFill>
                <a:prstDash val="solid"/>
                <a:round/>
              </a:ln>
              <a:effectLst>
                <a:innerShdw blurRad="63500" dist="50800">
                  <a:prstClr val="black">
                    <a:alpha val="50000"/>
                  </a:prstClr>
                </a:innerShdw>
              </a:effectLst>
            </c:spPr>
          </c:dPt>
          <c:dPt>
            <c:idx val="2"/>
            <c:bubble3D val="0"/>
            <c:spPr>
              <a:solidFill>
                <a:srgbClr val="E9C5B3"/>
              </a:solidFill>
              <a:ln w="28575" cap="rnd" cmpd="sng">
                <a:solidFill>
                  <a:schemeClr val="bg1"/>
                </a:solidFill>
                <a:prstDash val="solid"/>
                <a:round/>
              </a:ln>
              <a:effectLst>
                <a:innerShdw blurRad="63500" dist="50800">
                  <a:prstClr val="black">
                    <a:alpha val="50000"/>
                  </a:prstClr>
                </a:innerShdw>
              </a:effectLst>
            </c:spPr>
          </c:dPt>
          <c:dPt>
            <c:idx val="3"/>
            <c:bubble3D val="0"/>
            <c:spPr>
              <a:solidFill>
                <a:srgbClr val="EFE5E1"/>
              </a:solidFill>
              <a:ln w="28575" cap="rnd" cmpd="sng">
                <a:solidFill>
                  <a:schemeClr val="bg1"/>
                </a:solidFill>
                <a:prstDash val="solid"/>
                <a:round/>
              </a:ln>
              <a:effectLst>
                <a:innerShdw blurRad="63500" dist="50800">
                  <a:prstClr val="black">
                    <a:alpha val="50000"/>
                  </a:prstClr>
                </a:innerShdw>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节能环保支出</c:v>
                </c:pt>
                <c:pt idx="1">
                  <c:v>农林水支出</c:v>
                </c:pt>
              </c:strCache>
            </c:strRef>
          </c:cat>
          <c:val>
            <c:numRef>
              <c:f>Sheet1!$D$2:$D$5</c:f>
              <c:numCache>
                <c:formatCode>General</c:formatCode>
                <c:ptCount val="4"/>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859934486673731"/>
          <c:y val="0.379154130639333"/>
          <c:w val="0.0787024867915832"/>
          <c:h val="0.376306363253266"/>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db186ebf-a50d-4b9d-a7ff-c00781f2ea5d}"/>
      </c:ext>
    </c:extLst>
  </c:chart>
  <c:spPr>
    <a:solidFill>
      <a:sysClr val="window" lastClr="FFFFFF"/>
    </a:solidFill>
    <a:ln w="15875" cap="flat" cmpd="sng" algn="ctr">
      <a:solidFill>
        <a:srgbClr val="BFCFD1"/>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2019年</c:v>
                </c:pt>
              </c:strCache>
            </c:strRef>
          </c:tx>
          <c:spPr>
            <a:ln w="139700" cmpd="thickThin">
              <a:solidFill>
                <a:schemeClr val="bg1"/>
              </a:solidFill>
            </a:ln>
          </c:spPr>
          <c:explosion val="0"/>
          <c:dPt>
            <c:idx val="0"/>
            <c:bubble3D val="0"/>
            <c:spPr>
              <a:solidFill>
                <a:srgbClr val="F3734E"/>
              </a:solidFill>
              <a:ln w="139700" cmpd="thickThin">
                <a:solidFill>
                  <a:schemeClr val="bg1"/>
                </a:solidFill>
              </a:ln>
              <a:effectLst/>
            </c:spPr>
          </c:dPt>
          <c:dPt>
            <c:idx val="1"/>
            <c:bubble3D val="0"/>
            <c:spPr>
              <a:solidFill>
                <a:srgbClr val="7E80C0"/>
              </a:solidFill>
              <a:ln w="139700" cmpd="thickThin">
                <a:solidFill>
                  <a:schemeClr val="bg1"/>
                </a:solidFill>
              </a:ln>
              <a:effectLst/>
            </c:spPr>
          </c:dPt>
          <c:dPt>
            <c:idx val="2"/>
            <c:bubble3D val="0"/>
            <c:spPr>
              <a:solidFill>
                <a:srgbClr val="68C7EB"/>
              </a:solidFill>
              <a:ln w="139700" cmpd="thickThin">
                <a:solidFill>
                  <a:schemeClr val="bg1"/>
                </a:solidFill>
              </a:ln>
              <a:effectLst/>
            </c:spPr>
          </c:dPt>
          <c:dPt>
            <c:idx val="3"/>
            <c:bubble3D val="0"/>
            <c:spPr>
              <a:solidFill>
                <a:srgbClr val="7DCAA5"/>
              </a:solidFill>
              <a:ln w="139700" cmpd="thickThin">
                <a:solidFill>
                  <a:schemeClr val="bg1"/>
                </a:solidFill>
              </a:ln>
              <a:effectLst/>
            </c:spPr>
          </c:dPt>
          <c:dLbls>
            <c:dLbl>
              <c:idx val="0"/>
              <c:layout>
                <c:manualLayout>
                  <c:x val="-0.0464527915828764"/>
                  <c:y val="0.127196075136647"/>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4684271895766"/>
                  <c:y val="-0.0119682970894103"/>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856554032420108"/>
                  <c:y val="-0.093595685792925"/>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公务用车购置及运行维护费</c:v>
                </c:pt>
                <c:pt idx="2">
                  <c:v>公务接待费</c:v>
                </c:pt>
              </c:strCache>
            </c:strRef>
          </c:cat>
          <c:val>
            <c:numRef>
              <c:f>Sheet1!$B$2:$B$5</c:f>
              <c:numCache>
                <c:formatCode>General</c:formatCode>
                <c:ptCount val="4"/>
                <c:pt idx="0">
                  <c:v>0</c:v>
                </c:pt>
                <c:pt idx="1">
                  <c:v>4.96</c:v>
                </c:pt>
                <c:pt idx="2">
                  <c:v>7.13</c:v>
                </c:pt>
              </c:numCache>
            </c:numRef>
          </c:val>
        </c:ser>
        <c:ser>
          <c:idx val="1"/>
          <c:order val="1"/>
          <c:tx>
            <c:strRef>
              <c:f>Sheet1!$C$1</c:f>
              <c:strCache>
                <c:ptCount val="1"/>
                <c:pt idx="0">
                  <c:v/>
                </c:pt>
              </c:strCache>
            </c:strRef>
          </c:tx>
          <c:spPr>
            <a:ln w="139700" cmpd="thickThin">
              <a:solidFill>
                <a:schemeClr val="bg1"/>
              </a:solidFill>
            </a:ln>
          </c:spPr>
          <c:explosion val="0"/>
          <c:dPt>
            <c:idx val="0"/>
            <c:bubble3D val="0"/>
            <c:spPr>
              <a:solidFill>
                <a:srgbClr val="F3734E"/>
              </a:solidFill>
              <a:ln w="139700" cmpd="thickThin">
                <a:solidFill>
                  <a:schemeClr val="bg1"/>
                </a:solidFill>
              </a:ln>
              <a:effectLst/>
            </c:spPr>
          </c:dPt>
          <c:dPt>
            <c:idx val="1"/>
            <c:bubble3D val="0"/>
            <c:spPr>
              <a:solidFill>
                <a:srgbClr val="7E80C0"/>
              </a:solidFill>
              <a:ln w="139700" cmpd="thickThin">
                <a:solidFill>
                  <a:schemeClr val="bg1"/>
                </a:solidFill>
              </a:ln>
              <a:effectLst/>
            </c:spPr>
          </c:dPt>
          <c:dPt>
            <c:idx val="2"/>
            <c:bubble3D val="0"/>
            <c:spPr>
              <a:solidFill>
                <a:srgbClr val="68C7EB"/>
              </a:solidFill>
              <a:ln w="139700" cmpd="thickThin">
                <a:solidFill>
                  <a:schemeClr val="bg1"/>
                </a:solidFill>
              </a:ln>
              <a:effectLst/>
            </c:spPr>
          </c:dPt>
          <c:dPt>
            <c:idx val="3"/>
            <c:bubble3D val="0"/>
            <c:spPr>
              <a:solidFill>
                <a:srgbClr val="7DCAA5"/>
              </a:solidFill>
              <a:ln w="139700" cmpd="thickThi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公务用车购置及运行维护费</c:v>
                </c:pt>
                <c:pt idx="2">
                  <c:v>公务接待费</c:v>
                </c:pt>
              </c:strCache>
            </c:strRef>
          </c:cat>
          <c:val>
            <c:numRef>
              <c:f>Sheet1!$C$2:$C$5</c:f>
              <c:numCache>
                <c:formatCode>General</c:formatCode>
                <c:ptCount val="4"/>
              </c:numCache>
            </c:numRef>
          </c:val>
        </c:ser>
        <c:ser>
          <c:idx val="2"/>
          <c:order val="2"/>
          <c:tx>
            <c:strRef>
              <c:f>Sheet1!$D$1</c:f>
              <c:strCache>
                <c:ptCount val="1"/>
                <c:pt idx="0">
                  <c:v/>
                </c:pt>
              </c:strCache>
            </c:strRef>
          </c:tx>
          <c:spPr>
            <a:ln w="139700" cmpd="thickThin">
              <a:solidFill>
                <a:schemeClr val="bg1"/>
              </a:solidFill>
            </a:ln>
          </c:spPr>
          <c:explosion val="0"/>
          <c:dPt>
            <c:idx val="0"/>
            <c:bubble3D val="0"/>
            <c:spPr>
              <a:solidFill>
                <a:srgbClr val="F3734E"/>
              </a:solidFill>
              <a:ln w="139700" cmpd="thickThin">
                <a:solidFill>
                  <a:schemeClr val="bg1"/>
                </a:solidFill>
              </a:ln>
              <a:effectLst/>
            </c:spPr>
          </c:dPt>
          <c:dPt>
            <c:idx val="1"/>
            <c:bubble3D val="0"/>
            <c:spPr>
              <a:solidFill>
                <a:srgbClr val="7E80C0"/>
              </a:solidFill>
              <a:ln w="139700" cmpd="thickThin">
                <a:solidFill>
                  <a:schemeClr val="bg1"/>
                </a:solidFill>
              </a:ln>
              <a:effectLst/>
            </c:spPr>
          </c:dPt>
          <c:dPt>
            <c:idx val="2"/>
            <c:bubble3D val="0"/>
            <c:spPr>
              <a:solidFill>
                <a:srgbClr val="68C7EB"/>
              </a:solidFill>
              <a:ln w="139700" cmpd="thickThin">
                <a:solidFill>
                  <a:schemeClr val="bg1"/>
                </a:solidFill>
              </a:ln>
              <a:effectLst/>
            </c:spPr>
          </c:dPt>
          <c:dPt>
            <c:idx val="3"/>
            <c:bubble3D val="0"/>
            <c:spPr>
              <a:solidFill>
                <a:srgbClr val="7DCAA5"/>
              </a:solidFill>
              <a:ln w="139700" cmpd="thickThin">
                <a:solidFill>
                  <a:schemeClr val="bg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因公出国（境）费</c:v>
                </c:pt>
                <c:pt idx="1">
                  <c:v>公务用车购置及运行维护费</c:v>
                </c:pt>
                <c:pt idx="2">
                  <c:v>公务接待费</c:v>
                </c:pt>
              </c:strCache>
            </c:strRef>
          </c:cat>
          <c:val>
            <c:numRef>
              <c:f>Sheet1!$D$2:$D$5</c:f>
              <c:numCache>
                <c:formatCode>General</c:formatCode>
                <c:ptCount val="4"/>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legend>
    <c:plotVisOnly val="1"/>
    <c:dispBlanksAs val="gap"/>
    <c:showDLblsOverMax val="0"/>
    <c:extLst>
      <c:ext uri="{0b15fc19-7d7d-44ad-8c2d-2c3a37ce22c3}">
        <chartProps xmlns="https://web.wps.cn/et/2018/main" chartId="{1df76341-04b5-4eac-93ae-c5c5293af7df}"/>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latin typeface="微软雅黑" panose="020B0503020204020204" pitchFamily="34" charset="-122"/>
          <a:ea typeface="微软雅黑" panose="020B0503020204020204" pitchFamily="34" charset="-122"/>
          <a:cs typeface="微软雅黑" panose="020B0503020204020204" pitchFamily="34" charset="-122"/>
          <a:sym typeface="微软雅黑" panose="020B0503020204020204" pitchFamily="34" charset="-122"/>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52</Pages>
  <Words>4951</Words>
  <Characters>5482</Characters>
  <Lines>0</Lines>
  <Paragraphs>0</Paragraphs>
  <TotalTime>4</TotalTime>
  <ScaleCrop>false</ScaleCrop>
  <LinksUpToDate>false</LinksUpToDate>
  <CharactersWithSpaces>5540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2020-10-12T08:27:00Z</dcterms:created>
  <dc:creator>林业局-张红娇</dc:creator>
  <cp:lastModifiedBy>昭化融媒体</cp:lastModifiedBy>
  <dcterms:modified xsi:type="dcterms:W3CDTF">2025-09-10T07:46:12Z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02B2FB0962AD47F987B66429BA0C20D0</vt:lpwstr>
  </property>
  <property fmtid="{D5CDD505-2E9C-101B-9397-08002B2CF9AE}" pid="4" name="KSOTemplateDocerSaveRecord">
    <vt:lpwstr>eyJoZGlkIjoiMGVhYTg4NGNkZWJkODFjNzcyZDRjM2M4Y2UzNjI5ZmUiLCJ1c2VySWQiOiI2MTE2MzEwMDYifQ==</vt:lpwstr>
  </property>
</Properties>
</file>